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725FFBFE">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3842D6" w:rsidR="003842D6">
        <w:rPr>
          <w:rFonts w:cstheme="minorHAnsi"/>
        </w:rPr>
        <w:t xml:space="preserve">NESHAP for Site Remediation (40 CFR </w:t>
      </w:r>
      <w:r w:rsidR="001A1328">
        <w:rPr>
          <w:rFonts w:cstheme="minorHAnsi"/>
        </w:rPr>
        <w:t>P</w:t>
      </w:r>
      <w:r w:rsidRPr="003842D6" w:rsidR="003842D6">
        <w:rPr>
          <w:rFonts w:cstheme="minorHAnsi"/>
        </w:rPr>
        <w:t xml:space="preserve">art 63, </w:t>
      </w:r>
      <w:r w:rsidR="001A1328">
        <w:rPr>
          <w:rFonts w:cstheme="minorHAnsi"/>
        </w:rPr>
        <w:t>S</w:t>
      </w:r>
      <w:r w:rsidRPr="003842D6" w:rsidR="003842D6">
        <w:rPr>
          <w:rFonts w:cstheme="minorHAnsi"/>
        </w:rPr>
        <w:t>ubpart GGGGG) (Renewal)</w:t>
      </w:r>
    </w:p>
    <w:p w:rsidR="00EE2403" w:rsidRPr="00BB3410" w:rsidP="00BB432F" w14:paraId="71D5121E" w14:textId="468CD454">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3842D6" w:rsidR="003842D6">
        <w:rPr>
          <w:rFonts w:cstheme="minorHAnsi"/>
        </w:rPr>
        <w:t>2060-0534</w:t>
      </w:r>
    </w:p>
    <w:p w:rsidR="00EE2403" w:rsidRPr="00BB3410" w:rsidP="00ED57A4" w14:paraId="4FB77BCA" w14:textId="27BD7D16">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3842D6" w:rsidR="003842D6">
        <w:rPr>
          <w:rFonts w:cstheme="minorHAnsi"/>
        </w:rPr>
        <w:t>2062.1</w:t>
      </w:r>
      <w:r w:rsidR="003842D6">
        <w:rPr>
          <w:rFonts w:cstheme="minorHAnsi"/>
        </w:rPr>
        <w:t>1</w:t>
      </w:r>
    </w:p>
    <w:p w:rsidR="00BB432F" w:rsidP="4BDBF0A0" w14:paraId="6A3E928D" w14:textId="7C71CD42">
      <w:pPr>
        <w:spacing w:before="240"/>
      </w:pPr>
      <w:r w:rsidRPr="4BDBF0A0">
        <w:rPr>
          <w:b/>
          <w:bCs/>
        </w:rPr>
        <w:t>Abstract:</w:t>
      </w:r>
      <w:r w:rsidRPr="4BDBF0A0">
        <w:t xml:space="preserve"> </w:t>
      </w:r>
      <w:bookmarkStart w:id="1" w:name="_Hlk165897536"/>
      <w:r w:rsidRPr="003842D6" w:rsidR="003842D6">
        <w:t xml:space="preserve">The NESHAP for Site Remediation was proposed on July 30, 2002, promulgated on October 8, 2003, and </w:t>
      </w:r>
      <w:r w:rsidR="003842D6">
        <w:t xml:space="preserve">most recently </w:t>
      </w:r>
      <w:r w:rsidRPr="003842D6" w:rsidR="003842D6">
        <w:t xml:space="preserve">amended on </w:t>
      </w:r>
      <w:r w:rsidR="003842D6">
        <w:t>July 10, 2020 and December 22, 2022</w:t>
      </w:r>
      <w:r w:rsidRPr="003842D6" w:rsidR="003842D6">
        <w:t xml:space="preserve">. These regulations apply to site remediation activities that clean up materials containing organic hazardous air pollutants (HAP), where the site remediation is co-located at any facility with one or more stationary source that emit HAP, and where the facility is a major source of HAP. Major sources of HAP are sources that emit any single HAP at a rate of 10 tons or more per year or any combination of HAP at a rate of 25 tons or more per year. Site remediation activities may potentially occur at any facility where materials containing organic HAP currently are or have been stored, processed, treated, or otherwise managed at the facility. The types of businesses most likely to be subject to this rule include, but are not limited to, organic liquid storage terminals, petroleum refineries, chemical manufacturing facilities, and manufacturing facilities using organic materials. New facilities include those that commenced construction, modification, or reconstruction after the date of proposal. This information is being collected to assure compliance with 40 CFR </w:t>
      </w:r>
      <w:r w:rsidR="00C82D4A">
        <w:t>P</w:t>
      </w:r>
      <w:r w:rsidRPr="003842D6" w:rsidR="003842D6">
        <w:t xml:space="preserve">art 63, </w:t>
      </w:r>
      <w:r w:rsidR="00C82D4A">
        <w:t>S</w:t>
      </w:r>
      <w:r w:rsidRPr="003842D6" w:rsidR="003842D6">
        <w:t>ubpart GGGGG.</w:t>
      </w:r>
    </w:p>
    <w:p w:rsidR="003842D6" w:rsidP="4BDBF0A0" w14:paraId="34377C43" w14:textId="35CD73AC">
      <w:pPr>
        <w:spacing w:before="240"/>
        <w:rPr>
          <w:color w:val="000000"/>
        </w:rPr>
      </w:pPr>
      <w:r w:rsidRPr="003842D6">
        <w:rPr>
          <w:color w:val="000000"/>
        </w:rPr>
        <w:t xml:space="preserve">In general, all </w:t>
      </w:r>
      <w:r>
        <w:rPr>
          <w:color w:val="000000"/>
        </w:rPr>
        <w:t xml:space="preserve">NESHAP </w:t>
      </w:r>
      <w:r w:rsidRPr="003842D6">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Pr>
          <w:color w:val="000000"/>
        </w:rPr>
        <w:t>NESHAP</w:t>
      </w:r>
      <w:r w:rsidRPr="003842D6">
        <w:rPr>
          <w:color w:val="000000"/>
        </w:rPr>
        <w:t>.</w:t>
      </w:r>
      <w:bookmarkEnd w:id="1"/>
    </w:p>
    <w:p w:rsidR="003842D6" w:rsidP="4BDBF0A0" w14:paraId="4183A1D5" w14:textId="582175A1">
      <w:pPr>
        <w:spacing w:before="240"/>
        <w:rPr>
          <w:color w:val="000000"/>
        </w:rPr>
      </w:pPr>
      <w:r w:rsidRPr="003842D6">
        <w:rPr>
          <w:color w:val="000000"/>
        </w:rPr>
        <w:t>Any owner/operator subject to the provisions of this part shall maintain a file of these measurements and retain the file for at least five</w:t>
      </w:r>
      <w:r>
        <w:rPr>
          <w:color w:val="000000"/>
        </w:rPr>
        <w:t xml:space="preserve"> </w:t>
      </w:r>
      <w:r w:rsidRPr="003842D6">
        <w:rPr>
          <w:color w:val="000000"/>
        </w:rPr>
        <w:t>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w:t>
      </w:r>
      <w:r w:rsidR="00004F6D">
        <w:rPr>
          <w:color w:val="000000"/>
        </w:rPr>
        <w:t xml:space="preserve"> </w:t>
      </w:r>
      <w:r w:rsidRPr="003842D6">
        <w:rPr>
          <w:color w:val="000000"/>
        </w:rPr>
        <w:t>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w:t>
      </w:r>
    </w:p>
    <w:p w:rsidR="003842D6" w:rsidP="4BDBF0A0" w14:paraId="027E229D" w14:textId="4591509F">
      <w:pPr>
        <w:spacing w:before="240"/>
        <w:rPr>
          <w:color w:val="000000"/>
        </w:rPr>
      </w:pPr>
      <w:r w:rsidRPr="003842D6">
        <w:rPr>
          <w:color w:val="000000"/>
        </w:rPr>
        <w:t>The “Affected Public” includes owners and operators of facilities that conduct site remediation activities. The “burden” to the Affected Public may be found below in</w:t>
      </w:r>
      <w:r>
        <w:rPr>
          <w:color w:val="000000"/>
        </w:rPr>
        <w:t xml:space="preserve"> </w:t>
      </w:r>
      <w:r w:rsidRPr="003842D6">
        <w:rPr>
          <w:color w:val="000000"/>
        </w:rPr>
        <w:t>Table 1a: Annual Respondent Burden and Cost for Private Sector – NESHAP for Site Remediation (40 CFR Part 63, Subpart GGGGG) (Renewal)</w:t>
      </w:r>
      <w:r w:rsidR="00C4389A">
        <w:rPr>
          <w:color w:val="000000"/>
        </w:rPr>
        <w:t xml:space="preserve"> for </w:t>
      </w:r>
      <w:r w:rsidR="00C4389A">
        <w:rPr>
          <w:color w:val="000000"/>
        </w:rPr>
        <w:t>private sector facilities</w:t>
      </w:r>
      <w:r w:rsidRPr="003842D6">
        <w:rPr>
          <w:color w:val="000000"/>
        </w:rPr>
        <w:t xml:space="preserve">. </w:t>
      </w:r>
      <w:r w:rsidRPr="00C4389A" w:rsidR="00C4389A">
        <w:rPr>
          <w:color w:val="000000"/>
        </w:rPr>
        <w:t xml:space="preserve">The burden to facilities owned by the Federal government and subject to this subpart is attributed to work performed by government </w:t>
      </w:r>
      <w:r w:rsidR="00C4389A">
        <w:rPr>
          <w:color w:val="000000"/>
        </w:rPr>
        <w:t xml:space="preserve">employees and may be found in </w:t>
      </w:r>
      <w:r w:rsidRPr="00C4389A" w:rsidR="00C4389A">
        <w:rPr>
          <w:color w:val="000000"/>
        </w:rPr>
        <w:t>Table 1b: Annual Respondent Burden and Cost for Federal Government – NESHAP for Site Remediation (40 CFR Part 63, Subpart GGGGG) (Renewal)</w:t>
      </w:r>
      <w:r w:rsidR="00C4389A">
        <w:rPr>
          <w:color w:val="000000"/>
        </w:rPr>
        <w:t xml:space="preserve">. </w:t>
      </w:r>
      <w:r w:rsidRPr="003842D6">
        <w:rPr>
          <w:color w:val="000000"/>
        </w:rPr>
        <w:t xml:space="preserve">The “burden” to the Federal Government is attributed entirely to work performed by either Federal employees or government contractors and may be found in Table 2: Average Annual EPA Burden and Cost – NESHAP for Site Remediation (40 CFR </w:t>
      </w:r>
      <w:r w:rsidR="001A1328">
        <w:rPr>
          <w:color w:val="000000"/>
        </w:rPr>
        <w:t>P</w:t>
      </w:r>
      <w:r w:rsidRPr="003842D6">
        <w:rPr>
          <w:color w:val="000000"/>
        </w:rPr>
        <w:t xml:space="preserve">art 63, </w:t>
      </w:r>
      <w:r w:rsidR="001A1328">
        <w:rPr>
          <w:color w:val="000000"/>
        </w:rPr>
        <w:t>S</w:t>
      </w:r>
      <w:r w:rsidRPr="003842D6">
        <w:rPr>
          <w:color w:val="000000"/>
        </w:rPr>
        <w:t>ubpart GGGGG) (</w:t>
      </w:r>
      <w:r w:rsidR="00C4389A">
        <w:rPr>
          <w:color w:val="000000"/>
        </w:rPr>
        <w:t>Renewal</w:t>
      </w:r>
      <w:r w:rsidRPr="003842D6">
        <w:rPr>
          <w:color w:val="000000"/>
        </w:rPr>
        <w:t>).</w:t>
      </w:r>
    </w:p>
    <w:p w:rsidR="00C4389A" w:rsidP="4BDBF0A0" w14:paraId="67C16773" w14:textId="1040099A">
      <w:pPr>
        <w:spacing w:before="240"/>
        <w:rPr>
          <w:color w:val="000000"/>
        </w:rPr>
      </w:pPr>
      <w:r w:rsidRPr="00C4389A">
        <w:rPr>
          <w:color w:val="000000"/>
        </w:rPr>
        <w:t>Based on our consultations with industry representatives, there is an average of one affected facility at</w:t>
      </w:r>
      <w:r>
        <w:rPr>
          <w:color w:val="000000"/>
        </w:rPr>
        <w:t xml:space="preserve"> </w:t>
      </w:r>
      <w:r w:rsidRPr="00C4389A">
        <w:rPr>
          <w:color w:val="000000"/>
        </w:rPr>
        <w:t>each site, and each site has only one respondent (i.e., the owner/operator of the plant site).</w:t>
      </w:r>
    </w:p>
    <w:p w:rsidR="00C4389A" w:rsidP="4BDBF0A0" w14:paraId="4BC2A0F3" w14:textId="43363CC7">
      <w:pPr>
        <w:spacing w:before="240"/>
        <w:rPr>
          <w:color w:val="000000"/>
        </w:rPr>
      </w:pPr>
      <w:r w:rsidRPr="00C4389A">
        <w:rPr>
          <w:color w:val="000000"/>
        </w:rPr>
        <w:t xml:space="preserve">Over the next three years, approximately </w:t>
      </w:r>
      <w:r>
        <w:rPr>
          <w:color w:val="000000"/>
        </w:rPr>
        <w:t xml:space="preserve">104 </w:t>
      </w:r>
      <w:r w:rsidRPr="00C4389A">
        <w:rPr>
          <w:color w:val="000000"/>
        </w:rPr>
        <w:t xml:space="preserve">respondents per year will be subject to the standard, and </w:t>
      </w:r>
      <w:r>
        <w:rPr>
          <w:color w:val="000000"/>
        </w:rPr>
        <w:t>no</w:t>
      </w:r>
      <w:r w:rsidRPr="00C4389A">
        <w:rPr>
          <w:color w:val="000000"/>
        </w:rPr>
        <w:t xml:space="preserve"> additional respondents per year will become subject to the standard.</w:t>
      </w:r>
      <w:r>
        <w:rPr>
          <w:color w:val="000000"/>
        </w:rPr>
        <w:t xml:space="preserve"> </w:t>
      </w:r>
      <w:r w:rsidRPr="00C4389A">
        <w:rPr>
          <w:color w:val="000000"/>
        </w:rPr>
        <w:t xml:space="preserve">Of these 104 respondents, </w:t>
      </w:r>
      <w:r>
        <w:rPr>
          <w:color w:val="000000"/>
        </w:rPr>
        <w:t xml:space="preserve">it is estimated that </w:t>
      </w:r>
      <w:r w:rsidRPr="00C4389A">
        <w:rPr>
          <w:color w:val="000000"/>
        </w:rPr>
        <w:t xml:space="preserve">84 are </w:t>
      </w:r>
      <w:r>
        <w:rPr>
          <w:color w:val="000000"/>
        </w:rPr>
        <w:t>in the</w:t>
      </w:r>
      <w:r w:rsidRPr="00C4389A">
        <w:rPr>
          <w:color w:val="000000"/>
        </w:rPr>
        <w:t xml:space="preserve"> private sector and 20 are </w:t>
      </w:r>
      <w:r>
        <w:rPr>
          <w:color w:val="000000"/>
        </w:rPr>
        <w:t>owned and operated by</w:t>
      </w:r>
      <w:r w:rsidRPr="00C4389A">
        <w:rPr>
          <w:color w:val="000000"/>
        </w:rPr>
        <w:t xml:space="preserve"> the Federal government. We have further assumed that 62 out of 84 private sector facilities and 11 out of 20 Federal government facilities are subject to control, monitoring, and reporting requirements (73 facilities, total) while the remaining 22 private and 9 Federal government facilities (31 total) are exempt from reporting requirements.</w:t>
      </w:r>
    </w:p>
    <w:p w:rsidR="00C4389A" w:rsidP="4BDBF0A0" w14:paraId="3A1A4FCC" w14:textId="695A2F55">
      <w:pPr>
        <w:spacing w:before="240"/>
        <w:rPr>
          <w:color w:val="000000"/>
        </w:rPr>
      </w:pPr>
      <w:r>
        <w:rPr>
          <w:color w:val="000000"/>
        </w:rPr>
        <w:t>T</w:t>
      </w:r>
      <w:r w:rsidRPr="00C4389A">
        <w:rPr>
          <w:color w:val="000000"/>
        </w:rPr>
        <w:t>he active (previous) ICR had the following Terms of Clearance (TOC):</w:t>
      </w:r>
    </w:p>
    <w:p w:rsidR="00C4389A" w:rsidP="00C4389A" w14:paraId="2221F101" w14:textId="10CB67A8">
      <w:pPr>
        <w:spacing w:before="240"/>
        <w:ind w:left="360"/>
        <w:rPr>
          <w:color w:val="000000"/>
        </w:rPr>
      </w:pPr>
      <w:r>
        <w:rPr>
          <w:color w:val="000000"/>
        </w:rPr>
        <w:t>“</w:t>
      </w:r>
      <w:r w:rsidRPr="00C4389A">
        <w:rPr>
          <w:color w:val="000000"/>
        </w:rP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r>
        <w:rPr>
          <w:color w:val="000000"/>
        </w:rPr>
        <w:t>”</w:t>
      </w:r>
    </w:p>
    <w:p w:rsidR="00C4389A" w:rsidRPr="00BB3410" w:rsidP="4BDBF0A0" w14:paraId="4912C0B8" w14:textId="2CBD3319">
      <w:pPr>
        <w:spacing w:before="240"/>
        <w:rPr>
          <w:color w:val="000000"/>
        </w:rPr>
      </w:pPr>
      <w:r w:rsidRPr="00C4389A">
        <w:rPr>
          <w:color w:val="000000"/>
        </w:rPr>
        <w:t xml:space="preserve">The relevant regulatory text is referenced in section 12b of this document. We have created a supplementary document including the regulatory text that describes the ICR requirements, which includes a description of the data elements being collected under the ICR, as identified in section 12b of this document. All electronic collection in this information collection is submitted through EPA's ERT, as discussed in section 3 of this document. Additional Paperwork Reduction Act requirements for CEDRI and ERT,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w:t>
      </w:r>
      <w:r w:rsidRPr="00C4389A">
        <w:rPr>
          <w:color w:val="000000"/>
        </w:rPr>
        <w:t>any concerns raised by respondents or other stakeholders is discussed in section 8 of this document. 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A75834" w:rsidRPr="00A75834" w:rsidP="00A75834" w14:paraId="1C57F274" w14:textId="4C11DD61">
      <w:pPr>
        <w:keepNext/>
        <w:rPr>
          <w:rFonts w:cstheme="minorHAnsi"/>
        </w:rPr>
      </w:pPr>
      <w:bookmarkStart w:id="3" w:name="_Toc156593369"/>
      <w:r w:rsidRPr="00A75834">
        <w:rPr>
          <w:rFonts w:cstheme="minorHAnsi"/>
        </w:rPr>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Pr>
          <w:rFonts w:cstheme="minorHAnsi"/>
        </w:rPr>
        <w:t xml:space="preserve"> </w:t>
      </w:r>
      <w:r w:rsidRPr="00A75834">
        <w:rPr>
          <w:rFonts w:cstheme="minorHAnsi"/>
        </w:rPr>
        <w:t xml:space="preserve">In addition, section 114(a) states that the Administrator may require any owner/operator subject to any requirement of this Act to: </w:t>
      </w:r>
    </w:p>
    <w:p w:rsidR="00A75834" w:rsidRPr="00A75834" w:rsidP="00A75834" w14:paraId="2A291396" w14:textId="6466AFF9">
      <w:pPr>
        <w:keepNext/>
        <w:ind w:left="1440" w:right="1440"/>
        <w:rPr>
          <w:rFonts w:cstheme="minorHAnsi"/>
        </w:rPr>
      </w:pPr>
      <w:r w:rsidRPr="00A75834">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A75834" w:rsidP="00A75834" w14:paraId="05AC7C9C" w14:textId="53304470">
      <w:pPr>
        <w:keepNext/>
        <w:rPr>
          <w:rFonts w:cstheme="minorHAnsi"/>
        </w:rPr>
      </w:pPr>
      <w:r w:rsidRPr="00A75834">
        <w:rPr>
          <w:rFonts w:cstheme="minorHAnsi"/>
        </w:rPr>
        <w:t xml:space="preserve">In the Administrator's judgment, </w:t>
      </w:r>
      <w:r>
        <w:rPr>
          <w:rFonts w:cstheme="minorHAnsi"/>
        </w:rPr>
        <w:t>HAP</w:t>
      </w:r>
      <w:r w:rsidRPr="00A75834">
        <w:rPr>
          <w:rFonts w:cstheme="minorHAnsi"/>
        </w:rPr>
        <w:t xml:space="preserve"> emissions from </w:t>
      </w:r>
      <w:r>
        <w:rPr>
          <w:rFonts w:cstheme="minorHAnsi"/>
        </w:rPr>
        <w:t>site remediation activities</w:t>
      </w:r>
      <w:r w:rsidRPr="00A75834">
        <w:rPr>
          <w:rFonts w:cstheme="minorHAnsi"/>
        </w:rPr>
        <w:t xml:space="preserve"> cause or contribute to air pollution that may reasonably be anticipated to endanger public health or welfare. Therefore, the NESHAP</w:t>
      </w:r>
      <w:r>
        <w:rPr>
          <w:rFonts w:cstheme="minorHAnsi"/>
        </w:rPr>
        <w:t xml:space="preserve"> </w:t>
      </w:r>
      <w:r w:rsidRPr="00A75834">
        <w:rPr>
          <w:rFonts w:cstheme="minorHAnsi"/>
        </w:rPr>
        <w:t xml:space="preserve">were promulgated for this source category at 40 CFR Part 63, Subpart </w:t>
      </w:r>
      <w:r>
        <w:rPr>
          <w:rFonts w:cstheme="minorHAnsi"/>
        </w:rPr>
        <w:t>GGGGG</w:t>
      </w:r>
      <w:r w:rsidRPr="00A75834">
        <w:rPr>
          <w:rFonts w:cstheme="minorHAnsi"/>
        </w:rPr>
        <w:t>.</w:t>
      </w:r>
    </w:p>
    <w:p w:rsidR="00D47CB3" w:rsidRPr="00A75834" w:rsidP="00A75834" w14:paraId="24F38A28" w14:textId="74E53CE4">
      <w:pPr>
        <w:pStyle w:val="ListParagraph"/>
        <w:keepNext/>
        <w:numPr>
          <w:ilvl w:val="0"/>
          <w:numId w:val="25"/>
        </w:numPr>
        <w:rPr>
          <w:rFonts w:cstheme="minorHAnsi"/>
          <w:b/>
          <w:bCs/>
        </w:rPr>
      </w:pPr>
      <w:r w:rsidRPr="00A75834">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A75834" w:rsidRPr="00A75834" w:rsidP="00A75834" w14:paraId="15BE9437" w14:textId="78AB93E1">
      <w:pPr>
        <w:pBdr>
          <w:top w:val="single" w:sz="6" w:space="0" w:color="FFFFFF"/>
          <w:left w:val="single" w:sz="6" w:space="0" w:color="FFFFFF"/>
          <w:bottom w:val="single" w:sz="6" w:space="0" w:color="FFFFFF"/>
          <w:right w:val="single" w:sz="6" w:space="0" w:color="FFFFFF"/>
        </w:pBdr>
        <w:rPr>
          <w:rFonts w:cstheme="minorHAnsi"/>
        </w:rPr>
      </w:pPr>
      <w:r w:rsidRPr="00A75834">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A75834" w:rsidRPr="00A75834" w:rsidP="00A75834" w14:paraId="4B48C258" w14:textId="65ACDCB8">
      <w:pPr>
        <w:pBdr>
          <w:top w:val="single" w:sz="6" w:space="0" w:color="FFFFFF"/>
          <w:left w:val="single" w:sz="6" w:space="0" w:color="FFFFFF"/>
          <w:bottom w:val="single" w:sz="6" w:space="0" w:color="FFFFFF"/>
          <w:right w:val="single" w:sz="6" w:space="0" w:color="FFFFFF"/>
        </w:pBdr>
        <w:rPr>
          <w:rFonts w:cstheme="minorHAnsi"/>
        </w:rPr>
      </w:pPr>
      <w:r w:rsidRPr="00A75834">
        <w:rPr>
          <w:rFonts w:cstheme="minorHAnsi"/>
        </w:rPr>
        <w:t>Performance tests are 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A75834" w:rsidRPr="00A75834" w:rsidP="00A75834" w14:paraId="415484EF" w14:textId="77777777">
      <w:pPr>
        <w:pBdr>
          <w:top w:val="single" w:sz="6" w:space="0" w:color="FFFFFF"/>
          <w:left w:val="single" w:sz="6" w:space="0" w:color="FFFFFF"/>
          <w:bottom w:val="single" w:sz="6" w:space="0" w:color="FFFFFF"/>
          <w:right w:val="single" w:sz="6" w:space="0" w:color="FFFFFF"/>
        </w:pBdr>
        <w:rPr>
          <w:rFonts w:cstheme="minorHAnsi"/>
        </w:rPr>
      </w:pPr>
    </w:p>
    <w:p w:rsidR="00A75834" w:rsidRPr="00A75834" w:rsidP="00A75834" w14:paraId="5F1111C2" w14:textId="5E73C8E0">
      <w:pPr>
        <w:pBdr>
          <w:top w:val="single" w:sz="6" w:space="0" w:color="FFFFFF"/>
          <w:left w:val="single" w:sz="6" w:space="0" w:color="FFFFFF"/>
          <w:bottom w:val="single" w:sz="6" w:space="0" w:color="FFFFFF"/>
          <w:right w:val="single" w:sz="6" w:space="0" w:color="FFFFFF"/>
        </w:pBdr>
        <w:rPr>
          <w:rFonts w:cstheme="minorHAnsi"/>
        </w:rPr>
      </w:pPr>
      <w:r w:rsidRPr="00A75834">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w:t>
      </w:r>
      <w:r w:rsidR="000F4EEF">
        <w:rPr>
          <w:rFonts w:cstheme="minorHAnsi"/>
        </w:rPr>
        <w:t>,</w:t>
      </w:r>
      <w:r w:rsidRPr="00A75834">
        <w:rPr>
          <w:rFonts w:cstheme="minorHAnsi"/>
        </w:rPr>
        <w:t xml:space="preserve"> leaks are being detected and repaired</w:t>
      </w:r>
      <w:r w:rsidR="000F4EEF">
        <w:rPr>
          <w:rFonts w:cstheme="minorHAnsi"/>
        </w:rPr>
        <w:t xml:space="preserve">, </w:t>
      </w:r>
      <w:r w:rsidRPr="00A75834">
        <w:rPr>
          <w:rFonts w:cstheme="minorHAnsi"/>
        </w:rPr>
        <w:t>and the standards are being met. The performance test may also be observed.</w:t>
      </w:r>
    </w:p>
    <w:p w:rsidR="00BB432F" w:rsidP="00A75834" w14:paraId="1E879A61" w14:textId="3EF8C1E3">
      <w:pPr>
        <w:pBdr>
          <w:top w:val="single" w:sz="6" w:space="0" w:color="FFFFFF"/>
          <w:left w:val="single" w:sz="6" w:space="0" w:color="FFFFFF"/>
          <w:bottom w:val="single" w:sz="6" w:space="0" w:color="FFFFFF"/>
          <w:right w:val="single" w:sz="6" w:space="0" w:color="FFFFFF"/>
        </w:pBdr>
        <w:rPr>
          <w:rFonts w:cstheme="minorHAnsi"/>
        </w:rPr>
      </w:pPr>
      <w:r w:rsidRPr="00A75834">
        <w:rPr>
          <w:rFonts w:cstheme="minorHAnsi"/>
        </w:rPr>
        <w:t>The required semiannual reports are used to determine periods of excess emissions, identify problems at the facility, verify operation/maintenance procedures and for compliance determinations.</w:t>
      </w:r>
    </w:p>
    <w:p w:rsidR="000F4EEF" w:rsidRPr="000F4EEF" w:rsidP="000F4EEF" w14:paraId="09F430D6" w14:textId="48F090D0">
      <w:pPr>
        <w:pBdr>
          <w:top w:val="single" w:sz="6" w:space="0" w:color="FFFFFF"/>
          <w:left w:val="single" w:sz="6" w:space="0" w:color="FFFFFF"/>
          <w:bottom w:val="single" w:sz="6" w:space="0" w:color="FFFFFF"/>
          <w:right w:val="single" w:sz="6" w:space="0" w:color="FFFFFF"/>
        </w:pBdr>
        <w:rPr>
          <w:rFonts w:cstheme="minorHAnsi"/>
        </w:rPr>
      </w:pPr>
      <w:r w:rsidRPr="000F4EEF">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notifications of changes in information required in 40 CFR 63.9(j), performance test and CMS performance evaluation reports, and semiannual compliance reports through the EPA's Central Data Exchange (CDX), using the Compliance and Emissions Data Reporting Interface (CEDRI). For semiannual reports, EPA has developed a template for the reporting form in CEDRI specifically for 40 CFR Part 63, Subpart GGGGG. For the notifications required in 40 CFR 63.9(b) and 63.9(j), owners and operators would be required to upload a PDF of the required notifications. </w:t>
      </w:r>
    </w:p>
    <w:p w:rsidR="000F4EEF" w:rsidRPr="000F4EEF" w:rsidP="000F4EEF" w14:paraId="04D9EA56" w14:textId="3062A949">
      <w:pPr>
        <w:pBdr>
          <w:top w:val="single" w:sz="6" w:space="0" w:color="FFFFFF"/>
          <w:left w:val="single" w:sz="6" w:space="0" w:color="FFFFFF"/>
          <w:bottom w:val="single" w:sz="6" w:space="0" w:color="FFFFFF"/>
          <w:right w:val="single" w:sz="6" w:space="0" w:color="FFFFFF"/>
        </w:pBdr>
        <w:rPr>
          <w:rFonts w:cstheme="minorHAnsi"/>
        </w:rPr>
      </w:pPr>
      <w:r w:rsidRPr="000F4EEF">
        <w:rPr>
          <w:rFonts w:cstheme="minorHAnsi"/>
        </w:rPr>
        <w:t>CEDRI includes the Electronic Reporting Tool (ERT) software, which is used by facilities to generate electronic reports of performance tests. EPA is also requiring that 40 CFR Part 63, Subpart GGGGG performance test and CMS performance evaluation reports be submitted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F4EEF" w:rsidP="000F4EEF" w14:paraId="156B7D10" w14:textId="389C9E42">
      <w:pPr>
        <w:pBdr>
          <w:top w:val="single" w:sz="6" w:space="0" w:color="FFFFFF"/>
          <w:left w:val="single" w:sz="6" w:space="0" w:color="FFFFFF"/>
          <w:bottom w:val="single" w:sz="6" w:space="0" w:color="FFFFFF"/>
          <w:right w:val="single" w:sz="6" w:space="0" w:color="FFFFFF"/>
        </w:pBdr>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0F4EEF" w:rsidRPr="008157EC" w:rsidP="000F4EEF" w14:paraId="57A99B2A" w14:textId="2BAAF178">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8157EC">
        <w:rPr>
          <w:rFonts w:cstheme="minorHAnsi"/>
          <w:bdr w:val="none" w:sz="0" w:space="0" w:color="auto" w:frame="1"/>
          <w:shd w:val="clear" w:color="auto" w:fill="FFFFFF"/>
        </w:rPr>
        <w:t xml:space="preserve">The rule was amended to include electronic reporting provisions on </w:t>
      </w:r>
      <w:r>
        <w:rPr>
          <w:rFonts w:cstheme="minorHAnsi"/>
          <w:bdr w:val="none" w:sz="0" w:space="0" w:color="auto" w:frame="1"/>
          <w:shd w:val="clear" w:color="auto" w:fill="FFFFFF"/>
        </w:rPr>
        <w:t>July 10, 2020</w:t>
      </w:r>
      <w:r w:rsidRPr="008157EC">
        <w:rPr>
          <w:rFonts w:cstheme="minorHAnsi"/>
          <w:bdr w:val="none" w:sz="0" w:space="0" w:color="auto" w:frame="1"/>
          <w:shd w:val="clear" w:color="auto" w:fill="FFFFFF"/>
        </w:rPr>
        <w:t>. Respondents are required to use the EPA’s Electronic Reporting Tool (ERT) to develop performance test reports and</w:t>
      </w:r>
      <w:r>
        <w:rPr>
          <w:rFonts w:cstheme="minorHAnsi"/>
          <w:bdr w:val="none" w:sz="0" w:space="0" w:color="auto" w:frame="1"/>
          <w:shd w:val="clear" w:color="auto" w:fill="FFFFFF"/>
        </w:rPr>
        <w:t xml:space="preserve"> CMS</w:t>
      </w:r>
      <w:r w:rsidRPr="008157EC">
        <w:rPr>
          <w:rFonts w:cstheme="minorHAnsi"/>
          <w:bdr w:val="none" w:sz="0" w:space="0" w:color="auto" w:frame="1"/>
          <w:shd w:val="clear" w:color="auto" w:fill="FFFFFF"/>
        </w:rPr>
        <w:t xml:space="preserve"> </w:t>
      </w:r>
      <w:r>
        <w:rPr>
          <w:rFonts w:cstheme="minorHAnsi"/>
          <w:bdr w:val="none" w:sz="0" w:space="0" w:color="auto" w:frame="1"/>
          <w:shd w:val="clear" w:color="auto" w:fill="FFFFFF"/>
        </w:rPr>
        <w:t xml:space="preserve">performance evaluation reports and </w:t>
      </w:r>
      <w:r w:rsidRPr="008157EC">
        <w:rPr>
          <w:rFonts w:cstheme="minorHAnsi"/>
          <w:bdr w:val="none" w:sz="0" w:space="0" w:color="auto" w:frame="1"/>
          <w:shd w:val="clear" w:color="auto" w:fill="FFFFFF"/>
        </w:rPr>
        <w:t xml:space="preserve">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w:t>
      </w:r>
      <w:r w:rsidRPr="00004ED8">
        <w:rPr>
          <w:bdr w:val="none" w:sz="0" w:space="0" w:color="auto" w:frame="1"/>
          <w:shd w:val="clear" w:color="auto" w:fill="FFFFFF"/>
        </w:rPr>
        <w:t xml:space="preserve">submit electronic copies of </w:t>
      </w:r>
      <w:r>
        <w:rPr>
          <w:bdr w:val="none" w:sz="0" w:space="0" w:color="auto" w:frame="1"/>
          <w:shd w:val="clear" w:color="auto" w:fill="FFFFFF"/>
        </w:rPr>
        <w:t xml:space="preserve">certain notifications </w:t>
      </w:r>
      <w:r w:rsidRPr="00004ED8">
        <w:rPr>
          <w:bdr w:val="none" w:sz="0" w:space="0" w:color="auto" w:frame="1"/>
          <w:shd w:val="clear" w:color="auto" w:fill="FFFFFF"/>
        </w:rPr>
        <w:t xml:space="preserve">through EPA’s CEDRI. </w:t>
      </w:r>
      <w:r w:rsidRPr="00846D80">
        <w:t xml:space="preserve">The notification is an upload of their currently required notification in portable document format (PDF) file. </w:t>
      </w:r>
      <w:r w:rsidRPr="000F4EEF">
        <w:t>The semiannual</w:t>
      </w:r>
      <w:r>
        <w:t xml:space="preserve"> </w:t>
      </w:r>
      <w:r w:rsidRPr="000F4EEF">
        <w:t xml:space="preserve">reports are to be created using Form </w:t>
      </w:r>
      <w:r w:rsidRPr="001A1328" w:rsidR="001A1328">
        <w:t>5900-706</w:t>
      </w:r>
      <w:r w:rsidR="001A1328">
        <w:t xml:space="preserve">, </w:t>
      </w:r>
      <w:r w:rsidRPr="000F4EEF">
        <w:t>the electronic template included with this Supporting Statement. The template is an Excel spreadsheet which can be partially completed and saved for subsequent</w:t>
      </w:r>
      <w:r>
        <w:t xml:space="preserve"> </w:t>
      </w:r>
      <w:r w:rsidRPr="000F4EEF">
        <w:t>semiannual</w:t>
      </w:r>
      <w:r>
        <w:t xml:space="preserve"> </w:t>
      </w:r>
      <w:r w:rsidRPr="000F4EEF">
        <w:t xml:space="preserve">reports to limit some of the repetitive data entry. It reflects the reporting elements required by the rule and does </w:t>
      </w:r>
      <w:r w:rsidRPr="000F4EEF">
        <w:t xml:space="preserve">not impose additional reporting elements. The OMB Control Number is displayed on the Welcome page of the template, with a link to an online repository that contains the PRA requirements. </w:t>
      </w:r>
      <w:r w:rsidRPr="00846D80">
        <w:t xml:space="preserve">The </w:t>
      </w:r>
      <w:r w:rsidRPr="008157EC">
        <w:rPr>
          <w:rFonts w:cstheme="minorHAnsi"/>
          <w:bdr w:val="none" w:sz="0" w:space="0" w:color="auto" w:frame="1"/>
          <w:shd w:val="clear" w:color="auto" w:fill="FFFFFF"/>
        </w:rPr>
        <w:t xml:space="preserve">For purposes of this ICR, it is assumed that there is no additional burden associated with the requirement for respondents to submit the notifications and reports electronically. </w:t>
      </w:r>
      <w:r w:rsidRPr="00156DAA">
        <w:rPr>
          <w:rFonts w:cstheme="minorHAnsi"/>
          <w:bdr w:val="none" w:sz="0" w:space="0" w:color="auto" w:frame="1"/>
          <w:shd w:val="clear" w:color="auto" w:fill="FFFFFF"/>
        </w:rPr>
        <w:t>The supplemental files to this ICR renewal contain screenshots showing the CDX homepage for CEDRI login, the CEDRI PRA screen, the CEDRI interface for managing reports for various subparts, and the landing page of the ERT that shows the link to PRA information.</w:t>
      </w:r>
    </w:p>
    <w:p w:rsidR="000F4EEF" w:rsidP="000F4EEF" w14:paraId="20B2779F" w14:textId="77777777">
      <w:pPr>
        <w:pBdr>
          <w:top w:val="single" w:sz="6" w:space="0" w:color="FFFFFF"/>
          <w:left w:val="single" w:sz="6" w:space="0" w:color="FFFFFF"/>
          <w:bottom w:val="single" w:sz="6" w:space="0" w:color="FFFFFF"/>
          <w:right w:val="single" w:sz="6" w:space="0" w:color="FFFFFF"/>
        </w:pBdr>
        <w:rPr>
          <w:rFonts w:cstheme="minorHAnsi"/>
          <w:bdr w:val="none" w:sz="0" w:space="0" w:color="auto" w:frame="1"/>
          <w:shd w:val="clear" w:color="auto" w:fill="FFFFFF"/>
        </w:rPr>
      </w:pPr>
      <w:r w:rsidRPr="008157EC">
        <w:rPr>
          <w:rFonts w:cstheme="minorHAnsi"/>
          <w:bdr w:val="none" w:sz="0" w:space="0" w:color="auto" w:frame="1"/>
          <w:shd w:val="clear" w:color="auto" w:fill="FFFFFF"/>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0F4EEF" w14:paraId="7B30150C" w14:textId="27729474">
      <w:pPr>
        <w:pBdr>
          <w:top w:val="single" w:sz="6" w:space="0" w:color="FFFFFF"/>
          <w:left w:val="single" w:sz="6" w:space="0" w:color="FFFFFF"/>
          <w:bottom w:val="single" w:sz="6" w:space="0" w:color="FFFFFF"/>
          <w:right w:val="single" w:sz="6" w:space="0" w:color="FFFFFF"/>
        </w:pBdr>
        <w:rPr>
          <w:rFonts w:cstheme="minorHAnsi"/>
        </w:rPr>
      </w:pPr>
      <w:r w:rsidRPr="008C63EE">
        <w:rPr>
          <w:rFonts w:cstheme="minorHAnsi"/>
          <w:bdr w:val="none" w:sz="0" w:space="0" w:color="auto" w:frame="1"/>
          <w:shd w:val="clear" w:color="auto" w:fill="FFFFFF"/>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0F4EEF" w:rsidRPr="000F4EEF" w:rsidP="000F4EEF" w14:paraId="04A3261F" w14:textId="234BD27C">
      <w:pPr>
        <w:rPr>
          <w:rFonts w:cstheme="minorHAnsi"/>
        </w:rPr>
      </w:pPr>
      <w:r w:rsidRPr="000F4EEF">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0F4EEF" w14:paraId="0E470EF3" w14:textId="01FA3102">
      <w:pPr>
        <w:rPr>
          <w:rFonts w:cstheme="minorHAnsi"/>
          <w:shd w:val="clear" w:color="auto" w:fill="FFFFFF"/>
        </w:rPr>
      </w:pPr>
      <w:r w:rsidRPr="000F4EEF">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0F4EEF" w:rsidRPr="000F4EEF" w:rsidP="000F4EEF" w14:paraId="1089EE66" w14:textId="3626E2EF">
      <w:pPr>
        <w:rPr>
          <w:rFonts w:cstheme="minorHAnsi"/>
        </w:rPr>
      </w:pPr>
      <w:bookmarkStart w:id="7" w:name="_Toc156593373"/>
      <w:r w:rsidRPr="000F4EEF">
        <w:rPr>
          <w:rFonts w:cstheme="minorHAnsi"/>
        </w:rPr>
        <w:t>The rule places no requirement on any facility to initiate site remediation activities. The EPA anticipates that parties that undertake site remediation generally do so voluntarily and that the impact of this rule on those parties will not be significant. Further, because states and other parties decide whether to undertake site remediation activities, predicting how many, or what types of small entities will undertake such activities, is extremely difficult, if not impossible. Nonetheless, the rule is structured to avoid impacts on small businesses.</w:t>
      </w:r>
    </w:p>
    <w:p w:rsidR="00072B6B" w:rsidP="000F4EEF" w14:paraId="104E190C" w14:textId="73FC20BF">
      <w:pPr>
        <w:rPr>
          <w:rFonts w:cstheme="minorHAnsi"/>
        </w:rPr>
      </w:pPr>
      <w:r w:rsidRPr="000F4EEF">
        <w:rPr>
          <w:rFonts w:cstheme="minorHAnsi"/>
        </w:rPr>
        <w:t>The rule specifically excludes from its scope remediation conducted at gasoline stations, farm sites, and residential sites. Moreover, the rule applies only to remediation sites located at a facility that is a major source under the CAA. Such sources tend to be large businesses. The rule also contains applicability emission thresholds that are likely to exclude site remediation conducted at many small businesses. For example, the rule exempts sources where the total annual quantity of HAP contained in all extracted remediation material at the facility is less than 1 megagram per year. For these reasons, the</w:t>
      </w:r>
      <w:r>
        <w:rPr>
          <w:rFonts w:cstheme="minorHAnsi"/>
        </w:rPr>
        <w:t xml:space="preserve"> </w:t>
      </w:r>
      <w:r w:rsidRPr="00072B6B">
        <w:rPr>
          <w:rFonts w:cstheme="minorHAnsi"/>
        </w:rPr>
        <w:t>rule does not impose a significant burden on a substantial number of small entities.</w:t>
      </w:r>
    </w:p>
    <w:p w:rsidR="004252C1" w:rsidRPr="00072B6B" w:rsidP="00072B6B" w14:paraId="1FF5A778" w14:textId="711CAB4C">
      <w:pPr>
        <w:pStyle w:val="ListParagraph"/>
        <w:numPr>
          <w:ilvl w:val="0"/>
          <w:numId w:val="25"/>
        </w:numPr>
        <w:rPr>
          <w:b/>
          <w:bCs/>
        </w:rPr>
      </w:pPr>
      <w:r w:rsidRPr="00072B6B">
        <w:rPr>
          <w:b/>
          <w:bCs/>
        </w:rPr>
        <w:t>CONSEQUENCES</w:t>
      </w:r>
      <w:r w:rsidRPr="00072B6B"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072B6B" w:rsidP="00072B6B" w14:paraId="58C63754" w14:textId="703A2632">
      <w:pPr>
        <w:pBdr>
          <w:top w:val="single" w:sz="6" w:space="0" w:color="FFFFFF"/>
          <w:left w:val="single" w:sz="6" w:space="0" w:color="FFFFFF"/>
          <w:bottom w:val="single" w:sz="6" w:space="0" w:color="FFFFFF"/>
          <w:right w:val="single" w:sz="6" w:space="0" w:color="FFFFFF"/>
        </w:pBdr>
        <w:rPr>
          <w:rFonts w:cstheme="minorHAnsi"/>
        </w:rPr>
      </w:pPr>
      <w:bookmarkStart w:id="8" w:name="_Toc156593374"/>
      <w:r w:rsidRPr="00072B6B">
        <w:rPr>
          <w:rFonts w:cstheme="minorHAnsi"/>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072B6B" w:rsidP="00072B6B" w14:paraId="27596CC0" w14:textId="42A303F4">
      <w:pPr>
        <w:pStyle w:val="ListParagraph"/>
        <w:numPr>
          <w:ilvl w:val="0"/>
          <w:numId w:val="25"/>
        </w:numPr>
        <w:pBdr>
          <w:top w:val="single" w:sz="6" w:space="0" w:color="FFFFFF"/>
          <w:left w:val="single" w:sz="6" w:space="0" w:color="FFFFFF"/>
          <w:bottom w:val="single" w:sz="6" w:space="0" w:color="FFFFFF"/>
          <w:right w:val="single" w:sz="6" w:space="0" w:color="FFFFFF"/>
        </w:pBdr>
        <w:rPr>
          <w:rFonts w:cstheme="minorHAnsi"/>
          <w:b/>
          <w:bCs/>
        </w:rPr>
      </w:pPr>
      <w:r w:rsidRPr="00072B6B">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072B6B" w:rsidRPr="00072B6B" w:rsidP="00072B6B" w14:paraId="1879544D" w14:textId="31915E4F">
      <w:pPr>
        <w:pBdr>
          <w:top w:val="single" w:sz="6" w:space="0" w:color="FFFFFF"/>
          <w:left w:val="single" w:sz="6" w:space="0" w:color="FFFFFF"/>
          <w:bottom w:val="single" w:sz="6" w:space="0" w:color="FFFFFF"/>
          <w:right w:val="single" w:sz="6" w:space="0" w:color="FFFFFF"/>
        </w:pBdr>
        <w:rPr>
          <w:rFonts w:cstheme="minorHAnsi"/>
          <w:color w:val="000000"/>
        </w:rPr>
      </w:pPr>
      <w:r w:rsidRPr="00072B6B">
        <w:rPr>
          <w:rFonts w:cstheme="minorHAnsi"/>
          <w:color w:val="000000"/>
        </w:rPr>
        <w:t>These reporting or recordkeeping requirements do not violate any of the regulations promulgated by OMB under 5 CFR Part 1320, Section 1320.5.</w:t>
      </w:r>
    </w:p>
    <w:p w:rsidR="00111663" w:rsidRPr="00BB3410" w:rsidP="00072B6B" w14:paraId="775EDF16" w14:textId="01A3D622">
      <w:pPr>
        <w:pBdr>
          <w:top w:val="single" w:sz="6" w:space="0" w:color="FFFFFF"/>
          <w:left w:val="single" w:sz="6" w:space="0" w:color="FFFFFF"/>
          <w:bottom w:val="single" w:sz="6" w:space="0" w:color="FFFFFF"/>
          <w:right w:val="single" w:sz="6" w:space="0" w:color="FFFFFF"/>
        </w:pBdr>
        <w:rPr>
          <w:rFonts w:cstheme="minorHAnsi"/>
          <w:color w:val="000000"/>
        </w:rPr>
      </w:pPr>
      <w:r w:rsidRPr="00072B6B">
        <w:rPr>
          <w:rFonts w:cstheme="minorHAnsi"/>
          <w:color w:val="000000"/>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10C8CD26">
      <w:pPr>
        <w:pBdr>
          <w:top w:val="single" w:sz="6" w:space="0" w:color="FFFFFF"/>
          <w:left w:val="single" w:sz="6" w:space="0" w:color="FFFFFF"/>
          <w:bottom w:val="single" w:sz="6" w:space="0" w:color="FFFFFF"/>
          <w:right w:val="single" w:sz="6" w:space="0" w:color="FFFFFF"/>
        </w:pBdr>
        <w:rPr>
          <w:rFonts w:cstheme="minorHAnsi"/>
          <w:color w:val="000000"/>
        </w:rPr>
      </w:pPr>
      <w:r w:rsidRPr="00072B6B">
        <w:rPr>
          <w:rFonts w:cstheme="minorHAnsi"/>
          <w:color w:val="000000"/>
        </w:rPr>
        <w:t>An announcement of a public comment period for the renewal of this ICR was published in the Federal Register (88 FR 31748) on May 18, 2023. No comments were received on the burden published in the Federal Register for this renewal.</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72B6B" w:rsidRPr="00072B6B" w:rsidP="00072B6B" w14:paraId="0788E993" w14:textId="48457BFC">
      <w:pPr>
        <w:rPr>
          <w:rFonts w:cstheme="minorHAnsi"/>
        </w:rPr>
      </w:pPr>
      <w:r w:rsidRPr="00072B6B">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Pr>
          <w:rFonts w:cstheme="minorHAnsi"/>
        </w:rPr>
        <w:t>104</w:t>
      </w:r>
      <w:r w:rsidRPr="00072B6B">
        <w:rPr>
          <w:rFonts w:cstheme="minorHAnsi"/>
        </w:rPr>
        <w:t xml:space="preserve"> respondents will be subject to the standard over the three-year period covered by this ICR.</w:t>
      </w:r>
    </w:p>
    <w:p w:rsidR="00072B6B" w:rsidRPr="00072B6B" w:rsidP="00072B6B" w14:paraId="2A754F8C" w14:textId="7A3969A2">
      <w:pPr>
        <w:rPr>
          <w:rFonts w:cstheme="minorHAnsi"/>
        </w:rPr>
      </w:pPr>
      <w:r w:rsidRPr="00072B6B">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w:t>
      </w:r>
      <w:r w:rsidRPr="003E1A32" w:rsidR="003E1A32">
        <w:rPr>
          <w:rFonts w:cstheme="minorHAnsi"/>
        </w:rPr>
        <w:t>American Petroleum Institute (API</w:t>
      </w:r>
      <w:r w:rsidR="003E1A32">
        <w:rPr>
          <w:rFonts w:cstheme="minorHAnsi"/>
        </w:rPr>
        <w:t xml:space="preserve">) at </w:t>
      </w:r>
      <w:r w:rsidRPr="003E1A32" w:rsidR="003E1A32">
        <w:rPr>
          <w:rFonts w:cstheme="minorHAnsi"/>
        </w:rPr>
        <w:t>202-682-8000</w:t>
      </w:r>
      <w:r w:rsidRPr="00072B6B">
        <w:rPr>
          <w:rFonts w:cstheme="minorHAnsi"/>
        </w:rPr>
        <w:t xml:space="preserve">, and the </w:t>
      </w:r>
      <w:r w:rsidRPr="003E1A32" w:rsidR="003E1A32">
        <w:rPr>
          <w:rFonts w:cstheme="minorHAnsi"/>
        </w:rPr>
        <w:t>American Chemistry Council</w:t>
      </w:r>
      <w:r w:rsidR="003E1A32">
        <w:rPr>
          <w:rFonts w:cstheme="minorHAnsi"/>
        </w:rPr>
        <w:t xml:space="preserve"> at </w:t>
      </w:r>
      <w:r w:rsidRPr="003E1A32" w:rsidR="003E1A32">
        <w:rPr>
          <w:rFonts w:cstheme="minorHAnsi"/>
        </w:rPr>
        <w:t>202-249-6423</w:t>
      </w:r>
      <w:r w:rsidRPr="00072B6B">
        <w:rPr>
          <w:rFonts w:cstheme="minorHAnsi"/>
        </w:rPr>
        <w:t>. In this case, no comments were received.</w:t>
      </w:r>
    </w:p>
    <w:p w:rsidR="00111663" w:rsidRPr="00BB3410" w:rsidP="00072B6B" w14:paraId="5E198479" w14:textId="7179689A">
      <w:pPr>
        <w:rPr>
          <w:rFonts w:cstheme="minorHAnsi"/>
        </w:rPr>
      </w:pPr>
      <w:r w:rsidRPr="00072B6B">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4A6763" w:rsidP="004A6763" w14:paraId="51F11341" w14:textId="55DA6947">
      <w:pPr>
        <w:rPr>
          <w:rStyle w:val="normaltextrun"/>
          <w:color w:val="000000"/>
          <w:bdr w:val="none" w:sz="0" w:space="0" w:color="auto" w:frame="1"/>
        </w:rPr>
      </w:pPr>
      <w:r w:rsidRPr="004A6763">
        <w:rPr>
          <w:rStyle w:val="normaltextrun"/>
          <w:color w:val="000000"/>
          <w:bdr w:val="none" w:sz="0" w:space="0" w:color="auto" w:frame="1"/>
        </w:rPr>
        <w:t>No payments or gifts are made to respondents.</w:t>
      </w:r>
    </w:p>
    <w:p w:rsidR="4C04BBF2" w:rsidRPr="004A6763" w:rsidP="004A6763" w14:paraId="333FE36D" w14:textId="320CFFCD">
      <w:pPr>
        <w:pStyle w:val="ListParagraph"/>
        <w:numPr>
          <w:ilvl w:val="0"/>
          <w:numId w:val="25"/>
        </w:numPr>
        <w:rPr>
          <w:b/>
          <w:bCs/>
        </w:rPr>
      </w:pPr>
      <w:r w:rsidRPr="004A6763">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40DFD037">
      <w:pPr>
        <w:pBdr>
          <w:top w:val="single" w:sz="6" w:space="0" w:color="FFFFFF"/>
          <w:left w:val="single" w:sz="6" w:space="0" w:color="FFFFFF"/>
          <w:bottom w:val="single" w:sz="6" w:space="0" w:color="FFFFFF"/>
          <w:right w:val="single" w:sz="6" w:space="0" w:color="FFFFFF"/>
        </w:pBdr>
        <w:rPr>
          <w:rFonts w:cstheme="minorHAnsi"/>
          <w:color w:val="000000"/>
        </w:rPr>
      </w:pPr>
      <w:r w:rsidRPr="003B1C4C">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774AC71F">
      <w:pPr>
        <w:pBdr>
          <w:top w:val="single" w:sz="6" w:space="0" w:color="FFFFFF"/>
          <w:left w:val="single" w:sz="6" w:space="0" w:color="FFFFFF"/>
          <w:bottom w:val="single" w:sz="6" w:space="0" w:color="FFFFFF"/>
          <w:right w:val="single" w:sz="6" w:space="0" w:color="FFFFFF"/>
        </w:pBdr>
        <w:rPr>
          <w:rFonts w:cstheme="minorHAnsi"/>
          <w:color w:val="000000"/>
        </w:rPr>
      </w:pPr>
      <w:r w:rsidRPr="003B1C4C">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0DA69975" w14:textId="2173DC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6064">
        <w:rPr>
          <w:rFonts w:cstheme="minorHAnsi"/>
          <w:color w:val="000000"/>
        </w:rPr>
        <w:t>Unlike a specific industry sector or type of business, the respondents potentially affected by this ICR cannot be easily or definitively identified. Potentially, the site remediation NESHAP may be applicable to any type of business or facility at which a site remediation is conducted to</w:t>
      </w:r>
      <w:r>
        <w:rPr>
          <w:rFonts w:cstheme="minorHAnsi"/>
          <w:color w:val="000000"/>
        </w:rPr>
        <w:t xml:space="preserve"> </w:t>
      </w:r>
      <w:r w:rsidRPr="00BD6064">
        <w:rPr>
          <w:rFonts w:cstheme="minorHAnsi"/>
          <w:color w:val="000000"/>
        </w:rPr>
        <w:t>clean up media contaminated with organic HAP, and the remediation activities performed</w:t>
      </w:r>
      <w:r>
        <w:rPr>
          <w:rFonts w:cstheme="minorHAnsi"/>
          <w:color w:val="000000"/>
        </w:rPr>
        <w:t xml:space="preserve"> </w:t>
      </w:r>
      <w:r w:rsidRPr="00BD6064">
        <w:rPr>
          <w:rFonts w:cstheme="minorHAnsi"/>
          <w:color w:val="000000"/>
        </w:rPr>
        <w:t>and the magnitude of the cleanup meets the applicability criteria specified in the rule. A site remediation that is subject to this rule potentially may be conducted at any type of privately owned or government-owned facility at which contamination has occurred due to past events or current activities at the facility. For site remediation performed at sites where the facility has been abandoned and there is no owner, a government agency takes responsibility for the cleanup.</w:t>
      </w:r>
    </w:p>
    <w:p w:rsidR="00BD6064" w:rsidP="00854AAE" w14:paraId="223450F3" w14:textId="06BD1BB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D6064">
        <w:rPr>
          <w:rFonts w:cstheme="minorHAnsi"/>
          <w:color w:val="000000"/>
        </w:rPr>
        <w:t xml:space="preserve">The regulated sources under this NESHAP (i.e., the </w:t>
      </w:r>
      <w:bookmarkStart w:id="17" w:name="_Hlk165897661"/>
      <w:r w:rsidRPr="00BD6064">
        <w:rPr>
          <w:rFonts w:cstheme="minorHAnsi"/>
          <w:color w:val="000000"/>
        </w:rPr>
        <w:t>site remediation activities</w:t>
      </w:r>
      <w:bookmarkEnd w:id="17"/>
      <w:r w:rsidRPr="00BD6064">
        <w:rPr>
          <w:rFonts w:cstheme="minorHAnsi"/>
          <w:color w:val="000000"/>
        </w:rPr>
        <w:t>) are not the predominant activity, process, operation, or service conducted at the facility. A comprehensive list of Standard Industrial Classification (SIC) codes and North American Industry Classification System (NAICS) codes cannot be compiled for the respondents who will potentially be regulated by this action due to the nature of activities regulated by the source category. The NAICS code indicates a primary product produced or service provided at the facility rather than the presence of a site remediation performed to support the predominant function of the facility. Some representative NAICS codes and their corresponding SIC codes for facilities where site remediation activities have been or are currently being conducted at some (but not all) facilities under a given code can be found in the table below. However, these codes are not necessarily comprehensive as to the types of facilities at which site remediation subject to the rule may be required in the future.</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3"/>
        <w:gridCol w:w="3263"/>
        <w:gridCol w:w="3263"/>
      </w:tblGrid>
      <w:tr w14:paraId="34224130" w14:textId="77777777" w:rsidTr="00C82D4A">
        <w:tblPrEx>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6"/>
        </w:trPr>
        <w:tc>
          <w:tcPr>
            <w:tcW w:w="3263" w:type="dxa"/>
          </w:tcPr>
          <w:p w:rsidR="00E22D47" w:rsidRPr="00E22D47" w14:paraId="2C1333AA" w14:textId="53D28461">
            <w:pPr>
              <w:pStyle w:val="Default"/>
              <w:rPr>
                <w:rFonts w:asciiTheme="minorHAnsi" w:hAnsiTheme="minorHAnsi" w:cstheme="minorHAnsi"/>
                <w:sz w:val="22"/>
                <w:szCs w:val="22"/>
              </w:rPr>
            </w:pPr>
            <w:r w:rsidRPr="00E22D47">
              <w:rPr>
                <w:rFonts w:asciiTheme="minorHAnsi" w:hAnsiTheme="minorHAnsi" w:cstheme="minorHAnsi"/>
                <w:b/>
                <w:bCs/>
                <w:sz w:val="22"/>
                <w:szCs w:val="22"/>
              </w:rPr>
              <w:t xml:space="preserve">Standard (40 CFR </w:t>
            </w:r>
            <w:r>
              <w:rPr>
                <w:rFonts w:asciiTheme="minorHAnsi" w:hAnsiTheme="minorHAnsi" w:cstheme="minorHAnsi"/>
                <w:b/>
                <w:bCs/>
                <w:sz w:val="22"/>
                <w:szCs w:val="22"/>
              </w:rPr>
              <w:t>P</w:t>
            </w:r>
            <w:r w:rsidRPr="00E22D47">
              <w:rPr>
                <w:rFonts w:asciiTheme="minorHAnsi" w:hAnsiTheme="minorHAnsi" w:cstheme="minorHAnsi"/>
                <w:b/>
                <w:bCs/>
                <w:sz w:val="22"/>
                <w:szCs w:val="22"/>
              </w:rPr>
              <w:t xml:space="preserve">art 63, </w:t>
            </w:r>
            <w:r>
              <w:rPr>
                <w:rFonts w:asciiTheme="minorHAnsi" w:hAnsiTheme="minorHAnsi" w:cstheme="minorHAnsi"/>
                <w:b/>
                <w:bCs/>
                <w:sz w:val="22"/>
                <w:szCs w:val="22"/>
              </w:rPr>
              <w:t>S</w:t>
            </w:r>
            <w:r w:rsidRPr="00E22D47">
              <w:rPr>
                <w:rFonts w:asciiTheme="minorHAnsi" w:hAnsiTheme="minorHAnsi" w:cstheme="minorHAnsi"/>
                <w:b/>
                <w:bCs/>
                <w:sz w:val="22"/>
                <w:szCs w:val="22"/>
              </w:rPr>
              <w:t xml:space="preserve">ubpart GGGGG) </w:t>
            </w:r>
          </w:p>
        </w:tc>
        <w:tc>
          <w:tcPr>
            <w:tcW w:w="3263" w:type="dxa"/>
          </w:tcPr>
          <w:p w:rsidR="00E22D47" w:rsidRPr="00E22D47" w14:paraId="77B1D5B9" w14:textId="77777777">
            <w:pPr>
              <w:pStyle w:val="Default"/>
              <w:rPr>
                <w:rFonts w:asciiTheme="minorHAnsi" w:hAnsiTheme="minorHAnsi" w:cstheme="minorHAnsi"/>
                <w:sz w:val="22"/>
                <w:szCs w:val="22"/>
              </w:rPr>
            </w:pPr>
            <w:r w:rsidRPr="00E22D47">
              <w:rPr>
                <w:rFonts w:asciiTheme="minorHAnsi" w:hAnsiTheme="minorHAnsi" w:cstheme="minorHAnsi"/>
                <w:b/>
                <w:bCs/>
                <w:sz w:val="22"/>
                <w:szCs w:val="22"/>
              </w:rPr>
              <w:t xml:space="preserve">SIC Codes </w:t>
            </w:r>
          </w:p>
        </w:tc>
        <w:tc>
          <w:tcPr>
            <w:tcW w:w="3263" w:type="dxa"/>
          </w:tcPr>
          <w:p w:rsidR="00E22D47" w:rsidRPr="00E22D47" w14:paraId="7C6119A8" w14:textId="77777777">
            <w:pPr>
              <w:pStyle w:val="Default"/>
              <w:rPr>
                <w:rFonts w:asciiTheme="minorHAnsi" w:hAnsiTheme="minorHAnsi" w:cstheme="minorHAnsi"/>
                <w:sz w:val="22"/>
                <w:szCs w:val="22"/>
              </w:rPr>
            </w:pPr>
            <w:r w:rsidRPr="00E22D47">
              <w:rPr>
                <w:rFonts w:asciiTheme="minorHAnsi" w:hAnsiTheme="minorHAnsi" w:cstheme="minorHAnsi"/>
                <w:b/>
                <w:bCs/>
                <w:sz w:val="22"/>
                <w:szCs w:val="22"/>
              </w:rPr>
              <w:t xml:space="preserve">NAICS Codes </w:t>
            </w:r>
          </w:p>
        </w:tc>
      </w:tr>
      <w:tr w14:paraId="24F30EB9" w14:textId="77777777" w:rsidTr="00C82D4A">
        <w:tblPrEx>
          <w:tblW w:w="9789" w:type="dxa"/>
          <w:tblLayout w:type="fixed"/>
          <w:tblLook w:val="0000"/>
        </w:tblPrEx>
        <w:trPr>
          <w:trHeight w:val="161"/>
        </w:trPr>
        <w:tc>
          <w:tcPr>
            <w:tcW w:w="3263" w:type="dxa"/>
          </w:tcPr>
          <w:p w:rsidR="00E22D47" w:rsidRPr="00E22D47" w14:paraId="212B8B5B"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Plastics Material and Resin Manufacturing </w:t>
            </w:r>
          </w:p>
        </w:tc>
        <w:tc>
          <w:tcPr>
            <w:tcW w:w="3263" w:type="dxa"/>
          </w:tcPr>
          <w:p w:rsidR="00E22D47" w:rsidRPr="00E22D47" w14:paraId="1E8DEF63"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2821 </w:t>
            </w:r>
          </w:p>
        </w:tc>
        <w:tc>
          <w:tcPr>
            <w:tcW w:w="3263" w:type="dxa"/>
          </w:tcPr>
          <w:p w:rsidR="00E22D47" w:rsidRPr="00E22D47" w14:paraId="46256DD3"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325211 </w:t>
            </w:r>
          </w:p>
        </w:tc>
      </w:tr>
      <w:tr w14:paraId="605027E9" w14:textId="77777777" w:rsidTr="00C82D4A">
        <w:tblPrEx>
          <w:tblW w:w="9789" w:type="dxa"/>
          <w:tblLayout w:type="fixed"/>
          <w:tblLook w:val="0000"/>
        </w:tblPrEx>
        <w:trPr>
          <w:trHeight w:val="299"/>
        </w:trPr>
        <w:tc>
          <w:tcPr>
            <w:tcW w:w="3263" w:type="dxa"/>
          </w:tcPr>
          <w:p w:rsidR="00E22D47" w:rsidRPr="00E22D47" w14:paraId="1B88853C"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Cyclic Crude, Intermediate and Gum and Wood Chemical Manufacturing </w:t>
            </w:r>
          </w:p>
        </w:tc>
        <w:tc>
          <w:tcPr>
            <w:tcW w:w="3263" w:type="dxa"/>
          </w:tcPr>
          <w:p w:rsidR="00E22D47" w:rsidRPr="00E22D47" w14:paraId="5F6C00D9"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2861, 2865, 2869 </w:t>
            </w:r>
          </w:p>
        </w:tc>
        <w:tc>
          <w:tcPr>
            <w:tcW w:w="3263" w:type="dxa"/>
          </w:tcPr>
          <w:p w:rsidR="00E22D47" w:rsidRPr="00E22D47" w14:paraId="4D696B8F"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325194 </w:t>
            </w:r>
          </w:p>
        </w:tc>
      </w:tr>
      <w:tr w14:paraId="130BDE3A" w14:textId="77777777" w:rsidTr="00C82D4A">
        <w:tblPrEx>
          <w:tblW w:w="9789" w:type="dxa"/>
          <w:tblLayout w:type="fixed"/>
          <w:tblLook w:val="0000"/>
        </w:tblPrEx>
        <w:trPr>
          <w:trHeight w:val="299"/>
        </w:trPr>
        <w:tc>
          <w:tcPr>
            <w:tcW w:w="3263" w:type="dxa"/>
          </w:tcPr>
          <w:p w:rsidR="00E22D47" w:rsidRPr="00E22D47" w14:paraId="7E18031C"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Other Basic Inorganic Chemical Manufacturing </w:t>
            </w:r>
          </w:p>
        </w:tc>
        <w:tc>
          <w:tcPr>
            <w:tcW w:w="3263" w:type="dxa"/>
          </w:tcPr>
          <w:p w:rsidR="00E22D47" w:rsidRPr="00E22D47" w14:paraId="7A3C57D5"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2812, 2816, 2819, 2869, 2895 </w:t>
            </w:r>
          </w:p>
        </w:tc>
        <w:tc>
          <w:tcPr>
            <w:tcW w:w="3263" w:type="dxa"/>
          </w:tcPr>
          <w:p w:rsidR="00E22D47" w:rsidRPr="00E22D47" w14:paraId="78028095"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325180 </w:t>
            </w:r>
          </w:p>
        </w:tc>
      </w:tr>
      <w:tr w14:paraId="0AC63815" w14:textId="77777777" w:rsidTr="00C82D4A">
        <w:tblPrEx>
          <w:tblW w:w="9789" w:type="dxa"/>
          <w:tblLayout w:type="fixed"/>
          <w:tblLook w:val="0000"/>
        </w:tblPrEx>
        <w:trPr>
          <w:trHeight w:val="161"/>
        </w:trPr>
        <w:tc>
          <w:tcPr>
            <w:tcW w:w="3263" w:type="dxa"/>
          </w:tcPr>
          <w:p w:rsidR="00E22D47" w:rsidRPr="00E22D47" w14:paraId="4959018E"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Petroleum Refineries </w:t>
            </w:r>
          </w:p>
        </w:tc>
        <w:tc>
          <w:tcPr>
            <w:tcW w:w="3263" w:type="dxa"/>
          </w:tcPr>
          <w:p w:rsidR="00E22D47" w:rsidRPr="00E22D47" w14:paraId="769D7E0C"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2911, </w:t>
            </w:r>
          </w:p>
        </w:tc>
        <w:tc>
          <w:tcPr>
            <w:tcW w:w="3263" w:type="dxa"/>
          </w:tcPr>
          <w:p w:rsidR="00E22D47" w:rsidRPr="00E22D47" w14:paraId="12F98DEB"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32411 </w:t>
            </w:r>
          </w:p>
        </w:tc>
      </w:tr>
      <w:tr w14:paraId="61C9E75B" w14:textId="77777777" w:rsidTr="00C82D4A">
        <w:tblPrEx>
          <w:tblW w:w="9789" w:type="dxa"/>
          <w:tblLayout w:type="fixed"/>
          <w:tblLook w:val="0000"/>
        </w:tblPrEx>
        <w:trPr>
          <w:trHeight w:val="161"/>
        </w:trPr>
        <w:tc>
          <w:tcPr>
            <w:tcW w:w="3263" w:type="dxa"/>
          </w:tcPr>
          <w:p w:rsidR="00E22D47" w:rsidRPr="00E22D47" w14:paraId="71622A95"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General Warehousing and Storage </w:t>
            </w:r>
          </w:p>
        </w:tc>
        <w:tc>
          <w:tcPr>
            <w:tcW w:w="3263" w:type="dxa"/>
          </w:tcPr>
          <w:p w:rsidR="00E22D47" w:rsidRPr="00E22D47" w14:paraId="5E0895BB"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4225, 4226 </w:t>
            </w:r>
          </w:p>
        </w:tc>
        <w:tc>
          <w:tcPr>
            <w:tcW w:w="3263" w:type="dxa"/>
          </w:tcPr>
          <w:p w:rsidR="00E22D47" w:rsidRPr="00E22D47" w14:paraId="0A650DAA"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49311 </w:t>
            </w:r>
          </w:p>
        </w:tc>
      </w:tr>
      <w:tr w14:paraId="1AB80838" w14:textId="77777777" w:rsidTr="00C82D4A">
        <w:tblPrEx>
          <w:tblW w:w="9789" w:type="dxa"/>
          <w:tblLayout w:type="fixed"/>
          <w:tblLook w:val="0000"/>
        </w:tblPrEx>
        <w:trPr>
          <w:trHeight w:val="161"/>
        </w:trPr>
        <w:tc>
          <w:tcPr>
            <w:tcW w:w="3263" w:type="dxa"/>
          </w:tcPr>
          <w:p w:rsidR="00E22D47" w:rsidRPr="00E22D47" w14:paraId="19BD7B88"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Other Warehousing and Storage </w:t>
            </w:r>
          </w:p>
        </w:tc>
        <w:tc>
          <w:tcPr>
            <w:tcW w:w="3263" w:type="dxa"/>
          </w:tcPr>
          <w:p w:rsidR="00E22D47" w:rsidRPr="00E22D47" w14:paraId="1538D259"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4226 </w:t>
            </w:r>
          </w:p>
        </w:tc>
        <w:tc>
          <w:tcPr>
            <w:tcW w:w="3263" w:type="dxa"/>
          </w:tcPr>
          <w:p w:rsidR="00E22D47" w:rsidRPr="00E22D47" w14:paraId="3FEA4DD0"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49319 </w:t>
            </w:r>
          </w:p>
        </w:tc>
      </w:tr>
      <w:tr w14:paraId="0494A721" w14:textId="77777777" w:rsidTr="00C82D4A">
        <w:tblPrEx>
          <w:tblW w:w="9789" w:type="dxa"/>
          <w:tblLayout w:type="fixed"/>
          <w:tblLook w:val="0000"/>
        </w:tblPrEx>
        <w:trPr>
          <w:trHeight w:val="161"/>
        </w:trPr>
        <w:tc>
          <w:tcPr>
            <w:tcW w:w="3263" w:type="dxa"/>
          </w:tcPr>
          <w:p w:rsidR="00E22D47" w:rsidRPr="00E22D47" w14:paraId="21201626"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Pipeline Transportation of Crude Oil </w:t>
            </w:r>
          </w:p>
        </w:tc>
        <w:tc>
          <w:tcPr>
            <w:tcW w:w="3263" w:type="dxa"/>
          </w:tcPr>
          <w:p w:rsidR="00E22D47" w:rsidRPr="00E22D47" w14:paraId="66FE866B"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4612 </w:t>
            </w:r>
          </w:p>
        </w:tc>
        <w:tc>
          <w:tcPr>
            <w:tcW w:w="3263" w:type="dxa"/>
          </w:tcPr>
          <w:p w:rsidR="00E22D47" w:rsidRPr="00E22D47" w14:paraId="4D77B62C" w14:textId="77777777">
            <w:pPr>
              <w:pStyle w:val="Default"/>
              <w:rPr>
                <w:rFonts w:asciiTheme="minorHAnsi" w:hAnsiTheme="minorHAnsi" w:cstheme="minorHAnsi"/>
                <w:sz w:val="22"/>
                <w:szCs w:val="22"/>
              </w:rPr>
            </w:pPr>
            <w:r w:rsidRPr="00E22D47">
              <w:rPr>
                <w:rFonts w:asciiTheme="minorHAnsi" w:hAnsiTheme="minorHAnsi" w:cstheme="minorHAnsi"/>
                <w:sz w:val="22"/>
                <w:szCs w:val="22"/>
              </w:rPr>
              <w:t xml:space="preserve">48611 </w:t>
            </w:r>
          </w:p>
        </w:tc>
      </w:tr>
    </w:tbl>
    <w:p w:rsidR="00E22D47" w:rsidRPr="00E22D47" w:rsidP="00E22D47" w14:paraId="584B9963" w14:textId="4E834CE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22D47">
        <w:rPr>
          <w:rFonts w:cstheme="minorHAnsi"/>
          <w:color w:val="000000"/>
        </w:rPr>
        <w:t xml:space="preserve">Based on our research for this ICR, on average over the next three years, approximately </w:t>
      </w:r>
      <w:r>
        <w:rPr>
          <w:rFonts w:cstheme="minorHAnsi"/>
          <w:color w:val="000000"/>
        </w:rPr>
        <w:t>104</w:t>
      </w:r>
      <w:r w:rsidRPr="00E22D47">
        <w:rPr>
          <w:rFonts w:cstheme="minorHAnsi"/>
          <w:color w:val="000000"/>
        </w:rPr>
        <w:t xml:space="preserve"> existing respondents will be subject to the standard. It is estimated that no additional respondents per year will become subject. The number of respondents is calculated using the table Number of Respondents that addresses the three years covered by this ICR.</w:t>
      </w:r>
    </w:p>
    <w:p w:rsidR="00BD6064" w:rsidRPr="00BB3410" w:rsidP="00E22D47" w14:paraId="56E7D05C" w14:textId="75BE129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22D47">
        <w:rPr>
          <w:rFonts w:cstheme="minorHAnsi"/>
          <w:color w:val="000000"/>
        </w:rPr>
        <w:t xml:space="preserve">The total number of annual responses per year is calculated using the table Total Annual Responses shown below. The number of Total Annual Responses is </w:t>
      </w:r>
      <w:r>
        <w:rPr>
          <w:rFonts w:cstheme="minorHAnsi"/>
          <w:color w:val="000000"/>
        </w:rPr>
        <w:t>146</w:t>
      </w:r>
      <w:r w:rsidRPr="00E22D47">
        <w:rPr>
          <w:rFonts w:cstheme="minorHAnsi"/>
          <w:color w:val="000000"/>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34660E" w:rsidRPr="0034660E" w:rsidP="0034660E" w14:paraId="531A51D3" w14:textId="5203C01F">
      <w:pPr>
        <w:spacing w:before="120" w:after="0"/>
        <w:rPr>
          <w:rFonts w:cstheme="minorHAnsi"/>
          <w:color w:val="000000"/>
        </w:rPr>
      </w:pPr>
      <w:r w:rsidRPr="0034660E">
        <w:rPr>
          <w:rFonts w:cstheme="minorHAnsi"/>
          <w:color w:val="000000"/>
        </w:rPr>
        <w:t>In this ICR, all the data that are recorded or reported is required by the NESHAP for Site Remediation (40 CFR Part 63, Subpart GGGGG).</w:t>
      </w:r>
    </w:p>
    <w:p w:rsidR="0034660E" w:rsidP="0034660E" w14:paraId="75DA58E1" w14:textId="77777777">
      <w:pPr>
        <w:spacing w:before="120" w:after="0"/>
        <w:rPr>
          <w:rFonts w:cstheme="minorHAnsi"/>
          <w:color w:val="000000"/>
        </w:rPr>
      </w:pPr>
      <w:r w:rsidRPr="0034660E">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4860"/>
        <w:gridCol w:w="4500"/>
      </w:tblGrid>
      <w:tr w14:paraId="34EDB80A" w14:textId="77777777" w:rsidTr="00E77365">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4660E" w:rsidRPr="00CF2B37" w:rsidP="00E77365" w14:paraId="41740A52" w14:textId="77777777">
            <w:pPr>
              <w:spacing w:line="120" w:lineRule="exact"/>
            </w:pPr>
          </w:p>
          <w:p w:rsidR="0034660E" w:rsidRPr="00CF2B37" w:rsidP="00E77365" w14:paraId="1BBCCC13"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14:paraId="0F9DC7E0" w14:textId="77777777" w:rsidTr="0034660E">
        <w:tblPrEx>
          <w:tblW w:w="9360" w:type="dxa"/>
          <w:jc w:val="center"/>
          <w:tblLayout w:type="fixed"/>
          <w:tblCellMar>
            <w:left w:w="120" w:type="dxa"/>
            <w:right w:w="120" w:type="dxa"/>
          </w:tblCellMar>
          <w:tblLook w:val="0000"/>
        </w:tblPrEx>
        <w:trPr>
          <w:jc w:val="center"/>
        </w:trPr>
        <w:tc>
          <w:tcPr>
            <w:tcW w:w="4860" w:type="dxa"/>
            <w:tcBorders>
              <w:top w:val="single" w:sz="7" w:space="0" w:color="000000"/>
              <w:left w:val="single" w:sz="7" w:space="0" w:color="000000"/>
              <w:bottom w:val="single" w:sz="7" w:space="0" w:color="000000"/>
              <w:right w:val="single" w:sz="7" w:space="0" w:color="000000"/>
            </w:tcBorders>
            <w:vAlign w:val="center"/>
          </w:tcPr>
          <w:p w:rsidR="0034660E" w:rsidRPr="00745676" w:rsidP="0034660E" w14:paraId="1EBA27E2" w14:textId="445F5AD4">
            <w:pPr>
              <w:pBdr>
                <w:top w:val="single" w:sz="6" w:space="0" w:color="FFFFFF"/>
                <w:left w:val="single" w:sz="6" w:space="0" w:color="FFFFFF"/>
                <w:bottom w:val="single" w:sz="6" w:space="0" w:color="FFFFFF"/>
                <w:right w:val="single" w:sz="6" w:space="0" w:color="FFFFFF"/>
              </w:pBdr>
              <w:spacing w:after="58"/>
              <w:rPr>
                <w:b/>
                <w:bCs/>
              </w:rPr>
            </w:pPr>
            <w:r w:rsidRPr="00745676">
              <w:t>Initial notification</w:t>
            </w:r>
          </w:p>
        </w:tc>
        <w:tc>
          <w:tcPr>
            <w:tcW w:w="4500" w:type="dxa"/>
            <w:tcBorders>
              <w:top w:val="single" w:sz="7" w:space="0" w:color="000000"/>
              <w:left w:val="single" w:sz="7" w:space="0" w:color="000000"/>
              <w:bottom w:val="single" w:sz="7" w:space="0" w:color="000000"/>
              <w:right w:val="single" w:sz="7" w:space="0" w:color="000000"/>
            </w:tcBorders>
          </w:tcPr>
          <w:p w:rsidR="0034660E" w:rsidRPr="00745676" w:rsidP="0034660E" w14:paraId="6698D12E" w14:textId="35E6E72F">
            <w:pPr>
              <w:pBdr>
                <w:top w:val="single" w:sz="6" w:space="0" w:color="FFFFFF"/>
                <w:left w:val="single" w:sz="6" w:space="0" w:color="FFFFFF"/>
                <w:bottom w:val="single" w:sz="6" w:space="0" w:color="FFFFFF"/>
                <w:right w:val="single" w:sz="6" w:space="0" w:color="FFFFFF"/>
              </w:pBdr>
              <w:spacing w:after="58"/>
              <w:rPr>
                <w:b/>
                <w:bCs/>
              </w:rPr>
            </w:pPr>
            <w:r w:rsidRPr="00745676">
              <w:t>§§63.7950(a), (c)</w:t>
            </w:r>
          </w:p>
        </w:tc>
      </w:tr>
      <w:tr w14:paraId="322D2A00" w14:textId="77777777" w:rsidTr="0034660E">
        <w:tblPrEx>
          <w:tblW w:w="9360" w:type="dxa"/>
          <w:jc w:val="center"/>
          <w:tblLayout w:type="fixed"/>
          <w:tblCellMar>
            <w:left w:w="120" w:type="dxa"/>
            <w:right w:w="120" w:type="dxa"/>
          </w:tblCellMar>
          <w:tblLook w:val="0000"/>
        </w:tblPrEx>
        <w:trPr>
          <w:jc w:val="center"/>
        </w:trPr>
        <w:tc>
          <w:tcPr>
            <w:tcW w:w="4860" w:type="dxa"/>
            <w:tcBorders>
              <w:top w:val="single" w:sz="7" w:space="0" w:color="000000"/>
              <w:left w:val="single" w:sz="7" w:space="0" w:color="000000"/>
              <w:bottom w:val="single" w:sz="7" w:space="0" w:color="000000"/>
              <w:right w:val="single" w:sz="7" w:space="0" w:color="000000"/>
            </w:tcBorders>
            <w:vAlign w:val="center"/>
          </w:tcPr>
          <w:p w:rsidR="0034660E" w:rsidRPr="00745676" w:rsidP="0034660E" w14:paraId="3309A103" w14:textId="5673F8B8">
            <w:pPr>
              <w:pBdr>
                <w:top w:val="single" w:sz="6" w:space="0" w:color="FFFFFF"/>
                <w:left w:val="single" w:sz="6" w:space="0" w:color="FFFFFF"/>
                <w:bottom w:val="single" w:sz="6" w:space="0" w:color="FFFFFF"/>
                <w:right w:val="single" w:sz="6" w:space="0" w:color="FFFFFF"/>
              </w:pBdr>
              <w:spacing w:after="58"/>
            </w:pPr>
            <w:r w:rsidRPr="00745676">
              <w:t>Notification of performance tests</w:t>
            </w:r>
          </w:p>
        </w:tc>
        <w:tc>
          <w:tcPr>
            <w:tcW w:w="4500" w:type="dxa"/>
            <w:tcBorders>
              <w:top w:val="single" w:sz="7" w:space="0" w:color="000000"/>
              <w:left w:val="single" w:sz="7" w:space="0" w:color="000000"/>
              <w:bottom w:val="single" w:sz="7" w:space="0" w:color="000000"/>
              <w:right w:val="single" w:sz="7" w:space="0" w:color="000000"/>
            </w:tcBorders>
          </w:tcPr>
          <w:p w:rsidR="0034660E" w:rsidRPr="00745676" w:rsidP="0034660E" w14:paraId="1372B241" w14:textId="763FC558">
            <w:pPr>
              <w:pBdr>
                <w:top w:val="single" w:sz="6" w:space="0" w:color="FFFFFF"/>
                <w:left w:val="single" w:sz="6" w:space="0" w:color="FFFFFF"/>
                <w:bottom w:val="single" w:sz="6" w:space="0" w:color="FFFFFF"/>
                <w:right w:val="single" w:sz="6" w:space="0" w:color="FFFFFF"/>
              </w:pBdr>
              <w:spacing w:after="58"/>
            </w:pPr>
            <w:r w:rsidRPr="00745676">
              <w:t>§§63.7950(a), (d)</w:t>
            </w:r>
          </w:p>
        </w:tc>
      </w:tr>
      <w:tr w14:paraId="06801367" w14:textId="77777777" w:rsidTr="0034660E">
        <w:tblPrEx>
          <w:tblW w:w="9360" w:type="dxa"/>
          <w:jc w:val="center"/>
          <w:tblLayout w:type="fixed"/>
          <w:tblCellMar>
            <w:left w:w="120" w:type="dxa"/>
            <w:right w:w="120" w:type="dxa"/>
          </w:tblCellMar>
          <w:tblLook w:val="0000"/>
        </w:tblPrEx>
        <w:trPr>
          <w:jc w:val="center"/>
        </w:trPr>
        <w:tc>
          <w:tcPr>
            <w:tcW w:w="4860" w:type="dxa"/>
            <w:tcBorders>
              <w:top w:val="single" w:sz="7" w:space="0" w:color="000000"/>
              <w:left w:val="single" w:sz="7" w:space="0" w:color="000000"/>
              <w:bottom w:val="single" w:sz="7" w:space="0" w:color="000000"/>
              <w:right w:val="single" w:sz="7" w:space="0" w:color="000000"/>
            </w:tcBorders>
            <w:vAlign w:val="center"/>
          </w:tcPr>
          <w:p w:rsidR="0034660E" w:rsidRPr="00745676" w:rsidP="0034660E" w14:paraId="09B1194C" w14:textId="7FD32171">
            <w:pPr>
              <w:pBdr>
                <w:top w:val="single" w:sz="6" w:space="0" w:color="FFFFFF"/>
                <w:left w:val="single" w:sz="6" w:space="0" w:color="FFFFFF"/>
                <w:bottom w:val="single" w:sz="6" w:space="0" w:color="FFFFFF"/>
                <w:right w:val="single" w:sz="6" w:space="0" w:color="FFFFFF"/>
              </w:pBdr>
              <w:spacing w:after="58"/>
            </w:pPr>
            <w:r w:rsidRPr="00745676">
              <w:t>Notification of compliance status</w:t>
            </w:r>
          </w:p>
        </w:tc>
        <w:tc>
          <w:tcPr>
            <w:tcW w:w="4500" w:type="dxa"/>
            <w:tcBorders>
              <w:top w:val="single" w:sz="7" w:space="0" w:color="000000"/>
              <w:left w:val="single" w:sz="7" w:space="0" w:color="000000"/>
              <w:bottom w:val="single" w:sz="7" w:space="0" w:color="000000"/>
              <w:right w:val="single" w:sz="7" w:space="0" w:color="000000"/>
            </w:tcBorders>
          </w:tcPr>
          <w:p w:rsidR="0034660E" w:rsidRPr="00745676" w:rsidP="0034660E" w14:paraId="6A241D2C" w14:textId="0782C7EB">
            <w:pPr>
              <w:pBdr>
                <w:top w:val="single" w:sz="6" w:space="0" w:color="FFFFFF"/>
                <w:left w:val="single" w:sz="6" w:space="0" w:color="FFFFFF"/>
                <w:bottom w:val="single" w:sz="6" w:space="0" w:color="FFFFFF"/>
                <w:right w:val="single" w:sz="6" w:space="0" w:color="FFFFFF"/>
              </w:pBdr>
              <w:spacing w:after="58"/>
            </w:pPr>
            <w:r w:rsidRPr="00745676">
              <w:t>§§63.7950(a), (e)</w:t>
            </w:r>
          </w:p>
        </w:tc>
      </w:tr>
      <w:tr w14:paraId="4C51BC4E" w14:textId="77777777" w:rsidTr="0034660E">
        <w:tblPrEx>
          <w:tblW w:w="9360" w:type="dxa"/>
          <w:jc w:val="center"/>
          <w:tblLayout w:type="fixed"/>
          <w:tblCellMar>
            <w:left w:w="120" w:type="dxa"/>
            <w:right w:w="120" w:type="dxa"/>
          </w:tblCellMar>
          <w:tblLook w:val="0000"/>
        </w:tblPrEx>
        <w:trPr>
          <w:jc w:val="center"/>
        </w:trPr>
        <w:tc>
          <w:tcPr>
            <w:tcW w:w="4860" w:type="dxa"/>
            <w:tcBorders>
              <w:top w:val="single" w:sz="7" w:space="0" w:color="000000"/>
              <w:left w:val="single" w:sz="7" w:space="0" w:color="000000"/>
              <w:bottom w:val="single" w:sz="7" w:space="0" w:color="000000"/>
              <w:right w:val="single" w:sz="7" w:space="0" w:color="000000"/>
            </w:tcBorders>
          </w:tcPr>
          <w:p w:rsidR="0034660E" w:rsidRPr="00745676" w:rsidP="0034660E" w14:paraId="7A7517E7" w14:textId="6282B118">
            <w:pPr>
              <w:pBdr>
                <w:top w:val="single" w:sz="6" w:space="0" w:color="FFFFFF"/>
                <w:left w:val="single" w:sz="6" w:space="0" w:color="FFFFFF"/>
                <w:bottom w:val="single" w:sz="6" w:space="0" w:color="FFFFFF"/>
                <w:right w:val="single" w:sz="6" w:space="0" w:color="FFFFFF"/>
              </w:pBdr>
              <w:spacing w:after="58"/>
            </w:pPr>
            <w:r w:rsidRPr="00745676">
              <w:t xml:space="preserve">Notification of alternative standard selection (if applicable) </w:t>
            </w:r>
          </w:p>
        </w:tc>
        <w:tc>
          <w:tcPr>
            <w:tcW w:w="4500" w:type="dxa"/>
            <w:tcBorders>
              <w:top w:val="single" w:sz="7" w:space="0" w:color="000000"/>
              <w:left w:val="single" w:sz="7" w:space="0" w:color="000000"/>
              <w:bottom w:val="single" w:sz="7" w:space="0" w:color="000000"/>
              <w:right w:val="single" w:sz="7" w:space="0" w:color="000000"/>
            </w:tcBorders>
          </w:tcPr>
          <w:p w:rsidR="0034660E" w:rsidRPr="00745676" w:rsidP="0034660E" w14:paraId="7922EFAD" w14:textId="3F3C3B18">
            <w:pPr>
              <w:pBdr>
                <w:top w:val="single" w:sz="6" w:space="0" w:color="FFFFFF"/>
                <w:left w:val="single" w:sz="6" w:space="0" w:color="FFFFFF"/>
                <w:bottom w:val="single" w:sz="6" w:space="0" w:color="FFFFFF"/>
                <w:right w:val="single" w:sz="6" w:space="0" w:color="FFFFFF"/>
              </w:pBdr>
              <w:spacing w:after="58"/>
            </w:pPr>
            <w:r w:rsidRPr="00745676">
              <w:t xml:space="preserve">§§63.7950(f) </w:t>
            </w:r>
          </w:p>
        </w:tc>
      </w:tr>
      <w:tr w14:paraId="3723BE4A" w14:textId="77777777" w:rsidTr="0034660E">
        <w:tblPrEx>
          <w:tblW w:w="9360" w:type="dxa"/>
          <w:jc w:val="center"/>
          <w:tblLayout w:type="fixed"/>
          <w:tblCellMar>
            <w:left w:w="120" w:type="dxa"/>
            <w:right w:w="120" w:type="dxa"/>
          </w:tblCellMar>
          <w:tblLook w:val="0000"/>
        </w:tblPrEx>
        <w:trPr>
          <w:jc w:val="center"/>
        </w:trPr>
        <w:tc>
          <w:tcPr>
            <w:tcW w:w="4860" w:type="dxa"/>
            <w:tcBorders>
              <w:top w:val="single" w:sz="7" w:space="0" w:color="000000"/>
              <w:left w:val="single" w:sz="7" w:space="0" w:color="000000"/>
              <w:bottom w:val="single" w:sz="7" w:space="0" w:color="000000"/>
              <w:right w:val="single" w:sz="7" w:space="0" w:color="000000"/>
            </w:tcBorders>
          </w:tcPr>
          <w:p w:rsidR="0034660E" w:rsidRPr="00745676" w:rsidP="00E77365" w14:paraId="48A24B93" w14:textId="77777777">
            <w:pPr>
              <w:spacing w:line="120" w:lineRule="exact"/>
            </w:pPr>
          </w:p>
          <w:p w:rsidR="0034660E" w:rsidRPr="00745676" w:rsidP="00E77365" w14:paraId="153A1AD9" w14:textId="77777777">
            <w:pPr>
              <w:pBdr>
                <w:top w:val="single" w:sz="6" w:space="0" w:color="FFFFFF"/>
                <w:left w:val="single" w:sz="6" w:space="0" w:color="FFFFFF"/>
                <w:bottom w:val="single" w:sz="6" w:space="0" w:color="FFFFFF"/>
                <w:right w:val="single" w:sz="6" w:space="0" w:color="FFFFFF"/>
              </w:pBdr>
              <w:spacing w:after="58"/>
            </w:pPr>
            <w:r w:rsidRPr="00745676">
              <w:t>Notification of changes in information (reclassification to area source status or to revert to major source status) (electronic submission)</w:t>
            </w:r>
          </w:p>
        </w:tc>
        <w:tc>
          <w:tcPr>
            <w:tcW w:w="4500" w:type="dxa"/>
            <w:tcBorders>
              <w:top w:val="single" w:sz="7" w:space="0" w:color="000000"/>
              <w:left w:val="single" w:sz="7" w:space="0" w:color="000000"/>
              <w:bottom w:val="single" w:sz="7" w:space="0" w:color="000000"/>
              <w:right w:val="single" w:sz="7" w:space="0" w:color="000000"/>
            </w:tcBorders>
          </w:tcPr>
          <w:p w:rsidR="0034660E" w:rsidRPr="00745676" w:rsidP="00E77365" w14:paraId="7124C581" w14:textId="77777777">
            <w:pPr>
              <w:spacing w:line="120" w:lineRule="exact"/>
            </w:pPr>
          </w:p>
          <w:p w:rsidR="0034660E" w:rsidRPr="00745676" w:rsidP="00E77365" w14:paraId="2AB9DB6D" w14:textId="49C177B0">
            <w:pPr>
              <w:pBdr>
                <w:top w:val="single" w:sz="6" w:space="0" w:color="FFFFFF"/>
                <w:left w:val="single" w:sz="6" w:space="0" w:color="FFFFFF"/>
                <w:bottom w:val="single" w:sz="6" w:space="0" w:color="FFFFFF"/>
                <w:right w:val="single" w:sz="6" w:space="0" w:color="FFFFFF"/>
              </w:pBdr>
              <w:spacing w:after="58"/>
            </w:pPr>
            <w:r w:rsidRPr="00745676">
              <w:t>§§63.9(b), (j)</w:t>
            </w:r>
          </w:p>
        </w:tc>
      </w:tr>
    </w:tbl>
    <w:p w:rsidR="0034660E" w:rsidP="0034660E" w14:paraId="787F29D0" w14:textId="77777777">
      <w:pPr>
        <w:spacing w:before="120" w:after="0"/>
        <w:rPr>
          <w:rFonts w:cstheme="minorHAnsi"/>
          <w:color w:val="000000"/>
        </w:rPr>
      </w:pPr>
    </w:p>
    <w:tbl>
      <w:tblPr>
        <w:tblW w:w="0" w:type="auto"/>
        <w:jc w:val="center"/>
        <w:tblLayout w:type="fixed"/>
        <w:tblCellMar>
          <w:left w:w="120" w:type="dxa"/>
          <w:right w:w="120" w:type="dxa"/>
        </w:tblCellMar>
        <w:tblLook w:val="0000"/>
      </w:tblPr>
      <w:tblGrid>
        <w:gridCol w:w="7290"/>
        <w:gridCol w:w="2070"/>
      </w:tblGrid>
      <w:tr w14:paraId="1E1FD468" w14:textId="77777777" w:rsidTr="0034660E">
        <w:tblPrEx>
          <w:tblW w:w="0" w:type="auto"/>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4660E" w:rsidRPr="00CF2B37" w:rsidP="00E77365" w14:paraId="071D57E5" w14:textId="77777777">
            <w:pPr>
              <w:spacing w:line="120" w:lineRule="exact"/>
            </w:pPr>
          </w:p>
          <w:p w:rsidR="0034660E" w:rsidRPr="00CF2B37" w:rsidP="00E77365" w14:paraId="0BC19FE5"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0767FC6A" w14:textId="77777777" w:rsidTr="00E77365">
        <w:tblPrEx>
          <w:tblW w:w="0" w:type="auto"/>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4660E" w:rsidRPr="00745676" w:rsidP="0034660E" w14:paraId="462466CF" w14:textId="79E3E5A5">
            <w:pPr>
              <w:pBdr>
                <w:top w:val="single" w:sz="6" w:space="0" w:color="FFFFFF"/>
                <w:left w:val="single" w:sz="6" w:space="0" w:color="FFFFFF"/>
                <w:bottom w:val="single" w:sz="6" w:space="0" w:color="FFFFFF"/>
                <w:right w:val="single" w:sz="6" w:space="0" w:color="FFFFFF"/>
              </w:pBdr>
              <w:spacing w:after="58"/>
            </w:pPr>
            <w:r w:rsidRPr="00745676">
              <w:t xml:space="preserve">Performance test results </w:t>
            </w:r>
            <w:r w:rsidRPr="00745676" w:rsidR="00F60B3F">
              <w:t>(electronic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34660E" w:rsidRPr="00745676" w:rsidP="0034660E" w14:paraId="7D88E28B" w14:textId="54613940">
            <w:pPr>
              <w:pBdr>
                <w:top w:val="single" w:sz="6" w:space="0" w:color="FFFFFF"/>
                <w:left w:val="single" w:sz="6" w:space="0" w:color="FFFFFF"/>
                <w:bottom w:val="single" w:sz="6" w:space="0" w:color="FFFFFF"/>
                <w:right w:val="single" w:sz="6" w:space="0" w:color="FFFFFF"/>
              </w:pBdr>
              <w:spacing w:after="58"/>
            </w:pPr>
            <w:r w:rsidRPr="00745676">
              <w:t>§§</w:t>
            </w:r>
            <w:r w:rsidRPr="00745676">
              <w:t>63.795</w:t>
            </w:r>
            <w:r w:rsidRPr="00745676" w:rsidR="00C0371B">
              <w:t>1</w:t>
            </w:r>
            <w:r w:rsidRPr="00745676">
              <w:t xml:space="preserve">(a), (e) </w:t>
            </w:r>
          </w:p>
        </w:tc>
      </w:tr>
      <w:tr w14:paraId="0753E5FD" w14:textId="77777777" w:rsidTr="00E77365">
        <w:tblPrEx>
          <w:tblW w:w="0" w:type="auto"/>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60B3F" w:rsidRPr="00745676" w:rsidP="00F60B3F" w14:paraId="3B4B232F" w14:textId="002523B5">
            <w:pPr>
              <w:pBdr>
                <w:top w:val="single" w:sz="6" w:space="0" w:color="FFFFFF"/>
                <w:left w:val="single" w:sz="6" w:space="0" w:color="FFFFFF"/>
                <w:bottom w:val="single" w:sz="6" w:space="0" w:color="FFFFFF"/>
                <w:right w:val="single" w:sz="6" w:space="0" w:color="FFFFFF"/>
              </w:pBdr>
              <w:spacing w:after="58"/>
            </w:pPr>
            <w:r w:rsidRPr="00745676">
              <w:t>Semiannual compliance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60B3F" w:rsidRPr="00745676" w:rsidP="00F60B3F" w14:paraId="4C919026" w14:textId="7CE8D6A9">
            <w:pPr>
              <w:pBdr>
                <w:top w:val="single" w:sz="6" w:space="0" w:color="FFFFFF"/>
                <w:left w:val="single" w:sz="6" w:space="0" w:color="FFFFFF"/>
                <w:bottom w:val="single" w:sz="6" w:space="0" w:color="FFFFFF"/>
                <w:right w:val="single" w:sz="6" w:space="0" w:color="FFFFFF"/>
              </w:pBdr>
              <w:spacing w:after="58"/>
            </w:pPr>
            <w:r w:rsidRPr="00745676">
              <w:t xml:space="preserve">§§63.7951(a), (b) </w:t>
            </w:r>
          </w:p>
        </w:tc>
      </w:tr>
      <w:tr w14:paraId="0A8BA9CF" w14:textId="77777777" w:rsidTr="00E77365">
        <w:tblPrEx>
          <w:tblW w:w="0" w:type="auto"/>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60B3F" w:rsidRPr="00745676" w:rsidP="00F60B3F" w14:paraId="38AAC8C4" w14:textId="3A3003FF">
            <w:pPr>
              <w:pBdr>
                <w:top w:val="single" w:sz="6" w:space="0" w:color="FFFFFF"/>
                <w:left w:val="single" w:sz="6" w:space="0" w:color="FFFFFF"/>
                <w:bottom w:val="single" w:sz="6" w:space="0" w:color="FFFFFF"/>
                <w:right w:val="single" w:sz="6" w:space="0" w:color="FFFFFF"/>
              </w:pBdr>
              <w:spacing w:after="58"/>
            </w:pPr>
            <w:r w:rsidRPr="00745676">
              <w:t xml:space="preserve">Part 70 monitoring report </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F60B3F" w:rsidRPr="00745676" w:rsidP="00F60B3F" w14:paraId="0AE4E757" w14:textId="47A954F0">
            <w:pPr>
              <w:pBdr>
                <w:top w:val="single" w:sz="6" w:space="0" w:color="FFFFFF"/>
                <w:left w:val="single" w:sz="6" w:space="0" w:color="FFFFFF"/>
                <w:bottom w:val="single" w:sz="6" w:space="0" w:color="FFFFFF"/>
                <w:right w:val="single" w:sz="6" w:space="0" w:color="FFFFFF"/>
              </w:pBdr>
              <w:spacing w:after="58"/>
            </w:pPr>
            <w:r w:rsidRPr="00745676">
              <w:t xml:space="preserve">§63.7951(d) </w:t>
            </w:r>
          </w:p>
        </w:tc>
      </w:tr>
    </w:tbl>
    <w:p w:rsidR="0034660E" w:rsidP="0034660E" w14:paraId="2AFE1C54" w14:textId="77777777">
      <w:pPr>
        <w:pBdr>
          <w:top w:val="single" w:sz="6" w:space="0" w:color="FFFFFF"/>
          <w:left w:val="single" w:sz="6" w:space="0" w:color="FFFFFF"/>
          <w:bottom w:val="single" w:sz="6" w:space="0" w:color="FFFFFF"/>
          <w:right w:val="single" w:sz="6" w:space="0" w:color="FFFFFF"/>
        </w:pBdr>
        <w:ind w:firstLine="720"/>
        <w:rPr>
          <w:color w:val="000000"/>
        </w:rPr>
      </w:pPr>
    </w:p>
    <w:p w:rsidR="0034660E" w:rsidP="00F60B3F" w14:paraId="776220AC" w14:textId="462C5135">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tbl>
      <w:tblPr>
        <w:tblW w:w="0" w:type="auto"/>
        <w:jc w:val="center"/>
        <w:tblLayout w:type="fixed"/>
        <w:tblCellMar>
          <w:left w:w="120" w:type="dxa"/>
          <w:right w:w="120" w:type="dxa"/>
        </w:tblCellMar>
        <w:tblLook w:val="0000"/>
      </w:tblPr>
      <w:tblGrid>
        <w:gridCol w:w="7110"/>
        <w:gridCol w:w="2250"/>
      </w:tblGrid>
      <w:tr w14:paraId="38170F9C" w14:textId="77777777" w:rsidTr="00F60B3F">
        <w:tblPrEx>
          <w:tblW w:w="0" w:type="auto"/>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34660E" w:rsidRPr="00CF2B37" w:rsidP="00E77365" w14:paraId="0A8C5468" w14:textId="77777777">
            <w:pPr>
              <w:spacing w:line="120" w:lineRule="exact"/>
            </w:pPr>
          </w:p>
          <w:p w:rsidR="0034660E" w:rsidRPr="00CF2B37" w:rsidP="00E77365" w14:paraId="448EDF3D" w14:textId="7777777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3D895824" w14:textId="77777777" w:rsidTr="00E77365">
        <w:tblPrEx>
          <w:tblW w:w="0" w:type="auto"/>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60B3F" w:rsidRPr="00745676" w:rsidP="00F60B3F" w14:paraId="67BEB574" w14:textId="2B11DE64">
            <w:pPr>
              <w:pBdr>
                <w:top w:val="single" w:sz="6" w:space="0" w:color="FFFFFF"/>
                <w:left w:val="single" w:sz="6" w:space="0" w:color="FFFFFF"/>
                <w:bottom w:val="single" w:sz="6" w:space="0" w:color="FFFFFF"/>
                <w:right w:val="single" w:sz="6" w:space="0" w:color="FFFFFF"/>
              </w:pBdr>
              <w:spacing w:after="58"/>
            </w:pPr>
            <w:r w:rsidRPr="00745676">
              <w:t xml:space="preserve">Copies of each notification and report submitted to comply with subpart as listed above </w:t>
            </w:r>
          </w:p>
        </w:tc>
        <w:tc>
          <w:tcPr>
            <w:tcW w:w="2250" w:type="dxa"/>
            <w:tcBorders>
              <w:top w:val="single" w:sz="7" w:space="0" w:color="000000"/>
              <w:left w:val="single" w:sz="7" w:space="0" w:color="000000"/>
              <w:bottom w:val="single" w:sz="7" w:space="0" w:color="000000"/>
              <w:right w:val="single" w:sz="7" w:space="0" w:color="000000"/>
            </w:tcBorders>
          </w:tcPr>
          <w:p w:rsidR="00F60B3F" w:rsidRPr="00745676" w:rsidP="00F60B3F" w14:paraId="1A43FE8E" w14:textId="6D1D65FA">
            <w:pPr>
              <w:pBdr>
                <w:top w:val="single" w:sz="6" w:space="0" w:color="FFFFFF"/>
                <w:left w:val="single" w:sz="6" w:space="0" w:color="FFFFFF"/>
                <w:bottom w:val="single" w:sz="6" w:space="0" w:color="FFFFFF"/>
                <w:right w:val="single" w:sz="6" w:space="0" w:color="FFFFFF"/>
              </w:pBdr>
              <w:spacing w:after="58"/>
            </w:pPr>
            <w:r w:rsidRPr="00745676">
              <w:t xml:space="preserve">§63.7952(a)(1) </w:t>
            </w:r>
          </w:p>
        </w:tc>
      </w:tr>
      <w:tr w14:paraId="1CB07F5E" w14:textId="77777777" w:rsidTr="00E77365">
        <w:tblPrEx>
          <w:tblW w:w="0" w:type="auto"/>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60B3F" w:rsidRPr="00745676" w:rsidP="00F60B3F" w14:paraId="59072CA7" w14:textId="34C28A44">
            <w:pPr>
              <w:pBdr>
                <w:top w:val="single" w:sz="6" w:space="0" w:color="FFFFFF"/>
                <w:left w:val="single" w:sz="6" w:space="0" w:color="FFFFFF"/>
                <w:bottom w:val="single" w:sz="6" w:space="0" w:color="FFFFFF"/>
                <w:right w:val="single" w:sz="6" w:space="0" w:color="FFFFFF"/>
              </w:pBdr>
              <w:spacing w:after="58"/>
            </w:pPr>
            <w:r w:rsidRPr="00745676">
              <w:t xml:space="preserve">Records related to startups, shutdowns, and malfunctions </w:t>
            </w:r>
          </w:p>
        </w:tc>
        <w:tc>
          <w:tcPr>
            <w:tcW w:w="2250" w:type="dxa"/>
            <w:tcBorders>
              <w:top w:val="single" w:sz="7" w:space="0" w:color="000000"/>
              <w:left w:val="single" w:sz="7" w:space="0" w:color="000000"/>
              <w:bottom w:val="single" w:sz="7" w:space="0" w:color="000000"/>
              <w:right w:val="single" w:sz="7" w:space="0" w:color="000000"/>
            </w:tcBorders>
          </w:tcPr>
          <w:p w:rsidR="00F60B3F" w:rsidRPr="00745676" w:rsidP="00F60B3F" w14:paraId="0348D8C4" w14:textId="1BDE0C01">
            <w:pPr>
              <w:pBdr>
                <w:top w:val="single" w:sz="6" w:space="0" w:color="FFFFFF"/>
                <w:left w:val="single" w:sz="6" w:space="0" w:color="FFFFFF"/>
                <w:bottom w:val="single" w:sz="6" w:space="0" w:color="FFFFFF"/>
                <w:right w:val="single" w:sz="6" w:space="0" w:color="FFFFFF"/>
              </w:pBdr>
              <w:spacing w:after="58"/>
            </w:pPr>
            <w:r w:rsidRPr="00745676">
              <w:t xml:space="preserve">§63.7952(a)(2) </w:t>
            </w:r>
          </w:p>
        </w:tc>
      </w:tr>
      <w:tr w14:paraId="58D10AAD" w14:textId="77777777" w:rsidTr="00E77365">
        <w:tblPrEx>
          <w:tblW w:w="0" w:type="auto"/>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60B3F" w:rsidRPr="00745676" w:rsidP="00F60B3F" w14:paraId="3A12FA6A" w14:textId="607463FA">
            <w:pPr>
              <w:pBdr>
                <w:top w:val="single" w:sz="6" w:space="0" w:color="FFFFFF"/>
                <w:left w:val="single" w:sz="6" w:space="0" w:color="FFFFFF"/>
                <w:bottom w:val="single" w:sz="6" w:space="0" w:color="FFFFFF"/>
                <w:right w:val="single" w:sz="6" w:space="0" w:color="FFFFFF"/>
              </w:pBdr>
              <w:spacing w:after="58"/>
            </w:pPr>
            <w:r w:rsidRPr="00745676">
              <w:t xml:space="preserve">Records of performance tests </w:t>
            </w:r>
          </w:p>
        </w:tc>
        <w:tc>
          <w:tcPr>
            <w:tcW w:w="2250" w:type="dxa"/>
            <w:tcBorders>
              <w:top w:val="single" w:sz="7" w:space="0" w:color="000000"/>
              <w:left w:val="single" w:sz="7" w:space="0" w:color="000000"/>
              <w:bottom w:val="single" w:sz="7" w:space="0" w:color="000000"/>
              <w:right w:val="single" w:sz="7" w:space="0" w:color="000000"/>
            </w:tcBorders>
          </w:tcPr>
          <w:p w:rsidR="00F60B3F" w:rsidRPr="00745676" w:rsidP="00F60B3F" w14:paraId="051D8702" w14:textId="307F304C">
            <w:pPr>
              <w:pBdr>
                <w:top w:val="single" w:sz="6" w:space="0" w:color="FFFFFF"/>
                <w:left w:val="single" w:sz="6" w:space="0" w:color="FFFFFF"/>
                <w:bottom w:val="single" w:sz="6" w:space="0" w:color="FFFFFF"/>
                <w:right w:val="single" w:sz="6" w:space="0" w:color="FFFFFF"/>
              </w:pBdr>
              <w:spacing w:after="58"/>
            </w:pPr>
            <w:r w:rsidRPr="00745676">
              <w:t xml:space="preserve">§63.7952(a)(3) </w:t>
            </w:r>
          </w:p>
        </w:tc>
      </w:tr>
      <w:tr w14:paraId="77C8E231" w14:textId="77777777" w:rsidTr="00E77365">
        <w:tblPrEx>
          <w:tblW w:w="0" w:type="auto"/>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60B3F" w:rsidRPr="00745676" w:rsidP="00F60B3F" w14:paraId="66937C77" w14:textId="220AC522">
            <w:pPr>
              <w:pBdr>
                <w:top w:val="single" w:sz="6" w:space="0" w:color="FFFFFF"/>
                <w:left w:val="single" w:sz="6" w:space="0" w:color="FFFFFF"/>
                <w:bottom w:val="single" w:sz="6" w:space="0" w:color="FFFFFF"/>
                <w:right w:val="single" w:sz="6" w:space="0" w:color="FFFFFF"/>
              </w:pBdr>
              <w:spacing w:after="58"/>
            </w:pPr>
            <w:r w:rsidRPr="00745676">
              <w:t xml:space="preserve">Records </w:t>
            </w:r>
            <w:r w:rsidRPr="00745676" w:rsidR="00745676">
              <w:t>for pressure relief devices</w:t>
            </w:r>
            <w:r w:rsidRPr="00745676">
              <w:t xml:space="preserve"> </w:t>
            </w:r>
          </w:p>
        </w:tc>
        <w:tc>
          <w:tcPr>
            <w:tcW w:w="2250" w:type="dxa"/>
            <w:tcBorders>
              <w:top w:val="single" w:sz="7" w:space="0" w:color="000000"/>
              <w:left w:val="single" w:sz="7" w:space="0" w:color="000000"/>
              <w:bottom w:val="single" w:sz="7" w:space="0" w:color="000000"/>
              <w:right w:val="single" w:sz="7" w:space="0" w:color="000000"/>
            </w:tcBorders>
          </w:tcPr>
          <w:p w:rsidR="00F60B3F" w:rsidRPr="00745676" w:rsidP="00F60B3F" w14:paraId="431AD778" w14:textId="7E07E3DF">
            <w:pPr>
              <w:pBdr>
                <w:top w:val="single" w:sz="6" w:space="0" w:color="FFFFFF"/>
                <w:left w:val="single" w:sz="6" w:space="0" w:color="FFFFFF"/>
                <w:bottom w:val="single" w:sz="6" w:space="0" w:color="FFFFFF"/>
                <w:right w:val="single" w:sz="6" w:space="0" w:color="FFFFFF"/>
              </w:pBdr>
              <w:spacing w:after="58"/>
            </w:pPr>
            <w:r w:rsidRPr="00745676">
              <w:t>§</w:t>
            </w:r>
            <w:r w:rsidRPr="00745676" w:rsidR="00745676">
              <w:t>§</w:t>
            </w:r>
            <w:r w:rsidRPr="00745676">
              <w:t>63.7952(a)(4)</w:t>
            </w:r>
            <w:r w:rsidRPr="00745676" w:rsidR="00745676">
              <w:t>, (5), (6)</w:t>
            </w:r>
            <w:r w:rsidRPr="00745676">
              <w:t xml:space="preserve"> </w:t>
            </w:r>
          </w:p>
        </w:tc>
      </w:tr>
      <w:tr w14:paraId="15CA1F52" w14:textId="77777777" w:rsidTr="00E77365">
        <w:tblPrEx>
          <w:tblW w:w="0" w:type="auto"/>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60B3F" w:rsidRPr="00745676" w:rsidP="00F60B3F" w14:paraId="709A7C91" w14:textId="46765CD0">
            <w:pPr>
              <w:pBdr>
                <w:top w:val="single" w:sz="6" w:space="0" w:color="FFFFFF"/>
                <w:left w:val="single" w:sz="6" w:space="0" w:color="FFFFFF"/>
                <w:bottom w:val="single" w:sz="6" w:space="0" w:color="FFFFFF"/>
                <w:right w:val="single" w:sz="6" w:space="0" w:color="FFFFFF"/>
              </w:pBdr>
              <w:spacing w:after="58"/>
            </w:pPr>
            <w:r w:rsidRPr="00745676">
              <w:t xml:space="preserve">Records of control device operating parameter continuous monitoring system (CMS) deviations, calibrations, and maintenance </w:t>
            </w:r>
          </w:p>
        </w:tc>
        <w:tc>
          <w:tcPr>
            <w:tcW w:w="2250" w:type="dxa"/>
            <w:tcBorders>
              <w:top w:val="single" w:sz="7" w:space="0" w:color="000000"/>
              <w:left w:val="single" w:sz="7" w:space="0" w:color="000000"/>
              <w:bottom w:val="single" w:sz="7" w:space="0" w:color="000000"/>
              <w:right w:val="single" w:sz="7" w:space="0" w:color="000000"/>
            </w:tcBorders>
          </w:tcPr>
          <w:p w:rsidR="00F60B3F" w:rsidRPr="00745676" w:rsidP="00F60B3F" w14:paraId="71A9AFCC" w14:textId="5283F1C6">
            <w:pPr>
              <w:pBdr>
                <w:top w:val="single" w:sz="6" w:space="0" w:color="FFFFFF"/>
                <w:left w:val="single" w:sz="6" w:space="0" w:color="FFFFFF"/>
                <w:bottom w:val="single" w:sz="6" w:space="0" w:color="FFFFFF"/>
                <w:right w:val="single" w:sz="6" w:space="0" w:color="FFFFFF"/>
              </w:pBdr>
              <w:spacing w:after="58"/>
            </w:pPr>
            <w:r w:rsidRPr="00745676">
              <w:t xml:space="preserve">§63.7952(b) </w:t>
            </w:r>
          </w:p>
        </w:tc>
      </w:tr>
      <w:tr w14:paraId="083A7C43" w14:textId="77777777" w:rsidTr="00E77365">
        <w:tblPrEx>
          <w:tblW w:w="0" w:type="auto"/>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F60B3F" w:rsidRPr="00745676" w:rsidP="00F60B3F" w14:paraId="18096266" w14:textId="5E614F2E">
            <w:pPr>
              <w:pBdr>
                <w:top w:val="single" w:sz="6" w:space="0" w:color="FFFFFF"/>
                <w:left w:val="single" w:sz="6" w:space="0" w:color="FFFFFF"/>
                <w:bottom w:val="single" w:sz="6" w:space="0" w:color="FFFFFF"/>
                <w:right w:val="single" w:sz="6" w:space="0" w:color="FFFFFF"/>
              </w:pBdr>
              <w:spacing w:after="58"/>
            </w:pPr>
            <w:r w:rsidRPr="00745676">
              <w:t xml:space="preserve">Records to show continuous compliance with each emissions limitation, work practice standard, and operation and maintenance requirement </w:t>
            </w:r>
          </w:p>
        </w:tc>
        <w:tc>
          <w:tcPr>
            <w:tcW w:w="2250" w:type="dxa"/>
            <w:tcBorders>
              <w:top w:val="single" w:sz="7" w:space="0" w:color="000000"/>
              <w:left w:val="single" w:sz="7" w:space="0" w:color="000000"/>
              <w:bottom w:val="single" w:sz="7" w:space="0" w:color="000000"/>
              <w:right w:val="single" w:sz="7" w:space="0" w:color="000000"/>
            </w:tcBorders>
          </w:tcPr>
          <w:p w:rsidR="00F60B3F" w:rsidRPr="00745676" w:rsidP="00F60B3F" w14:paraId="3B10A298" w14:textId="4ABA82EB">
            <w:pPr>
              <w:pBdr>
                <w:top w:val="single" w:sz="6" w:space="0" w:color="FFFFFF"/>
                <w:left w:val="single" w:sz="6" w:space="0" w:color="FFFFFF"/>
                <w:bottom w:val="single" w:sz="6" w:space="0" w:color="FFFFFF"/>
                <w:right w:val="single" w:sz="6" w:space="0" w:color="FFFFFF"/>
              </w:pBdr>
              <w:spacing w:after="58"/>
            </w:pPr>
            <w:r w:rsidRPr="00745676">
              <w:t xml:space="preserve">§§63.7952(c), (d) </w:t>
            </w:r>
          </w:p>
        </w:tc>
      </w:tr>
    </w:tbl>
    <w:p w:rsidR="0034660E" w:rsidP="0034660E" w14:paraId="0B604400" w14:textId="77777777">
      <w:pPr>
        <w:spacing w:before="120" w:after="0"/>
        <w:rPr>
          <w:rFonts w:cstheme="minorHAnsi"/>
          <w:color w:val="000000"/>
        </w:rPr>
      </w:pPr>
    </w:p>
    <w:p w:rsidR="001172FE" w:rsidRPr="00163C69" w:rsidP="0034660E" w14:paraId="7B8A0ACD" w14:textId="74EE525B">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tbl>
      <w:tblPr>
        <w:tblStyle w:val="TableGrid"/>
        <w:tblW w:w="9445" w:type="dxa"/>
        <w:tblLook w:val="04A0"/>
      </w:tblPr>
      <w:tblGrid>
        <w:gridCol w:w="9445"/>
      </w:tblGrid>
      <w:tr w14:paraId="3721002F" w14:textId="77777777" w:rsidTr="00E77365">
        <w:tblPrEx>
          <w:tblW w:w="9445" w:type="dxa"/>
          <w:tblLook w:val="04A0"/>
        </w:tblPrEx>
        <w:trPr>
          <w:cantSplit/>
          <w:trHeight w:val="521"/>
          <w:tblHeader/>
        </w:trPr>
        <w:tc>
          <w:tcPr>
            <w:tcW w:w="9445" w:type="dxa"/>
          </w:tcPr>
          <w:p w:rsidR="00F60B3F" w:rsidRPr="008B4E33" w:rsidP="00E77365" w14:paraId="52E505EC" w14:textId="77777777">
            <w:pPr>
              <w:jc w:val="center"/>
              <w:outlineLvl w:val="0"/>
              <w:rPr>
                <w:b/>
                <w:bCs/>
              </w:rPr>
            </w:pPr>
            <w:r w:rsidRPr="008B4E33">
              <w:rPr>
                <w:b/>
                <w:bCs/>
              </w:rPr>
              <w:t>Respondent Activities</w:t>
            </w:r>
          </w:p>
        </w:tc>
      </w:tr>
      <w:tr w14:paraId="07F77B8B" w14:textId="77777777" w:rsidTr="00E77365">
        <w:tblPrEx>
          <w:tblW w:w="9445" w:type="dxa"/>
          <w:tblLook w:val="04A0"/>
        </w:tblPrEx>
        <w:trPr>
          <w:trHeight w:val="432"/>
        </w:trPr>
        <w:tc>
          <w:tcPr>
            <w:tcW w:w="9445" w:type="dxa"/>
            <w:vAlign w:val="center"/>
          </w:tcPr>
          <w:p w:rsidR="00F60B3F" w:rsidRPr="008B4E33" w:rsidP="00E77365" w14:paraId="0810CF90" w14:textId="77777777">
            <w:pPr>
              <w:outlineLvl w:val="0"/>
            </w:pPr>
            <w:r w:rsidRPr="008B4E33">
              <w:t>Familiarization with the regulatory requirements.</w:t>
            </w:r>
          </w:p>
        </w:tc>
      </w:tr>
      <w:tr w14:paraId="2A413A62" w14:textId="77777777" w:rsidTr="00E77365">
        <w:tblPrEx>
          <w:tblW w:w="9445" w:type="dxa"/>
          <w:tblLook w:val="04A0"/>
        </w:tblPrEx>
        <w:trPr>
          <w:trHeight w:val="719"/>
        </w:trPr>
        <w:tc>
          <w:tcPr>
            <w:tcW w:w="9445" w:type="dxa"/>
            <w:vAlign w:val="center"/>
          </w:tcPr>
          <w:p w:rsidR="00F60B3F" w:rsidRPr="008B4E33" w:rsidP="00E77365" w14:paraId="3C4B27C3" w14:textId="4D9DBACE">
            <w:pPr>
              <w:outlineLvl w:val="0"/>
            </w:pPr>
            <w:r w:rsidRPr="008B4E33">
              <w:t xml:space="preserve">Install, calibrate, maintain, and operate CMS </w:t>
            </w:r>
            <w:r>
              <w:t>for opacity, or for pressure drop and liquid supply pressure for VOHAP.</w:t>
            </w:r>
          </w:p>
        </w:tc>
      </w:tr>
      <w:tr w14:paraId="244F3D4E" w14:textId="77777777" w:rsidTr="00E77365">
        <w:tblPrEx>
          <w:tblW w:w="9445" w:type="dxa"/>
          <w:tblLook w:val="04A0"/>
        </w:tblPrEx>
        <w:trPr>
          <w:trHeight w:val="701"/>
        </w:trPr>
        <w:tc>
          <w:tcPr>
            <w:tcW w:w="9445" w:type="dxa"/>
            <w:vAlign w:val="center"/>
          </w:tcPr>
          <w:p w:rsidR="00F60B3F" w:rsidRPr="008B4E33" w:rsidP="00E77365" w14:paraId="23699393" w14:textId="0FF01B5D">
            <w:pPr>
              <w:outlineLvl w:val="0"/>
            </w:pPr>
            <w:r w:rsidRPr="008B4E33">
              <w:t>Perform initial performance test and repeat performance tests if necessary.</w:t>
            </w:r>
          </w:p>
        </w:tc>
      </w:tr>
      <w:tr w14:paraId="1883A785" w14:textId="77777777" w:rsidTr="00E77365">
        <w:tblPrEx>
          <w:tblW w:w="9445" w:type="dxa"/>
          <w:tblLook w:val="04A0"/>
        </w:tblPrEx>
        <w:trPr>
          <w:trHeight w:val="432"/>
        </w:trPr>
        <w:tc>
          <w:tcPr>
            <w:tcW w:w="9445" w:type="dxa"/>
            <w:vAlign w:val="center"/>
          </w:tcPr>
          <w:p w:rsidR="00F60B3F" w:rsidRPr="00B60894" w:rsidP="00E77365" w14:paraId="0EEF9715" w14:textId="77777777">
            <w:pPr>
              <w:outlineLvl w:val="0"/>
            </w:pPr>
            <w:r w:rsidRPr="00B60894">
              <w:t>Write the notifications and reports listed above.</w:t>
            </w:r>
          </w:p>
        </w:tc>
      </w:tr>
      <w:tr w14:paraId="5A246771" w14:textId="77777777" w:rsidTr="00E77365">
        <w:tblPrEx>
          <w:tblW w:w="9445" w:type="dxa"/>
          <w:tblLook w:val="04A0"/>
        </w:tblPrEx>
        <w:trPr>
          <w:trHeight w:val="432"/>
        </w:trPr>
        <w:tc>
          <w:tcPr>
            <w:tcW w:w="9445" w:type="dxa"/>
            <w:vAlign w:val="center"/>
          </w:tcPr>
          <w:p w:rsidR="00F60B3F" w:rsidRPr="00B60894" w:rsidP="00E77365" w14:paraId="0DBE5736" w14:textId="77777777">
            <w:pPr>
              <w:outlineLvl w:val="0"/>
            </w:pPr>
            <w:r w:rsidRPr="00B60894">
              <w:t>Enter information required to be recorded above.</w:t>
            </w:r>
          </w:p>
        </w:tc>
      </w:tr>
      <w:tr w14:paraId="60A3DFBF" w14:textId="77777777" w:rsidTr="00E77365">
        <w:tblPrEx>
          <w:tblW w:w="9445" w:type="dxa"/>
          <w:tblLook w:val="04A0"/>
        </w:tblPrEx>
        <w:trPr>
          <w:trHeight w:val="692"/>
        </w:trPr>
        <w:tc>
          <w:tcPr>
            <w:tcW w:w="9445" w:type="dxa"/>
            <w:vAlign w:val="center"/>
          </w:tcPr>
          <w:p w:rsidR="00F60B3F" w:rsidRPr="00B60894" w:rsidP="00E77365" w14:paraId="41A13610" w14:textId="77777777">
            <w:pPr>
              <w:outlineLvl w:val="0"/>
            </w:pPr>
            <w:r w:rsidRPr="00B60894">
              <w:t>Submit the required reports developing, acquiring, installing, and utilizing technology and systems for collecting, validating, and verifying information.</w:t>
            </w:r>
          </w:p>
        </w:tc>
      </w:tr>
      <w:tr w14:paraId="636E74EF" w14:textId="77777777" w:rsidTr="00E77365">
        <w:tblPrEx>
          <w:tblW w:w="9445" w:type="dxa"/>
          <w:tblLook w:val="04A0"/>
        </w:tblPrEx>
        <w:trPr>
          <w:trHeight w:val="764"/>
        </w:trPr>
        <w:tc>
          <w:tcPr>
            <w:tcW w:w="9445" w:type="dxa"/>
            <w:vAlign w:val="center"/>
          </w:tcPr>
          <w:p w:rsidR="00F60B3F" w:rsidRPr="00B60894" w:rsidP="00E77365" w14:paraId="09CB9DB9" w14:textId="77777777">
            <w:pPr>
              <w:outlineLvl w:val="0"/>
            </w:pPr>
            <w:r w:rsidRPr="00B60894">
              <w:t>Develop, acquire, install, and utilize technology and systems for processing and maintaining information.</w:t>
            </w:r>
          </w:p>
        </w:tc>
      </w:tr>
      <w:tr w14:paraId="5E42035E" w14:textId="77777777" w:rsidTr="00E77365">
        <w:tblPrEx>
          <w:tblW w:w="9445" w:type="dxa"/>
          <w:tblLook w:val="04A0"/>
        </w:tblPrEx>
        <w:trPr>
          <w:trHeight w:val="728"/>
        </w:trPr>
        <w:tc>
          <w:tcPr>
            <w:tcW w:w="9445" w:type="dxa"/>
            <w:vAlign w:val="center"/>
          </w:tcPr>
          <w:p w:rsidR="00F60B3F" w:rsidRPr="00B60894" w:rsidP="00E77365" w14:paraId="1F88CD8B" w14:textId="77777777">
            <w:pPr>
              <w:outlineLvl w:val="0"/>
            </w:pPr>
            <w:r w:rsidRPr="00B60894">
              <w:t>Develop, acquire, install, and utilize technology and systems for disclosing and providing information.</w:t>
            </w:r>
          </w:p>
        </w:tc>
      </w:tr>
      <w:tr w14:paraId="71F361E0" w14:textId="77777777" w:rsidTr="00E77365">
        <w:tblPrEx>
          <w:tblW w:w="9445" w:type="dxa"/>
          <w:tblLook w:val="04A0"/>
        </w:tblPrEx>
        <w:trPr>
          <w:trHeight w:val="432"/>
        </w:trPr>
        <w:tc>
          <w:tcPr>
            <w:tcW w:w="9445" w:type="dxa"/>
            <w:vAlign w:val="center"/>
          </w:tcPr>
          <w:p w:rsidR="00F60B3F" w:rsidRPr="00B60894" w:rsidP="00E77365" w14:paraId="25881DFE" w14:textId="77777777">
            <w:pPr>
              <w:outlineLvl w:val="0"/>
            </w:pPr>
            <w:r w:rsidRPr="00B60894">
              <w:t>Train personnel to be able to respond to a collection of information.</w:t>
            </w:r>
          </w:p>
        </w:tc>
      </w:tr>
      <w:tr w14:paraId="6A5634CA" w14:textId="77777777" w:rsidTr="00E77365">
        <w:tblPrEx>
          <w:tblW w:w="9445" w:type="dxa"/>
          <w:tblLook w:val="04A0"/>
        </w:tblPrEx>
        <w:trPr>
          <w:trHeight w:val="432"/>
        </w:trPr>
        <w:tc>
          <w:tcPr>
            <w:tcW w:w="9445" w:type="dxa"/>
            <w:vAlign w:val="center"/>
          </w:tcPr>
          <w:p w:rsidR="00F60B3F" w:rsidRPr="00B60894" w:rsidP="00E77365" w14:paraId="20FECEF4" w14:textId="77777777">
            <w:pPr>
              <w:outlineLvl w:val="0"/>
            </w:pPr>
            <w:r w:rsidRPr="00B60894">
              <w:t>Transmit, or otherwise disclose the information.</w:t>
            </w:r>
          </w:p>
        </w:tc>
      </w:tr>
    </w:tbl>
    <w:p w:rsidR="009F1E00" w:rsidRPr="00BB3410" w:rsidP="00854AAE" w14:paraId="3C4B52CA" w14:textId="3DF4F4CF">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046907" w:rsidRPr="00046907" w:rsidP="00046907" w14:paraId="7632E7E6" w14:textId="56CC718B">
      <w:pPr>
        <w:spacing w:before="60"/>
        <w:rPr>
          <w:rFonts w:cstheme="minorHAnsi"/>
        </w:rPr>
      </w:pPr>
      <w:r w:rsidRPr="00046907">
        <w:rPr>
          <w:rFonts w:cstheme="minorHAnsi"/>
        </w:rPr>
        <w:t>Table</w:t>
      </w:r>
      <w:r>
        <w:rPr>
          <w:rFonts w:cstheme="minorHAnsi"/>
        </w:rPr>
        <w:t>s</w:t>
      </w:r>
      <w:r w:rsidRPr="00046907">
        <w:rPr>
          <w:rFonts w:cstheme="minorHAnsi"/>
        </w:rPr>
        <w:t xml:space="preserve"> 1</w:t>
      </w:r>
      <w:r>
        <w:rPr>
          <w:rFonts w:cstheme="minorHAnsi"/>
        </w:rPr>
        <w:t>a and 1b</w:t>
      </w:r>
      <w:r w:rsidRPr="00046907">
        <w:rPr>
          <w:rFonts w:cstheme="minorHAnsi"/>
        </w:rPr>
        <w:t xml:space="preserve"> document the computation of individual burdens for the recordkeeping and reporting requirements applicable to </w:t>
      </w:r>
      <w:r>
        <w:rPr>
          <w:rFonts w:cstheme="minorHAnsi"/>
        </w:rPr>
        <w:t>facilities subject to the</w:t>
      </w:r>
      <w:r w:rsidRPr="00046907">
        <w:rPr>
          <w:rFonts w:cstheme="minorHAnsi"/>
        </w:rPr>
        <w:t xml:space="preserv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046907" w:rsidRPr="00046907" w:rsidP="00046907" w14:paraId="19F755A6" w14:textId="2E1AE3CD">
      <w:pPr>
        <w:spacing w:before="60"/>
        <w:rPr>
          <w:rFonts w:cstheme="minorHAnsi"/>
        </w:rPr>
      </w:pPr>
      <w:r w:rsidRPr="00046907">
        <w:rPr>
          <w:rFonts w:cstheme="minorHAnsi"/>
        </w:rPr>
        <w:t xml:space="preserve">The average annual burden to </w:t>
      </w:r>
      <w:r>
        <w:rPr>
          <w:rFonts w:cstheme="minorHAnsi"/>
        </w:rPr>
        <w:t>private sector and Federal government facilities</w:t>
      </w:r>
      <w:r w:rsidRPr="00046907">
        <w:rPr>
          <w:rFonts w:cstheme="minorHAnsi"/>
        </w:rPr>
        <w:t xml:space="preserve"> over the next three years from these recordkeeping and reporting requirements is estimated to be </w:t>
      </w:r>
      <w:r>
        <w:rPr>
          <w:rFonts w:cstheme="minorHAnsi"/>
        </w:rPr>
        <w:t>47,100</w:t>
      </w:r>
      <w:r w:rsidRPr="00046907">
        <w:rPr>
          <w:rFonts w:cstheme="minorHAnsi"/>
        </w:rPr>
        <w:t xml:space="preserve"> hours (Total Labor Hours from Table 1</w:t>
      </w:r>
      <w:r>
        <w:rPr>
          <w:rFonts w:cstheme="minorHAnsi"/>
        </w:rPr>
        <w:t>c</w:t>
      </w:r>
      <w:r w:rsidRPr="00046907">
        <w:rPr>
          <w:rFonts w:cstheme="minorHAnsi"/>
        </w:rPr>
        <w:t>). These hours are based on Agency studies and background documents from the development of the regulation, Agency knowledge and experience with the NESHAP program, the previously approved ICR, and any comments received.</w:t>
      </w:r>
    </w:p>
    <w:p w:rsidR="00046907" w:rsidRPr="00046907" w:rsidP="00046907" w14:paraId="409D74C8" w14:textId="2699BE31">
      <w:pPr>
        <w:spacing w:before="60"/>
        <w:rPr>
          <w:rFonts w:cstheme="minorHAnsi"/>
        </w:rPr>
      </w:pPr>
      <w:r w:rsidRPr="00046907">
        <w:rPr>
          <w:rFonts w:cstheme="minorHAnsi"/>
        </w:rPr>
        <w:t>This ICR uses the following labor rates</w:t>
      </w:r>
      <w:r>
        <w:rPr>
          <w:rFonts w:cstheme="minorHAnsi"/>
        </w:rPr>
        <w:t xml:space="preserve"> for private sector facilities</w:t>
      </w:r>
      <w:r w:rsidRPr="00046907">
        <w:rPr>
          <w:rFonts w:cstheme="minorHAnsi"/>
        </w:rPr>
        <w:t xml:space="preserve">: </w:t>
      </w:r>
    </w:p>
    <w:p w:rsidR="00046907" w:rsidRPr="00046907" w:rsidP="00046907" w14:paraId="7395EE53" w14:textId="77777777">
      <w:pPr>
        <w:spacing w:before="60" w:after="0"/>
        <w:ind w:left="720"/>
        <w:rPr>
          <w:rFonts w:cstheme="minorHAnsi"/>
        </w:rPr>
      </w:pPr>
      <w:r w:rsidRPr="00046907">
        <w:rPr>
          <w:rFonts w:cstheme="minorHAnsi"/>
        </w:rPr>
        <w:t>Managerial</w:t>
      </w:r>
      <w:r w:rsidRPr="00046907">
        <w:rPr>
          <w:rFonts w:cstheme="minorHAnsi"/>
        </w:rPr>
        <w:tab/>
        <w:t>$163.17 ($77.70 + 110%)</w:t>
      </w:r>
    </w:p>
    <w:p w:rsidR="00046907" w:rsidRPr="00046907" w:rsidP="00046907" w14:paraId="59E4E5E7" w14:textId="77777777">
      <w:pPr>
        <w:spacing w:after="0"/>
        <w:ind w:left="720"/>
        <w:rPr>
          <w:rFonts w:cstheme="minorHAnsi"/>
        </w:rPr>
      </w:pPr>
      <w:r w:rsidRPr="00046907">
        <w:rPr>
          <w:rFonts w:cstheme="minorHAnsi"/>
        </w:rPr>
        <w:t>Technical</w:t>
      </w:r>
      <w:r w:rsidRPr="00046907">
        <w:rPr>
          <w:rFonts w:cstheme="minorHAnsi"/>
        </w:rPr>
        <w:tab/>
        <w:t>$130.28 ($62.04 + 110%)</w:t>
      </w:r>
    </w:p>
    <w:p w:rsidR="00046907" w:rsidRPr="00046907" w:rsidP="00046907" w14:paraId="3D54C395" w14:textId="732224FB">
      <w:pPr>
        <w:spacing w:after="0"/>
        <w:ind w:left="720"/>
        <w:rPr>
          <w:rFonts w:cstheme="minorHAnsi"/>
        </w:rPr>
      </w:pPr>
      <w:r w:rsidRPr="00046907">
        <w:rPr>
          <w:rFonts w:cstheme="minorHAnsi"/>
        </w:rPr>
        <w:t>Clerical</w:t>
      </w:r>
      <w:r w:rsidRPr="00046907">
        <w:rPr>
          <w:rFonts w:cstheme="minorHAnsi"/>
        </w:rPr>
        <w:tab/>
      </w:r>
      <w:r>
        <w:rPr>
          <w:rFonts w:cstheme="minorHAnsi"/>
        </w:rPr>
        <w:tab/>
      </w:r>
      <w:r w:rsidRPr="00046907">
        <w:rPr>
          <w:rFonts w:cstheme="minorHAnsi"/>
        </w:rPr>
        <w:t>$65.71 ($31.29 + 110%)</w:t>
      </w:r>
    </w:p>
    <w:p w:rsidR="00046907" w:rsidP="00046907" w14:paraId="728FB273" w14:textId="77777777">
      <w:pPr>
        <w:spacing w:before="60"/>
        <w:rPr>
          <w:rFonts w:cstheme="minorHAnsi"/>
        </w:rPr>
      </w:pPr>
    </w:p>
    <w:p w:rsidR="00046907" w:rsidP="00046907" w14:paraId="671A5C0D" w14:textId="081040B9">
      <w:pPr>
        <w:spacing w:before="60"/>
        <w:rPr>
          <w:rFonts w:cstheme="minorHAnsi"/>
        </w:rPr>
      </w:pPr>
      <w:r w:rsidRPr="00046907">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046907" w:rsidRPr="000F2D4F" w:rsidP="00046907" w14:paraId="66BEBBA7" w14:textId="32F7A4E1">
      <w:pPr>
        <w:rPr>
          <w:rFonts w:cstheme="minorHAnsi"/>
          <w:color w:val="000000"/>
        </w:rPr>
      </w:pPr>
      <w:r w:rsidRPr="000F2D4F">
        <w:rPr>
          <w:rFonts w:cstheme="minorHAnsi"/>
          <w:color w:val="000000"/>
        </w:rPr>
        <w:t xml:space="preserve">This </w:t>
      </w:r>
      <w:r>
        <w:rPr>
          <w:rFonts w:cstheme="minorHAnsi"/>
          <w:color w:val="000000"/>
        </w:rPr>
        <w:t xml:space="preserve">ICR uses the following </w:t>
      </w:r>
      <w:r w:rsidRPr="000F2D4F">
        <w:rPr>
          <w:rFonts w:cstheme="minorHAnsi"/>
          <w:color w:val="000000"/>
        </w:rPr>
        <w:t>labor rate</w:t>
      </w:r>
      <w:r>
        <w:rPr>
          <w:rFonts w:cstheme="minorHAnsi"/>
          <w:color w:val="000000"/>
        </w:rPr>
        <w:t>s</w:t>
      </w:r>
      <w:r w:rsidRPr="000F2D4F">
        <w:rPr>
          <w:rFonts w:cstheme="minorHAnsi"/>
          <w:color w:val="000000"/>
        </w:rPr>
        <w:t xml:space="preserve"> </w:t>
      </w:r>
      <w:r>
        <w:rPr>
          <w:rFonts w:cstheme="minorHAnsi"/>
          <w:color w:val="000000"/>
        </w:rPr>
        <w:t>for Federal government facilities</w:t>
      </w:r>
      <w:r w:rsidRPr="000F2D4F">
        <w:rPr>
          <w:rFonts w:cstheme="minorHAnsi"/>
          <w:color w:val="000000"/>
        </w:rPr>
        <w:t>:</w:t>
      </w:r>
    </w:p>
    <w:p w:rsidR="00046907" w:rsidRPr="000F2D4F" w:rsidP="00046907" w14:paraId="3E31E6E3" w14:textId="77777777">
      <w:pPr>
        <w:spacing w:after="0" w:line="240" w:lineRule="auto"/>
        <w:rPr>
          <w:rFonts w:cstheme="minorHAnsi"/>
          <w:color w:val="000000"/>
        </w:rPr>
      </w:pPr>
      <w:r w:rsidRPr="000F2D4F">
        <w:rPr>
          <w:rFonts w:cstheme="minorHAnsi"/>
          <w:color w:val="000000"/>
        </w:rPr>
        <w:tab/>
      </w:r>
      <w:r w:rsidRPr="000F2D4F">
        <w:rPr>
          <w:rFonts w:cstheme="minorHAnsi"/>
          <w:color w:val="000000"/>
        </w:rPr>
        <w:tab/>
        <w:t>Managerial</w:t>
      </w:r>
      <w:r w:rsidRPr="000F2D4F">
        <w:rPr>
          <w:rFonts w:cstheme="minorHAnsi"/>
          <w:color w:val="000000"/>
        </w:rPr>
        <w:tab/>
        <w:t xml:space="preserve"> $73.46 (GS-13, Step 5, $45.91 + 60%)</w:t>
      </w:r>
      <w:r w:rsidRPr="000F2D4F">
        <w:rPr>
          <w:rFonts w:cstheme="minorHAnsi"/>
          <w:color w:val="000000"/>
        </w:rPr>
        <w:tab/>
      </w:r>
      <w:r w:rsidRPr="000F2D4F">
        <w:rPr>
          <w:rFonts w:cstheme="minorHAnsi"/>
          <w:color w:val="000000"/>
        </w:rPr>
        <w:tab/>
      </w:r>
    </w:p>
    <w:p w:rsidR="00046907" w:rsidRPr="000F2D4F" w:rsidP="00046907" w14:paraId="1B73578D" w14:textId="77777777">
      <w:pPr>
        <w:spacing w:after="0" w:line="240" w:lineRule="auto"/>
        <w:ind w:left="720" w:firstLine="720"/>
        <w:rPr>
          <w:rFonts w:cstheme="minorHAnsi"/>
          <w:color w:val="000000"/>
        </w:rPr>
      </w:pPr>
      <w:r w:rsidRPr="000F2D4F">
        <w:rPr>
          <w:rFonts w:cstheme="minorHAnsi"/>
          <w:color w:val="000000"/>
        </w:rPr>
        <w:t>Technical</w:t>
      </w:r>
      <w:r w:rsidRPr="000F2D4F">
        <w:rPr>
          <w:rFonts w:cstheme="minorHAnsi"/>
          <w:color w:val="000000"/>
        </w:rPr>
        <w:tab/>
        <w:t xml:space="preserve"> $54.51 (GS-12, Step 1, $34.07 + 60%)</w:t>
      </w:r>
    </w:p>
    <w:p w:rsidR="00046907" w:rsidRPr="000F2D4F" w:rsidP="00046907" w14:paraId="32F281D5" w14:textId="77777777">
      <w:pPr>
        <w:spacing w:after="0" w:line="240" w:lineRule="auto"/>
        <w:ind w:left="720" w:firstLine="720"/>
        <w:rPr>
          <w:rFonts w:cstheme="minorHAnsi"/>
          <w:color w:val="000000"/>
        </w:rPr>
      </w:pPr>
      <w:r w:rsidRPr="000F2D4F">
        <w:rPr>
          <w:rFonts w:cstheme="minorHAnsi"/>
          <w:color w:val="000000"/>
        </w:rPr>
        <w:t>Clerical</w:t>
      </w:r>
      <w:r w:rsidRPr="000F2D4F">
        <w:rPr>
          <w:rFonts w:cstheme="minorHAnsi"/>
          <w:color w:val="000000"/>
        </w:rPr>
        <w:tab/>
        <w:t xml:space="preserve"> </w:t>
      </w:r>
      <w:r>
        <w:rPr>
          <w:rFonts w:cstheme="minorHAnsi"/>
          <w:color w:val="000000"/>
        </w:rPr>
        <w:tab/>
      </w:r>
      <w:r w:rsidRPr="000F2D4F">
        <w:rPr>
          <w:rFonts w:cstheme="minorHAnsi"/>
          <w:color w:val="000000"/>
        </w:rPr>
        <w:t>$29.50 (GS-6, Step 3, $18.44 + 60%)</w:t>
      </w:r>
    </w:p>
    <w:p w:rsidR="00046907" w:rsidP="00046907" w14:paraId="15EFB4C8" w14:textId="77777777">
      <w:pPr>
        <w:spacing w:before="120" w:after="0"/>
        <w:rPr>
          <w:rFonts w:cstheme="minorHAnsi"/>
          <w:color w:val="000000"/>
        </w:rPr>
      </w:pPr>
    </w:p>
    <w:p w:rsidR="00046907" w:rsidP="00046907" w14:paraId="66C280F5" w14:textId="4D328E83">
      <w:pPr>
        <w:spacing w:before="120" w:after="0"/>
        <w:rPr>
          <w:rFonts w:cstheme="minorHAnsi"/>
          <w:color w:val="000000"/>
        </w:rPr>
      </w:pPr>
      <w:r w:rsidRPr="000F2D4F">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w:t>
      </w:r>
    </w:p>
    <w:p w:rsidR="00046907" w:rsidRPr="00046907" w:rsidP="00046907" w14:paraId="47DF2EEF" w14:textId="77777777">
      <w:pPr>
        <w:spacing w:before="60"/>
        <w:rPr>
          <w:rFonts w:cstheme="minorHAnsi"/>
        </w:rPr>
      </w:pPr>
    </w:p>
    <w:p w:rsidR="00ED57A4" w:rsidRPr="00BB3410" w:rsidP="00046907" w14:paraId="68F435BE" w14:textId="794A400D">
      <w:pPr>
        <w:spacing w:before="60"/>
        <w:rPr>
          <w:rFonts w:cstheme="minorHAnsi"/>
        </w:rPr>
      </w:pPr>
      <w:r w:rsidRPr="00046907">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46907" w:rsidRPr="00046907" w:rsidP="00046907" w14:paraId="1B0A18D5" w14:textId="7DDED7A6">
      <w:pPr>
        <w:pBdr>
          <w:top w:val="single" w:sz="6" w:space="0" w:color="FFFFFF"/>
          <w:left w:val="single" w:sz="6" w:space="0" w:color="FFFFFF"/>
          <w:bottom w:val="single" w:sz="6" w:space="0" w:color="FFFFFF"/>
          <w:right w:val="single" w:sz="6" w:space="0" w:color="FFFFFF"/>
        </w:pBdr>
        <w:rPr>
          <w:rFonts w:cstheme="minorHAnsi"/>
          <w:color w:val="000000"/>
        </w:rPr>
      </w:pPr>
      <w:r w:rsidRPr="00046907">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00046907" w:rsidRPr="00046907" w:rsidP="00046907" w14:paraId="6D6758A7" w14:textId="58953ED1">
      <w:pPr>
        <w:pBdr>
          <w:top w:val="single" w:sz="6" w:space="0" w:color="FFFFFF"/>
          <w:left w:val="single" w:sz="6" w:space="0" w:color="FFFFFF"/>
          <w:bottom w:val="single" w:sz="6" w:space="0" w:color="FFFFFF"/>
          <w:right w:val="single" w:sz="6" w:space="0" w:color="FFFFFF"/>
        </w:pBdr>
        <w:rPr>
          <w:rFonts w:cstheme="minorHAnsi"/>
          <w:color w:val="000000"/>
        </w:rPr>
      </w:pPr>
      <w:r w:rsidRPr="00046907">
        <w:rPr>
          <w:rFonts w:cstheme="minorHAnsi"/>
          <w:color w:val="000000"/>
        </w:rPr>
        <w:t>The total capital/startup costs for this ICR are $</w:t>
      </w:r>
      <w:r>
        <w:rPr>
          <w:rFonts w:cstheme="minorHAnsi"/>
          <w:color w:val="000000"/>
        </w:rPr>
        <w:t>0</w:t>
      </w:r>
      <w:r w:rsidRPr="00046907">
        <w:rPr>
          <w:rFonts w:cstheme="minorHAnsi"/>
          <w:color w:val="000000"/>
        </w:rPr>
        <w:t xml:space="preserve">. This is the total of column D shown below in the table Capital/Startup vs. Operation and Maintenance (O&amp;M) Costs. </w:t>
      </w:r>
    </w:p>
    <w:p w:rsidR="00046907" w:rsidRPr="00046907" w:rsidP="00046907" w14:paraId="30C0DE21" w14:textId="005AE967">
      <w:pPr>
        <w:pBdr>
          <w:top w:val="single" w:sz="6" w:space="0" w:color="FFFFFF"/>
          <w:left w:val="single" w:sz="6" w:space="0" w:color="FFFFFF"/>
          <w:bottom w:val="single" w:sz="6" w:space="0" w:color="FFFFFF"/>
          <w:right w:val="single" w:sz="6" w:space="0" w:color="FFFFFF"/>
        </w:pBdr>
        <w:rPr>
          <w:rFonts w:cstheme="minorHAnsi"/>
          <w:color w:val="000000"/>
        </w:rPr>
      </w:pPr>
      <w:r w:rsidRPr="00046907">
        <w:rPr>
          <w:rFonts w:cstheme="minorHAnsi"/>
          <w:color w:val="000000"/>
        </w:rPr>
        <w:t>The total operation and maintenance (O&amp;M) costs for this ICR are $</w:t>
      </w:r>
      <w:r>
        <w:rPr>
          <w:rFonts w:cstheme="minorHAnsi"/>
          <w:color w:val="000000"/>
        </w:rPr>
        <w:t>256,000</w:t>
      </w:r>
      <w:r w:rsidRPr="00046907">
        <w:rPr>
          <w:rFonts w:cstheme="minorHAnsi"/>
          <w:color w:val="000000"/>
        </w:rPr>
        <w:t>. This is the total of column G shown below in the table Capital/Startup vs. Operation and Maintenance (O&amp;M) Costs.</w:t>
      </w:r>
    </w:p>
    <w:p w:rsidR="00BB3410" w:rsidRPr="00BB3410" w:rsidP="00046907" w14:paraId="678BA42F" w14:textId="17171F17">
      <w:pPr>
        <w:pBdr>
          <w:top w:val="single" w:sz="6" w:space="0" w:color="FFFFFF"/>
          <w:left w:val="single" w:sz="6" w:space="0" w:color="FFFFFF"/>
          <w:bottom w:val="single" w:sz="6" w:space="0" w:color="FFFFFF"/>
          <w:right w:val="single" w:sz="6" w:space="0" w:color="FFFFFF"/>
        </w:pBdr>
        <w:rPr>
          <w:rFonts w:cstheme="minorHAnsi"/>
          <w:color w:val="000000"/>
        </w:rPr>
      </w:pPr>
      <w:r w:rsidRPr="00046907">
        <w:rPr>
          <w:rFonts w:cstheme="minorHAnsi"/>
          <w:color w:val="000000"/>
        </w:rPr>
        <w:t>The average annual cost for capital/startup and operation and maintenance costs to industry over the next three years of the ICR is estimated to be $2</w:t>
      </w:r>
      <w:r>
        <w:rPr>
          <w:rFonts w:cstheme="minorHAnsi"/>
          <w:color w:val="000000"/>
        </w:rPr>
        <w:t>56</w:t>
      </w:r>
      <w:r w:rsidRPr="00046907">
        <w:rPr>
          <w:rFonts w:cstheme="minorHAnsi"/>
          <w:color w:val="000000"/>
        </w:rPr>
        <w:t>,000. These are recordkeeping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F43666" w:rsidRPr="00B60894" w:rsidP="00F43666" w14:paraId="13D02FDD" w14:textId="77777777">
      <w:pPr>
        <w:pBdr>
          <w:top w:val="single" w:sz="6" w:space="0" w:color="FFFFFF"/>
          <w:left w:val="single" w:sz="6" w:space="0" w:color="FFFFFF"/>
          <w:bottom w:val="single" w:sz="6" w:space="0" w:color="FFFFFF"/>
          <w:right w:val="single" w:sz="6" w:space="0" w:color="FFFFFF"/>
        </w:pBdr>
      </w:pPr>
      <w:r>
        <w:t xml:space="preserve">The </w:t>
      </w:r>
      <w:r w:rsidRPr="00B60894">
        <w:t>EPA conducts the following activities in connection with the acquisition, analysis, storage, and distribution of the required information</w:t>
      </w:r>
      <w:r>
        <w:t>:</w:t>
      </w:r>
    </w:p>
    <w:p w:rsidR="00F43666" w:rsidP="00F43666" w14:paraId="17450E48" w14:textId="745CBF9D">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Review notifications and reports, including performance test reports, and excess emissions reports, required to be submitted by industry.</w:t>
      </w:r>
    </w:p>
    <w:p w:rsidR="00C57906" w:rsidRPr="00EC40E6" w:rsidP="00F43666" w14:paraId="6489C49A" w14:textId="5A04AA5F">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C57906">
        <w:rPr>
          <w:color w:val="000000"/>
        </w:rPr>
        <w:t>Conduct initial compliance determination.</w:t>
      </w:r>
    </w:p>
    <w:p w:rsidR="00F43666" w:rsidRPr="00EC40E6" w:rsidP="00F43666" w14:paraId="4F419C8C" w14:textId="77777777">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Audit facility records</w:t>
      </w:r>
      <w:r>
        <w:rPr>
          <w:color w:val="000000"/>
        </w:rPr>
        <w:t>.</w:t>
      </w:r>
    </w:p>
    <w:p w:rsidR="009F1E00" w:rsidP="00C57906" w14:paraId="647FDC77" w14:textId="24303814">
      <w:pPr>
        <w:pStyle w:val="ListParagraph"/>
        <w:numPr>
          <w:ilvl w:val="0"/>
          <w:numId w:val="28"/>
        </w:numPr>
        <w:pBdr>
          <w:top w:val="single" w:sz="6" w:space="0" w:color="FFFFFF"/>
          <w:left w:val="single" w:sz="6" w:space="0" w:color="FFFFFF"/>
          <w:bottom w:val="single" w:sz="6" w:space="0" w:color="FFFFFF"/>
          <w:right w:val="single" w:sz="6" w:space="0" w:color="FFFFFF"/>
        </w:pBdr>
        <w:rPr>
          <w:color w:val="000000"/>
        </w:rPr>
      </w:pPr>
      <w:r w:rsidRPr="00EC40E6">
        <w:rPr>
          <w:color w:val="000000"/>
        </w:rPr>
        <w:t>Input, analyze, and maintain data in the Enforcement and Compliance History Online (ECHO) and ICIS.</w:t>
      </w:r>
    </w:p>
    <w:p w:rsidR="00C57906" w:rsidRPr="00C57906" w:rsidP="00C57906" w14:paraId="575F85E6" w14:textId="77777777">
      <w:pPr>
        <w:pBdr>
          <w:top w:val="single" w:sz="6" w:space="0" w:color="FFFFFF"/>
          <w:left w:val="single" w:sz="6" w:space="0" w:color="FFFFFF"/>
          <w:bottom w:val="single" w:sz="6" w:space="0" w:color="FFFFFF"/>
          <w:right w:val="single" w:sz="6" w:space="0" w:color="FFFFFF"/>
        </w:pBdr>
        <w:rPr>
          <w:color w:val="000000"/>
        </w:rPr>
      </w:pPr>
      <w:r w:rsidRPr="00C57906">
        <w:rPr>
          <w:color w:val="000000"/>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57906" w:rsidRPr="00C57906" w:rsidP="00C57906" w14:paraId="1E7CD53D" w14:textId="5ABBC1E4">
      <w:pPr>
        <w:pBdr>
          <w:top w:val="single" w:sz="6" w:space="0" w:color="FFFFFF"/>
          <w:left w:val="single" w:sz="6" w:space="0" w:color="FFFFFF"/>
          <w:bottom w:val="single" w:sz="6" w:space="0" w:color="FFFFFF"/>
          <w:right w:val="single" w:sz="6" w:space="0" w:color="FFFFFF"/>
        </w:pBdr>
        <w:rPr>
          <w:color w:val="000000"/>
        </w:rPr>
      </w:pPr>
      <w:r w:rsidRPr="00C57906">
        <w:rPr>
          <w:color w:val="000000"/>
        </w:rPr>
        <w:t xml:space="preserve">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w:t>
      </w:r>
      <w:r>
        <w:rPr>
          <w:color w:val="000000"/>
        </w:rPr>
        <w:t>a</w:t>
      </w:r>
      <w:r w:rsidRPr="00C57906">
        <w:rPr>
          <w:color w:val="000000"/>
        </w:rPr>
        <w:t>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C57906" w:rsidRPr="00C57906" w:rsidP="00C57906" w14:paraId="5BC98007" w14:textId="6F6CDA1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57906">
        <w:rPr>
          <w:rFonts w:cstheme="minorHAnsi"/>
          <w:color w:val="000000"/>
        </w:rPr>
        <w:t>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The average annual Agency burden and cost over next three years is estimated to be 1</w:t>
      </w:r>
      <w:r>
        <w:rPr>
          <w:rFonts w:cstheme="minorHAnsi"/>
          <w:color w:val="000000"/>
        </w:rPr>
        <w:t>,340</w:t>
      </w:r>
      <w:r w:rsidRPr="00C57906">
        <w:rPr>
          <w:rFonts w:cstheme="minorHAnsi"/>
          <w:color w:val="000000"/>
        </w:rPr>
        <w:t xml:space="preserve"> labor hours at a cost of $</w:t>
      </w:r>
      <w:r>
        <w:rPr>
          <w:rFonts w:cstheme="minorHAnsi"/>
          <w:color w:val="000000"/>
        </w:rPr>
        <w:t>71,400</w:t>
      </w:r>
      <w:r w:rsidRPr="00C57906">
        <w:rPr>
          <w:rFonts w:cstheme="minorHAnsi"/>
          <w:color w:val="000000"/>
        </w:rPr>
        <w:t>. See Table 2: Average Annual EPA Burden and Cost – NESHAP for Site Remediation (40 CFR Part 63, Subpart GGGGG) (Renewal)</w:t>
      </w:r>
      <w:r>
        <w:rPr>
          <w:rFonts w:cstheme="minorHAnsi"/>
          <w:color w:val="000000"/>
        </w:rPr>
        <w:t>.</w:t>
      </w:r>
    </w:p>
    <w:p w:rsidR="00C57906" w:rsidRPr="00C57906" w:rsidP="00C57906" w14:paraId="5C416C0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57906">
        <w:rPr>
          <w:rFonts w:cstheme="minorHAnsi"/>
          <w:color w:val="000000"/>
        </w:rPr>
        <w:t>This cost is based on the average hourly labor rate as follows:</w:t>
      </w:r>
    </w:p>
    <w:p w:rsidR="00C57906" w:rsidRPr="00C57906" w:rsidP="00C57906" w14:paraId="54D92593" w14:textId="5A5DB9BC">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C57906">
        <w:rPr>
          <w:rFonts w:cstheme="minorHAnsi"/>
          <w:color w:val="000000"/>
        </w:rPr>
        <w:t>Managerial</w:t>
      </w:r>
      <w:r w:rsidRPr="00C57906">
        <w:rPr>
          <w:rFonts w:cstheme="minorHAnsi"/>
          <w:color w:val="000000"/>
        </w:rPr>
        <w:tab/>
        <w:t xml:space="preserve"> $73.46 (GS-13, Step 5, $45.91 + 60%)</w:t>
      </w:r>
      <w:r w:rsidRPr="00C57906">
        <w:rPr>
          <w:rFonts w:cstheme="minorHAnsi"/>
          <w:color w:val="000000"/>
        </w:rPr>
        <w:tab/>
      </w:r>
      <w:r w:rsidRPr="00C57906">
        <w:rPr>
          <w:rFonts w:cstheme="minorHAnsi"/>
          <w:color w:val="000000"/>
        </w:rPr>
        <w:tab/>
      </w:r>
    </w:p>
    <w:p w:rsidR="00C57906" w:rsidRPr="00C57906" w:rsidP="00C57906" w14:paraId="29834F9F" w14:textId="77777777">
      <w:pPr>
        <w:pBdr>
          <w:top w:val="single" w:sz="6" w:space="0" w:color="FFFFFF"/>
          <w:left w:val="single" w:sz="6" w:space="0" w:color="FFFFFF"/>
          <w:bottom w:val="single" w:sz="6" w:space="0" w:color="FFFFFF"/>
          <w:right w:val="single" w:sz="6" w:space="0" w:color="FFFFFF"/>
        </w:pBdr>
        <w:spacing w:after="0"/>
        <w:rPr>
          <w:rFonts w:cstheme="minorHAnsi"/>
          <w:color w:val="000000"/>
        </w:rPr>
      </w:pPr>
      <w:r w:rsidRPr="00C57906">
        <w:rPr>
          <w:rFonts w:cstheme="minorHAnsi"/>
          <w:color w:val="000000"/>
        </w:rPr>
        <w:t>Technical</w:t>
      </w:r>
      <w:r w:rsidRPr="00C57906">
        <w:rPr>
          <w:rFonts w:cstheme="minorHAnsi"/>
          <w:color w:val="000000"/>
        </w:rPr>
        <w:tab/>
        <w:t xml:space="preserve"> $54.51 (GS-12, Step 1, $34.07 + 60%)</w:t>
      </w:r>
    </w:p>
    <w:p w:rsidR="00C57906" w:rsidRPr="00C57906" w:rsidP="00C57906" w14:paraId="2D924AB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C57906">
        <w:rPr>
          <w:rFonts w:cstheme="minorHAnsi"/>
          <w:color w:val="000000"/>
        </w:rPr>
        <w:t>Clerical</w:t>
      </w:r>
      <w:r w:rsidRPr="00C57906">
        <w:rPr>
          <w:rFonts w:cstheme="minorHAnsi"/>
          <w:color w:val="000000"/>
        </w:rPr>
        <w:tab/>
        <w:t xml:space="preserve"> </w:t>
      </w:r>
      <w:r w:rsidRPr="00C57906">
        <w:rPr>
          <w:rFonts w:cstheme="minorHAnsi"/>
          <w:color w:val="000000"/>
        </w:rPr>
        <w:tab/>
        <w:t>$29.50 (GS-6, Step 3, $18.44 + 60%)</w:t>
      </w:r>
    </w:p>
    <w:p w:rsidR="00C57906" w:rsidRPr="00C57906" w:rsidP="00C57906" w14:paraId="7BA94FB6" w14:textId="55C3DAB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57906">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Site Remediation (40 CFR Part 63, Subpart GGGGG) (Renewal).</w:t>
      </w:r>
    </w:p>
    <w:p w:rsidR="00BB3410" w:rsidRPr="00BB3410" w:rsidP="00C57906" w14:paraId="5BA12778" w14:textId="2963F36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57906">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62ACF3B6">
      <w:pPr>
        <w:spacing w:before="60"/>
        <w:rPr>
          <w:rFonts w:cstheme="minorHAnsi"/>
        </w:rPr>
      </w:pPr>
      <w:r w:rsidRPr="00C57906">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18F76AB6" w14:textId="63F3E46F">
      <w:pPr>
        <w:pBdr>
          <w:top w:val="single" w:sz="6" w:space="0" w:color="FFFFFF"/>
          <w:left w:val="single" w:sz="6" w:space="0" w:color="FFFFFF"/>
          <w:bottom w:val="single" w:sz="6" w:space="0" w:color="FFFFFF"/>
          <w:right w:val="single" w:sz="6" w:space="0" w:color="FFFFFF"/>
        </w:pBdr>
        <w:rPr>
          <w:rFonts w:cstheme="minorHAnsi"/>
          <w:color w:val="FF0000"/>
        </w:rPr>
      </w:pPr>
      <w:r>
        <w:rPr>
          <w:rFonts w:cstheme="minorHAnsi"/>
        </w:rPr>
        <w:t xml:space="preserve">There is an adjustment increase in </w:t>
      </w:r>
      <w:r w:rsidRPr="00A932FC">
        <w:rPr>
          <w:rFonts w:cstheme="minorHAnsi"/>
        </w:rPr>
        <w:t>the total estimated burden as currently identified in the OMB Inventory of Approved Burdens</w:t>
      </w:r>
      <w:r>
        <w:rPr>
          <w:rFonts w:cstheme="minorHAnsi"/>
        </w:rPr>
        <w:t xml:space="preserve"> due to an increase in the number of respondents</w:t>
      </w:r>
      <w:r w:rsidRPr="00A932FC">
        <w:rPr>
          <w:rFonts w:cstheme="minorHAnsi"/>
        </w:rPr>
        <w:t xml:space="preserve">. </w:t>
      </w:r>
      <w:r>
        <w:rPr>
          <w:rFonts w:cstheme="minorHAnsi"/>
        </w:rPr>
        <w:t xml:space="preserve">The total estimated burden currently identified in the OMB Inventory of Approved Burdens is </w:t>
      </w:r>
      <w:r w:rsidRPr="00A932FC">
        <w:rPr>
          <w:rFonts w:cstheme="minorHAnsi"/>
        </w:rPr>
        <w:t>19,724</w:t>
      </w:r>
      <w:r>
        <w:rPr>
          <w:rFonts w:cstheme="minorHAnsi"/>
        </w:rPr>
        <w:t xml:space="preserve"> hours as estimated in ICR number 2062.09. This ICR reflects the revised respondent counts estimated in ICR number 2062.10</w:t>
      </w:r>
      <w:r w:rsidR="004C0163">
        <w:rPr>
          <w:rFonts w:cstheme="minorHAnsi"/>
        </w:rPr>
        <w:t xml:space="preserve"> (see Docket ID EPA-HQ-OAR-2002-0021-0176) for the December 2022 final rulemaking (</w:t>
      </w:r>
      <w:r w:rsidRPr="004C0163" w:rsidR="004C0163">
        <w:rPr>
          <w:rFonts w:cstheme="minorHAnsi"/>
        </w:rPr>
        <w:t>87 FR 78545</w:t>
      </w:r>
      <w:r w:rsidR="004C0163">
        <w:rPr>
          <w:rFonts w:cstheme="minorHAnsi"/>
        </w:rPr>
        <w:t>).</w:t>
      </w:r>
      <w:r>
        <w:rPr>
          <w:rFonts w:cstheme="minorHAnsi"/>
        </w:rPr>
        <w:t xml:space="preserve"> </w:t>
      </w:r>
      <w:r w:rsidRPr="003842D6" w:rsidR="003842D6">
        <w:rPr>
          <w:rFonts w:cstheme="minorHAnsi"/>
        </w:rPr>
        <w:t xml:space="preserve">The </w:t>
      </w:r>
      <w:r w:rsidR="004C0163">
        <w:rPr>
          <w:rFonts w:cstheme="minorHAnsi"/>
        </w:rPr>
        <w:t xml:space="preserve">December 2022 </w:t>
      </w:r>
      <w:r w:rsidRPr="003842D6" w:rsidR="003842D6">
        <w:rPr>
          <w:rFonts w:cstheme="minorHAnsi"/>
        </w:rPr>
        <w:t>rulemaking amend</w:t>
      </w:r>
      <w:r w:rsidR="004C0163">
        <w:rPr>
          <w:rFonts w:cstheme="minorHAnsi"/>
        </w:rPr>
        <w:t>ed</w:t>
      </w:r>
      <w:r w:rsidRPr="003842D6" w:rsidR="003842D6">
        <w:rPr>
          <w:rFonts w:cstheme="minorHAnsi"/>
        </w:rPr>
        <w:t xml:space="preserve"> </w:t>
      </w:r>
      <w:r w:rsidR="004C0163">
        <w:rPr>
          <w:rFonts w:cstheme="minorHAnsi"/>
        </w:rPr>
        <w:t>this subpart</w:t>
      </w:r>
      <w:r w:rsidRPr="003842D6" w:rsidR="003842D6">
        <w:rPr>
          <w:rFonts w:cstheme="minorHAnsi"/>
        </w:rPr>
        <w:t xml:space="preserve"> by removing an exemption from the applicability provisions for site remediation activities performed under the authority of the Comprehensive Environmental Response and Compensation Liability Act (CERCLA) and for site remediation activities performed under a Resource Conservation and Recovery Act (RCRA) corrective action or other required RCRA order. </w:t>
      </w:r>
      <w:r w:rsidR="004C0163">
        <w:rPr>
          <w:rFonts w:cstheme="minorHAnsi"/>
        </w:rPr>
        <w:t>This resulted in an increase in the number of respondents and estimated burden. This ICR further adjusts the burden estimated in ICR 2069.10 based on the assumption that the initial requirements for new sources have already been met. There is also an increase in labor costs associated with using updated labor rates</w:t>
      </w:r>
      <w:r w:rsidRPr="004C0163" w:rsidR="004C0163">
        <w:rPr>
          <w:rFonts w:cstheme="minorHAnsi"/>
        </w:rPr>
        <w:t>. This ICR uses labor rates from the most recent Bureau of Labor Statistics report (September 2022)</w:t>
      </w:r>
      <w:r w:rsidR="004C0163">
        <w:rPr>
          <w:rFonts w:cstheme="minorHAnsi"/>
        </w:rPr>
        <w:t xml:space="preserve"> and the </w:t>
      </w:r>
      <w:r w:rsidRPr="004C0163" w:rsidR="004C0163">
        <w:rPr>
          <w:rFonts w:cstheme="minorHAnsi"/>
        </w:rPr>
        <w:t>Office of Personnel Management (OPM), 2023 General Schedule to calculate respondent burden costs.</w:t>
      </w:r>
      <w:r w:rsidR="004C0163">
        <w:rPr>
          <w:rFonts w:cstheme="minorHAnsi"/>
        </w:rPr>
        <w:t xml:space="preserve"> There is a decrease in capital costs based on the assumption that initial capital costs have already been incurred by facilities that became subject to the rule in December 2022. There is an increase in O&amp;M costs due to the increased number of existing facilities that conduct O&amp;M activities.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3F10" w:rsidRPr="00883F10" w:rsidP="00883F10" w14:paraId="3CB19FAF" w14:textId="77777777">
      <w:pPr>
        <w:pBdr>
          <w:top w:val="single" w:sz="6" w:space="0" w:color="FFFFFF"/>
          <w:left w:val="single" w:sz="6" w:space="0" w:color="FFFFFF"/>
          <w:bottom w:val="single" w:sz="6" w:space="0" w:color="FFFFFF"/>
          <w:right w:val="single" w:sz="6" w:space="0" w:color="FFFFFF"/>
        </w:pBdr>
      </w:pPr>
      <w:r w:rsidRPr="00883F10">
        <w:t>Although this rule does not require electronic reporting, respondents could choose to submit notifications or reports electronically. 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w:t>
      </w:r>
      <w:r w:rsidRPr="00883F10">
        <w:rPr>
          <w:u w:val="single"/>
        </w:rPr>
        <w:t>https://www.regulations.gov/</w:t>
      </w:r>
      <w:r w:rsidRPr="00883F10">
        <w:t xml:space="preserve"> for public review and printing. </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E52DA7" w:rsidP="00854AAE" w14:paraId="528AA43D" w14:textId="4D023620">
      <w:pPr>
        <w:pBdr>
          <w:top w:val="single" w:sz="6" w:space="0" w:color="FFFFFF"/>
          <w:left w:val="single" w:sz="6" w:space="0" w:color="FFFFFF"/>
          <w:bottom w:val="single" w:sz="6" w:space="0" w:color="FFFFFF"/>
          <w:right w:val="single" w:sz="6" w:space="0" w:color="FFFFFF"/>
        </w:pBdr>
      </w:pPr>
      <w:r w:rsidRPr="00E52DA7">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2248E9F2">
      <w:pPr>
        <w:pBdr>
          <w:top w:val="single" w:sz="6" w:space="0" w:color="FFFFFF"/>
          <w:left w:val="single" w:sz="6" w:space="0" w:color="FFFFFF"/>
          <w:bottom w:val="single" w:sz="6" w:space="0" w:color="FFFFFF"/>
          <w:right w:val="single" w:sz="6" w:space="0" w:color="FFFFFF"/>
        </w:pBdr>
      </w:pPr>
      <w:r w:rsidRPr="00E52DA7">
        <w:t>There are no exceptions to the topics of the certification statement.</w:t>
      </w:r>
    </w:p>
    <w:p w:rsidR="00BB3410" w:rsidRPr="00BB3410"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tbl>
      <w:tblPr>
        <w:tblW w:w="13068" w:type="dxa"/>
        <w:tblInd w:w="108" w:type="dxa"/>
        <w:tblLook w:val="04A0"/>
      </w:tblPr>
      <w:tblGrid>
        <w:gridCol w:w="3155"/>
        <w:gridCol w:w="1217"/>
        <w:gridCol w:w="1285"/>
        <w:gridCol w:w="1181"/>
        <w:gridCol w:w="1376"/>
        <w:gridCol w:w="1097"/>
        <w:gridCol w:w="1332"/>
        <w:gridCol w:w="1047"/>
        <w:gridCol w:w="1380"/>
      </w:tblGrid>
      <w:tr w14:paraId="62D72CDB" w14:textId="77777777" w:rsidTr="00004F6D">
        <w:tblPrEx>
          <w:tblW w:w="13068" w:type="dxa"/>
          <w:tblInd w:w="108" w:type="dxa"/>
          <w:tblLook w:val="04A0"/>
        </w:tblPrEx>
        <w:trPr>
          <w:trHeight w:val="630"/>
        </w:trPr>
        <w:tc>
          <w:tcPr>
            <w:tcW w:w="13068" w:type="dxa"/>
            <w:gridSpan w:val="9"/>
            <w:tcBorders>
              <w:top w:val="nil"/>
              <w:left w:val="nil"/>
              <w:bottom w:val="nil"/>
              <w:right w:val="nil"/>
            </w:tcBorders>
            <w:shd w:val="clear" w:color="auto" w:fill="auto"/>
            <w:hideMark/>
          </w:tcPr>
          <w:p w:rsidR="00004F6D" w:rsidRPr="00004F6D" w:rsidP="00004F6D" w14:paraId="2B9088A7" w14:textId="77777777">
            <w:pPr>
              <w:spacing w:after="0" w:line="240" w:lineRule="auto"/>
              <w:rPr>
                <w:rFonts w:eastAsia="Times New Roman" w:cstheme="minorHAnsi"/>
                <w:b/>
                <w:bCs/>
                <w:color w:val="000000"/>
                <w:sz w:val="24"/>
                <w:szCs w:val="24"/>
              </w:rPr>
            </w:pPr>
            <w:r w:rsidRPr="00004F6D">
              <w:rPr>
                <w:rFonts w:eastAsia="Times New Roman" w:cstheme="minorHAnsi"/>
                <w:b/>
                <w:bCs/>
                <w:color w:val="000000"/>
                <w:sz w:val="24"/>
                <w:szCs w:val="24"/>
              </w:rPr>
              <w:t>Table 1a: Annual Respondent Burden and Cost for Private Sector – NESHAP for Site Remediation (40 CFR Part 63, Subpart GGGGG) (Renewal)</w:t>
            </w:r>
          </w:p>
        </w:tc>
      </w:tr>
      <w:tr w14:paraId="59F052D9" w14:textId="77777777" w:rsidTr="00004F6D">
        <w:tblPrEx>
          <w:tblW w:w="13068" w:type="dxa"/>
          <w:tblInd w:w="108" w:type="dxa"/>
          <w:tblLook w:val="04A0"/>
        </w:tblPrEx>
        <w:trPr>
          <w:trHeight w:val="1530"/>
        </w:trPr>
        <w:tc>
          <w:tcPr>
            <w:tcW w:w="3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F6D" w:rsidRPr="00004F6D" w:rsidP="00004F6D" w14:paraId="29775E12"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Burden Item</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636098D3"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(A) </w:t>
            </w:r>
            <w:r w:rsidRPr="00004F6D">
              <w:rPr>
                <w:rFonts w:eastAsia="Times New Roman" w:cstheme="minorHAnsi"/>
                <w:b/>
                <w:bCs/>
                <w:color w:val="000000"/>
                <w:sz w:val="20"/>
                <w:szCs w:val="20"/>
              </w:rPr>
              <w:br/>
              <w:t>Person hours per occurrence</w:t>
            </w:r>
          </w:p>
        </w:tc>
        <w:tc>
          <w:tcPr>
            <w:tcW w:w="1285"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0BD3D104"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(B) </w:t>
            </w:r>
            <w:r w:rsidRPr="00004F6D">
              <w:rPr>
                <w:rFonts w:eastAsia="Times New Roman" w:cstheme="minorHAnsi"/>
                <w:b/>
                <w:bCs/>
                <w:color w:val="000000"/>
                <w:sz w:val="20"/>
                <w:szCs w:val="20"/>
              </w:rPr>
              <w:br/>
              <w:t>Number of occurrences per year</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58062B51"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(C) </w:t>
            </w:r>
            <w:r w:rsidRPr="00004F6D">
              <w:rPr>
                <w:rFonts w:eastAsia="Times New Roman" w:cstheme="minorHAnsi"/>
                <w:b/>
                <w:bCs/>
                <w:color w:val="000000"/>
                <w:sz w:val="20"/>
                <w:szCs w:val="20"/>
              </w:rPr>
              <w:br/>
              <w:t xml:space="preserve">Person hrs per respondent per year </w:t>
            </w:r>
            <w:r w:rsidRPr="00004F6D">
              <w:rPr>
                <w:rFonts w:eastAsia="Times New Roman" w:cstheme="minorHAnsi"/>
                <w:b/>
                <w:bCs/>
                <w:color w:val="000000"/>
                <w:sz w:val="20"/>
                <w:szCs w:val="20"/>
              </w:rPr>
              <w:br/>
              <w:t>(C=AxB)</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7FB8AA59"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(D) </w:t>
            </w:r>
            <w:r w:rsidRPr="00004F6D">
              <w:rPr>
                <w:rFonts w:eastAsia="Times New Roman" w:cstheme="minorHAnsi"/>
                <w:b/>
                <w:bCs/>
                <w:color w:val="000000"/>
                <w:sz w:val="20"/>
                <w:szCs w:val="20"/>
              </w:rPr>
              <w:br/>
              <w:t xml:space="preserve">Respondents per year </w:t>
            </w:r>
            <w:r w:rsidRPr="00004F6D">
              <w:rPr>
                <w:rFonts w:eastAsia="Times New Roman" w:cstheme="minorHAnsi"/>
                <w:b/>
                <w:bCs/>
                <w:color w:val="000000"/>
                <w:sz w:val="20"/>
                <w:szCs w:val="20"/>
                <w:vertAlign w:val="superscript"/>
              </w:rPr>
              <w:t>a</w:t>
            </w:r>
            <w:r w:rsidRPr="00004F6D">
              <w:rPr>
                <w:rFonts w:eastAsia="Times New Roman" w:cstheme="minorHAnsi"/>
                <w:b/>
                <w:bCs/>
                <w:color w:val="000000"/>
                <w:sz w:val="20"/>
                <w:szCs w:val="20"/>
              </w:rPr>
              <w:t xml:space="preserve"> </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6A6C160F"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(E) </w:t>
            </w:r>
            <w:r w:rsidRPr="00004F6D">
              <w:rPr>
                <w:rFonts w:eastAsia="Times New Roman" w:cstheme="minorHAnsi"/>
                <w:b/>
                <w:bCs/>
                <w:color w:val="000000"/>
                <w:sz w:val="20"/>
                <w:szCs w:val="20"/>
              </w:rPr>
              <w:br/>
              <w:t xml:space="preserve">Technical person hrs per year </w:t>
            </w:r>
            <w:r w:rsidRPr="00004F6D">
              <w:rPr>
                <w:rFonts w:eastAsia="Times New Roman" w:cstheme="minorHAnsi"/>
                <w:b/>
                <w:bCs/>
                <w:color w:val="000000"/>
                <w:sz w:val="20"/>
                <w:szCs w:val="20"/>
              </w:rPr>
              <w:br/>
              <w:t>(E=CxD)</w:t>
            </w:r>
          </w:p>
        </w:tc>
        <w:tc>
          <w:tcPr>
            <w:tcW w:w="1331"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4F9735DC"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(F) </w:t>
            </w:r>
            <w:r w:rsidRPr="00004F6D">
              <w:rPr>
                <w:rFonts w:eastAsia="Times New Roman" w:cstheme="minorHAnsi"/>
                <w:b/>
                <w:bCs/>
                <w:color w:val="000000"/>
                <w:sz w:val="20"/>
                <w:szCs w:val="20"/>
              </w:rPr>
              <w:br/>
              <w:t xml:space="preserve">Management person hrs per year </w:t>
            </w:r>
            <w:r w:rsidRPr="00004F6D">
              <w:rPr>
                <w:rFonts w:eastAsia="Times New Roman" w:cstheme="minorHAnsi"/>
                <w:b/>
                <w:bCs/>
                <w:color w:val="000000"/>
                <w:sz w:val="20"/>
                <w:szCs w:val="20"/>
              </w:rPr>
              <w:br/>
              <w:t>(F=Ex0.05)</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76FA0EC9"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(G) </w:t>
            </w:r>
            <w:r w:rsidRPr="00004F6D">
              <w:rPr>
                <w:rFonts w:eastAsia="Times New Roman" w:cstheme="minorHAnsi"/>
                <w:b/>
                <w:bCs/>
                <w:color w:val="000000"/>
                <w:sz w:val="20"/>
                <w:szCs w:val="20"/>
              </w:rPr>
              <w:br/>
              <w:t xml:space="preserve">Clerical person hrs per year </w:t>
            </w:r>
            <w:r w:rsidRPr="00004F6D">
              <w:rPr>
                <w:rFonts w:eastAsia="Times New Roman" w:cstheme="minorHAnsi"/>
                <w:b/>
                <w:bCs/>
                <w:color w:val="000000"/>
                <w:sz w:val="20"/>
                <w:szCs w:val="20"/>
              </w:rPr>
              <w:br/>
              <w:t>(G=Ex0.1)</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72163B5D"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(H)</w:t>
            </w:r>
            <w:r w:rsidRPr="00004F6D">
              <w:rPr>
                <w:rFonts w:eastAsia="Times New Roman" w:cstheme="minorHAnsi"/>
                <w:b/>
                <w:bCs/>
                <w:color w:val="000000"/>
                <w:sz w:val="20"/>
                <w:szCs w:val="20"/>
              </w:rPr>
              <w:br/>
              <w:t xml:space="preserve">Total Cost per year ($) </w:t>
            </w:r>
            <w:r w:rsidRPr="00004F6D">
              <w:rPr>
                <w:rFonts w:eastAsia="Times New Roman" w:cstheme="minorHAnsi"/>
                <w:b/>
                <w:bCs/>
                <w:color w:val="000000"/>
                <w:sz w:val="20"/>
                <w:szCs w:val="20"/>
                <w:vertAlign w:val="superscript"/>
              </w:rPr>
              <w:t>b</w:t>
            </w:r>
          </w:p>
        </w:tc>
      </w:tr>
      <w:tr w14:paraId="7C0EA13D"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3A7369B"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1. Applications</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0E6C81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NA</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097679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B6DACC0"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98911A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A75F2BB"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9EDADF9"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381294"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82DB1E7"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r>
      <w:tr w14:paraId="5E08E280"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584C9573"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2. Surveys and Studies</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D0E330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NA</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4C8234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CFE3A2D"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00AB30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582F5DA"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C1E6BA8"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615141A"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1B0FDE3"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r>
      <w:tr w14:paraId="718B490E"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15E63E11"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xml:space="preserve">3. Parametric Monitoring System </w:t>
            </w:r>
            <w:r w:rsidRPr="00004F6D">
              <w:rPr>
                <w:rFonts w:eastAsia="Times New Roman" w:cstheme="minorHAnsi"/>
                <w:color w:val="000000"/>
                <w:sz w:val="20"/>
                <w:szCs w:val="20"/>
                <w:vertAlign w:val="superscript"/>
              </w:rPr>
              <w:t>c</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CE7C56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40</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28DC9B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480CA5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40</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BDE9F4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69056E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A63CBE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191C51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042E657"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$0.00</w:t>
            </w:r>
          </w:p>
        </w:tc>
      </w:tr>
      <w:tr w14:paraId="34776807"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77E99CC"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4. Reporting Requirements</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EDED66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65D38567"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EB1C0C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043D252E"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8C8007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BC7D71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C94383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D3E921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 </w:t>
            </w:r>
          </w:p>
        </w:tc>
      </w:tr>
      <w:tr w14:paraId="7BFD5B1D"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3DEAF0E" w14:textId="41C32C86">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A. Familiarize with regulatory requirements </w:t>
            </w:r>
            <w:r w:rsidRPr="00004F6D">
              <w:rPr>
                <w:rFonts w:eastAsia="Times New Roman" w:cstheme="minorHAnsi"/>
                <w:color w:val="000000"/>
                <w:sz w:val="20"/>
                <w:szCs w:val="20"/>
                <w:vertAlign w:val="superscript"/>
              </w:rPr>
              <w:t>d</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0EE961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16</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C018AD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238057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16</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A376CC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62</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B548BA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992</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57F119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49.6</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6D37C7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99.2</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A5BBA0E"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$143,849.42</w:t>
            </w:r>
          </w:p>
        </w:tc>
      </w:tr>
      <w:tr w14:paraId="4297C59E"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19D51EF" w14:textId="66DA0559">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B. Conduct performance test </w:t>
            </w:r>
            <w:r w:rsidRPr="00004F6D">
              <w:rPr>
                <w:rFonts w:eastAsia="Times New Roman" w:cstheme="minorHAnsi"/>
                <w:color w:val="000000"/>
                <w:sz w:val="20"/>
                <w:szCs w:val="20"/>
                <w:vertAlign w:val="superscript"/>
              </w:rPr>
              <w:t>c</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B5D14F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136</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CFA2B1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453BF4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136</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BDE3AA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77BBD3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164CC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F8B724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3AC431F"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$0.00</w:t>
            </w:r>
          </w:p>
        </w:tc>
      </w:tr>
      <w:tr w14:paraId="55C09C5A"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53851191" w14:textId="4D1392ED">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C. Initial notification </w:t>
            </w:r>
            <w:r w:rsidRPr="00004F6D">
              <w:rPr>
                <w:rFonts w:eastAsia="Times New Roman" w:cstheme="minorHAnsi"/>
                <w:color w:val="000000"/>
                <w:sz w:val="20"/>
                <w:szCs w:val="20"/>
                <w:vertAlign w:val="superscript"/>
              </w:rPr>
              <w:t>e</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2FFD95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14</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C41CD8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3757AB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14</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CF2C3A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848EEC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0FE288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65BF2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76200AD"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4CECE0DA"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593B08AD" w14:textId="0ED4F292">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D. Performance test notification </w:t>
            </w:r>
            <w:r w:rsidRPr="00004F6D">
              <w:rPr>
                <w:rFonts w:eastAsia="Times New Roman" w:cstheme="minorHAnsi"/>
                <w:color w:val="000000"/>
                <w:sz w:val="20"/>
                <w:szCs w:val="20"/>
                <w:vertAlign w:val="superscript"/>
              </w:rPr>
              <w:t>c</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8C8C8D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9CD9A7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FAC00E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4AB7BC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1B9582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E78244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2150D5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CADA703"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$0.00</w:t>
            </w:r>
          </w:p>
        </w:tc>
      </w:tr>
      <w:tr w14:paraId="799715D7"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67ADEF7" w14:textId="0205FC53">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E. Initial compliance determination </w:t>
            </w:r>
            <w:r w:rsidRPr="00004F6D">
              <w:rPr>
                <w:rFonts w:eastAsia="Times New Roman" w:cstheme="minorHAnsi"/>
                <w:color w:val="000000"/>
                <w:sz w:val="20"/>
                <w:szCs w:val="20"/>
                <w:vertAlign w:val="superscript"/>
              </w:rPr>
              <w:t>c, e</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2C8866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60</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1D984C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0C85C5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60</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18BC52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A1785E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37961E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2AE03C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8D4DFB5"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628A3E0C"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42DD94F" w14:textId="313807B2">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F. Performance test report </w:t>
            </w:r>
            <w:r w:rsidRPr="00004F6D">
              <w:rPr>
                <w:rFonts w:eastAsia="Times New Roman" w:cstheme="minorHAnsi"/>
                <w:color w:val="000000"/>
                <w:sz w:val="20"/>
                <w:szCs w:val="20"/>
                <w:vertAlign w:val="superscript"/>
              </w:rPr>
              <w:t>c</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DF67D7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108</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4375EC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B3B9C0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108</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8DDD16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0B6FE8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74EB3D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57220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6C1C40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$0.00</w:t>
            </w:r>
          </w:p>
        </w:tc>
      </w:tr>
      <w:tr w14:paraId="450C4EE1"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C7B35B6" w14:textId="0D5543E8">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G. Semiannual report </w:t>
            </w:r>
            <w:r w:rsidRPr="00004F6D">
              <w:rPr>
                <w:rFonts w:eastAsia="Times New Roman" w:cstheme="minorHAnsi"/>
                <w:color w:val="000000"/>
                <w:sz w:val="20"/>
                <w:szCs w:val="20"/>
                <w:vertAlign w:val="superscript"/>
              </w:rPr>
              <w:t>f</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DC881C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56</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027701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4049A3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F9D2B1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62</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B8AD58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6,944</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82EF43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347</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C5B96B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694</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0B258FA"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$1,006,945.97</w:t>
            </w:r>
          </w:p>
        </w:tc>
      </w:tr>
      <w:tr w14:paraId="00A35EAB"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43AE256" w14:textId="6F6C2F48">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H. SSM report </w:t>
            </w:r>
            <w:r w:rsidRPr="00004F6D">
              <w:rPr>
                <w:rFonts w:eastAsia="Times New Roman" w:cstheme="minorHAnsi"/>
                <w:color w:val="000000"/>
                <w:sz w:val="20"/>
                <w:szCs w:val="20"/>
                <w:vertAlign w:val="superscript"/>
              </w:rPr>
              <w:t>g</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209B37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937AFB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85D734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41D06B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896BD9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9F35AE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7F28FE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F8872A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470B51B2"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16736C1D" w14:textId="77777777">
            <w:pPr>
              <w:spacing w:after="0" w:line="240" w:lineRule="auto"/>
              <w:rPr>
                <w:rFonts w:eastAsia="Times New Roman" w:cstheme="minorHAnsi"/>
                <w:b/>
                <w:bCs/>
                <w:i/>
                <w:iCs/>
                <w:color w:val="000000"/>
                <w:sz w:val="20"/>
                <w:szCs w:val="20"/>
              </w:rPr>
            </w:pPr>
            <w:r w:rsidRPr="00004F6D">
              <w:rPr>
                <w:rFonts w:eastAsia="Times New Roman" w:cstheme="minorHAnsi"/>
                <w:b/>
                <w:bCs/>
                <w:i/>
                <w:iCs/>
                <w:color w:val="000000"/>
                <w:sz w:val="20"/>
                <w:szCs w:val="20"/>
              </w:rPr>
              <w:t>Subtotal Reporting Requirements</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5074B8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63E9922F"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299FB4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3849A357"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34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F6D" w:rsidRPr="00004F6D" w:rsidP="00004F6D" w14:paraId="7C0C248E" w14:textId="77777777">
            <w:pPr>
              <w:spacing w:after="0" w:line="240" w:lineRule="auto"/>
              <w:jc w:val="center"/>
              <w:rPr>
                <w:rFonts w:eastAsia="Times New Roman" w:cstheme="minorHAnsi"/>
                <w:b/>
                <w:bCs/>
                <w:i/>
                <w:iCs/>
                <w:color w:val="000000"/>
                <w:sz w:val="20"/>
                <w:szCs w:val="20"/>
              </w:rPr>
            </w:pPr>
            <w:r w:rsidRPr="00004F6D">
              <w:rPr>
                <w:rFonts w:eastAsia="Times New Roman" w:cstheme="minorHAnsi"/>
                <w:b/>
                <w:bCs/>
                <w:i/>
                <w:iCs/>
                <w:color w:val="000000"/>
                <w:sz w:val="20"/>
                <w:szCs w:val="20"/>
              </w:rPr>
              <w:t>9,126</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8E367A0" w14:textId="77777777">
            <w:pPr>
              <w:spacing w:after="0" w:line="240" w:lineRule="auto"/>
              <w:jc w:val="right"/>
              <w:rPr>
                <w:rFonts w:eastAsia="Times New Roman" w:cstheme="minorHAnsi"/>
                <w:b/>
                <w:bCs/>
                <w:i/>
                <w:iCs/>
                <w:color w:val="000000"/>
                <w:sz w:val="20"/>
                <w:szCs w:val="20"/>
              </w:rPr>
            </w:pPr>
            <w:r w:rsidRPr="00004F6D">
              <w:rPr>
                <w:rFonts w:eastAsia="Times New Roman" w:cstheme="minorHAnsi"/>
                <w:b/>
                <w:bCs/>
                <w:i/>
                <w:iCs/>
                <w:color w:val="000000"/>
                <w:sz w:val="20"/>
                <w:szCs w:val="20"/>
              </w:rPr>
              <w:t xml:space="preserve">$1,150,795 </w:t>
            </w:r>
          </w:p>
        </w:tc>
      </w:tr>
      <w:tr w14:paraId="0CB30AFA"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1849FB26"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5. Recordkeeping Requirements</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934A05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22F82B02"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596B9C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2262D1A7"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4411C7E3"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792E2F98"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7BE4DC24"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5DE5016"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r>
      <w:tr w14:paraId="50FAC5B0"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BB8C806" w14:textId="662B267F">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A. Familiarize with regulatory requirements </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ADE78A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See 4A</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3C77CC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70ABD8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215B8B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65C01B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2B9F2D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2A6E30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76035BF"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 </w:t>
            </w:r>
          </w:p>
        </w:tc>
      </w:tr>
      <w:tr w14:paraId="15E8EBE7"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F7EE0F5" w14:textId="1EB434A4">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B. Plan compliance activities </w:t>
            </w:r>
            <w:r w:rsidRPr="00004F6D">
              <w:rPr>
                <w:rFonts w:eastAsia="Times New Roman" w:cstheme="minorHAnsi"/>
                <w:color w:val="000000"/>
                <w:sz w:val="20"/>
                <w:szCs w:val="20"/>
                <w:vertAlign w:val="superscript"/>
              </w:rPr>
              <w:t>h</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188DFB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AFA1DC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854658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8C6FCE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4E1DBA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7B3668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872693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83A76B6"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4ADF3BE8"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3AEB0D8" w14:textId="73B6963A">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C. Prepare SSM plan </w:t>
            </w:r>
            <w:r w:rsidRPr="00004F6D">
              <w:rPr>
                <w:rFonts w:eastAsia="Times New Roman" w:cstheme="minorHAnsi"/>
                <w:color w:val="000000"/>
                <w:sz w:val="20"/>
                <w:szCs w:val="20"/>
                <w:vertAlign w:val="superscript"/>
              </w:rPr>
              <w:t>g</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FC3239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C39188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56E76D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9D2E05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9F449B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BBC8D2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B7F05C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30E6902"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03BC310E" w14:textId="77777777" w:rsidTr="00004F6D">
        <w:tblPrEx>
          <w:tblW w:w="13068" w:type="dxa"/>
          <w:tblInd w:w="108" w:type="dxa"/>
          <w:tblLook w:val="04A0"/>
        </w:tblPrEx>
        <w:trPr>
          <w:trHeight w:val="495"/>
        </w:trPr>
        <w:tc>
          <w:tcPr>
            <w:tcW w:w="3155" w:type="dxa"/>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710A0660" w14:textId="3A026892">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D. Prepare documentation for exempted sources </w:t>
            </w:r>
            <w:r w:rsidRPr="00004F6D">
              <w:rPr>
                <w:rFonts w:eastAsia="Times New Roman" w:cstheme="minorHAnsi"/>
                <w:color w:val="000000"/>
                <w:sz w:val="20"/>
                <w:szCs w:val="20"/>
                <w:vertAlign w:val="superscript"/>
              </w:rPr>
              <w:t>i</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8A37B9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2C8830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15882F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BA4C6C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B6B592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046FDD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84D31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8A2AC64"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5B4CF68A"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5B28674" w14:textId="0772F62B">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E. In-situ process vents parametric monitoring </w:t>
            </w:r>
            <w:r w:rsidRPr="00004F6D">
              <w:rPr>
                <w:rFonts w:eastAsia="Times New Roman" w:cstheme="minorHAnsi"/>
                <w:color w:val="000000"/>
                <w:sz w:val="20"/>
                <w:szCs w:val="20"/>
                <w:vertAlign w:val="superscript"/>
              </w:rPr>
              <w:t>j</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CDCFBF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4BAF4D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365</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34ED7B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182.5</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2B6162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E7D3A2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1,132</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52D9FE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57</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25CF6F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113</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37BB149"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$164,078.25</w:t>
            </w:r>
          </w:p>
        </w:tc>
      </w:tr>
      <w:tr w14:paraId="035D6B32"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29AEEBD" w14:textId="08E32499">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F. Ex-situ process vents parametric monitoring </w:t>
            </w:r>
            <w:r w:rsidRPr="00004F6D">
              <w:rPr>
                <w:rFonts w:eastAsia="Times New Roman" w:cstheme="minorHAnsi"/>
                <w:color w:val="000000"/>
                <w:sz w:val="20"/>
                <w:szCs w:val="20"/>
                <w:vertAlign w:val="superscript"/>
              </w:rPr>
              <w:t>k</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CC5A3F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531579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365</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0F9E95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182.5</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796BE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56</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32D205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10,184</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53F400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509</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688989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1,018</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1520A2E"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$1,476,704.24</w:t>
            </w:r>
          </w:p>
        </w:tc>
      </w:tr>
      <w:tr w14:paraId="3DCBFA7D"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1E60088" w14:textId="487E75DF">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G. Inspect tank covers </w:t>
            </w:r>
            <w:r w:rsidRPr="00004F6D">
              <w:rPr>
                <w:rFonts w:eastAsia="Times New Roman" w:cstheme="minorHAnsi"/>
                <w:color w:val="000000"/>
                <w:sz w:val="20"/>
                <w:szCs w:val="20"/>
                <w:vertAlign w:val="superscript"/>
              </w:rPr>
              <w:t>l</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FAF310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F9C32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EC0533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24</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345004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31</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9279BF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744</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F96870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37</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CC7EC6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74</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CC49D1C"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$107,887.07</w:t>
            </w:r>
          </w:p>
        </w:tc>
      </w:tr>
      <w:tr w14:paraId="5710ADE4"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5555538B" w14:textId="6C576703">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H. Inspect container covers </w:t>
            </w:r>
            <w:r w:rsidRPr="00004F6D">
              <w:rPr>
                <w:rFonts w:eastAsia="Times New Roman" w:cstheme="minorHAnsi"/>
                <w:color w:val="000000"/>
                <w:sz w:val="20"/>
                <w:szCs w:val="20"/>
                <w:vertAlign w:val="superscript"/>
              </w:rPr>
              <w:t>l</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572D5E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18614E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FDBDA8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05B17E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31</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1B0CED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186</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6FCB4E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9</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7B3BEE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19</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5AE9ED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$26,971.77</w:t>
            </w:r>
          </w:p>
        </w:tc>
      </w:tr>
      <w:tr w14:paraId="2A598785"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5EBF379" w14:textId="5AAA03C1">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I. Inspect surface impoundment covers </w:t>
            </w:r>
            <w:r w:rsidRPr="00004F6D">
              <w:rPr>
                <w:rFonts w:eastAsia="Times New Roman" w:cstheme="minorHAnsi"/>
                <w:color w:val="000000"/>
                <w:sz w:val="20"/>
                <w:szCs w:val="20"/>
                <w:vertAlign w:val="superscript"/>
              </w:rPr>
              <w:t>m</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7E8352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24C355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0A652F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24</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7C8E4A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0F9CE1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149</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A640AE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B02B20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15</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175AC22"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$21,577.41</w:t>
            </w:r>
          </w:p>
        </w:tc>
      </w:tr>
      <w:tr w14:paraId="4AF3FB35"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7B0B3C3" w14:textId="1E12C585">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J. Inspect separator covers </w:t>
            </w:r>
            <w:r w:rsidRPr="00004F6D">
              <w:rPr>
                <w:rFonts w:eastAsia="Times New Roman" w:cstheme="minorHAnsi"/>
                <w:color w:val="000000"/>
                <w:sz w:val="20"/>
                <w:szCs w:val="20"/>
                <w:vertAlign w:val="superscript"/>
              </w:rPr>
              <w:t>n</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0ED0D6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1278F1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5A9566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24</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C654AB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4F15AB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149</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A3172A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6081A2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15</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FE12277"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$21,577.41</w:t>
            </w:r>
          </w:p>
        </w:tc>
      </w:tr>
      <w:tr w14:paraId="2BF186D3"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CF90124" w14:textId="45077A27">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K. Inspect transfer system covers </w:t>
            </w:r>
            <w:r w:rsidRPr="00004F6D">
              <w:rPr>
                <w:rFonts w:eastAsia="Times New Roman" w:cstheme="minorHAnsi"/>
                <w:color w:val="000000"/>
                <w:sz w:val="20"/>
                <w:szCs w:val="20"/>
                <w:vertAlign w:val="superscript"/>
              </w:rPr>
              <w:t>l</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7AD703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3B7837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23A512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24738F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31</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161AE6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186</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B6D831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9</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34B982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19</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618AEA9"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$26,971.77</w:t>
            </w:r>
          </w:p>
        </w:tc>
      </w:tr>
      <w:tr w14:paraId="5BDD54EC"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BCE2930" w14:textId="77737888">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L. Leak detection and repair program </w:t>
            </w:r>
            <w:r w:rsidRPr="00004F6D">
              <w:rPr>
                <w:rFonts w:eastAsia="Times New Roman" w:cstheme="minorHAnsi"/>
                <w:color w:val="000000"/>
                <w:sz w:val="20"/>
                <w:szCs w:val="20"/>
                <w:vertAlign w:val="superscript"/>
              </w:rPr>
              <w:t>o</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F0EFCC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116</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D04B00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7E1731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116</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F098AA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62</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C1828B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7,192</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5DDDED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360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BBB0ED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719</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235FAA5"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$1,042,908.32</w:t>
            </w:r>
          </w:p>
        </w:tc>
      </w:tr>
      <w:tr w14:paraId="357A2D4D"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550FB86D" w14:textId="79118844">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M. PRD release analysis and corrective action</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7230D8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20</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6C9FAE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0.3</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DAA94F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421415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62</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AD555C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372</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54816E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19</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9A32F1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37</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452BF1A"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$53,943.53</w:t>
            </w:r>
          </w:p>
        </w:tc>
      </w:tr>
      <w:tr w14:paraId="430300E8"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B28A92F" w14:textId="58C5D209">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N. Develop record system </w:t>
            </w:r>
            <w:r w:rsidRPr="00004F6D">
              <w:rPr>
                <w:rFonts w:eastAsia="Times New Roman" w:cstheme="minorHAnsi"/>
                <w:color w:val="000000"/>
                <w:sz w:val="20"/>
                <w:szCs w:val="20"/>
                <w:vertAlign w:val="superscript"/>
              </w:rPr>
              <w:t>h</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1EF2B1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F55FCD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0D1568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9F1B9D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973081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D09DBA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3B8CB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D91875F"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27309AD6"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546A35D" w14:textId="77EB0F8E">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O. Enter information </w:t>
            </w:r>
            <w:r w:rsidRPr="00004F6D">
              <w:rPr>
                <w:rFonts w:eastAsia="Times New Roman" w:cstheme="minorHAnsi"/>
                <w:color w:val="000000"/>
                <w:sz w:val="20"/>
                <w:szCs w:val="20"/>
                <w:vertAlign w:val="superscript"/>
              </w:rPr>
              <w:t>p</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1F613E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8658A9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52</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A81786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104</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3F4C2D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62</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FE3672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6,448</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1F9341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322</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04FFF9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645</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80C33EC"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$935,021.26</w:t>
            </w:r>
          </w:p>
        </w:tc>
      </w:tr>
      <w:tr w14:paraId="281BC7D0"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EB0CB22" w14:textId="7131F8E3">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P. Personnel training </w:t>
            </w:r>
            <w:r w:rsidRPr="00004F6D">
              <w:rPr>
                <w:rFonts w:eastAsia="Times New Roman" w:cstheme="minorHAnsi"/>
                <w:color w:val="000000"/>
                <w:sz w:val="20"/>
                <w:szCs w:val="20"/>
                <w:vertAlign w:val="superscript"/>
              </w:rPr>
              <w:t>q</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F6D96A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20</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A39E44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9F66C0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20</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D9C11C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762DE1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6EE767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4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5446F5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D70B6A6"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0582A49A" w14:textId="77777777" w:rsidTr="00004F6D">
        <w:tblPrEx>
          <w:tblW w:w="13068" w:type="dxa"/>
          <w:tblInd w:w="108" w:type="dxa"/>
          <w:tblLook w:val="04A0"/>
        </w:tblPrEx>
        <w:trPr>
          <w:trHeight w:val="300"/>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CCD314E" w14:textId="77777777">
            <w:pPr>
              <w:spacing w:after="0" w:line="240" w:lineRule="auto"/>
              <w:rPr>
                <w:rFonts w:eastAsia="Times New Roman" w:cstheme="minorHAnsi"/>
                <w:b/>
                <w:bCs/>
                <w:i/>
                <w:iCs/>
                <w:color w:val="000000"/>
                <w:sz w:val="20"/>
                <w:szCs w:val="20"/>
              </w:rPr>
            </w:pPr>
            <w:r w:rsidRPr="00004F6D">
              <w:rPr>
                <w:rFonts w:eastAsia="Times New Roman" w:cstheme="minorHAnsi"/>
                <w:b/>
                <w:bCs/>
                <w:i/>
                <w:iCs/>
                <w:color w:val="000000"/>
                <w:sz w:val="20"/>
                <w:szCs w:val="20"/>
              </w:rPr>
              <w:t>Subtotal Recordkeeping Requirements</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6E966C2"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318101E"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D2F419C" w14:textId="77777777">
            <w:pPr>
              <w:spacing w:after="0" w:line="240" w:lineRule="auto"/>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8F50179"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34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F6D" w:rsidRPr="00004F6D" w:rsidP="00004F6D" w14:paraId="0A4645EB" w14:textId="77777777">
            <w:pPr>
              <w:spacing w:after="0" w:line="240" w:lineRule="auto"/>
              <w:jc w:val="center"/>
              <w:rPr>
                <w:rFonts w:eastAsia="Times New Roman" w:cstheme="minorHAnsi"/>
                <w:b/>
                <w:bCs/>
                <w:i/>
                <w:iCs/>
                <w:color w:val="000000"/>
                <w:sz w:val="20"/>
                <w:szCs w:val="20"/>
              </w:rPr>
            </w:pPr>
            <w:r w:rsidRPr="00004F6D">
              <w:rPr>
                <w:rFonts w:eastAsia="Times New Roman" w:cstheme="minorHAnsi"/>
                <w:b/>
                <w:bCs/>
                <w:i/>
                <w:iCs/>
                <w:color w:val="000000"/>
                <w:sz w:val="20"/>
                <w:szCs w:val="20"/>
              </w:rPr>
              <w:t>30,752</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4F4FC5F" w14:textId="77777777">
            <w:pPr>
              <w:spacing w:after="0" w:line="240" w:lineRule="auto"/>
              <w:jc w:val="right"/>
              <w:rPr>
                <w:rFonts w:eastAsia="Times New Roman" w:cstheme="minorHAnsi"/>
                <w:b/>
                <w:bCs/>
                <w:i/>
                <w:iCs/>
                <w:color w:val="000000"/>
                <w:sz w:val="20"/>
                <w:szCs w:val="20"/>
              </w:rPr>
            </w:pPr>
            <w:r w:rsidRPr="00004F6D">
              <w:rPr>
                <w:rFonts w:eastAsia="Times New Roman" w:cstheme="minorHAnsi"/>
                <w:b/>
                <w:bCs/>
                <w:i/>
                <w:iCs/>
                <w:color w:val="000000"/>
                <w:sz w:val="20"/>
                <w:szCs w:val="20"/>
              </w:rPr>
              <w:t xml:space="preserve">$3,877,641 </w:t>
            </w:r>
          </w:p>
        </w:tc>
      </w:tr>
      <w:tr w14:paraId="1F5AA046"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FF1647C" w14:textId="77777777">
            <w:pPr>
              <w:spacing w:after="0" w:line="240" w:lineRule="auto"/>
              <w:rPr>
                <w:rFonts w:eastAsia="Times New Roman" w:cstheme="minorHAnsi"/>
                <w:b/>
                <w:bCs/>
                <w:color w:val="000000"/>
                <w:sz w:val="20"/>
                <w:szCs w:val="20"/>
              </w:rPr>
            </w:pPr>
            <w:r w:rsidRPr="00004F6D">
              <w:rPr>
                <w:rFonts w:eastAsia="Times New Roman" w:cstheme="minorHAnsi"/>
                <w:b/>
                <w:bCs/>
                <w:color w:val="000000"/>
                <w:sz w:val="20"/>
                <w:szCs w:val="20"/>
              </w:rPr>
              <w:t xml:space="preserve">Total Labor Burden and Costs (rounded) </w:t>
            </w:r>
            <w:r w:rsidRPr="00004F6D">
              <w:rPr>
                <w:rFonts w:eastAsia="Times New Roman" w:cstheme="minorHAnsi"/>
                <w:b/>
                <w:bCs/>
                <w:color w:val="000000"/>
                <w:sz w:val="20"/>
                <w:szCs w:val="20"/>
                <w:vertAlign w:val="superscript"/>
              </w:rPr>
              <w:t>r</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AA8E04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BB01D8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692D1D"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3F49B9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3475"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F6D" w:rsidRPr="00004F6D" w:rsidP="00004F6D" w14:paraId="5A00979C"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39,900</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3C533A1" w14:textId="77777777">
            <w:pPr>
              <w:spacing w:after="0" w:line="240" w:lineRule="auto"/>
              <w:jc w:val="right"/>
              <w:rPr>
                <w:rFonts w:eastAsia="Times New Roman" w:cstheme="minorHAnsi"/>
                <w:b/>
                <w:bCs/>
                <w:color w:val="000000"/>
                <w:sz w:val="20"/>
                <w:szCs w:val="20"/>
              </w:rPr>
            </w:pPr>
            <w:r w:rsidRPr="00004F6D">
              <w:rPr>
                <w:rFonts w:eastAsia="Times New Roman" w:cstheme="minorHAnsi"/>
                <w:b/>
                <w:bCs/>
                <w:color w:val="000000"/>
                <w:sz w:val="20"/>
                <w:szCs w:val="20"/>
              </w:rPr>
              <w:t xml:space="preserve">$5,030,000 </w:t>
            </w:r>
          </w:p>
        </w:tc>
      </w:tr>
      <w:tr w14:paraId="48B964BD"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2C36FC6" w14:textId="77777777">
            <w:pPr>
              <w:spacing w:after="0" w:line="240" w:lineRule="auto"/>
              <w:rPr>
                <w:rFonts w:eastAsia="Times New Roman" w:cstheme="minorHAnsi"/>
                <w:b/>
                <w:bCs/>
                <w:color w:val="000000"/>
                <w:sz w:val="20"/>
                <w:szCs w:val="20"/>
              </w:rPr>
            </w:pPr>
            <w:r w:rsidRPr="00004F6D">
              <w:rPr>
                <w:rFonts w:eastAsia="Times New Roman" w:cstheme="minorHAnsi"/>
                <w:b/>
                <w:bCs/>
                <w:color w:val="000000"/>
                <w:sz w:val="20"/>
                <w:szCs w:val="20"/>
              </w:rPr>
              <w:t xml:space="preserve">Total Capital and O&amp;M Cost (rounded) </w:t>
            </w:r>
            <w:r w:rsidRPr="00004F6D">
              <w:rPr>
                <w:rFonts w:eastAsia="Times New Roman" w:cstheme="minorHAnsi"/>
                <w:b/>
                <w:bCs/>
                <w:color w:val="000000"/>
                <w:sz w:val="20"/>
                <w:szCs w:val="20"/>
                <w:vertAlign w:val="superscript"/>
              </w:rPr>
              <w:t>r</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EA3F0A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0254C623"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0941E36B"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3FBE23EA"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7C74A0A3"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21437990"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349B55F7"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63DB79A" w14:textId="77777777">
            <w:pPr>
              <w:spacing w:after="0" w:line="240" w:lineRule="auto"/>
              <w:jc w:val="right"/>
              <w:rPr>
                <w:rFonts w:eastAsia="Times New Roman" w:cstheme="minorHAnsi"/>
                <w:b/>
                <w:bCs/>
                <w:color w:val="000000"/>
                <w:sz w:val="20"/>
                <w:szCs w:val="20"/>
              </w:rPr>
            </w:pPr>
            <w:r w:rsidRPr="00004F6D">
              <w:rPr>
                <w:rFonts w:eastAsia="Times New Roman" w:cstheme="minorHAnsi"/>
                <w:b/>
                <w:bCs/>
                <w:color w:val="000000"/>
                <w:sz w:val="20"/>
                <w:szCs w:val="20"/>
              </w:rPr>
              <w:t xml:space="preserve">$217,000 </w:t>
            </w:r>
          </w:p>
        </w:tc>
      </w:tr>
      <w:tr w14:paraId="50A949F2" w14:textId="77777777" w:rsidTr="00004F6D">
        <w:tblPrEx>
          <w:tblW w:w="13068" w:type="dxa"/>
          <w:tblInd w:w="108" w:type="dxa"/>
          <w:tblLook w:val="04A0"/>
        </w:tblPrEx>
        <w:trPr>
          <w:trHeight w:val="315"/>
        </w:trPr>
        <w:tc>
          <w:tcPr>
            <w:tcW w:w="3155"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B5A7FAE" w14:textId="77777777">
            <w:pPr>
              <w:spacing w:after="0" w:line="240" w:lineRule="auto"/>
              <w:rPr>
                <w:rFonts w:eastAsia="Times New Roman" w:cstheme="minorHAnsi"/>
                <w:b/>
                <w:bCs/>
                <w:color w:val="000000"/>
                <w:sz w:val="20"/>
                <w:szCs w:val="20"/>
              </w:rPr>
            </w:pPr>
            <w:r w:rsidRPr="00004F6D">
              <w:rPr>
                <w:rFonts w:eastAsia="Times New Roman" w:cstheme="minorHAnsi"/>
                <w:b/>
                <w:bCs/>
                <w:color w:val="000000"/>
                <w:sz w:val="20"/>
                <w:szCs w:val="20"/>
              </w:rPr>
              <w:t xml:space="preserve">Grand Total (rounded) </w:t>
            </w:r>
            <w:r w:rsidRPr="00004F6D">
              <w:rPr>
                <w:rFonts w:eastAsia="Times New Roman" w:cstheme="minorHAnsi"/>
                <w:b/>
                <w:bCs/>
                <w:color w:val="000000"/>
                <w:sz w:val="20"/>
                <w:szCs w:val="20"/>
                <w:vertAlign w:val="superscript"/>
              </w:rPr>
              <w:t>r</w:t>
            </w:r>
          </w:p>
        </w:tc>
        <w:tc>
          <w:tcPr>
            <w:tcW w:w="121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9E0E19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85"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333B6494"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181"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088E4BE0"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6"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56017623"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9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111E0B89"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31"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48AD530C"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4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3C57C9C1"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79"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EE3B527" w14:textId="77777777">
            <w:pPr>
              <w:spacing w:after="0" w:line="240" w:lineRule="auto"/>
              <w:jc w:val="right"/>
              <w:rPr>
                <w:rFonts w:eastAsia="Times New Roman" w:cstheme="minorHAnsi"/>
                <w:b/>
                <w:bCs/>
                <w:color w:val="000000"/>
                <w:sz w:val="20"/>
                <w:szCs w:val="20"/>
              </w:rPr>
            </w:pPr>
            <w:r w:rsidRPr="00004F6D">
              <w:rPr>
                <w:rFonts w:eastAsia="Times New Roman" w:cstheme="minorHAnsi"/>
                <w:b/>
                <w:bCs/>
                <w:color w:val="000000"/>
                <w:sz w:val="20"/>
                <w:szCs w:val="20"/>
              </w:rPr>
              <w:t xml:space="preserve">$5,250,000 </w:t>
            </w:r>
          </w:p>
        </w:tc>
      </w:tr>
      <w:tr w14:paraId="1793D54B" w14:textId="77777777" w:rsidTr="00004F6D">
        <w:tblPrEx>
          <w:tblW w:w="13068" w:type="dxa"/>
          <w:tblInd w:w="108" w:type="dxa"/>
          <w:tblLook w:val="04A0"/>
        </w:tblPrEx>
        <w:trPr>
          <w:trHeight w:val="300"/>
        </w:trPr>
        <w:tc>
          <w:tcPr>
            <w:tcW w:w="3155" w:type="dxa"/>
            <w:tcBorders>
              <w:top w:val="nil"/>
              <w:left w:val="nil"/>
              <w:bottom w:val="nil"/>
              <w:right w:val="nil"/>
            </w:tcBorders>
            <w:shd w:val="clear" w:color="auto" w:fill="auto"/>
            <w:noWrap/>
            <w:vAlign w:val="bottom"/>
            <w:hideMark/>
          </w:tcPr>
          <w:p w:rsidR="00004F6D" w:rsidRPr="00004F6D" w:rsidP="00004F6D" w14:paraId="0986AC46" w14:textId="77777777">
            <w:pPr>
              <w:spacing w:after="0" w:line="240" w:lineRule="auto"/>
              <w:jc w:val="right"/>
              <w:rPr>
                <w:rFonts w:eastAsia="Times New Roman" w:cstheme="minorHAnsi"/>
                <w:b/>
                <w:bCs/>
                <w:color w:val="000000"/>
                <w:sz w:val="20"/>
                <w:szCs w:val="20"/>
              </w:rPr>
            </w:pPr>
          </w:p>
        </w:tc>
        <w:tc>
          <w:tcPr>
            <w:tcW w:w="1217" w:type="dxa"/>
            <w:tcBorders>
              <w:top w:val="nil"/>
              <w:left w:val="nil"/>
              <w:bottom w:val="nil"/>
              <w:right w:val="nil"/>
            </w:tcBorders>
            <w:shd w:val="clear" w:color="auto" w:fill="auto"/>
            <w:noWrap/>
            <w:vAlign w:val="center"/>
            <w:hideMark/>
          </w:tcPr>
          <w:p w:rsidR="00004F6D" w:rsidRPr="00004F6D" w:rsidP="00004F6D" w14:paraId="0E8BA75D" w14:textId="77777777">
            <w:pPr>
              <w:spacing w:after="0" w:line="240" w:lineRule="auto"/>
              <w:rPr>
                <w:rFonts w:eastAsia="Times New Roman" w:cstheme="minorHAnsi"/>
                <w:sz w:val="20"/>
                <w:szCs w:val="20"/>
              </w:rPr>
            </w:pPr>
          </w:p>
        </w:tc>
        <w:tc>
          <w:tcPr>
            <w:tcW w:w="1285" w:type="dxa"/>
            <w:tcBorders>
              <w:top w:val="nil"/>
              <w:left w:val="nil"/>
              <w:bottom w:val="nil"/>
              <w:right w:val="nil"/>
            </w:tcBorders>
            <w:shd w:val="clear" w:color="auto" w:fill="auto"/>
            <w:noWrap/>
            <w:vAlign w:val="bottom"/>
            <w:hideMark/>
          </w:tcPr>
          <w:p w:rsidR="00004F6D" w:rsidRPr="00004F6D" w:rsidP="00004F6D" w14:paraId="1EA05B87" w14:textId="77777777">
            <w:pPr>
              <w:spacing w:after="0" w:line="240" w:lineRule="auto"/>
              <w:jc w:val="center"/>
              <w:rPr>
                <w:rFonts w:eastAsia="Times New Roman" w:cstheme="minorHAnsi"/>
                <w:sz w:val="20"/>
                <w:szCs w:val="20"/>
              </w:rPr>
            </w:pPr>
          </w:p>
        </w:tc>
        <w:tc>
          <w:tcPr>
            <w:tcW w:w="1181" w:type="dxa"/>
            <w:tcBorders>
              <w:top w:val="nil"/>
              <w:left w:val="nil"/>
              <w:bottom w:val="nil"/>
              <w:right w:val="nil"/>
            </w:tcBorders>
            <w:shd w:val="clear" w:color="auto" w:fill="auto"/>
            <w:noWrap/>
            <w:vAlign w:val="bottom"/>
            <w:hideMark/>
          </w:tcPr>
          <w:p w:rsidR="00004F6D" w:rsidRPr="00004F6D" w:rsidP="00004F6D" w14:paraId="08E3FB20" w14:textId="77777777">
            <w:pPr>
              <w:spacing w:after="0" w:line="240" w:lineRule="auto"/>
              <w:rPr>
                <w:rFonts w:eastAsia="Times New Roman" w:cstheme="minorHAnsi"/>
                <w:sz w:val="20"/>
                <w:szCs w:val="20"/>
              </w:rPr>
            </w:pPr>
          </w:p>
        </w:tc>
        <w:tc>
          <w:tcPr>
            <w:tcW w:w="1376" w:type="dxa"/>
            <w:tcBorders>
              <w:top w:val="nil"/>
              <w:left w:val="nil"/>
              <w:bottom w:val="nil"/>
              <w:right w:val="nil"/>
            </w:tcBorders>
            <w:shd w:val="clear" w:color="auto" w:fill="auto"/>
            <w:noWrap/>
            <w:vAlign w:val="bottom"/>
            <w:hideMark/>
          </w:tcPr>
          <w:p w:rsidR="00004F6D" w:rsidRPr="00004F6D" w:rsidP="00004F6D" w14:paraId="2D25AD21" w14:textId="77777777">
            <w:pPr>
              <w:spacing w:after="0" w:line="240" w:lineRule="auto"/>
              <w:rPr>
                <w:rFonts w:eastAsia="Times New Roman" w:cstheme="minorHAnsi"/>
                <w:sz w:val="20"/>
                <w:szCs w:val="20"/>
              </w:rPr>
            </w:pPr>
          </w:p>
        </w:tc>
        <w:tc>
          <w:tcPr>
            <w:tcW w:w="1097" w:type="dxa"/>
            <w:tcBorders>
              <w:top w:val="nil"/>
              <w:left w:val="nil"/>
              <w:bottom w:val="nil"/>
              <w:right w:val="nil"/>
            </w:tcBorders>
            <w:shd w:val="clear" w:color="auto" w:fill="auto"/>
            <w:noWrap/>
            <w:vAlign w:val="bottom"/>
            <w:hideMark/>
          </w:tcPr>
          <w:p w:rsidR="00004F6D" w:rsidRPr="00004F6D" w:rsidP="00004F6D" w14:paraId="196F8ECD" w14:textId="77777777">
            <w:pPr>
              <w:spacing w:after="0" w:line="240" w:lineRule="auto"/>
              <w:rPr>
                <w:rFonts w:eastAsia="Times New Roman" w:cstheme="minorHAnsi"/>
                <w:sz w:val="20"/>
                <w:szCs w:val="20"/>
              </w:rPr>
            </w:pPr>
          </w:p>
        </w:tc>
        <w:tc>
          <w:tcPr>
            <w:tcW w:w="1331" w:type="dxa"/>
            <w:tcBorders>
              <w:top w:val="nil"/>
              <w:left w:val="nil"/>
              <w:bottom w:val="nil"/>
              <w:right w:val="nil"/>
            </w:tcBorders>
            <w:shd w:val="clear" w:color="auto" w:fill="auto"/>
            <w:noWrap/>
            <w:vAlign w:val="bottom"/>
            <w:hideMark/>
          </w:tcPr>
          <w:p w:rsidR="00004F6D" w:rsidRPr="00004F6D" w:rsidP="00004F6D" w14:paraId="67C610B5" w14:textId="77777777">
            <w:pPr>
              <w:spacing w:after="0" w:line="240" w:lineRule="auto"/>
              <w:rPr>
                <w:rFonts w:eastAsia="Times New Roman" w:cstheme="minorHAnsi"/>
                <w:sz w:val="20"/>
                <w:szCs w:val="20"/>
              </w:rPr>
            </w:pPr>
          </w:p>
        </w:tc>
        <w:tc>
          <w:tcPr>
            <w:tcW w:w="1047" w:type="dxa"/>
            <w:tcBorders>
              <w:top w:val="nil"/>
              <w:left w:val="nil"/>
              <w:bottom w:val="nil"/>
              <w:right w:val="nil"/>
            </w:tcBorders>
            <w:shd w:val="clear" w:color="auto" w:fill="auto"/>
            <w:noWrap/>
            <w:vAlign w:val="bottom"/>
            <w:hideMark/>
          </w:tcPr>
          <w:p w:rsidR="00004F6D" w:rsidRPr="00004F6D" w:rsidP="00004F6D" w14:paraId="347BDF79" w14:textId="77777777">
            <w:pPr>
              <w:spacing w:after="0" w:line="240" w:lineRule="auto"/>
              <w:rPr>
                <w:rFonts w:eastAsia="Times New Roman" w:cstheme="minorHAnsi"/>
                <w:sz w:val="20"/>
                <w:szCs w:val="20"/>
              </w:rPr>
            </w:pPr>
          </w:p>
        </w:tc>
        <w:tc>
          <w:tcPr>
            <w:tcW w:w="1379" w:type="dxa"/>
            <w:tcBorders>
              <w:top w:val="nil"/>
              <w:left w:val="nil"/>
              <w:bottom w:val="nil"/>
              <w:right w:val="nil"/>
            </w:tcBorders>
            <w:shd w:val="clear" w:color="auto" w:fill="auto"/>
            <w:noWrap/>
            <w:vAlign w:val="bottom"/>
            <w:hideMark/>
          </w:tcPr>
          <w:p w:rsidR="00004F6D" w:rsidRPr="00004F6D" w:rsidP="00004F6D" w14:paraId="0F38F821" w14:textId="77777777">
            <w:pPr>
              <w:spacing w:after="0" w:line="240" w:lineRule="auto"/>
              <w:rPr>
                <w:rFonts w:eastAsia="Times New Roman" w:cstheme="minorHAnsi"/>
                <w:sz w:val="20"/>
                <w:szCs w:val="20"/>
              </w:rPr>
            </w:pPr>
          </w:p>
        </w:tc>
      </w:tr>
      <w:tr w14:paraId="0684859A" w14:textId="77777777" w:rsidTr="00004F6D">
        <w:tblPrEx>
          <w:tblW w:w="13068" w:type="dxa"/>
          <w:tblInd w:w="108" w:type="dxa"/>
          <w:tblLook w:val="04A0"/>
        </w:tblPrEx>
        <w:trPr>
          <w:trHeight w:val="360"/>
        </w:trPr>
        <w:tc>
          <w:tcPr>
            <w:tcW w:w="3155" w:type="dxa"/>
            <w:tcBorders>
              <w:top w:val="nil"/>
              <w:left w:val="nil"/>
              <w:bottom w:val="nil"/>
              <w:right w:val="nil"/>
            </w:tcBorders>
            <w:shd w:val="clear" w:color="auto" w:fill="auto"/>
            <w:noWrap/>
            <w:vAlign w:val="center"/>
            <w:hideMark/>
          </w:tcPr>
          <w:p w:rsidR="00004F6D" w:rsidRPr="00004F6D" w:rsidP="00004F6D" w14:paraId="1D6A66C7" w14:textId="77777777">
            <w:pPr>
              <w:spacing w:after="0" w:line="240" w:lineRule="auto"/>
              <w:rPr>
                <w:rFonts w:eastAsia="Times New Roman" w:cstheme="minorHAnsi"/>
                <w:b/>
                <w:bCs/>
                <w:color w:val="000000"/>
                <w:sz w:val="20"/>
                <w:szCs w:val="20"/>
                <w:u w:val="single"/>
              </w:rPr>
            </w:pPr>
            <w:r w:rsidRPr="00004F6D">
              <w:rPr>
                <w:rFonts w:eastAsia="Times New Roman" w:cstheme="minorHAnsi"/>
                <w:b/>
                <w:bCs/>
                <w:color w:val="000000"/>
                <w:sz w:val="20"/>
                <w:szCs w:val="20"/>
                <w:u w:val="single"/>
              </w:rPr>
              <w:t>Assumptions:</w:t>
            </w:r>
          </w:p>
        </w:tc>
        <w:tc>
          <w:tcPr>
            <w:tcW w:w="1217" w:type="dxa"/>
            <w:tcBorders>
              <w:top w:val="nil"/>
              <w:left w:val="nil"/>
              <w:bottom w:val="nil"/>
              <w:right w:val="nil"/>
            </w:tcBorders>
            <w:shd w:val="clear" w:color="auto" w:fill="auto"/>
            <w:noWrap/>
            <w:vAlign w:val="center"/>
            <w:hideMark/>
          </w:tcPr>
          <w:p w:rsidR="00004F6D" w:rsidRPr="00004F6D" w:rsidP="00004F6D" w14:paraId="15F5B38B" w14:textId="77777777">
            <w:pPr>
              <w:spacing w:after="0" w:line="240" w:lineRule="auto"/>
              <w:rPr>
                <w:rFonts w:eastAsia="Times New Roman" w:cstheme="minorHAnsi"/>
                <w:b/>
                <w:bCs/>
                <w:color w:val="000000"/>
                <w:sz w:val="20"/>
                <w:szCs w:val="20"/>
                <w:u w:val="single"/>
              </w:rPr>
            </w:pPr>
          </w:p>
        </w:tc>
        <w:tc>
          <w:tcPr>
            <w:tcW w:w="1285" w:type="dxa"/>
            <w:tcBorders>
              <w:top w:val="nil"/>
              <w:left w:val="nil"/>
              <w:bottom w:val="nil"/>
              <w:right w:val="nil"/>
            </w:tcBorders>
            <w:shd w:val="clear" w:color="auto" w:fill="auto"/>
            <w:noWrap/>
            <w:vAlign w:val="bottom"/>
            <w:hideMark/>
          </w:tcPr>
          <w:p w:rsidR="00004F6D" w:rsidRPr="00004F6D" w:rsidP="00004F6D" w14:paraId="0DF58768" w14:textId="77777777">
            <w:pPr>
              <w:spacing w:after="0" w:line="240" w:lineRule="auto"/>
              <w:jc w:val="center"/>
              <w:rPr>
                <w:rFonts w:eastAsia="Times New Roman" w:cstheme="minorHAnsi"/>
                <w:sz w:val="20"/>
                <w:szCs w:val="20"/>
              </w:rPr>
            </w:pPr>
          </w:p>
        </w:tc>
        <w:tc>
          <w:tcPr>
            <w:tcW w:w="1181" w:type="dxa"/>
            <w:tcBorders>
              <w:top w:val="nil"/>
              <w:left w:val="nil"/>
              <w:bottom w:val="nil"/>
              <w:right w:val="nil"/>
            </w:tcBorders>
            <w:shd w:val="clear" w:color="auto" w:fill="auto"/>
            <w:noWrap/>
            <w:vAlign w:val="bottom"/>
            <w:hideMark/>
          </w:tcPr>
          <w:p w:rsidR="00004F6D" w:rsidRPr="00004F6D" w:rsidP="00004F6D" w14:paraId="1F586531" w14:textId="77777777">
            <w:pPr>
              <w:spacing w:after="0" w:line="240" w:lineRule="auto"/>
              <w:rPr>
                <w:rFonts w:eastAsia="Times New Roman" w:cstheme="minorHAnsi"/>
                <w:sz w:val="20"/>
                <w:szCs w:val="20"/>
              </w:rPr>
            </w:pPr>
          </w:p>
        </w:tc>
        <w:tc>
          <w:tcPr>
            <w:tcW w:w="1376" w:type="dxa"/>
            <w:tcBorders>
              <w:top w:val="nil"/>
              <w:left w:val="nil"/>
              <w:bottom w:val="nil"/>
              <w:right w:val="nil"/>
            </w:tcBorders>
            <w:shd w:val="clear" w:color="auto" w:fill="auto"/>
            <w:noWrap/>
            <w:vAlign w:val="bottom"/>
            <w:hideMark/>
          </w:tcPr>
          <w:p w:rsidR="00004F6D" w:rsidRPr="00004F6D" w:rsidP="00004F6D" w14:paraId="1D2EDC6C" w14:textId="77777777">
            <w:pPr>
              <w:spacing w:after="0" w:line="240" w:lineRule="auto"/>
              <w:rPr>
                <w:rFonts w:eastAsia="Times New Roman" w:cstheme="minorHAnsi"/>
                <w:sz w:val="20"/>
                <w:szCs w:val="20"/>
              </w:rPr>
            </w:pPr>
          </w:p>
        </w:tc>
        <w:tc>
          <w:tcPr>
            <w:tcW w:w="1097" w:type="dxa"/>
            <w:tcBorders>
              <w:top w:val="nil"/>
              <w:left w:val="nil"/>
              <w:bottom w:val="nil"/>
              <w:right w:val="nil"/>
            </w:tcBorders>
            <w:shd w:val="clear" w:color="auto" w:fill="auto"/>
            <w:noWrap/>
            <w:vAlign w:val="bottom"/>
            <w:hideMark/>
          </w:tcPr>
          <w:p w:rsidR="00004F6D" w:rsidRPr="00004F6D" w:rsidP="00004F6D" w14:paraId="29CAE9FC" w14:textId="77777777">
            <w:pPr>
              <w:spacing w:after="0" w:line="240" w:lineRule="auto"/>
              <w:rPr>
                <w:rFonts w:eastAsia="Times New Roman" w:cstheme="minorHAnsi"/>
                <w:sz w:val="20"/>
                <w:szCs w:val="20"/>
              </w:rPr>
            </w:pPr>
          </w:p>
        </w:tc>
        <w:tc>
          <w:tcPr>
            <w:tcW w:w="1331" w:type="dxa"/>
            <w:tcBorders>
              <w:top w:val="nil"/>
              <w:left w:val="nil"/>
              <w:bottom w:val="nil"/>
              <w:right w:val="nil"/>
            </w:tcBorders>
            <w:shd w:val="clear" w:color="auto" w:fill="auto"/>
            <w:noWrap/>
            <w:vAlign w:val="bottom"/>
            <w:hideMark/>
          </w:tcPr>
          <w:p w:rsidR="00004F6D" w:rsidRPr="00004F6D" w:rsidP="00004F6D" w14:paraId="687F3EB6" w14:textId="77777777">
            <w:pPr>
              <w:spacing w:after="0" w:line="240" w:lineRule="auto"/>
              <w:rPr>
                <w:rFonts w:eastAsia="Times New Roman" w:cstheme="minorHAnsi"/>
                <w:sz w:val="20"/>
                <w:szCs w:val="20"/>
              </w:rPr>
            </w:pPr>
          </w:p>
        </w:tc>
        <w:tc>
          <w:tcPr>
            <w:tcW w:w="1047" w:type="dxa"/>
            <w:tcBorders>
              <w:top w:val="nil"/>
              <w:left w:val="nil"/>
              <w:bottom w:val="nil"/>
              <w:right w:val="nil"/>
            </w:tcBorders>
            <w:shd w:val="clear" w:color="auto" w:fill="auto"/>
            <w:noWrap/>
            <w:vAlign w:val="bottom"/>
            <w:hideMark/>
          </w:tcPr>
          <w:p w:rsidR="00004F6D" w:rsidRPr="00004F6D" w:rsidP="00004F6D" w14:paraId="7495C7F9" w14:textId="77777777">
            <w:pPr>
              <w:spacing w:after="0" w:line="240" w:lineRule="auto"/>
              <w:rPr>
                <w:rFonts w:eastAsia="Times New Roman" w:cstheme="minorHAnsi"/>
                <w:sz w:val="20"/>
                <w:szCs w:val="20"/>
              </w:rPr>
            </w:pPr>
          </w:p>
        </w:tc>
        <w:tc>
          <w:tcPr>
            <w:tcW w:w="1379" w:type="dxa"/>
            <w:tcBorders>
              <w:top w:val="nil"/>
              <w:left w:val="nil"/>
              <w:bottom w:val="nil"/>
              <w:right w:val="nil"/>
            </w:tcBorders>
            <w:shd w:val="clear" w:color="auto" w:fill="auto"/>
            <w:noWrap/>
            <w:vAlign w:val="bottom"/>
            <w:hideMark/>
          </w:tcPr>
          <w:p w:rsidR="00004F6D" w:rsidRPr="00004F6D" w:rsidP="00004F6D" w14:paraId="31257EF7" w14:textId="77777777">
            <w:pPr>
              <w:spacing w:after="0" w:line="240" w:lineRule="auto"/>
              <w:rPr>
                <w:rFonts w:eastAsia="Times New Roman" w:cstheme="minorHAnsi"/>
                <w:sz w:val="20"/>
                <w:szCs w:val="20"/>
              </w:rPr>
            </w:pPr>
          </w:p>
        </w:tc>
      </w:tr>
      <w:tr w14:paraId="76A4503D" w14:textId="77777777" w:rsidTr="00004F6D">
        <w:tblPrEx>
          <w:tblW w:w="13068" w:type="dxa"/>
          <w:tblInd w:w="108" w:type="dxa"/>
          <w:tblLook w:val="04A0"/>
        </w:tblPrEx>
        <w:trPr>
          <w:trHeight w:val="735"/>
        </w:trPr>
        <w:tc>
          <w:tcPr>
            <w:tcW w:w="13068" w:type="dxa"/>
            <w:gridSpan w:val="9"/>
            <w:tcBorders>
              <w:top w:val="nil"/>
              <w:left w:val="nil"/>
              <w:bottom w:val="nil"/>
              <w:right w:val="nil"/>
            </w:tcBorders>
            <w:shd w:val="clear" w:color="auto" w:fill="auto"/>
            <w:hideMark/>
          </w:tcPr>
          <w:p w:rsidR="00004F6D" w:rsidRPr="00004F6D" w:rsidP="00004F6D" w14:paraId="25061D71" w14:textId="14C00A8F">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a</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assume that there are approximately 104 respondents, with no additional new sources becoming subject to the rule over the three-year period of this ICR. Of these 104 respondents, 84 are from the private sector and 20 are from the Federal government.</w:t>
            </w:r>
          </w:p>
        </w:tc>
      </w:tr>
      <w:tr w14:paraId="605D134B" w14:textId="77777777" w:rsidTr="00004F6D">
        <w:tblPrEx>
          <w:tblW w:w="13068" w:type="dxa"/>
          <w:tblInd w:w="108" w:type="dxa"/>
          <w:tblLook w:val="04A0"/>
        </w:tblPrEx>
        <w:trPr>
          <w:trHeight w:val="1215"/>
        </w:trPr>
        <w:tc>
          <w:tcPr>
            <w:tcW w:w="13068" w:type="dxa"/>
            <w:gridSpan w:val="9"/>
            <w:tcBorders>
              <w:top w:val="nil"/>
              <w:left w:val="nil"/>
              <w:bottom w:val="nil"/>
              <w:right w:val="nil"/>
            </w:tcBorders>
            <w:shd w:val="clear" w:color="auto" w:fill="auto"/>
            <w:hideMark/>
          </w:tcPr>
          <w:p w:rsidR="00004F6D" w:rsidRPr="00004F6D" w:rsidP="00004F6D" w14:paraId="18A72C59" w14:textId="1F6DA2AE">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b</w:t>
            </w:r>
            <w:r>
              <w:rPr>
                <w:rFonts w:eastAsia="Times New Roman" w:cstheme="minorHAnsi"/>
                <w:color w:val="000000"/>
                <w:sz w:val="20"/>
                <w:szCs w:val="20"/>
              </w:rPr>
              <w:t xml:space="preserve"> </w:t>
            </w:r>
            <w:r w:rsidRPr="00004F6D">
              <w:rPr>
                <w:rFonts w:eastAsia="Times New Roman" w:cstheme="minorHAnsi"/>
                <w:color w:val="000000"/>
                <w:sz w:val="20"/>
                <w:szCs w:val="20"/>
              </w:rPr>
              <w:t>This ICR uses the following labor rates for privately-owned sources: $163.17 for managerial, $130.28 for technical,</w:t>
            </w:r>
            <w:r>
              <w:rPr>
                <w:rFonts w:eastAsia="Times New Roman" w:cstheme="minorHAnsi"/>
                <w:color w:val="000000"/>
                <w:sz w:val="20"/>
                <w:szCs w:val="20"/>
              </w:rPr>
              <w:t xml:space="preserve"> </w:t>
            </w:r>
            <w:r w:rsidRPr="00004F6D">
              <w:rPr>
                <w:rFonts w:eastAsia="Times New Roman" w:cstheme="minorHAnsi"/>
                <w:color w:val="000000"/>
                <w:sz w:val="20"/>
                <w:szCs w:val="20"/>
              </w:rPr>
              <w:t>and $65.71 for clerical labor.</w:t>
            </w:r>
            <w:r>
              <w:rPr>
                <w:rFonts w:eastAsia="Times New Roman" w:cstheme="minorHAnsi"/>
                <w:color w:val="000000"/>
                <w:sz w:val="20"/>
                <w:szCs w:val="20"/>
              </w:rPr>
              <w:t xml:space="preserve"> </w:t>
            </w:r>
            <w:r w:rsidRPr="00004F6D">
              <w:rPr>
                <w:rFonts w:eastAsia="Times New Roman" w:cstheme="minorHAnsi"/>
                <w:color w:val="000000"/>
                <w:sz w:val="20"/>
                <w:szCs w:val="20"/>
              </w:rPr>
              <w:t>These rates are from the United States Department of Labor, Bureau of Labor Statistics, September 2022, “Table 2. Civilian Workers, by occupational and industry group.”</w:t>
            </w:r>
            <w:r>
              <w:rPr>
                <w:rFonts w:eastAsia="Times New Roman" w:cstheme="minorHAnsi"/>
                <w:color w:val="000000"/>
                <w:sz w:val="20"/>
                <w:szCs w:val="20"/>
              </w:rPr>
              <w:t xml:space="preserve"> </w:t>
            </w:r>
            <w:r w:rsidRPr="00004F6D">
              <w:rPr>
                <w:rFonts w:eastAsia="Times New Roman" w:cstheme="minorHAnsi"/>
                <w:color w:val="000000"/>
                <w:sz w:val="20"/>
                <w:szCs w:val="20"/>
              </w:rPr>
              <w:t>The rates are from column 1, “Total compensation.”</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The rates have been increased by 110 percent to account for varying industry wage rates and the additional overhead business costs of employing workers beyond their wages and benefits, including business expenses associated with hiring, training, and equipping their employees. </w:t>
            </w:r>
          </w:p>
        </w:tc>
      </w:tr>
      <w:tr w14:paraId="161B63B9" w14:textId="77777777" w:rsidTr="00004F6D">
        <w:tblPrEx>
          <w:tblW w:w="13068" w:type="dxa"/>
          <w:tblInd w:w="108" w:type="dxa"/>
          <w:tblLook w:val="04A0"/>
        </w:tblPrEx>
        <w:trPr>
          <w:trHeight w:val="435"/>
        </w:trPr>
        <w:tc>
          <w:tcPr>
            <w:tcW w:w="13068" w:type="dxa"/>
            <w:gridSpan w:val="9"/>
            <w:tcBorders>
              <w:top w:val="nil"/>
              <w:left w:val="nil"/>
              <w:bottom w:val="nil"/>
              <w:right w:val="nil"/>
            </w:tcBorders>
            <w:shd w:val="clear" w:color="auto" w:fill="auto"/>
            <w:hideMark/>
          </w:tcPr>
          <w:p w:rsidR="00004F6D" w:rsidRPr="00004F6D" w:rsidP="00004F6D" w14:paraId="6DBA1097" w14:textId="3640C6BF">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c</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have assumed there will be no respondents that will require a new parametric monitoring system or performance test.</w:t>
            </w:r>
          </w:p>
        </w:tc>
      </w:tr>
      <w:tr w14:paraId="6C16A3FB" w14:textId="77777777" w:rsidTr="00004F6D">
        <w:tblPrEx>
          <w:tblW w:w="13068" w:type="dxa"/>
          <w:tblInd w:w="108" w:type="dxa"/>
          <w:tblLook w:val="04A0"/>
        </w:tblPrEx>
        <w:trPr>
          <w:trHeight w:val="435"/>
        </w:trPr>
        <w:tc>
          <w:tcPr>
            <w:tcW w:w="13068" w:type="dxa"/>
            <w:gridSpan w:val="9"/>
            <w:tcBorders>
              <w:top w:val="nil"/>
              <w:left w:val="nil"/>
              <w:bottom w:val="nil"/>
              <w:right w:val="nil"/>
            </w:tcBorders>
            <w:shd w:val="clear" w:color="auto" w:fill="auto"/>
            <w:hideMark/>
          </w:tcPr>
          <w:p w:rsidR="00004F6D" w:rsidRPr="00004F6D" w:rsidP="00004F6D" w14:paraId="33CD7538" w14:textId="45F23012">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d</w:t>
            </w:r>
            <w:r>
              <w:rPr>
                <w:rFonts w:eastAsia="Times New Roman" w:cstheme="minorHAnsi"/>
                <w:color w:val="000000"/>
                <w:sz w:val="20"/>
                <w:szCs w:val="20"/>
              </w:rPr>
              <w:t xml:space="preserve"> </w:t>
            </w:r>
            <w:r w:rsidRPr="00004F6D">
              <w:rPr>
                <w:rFonts w:eastAsia="Times New Roman" w:cstheme="minorHAnsi"/>
                <w:color w:val="000000"/>
                <w:sz w:val="20"/>
                <w:szCs w:val="20"/>
              </w:rPr>
              <w:t>We have assumed that each respondent subject to control, monitoring, and reporting requirements will have to familiarize with regulatory requirements each year.</w:t>
            </w:r>
          </w:p>
        </w:tc>
      </w:tr>
      <w:tr w14:paraId="300F358B" w14:textId="77777777" w:rsidTr="00004F6D">
        <w:tblPrEx>
          <w:tblW w:w="13068" w:type="dxa"/>
          <w:tblInd w:w="108" w:type="dxa"/>
          <w:tblLook w:val="04A0"/>
        </w:tblPrEx>
        <w:trPr>
          <w:trHeight w:val="405"/>
        </w:trPr>
        <w:tc>
          <w:tcPr>
            <w:tcW w:w="13068" w:type="dxa"/>
            <w:gridSpan w:val="9"/>
            <w:tcBorders>
              <w:top w:val="nil"/>
              <w:left w:val="nil"/>
              <w:bottom w:val="nil"/>
              <w:right w:val="nil"/>
            </w:tcBorders>
            <w:shd w:val="clear" w:color="auto" w:fill="auto"/>
            <w:hideMark/>
          </w:tcPr>
          <w:p w:rsidR="00004F6D" w:rsidRPr="00004F6D" w:rsidP="00004F6D" w14:paraId="3B9DCEB1" w14:textId="46ADEC15">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e</w:t>
            </w:r>
            <w:r>
              <w:rPr>
                <w:rFonts w:eastAsia="Times New Roman" w:cstheme="minorHAnsi"/>
                <w:color w:val="000000"/>
                <w:sz w:val="20"/>
                <w:szCs w:val="20"/>
              </w:rPr>
              <w:t xml:space="preserve"> </w:t>
            </w:r>
            <w:r w:rsidRPr="00004F6D">
              <w:rPr>
                <w:rFonts w:eastAsia="Times New Roman" w:cstheme="minorHAnsi"/>
                <w:color w:val="000000"/>
                <w:sz w:val="20"/>
                <w:szCs w:val="20"/>
              </w:rPr>
              <w:t>We have assumed there will be no additional facilities becoming subject to the rule over the next three years.</w:t>
            </w:r>
          </w:p>
        </w:tc>
      </w:tr>
      <w:tr w14:paraId="73675403" w14:textId="77777777" w:rsidTr="00004F6D">
        <w:tblPrEx>
          <w:tblW w:w="13068" w:type="dxa"/>
          <w:tblInd w:w="108" w:type="dxa"/>
          <w:tblLook w:val="04A0"/>
        </w:tblPrEx>
        <w:trPr>
          <w:trHeight w:val="615"/>
        </w:trPr>
        <w:tc>
          <w:tcPr>
            <w:tcW w:w="13068" w:type="dxa"/>
            <w:gridSpan w:val="9"/>
            <w:tcBorders>
              <w:top w:val="nil"/>
              <w:left w:val="nil"/>
              <w:bottom w:val="nil"/>
              <w:right w:val="nil"/>
            </w:tcBorders>
            <w:shd w:val="clear" w:color="auto" w:fill="auto"/>
            <w:hideMark/>
          </w:tcPr>
          <w:p w:rsidR="00004F6D" w:rsidRPr="00004F6D" w:rsidP="00004F6D" w14:paraId="5285D5C9" w14:textId="4B3C2920">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f</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62 out of the 84 private sector facilities will submit semiannual reports. We assume that the remaining private sector facilities are exempt from reporting requirements.</w:t>
            </w:r>
          </w:p>
        </w:tc>
      </w:tr>
      <w:tr w14:paraId="7D014322" w14:textId="77777777" w:rsidTr="00004F6D">
        <w:tblPrEx>
          <w:tblW w:w="13068" w:type="dxa"/>
          <w:tblInd w:w="108" w:type="dxa"/>
          <w:tblLook w:val="04A0"/>
        </w:tblPrEx>
        <w:trPr>
          <w:trHeight w:val="405"/>
        </w:trPr>
        <w:tc>
          <w:tcPr>
            <w:tcW w:w="13068" w:type="dxa"/>
            <w:gridSpan w:val="9"/>
            <w:tcBorders>
              <w:top w:val="nil"/>
              <w:left w:val="nil"/>
              <w:bottom w:val="nil"/>
              <w:right w:val="nil"/>
            </w:tcBorders>
            <w:shd w:val="clear" w:color="auto" w:fill="auto"/>
            <w:hideMark/>
          </w:tcPr>
          <w:p w:rsidR="00004F6D" w:rsidRPr="00004F6D" w:rsidP="00004F6D" w14:paraId="5E0EE8AE" w14:textId="230B02F5">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g</w:t>
            </w:r>
            <w:r>
              <w:rPr>
                <w:rFonts w:eastAsia="Times New Roman" w:cstheme="minorHAnsi"/>
                <w:color w:val="000000"/>
                <w:sz w:val="20"/>
                <w:szCs w:val="20"/>
              </w:rPr>
              <w:t xml:space="preserve"> </w:t>
            </w:r>
            <w:r w:rsidRPr="00004F6D">
              <w:rPr>
                <w:rFonts w:eastAsia="Times New Roman" w:cstheme="minorHAnsi"/>
                <w:color w:val="000000"/>
                <w:sz w:val="20"/>
                <w:szCs w:val="20"/>
              </w:rPr>
              <w:t>We assume no respondents will prepare an SSM report. A SSM plan is not required after January 6, 2021.</w:t>
            </w:r>
          </w:p>
        </w:tc>
      </w:tr>
      <w:tr w14:paraId="315A90AD" w14:textId="77777777" w:rsidTr="00004F6D">
        <w:tblPrEx>
          <w:tblW w:w="13068" w:type="dxa"/>
          <w:tblInd w:w="108" w:type="dxa"/>
          <w:tblLook w:val="04A0"/>
        </w:tblPrEx>
        <w:trPr>
          <w:trHeight w:val="300"/>
        </w:trPr>
        <w:tc>
          <w:tcPr>
            <w:tcW w:w="13068" w:type="dxa"/>
            <w:gridSpan w:val="9"/>
            <w:tcBorders>
              <w:top w:val="nil"/>
              <w:left w:val="nil"/>
              <w:bottom w:val="nil"/>
              <w:right w:val="nil"/>
            </w:tcBorders>
            <w:shd w:val="clear" w:color="auto" w:fill="auto"/>
            <w:hideMark/>
          </w:tcPr>
          <w:p w:rsidR="00004F6D" w:rsidRPr="00004F6D" w:rsidP="00004F6D" w14:paraId="34796D15" w14:textId="74325140">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h</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Only new sources will require time to plan compliance activities and develop a record system. </w:t>
            </w:r>
          </w:p>
        </w:tc>
      </w:tr>
      <w:tr w14:paraId="4573D677" w14:textId="77777777" w:rsidTr="00004F6D">
        <w:tblPrEx>
          <w:tblW w:w="13068" w:type="dxa"/>
          <w:tblInd w:w="108" w:type="dxa"/>
          <w:tblLook w:val="04A0"/>
        </w:tblPrEx>
        <w:trPr>
          <w:trHeight w:val="675"/>
        </w:trPr>
        <w:tc>
          <w:tcPr>
            <w:tcW w:w="13068" w:type="dxa"/>
            <w:gridSpan w:val="9"/>
            <w:tcBorders>
              <w:top w:val="nil"/>
              <w:left w:val="nil"/>
              <w:bottom w:val="nil"/>
              <w:right w:val="nil"/>
            </w:tcBorders>
            <w:shd w:val="clear" w:color="auto" w:fill="auto"/>
            <w:hideMark/>
          </w:tcPr>
          <w:p w:rsidR="00004F6D" w:rsidRPr="00004F6D" w:rsidP="00004F6D" w14:paraId="7A6D12B6" w14:textId="19AD4EB0">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i</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The 32 respondents that are exempt from the reporting requirements are required under §63.7881(c) to prepare and maintain written documentation to support the determination of exemption. Existing sources have already completed this activity. </w:t>
            </w:r>
          </w:p>
        </w:tc>
      </w:tr>
      <w:tr w14:paraId="384E722A" w14:textId="77777777" w:rsidTr="00004F6D">
        <w:tblPrEx>
          <w:tblW w:w="13068" w:type="dxa"/>
          <w:tblInd w:w="108" w:type="dxa"/>
          <w:tblLook w:val="04A0"/>
        </w:tblPrEx>
        <w:trPr>
          <w:trHeight w:val="825"/>
        </w:trPr>
        <w:tc>
          <w:tcPr>
            <w:tcW w:w="13068" w:type="dxa"/>
            <w:gridSpan w:val="9"/>
            <w:tcBorders>
              <w:top w:val="nil"/>
              <w:left w:val="nil"/>
              <w:bottom w:val="nil"/>
              <w:right w:val="nil"/>
            </w:tcBorders>
            <w:shd w:val="clear" w:color="auto" w:fill="auto"/>
            <w:vAlign w:val="center"/>
            <w:hideMark/>
          </w:tcPr>
          <w:p w:rsidR="00004F6D" w:rsidRPr="00004F6D" w:rsidP="00004F6D" w14:paraId="07F760EF" w14:textId="15105EEE">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j</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10 percent of the respondents subject to control, monitoring, and reporting requirements will use an on-site in-situ treatment process. At each of these sites, it is assumed that a control device is required on the process vent. We assume that it will take 0.5 hours each day to keep records of parametric monitoring of in-situ process vents.</w:t>
            </w:r>
          </w:p>
        </w:tc>
      </w:tr>
      <w:tr w14:paraId="72C3AC1A" w14:textId="77777777" w:rsidTr="00004F6D">
        <w:tblPrEx>
          <w:tblW w:w="13068" w:type="dxa"/>
          <w:tblInd w:w="108" w:type="dxa"/>
          <w:tblLook w:val="04A0"/>
        </w:tblPrEx>
        <w:trPr>
          <w:trHeight w:val="630"/>
        </w:trPr>
        <w:tc>
          <w:tcPr>
            <w:tcW w:w="13068" w:type="dxa"/>
            <w:gridSpan w:val="9"/>
            <w:tcBorders>
              <w:top w:val="nil"/>
              <w:left w:val="nil"/>
              <w:bottom w:val="nil"/>
              <w:right w:val="nil"/>
            </w:tcBorders>
            <w:shd w:val="clear" w:color="auto" w:fill="auto"/>
            <w:vAlign w:val="center"/>
            <w:hideMark/>
          </w:tcPr>
          <w:p w:rsidR="00004F6D" w:rsidRPr="00004F6D" w:rsidP="00004F6D" w14:paraId="347E77B8" w14:textId="6BDBB3D4">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k</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We assume that 90% of respondents subject to control, monitoring, and reporting requirements will use an on-site ex-situ treatment process. We assume that it will take 0.5 hours each day to keep records of parametric monitoring of ex-situ process vents. </w:t>
            </w:r>
          </w:p>
        </w:tc>
      </w:tr>
      <w:tr w14:paraId="550ACFE6" w14:textId="77777777" w:rsidTr="00004F6D">
        <w:tblPrEx>
          <w:tblW w:w="13068" w:type="dxa"/>
          <w:tblInd w:w="108" w:type="dxa"/>
          <w:tblLook w:val="04A0"/>
        </w:tblPrEx>
        <w:trPr>
          <w:trHeight w:val="630"/>
        </w:trPr>
        <w:tc>
          <w:tcPr>
            <w:tcW w:w="13068" w:type="dxa"/>
            <w:gridSpan w:val="9"/>
            <w:tcBorders>
              <w:top w:val="nil"/>
              <w:left w:val="nil"/>
              <w:bottom w:val="nil"/>
              <w:right w:val="nil"/>
            </w:tcBorders>
            <w:shd w:val="clear" w:color="auto" w:fill="auto"/>
            <w:hideMark/>
          </w:tcPr>
          <w:p w:rsidR="00004F6D" w:rsidRPr="00004F6D" w:rsidP="00004F6D" w14:paraId="57AE4E9D" w14:textId="0F3A724C">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l</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assume that 50 percent of the respondents subject to control, monitoring, and reporting requirements have tanks, containers, and transfer systems at their facilities. We assume that tank, container, and transfer system covers will be inspected once per month.</w:t>
            </w:r>
          </w:p>
        </w:tc>
      </w:tr>
      <w:tr w14:paraId="353FAA3B" w14:textId="77777777" w:rsidTr="00004F6D">
        <w:tblPrEx>
          <w:tblW w:w="13068" w:type="dxa"/>
          <w:tblInd w:w="108" w:type="dxa"/>
          <w:tblLook w:val="04A0"/>
        </w:tblPrEx>
        <w:trPr>
          <w:trHeight w:val="675"/>
        </w:trPr>
        <w:tc>
          <w:tcPr>
            <w:tcW w:w="13068" w:type="dxa"/>
            <w:gridSpan w:val="9"/>
            <w:tcBorders>
              <w:top w:val="nil"/>
              <w:left w:val="nil"/>
              <w:bottom w:val="nil"/>
              <w:right w:val="nil"/>
            </w:tcBorders>
            <w:shd w:val="clear" w:color="auto" w:fill="auto"/>
            <w:hideMark/>
          </w:tcPr>
          <w:p w:rsidR="00004F6D" w:rsidRPr="00004F6D" w:rsidP="00004F6D" w14:paraId="1AD695DB" w14:textId="31EB7C46">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m</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each respondent will take 2 hours once per month to inspect surface impoundment covers. It is assumed that 10% of facilities with onsite treatment will use a surface impoundment (6 sources in the private sector and 1 federal facility).</w:t>
            </w:r>
          </w:p>
        </w:tc>
      </w:tr>
      <w:tr w14:paraId="4F80B8D1" w14:textId="77777777" w:rsidTr="00004F6D">
        <w:tblPrEx>
          <w:tblW w:w="13068" w:type="dxa"/>
          <w:tblInd w:w="108" w:type="dxa"/>
          <w:tblLook w:val="04A0"/>
        </w:tblPrEx>
        <w:trPr>
          <w:trHeight w:val="675"/>
        </w:trPr>
        <w:tc>
          <w:tcPr>
            <w:tcW w:w="13068" w:type="dxa"/>
            <w:gridSpan w:val="9"/>
            <w:tcBorders>
              <w:top w:val="nil"/>
              <w:left w:val="nil"/>
              <w:bottom w:val="nil"/>
              <w:right w:val="nil"/>
            </w:tcBorders>
            <w:shd w:val="clear" w:color="auto" w:fill="auto"/>
            <w:hideMark/>
          </w:tcPr>
          <w:p w:rsidR="00004F6D" w:rsidRPr="00004F6D" w:rsidP="00004F6D" w14:paraId="667271B2" w14:textId="787390AD">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n</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each respondent will take 2 hours once per month to inspect separator covers. It is assumed that 10% of facilities with onsite treatment will have separators (6 sources in the private sector and 1 federal facility).</w:t>
            </w:r>
          </w:p>
        </w:tc>
      </w:tr>
      <w:tr w14:paraId="45E797B6" w14:textId="77777777" w:rsidTr="00004F6D">
        <w:tblPrEx>
          <w:tblW w:w="13068" w:type="dxa"/>
          <w:tblInd w:w="108" w:type="dxa"/>
          <w:tblLook w:val="04A0"/>
        </w:tblPrEx>
        <w:trPr>
          <w:trHeight w:val="465"/>
        </w:trPr>
        <w:tc>
          <w:tcPr>
            <w:tcW w:w="13068" w:type="dxa"/>
            <w:gridSpan w:val="9"/>
            <w:tcBorders>
              <w:top w:val="nil"/>
              <w:left w:val="nil"/>
              <w:bottom w:val="nil"/>
              <w:right w:val="nil"/>
            </w:tcBorders>
            <w:shd w:val="clear" w:color="auto" w:fill="auto"/>
            <w:hideMark/>
          </w:tcPr>
          <w:p w:rsidR="00004F6D" w:rsidRPr="00004F6D" w:rsidP="00004F6D" w14:paraId="183F0D22" w14:textId="13C6098A">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o</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We assume that all respondents subject to control, monitoring, and reporting requirements will implement an LDAR program. </w:t>
            </w:r>
          </w:p>
        </w:tc>
      </w:tr>
      <w:tr w14:paraId="712897C5" w14:textId="77777777" w:rsidTr="00004F6D">
        <w:tblPrEx>
          <w:tblW w:w="13068" w:type="dxa"/>
          <w:tblInd w:w="108" w:type="dxa"/>
          <w:tblLook w:val="04A0"/>
        </w:tblPrEx>
        <w:trPr>
          <w:trHeight w:val="465"/>
        </w:trPr>
        <w:tc>
          <w:tcPr>
            <w:tcW w:w="13068" w:type="dxa"/>
            <w:gridSpan w:val="9"/>
            <w:tcBorders>
              <w:top w:val="nil"/>
              <w:left w:val="nil"/>
              <w:bottom w:val="nil"/>
              <w:right w:val="nil"/>
            </w:tcBorders>
            <w:shd w:val="clear" w:color="auto" w:fill="auto"/>
            <w:hideMark/>
          </w:tcPr>
          <w:p w:rsidR="00004F6D" w:rsidRPr="00004F6D" w:rsidP="00004F6D" w14:paraId="60B3EA18" w14:textId="5CEC1EEB">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p</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We assume that all respondents subject to control, monitoring, and reporting requirements will take 2 hours each week to enter the information required for semi-annual reports. </w:t>
            </w:r>
          </w:p>
        </w:tc>
      </w:tr>
      <w:tr w14:paraId="439D0CC3" w14:textId="77777777" w:rsidTr="00004F6D">
        <w:tblPrEx>
          <w:tblW w:w="13068" w:type="dxa"/>
          <w:tblInd w:w="108" w:type="dxa"/>
          <w:tblLook w:val="04A0"/>
        </w:tblPrEx>
        <w:trPr>
          <w:trHeight w:val="435"/>
        </w:trPr>
        <w:tc>
          <w:tcPr>
            <w:tcW w:w="13068" w:type="dxa"/>
            <w:gridSpan w:val="9"/>
            <w:tcBorders>
              <w:top w:val="nil"/>
              <w:left w:val="nil"/>
              <w:bottom w:val="nil"/>
              <w:right w:val="nil"/>
            </w:tcBorders>
            <w:shd w:val="clear" w:color="auto" w:fill="auto"/>
            <w:hideMark/>
          </w:tcPr>
          <w:p w:rsidR="00004F6D" w:rsidRPr="00004F6D" w:rsidP="00004F6D" w14:paraId="3D5366D7" w14:textId="4C3DCEE1">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q</w:t>
            </w:r>
            <w:r>
              <w:rPr>
                <w:rFonts w:eastAsia="Times New Roman" w:cstheme="minorHAnsi"/>
                <w:color w:val="000000"/>
                <w:sz w:val="20"/>
                <w:szCs w:val="20"/>
              </w:rPr>
              <w:t xml:space="preserve"> </w:t>
            </w:r>
            <w:r w:rsidRPr="00004F6D">
              <w:rPr>
                <w:rFonts w:eastAsia="Times New Roman" w:cstheme="minorHAnsi"/>
                <w:color w:val="000000"/>
                <w:sz w:val="20"/>
                <w:szCs w:val="20"/>
              </w:rPr>
              <w:t>We have assumed that all new sources will train personnel to operate the control and monitoring system and record data.</w:t>
            </w:r>
          </w:p>
        </w:tc>
      </w:tr>
      <w:tr w14:paraId="35EC67DF" w14:textId="77777777" w:rsidTr="00004F6D">
        <w:tblPrEx>
          <w:tblW w:w="13068" w:type="dxa"/>
          <w:tblInd w:w="108" w:type="dxa"/>
          <w:tblLook w:val="04A0"/>
        </w:tblPrEx>
        <w:trPr>
          <w:trHeight w:val="300"/>
        </w:trPr>
        <w:tc>
          <w:tcPr>
            <w:tcW w:w="13068" w:type="dxa"/>
            <w:gridSpan w:val="9"/>
            <w:tcBorders>
              <w:top w:val="nil"/>
              <w:left w:val="nil"/>
              <w:bottom w:val="nil"/>
              <w:right w:val="nil"/>
            </w:tcBorders>
            <w:shd w:val="clear" w:color="auto" w:fill="auto"/>
            <w:hideMark/>
          </w:tcPr>
          <w:p w:rsidR="00004F6D" w:rsidRPr="00004F6D" w:rsidP="00004F6D" w14:paraId="7AFF79B1"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r</w:t>
            </w:r>
            <w:r w:rsidRPr="00004F6D">
              <w:rPr>
                <w:rFonts w:eastAsia="Times New Roman" w:cstheme="minorHAnsi"/>
                <w:color w:val="000000"/>
                <w:sz w:val="20"/>
                <w:szCs w:val="20"/>
              </w:rPr>
              <w:t xml:space="preserve"> Totals have been rounded to 3 significant figures. Figures may not add exactly due to rounding.</w:t>
            </w:r>
          </w:p>
        </w:tc>
      </w:tr>
    </w:tbl>
    <w:p w:rsidR="00004F6D" w:rsidP="00BB3410" w14:paraId="02BFB1B4" w14:textId="6DC672B1">
      <w:pPr>
        <w:pStyle w:val="ListParagraph"/>
        <w:spacing w:before="240"/>
        <w:ind w:left="0"/>
        <w:rPr>
          <w:rFonts w:cstheme="minorHAnsi"/>
          <w:sz w:val="24"/>
          <w:szCs w:val="24"/>
        </w:rPr>
      </w:pPr>
    </w:p>
    <w:p w:rsidR="00004F6D" w14:paraId="712AF406" w14:textId="77777777">
      <w:pPr>
        <w:rPr>
          <w:rFonts w:cstheme="minorHAnsi"/>
          <w:sz w:val="24"/>
          <w:szCs w:val="24"/>
        </w:rPr>
      </w:pPr>
      <w:r>
        <w:rPr>
          <w:rFonts w:cstheme="minorHAnsi"/>
          <w:sz w:val="24"/>
          <w:szCs w:val="24"/>
        </w:rPr>
        <w:br w:type="page"/>
      </w:r>
    </w:p>
    <w:tbl>
      <w:tblPr>
        <w:tblW w:w="13068" w:type="dxa"/>
        <w:tblInd w:w="108" w:type="dxa"/>
        <w:tblLook w:val="04A0"/>
      </w:tblPr>
      <w:tblGrid>
        <w:gridCol w:w="3157"/>
        <w:gridCol w:w="1170"/>
        <w:gridCol w:w="1220"/>
        <w:gridCol w:w="1195"/>
        <w:gridCol w:w="1358"/>
        <w:gridCol w:w="1397"/>
        <w:gridCol w:w="1332"/>
        <w:gridCol w:w="1014"/>
        <w:gridCol w:w="1229"/>
      </w:tblGrid>
      <w:tr w14:paraId="5E76013D" w14:textId="77777777" w:rsidTr="00004F6D">
        <w:tblPrEx>
          <w:tblW w:w="13068" w:type="dxa"/>
          <w:tblInd w:w="108" w:type="dxa"/>
          <w:tblLook w:val="04A0"/>
        </w:tblPrEx>
        <w:trPr>
          <w:trHeight w:val="630"/>
        </w:trPr>
        <w:tc>
          <w:tcPr>
            <w:tcW w:w="13068" w:type="dxa"/>
            <w:gridSpan w:val="9"/>
            <w:tcBorders>
              <w:top w:val="nil"/>
              <w:left w:val="nil"/>
              <w:bottom w:val="nil"/>
              <w:right w:val="nil"/>
            </w:tcBorders>
            <w:shd w:val="clear" w:color="auto" w:fill="auto"/>
            <w:hideMark/>
          </w:tcPr>
          <w:p w:rsidR="00004F6D" w:rsidRPr="00004F6D" w:rsidP="00004F6D" w14:paraId="22CE4692" w14:textId="77777777">
            <w:pPr>
              <w:spacing w:after="0" w:line="240" w:lineRule="auto"/>
              <w:rPr>
                <w:rFonts w:eastAsia="Times New Roman" w:cstheme="minorHAnsi"/>
                <w:b/>
                <w:bCs/>
                <w:sz w:val="24"/>
                <w:szCs w:val="24"/>
              </w:rPr>
            </w:pPr>
            <w:r w:rsidRPr="00004F6D">
              <w:rPr>
                <w:rFonts w:eastAsia="Times New Roman" w:cstheme="minorHAnsi"/>
                <w:b/>
                <w:bCs/>
                <w:sz w:val="24"/>
                <w:szCs w:val="24"/>
              </w:rPr>
              <w:t>Table 1b: Annual Respondent Burden and Cost for Federal Government – NESHAP for Site Remediation (40 CFR Part 63, Subpart GGGGG) (Renewal)</w:t>
            </w:r>
          </w:p>
        </w:tc>
      </w:tr>
      <w:tr w14:paraId="0C70E7A5" w14:textId="77777777" w:rsidTr="00004F6D">
        <w:tblPrEx>
          <w:tblW w:w="13068" w:type="dxa"/>
          <w:tblInd w:w="108" w:type="dxa"/>
          <w:tblLook w:val="04A0"/>
        </w:tblPrEx>
        <w:trPr>
          <w:trHeight w:val="1530"/>
        </w:trPr>
        <w:tc>
          <w:tcPr>
            <w:tcW w:w="3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F6D" w:rsidRPr="00004F6D" w:rsidP="00004F6D" w14:paraId="2BCB967F"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3C594B99"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(A) </w:t>
            </w:r>
            <w:r w:rsidRPr="00004F6D">
              <w:rPr>
                <w:rFonts w:eastAsia="Times New Roman" w:cstheme="minorHAnsi"/>
                <w:b/>
                <w:bCs/>
                <w:color w:val="000000"/>
                <w:sz w:val="20"/>
                <w:szCs w:val="20"/>
              </w:rPr>
              <w:br/>
              <w:t>Person hours per occurrence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48B5EEAB"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(B) </w:t>
            </w:r>
            <w:r w:rsidRPr="00004F6D">
              <w:rPr>
                <w:rFonts w:eastAsia="Times New Roman" w:cstheme="minorHAnsi"/>
                <w:b/>
                <w:bCs/>
                <w:color w:val="000000"/>
                <w:sz w:val="20"/>
                <w:szCs w:val="20"/>
              </w:rPr>
              <w:br/>
              <w:t>Number of occurrences per year</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0691F7E8"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(C) </w:t>
            </w:r>
            <w:r w:rsidRPr="00004F6D">
              <w:rPr>
                <w:rFonts w:eastAsia="Times New Roman" w:cstheme="minorHAnsi"/>
                <w:b/>
                <w:bCs/>
                <w:color w:val="000000"/>
                <w:sz w:val="20"/>
                <w:szCs w:val="20"/>
              </w:rPr>
              <w:br/>
              <w:t xml:space="preserve">Person hrs per respondent per year </w:t>
            </w:r>
            <w:r w:rsidRPr="00004F6D">
              <w:rPr>
                <w:rFonts w:eastAsia="Times New Roman" w:cstheme="minorHAnsi"/>
                <w:b/>
                <w:bCs/>
                <w:color w:val="000000"/>
                <w:sz w:val="20"/>
                <w:szCs w:val="20"/>
              </w:rPr>
              <w:br/>
              <w:t>(C=AxB)</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28E03455"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(D) </w:t>
            </w:r>
            <w:r w:rsidRPr="00004F6D">
              <w:rPr>
                <w:rFonts w:eastAsia="Times New Roman" w:cstheme="minorHAnsi"/>
                <w:b/>
                <w:bCs/>
                <w:color w:val="000000"/>
                <w:sz w:val="20"/>
                <w:szCs w:val="20"/>
              </w:rPr>
              <w:br/>
              <w:t xml:space="preserve">Respondents per year </w:t>
            </w:r>
            <w:r w:rsidRPr="00004F6D">
              <w:rPr>
                <w:rFonts w:eastAsia="Times New Roman" w:cstheme="minorHAnsi"/>
                <w:b/>
                <w:bCs/>
                <w:color w:val="000000"/>
                <w:sz w:val="20"/>
                <w:szCs w:val="20"/>
                <w:vertAlign w:val="superscript"/>
              </w:rPr>
              <w:t>a</w:t>
            </w:r>
            <w:r w:rsidRPr="00004F6D">
              <w:rPr>
                <w:rFonts w:eastAsia="Times New Roman" w:cstheme="minorHAnsi"/>
                <w:b/>
                <w:bCs/>
                <w:color w:val="000000"/>
                <w:sz w:val="20"/>
                <w:szCs w:val="20"/>
              </w:rPr>
              <w:t xml:space="preserve"> </w:t>
            </w:r>
          </w:p>
        </w:tc>
        <w:tc>
          <w:tcPr>
            <w:tcW w:w="1397"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3C446B6F"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(E) </w:t>
            </w:r>
            <w:r w:rsidRPr="00004F6D">
              <w:rPr>
                <w:rFonts w:eastAsia="Times New Roman" w:cstheme="minorHAnsi"/>
                <w:b/>
                <w:bCs/>
                <w:color w:val="000000"/>
                <w:sz w:val="20"/>
                <w:szCs w:val="20"/>
              </w:rPr>
              <w:br/>
              <w:t xml:space="preserve">Technical person hrs per year </w:t>
            </w:r>
            <w:r w:rsidRPr="00004F6D">
              <w:rPr>
                <w:rFonts w:eastAsia="Times New Roman" w:cstheme="minorHAnsi"/>
                <w:b/>
                <w:bCs/>
                <w:color w:val="000000"/>
                <w:sz w:val="20"/>
                <w:szCs w:val="20"/>
              </w:rPr>
              <w:br/>
              <w:t>(E=CxD)</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27DA50E6"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(F) </w:t>
            </w:r>
            <w:r w:rsidRPr="00004F6D">
              <w:rPr>
                <w:rFonts w:eastAsia="Times New Roman" w:cstheme="minorHAnsi"/>
                <w:b/>
                <w:bCs/>
                <w:color w:val="000000"/>
                <w:sz w:val="20"/>
                <w:szCs w:val="20"/>
              </w:rPr>
              <w:br/>
              <w:t xml:space="preserve">Management person hrs per year </w:t>
            </w:r>
            <w:r w:rsidRPr="00004F6D">
              <w:rPr>
                <w:rFonts w:eastAsia="Times New Roman" w:cstheme="minorHAnsi"/>
                <w:b/>
                <w:bCs/>
                <w:color w:val="000000"/>
                <w:sz w:val="20"/>
                <w:szCs w:val="20"/>
              </w:rPr>
              <w:br/>
              <w:t>(F=Ex0.05)</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7D5E5DA5"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xml:space="preserve">(G) </w:t>
            </w:r>
            <w:r w:rsidRPr="00004F6D">
              <w:rPr>
                <w:rFonts w:eastAsia="Times New Roman" w:cstheme="minorHAnsi"/>
                <w:b/>
                <w:bCs/>
                <w:color w:val="000000"/>
                <w:sz w:val="20"/>
                <w:szCs w:val="20"/>
              </w:rPr>
              <w:br/>
              <w:t xml:space="preserve">Clerical person hrs per year </w:t>
            </w:r>
            <w:r w:rsidRPr="00004F6D">
              <w:rPr>
                <w:rFonts w:eastAsia="Times New Roman" w:cstheme="minorHAnsi"/>
                <w:b/>
                <w:bCs/>
                <w:color w:val="000000"/>
                <w:sz w:val="20"/>
                <w:szCs w:val="20"/>
              </w:rPr>
              <w:br/>
              <w:t>(G=Ex0.1)</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283B77D5"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(H)</w:t>
            </w:r>
            <w:r w:rsidRPr="00004F6D">
              <w:rPr>
                <w:rFonts w:eastAsia="Times New Roman" w:cstheme="minorHAnsi"/>
                <w:b/>
                <w:bCs/>
                <w:color w:val="000000"/>
                <w:sz w:val="20"/>
                <w:szCs w:val="20"/>
              </w:rPr>
              <w:br/>
              <w:t xml:space="preserve">Total Cost per year ($) </w:t>
            </w:r>
            <w:r w:rsidRPr="00004F6D">
              <w:rPr>
                <w:rFonts w:eastAsia="Times New Roman" w:cstheme="minorHAnsi"/>
                <w:b/>
                <w:bCs/>
                <w:color w:val="000000"/>
                <w:sz w:val="20"/>
                <w:szCs w:val="20"/>
                <w:vertAlign w:val="superscript"/>
              </w:rPr>
              <w:t>b</w:t>
            </w:r>
          </w:p>
        </w:tc>
      </w:tr>
      <w:tr w14:paraId="78A6631A"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273606F"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1. Applications</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7F4764B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NA</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70EF3A2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498136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792C8F9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D8E3AE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477554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10EC9E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F645F3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r>
      <w:tr w14:paraId="33630CFB"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234C246"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2. Surveys and Studies</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5D0DCB9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NA</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75479F9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7C15D5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30276A9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331DAD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AA5EAE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A30CC8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D23042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r>
      <w:tr w14:paraId="436FDA57"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9F5D797"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xml:space="preserve">3. Parametric Monitoring System </w:t>
            </w:r>
            <w:r w:rsidRPr="00004F6D">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675CB6F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40</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6AE3E5F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3FB06F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40</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1046BC2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4ACBAC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186F86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1F46E8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940BBC1"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1A47464A"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51825EE"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4.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7A73EBA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4C238D5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AF1A38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731AA3D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00B70D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1F532A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6A4701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D6C9971"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5C4E7492"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B604E3D" w14:textId="1205A367">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A. Familiarize with regulatory requirements </w:t>
            </w:r>
            <w:r w:rsidRPr="00004F6D">
              <w:rPr>
                <w:rFonts w:eastAsia="Times New Roman" w:cstheme="minorHAnsi"/>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78A64D5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16</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1EF1812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1F5B0A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16</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3987DD6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C466CC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176</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4C6C68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8.8</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8BB45D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17.6</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374362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$10,759.41</w:t>
            </w:r>
          </w:p>
        </w:tc>
      </w:tr>
      <w:tr w14:paraId="37C88C87"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8DAEF4A" w14:textId="0C9F4A3B">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B. Conduct performance test </w:t>
            </w:r>
            <w:r w:rsidRPr="00004F6D">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121AB31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136</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25553E9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24EFA6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136</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3AE9093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912C3D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FEEFE0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E94D30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E705DB9"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71146592"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3C3D682" w14:textId="5E966847">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C. Initial notification </w:t>
            </w:r>
            <w:r w:rsidRPr="00004F6D">
              <w:rPr>
                <w:rFonts w:eastAsia="Times New Roman" w:cstheme="minorHAnsi"/>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2B090D4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14</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154FEEC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68938A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14</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494EC35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DA7EF2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8EF7F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DCAE91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C5CD997"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7FEB522D"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6898B93" w14:textId="59F23D4B">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D. Performance test notification </w:t>
            </w:r>
            <w:r w:rsidRPr="00004F6D">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55BC51D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349D150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93C788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6FE965E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7F64C7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EE0687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213908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39BED4C"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38516CF2"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1BC72D3" w14:textId="00E54D1D">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E. Initial compliance determination </w:t>
            </w:r>
            <w:r>
              <w:rPr>
                <w:rFonts w:eastAsia="Times New Roman" w:cstheme="minorHAnsi"/>
                <w:color w:val="000000"/>
                <w:sz w:val="20"/>
                <w:szCs w:val="20"/>
                <w:vertAlign w:val="superscript"/>
              </w:rPr>
              <w:t>c, e</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358DC07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60</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1A1DC82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394B47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60</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7ADB544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B3DF47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2D8B26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E4006B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94E34EF"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332FB7CD"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6CD5BA1" w14:textId="6A47C5FC">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F. Performance test report </w:t>
            </w:r>
            <w:r w:rsidRPr="00004F6D">
              <w:rPr>
                <w:rFonts w:eastAsia="Times New Roman" w:cstheme="minorHAnsi"/>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2F40EF8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108</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6932D9A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D5997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108</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436C447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B8C515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1195FF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582FC5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D167FC1"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1EB55EE3"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8AAFF26" w14:textId="6AA5917A">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G. Semiannual report </w:t>
            </w:r>
            <w:r w:rsidRPr="00004F6D">
              <w:rPr>
                <w:rFonts w:eastAsia="Times New Roman" w:cstheme="minorHAnsi"/>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630B402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56</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41A9E35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D83C7D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33965C4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A5EA2C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1,232</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B9677D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61.6</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6814A8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123.2</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913FBF2"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$75,315.86</w:t>
            </w:r>
          </w:p>
        </w:tc>
      </w:tr>
      <w:tr w14:paraId="21BEAB4F"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F05FA7D" w14:textId="4098EE98">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H. SSM report </w:t>
            </w:r>
            <w:r w:rsidRPr="00004F6D">
              <w:rPr>
                <w:rFonts w:eastAsia="Times New Roman" w:cstheme="minorHAnsi"/>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136766F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00E5547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8E5368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0C6AFF0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FC7080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8B2BB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318D00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9F1F131"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78F21CF8"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ABECC9E" w14:textId="77777777">
            <w:pPr>
              <w:spacing w:after="0" w:line="240" w:lineRule="auto"/>
              <w:rPr>
                <w:rFonts w:eastAsia="Times New Roman" w:cstheme="minorHAnsi"/>
                <w:b/>
                <w:bCs/>
                <w:i/>
                <w:iCs/>
                <w:color w:val="000000"/>
                <w:sz w:val="20"/>
                <w:szCs w:val="20"/>
              </w:rPr>
            </w:pPr>
            <w:r w:rsidRPr="00004F6D">
              <w:rPr>
                <w:rFonts w:eastAsia="Times New Roman" w:cstheme="minorHAnsi"/>
                <w:b/>
                <w:bCs/>
                <w:i/>
                <w:iCs/>
                <w:color w:val="000000"/>
                <w:sz w:val="20"/>
                <w:szCs w:val="20"/>
              </w:rPr>
              <w:t>Subtotal Reporting Requirements</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74BC97D8"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021A407E"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428E18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6F6134B6"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3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F6D" w:rsidRPr="00004F6D" w:rsidP="00004F6D" w14:paraId="7F302931" w14:textId="77777777">
            <w:pPr>
              <w:spacing w:after="0" w:line="240" w:lineRule="auto"/>
              <w:jc w:val="center"/>
              <w:rPr>
                <w:rFonts w:eastAsia="Times New Roman" w:cstheme="minorHAnsi"/>
                <w:b/>
                <w:bCs/>
                <w:i/>
                <w:iCs/>
                <w:color w:val="000000"/>
                <w:sz w:val="20"/>
                <w:szCs w:val="20"/>
              </w:rPr>
            </w:pPr>
            <w:r w:rsidRPr="00004F6D">
              <w:rPr>
                <w:rFonts w:eastAsia="Times New Roman" w:cstheme="minorHAnsi"/>
                <w:b/>
                <w:bCs/>
                <w:i/>
                <w:iCs/>
                <w:color w:val="000000"/>
                <w:sz w:val="20"/>
                <w:szCs w:val="20"/>
              </w:rPr>
              <w:t>1,619</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5A93F66" w14:textId="77777777">
            <w:pPr>
              <w:spacing w:after="0" w:line="240" w:lineRule="auto"/>
              <w:jc w:val="right"/>
              <w:rPr>
                <w:rFonts w:eastAsia="Times New Roman" w:cstheme="minorHAnsi"/>
                <w:b/>
                <w:bCs/>
                <w:i/>
                <w:iCs/>
                <w:color w:val="000000"/>
                <w:sz w:val="20"/>
                <w:szCs w:val="20"/>
              </w:rPr>
            </w:pPr>
            <w:r w:rsidRPr="00004F6D">
              <w:rPr>
                <w:rFonts w:eastAsia="Times New Roman" w:cstheme="minorHAnsi"/>
                <w:b/>
                <w:bCs/>
                <w:i/>
                <w:iCs/>
                <w:color w:val="000000"/>
                <w:sz w:val="20"/>
                <w:szCs w:val="20"/>
              </w:rPr>
              <w:t xml:space="preserve">$86,075 </w:t>
            </w:r>
          </w:p>
        </w:tc>
      </w:tr>
      <w:tr w14:paraId="178789DA"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B4E4C1A"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5.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05CA84F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455B095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082F94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4BA1A6A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38345A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E143AF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925DB2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C5582CC"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 </w:t>
            </w:r>
          </w:p>
        </w:tc>
      </w:tr>
      <w:tr w14:paraId="11F1635C"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5C03D72" w14:textId="72BAEB9A">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A. Familiarize with regulatory requirements </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7B0222A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See 4A</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1BF8D55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41C13C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342FE8E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D079CF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81CC96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366636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A0160F5"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 </w:t>
            </w:r>
          </w:p>
        </w:tc>
      </w:tr>
      <w:tr w14:paraId="09FCB354"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47D776B" w14:textId="38DDA7C8">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B. Plan compliance activities </w:t>
            </w:r>
            <w:r w:rsidRPr="00004F6D">
              <w:rPr>
                <w:rFonts w:eastAsia="Times New Roman" w:cstheme="minorHAnsi"/>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0C5B2A2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206CCB6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8C3C87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9EF6BB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103C1B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82C585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845AB9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3D3A8BA"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7C87ECBF"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E784321" w14:textId="34FFC769">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C. Prepare SSM plan </w:t>
            </w:r>
            <w:r w:rsidRPr="00004F6D">
              <w:rPr>
                <w:rFonts w:eastAsia="Times New Roman" w:cstheme="minorHAnsi"/>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26B429D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68B7248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5014B0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DA8FCC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6F71E7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58747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9793D7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B37F392"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1F43B1AB"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05924AE2" w14:textId="1AED3DB3">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D. Prepare documentation for exempted sources </w:t>
            </w:r>
            <w:r w:rsidRPr="00004F6D">
              <w:rPr>
                <w:rFonts w:eastAsia="Times New Roman" w:cstheme="minorHAnsi"/>
                <w:color w:val="000000"/>
                <w:sz w:val="20"/>
                <w:szCs w:val="20"/>
                <w:vertAlign w:val="superscript"/>
              </w:rPr>
              <w:t>i</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584F7E5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7CAFB3D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B92205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112</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FEF3AC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7AE3B9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231914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2A0620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DDDC10B"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25D55DF7"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303C278" w14:textId="2731710F">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E. In-situ process vents parametric monitoring </w:t>
            </w:r>
            <w:r w:rsidRPr="00004F6D">
              <w:rPr>
                <w:rFonts w:eastAsia="Times New Roman" w:cstheme="minorHAnsi"/>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424824C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64B8909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365</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78F993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182.5</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AF6B5B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5A51CC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201</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A4E7B5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FDE085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3F33F70"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$12,272.45</w:t>
            </w:r>
          </w:p>
        </w:tc>
      </w:tr>
      <w:tr w14:paraId="34E34DC3"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582A201" w14:textId="3EE28096">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F. Ex-situ process vents parametric monitoring </w:t>
            </w:r>
            <w:r w:rsidRPr="00004F6D">
              <w:rPr>
                <w:rFonts w:eastAsia="Times New Roman" w:cstheme="minorHAnsi"/>
                <w:color w:val="000000"/>
                <w:sz w:val="20"/>
                <w:szCs w:val="20"/>
                <w:vertAlign w:val="superscript"/>
              </w:rPr>
              <w:t>k</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7F8DA89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7889E42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365</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D03701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182.5</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7EFB87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28450B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1,807</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91A8CF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90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A9F015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181</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103ABD0"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$110,452.05</w:t>
            </w:r>
          </w:p>
        </w:tc>
      </w:tr>
      <w:tr w14:paraId="64B8F239"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F2B0DC8" w14:textId="4D2AF925">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G. Inspect tank covers </w:t>
            </w:r>
            <w:r w:rsidRPr="00004F6D">
              <w:rPr>
                <w:rFonts w:eastAsia="Times New Roman" w:cstheme="minorHAnsi"/>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01BC604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32C5C36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7E72BA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24</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A837F1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AF56C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132</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EA08D0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04DECC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881557B"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$8,069.56</w:t>
            </w:r>
          </w:p>
        </w:tc>
      </w:tr>
      <w:tr w14:paraId="15359B37"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6316ACC" w14:textId="4605CEEB">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H. Inspect container covers </w:t>
            </w:r>
            <w:r w:rsidRPr="00004F6D">
              <w:rPr>
                <w:rFonts w:eastAsia="Times New Roman" w:cstheme="minorHAnsi"/>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50DAD1C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75AE859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34740C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F8CED2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C73E43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33</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506D80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29ACB2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7716B7E"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$2,017.39</w:t>
            </w:r>
          </w:p>
        </w:tc>
      </w:tr>
      <w:tr w14:paraId="33386427"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49049AC" w14:textId="15849F78">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I. Inspect surface impoundment covers </w:t>
            </w:r>
            <w:r w:rsidRPr="00004F6D">
              <w:rPr>
                <w:rFonts w:eastAsia="Times New Roman" w:cstheme="minorHAnsi"/>
                <w:color w:val="000000"/>
                <w:sz w:val="20"/>
                <w:szCs w:val="20"/>
                <w:vertAlign w:val="superscript"/>
              </w:rPr>
              <w:t>m</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6E672A4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06CD6A4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736ED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24</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46F7B9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3E5B2D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26</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E09B6A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5B1A78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B756F3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$1,613.91</w:t>
            </w:r>
          </w:p>
        </w:tc>
      </w:tr>
      <w:tr w14:paraId="56027F6C"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1566F779" w14:textId="76AF604C">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J. Inspect separator covers </w:t>
            </w:r>
            <w:r w:rsidRPr="00004F6D">
              <w:rPr>
                <w:rFonts w:eastAsia="Times New Roman" w:cstheme="minorHAnsi"/>
                <w:color w:val="000000"/>
                <w:sz w:val="20"/>
                <w:szCs w:val="20"/>
                <w:vertAlign w:val="superscript"/>
              </w:rPr>
              <w:t>n</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2A30A57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0.5</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27497FA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9B3224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837CEB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003490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914A07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75D3E7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F3316E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$403.48</w:t>
            </w:r>
          </w:p>
        </w:tc>
      </w:tr>
      <w:tr w14:paraId="5A204E70"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8DF3477" w14:textId="5A74BDEF">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K. Inspect transfer system covers </w:t>
            </w:r>
            <w:r w:rsidRPr="00004F6D">
              <w:rPr>
                <w:rFonts w:eastAsia="Times New Roman" w:cstheme="minorHAnsi"/>
                <w:color w:val="000000"/>
                <w:sz w:val="20"/>
                <w:szCs w:val="20"/>
                <w:vertAlign w:val="superscript"/>
              </w:rPr>
              <w:t>l</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65EC981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4093828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60406A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24</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381288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CFCFC30"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132</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063B74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C7AB93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13</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B215E02"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$8,069.56</w:t>
            </w:r>
          </w:p>
        </w:tc>
      </w:tr>
      <w:tr w14:paraId="7444A6F1"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46E051E" w14:textId="6D838F74">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L. Leak detection and repair program </w:t>
            </w:r>
            <w:r w:rsidRPr="00004F6D">
              <w:rPr>
                <w:rFonts w:eastAsia="Times New Roman" w:cstheme="minorHAnsi"/>
                <w:color w:val="000000"/>
                <w:sz w:val="20"/>
                <w:szCs w:val="20"/>
                <w:vertAlign w:val="superscript"/>
              </w:rPr>
              <w:t>o</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2BC70EF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116</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0E96D78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BD6304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116</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307DBE7"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F8C164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1,276</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C3F178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64</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B76744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128</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A589B25"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$78,005.71</w:t>
            </w:r>
          </w:p>
        </w:tc>
      </w:tr>
      <w:tr w14:paraId="45347E22"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8C556DA" w14:textId="42C7E296">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M. PRD release analysis and corrective action</w:t>
            </w:r>
          </w:p>
        </w:tc>
        <w:tc>
          <w:tcPr>
            <w:tcW w:w="117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5A1A0D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20</w:t>
            </w:r>
          </w:p>
        </w:tc>
        <w:tc>
          <w:tcPr>
            <w:tcW w:w="122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4A53CE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0.3</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21EB5C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F31366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E0067A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66</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09573F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3</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08EC61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7</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0512CE8"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$4,034.78</w:t>
            </w:r>
          </w:p>
        </w:tc>
      </w:tr>
      <w:tr w14:paraId="7980452B"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09D7B23F" w14:textId="5174241B">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N. Develop record system </w:t>
            </w:r>
            <w:r w:rsidRPr="00004F6D">
              <w:rPr>
                <w:rFonts w:eastAsia="Times New Roman" w:cstheme="minorHAnsi"/>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32DDCF1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025F562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E795FC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100</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15D0D73"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9D9B45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FE7627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AB93D4E"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F71BD83"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1B1A7B70"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48EA891E" w14:textId="023059CA">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O. Enter information </w:t>
            </w:r>
            <w:r w:rsidRPr="00004F6D">
              <w:rPr>
                <w:rFonts w:eastAsia="Times New Roman" w:cstheme="minorHAnsi"/>
                <w:color w:val="000000"/>
                <w:sz w:val="20"/>
                <w:szCs w:val="20"/>
                <w:vertAlign w:val="superscript"/>
              </w:rPr>
              <w:t>p</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689B1F8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2215AA3B"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52</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4305CA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104</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E5EFD2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D22D1D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1,144</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BD98EBC"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57</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445836A"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114</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9CF2710"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$69,936.15</w:t>
            </w:r>
          </w:p>
        </w:tc>
      </w:tr>
      <w:tr w14:paraId="22402A97"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1FE3D72" w14:textId="2B72C087">
            <w:pPr>
              <w:spacing w:after="0" w:line="240" w:lineRule="auto"/>
              <w:ind w:left="436" w:hanging="270"/>
              <w:rPr>
                <w:rFonts w:eastAsia="Times New Roman" w:cstheme="minorHAnsi"/>
                <w:color w:val="000000"/>
                <w:sz w:val="20"/>
                <w:szCs w:val="20"/>
              </w:rPr>
            </w:pPr>
            <w:r>
              <w:rPr>
                <w:rFonts w:eastAsia="Times New Roman" w:cstheme="minorHAnsi"/>
                <w:color w:val="000000"/>
                <w:sz w:val="20"/>
                <w:szCs w:val="20"/>
              </w:rPr>
              <w:t xml:space="preserve"> </w:t>
            </w:r>
            <w:r w:rsidRPr="00004F6D">
              <w:rPr>
                <w:rFonts w:eastAsia="Times New Roman" w:cstheme="minorHAnsi"/>
                <w:color w:val="000000"/>
                <w:sz w:val="20"/>
                <w:szCs w:val="20"/>
              </w:rPr>
              <w:t xml:space="preserve">P. Personnel training </w:t>
            </w:r>
            <w:r w:rsidRPr="00004F6D">
              <w:rPr>
                <w:rFonts w:eastAsia="Times New Roman" w:cstheme="minorHAnsi"/>
                <w:color w:val="000000"/>
                <w:sz w:val="20"/>
                <w:szCs w:val="20"/>
                <w:vertAlign w:val="superscript"/>
              </w:rPr>
              <w:t>q</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71881C5F"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20</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0DB5602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23754F9"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FC397E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97"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DA6F1F4"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33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89CEC3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01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71FCEC1"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A4B9FD9" w14:textId="77777777">
            <w:pPr>
              <w:spacing w:after="0" w:line="240" w:lineRule="auto"/>
              <w:jc w:val="right"/>
              <w:rPr>
                <w:rFonts w:eastAsia="Times New Roman" w:cstheme="minorHAnsi"/>
                <w:color w:val="000000"/>
                <w:sz w:val="20"/>
                <w:szCs w:val="20"/>
              </w:rPr>
            </w:pPr>
            <w:r w:rsidRPr="00004F6D">
              <w:rPr>
                <w:rFonts w:eastAsia="Times New Roman" w:cstheme="minorHAnsi"/>
                <w:color w:val="000000"/>
                <w:sz w:val="20"/>
                <w:szCs w:val="20"/>
              </w:rPr>
              <w:t>$0</w:t>
            </w:r>
          </w:p>
        </w:tc>
      </w:tr>
      <w:tr w14:paraId="775C83F1" w14:textId="77777777" w:rsidTr="00004F6D">
        <w:tblPrEx>
          <w:tblW w:w="13068" w:type="dxa"/>
          <w:tblInd w:w="108" w:type="dxa"/>
          <w:tblLook w:val="04A0"/>
        </w:tblPrEx>
        <w:trPr>
          <w:trHeight w:val="300"/>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12AEA5C5" w14:textId="77777777">
            <w:pPr>
              <w:spacing w:after="0" w:line="240" w:lineRule="auto"/>
              <w:rPr>
                <w:rFonts w:eastAsia="Times New Roman" w:cstheme="minorHAnsi"/>
                <w:b/>
                <w:bCs/>
                <w:i/>
                <w:iCs/>
                <w:color w:val="000000"/>
                <w:sz w:val="20"/>
                <w:szCs w:val="20"/>
              </w:rPr>
            </w:pPr>
            <w:r w:rsidRPr="00004F6D">
              <w:rPr>
                <w:rFonts w:eastAsia="Times New Roman" w:cstheme="minorHAnsi"/>
                <w:b/>
                <w:bCs/>
                <w:i/>
                <w:iCs/>
                <w:color w:val="000000"/>
                <w:sz w:val="20"/>
                <w:szCs w:val="20"/>
              </w:rPr>
              <w:t>Subtotal Recordkeeping Requirements</w:t>
            </w:r>
          </w:p>
        </w:tc>
        <w:tc>
          <w:tcPr>
            <w:tcW w:w="1170" w:type="dxa"/>
            <w:tcBorders>
              <w:top w:val="nil"/>
              <w:left w:val="nil"/>
              <w:bottom w:val="single" w:sz="4" w:space="0" w:color="auto"/>
              <w:right w:val="single" w:sz="4" w:space="0" w:color="auto"/>
            </w:tcBorders>
            <w:shd w:val="clear" w:color="auto" w:fill="auto"/>
            <w:vAlign w:val="center"/>
            <w:hideMark/>
          </w:tcPr>
          <w:p w:rsidR="00004F6D" w:rsidRPr="00004F6D" w:rsidP="00004F6D" w14:paraId="511A31E9"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rsidR="00004F6D" w:rsidRPr="00004F6D" w:rsidP="00004F6D" w14:paraId="74F98C16"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4801D08"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1358" w:type="dxa"/>
            <w:tcBorders>
              <w:top w:val="nil"/>
              <w:left w:val="nil"/>
              <w:bottom w:val="single" w:sz="4" w:space="0" w:color="auto"/>
              <w:right w:val="single" w:sz="4" w:space="0" w:color="auto"/>
            </w:tcBorders>
            <w:shd w:val="clear" w:color="auto" w:fill="auto"/>
            <w:vAlign w:val="center"/>
            <w:hideMark/>
          </w:tcPr>
          <w:p w:rsidR="00004F6D" w:rsidRPr="00004F6D" w:rsidP="00004F6D" w14:paraId="61E68B41"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 </w:t>
            </w:r>
          </w:p>
        </w:tc>
        <w:tc>
          <w:tcPr>
            <w:tcW w:w="3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F6D" w:rsidRPr="00004F6D" w:rsidP="00004F6D" w14:paraId="6479242A" w14:textId="77777777">
            <w:pPr>
              <w:spacing w:after="0" w:line="240" w:lineRule="auto"/>
              <w:jc w:val="center"/>
              <w:rPr>
                <w:rFonts w:eastAsia="Times New Roman" w:cstheme="minorHAnsi"/>
                <w:b/>
                <w:bCs/>
                <w:i/>
                <w:iCs/>
                <w:color w:val="000000"/>
                <w:sz w:val="20"/>
                <w:szCs w:val="20"/>
              </w:rPr>
            </w:pPr>
            <w:r w:rsidRPr="00004F6D">
              <w:rPr>
                <w:rFonts w:eastAsia="Times New Roman" w:cstheme="minorHAnsi"/>
                <w:b/>
                <w:bCs/>
                <w:i/>
                <w:iCs/>
                <w:color w:val="000000"/>
                <w:sz w:val="20"/>
                <w:szCs w:val="20"/>
              </w:rPr>
              <w:t>5,547</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66D3A26" w14:textId="77777777">
            <w:pPr>
              <w:spacing w:after="0" w:line="240" w:lineRule="auto"/>
              <w:jc w:val="right"/>
              <w:rPr>
                <w:rFonts w:eastAsia="Times New Roman" w:cstheme="minorHAnsi"/>
                <w:b/>
                <w:bCs/>
                <w:i/>
                <w:iCs/>
                <w:color w:val="000000"/>
                <w:sz w:val="20"/>
                <w:szCs w:val="20"/>
              </w:rPr>
            </w:pPr>
            <w:r w:rsidRPr="00004F6D">
              <w:rPr>
                <w:rFonts w:eastAsia="Times New Roman" w:cstheme="minorHAnsi"/>
                <w:b/>
                <w:bCs/>
                <w:i/>
                <w:iCs/>
                <w:color w:val="000000"/>
                <w:sz w:val="20"/>
                <w:szCs w:val="20"/>
              </w:rPr>
              <w:t xml:space="preserve">$294,875 </w:t>
            </w:r>
          </w:p>
        </w:tc>
      </w:tr>
      <w:tr w14:paraId="4449DC90"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33EA0F9" w14:textId="77777777">
            <w:pPr>
              <w:spacing w:after="0" w:line="240" w:lineRule="auto"/>
              <w:rPr>
                <w:rFonts w:eastAsia="Times New Roman" w:cstheme="minorHAnsi"/>
                <w:b/>
                <w:bCs/>
                <w:color w:val="000000"/>
                <w:sz w:val="20"/>
                <w:szCs w:val="20"/>
              </w:rPr>
            </w:pPr>
            <w:r w:rsidRPr="00004F6D">
              <w:rPr>
                <w:rFonts w:eastAsia="Times New Roman" w:cstheme="minorHAnsi"/>
                <w:b/>
                <w:bCs/>
                <w:color w:val="000000"/>
                <w:sz w:val="20"/>
                <w:szCs w:val="20"/>
              </w:rPr>
              <w:t xml:space="preserve">Total Labor Burden and Costs (rounded) </w:t>
            </w:r>
            <w:r w:rsidRPr="00004F6D">
              <w:rPr>
                <w:rFonts w:eastAsia="Times New Roman" w:cstheme="minorHAnsi"/>
                <w:b/>
                <w:bCs/>
                <w:color w:val="000000"/>
                <w:sz w:val="20"/>
                <w:szCs w:val="20"/>
                <w:vertAlign w:val="superscript"/>
              </w:rPr>
              <w:t>r</w:t>
            </w:r>
          </w:p>
        </w:tc>
        <w:tc>
          <w:tcPr>
            <w:tcW w:w="117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4B24402"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5E7A225"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2443FBA"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F4DBE0D"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3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F6D" w:rsidRPr="00004F6D" w:rsidP="00004F6D" w14:paraId="1480DFC1" w14:textId="77777777">
            <w:pPr>
              <w:spacing w:after="0" w:line="240" w:lineRule="auto"/>
              <w:jc w:val="center"/>
              <w:rPr>
                <w:rFonts w:eastAsia="Times New Roman" w:cstheme="minorHAnsi"/>
                <w:b/>
                <w:bCs/>
                <w:color w:val="000000"/>
                <w:sz w:val="20"/>
                <w:szCs w:val="20"/>
              </w:rPr>
            </w:pPr>
            <w:r w:rsidRPr="00004F6D">
              <w:rPr>
                <w:rFonts w:eastAsia="Times New Roman" w:cstheme="minorHAnsi"/>
                <w:b/>
                <w:bCs/>
                <w:color w:val="000000"/>
                <w:sz w:val="20"/>
                <w:szCs w:val="20"/>
              </w:rPr>
              <w:t>7,170</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F14994D" w14:textId="77777777">
            <w:pPr>
              <w:spacing w:after="0" w:line="240" w:lineRule="auto"/>
              <w:jc w:val="right"/>
              <w:rPr>
                <w:rFonts w:eastAsia="Times New Roman" w:cstheme="minorHAnsi"/>
                <w:b/>
                <w:bCs/>
                <w:color w:val="000000"/>
                <w:sz w:val="20"/>
                <w:szCs w:val="20"/>
              </w:rPr>
            </w:pPr>
            <w:r w:rsidRPr="00004F6D">
              <w:rPr>
                <w:rFonts w:eastAsia="Times New Roman" w:cstheme="minorHAnsi"/>
                <w:b/>
                <w:bCs/>
                <w:color w:val="000000"/>
                <w:sz w:val="20"/>
                <w:szCs w:val="20"/>
              </w:rPr>
              <w:t xml:space="preserve">$381,000 </w:t>
            </w:r>
          </w:p>
        </w:tc>
      </w:tr>
      <w:tr w14:paraId="57D63AA5"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609F65FD" w14:textId="77777777">
            <w:pPr>
              <w:spacing w:after="0" w:line="240" w:lineRule="auto"/>
              <w:rPr>
                <w:rFonts w:eastAsia="Times New Roman" w:cstheme="minorHAnsi"/>
                <w:b/>
                <w:bCs/>
                <w:color w:val="000000"/>
                <w:sz w:val="20"/>
                <w:szCs w:val="20"/>
              </w:rPr>
            </w:pPr>
            <w:r w:rsidRPr="00004F6D">
              <w:rPr>
                <w:rFonts w:eastAsia="Times New Roman" w:cstheme="minorHAnsi"/>
                <w:b/>
                <w:bCs/>
                <w:color w:val="000000"/>
                <w:sz w:val="20"/>
                <w:szCs w:val="20"/>
              </w:rPr>
              <w:t xml:space="preserve">Total Capital and O&amp;M Cost (rounded) </w:t>
            </w:r>
            <w:r w:rsidRPr="00004F6D">
              <w:rPr>
                <w:rFonts w:eastAsia="Times New Roman" w:cstheme="minorHAnsi"/>
                <w:b/>
                <w:bCs/>
                <w:color w:val="000000"/>
                <w:sz w:val="20"/>
                <w:szCs w:val="20"/>
                <w:vertAlign w:val="superscript"/>
              </w:rPr>
              <w:t>r</w:t>
            </w:r>
          </w:p>
        </w:tc>
        <w:tc>
          <w:tcPr>
            <w:tcW w:w="117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E188768"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6E0F7B38"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62F6F666"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375785FD"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33BC1A12"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5240F23D"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2099F5DD"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D79E1BF" w14:textId="77777777">
            <w:pPr>
              <w:spacing w:after="0" w:line="240" w:lineRule="auto"/>
              <w:jc w:val="right"/>
              <w:rPr>
                <w:rFonts w:eastAsia="Times New Roman" w:cstheme="minorHAnsi"/>
                <w:b/>
                <w:bCs/>
                <w:color w:val="000000"/>
                <w:sz w:val="20"/>
                <w:szCs w:val="20"/>
              </w:rPr>
            </w:pPr>
            <w:r w:rsidRPr="00004F6D">
              <w:rPr>
                <w:rFonts w:eastAsia="Times New Roman" w:cstheme="minorHAnsi"/>
                <w:b/>
                <w:bCs/>
                <w:color w:val="000000"/>
                <w:sz w:val="20"/>
                <w:szCs w:val="20"/>
              </w:rPr>
              <w:t xml:space="preserve">$38,600 </w:t>
            </w:r>
          </w:p>
        </w:tc>
      </w:tr>
      <w:tr w14:paraId="6552DA4A" w14:textId="77777777" w:rsidTr="00004F6D">
        <w:tblPrEx>
          <w:tblW w:w="13068" w:type="dxa"/>
          <w:tblInd w:w="108" w:type="dxa"/>
          <w:tblLook w:val="04A0"/>
        </w:tblPrEx>
        <w:trPr>
          <w:trHeight w:val="315"/>
        </w:trPr>
        <w:tc>
          <w:tcPr>
            <w:tcW w:w="3157"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5094B91C" w14:textId="77777777">
            <w:pPr>
              <w:spacing w:after="0" w:line="240" w:lineRule="auto"/>
              <w:rPr>
                <w:rFonts w:eastAsia="Times New Roman" w:cstheme="minorHAnsi"/>
                <w:b/>
                <w:bCs/>
                <w:color w:val="000000"/>
                <w:sz w:val="20"/>
                <w:szCs w:val="20"/>
              </w:rPr>
            </w:pPr>
            <w:r w:rsidRPr="00004F6D">
              <w:rPr>
                <w:rFonts w:eastAsia="Times New Roman" w:cstheme="minorHAnsi"/>
                <w:b/>
                <w:bCs/>
                <w:color w:val="000000"/>
                <w:sz w:val="20"/>
                <w:szCs w:val="20"/>
              </w:rPr>
              <w:t xml:space="preserve">Grand Total (rounded) </w:t>
            </w:r>
            <w:r w:rsidRPr="00004F6D">
              <w:rPr>
                <w:rFonts w:eastAsia="Times New Roman" w:cstheme="minorHAnsi"/>
                <w:b/>
                <w:bCs/>
                <w:color w:val="000000"/>
                <w:sz w:val="20"/>
                <w:szCs w:val="20"/>
                <w:vertAlign w:val="superscript"/>
              </w:rPr>
              <w:t>r</w:t>
            </w:r>
          </w:p>
        </w:tc>
        <w:tc>
          <w:tcPr>
            <w:tcW w:w="1170"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48E59F6" w14:textId="77777777">
            <w:pPr>
              <w:spacing w:after="0" w:line="240" w:lineRule="auto"/>
              <w:jc w:val="center"/>
              <w:rPr>
                <w:rFonts w:eastAsia="Times New Roman" w:cstheme="minorHAnsi"/>
                <w:color w:val="000000"/>
                <w:sz w:val="20"/>
                <w:szCs w:val="20"/>
              </w:rPr>
            </w:pPr>
            <w:r w:rsidRPr="00004F6D">
              <w:rPr>
                <w:rFonts w:eastAsia="Times New Roman" w:cstheme="minorHAns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141E16B3"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61598CE5"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58"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437F0C0D"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97"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7BFE26E9"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330"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6027B0D4"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013"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6DB79C57"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7F5A1F4" w14:textId="77777777">
            <w:pPr>
              <w:spacing w:after="0" w:line="240" w:lineRule="auto"/>
              <w:jc w:val="right"/>
              <w:rPr>
                <w:rFonts w:eastAsia="Times New Roman" w:cstheme="minorHAnsi"/>
                <w:b/>
                <w:bCs/>
                <w:color w:val="000000"/>
                <w:sz w:val="20"/>
                <w:szCs w:val="20"/>
              </w:rPr>
            </w:pPr>
            <w:r w:rsidRPr="00004F6D">
              <w:rPr>
                <w:rFonts w:eastAsia="Times New Roman" w:cstheme="minorHAnsi"/>
                <w:b/>
                <w:bCs/>
                <w:color w:val="000000"/>
                <w:sz w:val="20"/>
                <w:szCs w:val="20"/>
              </w:rPr>
              <w:t xml:space="preserve">$420,000 </w:t>
            </w:r>
          </w:p>
        </w:tc>
      </w:tr>
      <w:tr w14:paraId="0818CC35" w14:textId="77777777" w:rsidTr="00004F6D">
        <w:tblPrEx>
          <w:tblW w:w="13068" w:type="dxa"/>
          <w:tblInd w:w="108" w:type="dxa"/>
          <w:tblLook w:val="04A0"/>
        </w:tblPrEx>
        <w:trPr>
          <w:trHeight w:val="300"/>
        </w:trPr>
        <w:tc>
          <w:tcPr>
            <w:tcW w:w="3157" w:type="dxa"/>
            <w:tcBorders>
              <w:top w:val="nil"/>
              <w:left w:val="nil"/>
              <w:bottom w:val="nil"/>
              <w:right w:val="nil"/>
            </w:tcBorders>
            <w:shd w:val="clear" w:color="auto" w:fill="auto"/>
            <w:noWrap/>
            <w:vAlign w:val="bottom"/>
            <w:hideMark/>
          </w:tcPr>
          <w:p w:rsidR="00004F6D" w:rsidRPr="00004F6D" w:rsidP="00004F6D" w14:paraId="368D421E" w14:textId="77777777">
            <w:pPr>
              <w:spacing w:after="0" w:line="240" w:lineRule="auto"/>
              <w:jc w:val="right"/>
              <w:rPr>
                <w:rFonts w:eastAsia="Times New Roman" w:cstheme="minorHAnsi"/>
                <w:b/>
                <w:bCs/>
                <w:color w:val="000000"/>
                <w:sz w:val="20"/>
                <w:szCs w:val="20"/>
              </w:rPr>
            </w:pPr>
          </w:p>
        </w:tc>
        <w:tc>
          <w:tcPr>
            <w:tcW w:w="1170" w:type="dxa"/>
            <w:tcBorders>
              <w:top w:val="nil"/>
              <w:left w:val="nil"/>
              <w:bottom w:val="nil"/>
              <w:right w:val="nil"/>
            </w:tcBorders>
            <w:shd w:val="clear" w:color="auto" w:fill="auto"/>
            <w:noWrap/>
            <w:vAlign w:val="center"/>
            <w:hideMark/>
          </w:tcPr>
          <w:p w:rsidR="00004F6D" w:rsidRPr="00004F6D" w:rsidP="00004F6D" w14:paraId="642E4EB0" w14:textId="77777777">
            <w:pPr>
              <w:spacing w:after="0" w:line="240" w:lineRule="auto"/>
              <w:rPr>
                <w:rFonts w:eastAsia="Times New Roman" w:cstheme="minorHAnsi"/>
                <w:sz w:val="20"/>
                <w:szCs w:val="20"/>
              </w:rPr>
            </w:pPr>
          </w:p>
        </w:tc>
        <w:tc>
          <w:tcPr>
            <w:tcW w:w="1220" w:type="dxa"/>
            <w:tcBorders>
              <w:top w:val="nil"/>
              <w:left w:val="nil"/>
              <w:bottom w:val="nil"/>
              <w:right w:val="nil"/>
            </w:tcBorders>
            <w:shd w:val="clear" w:color="auto" w:fill="auto"/>
            <w:noWrap/>
            <w:vAlign w:val="bottom"/>
            <w:hideMark/>
          </w:tcPr>
          <w:p w:rsidR="00004F6D" w:rsidRPr="00004F6D" w:rsidP="00004F6D" w14:paraId="5F8DB550" w14:textId="77777777">
            <w:pPr>
              <w:spacing w:after="0" w:line="240" w:lineRule="auto"/>
              <w:jc w:val="center"/>
              <w:rPr>
                <w:rFonts w:eastAsia="Times New Roman" w:cstheme="minorHAnsi"/>
                <w:sz w:val="20"/>
                <w:szCs w:val="20"/>
              </w:rPr>
            </w:pPr>
          </w:p>
        </w:tc>
        <w:tc>
          <w:tcPr>
            <w:tcW w:w="1195" w:type="dxa"/>
            <w:tcBorders>
              <w:top w:val="nil"/>
              <w:left w:val="nil"/>
              <w:bottom w:val="nil"/>
              <w:right w:val="nil"/>
            </w:tcBorders>
            <w:shd w:val="clear" w:color="auto" w:fill="auto"/>
            <w:noWrap/>
            <w:vAlign w:val="bottom"/>
            <w:hideMark/>
          </w:tcPr>
          <w:p w:rsidR="00004F6D" w:rsidRPr="00004F6D" w:rsidP="00004F6D" w14:paraId="5A71B62C" w14:textId="77777777">
            <w:pPr>
              <w:spacing w:after="0" w:line="240" w:lineRule="auto"/>
              <w:rPr>
                <w:rFonts w:eastAsia="Times New Roman" w:cstheme="minorHAnsi"/>
                <w:sz w:val="20"/>
                <w:szCs w:val="20"/>
              </w:rPr>
            </w:pPr>
          </w:p>
        </w:tc>
        <w:tc>
          <w:tcPr>
            <w:tcW w:w="1358" w:type="dxa"/>
            <w:tcBorders>
              <w:top w:val="nil"/>
              <w:left w:val="nil"/>
              <w:bottom w:val="nil"/>
              <w:right w:val="nil"/>
            </w:tcBorders>
            <w:shd w:val="clear" w:color="auto" w:fill="auto"/>
            <w:noWrap/>
            <w:vAlign w:val="bottom"/>
            <w:hideMark/>
          </w:tcPr>
          <w:p w:rsidR="00004F6D" w:rsidRPr="00004F6D" w:rsidP="00004F6D" w14:paraId="57669657" w14:textId="77777777">
            <w:pPr>
              <w:spacing w:after="0" w:line="240" w:lineRule="auto"/>
              <w:rPr>
                <w:rFonts w:eastAsia="Times New Roman" w:cstheme="minorHAnsi"/>
                <w:sz w:val="20"/>
                <w:szCs w:val="20"/>
              </w:rPr>
            </w:pPr>
          </w:p>
        </w:tc>
        <w:tc>
          <w:tcPr>
            <w:tcW w:w="1397" w:type="dxa"/>
            <w:tcBorders>
              <w:top w:val="nil"/>
              <w:left w:val="nil"/>
              <w:bottom w:val="nil"/>
              <w:right w:val="nil"/>
            </w:tcBorders>
            <w:shd w:val="clear" w:color="auto" w:fill="auto"/>
            <w:noWrap/>
            <w:vAlign w:val="bottom"/>
            <w:hideMark/>
          </w:tcPr>
          <w:p w:rsidR="00004F6D" w:rsidRPr="00004F6D" w:rsidP="00004F6D" w14:paraId="15A27813" w14:textId="77777777">
            <w:pPr>
              <w:spacing w:after="0" w:line="240" w:lineRule="auto"/>
              <w:rPr>
                <w:rFonts w:eastAsia="Times New Roman" w:cstheme="minorHAnsi"/>
                <w:sz w:val="20"/>
                <w:szCs w:val="20"/>
              </w:rPr>
            </w:pPr>
          </w:p>
        </w:tc>
        <w:tc>
          <w:tcPr>
            <w:tcW w:w="1330" w:type="dxa"/>
            <w:tcBorders>
              <w:top w:val="nil"/>
              <w:left w:val="nil"/>
              <w:bottom w:val="nil"/>
              <w:right w:val="nil"/>
            </w:tcBorders>
            <w:shd w:val="clear" w:color="auto" w:fill="auto"/>
            <w:noWrap/>
            <w:vAlign w:val="bottom"/>
            <w:hideMark/>
          </w:tcPr>
          <w:p w:rsidR="00004F6D" w:rsidRPr="00004F6D" w:rsidP="00004F6D" w14:paraId="14E53D08" w14:textId="77777777">
            <w:pPr>
              <w:spacing w:after="0" w:line="240" w:lineRule="auto"/>
              <w:rPr>
                <w:rFonts w:eastAsia="Times New Roman" w:cstheme="minorHAnsi"/>
                <w:sz w:val="20"/>
                <w:szCs w:val="20"/>
              </w:rPr>
            </w:pPr>
          </w:p>
        </w:tc>
        <w:tc>
          <w:tcPr>
            <w:tcW w:w="1013" w:type="dxa"/>
            <w:tcBorders>
              <w:top w:val="nil"/>
              <w:left w:val="nil"/>
              <w:bottom w:val="nil"/>
              <w:right w:val="nil"/>
            </w:tcBorders>
            <w:shd w:val="clear" w:color="auto" w:fill="auto"/>
            <w:noWrap/>
            <w:vAlign w:val="bottom"/>
            <w:hideMark/>
          </w:tcPr>
          <w:p w:rsidR="00004F6D" w:rsidRPr="00004F6D" w:rsidP="00004F6D" w14:paraId="3963245D" w14:textId="77777777">
            <w:pPr>
              <w:spacing w:after="0" w:line="240" w:lineRule="auto"/>
              <w:rPr>
                <w:rFonts w:eastAsia="Times New Roman" w:cstheme="minorHAnsi"/>
                <w:sz w:val="20"/>
                <w:szCs w:val="20"/>
              </w:rPr>
            </w:pPr>
          </w:p>
        </w:tc>
        <w:tc>
          <w:tcPr>
            <w:tcW w:w="1228" w:type="dxa"/>
            <w:tcBorders>
              <w:top w:val="nil"/>
              <w:left w:val="nil"/>
              <w:bottom w:val="nil"/>
              <w:right w:val="nil"/>
            </w:tcBorders>
            <w:shd w:val="clear" w:color="auto" w:fill="auto"/>
            <w:noWrap/>
            <w:vAlign w:val="bottom"/>
            <w:hideMark/>
          </w:tcPr>
          <w:p w:rsidR="00004F6D" w:rsidRPr="00004F6D" w:rsidP="00004F6D" w14:paraId="2B76D010" w14:textId="77777777">
            <w:pPr>
              <w:spacing w:after="0" w:line="240" w:lineRule="auto"/>
              <w:rPr>
                <w:rFonts w:eastAsia="Times New Roman" w:cstheme="minorHAnsi"/>
                <w:sz w:val="20"/>
                <w:szCs w:val="20"/>
              </w:rPr>
            </w:pPr>
          </w:p>
        </w:tc>
      </w:tr>
      <w:tr w14:paraId="3966D0FB" w14:textId="77777777" w:rsidTr="00004F6D">
        <w:tblPrEx>
          <w:tblW w:w="13068" w:type="dxa"/>
          <w:tblInd w:w="108" w:type="dxa"/>
          <w:tblLook w:val="04A0"/>
        </w:tblPrEx>
        <w:trPr>
          <w:trHeight w:val="300"/>
        </w:trPr>
        <w:tc>
          <w:tcPr>
            <w:tcW w:w="3157" w:type="dxa"/>
            <w:tcBorders>
              <w:top w:val="nil"/>
              <w:left w:val="nil"/>
              <w:bottom w:val="nil"/>
              <w:right w:val="nil"/>
            </w:tcBorders>
            <w:shd w:val="clear" w:color="auto" w:fill="auto"/>
            <w:noWrap/>
            <w:vAlign w:val="center"/>
            <w:hideMark/>
          </w:tcPr>
          <w:p w:rsidR="00004F6D" w:rsidRPr="00004F6D" w:rsidP="00004F6D" w14:paraId="3A5ED14A" w14:textId="77777777">
            <w:pPr>
              <w:spacing w:after="0" w:line="240" w:lineRule="auto"/>
              <w:rPr>
                <w:rFonts w:eastAsia="Times New Roman" w:cstheme="minorHAnsi"/>
                <w:b/>
                <w:bCs/>
                <w:color w:val="000000"/>
                <w:sz w:val="20"/>
                <w:szCs w:val="20"/>
                <w:u w:val="single"/>
              </w:rPr>
            </w:pPr>
            <w:r w:rsidRPr="00004F6D">
              <w:rPr>
                <w:rFonts w:eastAsia="Times New Roman" w:cstheme="minorHAnsi"/>
                <w:b/>
                <w:bCs/>
                <w:color w:val="000000"/>
                <w:sz w:val="20"/>
                <w:szCs w:val="20"/>
                <w:u w:val="single"/>
              </w:rPr>
              <w:t>Assumptions:</w:t>
            </w:r>
          </w:p>
        </w:tc>
        <w:tc>
          <w:tcPr>
            <w:tcW w:w="1170" w:type="dxa"/>
            <w:tcBorders>
              <w:top w:val="nil"/>
              <w:left w:val="nil"/>
              <w:bottom w:val="nil"/>
              <w:right w:val="nil"/>
            </w:tcBorders>
            <w:shd w:val="clear" w:color="auto" w:fill="auto"/>
            <w:noWrap/>
            <w:vAlign w:val="center"/>
            <w:hideMark/>
          </w:tcPr>
          <w:p w:rsidR="00004F6D" w:rsidRPr="00004F6D" w:rsidP="00004F6D" w14:paraId="628FDB06" w14:textId="77777777">
            <w:pPr>
              <w:spacing w:after="0" w:line="240" w:lineRule="auto"/>
              <w:rPr>
                <w:rFonts w:eastAsia="Times New Roman" w:cstheme="minorHAnsi"/>
                <w:b/>
                <w:bCs/>
                <w:color w:val="000000"/>
                <w:sz w:val="20"/>
                <w:szCs w:val="20"/>
                <w:u w:val="single"/>
              </w:rPr>
            </w:pPr>
          </w:p>
        </w:tc>
        <w:tc>
          <w:tcPr>
            <w:tcW w:w="1220" w:type="dxa"/>
            <w:tcBorders>
              <w:top w:val="nil"/>
              <w:left w:val="nil"/>
              <w:bottom w:val="nil"/>
              <w:right w:val="nil"/>
            </w:tcBorders>
            <w:shd w:val="clear" w:color="auto" w:fill="auto"/>
            <w:noWrap/>
            <w:vAlign w:val="bottom"/>
            <w:hideMark/>
          </w:tcPr>
          <w:p w:rsidR="00004F6D" w:rsidRPr="00004F6D" w:rsidP="00004F6D" w14:paraId="43D25889" w14:textId="77777777">
            <w:pPr>
              <w:spacing w:after="0" w:line="240" w:lineRule="auto"/>
              <w:jc w:val="center"/>
              <w:rPr>
                <w:rFonts w:eastAsia="Times New Roman" w:cstheme="minorHAnsi"/>
                <w:sz w:val="20"/>
                <w:szCs w:val="20"/>
              </w:rPr>
            </w:pPr>
          </w:p>
        </w:tc>
        <w:tc>
          <w:tcPr>
            <w:tcW w:w="1195" w:type="dxa"/>
            <w:tcBorders>
              <w:top w:val="nil"/>
              <w:left w:val="nil"/>
              <w:bottom w:val="nil"/>
              <w:right w:val="nil"/>
            </w:tcBorders>
            <w:shd w:val="clear" w:color="auto" w:fill="auto"/>
            <w:noWrap/>
            <w:vAlign w:val="bottom"/>
            <w:hideMark/>
          </w:tcPr>
          <w:p w:rsidR="00004F6D" w:rsidRPr="00004F6D" w:rsidP="00004F6D" w14:paraId="779B5410" w14:textId="77777777">
            <w:pPr>
              <w:spacing w:after="0" w:line="240" w:lineRule="auto"/>
              <w:rPr>
                <w:rFonts w:eastAsia="Times New Roman" w:cstheme="minorHAnsi"/>
                <w:sz w:val="20"/>
                <w:szCs w:val="20"/>
              </w:rPr>
            </w:pPr>
          </w:p>
        </w:tc>
        <w:tc>
          <w:tcPr>
            <w:tcW w:w="1358" w:type="dxa"/>
            <w:tcBorders>
              <w:top w:val="nil"/>
              <w:left w:val="nil"/>
              <w:bottom w:val="nil"/>
              <w:right w:val="nil"/>
            </w:tcBorders>
            <w:shd w:val="clear" w:color="auto" w:fill="auto"/>
            <w:noWrap/>
            <w:vAlign w:val="bottom"/>
            <w:hideMark/>
          </w:tcPr>
          <w:p w:rsidR="00004F6D" w:rsidRPr="00004F6D" w:rsidP="00004F6D" w14:paraId="1CF4D0EB" w14:textId="77777777">
            <w:pPr>
              <w:spacing w:after="0" w:line="240" w:lineRule="auto"/>
              <w:rPr>
                <w:rFonts w:eastAsia="Times New Roman" w:cstheme="minorHAnsi"/>
                <w:sz w:val="20"/>
                <w:szCs w:val="20"/>
              </w:rPr>
            </w:pPr>
          </w:p>
        </w:tc>
        <w:tc>
          <w:tcPr>
            <w:tcW w:w="1397" w:type="dxa"/>
            <w:tcBorders>
              <w:top w:val="nil"/>
              <w:left w:val="nil"/>
              <w:bottom w:val="nil"/>
              <w:right w:val="nil"/>
            </w:tcBorders>
            <w:shd w:val="clear" w:color="auto" w:fill="auto"/>
            <w:noWrap/>
            <w:vAlign w:val="bottom"/>
            <w:hideMark/>
          </w:tcPr>
          <w:p w:rsidR="00004F6D" w:rsidRPr="00004F6D" w:rsidP="00004F6D" w14:paraId="76FF7872" w14:textId="77777777">
            <w:pPr>
              <w:spacing w:after="0" w:line="240" w:lineRule="auto"/>
              <w:rPr>
                <w:rFonts w:eastAsia="Times New Roman" w:cstheme="minorHAnsi"/>
                <w:sz w:val="20"/>
                <w:szCs w:val="20"/>
              </w:rPr>
            </w:pPr>
          </w:p>
        </w:tc>
        <w:tc>
          <w:tcPr>
            <w:tcW w:w="1330" w:type="dxa"/>
            <w:tcBorders>
              <w:top w:val="nil"/>
              <w:left w:val="nil"/>
              <w:bottom w:val="nil"/>
              <w:right w:val="nil"/>
            </w:tcBorders>
            <w:shd w:val="clear" w:color="auto" w:fill="auto"/>
            <w:noWrap/>
            <w:vAlign w:val="bottom"/>
            <w:hideMark/>
          </w:tcPr>
          <w:p w:rsidR="00004F6D" w:rsidRPr="00004F6D" w:rsidP="00004F6D" w14:paraId="41BCACA4" w14:textId="77777777">
            <w:pPr>
              <w:spacing w:after="0" w:line="240" w:lineRule="auto"/>
              <w:rPr>
                <w:rFonts w:eastAsia="Times New Roman" w:cstheme="minorHAnsi"/>
                <w:sz w:val="20"/>
                <w:szCs w:val="20"/>
              </w:rPr>
            </w:pPr>
          </w:p>
        </w:tc>
        <w:tc>
          <w:tcPr>
            <w:tcW w:w="1013" w:type="dxa"/>
            <w:tcBorders>
              <w:top w:val="nil"/>
              <w:left w:val="nil"/>
              <w:bottom w:val="nil"/>
              <w:right w:val="nil"/>
            </w:tcBorders>
            <w:shd w:val="clear" w:color="auto" w:fill="auto"/>
            <w:noWrap/>
            <w:vAlign w:val="bottom"/>
            <w:hideMark/>
          </w:tcPr>
          <w:p w:rsidR="00004F6D" w:rsidRPr="00004F6D" w:rsidP="00004F6D" w14:paraId="7E37F9E6" w14:textId="77777777">
            <w:pPr>
              <w:spacing w:after="0" w:line="240" w:lineRule="auto"/>
              <w:rPr>
                <w:rFonts w:eastAsia="Times New Roman" w:cstheme="minorHAnsi"/>
                <w:sz w:val="20"/>
                <w:szCs w:val="20"/>
              </w:rPr>
            </w:pPr>
          </w:p>
        </w:tc>
        <w:tc>
          <w:tcPr>
            <w:tcW w:w="1228" w:type="dxa"/>
            <w:tcBorders>
              <w:top w:val="nil"/>
              <w:left w:val="nil"/>
              <w:bottom w:val="nil"/>
              <w:right w:val="nil"/>
            </w:tcBorders>
            <w:shd w:val="clear" w:color="auto" w:fill="auto"/>
            <w:noWrap/>
            <w:vAlign w:val="bottom"/>
            <w:hideMark/>
          </w:tcPr>
          <w:p w:rsidR="00004F6D" w:rsidRPr="00004F6D" w:rsidP="00004F6D" w14:paraId="447AE317" w14:textId="77777777">
            <w:pPr>
              <w:spacing w:after="0" w:line="240" w:lineRule="auto"/>
              <w:rPr>
                <w:rFonts w:eastAsia="Times New Roman" w:cstheme="minorHAnsi"/>
                <w:sz w:val="20"/>
                <w:szCs w:val="20"/>
              </w:rPr>
            </w:pPr>
          </w:p>
        </w:tc>
      </w:tr>
      <w:tr w14:paraId="2489D504" w14:textId="77777777" w:rsidTr="00004F6D">
        <w:tblPrEx>
          <w:tblW w:w="13068" w:type="dxa"/>
          <w:tblInd w:w="108" w:type="dxa"/>
          <w:tblLook w:val="04A0"/>
        </w:tblPrEx>
        <w:trPr>
          <w:trHeight w:val="750"/>
        </w:trPr>
        <w:tc>
          <w:tcPr>
            <w:tcW w:w="13068" w:type="dxa"/>
            <w:gridSpan w:val="9"/>
            <w:tcBorders>
              <w:top w:val="nil"/>
              <w:left w:val="nil"/>
              <w:bottom w:val="nil"/>
              <w:right w:val="nil"/>
            </w:tcBorders>
            <w:shd w:val="clear" w:color="auto" w:fill="auto"/>
            <w:hideMark/>
          </w:tcPr>
          <w:p w:rsidR="00004F6D" w:rsidRPr="00004F6D" w:rsidP="00004F6D" w14:paraId="386C0F0A" w14:textId="0E680BB9">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a</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assume that there are approximately 104 respondents, with no additional new sources becoming subject to the rule over the three-year period of this ICR. Of these 104 respondents, 84 are from the private sector and 20 are from the Federal government.</w:t>
            </w:r>
          </w:p>
        </w:tc>
      </w:tr>
      <w:tr w14:paraId="489D946A" w14:textId="77777777" w:rsidTr="00004F6D">
        <w:tblPrEx>
          <w:tblW w:w="13068" w:type="dxa"/>
          <w:tblInd w:w="108" w:type="dxa"/>
          <w:tblLook w:val="04A0"/>
        </w:tblPrEx>
        <w:trPr>
          <w:trHeight w:val="855"/>
        </w:trPr>
        <w:tc>
          <w:tcPr>
            <w:tcW w:w="13068" w:type="dxa"/>
            <w:gridSpan w:val="9"/>
            <w:tcBorders>
              <w:top w:val="nil"/>
              <w:left w:val="nil"/>
              <w:bottom w:val="nil"/>
              <w:right w:val="nil"/>
            </w:tcBorders>
            <w:shd w:val="clear" w:color="auto" w:fill="auto"/>
            <w:hideMark/>
          </w:tcPr>
          <w:p w:rsidR="00004F6D" w:rsidRPr="00004F6D" w:rsidP="00004F6D" w14:paraId="56BDC0E2" w14:textId="4E999FA4">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b</w:t>
            </w:r>
            <w:r>
              <w:rPr>
                <w:rFonts w:eastAsia="Times New Roman" w:cstheme="minorHAnsi"/>
                <w:color w:val="000000"/>
                <w:sz w:val="20"/>
                <w:szCs w:val="20"/>
              </w:rPr>
              <w:t xml:space="preserve"> </w:t>
            </w:r>
            <w:r w:rsidRPr="00004F6D">
              <w:rPr>
                <w:rFonts w:eastAsia="Times New Roman" w:cstheme="minorHAnsi"/>
                <w:color w:val="000000"/>
                <w:sz w:val="20"/>
                <w:szCs w:val="20"/>
              </w:rPr>
              <w:t>This ICR uses the following labor rates:</w:t>
            </w:r>
            <w:r>
              <w:rPr>
                <w:rFonts w:eastAsia="Times New Roman" w:cstheme="minorHAnsi"/>
                <w:color w:val="000000"/>
                <w:sz w:val="20"/>
                <w:szCs w:val="20"/>
              </w:rPr>
              <w:t xml:space="preserve"> </w:t>
            </w:r>
            <w:r w:rsidRPr="00004F6D">
              <w:rPr>
                <w:rFonts w:eastAsia="Times New Roman" w:cstheme="minorHAnsi"/>
                <w:color w:val="000000"/>
                <w:sz w:val="20"/>
                <w:szCs w:val="20"/>
              </w:rPr>
              <w:t>$73.46 for managerial, $54.51 for technical,</w:t>
            </w:r>
            <w:r>
              <w:rPr>
                <w:rFonts w:eastAsia="Times New Roman" w:cstheme="minorHAnsi"/>
                <w:color w:val="000000"/>
                <w:sz w:val="20"/>
                <w:szCs w:val="20"/>
              </w:rPr>
              <w:t xml:space="preserve"> </w:t>
            </w:r>
            <w:r w:rsidRPr="00004F6D">
              <w:rPr>
                <w:rFonts w:eastAsia="Times New Roman" w:cstheme="minorHAnsi"/>
                <w:color w:val="000000"/>
                <w:sz w:val="20"/>
                <w:szCs w:val="20"/>
              </w:rPr>
              <w:t>and $29.50 for clerical labor.</w:t>
            </w:r>
            <w:r>
              <w:rPr>
                <w:rFonts w:eastAsia="Times New Roman" w:cstheme="minorHAnsi"/>
                <w:color w:val="000000"/>
                <w:sz w:val="20"/>
                <w:szCs w:val="20"/>
              </w:rPr>
              <w:t xml:space="preserve"> </w:t>
            </w:r>
            <w:r w:rsidRPr="00004F6D">
              <w:rPr>
                <w:rFonts w:eastAsia="Times New Roman" w:cstheme="minorHAnsi"/>
                <w:color w:val="000000"/>
                <w:sz w:val="20"/>
                <w:szCs w:val="20"/>
              </w:rPr>
              <w:t>These rates are from the Office of Personnel Management (OPM), 2023 General Schedule, which excludes locality rates of pay.</w:t>
            </w:r>
            <w:r>
              <w:rPr>
                <w:rFonts w:eastAsia="Times New Roman" w:cstheme="minorHAnsi"/>
                <w:color w:val="000000"/>
                <w:sz w:val="20"/>
                <w:szCs w:val="20"/>
              </w:rPr>
              <w:t xml:space="preserve"> </w:t>
            </w:r>
            <w:r w:rsidRPr="00004F6D">
              <w:rPr>
                <w:rFonts w:eastAsia="Times New Roman" w:cstheme="minorHAnsi"/>
                <w:color w:val="000000"/>
                <w:sz w:val="20"/>
                <w:szCs w:val="20"/>
              </w:rPr>
              <w:t>The rates have been increased by 60 percent to account for the benefit packages available to government employees.</w:t>
            </w:r>
          </w:p>
        </w:tc>
      </w:tr>
      <w:tr w14:paraId="7D58D48C"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60537914" w14:textId="44A6BD2C">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c</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have assumed there will be no respondents that will require a new parametric monitoring system or performance test.</w:t>
            </w:r>
          </w:p>
        </w:tc>
      </w:tr>
      <w:tr w14:paraId="2984E1AC" w14:textId="77777777" w:rsidTr="00004F6D">
        <w:tblPrEx>
          <w:tblW w:w="13068" w:type="dxa"/>
          <w:tblInd w:w="108" w:type="dxa"/>
          <w:tblLook w:val="04A0"/>
        </w:tblPrEx>
        <w:trPr>
          <w:trHeight w:val="435"/>
        </w:trPr>
        <w:tc>
          <w:tcPr>
            <w:tcW w:w="13068" w:type="dxa"/>
            <w:gridSpan w:val="9"/>
            <w:tcBorders>
              <w:top w:val="nil"/>
              <w:left w:val="nil"/>
              <w:bottom w:val="nil"/>
              <w:right w:val="nil"/>
            </w:tcBorders>
            <w:shd w:val="clear" w:color="auto" w:fill="auto"/>
            <w:hideMark/>
          </w:tcPr>
          <w:p w:rsidR="00004F6D" w:rsidRPr="00004F6D" w:rsidP="00004F6D" w14:paraId="53DEE85C" w14:textId="55C0F5FB">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d</w:t>
            </w:r>
            <w:r>
              <w:rPr>
                <w:rFonts w:eastAsia="Times New Roman" w:cstheme="minorHAnsi"/>
                <w:color w:val="000000"/>
                <w:sz w:val="20"/>
                <w:szCs w:val="20"/>
              </w:rPr>
              <w:t xml:space="preserve"> </w:t>
            </w:r>
            <w:r w:rsidRPr="00004F6D">
              <w:rPr>
                <w:rFonts w:eastAsia="Times New Roman" w:cstheme="minorHAnsi"/>
                <w:color w:val="000000"/>
                <w:sz w:val="20"/>
                <w:szCs w:val="20"/>
              </w:rPr>
              <w:t>We have assumed that each respondent subject to control, monitoring, and reporting requirements will have to familiarize with regulatory requirements each year.</w:t>
            </w:r>
          </w:p>
        </w:tc>
      </w:tr>
      <w:tr w14:paraId="43A9C979" w14:textId="77777777" w:rsidTr="00004F6D">
        <w:tblPrEx>
          <w:tblW w:w="13068" w:type="dxa"/>
          <w:tblInd w:w="108" w:type="dxa"/>
          <w:tblLook w:val="04A0"/>
        </w:tblPrEx>
        <w:trPr>
          <w:trHeight w:val="420"/>
        </w:trPr>
        <w:tc>
          <w:tcPr>
            <w:tcW w:w="13068" w:type="dxa"/>
            <w:gridSpan w:val="9"/>
            <w:tcBorders>
              <w:top w:val="nil"/>
              <w:left w:val="nil"/>
              <w:bottom w:val="nil"/>
              <w:right w:val="nil"/>
            </w:tcBorders>
            <w:shd w:val="clear" w:color="auto" w:fill="auto"/>
            <w:hideMark/>
          </w:tcPr>
          <w:p w:rsidR="00004F6D" w:rsidRPr="00004F6D" w:rsidP="00004F6D" w14:paraId="69D24B90" w14:textId="103FFAE7">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e</w:t>
            </w:r>
            <w:r>
              <w:rPr>
                <w:rFonts w:eastAsia="Times New Roman" w:cstheme="minorHAnsi"/>
                <w:color w:val="000000"/>
                <w:sz w:val="20"/>
                <w:szCs w:val="20"/>
              </w:rPr>
              <w:t xml:space="preserve"> </w:t>
            </w:r>
            <w:r w:rsidRPr="00004F6D">
              <w:rPr>
                <w:rFonts w:eastAsia="Times New Roman" w:cstheme="minorHAnsi"/>
                <w:color w:val="000000"/>
                <w:sz w:val="20"/>
                <w:szCs w:val="20"/>
              </w:rPr>
              <w:t>We have assumed there will be no additional facilities becoming subject to the rule over the next three years.</w:t>
            </w:r>
          </w:p>
        </w:tc>
      </w:tr>
      <w:tr w14:paraId="01F4A62B"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63A311F4" w14:textId="087E0492">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f</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11 out of the 20 Federal government facilities will submit semiannual reports. We assume that the remaining Federal government facilities are exempt from reporting requirements.</w:t>
            </w:r>
          </w:p>
        </w:tc>
      </w:tr>
      <w:tr w14:paraId="4C635E05" w14:textId="77777777" w:rsidTr="00004F6D">
        <w:tblPrEx>
          <w:tblW w:w="13068" w:type="dxa"/>
          <w:tblInd w:w="108" w:type="dxa"/>
          <w:tblLook w:val="04A0"/>
        </w:tblPrEx>
        <w:trPr>
          <w:trHeight w:val="420"/>
        </w:trPr>
        <w:tc>
          <w:tcPr>
            <w:tcW w:w="13068" w:type="dxa"/>
            <w:gridSpan w:val="9"/>
            <w:tcBorders>
              <w:top w:val="nil"/>
              <w:left w:val="nil"/>
              <w:bottom w:val="nil"/>
              <w:right w:val="nil"/>
            </w:tcBorders>
            <w:shd w:val="clear" w:color="auto" w:fill="auto"/>
            <w:hideMark/>
          </w:tcPr>
          <w:p w:rsidR="00004F6D" w:rsidRPr="00004F6D" w:rsidP="00004F6D" w14:paraId="21978202" w14:textId="472EDCE7">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g</w:t>
            </w:r>
            <w:r>
              <w:rPr>
                <w:rFonts w:eastAsia="Times New Roman" w:cstheme="minorHAnsi"/>
                <w:color w:val="000000"/>
                <w:sz w:val="20"/>
                <w:szCs w:val="20"/>
              </w:rPr>
              <w:t xml:space="preserve"> </w:t>
            </w:r>
            <w:r w:rsidRPr="00004F6D">
              <w:rPr>
                <w:rFonts w:eastAsia="Times New Roman" w:cstheme="minorHAnsi"/>
                <w:color w:val="000000"/>
                <w:sz w:val="20"/>
                <w:szCs w:val="20"/>
              </w:rPr>
              <w:t>We assume no respondents will prepare an SSM report. A SSM plan is not required after January 6, 2021.</w:t>
            </w:r>
          </w:p>
        </w:tc>
      </w:tr>
      <w:tr w14:paraId="6D6DD3BC" w14:textId="77777777" w:rsidTr="00004F6D">
        <w:tblPrEx>
          <w:tblW w:w="13068" w:type="dxa"/>
          <w:tblInd w:w="108" w:type="dxa"/>
          <w:tblLook w:val="04A0"/>
        </w:tblPrEx>
        <w:trPr>
          <w:trHeight w:val="405"/>
        </w:trPr>
        <w:tc>
          <w:tcPr>
            <w:tcW w:w="13068" w:type="dxa"/>
            <w:gridSpan w:val="9"/>
            <w:tcBorders>
              <w:top w:val="nil"/>
              <w:left w:val="nil"/>
              <w:bottom w:val="nil"/>
              <w:right w:val="nil"/>
            </w:tcBorders>
            <w:shd w:val="clear" w:color="auto" w:fill="auto"/>
            <w:hideMark/>
          </w:tcPr>
          <w:p w:rsidR="00004F6D" w:rsidRPr="00004F6D" w:rsidP="00004F6D" w14:paraId="1B1AC7C0" w14:textId="2A035BB9">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h</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Only new sources will require time to plan compliance activities and develop a record system. </w:t>
            </w:r>
          </w:p>
        </w:tc>
      </w:tr>
      <w:tr w14:paraId="7F180FDA"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2960BBF9" w14:textId="59C8BF88">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i</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The respondents that are exempt from the reporting requirements are required under §63.7881(c) to prepare and maintain written documentation to support the determination of exemption. Existing sources have already completed this activity. </w:t>
            </w:r>
          </w:p>
        </w:tc>
      </w:tr>
      <w:tr w14:paraId="7F796752" w14:textId="77777777" w:rsidTr="00004F6D">
        <w:tblPrEx>
          <w:tblW w:w="13068" w:type="dxa"/>
          <w:tblInd w:w="108" w:type="dxa"/>
          <w:tblLook w:val="04A0"/>
        </w:tblPrEx>
        <w:trPr>
          <w:trHeight w:val="960"/>
        </w:trPr>
        <w:tc>
          <w:tcPr>
            <w:tcW w:w="13068" w:type="dxa"/>
            <w:gridSpan w:val="9"/>
            <w:tcBorders>
              <w:top w:val="nil"/>
              <w:left w:val="nil"/>
              <w:bottom w:val="nil"/>
              <w:right w:val="nil"/>
            </w:tcBorders>
            <w:shd w:val="clear" w:color="auto" w:fill="auto"/>
            <w:vAlign w:val="center"/>
            <w:hideMark/>
          </w:tcPr>
          <w:p w:rsidR="00004F6D" w:rsidRPr="00004F6D" w:rsidP="00004F6D" w14:paraId="59251A93" w14:textId="1ACD9A14">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j</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10 percent of the respondents subject to control, monitoring, and reporting requirements will use an on-site in-situ treatment process. At each of these sites, it is assumed that a control device is required on the process vent. We assume that it will take 0.5 hours each day to keep records of parametric monitoring of in-situ process vents.</w:t>
            </w:r>
          </w:p>
        </w:tc>
      </w:tr>
      <w:tr w14:paraId="41848967"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vAlign w:val="center"/>
            <w:hideMark/>
          </w:tcPr>
          <w:p w:rsidR="00004F6D" w:rsidRPr="00004F6D" w:rsidP="00004F6D" w14:paraId="6F7DA089" w14:textId="0029A18B">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k</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We assume that 90% of respondents subject to control, monitoring, and reporting requirements will use an on-site ex-situ treatment process. We assume that it will take 0.5 hours each day to keep records of parametric monitoring of ex-situ process vents. </w:t>
            </w:r>
          </w:p>
        </w:tc>
      </w:tr>
      <w:tr w14:paraId="269060DC"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149801F9" w14:textId="6DFBFED9">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l</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assume that 50 percent of the respondents subject to control, monitoring, and reporting requirements have tanks, containers, and transfer systems at their facilities. We assume that tank, container, and transfer system covers will be inspected once per month.</w:t>
            </w:r>
          </w:p>
        </w:tc>
      </w:tr>
      <w:tr w14:paraId="43CBB1A3"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0BE0A2A1" w14:textId="23DE2835">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m</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each respondent will take 2 hours once per month to inspect surface impoundment covers. It is assumed that 10% of facilities with onsite treatment will use a surface impoundment (6 sources in the private sector and 1 federal facility).</w:t>
            </w:r>
          </w:p>
        </w:tc>
      </w:tr>
      <w:tr w14:paraId="29F2C374"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786A8810" w14:textId="0ACCE761">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n</w:t>
            </w:r>
            <w:r>
              <w:rPr>
                <w:rFonts w:eastAsia="Times New Roman" w:cstheme="minorHAnsi"/>
                <w:color w:val="000000"/>
                <w:sz w:val="20"/>
                <w:szCs w:val="20"/>
              </w:rPr>
              <w:t xml:space="preserve"> </w:t>
            </w:r>
            <w:r w:rsidRPr="00004F6D">
              <w:rPr>
                <w:rFonts w:eastAsia="Times New Roman" w:cstheme="minorHAnsi"/>
                <w:color w:val="000000"/>
                <w:sz w:val="20"/>
                <w:szCs w:val="20"/>
              </w:rPr>
              <w:t>We assume that each respondent will take 2 hours once per month to inspect separator covers. It is assumed that 10% of facilities with onsite treatment will have separators (6 sources in the private sector and 1 federal facility).</w:t>
            </w:r>
          </w:p>
        </w:tc>
      </w:tr>
      <w:tr w14:paraId="13CAAF2D"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6140F382" w14:textId="1AD1589A">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o</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We assume that all respondents subject to control, monitoring, and reporting requirements will implement an LDAR program. </w:t>
            </w:r>
          </w:p>
        </w:tc>
      </w:tr>
      <w:tr w14:paraId="12F41D58"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61AF08DE" w14:textId="0C60D3E0">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p</w:t>
            </w:r>
            <w:r>
              <w:rPr>
                <w:rFonts w:eastAsia="Times New Roman" w:cstheme="minorHAnsi"/>
                <w:color w:val="000000"/>
                <w:sz w:val="20"/>
                <w:szCs w:val="20"/>
              </w:rPr>
              <w:t xml:space="preserve"> </w:t>
            </w:r>
            <w:r w:rsidRPr="00004F6D">
              <w:rPr>
                <w:rFonts w:eastAsia="Times New Roman" w:cstheme="minorHAnsi"/>
                <w:color w:val="000000"/>
                <w:sz w:val="20"/>
                <w:szCs w:val="20"/>
              </w:rPr>
              <w:t xml:space="preserve">We assume that all respondents subject to control, monitoring, and reporting requirements will take 2 hours each week to enter the information required for semi-annual reports. </w:t>
            </w:r>
          </w:p>
        </w:tc>
      </w:tr>
      <w:tr w14:paraId="0A5F16AD"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3A1673A3" w14:textId="77FDF197">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q</w:t>
            </w:r>
            <w:r>
              <w:rPr>
                <w:rFonts w:eastAsia="Times New Roman" w:cstheme="minorHAnsi"/>
                <w:color w:val="000000"/>
                <w:sz w:val="20"/>
                <w:szCs w:val="20"/>
              </w:rPr>
              <w:t xml:space="preserve"> </w:t>
            </w:r>
            <w:r w:rsidRPr="00004F6D">
              <w:rPr>
                <w:rFonts w:eastAsia="Times New Roman" w:cstheme="minorHAnsi"/>
                <w:color w:val="000000"/>
                <w:sz w:val="20"/>
                <w:szCs w:val="20"/>
              </w:rPr>
              <w:t>We have assumed that all new sources will train personnel to operate the control and monitoring system and record data.</w:t>
            </w:r>
          </w:p>
        </w:tc>
      </w:tr>
      <w:tr w14:paraId="73EA7D4A" w14:textId="77777777" w:rsidTr="00004F6D">
        <w:tblPrEx>
          <w:tblW w:w="13068" w:type="dxa"/>
          <w:tblInd w:w="108" w:type="dxa"/>
          <w:tblLook w:val="04A0"/>
        </w:tblPrEx>
        <w:trPr>
          <w:trHeight w:val="585"/>
        </w:trPr>
        <w:tc>
          <w:tcPr>
            <w:tcW w:w="13068" w:type="dxa"/>
            <w:gridSpan w:val="9"/>
            <w:tcBorders>
              <w:top w:val="nil"/>
              <w:left w:val="nil"/>
              <w:bottom w:val="nil"/>
              <w:right w:val="nil"/>
            </w:tcBorders>
            <w:shd w:val="clear" w:color="auto" w:fill="auto"/>
            <w:hideMark/>
          </w:tcPr>
          <w:p w:rsidR="00004F6D" w:rsidRPr="00004F6D" w:rsidP="00004F6D" w14:paraId="7CF591E2"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r</w:t>
            </w:r>
            <w:r w:rsidRPr="00004F6D">
              <w:rPr>
                <w:rFonts w:eastAsia="Times New Roman" w:cstheme="minorHAnsi"/>
                <w:color w:val="000000"/>
                <w:sz w:val="20"/>
                <w:szCs w:val="20"/>
              </w:rPr>
              <w:t xml:space="preserve"> Totals have been rounded to 3 significant figures. Figures may not add exactly due to rounding.</w:t>
            </w:r>
          </w:p>
        </w:tc>
      </w:tr>
    </w:tbl>
    <w:p w:rsidR="00004F6D" w:rsidP="00BB3410" w14:paraId="2B9E2A38" w14:textId="67163695">
      <w:pPr>
        <w:pStyle w:val="ListParagraph"/>
        <w:spacing w:before="240"/>
        <w:ind w:left="0"/>
        <w:rPr>
          <w:rFonts w:cstheme="minorHAnsi"/>
          <w:sz w:val="24"/>
          <w:szCs w:val="24"/>
        </w:rPr>
      </w:pPr>
    </w:p>
    <w:p w:rsidR="00004F6D" w14:paraId="5A38F208" w14:textId="77777777">
      <w:pPr>
        <w:rPr>
          <w:rFonts w:cstheme="minorHAnsi"/>
          <w:sz w:val="24"/>
          <w:szCs w:val="24"/>
        </w:rPr>
      </w:pPr>
      <w:r>
        <w:rPr>
          <w:rFonts w:cstheme="minorHAnsi"/>
          <w:sz w:val="24"/>
          <w:szCs w:val="24"/>
        </w:rPr>
        <w:br w:type="page"/>
      </w:r>
    </w:p>
    <w:tbl>
      <w:tblPr>
        <w:tblW w:w="12960" w:type="dxa"/>
        <w:tblInd w:w="108" w:type="dxa"/>
        <w:tblLook w:val="04A0"/>
      </w:tblPr>
      <w:tblGrid>
        <w:gridCol w:w="1478"/>
        <w:gridCol w:w="1458"/>
        <w:gridCol w:w="1298"/>
        <w:gridCol w:w="1119"/>
        <w:gridCol w:w="1479"/>
        <w:gridCol w:w="1158"/>
        <w:gridCol w:w="1358"/>
        <w:gridCol w:w="1738"/>
        <w:gridCol w:w="1358"/>
        <w:gridCol w:w="1096"/>
      </w:tblGrid>
      <w:tr w14:paraId="5EBD8E85" w14:textId="77777777" w:rsidTr="00004F6D">
        <w:tblPrEx>
          <w:tblW w:w="12960" w:type="dxa"/>
          <w:tblInd w:w="108" w:type="dxa"/>
          <w:tblLook w:val="04A0"/>
        </w:tblPrEx>
        <w:trPr>
          <w:trHeight w:val="675"/>
        </w:trPr>
        <w:tc>
          <w:tcPr>
            <w:tcW w:w="12444" w:type="dxa"/>
            <w:gridSpan w:val="9"/>
            <w:tcBorders>
              <w:top w:val="nil"/>
              <w:left w:val="nil"/>
              <w:bottom w:val="nil"/>
              <w:right w:val="nil"/>
            </w:tcBorders>
            <w:shd w:val="clear" w:color="auto" w:fill="auto"/>
            <w:hideMark/>
          </w:tcPr>
          <w:p w:rsidR="00004F6D" w:rsidRPr="00004F6D" w:rsidP="00004F6D" w14:paraId="4A031ABC" w14:textId="77777777">
            <w:pPr>
              <w:spacing w:after="0" w:line="240" w:lineRule="auto"/>
              <w:rPr>
                <w:rFonts w:ascii="Calibri" w:eastAsia="Times New Roman" w:hAnsi="Calibri" w:cs="Calibri"/>
                <w:b/>
                <w:bCs/>
                <w:color w:val="000000"/>
                <w:sz w:val="24"/>
                <w:szCs w:val="24"/>
              </w:rPr>
            </w:pPr>
            <w:r w:rsidRPr="00004F6D">
              <w:rPr>
                <w:rFonts w:ascii="Calibri" w:eastAsia="Times New Roman" w:hAnsi="Calibri" w:cs="Calibri"/>
                <w:b/>
                <w:bCs/>
                <w:color w:val="000000"/>
                <w:sz w:val="24"/>
                <w:szCs w:val="24"/>
              </w:rPr>
              <w:t>Table 1c: Summary of Average Annual Respondent Burden and Cost - NESHAP for Site Remediation (40 CFR Part 63, Subpart GGGGG) (Renewal)</w:t>
            </w:r>
          </w:p>
        </w:tc>
        <w:tc>
          <w:tcPr>
            <w:tcW w:w="1096" w:type="dxa"/>
            <w:tcBorders>
              <w:top w:val="nil"/>
              <w:left w:val="nil"/>
              <w:bottom w:val="nil"/>
              <w:right w:val="nil"/>
            </w:tcBorders>
            <w:shd w:val="clear" w:color="auto" w:fill="auto"/>
            <w:noWrap/>
            <w:vAlign w:val="bottom"/>
            <w:hideMark/>
          </w:tcPr>
          <w:p w:rsidR="00004F6D" w:rsidRPr="00004F6D" w:rsidP="00004F6D" w14:paraId="7425871E" w14:textId="77777777">
            <w:pPr>
              <w:spacing w:after="0" w:line="240" w:lineRule="auto"/>
              <w:rPr>
                <w:rFonts w:ascii="Calibri" w:eastAsia="Times New Roman" w:hAnsi="Calibri" w:cs="Calibri"/>
                <w:b/>
                <w:bCs/>
                <w:color w:val="000000"/>
                <w:sz w:val="24"/>
                <w:szCs w:val="24"/>
              </w:rPr>
            </w:pPr>
          </w:p>
        </w:tc>
      </w:tr>
      <w:tr w14:paraId="0E4AF595" w14:textId="77777777" w:rsidTr="00004F6D">
        <w:tblPrEx>
          <w:tblW w:w="12960" w:type="dxa"/>
          <w:tblInd w:w="108" w:type="dxa"/>
          <w:tblLook w:val="04A0"/>
        </w:tblPrEx>
        <w:trPr>
          <w:trHeight w:val="300"/>
        </w:trPr>
        <w:tc>
          <w:tcPr>
            <w:tcW w:w="1478" w:type="dxa"/>
            <w:tcBorders>
              <w:top w:val="nil"/>
              <w:left w:val="nil"/>
              <w:bottom w:val="nil"/>
              <w:right w:val="nil"/>
            </w:tcBorders>
            <w:shd w:val="clear" w:color="auto" w:fill="auto"/>
            <w:noWrap/>
            <w:vAlign w:val="center"/>
            <w:hideMark/>
          </w:tcPr>
          <w:p w:rsidR="00004F6D" w:rsidRPr="00004F6D" w:rsidP="00004F6D" w14:paraId="291171A3" w14:textId="77777777">
            <w:pPr>
              <w:spacing w:after="0" w:line="240" w:lineRule="auto"/>
              <w:rPr>
                <w:rFonts w:ascii="Times New Roman" w:eastAsia="Times New Roman" w:hAnsi="Times New Roman" w:cs="Times New Roman"/>
                <w:sz w:val="20"/>
                <w:szCs w:val="20"/>
              </w:rPr>
            </w:pPr>
          </w:p>
        </w:tc>
        <w:tc>
          <w:tcPr>
            <w:tcW w:w="1458" w:type="dxa"/>
            <w:tcBorders>
              <w:top w:val="nil"/>
              <w:left w:val="nil"/>
              <w:bottom w:val="nil"/>
              <w:right w:val="nil"/>
            </w:tcBorders>
            <w:shd w:val="clear" w:color="auto" w:fill="auto"/>
            <w:noWrap/>
            <w:vAlign w:val="bottom"/>
            <w:hideMark/>
          </w:tcPr>
          <w:p w:rsidR="00004F6D" w:rsidRPr="00004F6D" w:rsidP="00004F6D" w14:paraId="1D415495" w14:textId="77777777">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rsidR="00004F6D" w:rsidRPr="00004F6D" w:rsidP="00004F6D" w14:paraId="6E568DDA" w14:textId="77777777">
            <w:pPr>
              <w:spacing w:after="0" w:line="240" w:lineRule="auto"/>
              <w:rPr>
                <w:rFonts w:ascii="Times New Roman" w:eastAsia="Times New Roman" w:hAnsi="Times New Roman" w:cs="Times New Roman"/>
                <w:sz w:val="20"/>
                <w:szCs w:val="20"/>
              </w:rPr>
            </w:pPr>
          </w:p>
        </w:tc>
        <w:tc>
          <w:tcPr>
            <w:tcW w:w="1119" w:type="dxa"/>
            <w:tcBorders>
              <w:top w:val="nil"/>
              <w:left w:val="nil"/>
              <w:bottom w:val="nil"/>
              <w:right w:val="nil"/>
            </w:tcBorders>
            <w:shd w:val="clear" w:color="auto" w:fill="auto"/>
            <w:noWrap/>
            <w:vAlign w:val="bottom"/>
            <w:hideMark/>
          </w:tcPr>
          <w:p w:rsidR="00004F6D" w:rsidRPr="00004F6D" w:rsidP="00004F6D" w14:paraId="098CC71B" w14:textId="77777777">
            <w:pPr>
              <w:spacing w:after="0" w:line="240" w:lineRule="auto"/>
              <w:rPr>
                <w:rFonts w:ascii="Times New Roman" w:eastAsia="Times New Roman" w:hAnsi="Times New Roman" w:cs="Times New Roman"/>
                <w:sz w:val="20"/>
                <w:szCs w:val="20"/>
              </w:rPr>
            </w:pPr>
          </w:p>
        </w:tc>
        <w:tc>
          <w:tcPr>
            <w:tcW w:w="1479" w:type="dxa"/>
            <w:tcBorders>
              <w:top w:val="nil"/>
              <w:left w:val="nil"/>
              <w:bottom w:val="nil"/>
              <w:right w:val="nil"/>
            </w:tcBorders>
            <w:shd w:val="clear" w:color="auto" w:fill="auto"/>
            <w:noWrap/>
            <w:vAlign w:val="bottom"/>
            <w:hideMark/>
          </w:tcPr>
          <w:p w:rsidR="00004F6D" w:rsidRPr="00004F6D" w:rsidP="00004F6D" w14:paraId="78BF014A" w14:textId="77777777">
            <w:pPr>
              <w:spacing w:after="0" w:line="240" w:lineRule="auto"/>
              <w:rPr>
                <w:rFonts w:ascii="Times New Roman" w:eastAsia="Times New Roman" w:hAnsi="Times New Roman" w:cs="Times New Roman"/>
                <w:sz w:val="20"/>
                <w:szCs w:val="20"/>
              </w:rPr>
            </w:pPr>
          </w:p>
        </w:tc>
        <w:tc>
          <w:tcPr>
            <w:tcW w:w="1158" w:type="dxa"/>
            <w:tcBorders>
              <w:top w:val="nil"/>
              <w:left w:val="nil"/>
              <w:bottom w:val="nil"/>
              <w:right w:val="nil"/>
            </w:tcBorders>
            <w:shd w:val="clear" w:color="auto" w:fill="auto"/>
            <w:noWrap/>
            <w:vAlign w:val="bottom"/>
            <w:hideMark/>
          </w:tcPr>
          <w:p w:rsidR="00004F6D" w:rsidRPr="00004F6D" w:rsidP="00004F6D" w14:paraId="52A173B6" w14:textId="77777777">
            <w:pPr>
              <w:spacing w:after="0" w:line="240" w:lineRule="auto"/>
              <w:rPr>
                <w:rFonts w:ascii="Times New Roman" w:eastAsia="Times New Roman" w:hAnsi="Times New Roman" w:cs="Times New Roman"/>
                <w:sz w:val="20"/>
                <w:szCs w:val="20"/>
              </w:rPr>
            </w:pPr>
          </w:p>
        </w:tc>
        <w:tc>
          <w:tcPr>
            <w:tcW w:w="1358" w:type="dxa"/>
            <w:tcBorders>
              <w:top w:val="nil"/>
              <w:left w:val="nil"/>
              <w:bottom w:val="nil"/>
              <w:right w:val="nil"/>
            </w:tcBorders>
            <w:shd w:val="clear" w:color="auto" w:fill="auto"/>
            <w:noWrap/>
            <w:vAlign w:val="bottom"/>
            <w:hideMark/>
          </w:tcPr>
          <w:p w:rsidR="00004F6D" w:rsidRPr="00004F6D" w:rsidP="00004F6D" w14:paraId="16E0E277" w14:textId="77777777">
            <w:pPr>
              <w:spacing w:after="0" w:line="240" w:lineRule="auto"/>
              <w:rPr>
                <w:rFonts w:ascii="Times New Roman" w:eastAsia="Times New Roman" w:hAnsi="Times New Roman" w:cs="Times New Roman"/>
                <w:sz w:val="20"/>
                <w:szCs w:val="20"/>
              </w:rPr>
            </w:pPr>
          </w:p>
        </w:tc>
        <w:tc>
          <w:tcPr>
            <w:tcW w:w="1738" w:type="dxa"/>
            <w:tcBorders>
              <w:top w:val="nil"/>
              <w:left w:val="nil"/>
              <w:bottom w:val="nil"/>
              <w:right w:val="nil"/>
            </w:tcBorders>
            <w:shd w:val="clear" w:color="auto" w:fill="auto"/>
            <w:noWrap/>
            <w:vAlign w:val="bottom"/>
            <w:hideMark/>
          </w:tcPr>
          <w:p w:rsidR="00004F6D" w:rsidRPr="00004F6D" w:rsidP="00004F6D" w14:paraId="4C5C9E6F" w14:textId="77777777">
            <w:pPr>
              <w:spacing w:after="0" w:line="240" w:lineRule="auto"/>
              <w:rPr>
                <w:rFonts w:ascii="Times New Roman" w:eastAsia="Times New Roman" w:hAnsi="Times New Roman" w:cs="Times New Roman"/>
                <w:sz w:val="20"/>
                <w:szCs w:val="20"/>
              </w:rPr>
            </w:pPr>
          </w:p>
        </w:tc>
        <w:tc>
          <w:tcPr>
            <w:tcW w:w="1358" w:type="dxa"/>
            <w:tcBorders>
              <w:top w:val="nil"/>
              <w:left w:val="nil"/>
              <w:bottom w:val="nil"/>
              <w:right w:val="nil"/>
            </w:tcBorders>
            <w:shd w:val="clear" w:color="auto" w:fill="auto"/>
            <w:noWrap/>
            <w:vAlign w:val="bottom"/>
            <w:hideMark/>
          </w:tcPr>
          <w:p w:rsidR="00004F6D" w:rsidRPr="00004F6D" w:rsidP="00004F6D" w14:paraId="1836F2CD" w14:textId="77777777">
            <w:pPr>
              <w:spacing w:after="0" w:line="240" w:lineRule="auto"/>
              <w:rPr>
                <w:rFonts w:ascii="Times New Roman" w:eastAsia="Times New Roman" w:hAnsi="Times New Roman" w:cs="Times New Roman"/>
                <w:sz w:val="20"/>
                <w:szCs w:val="20"/>
              </w:rPr>
            </w:pPr>
          </w:p>
        </w:tc>
        <w:tc>
          <w:tcPr>
            <w:tcW w:w="1096" w:type="dxa"/>
            <w:tcBorders>
              <w:top w:val="nil"/>
              <w:left w:val="nil"/>
              <w:bottom w:val="nil"/>
              <w:right w:val="nil"/>
            </w:tcBorders>
            <w:shd w:val="clear" w:color="auto" w:fill="auto"/>
            <w:noWrap/>
            <w:vAlign w:val="bottom"/>
            <w:hideMark/>
          </w:tcPr>
          <w:p w:rsidR="00004F6D" w:rsidRPr="00004F6D" w:rsidP="00004F6D" w14:paraId="0F0D5A39" w14:textId="77777777">
            <w:pPr>
              <w:spacing w:after="0" w:line="240" w:lineRule="auto"/>
              <w:rPr>
                <w:rFonts w:ascii="Times New Roman" w:eastAsia="Times New Roman" w:hAnsi="Times New Roman" w:cs="Times New Roman"/>
                <w:sz w:val="20"/>
                <w:szCs w:val="20"/>
              </w:rPr>
            </w:pPr>
          </w:p>
        </w:tc>
      </w:tr>
      <w:tr w14:paraId="627EBBA7" w14:textId="77777777" w:rsidTr="00004F6D">
        <w:tblPrEx>
          <w:tblW w:w="12960" w:type="dxa"/>
          <w:tblInd w:w="108" w:type="dxa"/>
          <w:tblLook w:val="04A0"/>
        </w:tblPrEx>
        <w:trPr>
          <w:trHeight w:val="1035"/>
        </w:trPr>
        <w:tc>
          <w:tcPr>
            <w:tcW w:w="1478" w:type="dxa"/>
            <w:tcBorders>
              <w:top w:val="single" w:sz="4" w:space="0" w:color="auto"/>
              <w:left w:val="single" w:sz="4" w:space="0" w:color="auto"/>
              <w:bottom w:val="double" w:sz="6" w:space="0" w:color="auto"/>
              <w:right w:val="single" w:sz="4" w:space="0" w:color="auto"/>
            </w:tcBorders>
            <w:shd w:val="clear" w:color="000000" w:fill="FFFFFF"/>
            <w:vAlign w:val="center"/>
            <w:hideMark/>
          </w:tcPr>
          <w:p w:rsidR="00004F6D" w:rsidRPr="00004F6D" w:rsidP="00004F6D" w14:paraId="6CBC036F"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Affected Sector</w:t>
            </w:r>
          </w:p>
        </w:tc>
        <w:tc>
          <w:tcPr>
            <w:tcW w:w="1458"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03DC9CE8"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 xml:space="preserve">Number of Respondents </w:t>
            </w:r>
            <w:r w:rsidRPr="00004F6D">
              <w:rPr>
                <w:rFonts w:ascii="Calibri" w:eastAsia="Times New Roman" w:hAnsi="Calibri" w:cs="Calibri"/>
                <w:sz w:val="20"/>
                <w:szCs w:val="20"/>
                <w:vertAlign w:val="superscript"/>
              </w:rPr>
              <w:t>a</w:t>
            </w:r>
          </w:p>
        </w:tc>
        <w:tc>
          <w:tcPr>
            <w:tcW w:w="1298"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417C3331"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Number of Responses</w:t>
            </w:r>
          </w:p>
        </w:tc>
        <w:tc>
          <w:tcPr>
            <w:tcW w:w="1119"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54C4C082"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Reporting Hours</w:t>
            </w:r>
          </w:p>
        </w:tc>
        <w:tc>
          <w:tcPr>
            <w:tcW w:w="1479"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1B1A0FAC"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Recordkeeping Hours</w:t>
            </w:r>
          </w:p>
        </w:tc>
        <w:tc>
          <w:tcPr>
            <w:tcW w:w="1158"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51D80829"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 xml:space="preserve">Total Hours </w:t>
            </w:r>
            <w:r w:rsidRPr="00004F6D">
              <w:rPr>
                <w:rFonts w:ascii="Calibri" w:eastAsia="Times New Roman" w:hAnsi="Calibri" w:cs="Calibri"/>
                <w:sz w:val="20"/>
                <w:szCs w:val="20"/>
                <w:vertAlign w:val="superscript"/>
              </w:rPr>
              <w:t>b</w:t>
            </w:r>
          </w:p>
        </w:tc>
        <w:tc>
          <w:tcPr>
            <w:tcW w:w="1358"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67BDDC17"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Labor Costs</w:t>
            </w:r>
          </w:p>
        </w:tc>
        <w:tc>
          <w:tcPr>
            <w:tcW w:w="1738"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79B15E54"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Non-Labor (Capital/Startup and O&amp;M) Costs</w:t>
            </w:r>
          </w:p>
        </w:tc>
        <w:tc>
          <w:tcPr>
            <w:tcW w:w="1358"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247CC603"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 xml:space="preserve">Total Costs </w:t>
            </w:r>
            <w:r w:rsidRPr="00004F6D">
              <w:rPr>
                <w:rFonts w:ascii="Calibri" w:eastAsia="Times New Roman" w:hAnsi="Calibri" w:cs="Calibri"/>
                <w:sz w:val="20"/>
                <w:szCs w:val="20"/>
                <w:vertAlign w:val="superscript"/>
              </w:rPr>
              <w:t>b</w:t>
            </w:r>
          </w:p>
        </w:tc>
        <w:tc>
          <w:tcPr>
            <w:tcW w:w="1096" w:type="dxa"/>
            <w:tcBorders>
              <w:top w:val="single" w:sz="4" w:space="0" w:color="auto"/>
              <w:left w:val="nil"/>
              <w:bottom w:val="double" w:sz="6" w:space="0" w:color="auto"/>
              <w:right w:val="single" w:sz="4" w:space="0" w:color="auto"/>
            </w:tcBorders>
            <w:shd w:val="clear" w:color="000000" w:fill="FFFFFF"/>
            <w:vAlign w:val="center"/>
            <w:hideMark/>
          </w:tcPr>
          <w:p w:rsidR="00004F6D" w:rsidRPr="00004F6D" w:rsidP="00004F6D" w14:paraId="61C5208D"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Hours per Response</w:t>
            </w:r>
          </w:p>
        </w:tc>
      </w:tr>
      <w:tr w14:paraId="6F7CC09A" w14:textId="77777777" w:rsidTr="00004F6D">
        <w:tblPrEx>
          <w:tblW w:w="12960" w:type="dxa"/>
          <w:tblInd w:w="108" w:type="dxa"/>
          <w:tblLook w:val="04A0"/>
        </w:tblPrEx>
        <w:trPr>
          <w:trHeight w:val="315"/>
        </w:trPr>
        <w:tc>
          <w:tcPr>
            <w:tcW w:w="1478" w:type="dxa"/>
            <w:tcBorders>
              <w:top w:val="nil"/>
              <w:left w:val="single" w:sz="4" w:space="0" w:color="auto"/>
              <w:bottom w:val="single" w:sz="4" w:space="0" w:color="auto"/>
              <w:right w:val="single" w:sz="4" w:space="0" w:color="auto"/>
            </w:tcBorders>
            <w:shd w:val="clear" w:color="000000" w:fill="FFFFFF"/>
            <w:vAlign w:val="center"/>
            <w:hideMark/>
          </w:tcPr>
          <w:p w:rsidR="00004F6D" w:rsidRPr="00004F6D" w:rsidP="00004F6D" w14:paraId="32F1EE3B"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Private</w:t>
            </w:r>
          </w:p>
        </w:tc>
        <w:tc>
          <w:tcPr>
            <w:tcW w:w="1458"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064D0AE1"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62</w:t>
            </w:r>
          </w:p>
        </w:tc>
        <w:tc>
          <w:tcPr>
            <w:tcW w:w="1298"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54A70B1D"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124</w:t>
            </w:r>
          </w:p>
        </w:tc>
        <w:tc>
          <w:tcPr>
            <w:tcW w:w="1119"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27624C46"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9,126</w:t>
            </w:r>
          </w:p>
        </w:tc>
        <w:tc>
          <w:tcPr>
            <w:tcW w:w="1479"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0114F31F"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30,752</w:t>
            </w:r>
          </w:p>
        </w:tc>
        <w:tc>
          <w:tcPr>
            <w:tcW w:w="1158"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1BBFB000"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39,900</w:t>
            </w:r>
          </w:p>
        </w:tc>
        <w:tc>
          <w:tcPr>
            <w:tcW w:w="135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23CFAB46"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$5,030,000</w:t>
            </w:r>
          </w:p>
        </w:tc>
        <w:tc>
          <w:tcPr>
            <w:tcW w:w="173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70EA4F0B"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$217,000</w:t>
            </w:r>
          </w:p>
        </w:tc>
        <w:tc>
          <w:tcPr>
            <w:tcW w:w="135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67E73A70"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$5,250,000</w:t>
            </w:r>
          </w:p>
        </w:tc>
        <w:tc>
          <w:tcPr>
            <w:tcW w:w="1096" w:type="dxa"/>
            <w:tcBorders>
              <w:top w:val="nil"/>
              <w:left w:val="nil"/>
              <w:bottom w:val="single" w:sz="4" w:space="0" w:color="auto"/>
              <w:right w:val="single" w:sz="4" w:space="0" w:color="auto"/>
            </w:tcBorders>
            <w:shd w:val="clear" w:color="auto" w:fill="auto"/>
            <w:noWrap/>
            <w:vAlign w:val="bottom"/>
            <w:hideMark/>
          </w:tcPr>
          <w:p w:rsidR="00004F6D" w:rsidRPr="00004F6D" w:rsidP="00004F6D" w14:paraId="2CB9D067"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 </w:t>
            </w:r>
          </w:p>
        </w:tc>
      </w:tr>
      <w:tr w14:paraId="3526CB4A" w14:textId="77777777" w:rsidTr="00004F6D">
        <w:tblPrEx>
          <w:tblW w:w="12960" w:type="dxa"/>
          <w:tblInd w:w="108" w:type="dxa"/>
          <w:tblLook w:val="04A0"/>
        </w:tblPrEx>
        <w:trPr>
          <w:trHeight w:val="315"/>
        </w:trPr>
        <w:tc>
          <w:tcPr>
            <w:tcW w:w="1478" w:type="dxa"/>
            <w:tcBorders>
              <w:top w:val="nil"/>
              <w:left w:val="single" w:sz="4" w:space="0" w:color="auto"/>
              <w:bottom w:val="double" w:sz="6" w:space="0" w:color="auto"/>
              <w:right w:val="single" w:sz="4" w:space="0" w:color="auto"/>
            </w:tcBorders>
            <w:shd w:val="clear" w:color="000000" w:fill="FFFFFF"/>
            <w:vAlign w:val="center"/>
            <w:hideMark/>
          </w:tcPr>
          <w:p w:rsidR="00004F6D" w:rsidRPr="00004F6D" w:rsidP="00004F6D" w14:paraId="1FF5D533"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Public</w:t>
            </w:r>
          </w:p>
        </w:tc>
        <w:tc>
          <w:tcPr>
            <w:tcW w:w="1458" w:type="dxa"/>
            <w:tcBorders>
              <w:top w:val="nil"/>
              <w:left w:val="nil"/>
              <w:bottom w:val="double" w:sz="6" w:space="0" w:color="auto"/>
              <w:right w:val="single" w:sz="4" w:space="0" w:color="auto"/>
            </w:tcBorders>
            <w:shd w:val="clear" w:color="auto" w:fill="auto"/>
            <w:noWrap/>
            <w:vAlign w:val="bottom"/>
            <w:hideMark/>
          </w:tcPr>
          <w:p w:rsidR="00004F6D" w:rsidRPr="00004F6D" w:rsidP="00004F6D" w14:paraId="3500C5BE"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11</w:t>
            </w:r>
          </w:p>
        </w:tc>
        <w:tc>
          <w:tcPr>
            <w:tcW w:w="1298" w:type="dxa"/>
            <w:tcBorders>
              <w:top w:val="nil"/>
              <w:left w:val="nil"/>
              <w:bottom w:val="double" w:sz="6" w:space="0" w:color="auto"/>
              <w:right w:val="single" w:sz="4" w:space="0" w:color="auto"/>
            </w:tcBorders>
            <w:shd w:val="clear" w:color="auto" w:fill="auto"/>
            <w:noWrap/>
            <w:vAlign w:val="bottom"/>
            <w:hideMark/>
          </w:tcPr>
          <w:p w:rsidR="00004F6D" w:rsidRPr="00004F6D" w:rsidP="00004F6D" w14:paraId="79AED70C"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22</w:t>
            </w:r>
          </w:p>
        </w:tc>
        <w:tc>
          <w:tcPr>
            <w:tcW w:w="1119" w:type="dxa"/>
            <w:tcBorders>
              <w:top w:val="nil"/>
              <w:left w:val="nil"/>
              <w:bottom w:val="double" w:sz="6" w:space="0" w:color="auto"/>
              <w:right w:val="single" w:sz="4" w:space="0" w:color="auto"/>
            </w:tcBorders>
            <w:shd w:val="clear" w:color="auto" w:fill="auto"/>
            <w:noWrap/>
            <w:vAlign w:val="bottom"/>
            <w:hideMark/>
          </w:tcPr>
          <w:p w:rsidR="00004F6D" w:rsidRPr="00004F6D" w:rsidP="00004F6D" w14:paraId="437CDD12"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1,619</w:t>
            </w:r>
          </w:p>
        </w:tc>
        <w:tc>
          <w:tcPr>
            <w:tcW w:w="1479" w:type="dxa"/>
            <w:tcBorders>
              <w:top w:val="nil"/>
              <w:left w:val="nil"/>
              <w:bottom w:val="double" w:sz="6" w:space="0" w:color="auto"/>
              <w:right w:val="single" w:sz="4" w:space="0" w:color="auto"/>
            </w:tcBorders>
            <w:shd w:val="clear" w:color="auto" w:fill="auto"/>
            <w:noWrap/>
            <w:vAlign w:val="bottom"/>
            <w:hideMark/>
          </w:tcPr>
          <w:p w:rsidR="00004F6D" w:rsidRPr="00004F6D" w:rsidP="00004F6D" w14:paraId="2839E32B"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5,547</w:t>
            </w:r>
          </w:p>
        </w:tc>
        <w:tc>
          <w:tcPr>
            <w:tcW w:w="1158" w:type="dxa"/>
            <w:tcBorders>
              <w:top w:val="nil"/>
              <w:left w:val="nil"/>
              <w:bottom w:val="double" w:sz="6" w:space="0" w:color="auto"/>
              <w:right w:val="single" w:sz="4" w:space="0" w:color="auto"/>
            </w:tcBorders>
            <w:shd w:val="clear" w:color="auto" w:fill="auto"/>
            <w:noWrap/>
            <w:vAlign w:val="bottom"/>
            <w:hideMark/>
          </w:tcPr>
          <w:p w:rsidR="00004F6D" w:rsidRPr="00004F6D" w:rsidP="00004F6D" w14:paraId="4FCCA41D"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7,170</w:t>
            </w:r>
          </w:p>
        </w:tc>
        <w:tc>
          <w:tcPr>
            <w:tcW w:w="1358" w:type="dxa"/>
            <w:tcBorders>
              <w:top w:val="nil"/>
              <w:left w:val="nil"/>
              <w:bottom w:val="double" w:sz="6" w:space="0" w:color="auto"/>
              <w:right w:val="single" w:sz="4" w:space="0" w:color="auto"/>
            </w:tcBorders>
            <w:shd w:val="clear" w:color="000000" w:fill="FFFFFF"/>
            <w:noWrap/>
            <w:vAlign w:val="bottom"/>
            <w:hideMark/>
          </w:tcPr>
          <w:p w:rsidR="00004F6D" w:rsidRPr="00004F6D" w:rsidP="00004F6D" w14:paraId="78C0CEEA"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$381,000</w:t>
            </w:r>
          </w:p>
        </w:tc>
        <w:tc>
          <w:tcPr>
            <w:tcW w:w="1738" w:type="dxa"/>
            <w:tcBorders>
              <w:top w:val="nil"/>
              <w:left w:val="nil"/>
              <w:bottom w:val="double" w:sz="6" w:space="0" w:color="auto"/>
              <w:right w:val="single" w:sz="4" w:space="0" w:color="auto"/>
            </w:tcBorders>
            <w:shd w:val="clear" w:color="000000" w:fill="FFFFFF"/>
            <w:noWrap/>
            <w:vAlign w:val="bottom"/>
            <w:hideMark/>
          </w:tcPr>
          <w:p w:rsidR="00004F6D" w:rsidRPr="00004F6D" w:rsidP="00004F6D" w14:paraId="17CED3CE"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$38,600</w:t>
            </w:r>
          </w:p>
        </w:tc>
        <w:tc>
          <w:tcPr>
            <w:tcW w:w="1358" w:type="dxa"/>
            <w:tcBorders>
              <w:top w:val="nil"/>
              <w:left w:val="nil"/>
              <w:bottom w:val="double" w:sz="6" w:space="0" w:color="auto"/>
              <w:right w:val="single" w:sz="4" w:space="0" w:color="auto"/>
            </w:tcBorders>
            <w:shd w:val="clear" w:color="000000" w:fill="FFFFFF"/>
            <w:noWrap/>
            <w:vAlign w:val="bottom"/>
            <w:hideMark/>
          </w:tcPr>
          <w:p w:rsidR="00004F6D" w:rsidRPr="00004F6D" w:rsidP="00004F6D" w14:paraId="74A055C8"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$420,000</w:t>
            </w:r>
          </w:p>
        </w:tc>
        <w:tc>
          <w:tcPr>
            <w:tcW w:w="1096" w:type="dxa"/>
            <w:tcBorders>
              <w:top w:val="nil"/>
              <w:left w:val="nil"/>
              <w:bottom w:val="double" w:sz="6" w:space="0" w:color="auto"/>
              <w:right w:val="single" w:sz="4" w:space="0" w:color="auto"/>
            </w:tcBorders>
            <w:shd w:val="clear" w:color="auto" w:fill="auto"/>
            <w:noWrap/>
            <w:vAlign w:val="bottom"/>
            <w:hideMark/>
          </w:tcPr>
          <w:p w:rsidR="00004F6D" w:rsidRPr="00004F6D" w:rsidP="00004F6D" w14:paraId="4607D297"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 </w:t>
            </w:r>
          </w:p>
        </w:tc>
      </w:tr>
      <w:tr w14:paraId="3E514AFF" w14:textId="77777777" w:rsidTr="00004F6D">
        <w:tblPrEx>
          <w:tblW w:w="12960" w:type="dxa"/>
          <w:tblInd w:w="108" w:type="dxa"/>
          <w:tblLook w:val="04A0"/>
        </w:tblPrEx>
        <w:trPr>
          <w:trHeight w:val="315"/>
        </w:trPr>
        <w:tc>
          <w:tcPr>
            <w:tcW w:w="1478" w:type="dxa"/>
            <w:tcBorders>
              <w:top w:val="nil"/>
              <w:left w:val="single" w:sz="4" w:space="0" w:color="auto"/>
              <w:bottom w:val="single" w:sz="4" w:space="0" w:color="auto"/>
              <w:right w:val="single" w:sz="4" w:space="0" w:color="auto"/>
            </w:tcBorders>
            <w:shd w:val="clear" w:color="000000" w:fill="FFFFFF"/>
            <w:noWrap/>
            <w:vAlign w:val="center"/>
            <w:hideMark/>
          </w:tcPr>
          <w:p w:rsidR="00004F6D" w:rsidRPr="00004F6D" w:rsidP="00004F6D" w14:paraId="2C51A6F5"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Total</w:t>
            </w:r>
          </w:p>
        </w:tc>
        <w:tc>
          <w:tcPr>
            <w:tcW w:w="145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537ECD02"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73</w:t>
            </w:r>
          </w:p>
        </w:tc>
        <w:tc>
          <w:tcPr>
            <w:tcW w:w="129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428BB4EC"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146</w:t>
            </w:r>
          </w:p>
        </w:tc>
        <w:tc>
          <w:tcPr>
            <w:tcW w:w="1119"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04A88A7E"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10,746</w:t>
            </w:r>
          </w:p>
        </w:tc>
        <w:tc>
          <w:tcPr>
            <w:tcW w:w="1479"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50D5C58F"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36,299</w:t>
            </w:r>
          </w:p>
        </w:tc>
        <w:tc>
          <w:tcPr>
            <w:tcW w:w="115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3408EB39"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47,100</w:t>
            </w:r>
          </w:p>
        </w:tc>
        <w:tc>
          <w:tcPr>
            <w:tcW w:w="135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5534AF3D"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$5,410,000</w:t>
            </w:r>
          </w:p>
        </w:tc>
        <w:tc>
          <w:tcPr>
            <w:tcW w:w="173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6133A694"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$256,000</w:t>
            </w:r>
          </w:p>
        </w:tc>
        <w:tc>
          <w:tcPr>
            <w:tcW w:w="1358"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158A596E"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$5,670,000</w:t>
            </w:r>
          </w:p>
        </w:tc>
        <w:tc>
          <w:tcPr>
            <w:tcW w:w="1096" w:type="dxa"/>
            <w:tcBorders>
              <w:top w:val="nil"/>
              <w:left w:val="nil"/>
              <w:bottom w:val="single" w:sz="4" w:space="0" w:color="auto"/>
              <w:right w:val="single" w:sz="4" w:space="0" w:color="auto"/>
            </w:tcBorders>
            <w:shd w:val="clear" w:color="000000" w:fill="FFFFFF"/>
            <w:noWrap/>
            <w:vAlign w:val="bottom"/>
            <w:hideMark/>
          </w:tcPr>
          <w:p w:rsidR="00004F6D" w:rsidRPr="00004F6D" w:rsidP="00004F6D" w14:paraId="77958662" w14:textId="77777777">
            <w:pPr>
              <w:spacing w:after="0" w:line="240" w:lineRule="auto"/>
              <w:jc w:val="center"/>
              <w:rPr>
                <w:rFonts w:ascii="Calibri" w:eastAsia="Times New Roman" w:hAnsi="Calibri" w:cs="Calibri"/>
                <w:sz w:val="20"/>
                <w:szCs w:val="20"/>
              </w:rPr>
            </w:pPr>
            <w:r w:rsidRPr="00004F6D">
              <w:rPr>
                <w:rFonts w:ascii="Calibri" w:eastAsia="Times New Roman" w:hAnsi="Calibri" w:cs="Calibri"/>
                <w:sz w:val="20"/>
                <w:szCs w:val="20"/>
              </w:rPr>
              <w:t>323</w:t>
            </w:r>
          </w:p>
        </w:tc>
      </w:tr>
      <w:tr w14:paraId="3558315D" w14:textId="77777777" w:rsidTr="00004F6D">
        <w:tblPrEx>
          <w:tblW w:w="12960" w:type="dxa"/>
          <w:tblInd w:w="108" w:type="dxa"/>
          <w:tblLook w:val="04A0"/>
        </w:tblPrEx>
        <w:trPr>
          <w:trHeight w:val="300"/>
        </w:trPr>
        <w:tc>
          <w:tcPr>
            <w:tcW w:w="1478" w:type="dxa"/>
            <w:tcBorders>
              <w:top w:val="nil"/>
              <w:left w:val="nil"/>
              <w:bottom w:val="nil"/>
              <w:right w:val="nil"/>
            </w:tcBorders>
            <w:shd w:val="clear" w:color="auto" w:fill="auto"/>
            <w:noWrap/>
            <w:vAlign w:val="bottom"/>
            <w:hideMark/>
          </w:tcPr>
          <w:p w:rsidR="00004F6D" w:rsidRPr="00004F6D" w:rsidP="00004F6D" w14:paraId="4FB6F9F8" w14:textId="77777777">
            <w:pPr>
              <w:spacing w:after="0" w:line="240" w:lineRule="auto"/>
              <w:jc w:val="center"/>
              <w:rPr>
                <w:rFonts w:ascii="Calibri" w:eastAsia="Times New Roman" w:hAnsi="Calibri" w:cs="Calibri"/>
                <w:sz w:val="20"/>
                <w:szCs w:val="20"/>
              </w:rPr>
            </w:pPr>
          </w:p>
        </w:tc>
        <w:tc>
          <w:tcPr>
            <w:tcW w:w="1458" w:type="dxa"/>
            <w:tcBorders>
              <w:top w:val="nil"/>
              <w:left w:val="nil"/>
              <w:bottom w:val="nil"/>
              <w:right w:val="nil"/>
            </w:tcBorders>
            <w:shd w:val="clear" w:color="auto" w:fill="auto"/>
            <w:noWrap/>
            <w:vAlign w:val="bottom"/>
            <w:hideMark/>
          </w:tcPr>
          <w:p w:rsidR="00004F6D" w:rsidRPr="00004F6D" w:rsidP="00004F6D" w14:paraId="39A0770F" w14:textId="77777777">
            <w:pPr>
              <w:spacing w:after="0" w:line="240" w:lineRule="auto"/>
              <w:rPr>
                <w:rFonts w:ascii="Times New Roman" w:eastAsia="Times New Roman" w:hAnsi="Times New Roman" w:cs="Times New Roman"/>
                <w:sz w:val="20"/>
                <w:szCs w:val="20"/>
              </w:rPr>
            </w:pPr>
          </w:p>
        </w:tc>
        <w:tc>
          <w:tcPr>
            <w:tcW w:w="1298" w:type="dxa"/>
            <w:tcBorders>
              <w:top w:val="nil"/>
              <w:left w:val="nil"/>
              <w:bottom w:val="nil"/>
              <w:right w:val="nil"/>
            </w:tcBorders>
            <w:shd w:val="clear" w:color="auto" w:fill="auto"/>
            <w:noWrap/>
            <w:vAlign w:val="bottom"/>
            <w:hideMark/>
          </w:tcPr>
          <w:p w:rsidR="00004F6D" w:rsidRPr="00004F6D" w:rsidP="00004F6D" w14:paraId="5C045DBA" w14:textId="77777777">
            <w:pPr>
              <w:spacing w:after="0" w:line="240" w:lineRule="auto"/>
              <w:rPr>
                <w:rFonts w:ascii="Times New Roman" w:eastAsia="Times New Roman" w:hAnsi="Times New Roman" w:cs="Times New Roman"/>
                <w:sz w:val="20"/>
                <w:szCs w:val="20"/>
              </w:rPr>
            </w:pPr>
          </w:p>
        </w:tc>
        <w:tc>
          <w:tcPr>
            <w:tcW w:w="1119" w:type="dxa"/>
            <w:tcBorders>
              <w:top w:val="nil"/>
              <w:left w:val="nil"/>
              <w:bottom w:val="nil"/>
              <w:right w:val="nil"/>
            </w:tcBorders>
            <w:shd w:val="clear" w:color="auto" w:fill="auto"/>
            <w:noWrap/>
            <w:vAlign w:val="bottom"/>
            <w:hideMark/>
          </w:tcPr>
          <w:p w:rsidR="00004F6D" w:rsidRPr="00004F6D" w:rsidP="00004F6D" w14:paraId="2E8C9C43" w14:textId="77777777">
            <w:pPr>
              <w:spacing w:after="0" w:line="240" w:lineRule="auto"/>
              <w:rPr>
                <w:rFonts w:ascii="Times New Roman" w:eastAsia="Times New Roman" w:hAnsi="Times New Roman" w:cs="Times New Roman"/>
                <w:sz w:val="20"/>
                <w:szCs w:val="20"/>
              </w:rPr>
            </w:pPr>
          </w:p>
        </w:tc>
        <w:tc>
          <w:tcPr>
            <w:tcW w:w="1479" w:type="dxa"/>
            <w:tcBorders>
              <w:top w:val="nil"/>
              <w:left w:val="nil"/>
              <w:bottom w:val="nil"/>
              <w:right w:val="nil"/>
            </w:tcBorders>
            <w:shd w:val="clear" w:color="auto" w:fill="auto"/>
            <w:noWrap/>
            <w:vAlign w:val="bottom"/>
            <w:hideMark/>
          </w:tcPr>
          <w:p w:rsidR="00004F6D" w:rsidRPr="00004F6D" w:rsidP="00004F6D" w14:paraId="63537B32" w14:textId="77777777">
            <w:pPr>
              <w:spacing w:after="0" w:line="240" w:lineRule="auto"/>
              <w:rPr>
                <w:rFonts w:ascii="Times New Roman" w:eastAsia="Times New Roman" w:hAnsi="Times New Roman" w:cs="Times New Roman"/>
                <w:sz w:val="20"/>
                <w:szCs w:val="20"/>
              </w:rPr>
            </w:pPr>
          </w:p>
        </w:tc>
        <w:tc>
          <w:tcPr>
            <w:tcW w:w="1158" w:type="dxa"/>
            <w:tcBorders>
              <w:top w:val="nil"/>
              <w:left w:val="nil"/>
              <w:bottom w:val="nil"/>
              <w:right w:val="nil"/>
            </w:tcBorders>
            <w:shd w:val="clear" w:color="auto" w:fill="auto"/>
            <w:noWrap/>
            <w:vAlign w:val="bottom"/>
            <w:hideMark/>
          </w:tcPr>
          <w:p w:rsidR="00004F6D" w:rsidRPr="00004F6D" w:rsidP="00004F6D" w14:paraId="14AA2A99" w14:textId="77777777">
            <w:pPr>
              <w:spacing w:after="0" w:line="240" w:lineRule="auto"/>
              <w:rPr>
                <w:rFonts w:ascii="Times New Roman" w:eastAsia="Times New Roman" w:hAnsi="Times New Roman" w:cs="Times New Roman"/>
                <w:sz w:val="20"/>
                <w:szCs w:val="20"/>
              </w:rPr>
            </w:pPr>
          </w:p>
        </w:tc>
        <w:tc>
          <w:tcPr>
            <w:tcW w:w="1358" w:type="dxa"/>
            <w:tcBorders>
              <w:top w:val="nil"/>
              <w:left w:val="nil"/>
              <w:bottom w:val="nil"/>
              <w:right w:val="nil"/>
            </w:tcBorders>
            <w:shd w:val="clear" w:color="auto" w:fill="auto"/>
            <w:noWrap/>
            <w:vAlign w:val="bottom"/>
            <w:hideMark/>
          </w:tcPr>
          <w:p w:rsidR="00004F6D" w:rsidRPr="00004F6D" w:rsidP="00004F6D" w14:paraId="5F30E59B" w14:textId="77777777">
            <w:pPr>
              <w:spacing w:after="0" w:line="240" w:lineRule="auto"/>
              <w:jc w:val="center"/>
              <w:rPr>
                <w:rFonts w:ascii="Times New Roman" w:eastAsia="Times New Roman" w:hAnsi="Times New Roman" w:cs="Times New Roman"/>
                <w:sz w:val="20"/>
                <w:szCs w:val="20"/>
              </w:rPr>
            </w:pPr>
          </w:p>
        </w:tc>
        <w:tc>
          <w:tcPr>
            <w:tcW w:w="1738" w:type="dxa"/>
            <w:tcBorders>
              <w:top w:val="nil"/>
              <w:left w:val="nil"/>
              <w:bottom w:val="nil"/>
              <w:right w:val="nil"/>
            </w:tcBorders>
            <w:shd w:val="clear" w:color="auto" w:fill="auto"/>
            <w:noWrap/>
            <w:vAlign w:val="bottom"/>
            <w:hideMark/>
          </w:tcPr>
          <w:p w:rsidR="00004F6D" w:rsidRPr="00004F6D" w:rsidP="00004F6D" w14:paraId="71E543B9" w14:textId="77777777">
            <w:pPr>
              <w:spacing w:after="0" w:line="240" w:lineRule="auto"/>
              <w:rPr>
                <w:rFonts w:ascii="Times New Roman" w:eastAsia="Times New Roman" w:hAnsi="Times New Roman" w:cs="Times New Roman"/>
                <w:sz w:val="20"/>
                <w:szCs w:val="20"/>
              </w:rPr>
            </w:pPr>
          </w:p>
        </w:tc>
        <w:tc>
          <w:tcPr>
            <w:tcW w:w="1358" w:type="dxa"/>
            <w:tcBorders>
              <w:top w:val="nil"/>
              <w:left w:val="nil"/>
              <w:bottom w:val="nil"/>
              <w:right w:val="nil"/>
            </w:tcBorders>
            <w:shd w:val="clear" w:color="auto" w:fill="auto"/>
            <w:noWrap/>
            <w:vAlign w:val="bottom"/>
            <w:hideMark/>
          </w:tcPr>
          <w:p w:rsidR="00004F6D" w:rsidRPr="00004F6D" w:rsidP="00004F6D" w14:paraId="0363F6F0" w14:textId="77777777">
            <w:pPr>
              <w:spacing w:after="0" w:line="240" w:lineRule="auto"/>
              <w:rPr>
                <w:rFonts w:ascii="Times New Roman" w:eastAsia="Times New Roman" w:hAnsi="Times New Roman" w:cs="Times New Roman"/>
                <w:sz w:val="20"/>
                <w:szCs w:val="20"/>
              </w:rPr>
            </w:pPr>
          </w:p>
        </w:tc>
        <w:tc>
          <w:tcPr>
            <w:tcW w:w="1096" w:type="dxa"/>
            <w:tcBorders>
              <w:top w:val="nil"/>
              <w:left w:val="nil"/>
              <w:bottom w:val="nil"/>
              <w:right w:val="nil"/>
            </w:tcBorders>
            <w:shd w:val="clear" w:color="auto" w:fill="auto"/>
            <w:noWrap/>
            <w:vAlign w:val="bottom"/>
            <w:hideMark/>
          </w:tcPr>
          <w:p w:rsidR="00004F6D" w:rsidRPr="00004F6D" w:rsidP="00004F6D" w14:paraId="2D0509DD" w14:textId="77777777">
            <w:pPr>
              <w:spacing w:after="0" w:line="240" w:lineRule="auto"/>
              <w:rPr>
                <w:rFonts w:ascii="Times New Roman" w:eastAsia="Times New Roman" w:hAnsi="Times New Roman" w:cs="Times New Roman"/>
                <w:sz w:val="20"/>
                <w:szCs w:val="20"/>
              </w:rPr>
            </w:pPr>
          </w:p>
        </w:tc>
      </w:tr>
      <w:tr w14:paraId="76EE3A29" w14:textId="77777777" w:rsidTr="00004F6D">
        <w:tblPrEx>
          <w:tblW w:w="12960" w:type="dxa"/>
          <w:tblInd w:w="108" w:type="dxa"/>
          <w:tblLook w:val="04A0"/>
        </w:tblPrEx>
        <w:trPr>
          <w:trHeight w:val="1350"/>
        </w:trPr>
        <w:tc>
          <w:tcPr>
            <w:tcW w:w="13540" w:type="dxa"/>
            <w:gridSpan w:val="10"/>
            <w:tcBorders>
              <w:top w:val="nil"/>
              <w:left w:val="nil"/>
              <w:bottom w:val="nil"/>
              <w:right w:val="nil"/>
            </w:tcBorders>
            <w:shd w:val="clear" w:color="auto" w:fill="auto"/>
            <w:hideMark/>
          </w:tcPr>
          <w:p w:rsidR="00004F6D" w:rsidRPr="00004F6D" w:rsidP="00004F6D" w14:paraId="136A7A9B"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vertAlign w:val="superscript"/>
              </w:rPr>
              <w:t>a</w:t>
            </w:r>
            <w:r w:rsidRPr="00004F6D">
              <w:rPr>
                <w:rFonts w:ascii="Calibri" w:eastAsia="Times New Roman" w:hAnsi="Calibri" w:cs="Calibri"/>
                <w:color w:val="000000"/>
                <w:sz w:val="20"/>
                <w:szCs w:val="20"/>
              </w:rPr>
              <w:t xml:space="preserve"> We assume that there are approximately 104 respondents, with no additional new sources becoming subject to the rule over the three-year period of this ICR. Of these 104 respondents, 84 are from the private sector and 20 are from the Federal government. We have further assumed that 62 out of 84 private sector facilities and 11 out of 20 Federal government facilities are subject to control, monitoring, and reporting requirements (73 facilities, total) while the remaining 22 private and 9 Federal government facilities (31 total) are exempt from reporting requirements. </w:t>
            </w:r>
          </w:p>
        </w:tc>
      </w:tr>
      <w:tr w14:paraId="515200F7" w14:textId="77777777" w:rsidTr="00004F6D">
        <w:tblPrEx>
          <w:tblW w:w="12960" w:type="dxa"/>
          <w:tblInd w:w="108" w:type="dxa"/>
          <w:tblLook w:val="04A0"/>
        </w:tblPrEx>
        <w:trPr>
          <w:trHeight w:val="405"/>
        </w:trPr>
        <w:tc>
          <w:tcPr>
            <w:tcW w:w="13540" w:type="dxa"/>
            <w:gridSpan w:val="10"/>
            <w:tcBorders>
              <w:top w:val="nil"/>
              <w:left w:val="nil"/>
              <w:bottom w:val="nil"/>
              <w:right w:val="nil"/>
            </w:tcBorders>
            <w:shd w:val="clear" w:color="auto" w:fill="auto"/>
            <w:noWrap/>
            <w:hideMark/>
          </w:tcPr>
          <w:p w:rsidR="00004F6D" w:rsidRPr="00004F6D" w:rsidP="00004F6D" w14:paraId="2C3A3D64"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vertAlign w:val="superscript"/>
              </w:rPr>
              <w:t>b</w:t>
            </w:r>
            <w:r w:rsidRPr="00004F6D">
              <w:rPr>
                <w:rFonts w:ascii="Calibri" w:eastAsia="Times New Roman" w:hAnsi="Calibri" w:cs="Calibri"/>
                <w:color w:val="000000"/>
                <w:sz w:val="20"/>
                <w:szCs w:val="20"/>
              </w:rPr>
              <w:t xml:space="preserve"> Totals have been rounded to 3 significant figures. Figures may not add exactly due to rounding.</w:t>
            </w:r>
          </w:p>
        </w:tc>
      </w:tr>
    </w:tbl>
    <w:p w:rsidR="00004F6D" w:rsidP="00BB3410" w14:paraId="70C595F1" w14:textId="166156AD">
      <w:pPr>
        <w:pStyle w:val="ListParagraph"/>
        <w:spacing w:before="240"/>
        <w:ind w:left="0"/>
        <w:rPr>
          <w:rFonts w:cstheme="minorHAnsi"/>
          <w:sz w:val="24"/>
          <w:szCs w:val="24"/>
        </w:rPr>
      </w:pPr>
    </w:p>
    <w:p w:rsidR="00004F6D" w14:paraId="2F46E538" w14:textId="77777777">
      <w:pPr>
        <w:rPr>
          <w:rFonts w:cstheme="minorHAnsi"/>
          <w:sz w:val="24"/>
          <w:szCs w:val="24"/>
        </w:rPr>
      </w:pPr>
      <w:r>
        <w:rPr>
          <w:rFonts w:cstheme="minorHAnsi"/>
          <w:sz w:val="24"/>
          <w:szCs w:val="24"/>
        </w:rPr>
        <w:br w:type="page"/>
      </w:r>
    </w:p>
    <w:tbl>
      <w:tblPr>
        <w:tblW w:w="11740" w:type="dxa"/>
        <w:tblInd w:w="108" w:type="dxa"/>
        <w:tblLook w:val="04A0"/>
      </w:tblPr>
      <w:tblGrid>
        <w:gridCol w:w="3358"/>
        <w:gridCol w:w="1042"/>
        <w:gridCol w:w="1113"/>
        <w:gridCol w:w="1079"/>
        <w:gridCol w:w="1188"/>
        <w:gridCol w:w="1093"/>
        <w:gridCol w:w="1220"/>
        <w:gridCol w:w="972"/>
        <w:gridCol w:w="1073"/>
      </w:tblGrid>
      <w:tr w14:paraId="35FDFCF4" w14:textId="77777777" w:rsidTr="00004F6D">
        <w:tblPrEx>
          <w:tblW w:w="11740" w:type="dxa"/>
          <w:tblInd w:w="108" w:type="dxa"/>
          <w:tblLook w:val="04A0"/>
        </w:tblPrEx>
        <w:trPr>
          <w:trHeight w:val="600"/>
        </w:trPr>
        <w:tc>
          <w:tcPr>
            <w:tcW w:w="11740" w:type="dxa"/>
            <w:gridSpan w:val="9"/>
            <w:tcBorders>
              <w:top w:val="nil"/>
              <w:left w:val="nil"/>
              <w:bottom w:val="nil"/>
              <w:right w:val="nil"/>
            </w:tcBorders>
            <w:shd w:val="clear" w:color="auto" w:fill="auto"/>
            <w:vAlign w:val="bottom"/>
            <w:hideMark/>
          </w:tcPr>
          <w:p w:rsidR="00004F6D" w:rsidRPr="00004F6D" w:rsidP="00004F6D" w14:paraId="79791A97" w14:textId="77777777">
            <w:pPr>
              <w:spacing w:after="0" w:line="240" w:lineRule="auto"/>
              <w:rPr>
                <w:rFonts w:eastAsia="Times New Roman" w:cstheme="minorHAnsi"/>
                <w:b/>
                <w:bCs/>
                <w:color w:val="000000"/>
                <w:sz w:val="24"/>
                <w:szCs w:val="24"/>
              </w:rPr>
            </w:pPr>
            <w:r w:rsidRPr="00004F6D">
              <w:rPr>
                <w:rFonts w:eastAsia="Times New Roman" w:cstheme="minorHAnsi"/>
                <w:b/>
                <w:bCs/>
                <w:color w:val="000000"/>
                <w:sz w:val="24"/>
                <w:szCs w:val="24"/>
              </w:rPr>
              <w:t>Table 2: Average Annual EPA Burden and Cost – NESHAP for Site Remediation (40 CFR Part 63, Subpart GGGGG) (Renewal)</w:t>
            </w:r>
          </w:p>
        </w:tc>
      </w:tr>
      <w:tr w14:paraId="20DF11BB" w14:textId="77777777" w:rsidTr="00004F6D">
        <w:tblPrEx>
          <w:tblW w:w="11740" w:type="dxa"/>
          <w:tblInd w:w="108" w:type="dxa"/>
          <w:tblLook w:val="04A0"/>
        </w:tblPrEx>
        <w:trPr>
          <w:trHeight w:val="300"/>
        </w:trPr>
        <w:tc>
          <w:tcPr>
            <w:tcW w:w="3358" w:type="dxa"/>
            <w:tcBorders>
              <w:top w:val="nil"/>
              <w:left w:val="nil"/>
              <w:bottom w:val="nil"/>
              <w:right w:val="nil"/>
            </w:tcBorders>
            <w:shd w:val="clear" w:color="auto" w:fill="auto"/>
            <w:noWrap/>
            <w:vAlign w:val="bottom"/>
            <w:hideMark/>
          </w:tcPr>
          <w:p w:rsidR="00004F6D" w:rsidRPr="00004F6D" w:rsidP="00004F6D" w14:paraId="6BDDFE45" w14:textId="77777777">
            <w:pPr>
              <w:spacing w:after="0" w:line="240" w:lineRule="auto"/>
              <w:rPr>
                <w:rFonts w:eastAsia="Times New Roman" w:cstheme="minorHAnsi"/>
                <w:b/>
                <w:bCs/>
                <w:color w:val="000000"/>
                <w:sz w:val="24"/>
                <w:szCs w:val="24"/>
              </w:rPr>
            </w:pPr>
          </w:p>
        </w:tc>
        <w:tc>
          <w:tcPr>
            <w:tcW w:w="972" w:type="dxa"/>
            <w:tcBorders>
              <w:top w:val="nil"/>
              <w:left w:val="nil"/>
              <w:bottom w:val="nil"/>
              <w:right w:val="nil"/>
            </w:tcBorders>
            <w:shd w:val="clear" w:color="auto" w:fill="auto"/>
            <w:noWrap/>
            <w:vAlign w:val="bottom"/>
            <w:hideMark/>
          </w:tcPr>
          <w:p w:rsidR="00004F6D" w:rsidRPr="00004F6D" w:rsidP="00004F6D" w14:paraId="3E7090E8" w14:textId="77777777">
            <w:pPr>
              <w:spacing w:after="0" w:line="240" w:lineRule="auto"/>
              <w:rPr>
                <w:rFonts w:eastAsia="Times New Roman" w:cstheme="minorHAnsi"/>
                <w:sz w:val="20"/>
                <w:szCs w:val="20"/>
              </w:rPr>
            </w:pPr>
          </w:p>
        </w:tc>
        <w:tc>
          <w:tcPr>
            <w:tcW w:w="1073" w:type="dxa"/>
            <w:tcBorders>
              <w:top w:val="nil"/>
              <w:left w:val="nil"/>
              <w:bottom w:val="nil"/>
              <w:right w:val="nil"/>
            </w:tcBorders>
            <w:shd w:val="clear" w:color="auto" w:fill="auto"/>
            <w:noWrap/>
            <w:vAlign w:val="bottom"/>
            <w:hideMark/>
          </w:tcPr>
          <w:p w:rsidR="00004F6D" w:rsidRPr="00004F6D" w:rsidP="00004F6D" w14:paraId="7F73E739" w14:textId="77777777">
            <w:pPr>
              <w:spacing w:after="0" w:line="240" w:lineRule="auto"/>
              <w:rPr>
                <w:rFonts w:eastAsia="Times New Roman" w:cstheme="minorHAnsi"/>
                <w:sz w:val="20"/>
                <w:szCs w:val="20"/>
              </w:rPr>
            </w:pPr>
          </w:p>
        </w:tc>
        <w:tc>
          <w:tcPr>
            <w:tcW w:w="972" w:type="dxa"/>
            <w:tcBorders>
              <w:top w:val="nil"/>
              <w:left w:val="nil"/>
              <w:bottom w:val="nil"/>
              <w:right w:val="nil"/>
            </w:tcBorders>
            <w:shd w:val="clear" w:color="auto" w:fill="auto"/>
            <w:noWrap/>
            <w:vAlign w:val="bottom"/>
            <w:hideMark/>
          </w:tcPr>
          <w:p w:rsidR="00004F6D" w:rsidRPr="00004F6D" w:rsidP="00004F6D" w14:paraId="1C7A78D6" w14:textId="77777777">
            <w:pPr>
              <w:spacing w:after="0" w:line="240" w:lineRule="auto"/>
              <w:rPr>
                <w:rFonts w:eastAsia="Times New Roman" w:cstheme="minorHAnsi"/>
                <w:sz w:val="20"/>
                <w:szCs w:val="20"/>
              </w:rPr>
            </w:pPr>
          </w:p>
        </w:tc>
        <w:tc>
          <w:tcPr>
            <w:tcW w:w="1093" w:type="dxa"/>
            <w:tcBorders>
              <w:top w:val="nil"/>
              <w:left w:val="nil"/>
              <w:bottom w:val="nil"/>
              <w:right w:val="nil"/>
            </w:tcBorders>
            <w:shd w:val="clear" w:color="auto" w:fill="auto"/>
            <w:noWrap/>
            <w:vAlign w:val="bottom"/>
            <w:hideMark/>
          </w:tcPr>
          <w:p w:rsidR="00004F6D" w:rsidRPr="00004F6D" w:rsidP="00004F6D" w14:paraId="217A586D" w14:textId="77777777">
            <w:pPr>
              <w:spacing w:after="0" w:line="240" w:lineRule="auto"/>
              <w:rPr>
                <w:rFonts w:eastAsia="Times New Roman" w:cstheme="minorHAnsi"/>
                <w:sz w:val="20"/>
                <w:szCs w:val="20"/>
              </w:rPr>
            </w:pPr>
          </w:p>
        </w:tc>
        <w:tc>
          <w:tcPr>
            <w:tcW w:w="1093" w:type="dxa"/>
            <w:tcBorders>
              <w:top w:val="nil"/>
              <w:left w:val="nil"/>
              <w:bottom w:val="nil"/>
              <w:right w:val="nil"/>
            </w:tcBorders>
            <w:shd w:val="clear" w:color="auto" w:fill="auto"/>
            <w:noWrap/>
            <w:vAlign w:val="bottom"/>
            <w:hideMark/>
          </w:tcPr>
          <w:p w:rsidR="00004F6D" w:rsidRPr="00004F6D" w:rsidP="00004F6D" w14:paraId="6D9F074A" w14:textId="77777777">
            <w:pPr>
              <w:spacing w:after="0" w:line="240" w:lineRule="auto"/>
              <w:rPr>
                <w:rFonts w:eastAsia="Times New Roman" w:cstheme="minorHAnsi"/>
                <w:sz w:val="20"/>
                <w:szCs w:val="20"/>
              </w:rPr>
            </w:pPr>
          </w:p>
        </w:tc>
        <w:tc>
          <w:tcPr>
            <w:tcW w:w="1134" w:type="dxa"/>
            <w:tcBorders>
              <w:top w:val="nil"/>
              <w:left w:val="nil"/>
              <w:bottom w:val="nil"/>
              <w:right w:val="nil"/>
            </w:tcBorders>
            <w:shd w:val="clear" w:color="auto" w:fill="auto"/>
            <w:noWrap/>
            <w:vAlign w:val="bottom"/>
            <w:hideMark/>
          </w:tcPr>
          <w:p w:rsidR="00004F6D" w:rsidRPr="00004F6D" w:rsidP="00004F6D" w14:paraId="08E79CD8" w14:textId="77777777">
            <w:pPr>
              <w:spacing w:after="0" w:line="240" w:lineRule="auto"/>
              <w:rPr>
                <w:rFonts w:eastAsia="Times New Roman" w:cstheme="minorHAnsi"/>
                <w:sz w:val="20"/>
                <w:szCs w:val="20"/>
              </w:rPr>
            </w:pPr>
          </w:p>
        </w:tc>
        <w:tc>
          <w:tcPr>
            <w:tcW w:w="972" w:type="dxa"/>
            <w:tcBorders>
              <w:top w:val="nil"/>
              <w:left w:val="nil"/>
              <w:bottom w:val="nil"/>
              <w:right w:val="nil"/>
            </w:tcBorders>
            <w:shd w:val="clear" w:color="auto" w:fill="auto"/>
            <w:noWrap/>
            <w:vAlign w:val="bottom"/>
            <w:hideMark/>
          </w:tcPr>
          <w:p w:rsidR="00004F6D" w:rsidRPr="00004F6D" w:rsidP="00004F6D" w14:paraId="3878C0CB" w14:textId="77777777">
            <w:pPr>
              <w:spacing w:after="0" w:line="240" w:lineRule="auto"/>
              <w:rPr>
                <w:rFonts w:eastAsia="Times New Roman" w:cstheme="minorHAnsi"/>
                <w:sz w:val="20"/>
                <w:szCs w:val="20"/>
              </w:rPr>
            </w:pPr>
          </w:p>
        </w:tc>
        <w:tc>
          <w:tcPr>
            <w:tcW w:w="1073" w:type="dxa"/>
            <w:tcBorders>
              <w:top w:val="nil"/>
              <w:left w:val="nil"/>
              <w:bottom w:val="nil"/>
              <w:right w:val="nil"/>
            </w:tcBorders>
            <w:shd w:val="clear" w:color="auto" w:fill="auto"/>
            <w:noWrap/>
            <w:vAlign w:val="bottom"/>
            <w:hideMark/>
          </w:tcPr>
          <w:p w:rsidR="00004F6D" w:rsidRPr="00004F6D" w:rsidP="00004F6D" w14:paraId="0B88F9AD" w14:textId="77777777">
            <w:pPr>
              <w:spacing w:after="0" w:line="240" w:lineRule="auto"/>
              <w:rPr>
                <w:rFonts w:eastAsia="Times New Roman" w:cstheme="minorHAnsi"/>
                <w:sz w:val="20"/>
                <w:szCs w:val="20"/>
              </w:rPr>
            </w:pPr>
          </w:p>
        </w:tc>
      </w:tr>
      <w:tr w14:paraId="3E082296" w14:textId="77777777" w:rsidTr="00004F6D">
        <w:tblPrEx>
          <w:tblW w:w="11740" w:type="dxa"/>
          <w:tblInd w:w="108" w:type="dxa"/>
          <w:tblLook w:val="04A0"/>
        </w:tblPrEx>
        <w:trPr>
          <w:trHeight w:val="1440"/>
        </w:trPr>
        <w:tc>
          <w:tcPr>
            <w:tcW w:w="3358" w:type="dxa"/>
            <w:tcBorders>
              <w:top w:val="single" w:sz="4" w:space="0" w:color="auto"/>
              <w:left w:val="single" w:sz="4" w:space="0" w:color="auto"/>
              <w:bottom w:val="nil"/>
              <w:right w:val="single" w:sz="4" w:space="0" w:color="auto"/>
            </w:tcBorders>
            <w:shd w:val="clear" w:color="auto" w:fill="auto"/>
            <w:noWrap/>
            <w:vAlign w:val="center"/>
            <w:hideMark/>
          </w:tcPr>
          <w:p w:rsidR="00004F6D" w:rsidRPr="00004F6D" w:rsidP="00004F6D" w14:paraId="28B7E909"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Burden Item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3273B74B"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(A)</w:t>
            </w:r>
            <w:r w:rsidRPr="00004F6D">
              <w:rPr>
                <w:rFonts w:eastAsia="Times New Roman" w:cstheme="minorHAnsi"/>
                <w:b/>
                <w:bCs/>
                <w:color w:val="000000"/>
                <w:sz w:val="18"/>
                <w:szCs w:val="18"/>
              </w:rPr>
              <w:br/>
              <w:t>Person hours per occurrence</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1C4B747E"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 xml:space="preserve">(B) </w:t>
            </w:r>
            <w:r w:rsidRPr="00004F6D">
              <w:rPr>
                <w:rFonts w:eastAsia="Times New Roman" w:cstheme="minorHAnsi"/>
                <w:b/>
                <w:bCs/>
                <w:color w:val="000000"/>
                <w:sz w:val="18"/>
                <w:szCs w:val="18"/>
              </w:rPr>
              <w:br/>
              <w:t>Number of occurrences per year</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15C0BAC0"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(C)</w:t>
            </w:r>
            <w:r w:rsidRPr="00004F6D">
              <w:rPr>
                <w:rFonts w:eastAsia="Times New Roman" w:cstheme="minorHAnsi"/>
                <w:b/>
                <w:bCs/>
                <w:color w:val="000000"/>
                <w:sz w:val="18"/>
                <w:szCs w:val="18"/>
              </w:rPr>
              <w:br/>
              <w:t xml:space="preserve">Person hrs per respondent per year </w:t>
            </w:r>
            <w:r w:rsidRPr="00004F6D">
              <w:rPr>
                <w:rFonts w:eastAsia="Times New Roman" w:cstheme="minorHAnsi"/>
                <w:b/>
                <w:bCs/>
                <w:color w:val="000000"/>
                <w:sz w:val="18"/>
                <w:szCs w:val="18"/>
              </w:rPr>
              <w:br/>
              <w:t>(C=AxB)</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1DC91B56"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 xml:space="preserve">(D) </w:t>
            </w:r>
            <w:r w:rsidRPr="00004F6D">
              <w:rPr>
                <w:rFonts w:eastAsia="Times New Roman" w:cstheme="minorHAnsi"/>
                <w:b/>
                <w:bCs/>
                <w:color w:val="000000"/>
                <w:sz w:val="18"/>
                <w:szCs w:val="18"/>
              </w:rPr>
              <w:br/>
              <w:t xml:space="preserve">Respondents per year </w:t>
            </w:r>
            <w:r w:rsidRPr="00004F6D">
              <w:rPr>
                <w:rFonts w:eastAsia="Times New Roman" w:cstheme="minorHAnsi"/>
                <w:b/>
                <w:bCs/>
                <w:color w:val="000000"/>
                <w:sz w:val="18"/>
                <w:szCs w:val="18"/>
                <w:vertAlign w:val="superscript"/>
              </w:rPr>
              <w:t>a</w:t>
            </w:r>
            <w:r w:rsidRPr="00004F6D">
              <w:rPr>
                <w:rFonts w:eastAsia="Times New Roman" w:cstheme="minorHAnsi"/>
                <w:b/>
                <w:bCs/>
                <w:color w:val="000000"/>
                <w:sz w:val="18"/>
                <w:szCs w:val="18"/>
              </w:rPr>
              <w:t xml:space="preserve"> </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472A85F0"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 xml:space="preserve">(E) </w:t>
            </w:r>
            <w:r w:rsidRPr="00004F6D">
              <w:rPr>
                <w:rFonts w:eastAsia="Times New Roman" w:cstheme="minorHAnsi"/>
                <w:b/>
                <w:bCs/>
                <w:color w:val="000000"/>
                <w:sz w:val="18"/>
                <w:szCs w:val="18"/>
              </w:rPr>
              <w:br/>
              <w:t xml:space="preserve">Technical person hrs per year </w:t>
            </w:r>
            <w:r w:rsidRPr="00004F6D">
              <w:rPr>
                <w:rFonts w:eastAsia="Times New Roman" w:cstheme="minorHAnsi"/>
                <w:b/>
                <w:bCs/>
                <w:color w:val="000000"/>
                <w:sz w:val="18"/>
                <w:szCs w:val="18"/>
              </w:rPr>
              <w:br/>
              <w:t>(E=CxD)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45611DE8"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(F)</w:t>
            </w:r>
            <w:r w:rsidRPr="00004F6D">
              <w:rPr>
                <w:rFonts w:eastAsia="Times New Roman" w:cstheme="minorHAnsi"/>
                <w:b/>
                <w:bCs/>
                <w:color w:val="000000"/>
                <w:sz w:val="18"/>
                <w:szCs w:val="18"/>
              </w:rPr>
              <w:br/>
              <w:t xml:space="preserve">Management person hrs per year </w:t>
            </w:r>
            <w:r w:rsidRPr="00004F6D">
              <w:rPr>
                <w:rFonts w:eastAsia="Times New Roman" w:cstheme="minorHAnsi"/>
                <w:b/>
                <w:bCs/>
                <w:color w:val="000000"/>
                <w:sz w:val="18"/>
                <w:szCs w:val="18"/>
              </w:rPr>
              <w:br/>
              <w:t>(F=Ex0.05)</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39C51F54"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(G)</w:t>
            </w:r>
            <w:r w:rsidRPr="00004F6D">
              <w:rPr>
                <w:rFonts w:eastAsia="Times New Roman" w:cstheme="minorHAnsi"/>
                <w:b/>
                <w:bCs/>
                <w:color w:val="000000"/>
                <w:sz w:val="18"/>
                <w:szCs w:val="18"/>
              </w:rPr>
              <w:br/>
              <w:t xml:space="preserve">Clerical person hrs per year </w:t>
            </w:r>
            <w:r w:rsidRPr="00004F6D">
              <w:rPr>
                <w:rFonts w:eastAsia="Times New Roman" w:cstheme="minorHAnsi"/>
                <w:b/>
                <w:bCs/>
                <w:color w:val="000000"/>
                <w:sz w:val="18"/>
                <w:szCs w:val="18"/>
              </w:rPr>
              <w:br/>
              <w:t>(G=Ex0.1)</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004F6D" w:rsidRPr="00004F6D" w:rsidP="00004F6D" w14:paraId="5A4FAF62"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(H)</w:t>
            </w:r>
            <w:r w:rsidRPr="00004F6D">
              <w:rPr>
                <w:rFonts w:eastAsia="Times New Roman" w:cstheme="minorHAnsi"/>
                <w:b/>
                <w:bCs/>
                <w:color w:val="000000"/>
                <w:sz w:val="18"/>
                <w:szCs w:val="18"/>
              </w:rPr>
              <w:br/>
              <w:t xml:space="preserve">Cost per year ($) </w:t>
            </w:r>
            <w:r w:rsidRPr="00004F6D">
              <w:rPr>
                <w:rFonts w:eastAsia="Times New Roman" w:cstheme="minorHAnsi"/>
                <w:b/>
                <w:bCs/>
                <w:color w:val="000000"/>
                <w:sz w:val="18"/>
                <w:szCs w:val="18"/>
                <w:vertAlign w:val="superscript"/>
              </w:rPr>
              <w:t>b</w:t>
            </w:r>
          </w:p>
        </w:tc>
      </w:tr>
      <w:tr w14:paraId="3CCD0AE4" w14:textId="77777777" w:rsidTr="00004F6D">
        <w:tblPrEx>
          <w:tblW w:w="11740" w:type="dxa"/>
          <w:tblInd w:w="108" w:type="dxa"/>
          <w:tblLook w:val="04A0"/>
        </w:tblPrEx>
        <w:trPr>
          <w:trHeight w:val="300"/>
        </w:trPr>
        <w:tc>
          <w:tcPr>
            <w:tcW w:w="3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4F6D" w:rsidRPr="00004F6D" w:rsidP="00004F6D" w14:paraId="5923A21E"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Report Review</w:t>
            </w:r>
          </w:p>
        </w:tc>
        <w:tc>
          <w:tcPr>
            <w:tcW w:w="972" w:type="dxa"/>
            <w:tcBorders>
              <w:top w:val="nil"/>
              <w:left w:val="nil"/>
              <w:bottom w:val="single" w:sz="4" w:space="0" w:color="auto"/>
              <w:right w:val="single" w:sz="4" w:space="0" w:color="auto"/>
            </w:tcBorders>
            <w:shd w:val="clear" w:color="auto" w:fill="auto"/>
            <w:vAlign w:val="center"/>
            <w:hideMark/>
          </w:tcPr>
          <w:p w:rsidR="00004F6D" w:rsidRPr="00004F6D" w:rsidP="00004F6D" w14:paraId="470F39A1"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 </w:t>
            </w:r>
          </w:p>
        </w:tc>
        <w:tc>
          <w:tcPr>
            <w:tcW w:w="1073" w:type="dxa"/>
            <w:tcBorders>
              <w:top w:val="nil"/>
              <w:left w:val="nil"/>
              <w:bottom w:val="single" w:sz="4" w:space="0" w:color="auto"/>
              <w:right w:val="single" w:sz="4" w:space="0" w:color="auto"/>
            </w:tcBorders>
            <w:shd w:val="clear" w:color="auto" w:fill="auto"/>
            <w:vAlign w:val="center"/>
            <w:hideMark/>
          </w:tcPr>
          <w:p w:rsidR="00004F6D" w:rsidRPr="00004F6D" w:rsidP="00004F6D" w14:paraId="2E22C26F"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 </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0689FA37"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 </w:t>
            </w:r>
          </w:p>
        </w:tc>
        <w:tc>
          <w:tcPr>
            <w:tcW w:w="1093" w:type="dxa"/>
            <w:tcBorders>
              <w:top w:val="nil"/>
              <w:left w:val="nil"/>
              <w:bottom w:val="single" w:sz="4" w:space="0" w:color="auto"/>
              <w:right w:val="single" w:sz="4" w:space="0" w:color="auto"/>
            </w:tcBorders>
            <w:shd w:val="clear" w:color="auto" w:fill="auto"/>
            <w:vAlign w:val="center"/>
            <w:hideMark/>
          </w:tcPr>
          <w:p w:rsidR="00004F6D" w:rsidRPr="00004F6D" w:rsidP="00004F6D" w14:paraId="7650B3F1"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 </w:t>
            </w:r>
          </w:p>
        </w:tc>
        <w:tc>
          <w:tcPr>
            <w:tcW w:w="109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1142BF3"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DE6C572"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 </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9317AC9"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 </w:t>
            </w:r>
          </w:p>
        </w:tc>
        <w:tc>
          <w:tcPr>
            <w:tcW w:w="107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A4038B9" w14:textId="77777777">
            <w:pPr>
              <w:spacing w:after="0" w:line="240" w:lineRule="auto"/>
              <w:rPr>
                <w:rFonts w:eastAsia="Times New Roman" w:cstheme="minorHAnsi"/>
                <w:color w:val="000000"/>
                <w:sz w:val="18"/>
                <w:szCs w:val="18"/>
              </w:rPr>
            </w:pPr>
            <w:r w:rsidRPr="00004F6D">
              <w:rPr>
                <w:rFonts w:eastAsia="Times New Roman" w:cstheme="minorHAnsi"/>
                <w:color w:val="000000"/>
                <w:sz w:val="18"/>
                <w:szCs w:val="18"/>
              </w:rPr>
              <w:t> </w:t>
            </w:r>
          </w:p>
        </w:tc>
      </w:tr>
      <w:tr w14:paraId="072ADA5F" w14:textId="77777777" w:rsidTr="00004F6D">
        <w:tblPrEx>
          <w:tblW w:w="11740" w:type="dxa"/>
          <w:tblInd w:w="108" w:type="dxa"/>
          <w:tblLook w:val="04A0"/>
        </w:tblPrEx>
        <w:trPr>
          <w:trHeight w:val="300"/>
        </w:trPr>
        <w:tc>
          <w:tcPr>
            <w:tcW w:w="3358"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2127A612" w14:textId="416F449C">
            <w:pPr>
              <w:spacing w:after="0" w:line="240" w:lineRule="auto"/>
              <w:ind w:firstLine="166"/>
              <w:rPr>
                <w:rFonts w:eastAsia="Times New Roman" w:cstheme="minorHAnsi"/>
                <w:color w:val="000000"/>
                <w:sz w:val="18"/>
                <w:szCs w:val="18"/>
              </w:rPr>
            </w:pPr>
            <w:r w:rsidRPr="00004F6D">
              <w:rPr>
                <w:rFonts w:eastAsia="Times New Roman" w:cstheme="minorHAnsi"/>
                <w:color w:val="000000"/>
                <w:sz w:val="18"/>
                <w:szCs w:val="18"/>
              </w:rPr>
              <w:t>a.</w:t>
            </w:r>
            <w:r>
              <w:rPr>
                <w:rFonts w:eastAsia="Times New Roman" w:cstheme="minorHAnsi"/>
                <w:color w:val="000000"/>
                <w:sz w:val="18"/>
                <w:szCs w:val="18"/>
              </w:rPr>
              <w:t xml:space="preserve"> </w:t>
            </w:r>
            <w:r w:rsidRPr="00004F6D">
              <w:rPr>
                <w:rFonts w:eastAsia="Times New Roman" w:cstheme="minorHAnsi"/>
                <w:color w:val="000000"/>
                <w:sz w:val="18"/>
                <w:szCs w:val="18"/>
              </w:rPr>
              <w:t>Initial notification</w:t>
            </w:r>
          </w:p>
        </w:tc>
        <w:tc>
          <w:tcPr>
            <w:tcW w:w="972" w:type="dxa"/>
            <w:tcBorders>
              <w:top w:val="nil"/>
              <w:left w:val="nil"/>
              <w:bottom w:val="single" w:sz="4" w:space="0" w:color="auto"/>
              <w:right w:val="single" w:sz="4" w:space="0" w:color="auto"/>
            </w:tcBorders>
            <w:shd w:val="clear" w:color="auto" w:fill="auto"/>
            <w:vAlign w:val="center"/>
            <w:hideMark/>
          </w:tcPr>
          <w:p w:rsidR="00004F6D" w:rsidRPr="00004F6D" w:rsidP="00004F6D" w14:paraId="091AC0D5"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4</w:t>
            </w:r>
          </w:p>
        </w:tc>
        <w:tc>
          <w:tcPr>
            <w:tcW w:w="1073" w:type="dxa"/>
            <w:tcBorders>
              <w:top w:val="nil"/>
              <w:left w:val="nil"/>
              <w:bottom w:val="single" w:sz="4" w:space="0" w:color="auto"/>
              <w:right w:val="single" w:sz="4" w:space="0" w:color="auto"/>
            </w:tcBorders>
            <w:shd w:val="clear" w:color="auto" w:fill="auto"/>
            <w:vAlign w:val="center"/>
            <w:hideMark/>
          </w:tcPr>
          <w:p w:rsidR="00004F6D" w:rsidRPr="00004F6D" w:rsidP="00004F6D" w14:paraId="62645902"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EB79351"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93" w:type="dxa"/>
            <w:tcBorders>
              <w:top w:val="nil"/>
              <w:left w:val="nil"/>
              <w:bottom w:val="single" w:sz="4" w:space="0" w:color="auto"/>
              <w:right w:val="single" w:sz="4" w:space="0" w:color="auto"/>
            </w:tcBorders>
            <w:shd w:val="clear" w:color="auto" w:fill="auto"/>
            <w:vAlign w:val="center"/>
            <w:hideMark/>
          </w:tcPr>
          <w:p w:rsidR="00004F6D" w:rsidRPr="00004F6D" w:rsidP="00004F6D" w14:paraId="239B725A"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9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D7EBE10"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24E3DB6"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EA2370D"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7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026AF96" w14:textId="77777777">
            <w:pPr>
              <w:spacing w:after="0" w:line="240" w:lineRule="auto"/>
              <w:jc w:val="right"/>
              <w:rPr>
                <w:rFonts w:eastAsia="Times New Roman" w:cstheme="minorHAnsi"/>
                <w:color w:val="000000"/>
                <w:sz w:val="18"/>
                <w:szCs w:val="18"/>
              </w:rPr>
            </w:pPr>
            <w:r w:rsidRPr="00004F6D">
              <w:rPr>
                <w:rFonts w:eastAsia="Times New Roman" w:cstheme="minorHAnsi"/>
                <w:color w:val="000000"/>
                <w:sz w:val="18"/>
                <w:szCs w:val="18"/>
              </w:rPr>
              <w:t>$0</w:t>
            </w:r>
          </w:p>
        </w:tc>
      </w:tr>
      <w:tr w14:paraId="25A9A558" w14:textId="77777777" w:rsidTr="00004F6D">
        <w:tblPrEx>
          <w:tblW w:w="11740" w:type="dxa"/>
          <w:tblInd w:w="108" w:type="dxa"/>
          <w:tblLook w:val="04A0"/>
        </w:tblPrEx>
        <w:trPr>
          <w:trHeight w:val="300"/>
        </w:trPr>
        <w:tc>
          <w:tcPr>
            <w:tcW w:w="3358"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12082FED" w14:textId="199587D7">
            <w:pPr>
              <w:spacing w:after="0" w:line="240" w:lineRule="auto"/>
              <w:ind w:firstLine="166"/>
              <w:rPr>
                <w:rFonts w:eastAsia="Times New Roman" w:cstheme="minorHAnsi"/>
                <w:color w:val="000000"/>
                <w:sz w:val="18"/>
                <w:szCs w:val="18"/>
              </w:rPr>
            </w:pPr>
            <w:r w:rsidRPr="00004F6D">
              <w:rPr>
                <w:rFonts w:eastAsia="Times New Roman" w:cstheme="minorHAnsi"/>
                <w:color w:val="000000"/>
                <w:sz w:val="18"/>
                <w:szCs w:val="18"/>
              </w:rPr>
              <w:t>b.</w:t>
            </w:r>
            <w:r>
              <w:rPr>
                <w:rFonts w:eastAsia="Times New Roman" w:cstheme="minorHAnsi"/>
                <w:color w:val="000000"/>
                <w:sz w:val="18"/>
                <w:szCs w:val="18"/>
              </w:rPr>
              <w:t xml:space="preserve"> </w:t>
            </w:r>
            <w:r w:rsidRPr="00004F6D">
              <w:rPr>
                <w:rFonts w:eastAsia="Times New Roman" w:cstheme="minorHAnsi"/>
                <w:color w:val="000000"/>
                <w:sz w:val="18"/>
                <w:szCs w:val="18"/>
              </w:rPr>
              <w:t>Performance test notification</w:t>
            </w:r>
          </w:p>
        </w:tc>
        <w:tc>
          <w:tcPr>
            <w:tcW w:w="972" w:type="dxa"/>
            <w:tcBorders>
              <w:top w:val="nil"/>
              <w:left w:val="nil"/>
              <w:bottom w:val="single" w:sz="4" w:space="0" w:color="auto"/>
              <w:right w:val="single" w:sz="4" w:space="0" w:color="auto"/>
            </w:tcBorders>
            <w:shd w:val="clear" w:color="auto" w:fill="auto"/>
            <w:vAlign w:val="center"/>
            <w:hideMark/>
          </w:tcPr>
          <w:p w:rsidR="00004F6D" w:rsidRPr="00004F6D" w:rsidP="00004F6D" w14:paraId="5F236087"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2</w:t>
            </w:r>
          </w:p>
        </w:tc>
        <w:tc>
          <w:tcPr>
            <w:tcW w:w="1073" w:type="dxa"/>
            <w:tcBorders>
              <w:top w:val="nil"/>
              <w:left w:val="nil"/>
              <w:bottom w:val="single" w:sz="4" w:space="0" w:color="auto"/>
              <w:right w:val="single" w:sz="4" w:space="0" w:color="auto"/>
            </w:tcBorders>
            <w:shd w:val="clear" w:color="auto" w:fill="auto"/>
            <w:vAlign w:val="center"/>
            <w:hideMark/>
          </w:tcPr>
          <w:p w:rsidR="00004F6D" w:rsidRPr="00004F6D" w:rsidP="00004F6D" w14:paraId="6B3AF52E"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1</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FDCD341"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2</w:t>
            </w:r>
          </w:p>
        </w:tc>
        <w:tc>
          <w:tcPr>
            <w:tcW w:w="1093" w:type="dxa"/>
            <w:tcBorders>
              <w:top w:val="nil"/>
              <w:left w:val="nil"/>
              <w:bottom w:val="single" w:sz="4" w:space="0" w:color="auto"/>
              <w:right w:val="single" w:sz="4" w:space="0" w:color="auto"/>
            </w:tcBorders>
            <w:shd w:val="clear" w:color="auto" w:fill="auto"/>
            <w:vAlign w:val="center"/>
            <w:hideMark/>
          </w:tcPr>
          <w:p w:rsidR="00004F6D" w:rsidRPr="00004F6D" w:rsidP="00004F6D" w14:paraId="65A15408"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9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9219490"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184D5A77"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A944E56"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7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568E218B" w14:textId="77777777">
            <w:pPr>
              <w:spacing w:after="0" w:line="240" w:lineRule="auto"/>
              <w:jc w:val="right"/>
              <w:rPr>
                <w:rFonts w:eastAsia="Times New Roman" w:cstheme="minorHAnsi"/>
                <w:color w:val="000000"/>
                <w:sz w:val="18"/>
                <w:szCs w:val="18"/>
              </w:rPr>
            </w:pPr>
            <w:r w:rsidRPr="00004F6D">
              <w:rPr>
                <w:rFonts w:eastAsia="Times New Roman" w:cstheme="minorHAnsi"/>
                <w:color w:val="000000"/>
                <w:sz w:val="18"/>
                <w:szCs w:val="18"/>
              </w:rPr>
              <w:t>$0</w:t>
            </w:r>
          </w:p>
        </w:tc>
      </w:tr>
      <w:tr w14:paraId="2389B006" w14:textId="77777777" w:rsidTr="00004F6D">
        <w:tblPrEx>
          <w:tblW w:w="11740" w:type="dxa"/>
          <w:tblInd w:w="108" w:type="dxa"/>
          <w:tblLook w:val="04A0"/>
        </w:tblPrEx>
        <w:trPr>
          <w:trHeight w:val="300"/>
        </w:trPr>
        <w:tc>
          <w:tcPr>
            <w:tcW w:w="3358"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838DE42" w14:textId="5E0BAE63">
            <w:pPr>
              <w:spacing w:after="0" w:line="240" w:lineRule="auto"/>
              <w:ind w:firstLine="166"/>
              <w:rPr>
                <w:rFonts w:eastAsia="Times New Roman" w:cstheme="minorHAnsi"/>
                <w:color w:val="000000"/>
                <w:sz w:val="18"/>
                <w:szCs w:val="18"/>
              </w:rPr>
            </w:pPr>
            <w:r w:rsidRPr="00004F6D">
              <w:rPr>
                <w:rFonts w:eastAsia="Times New Roman" w:cstheme="minorHAnsi"/>
                <w:color w:val="000000"/>
                <w:sz w:val="18"/>
                <w:szCs w:val="18"/>
              </w:rPr>
              <w:t>c.</w:t>
            </w:r>
            <w:r>
              <w:rPr>
                <w:rFonts w:eastAsia="Times New Roman" w:cstheme="minorHAnsi"/>
                <w:color w:val="000000"/>
                <w:sz w:val="18"/>
                <w:szCs w:val="18"/>
              </w:rPr>
              <w:t xml:space="preserve"> </w:t>
            </w:r>
            <w:r w:rsidRPr="00004F6D">
              <w:rPr>
                <w:rFonts w:eastAsia="Times New Roman" w:cstheme="minorHAnsi"/>
                <w:color w:val="000000"/>
                <w:sz w:val="18"/>
                <w:szCs w:val="18"/>
              </w:rPr>
              <w:t>Initial compliance determination</w:t>
            </w:r>
          </w:p>
        </w:tc>
        <w:tc>
          <w:tcPr>
            <w:tcW w:w="972" w:type="dxa"/>
            <w:tcBorders>
              <w:top w:val="nil"/>
              <w:left w:val="nil"/>
              <w:bottom w:val="single" w:sz="4" w:space="0" w:color="auto"/>
              <w:right w:val="single" w:sz="4" w:space="0" w:color="auto"/>
            </w:tcBorders>
            <w:shd w:val="clear" w:color="auto" w:fill="auto"/>
            <w:vAlign w:val="center"/>
            <w:hideMark/>
          </w:tcPr>
          <w:p w:rsidR="00004F6D" w:rsidRPr="00004F6D" w:rsidP="00004F6D" w14:paraId="38B37A25"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24</w:t>
            </w:r>
          </w:p>
        </w:tc>
        <w:tc>
          <w:tcPr>
            <w:tcW w:w="1073" w:type="dxa"/>
            <w:tcBorders>
              <w:top w:val="nil"/>
              <w:left w:val="nil"/>
              <w:bottom w:val="single" w:sz="4" w:space="0" w:color="auto"/>
              <w:right w:val="single" w:sz="4" w:space="0" w:color="auto"/>
            </w:tcBorders>
            <w:shd w:val="clear" w:color="auto" w:fill="auto"/>
            <w:vAlign w:val="center"/>
            <w:hideMark/>
          </w:tcPr>
          <w:p w:rsidR="00004F6D" w:rsidRPr="00004F6D" w:rsidP="00004F6D" w14:paraId="5861B422"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7485C43"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93" w:type="dxa"/>
            <w:tcBorders>
              <w:top w:val="nil"/>
              <w:left w:val="nil"/>
              <w:bottom w:val="single" w:sz="4" w:space="0" w:color="auto"/>
              <w:right w:val="single" w:sz="4" w:space="0" w:color="auto"/>
            </w:tcBorders>
            <w:shd w:val="clear" w:color="auto" w:fill="auto"/>
            <w:vAlign w:val="center"/>
            <w:hideMark/>
          </w:tcPr>
          <w:p w:rsidR="00004F6D" w:rsidRPr="00004F6D" w:rsidP="00004F6D" w14:paraId="6E083CFF"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9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D18E77D"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F759321"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C9A4854"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7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5D5BB91" w14:textId="77777777">
            <w:pPr>
              <w:spacing w:after="0" w:line="240" w:lineRule="auto"/>
              <w:jc w:val="right"/>
              <w:rPr>
                <w:rFonts w:eastAsia="Times New Roman" w:cstheme="minorHAnsi"/>
                <w:color w:val="000000"/>
                <w:sz w:val="18"/>
                <w:szCs w:val="18"/>
              </w:rPr>
            </w:pPr>
            <w:r w:rsidRPr="00004F6D">
              <w:rPr>
                <w:rFonts w:eastAsia="Times New Roman" w:cstheme="minorHAnsi"/>
                <w:color w:val="000000"/>
                <w:sz w:val="18"/>
                <w:szCs w:val="18"/>
              </w:rPr>
              <w:t>$0</w:t>
            </w:r>
          </w:p>
        </w:tc>
      </w:tr>
      <w:tr w14:paraId="09E1B179" w14:textId="77777777" w:rsidTr="00004F6D">
        <w:tblPrEx>
          <w:tblW w:w="11740" w:type="dxa"/>
          <w:tblInd w:w="108" w:type="dxa"/>
          <w:tblLook w:val="04A0"/>
        </w:tblPrEx>
        <w:trPr>
          <w:trHeight w:val="300"/>
        </w:trPr>
        <w:tc>
          <w:tcPr>
            <w:tcW w:w="3358"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7432A3E1" w14:textId="5C6AD840">
            <w:pPr>
              <w:spacing w:after="0" w:line="240" w:lineRule="auto"/>
              <w:ind w:firstLine="166"/>
              <w:rPr>
                <w:rFonts w:eastAsia="Times New Roman" w:cstheme="minorHAnsi"/>
                <w:color w:val="000000"/>
                <w:sz w:val="18"/>
                <w:szCs w:val="18"/>
              </w:rPr>
            </w:pPr>
            <w:r w:rsidRPr="00004F6D">
              <w:rPr>
                <w:rFonts w:eastAsia="Times New Roman" w:cstheme="minorHAnsi"/>
                <w:color w:val="000000"/>
                <w:sz w:val="18"/>
                <w:szCs w:val="18"/>
              </w:rPr>
              <w:t>d.</w:t>
            </w:r>
            <w:r>
              <w:rPr>
                <w:rFonts w:eastAsia="Times New Roman" w:cstheme="minorHAnsi"/>
                <w:color w:val="000000"/>
                <w:sz w:val="18"/>
                <w:szCs w:val="18"/>
              </w:rPr>
              <w:t xml:space="preserve"> </w:t>
            </w:r>
            <w:r w:rsidRPr="00004F6D">
              <w:rPr>
                <w:rFonts w:eastAsia="Times New Roman" w:cstheme="minorHAnsi"/>
                <w:color w:val="000000"/>
                <w:sz w:val="18"/>
                <w:szCs w:val="18"/>
              </w:rPr>
              <w:t>Performance test reports</w:t>
            </w:r>
          </w:p>
        </w:tc>
        <w:tc>
          <w:tcPr>
            <w:tcW w:w="972" w:type="dxa"/>
            <w:tcBorders>
              <w:top w:val="nil"/>
              <w:left w:val="nil"/>
              <w:bottom w:val="single" w:sz="4" w:space="0" w:color="auto"/>
              <w:right w:val="single" w:sz="4" w:space="0" w:color="auto"/>
            </w:tcBorders>
            <w:shd w:val="clear" w:color="auto" w:fill="auto"/>
            <w:vAlign w:val="center"/>
            <w:hideMark/>
          </w:tcPr>
          <w:p w:rsidR="00004F6D" w:rsidRPr="00004F6D" w:rsidP="00004F6D" w14:paraId="55C5D670"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24</w:t>
            </w:r>
          </w:p>
        </w:tc>
        <w:tc>
          <w:tcPr>
            <w:tcW w:w="1073" w:type="dxa"/>
            <w:tcBorders>
              <w:top w:val="nil"/>
              <w:left w:val="nil"/>
              <w:bottom w:val="single" w:sz="4" w:space="0" w:color="auto"/>
              <w:right w:val="single" w:sz="4" w:space="0" w:color="auto"/>
            </w:tcBorders>
            <w:shd w:val="clear" w:color="auto" w:fill="auto"/>
            <w:vAlign w:val="center"/>
            <w:hideMark/>
          </w:tcPr>
          <w:p w:rsidR="00004F6D" w:rsidRPr="00004F6D" w:rsidP="00004F6D" w14:paraId="21C06F84"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1</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E82D2D9"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24</w:t>
            </w:r>
          </w:p>
        </w:tc>
        <w:tc>
          <w:tcPr>
            <w:tcW w:w="1093" w:type="dxa"/>
            <w:tcBorders>
              <w:top w:val="nil"/>
              <w:left w:val="nil"/>
              <w:bottom w:val="single" w:sz="4" w:space="0" w:color="auto"/>
              <w:right w:val="single" w:sz="4" w:space="0" w:color="auto"/>
            </w:tcBorders>
            <w:shd w:val="clear" w:color="auto" w:fill="auto"/>
            <w:vAlign w:val="center"/>
            <w:hideMark/>
          </w:tcPr>
          <w:p w:rsidR="00004F6D" w:rsidRPr="00004F6D" w:rsidP="00004F6D" w14:paraId="2BDFBC01"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9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13C3EDE"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F448F95"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445252A"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0</w:t>
            </w:r>
          </w:p>
        </w:tc>
        <w:tc>
          <w:tcPr>
            <w:tcW w:w="107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BAF9486" w14:textId="77777777">
            <w:pPr>
              <w:spacing w:after="0" w:line="240" w:lineRule="auto"/>
              <w:jc w:val="right"/>
              <w:rPr>
                <w:rFonts w:eastAsia="Times New Roman" w:cstheme="minorHAnsi"/>
                <w:color w:val="000000"/>
                <w:sz w:val="18"/>
                <w:szCs w:val="18"/>
              </w:rPr>
            </w:pPr>
            <w:r w:rsidRPr="00004F6D">
              <w:rPr>
                <w:rFonts w:eastAsia="Times New Roman" w:cstheme="minorHAnsi"/>
                <w:color w:val="000000"/>
                <w:sz w:val="18"/>
                <w:szCs w:val="18"/>
              </w:rPr>
              <w:t>$0</w:t>
            </w:r>
          </w:p>
        </w:tc>
      </w:tr>
      <w:tr w14:paraId="09FC64C4" w14:textId="77777777" w:rsidTr="00004F6D">
        <w:tblPrEx>
          <w:tblW w:w="11740" w:type="dxa"/>
          <w:tblInd w:w="108" w:type="dxa"/>
          <w:tblLook w:val="04A0"/>
        </w:tblPrEx>
        <w:trPr>
          <w:trHeight w:val="300"/>
        </w:trPr>
        <w:tc>
          <w:tcPr>
            <w:tcW w:w="3358"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2622BCD" w14:textId="647DA4C5">
            <w:pPr>
              <w:spacing w:after="0" w:line="240" w:lineRule="auto"/>
              <w:ind w:firstLine="166"/>
              <w:rPr>
                <w:rFonts w:eastAsia="Times New Roman" w:cstheme="minorHAnsi"/>
                <w:color w:val="000000"/>
                <w:sz w:val="18"/>
                <w:szCs w:val="18"/>
              </w:rPr>
            </w:pPr>
            <w:r w:rsidRPr="00004F6D">
              <w:rPr>
                <w:rFonts w:eastAsia="Times New Roman" w:cstheme="minorHAnsi"/>
                <w:color w:val="000000"/>
                <w:sz w:val="18"/>
                <w:szCs w:val="18"/>
              </w:rPr>
              <w:t>e.</w:t>
            </w:r>
            <w:r>
              <w:rPr>
                <w:rFonts w:eastAsia="Times New Roman" w:cstheme="minorHAnsi"/>
                <w:color w:val="000000"/>
                <w:sz w:val="18"/>
                <w:szCs w:val="18"/>
              </w:rPr>
              <w:t xml:space="preserve"> </w:t>
            </w:r>
            <w:r w:rsidRPr="00004F6D">
              <w:rPr>
                <w:rFonts w:eastAsia="Times New Roman" w:cstheme="minorHAnsi"/>
                <w:color w:val="000000"/>
                <w:sz w:val="18"/>
                <w:szCs w:val="18"/>
              </w:rPr>
              <w:t xml:space="preserve">Semiannual report </w:t>
            </w:r>
            <w:r w:rsidRPr="00004F6D">
              <w:rPr>
                <w:rFonts w:eastAsia="Times New Roman" w:cstheme="minorHAnsi"/>
                <w:color w:val="000000"/>
                <w:sz w:val="18"/>
                <w:szCs w:val="18"/>
                <w:vertAlign w:val="superscript"/>
              </w:rPr>
              <w:t>c</w:t>
            </w:r>
          </w:p>
        </w:tc>
        <w:tc>
          <w:tcPr>
            <w:tcW w:w="972" w:type="dxa"/>
            <w:tcBorders>
              <w:top w:val="nil"/>
              <w:left w:val="nil"/>
              <w:bottom w:val="single" w:sz="4" w:space="0" w:color="auto"/>
              <w:right w:val="single" w:sz="4" w:space="0" w:color="auto"/>
            </w:tcBorders>
            <w:shd w:val="clear" w:color="auto" w:fill="auto"/>
            <w:vAlign w:val="center"/>
            <w:hideMark/>
          </w:tcPr>
          <w:p w:rsidR="00004F6D" w:rsidRPr="00004F6D" w:rsidP="00004F6D" w14:paraId="7B371DD4"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8</w:t>
            </w:r>
          </w:p>
        </w:tc>
        <w:tc>
          <w:tcPr>
            <w:tcW w:w="1073" w:type="dxa"/>
            <w:tcBorders>
              <w:top w:val="nil"/>
              <w:left w:val="nil"/>
              <w:bottom w:val="single" w:sz="4" w:space="0" w:color="auto"/>
              <w:right w:val="single" w:sz="4" w:space="0" w:color="auto"/>
            </w:tcBorders>
            <w:shd w:val="clear" w:color="auto" w:fill="auto"/>
            <w:vAlign w:val="center"/>
            <w:hideMark/>
          </w:tcPr>
          <w:p w:rsidR="00004F6D" w:rsidRPr="00004F6D" w:rsidP="00004F6D" w14:paraId="0C803D5D"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2</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EBEC944"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16</w:t>
            </w:r>
          </w:p>
        </w:tc>
        <w:tc>
          <w:tcPr>
            <w:tcW w:w="1093" w:type="dxa"/>
            <w:tcBorders>
              <w:top w:val="nil"/>
              <w:left w:val="nil"/>
              <w:bottom w:val="single" w:sz="4" w:space="0" w:color="auto"/>
              <w:right w:val="single" w:sz="4" w:space="0" w:color="auto"/>
            </w:tcBorders>
            <w:shd w:val="clear" w:color="auto" w:fill="auto"/>
            <w:vAlign w:val="center"/>
            <w:hideMark/>
          </w:tcPr>
          <w:p w:rsidR="00004F6D" w:rsidRPr="00004F6D" w:rsidP="00004F6D" w14:paraId="683BFD2F"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73</w:t>
            </w:r>
          </w:p>
        </w:tc>
        <w:tc>
          <w:tcPr>
            <w:tcW w:w="109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606CD8DA"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1,168</w:t>
            </w:r>
          </w:p>
        </w:tc>
        <w:tc>
          <w:tcPr>
            <w:tcW w:w="1134"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AC808CC"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58</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77065FA2" w14:textId="77777777">
            <w:pPr>
              <w:spacing w:after="0" w:line="240" w:lineRule="auto"/>
              <w:jc w:val="center"/>
              <w:rPr>
                <w:rFonts w:eastAsia="Times New Roman" w:cstheme="minorHAnsi"/>
                <w:color w:val="000000"/>
                <w:sz w:val="18"/>
                <w:szCs w:val="18"/>
              </w:rPr>
            </w:pPr>
            <w:r w:rsidRPr="00004F6D">
              <w:rPr>
                <w:rFonts w:eastAsia="Times New Roman" w:cstheme="minorHAnsi"/>
                <w:color w:val="000000"/>
                <w:sz w:val="18"/>
                <w:szCs w:val="18"/>
              </w:rPr>
              <w:t>117</w:t>
            </w:r>
          </w:p>
        </w:tc>
        <w:tc>
          <w:tcPr>
            <w:tcW w:w="107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4A8FCEC6" w14:textId="77777777">
            <w:pPr>
              <w:spacing w:after="0" w:line="240" w:lineRule="auto"/>
              <w:jc w:val="right"/>
              <w:rPr>
                <w:rFonts w:eastAsia="Times New Roman" w:cstheme="minorHAnsi"/>
                <w:color w:val="000000"/>
                <w:sz w:val="18"/>
                <w:szCs w:val="18"/>
              </w:rPr>
            </w:pPr>
            <w:r w:rsidRPr="00004F6D">
              <w:rPr>
                <w:rFonts w:eastAsia="Times New Roman" w:cstheme="minorHAnsi"/>
                <w:color w:val="000000"/>
                <w:sz w:val="18"/>
                <w:szCs w:val="18"/>
              </w:rPr>
              <w:t>$71,403.34</w:t>
            </w:r>
          </w:p>
        </w:tc>
      </w:tr>
      <w:tr w14:paraId="51376B0F" w14:textId="77777777" w:rsidTr="00004F6D">
        <w:tblPrEx>
          <w:tblW w:w="11740" w:type="dxa"/>
          <w:tblInd w:w="108" w:type="dxa"/>
          <w:tblLook w:val="04A0"/>
        </w:tblPrEx>
        <w:trPr>
          <w:trHeight w:val="300"/>
        </w:trPr>
        <w:tc>
          <w:tcPr>
            <w:tcW w:w="3358" w:type="dxa"/>
            <w:tcBorders>
              <w:top w:val="nil"/>
              <w:left w:val="single" w:sz="4" w:space="0" w:color="auto"/>
              <w:bottom w:val="single" w:sz="4" w:space="0" w:color="auto"/>
              <w:right w:val="single" w:sz="4" w:space="0" w:color="auto"/>
            </w:tcBorders>
            <w:shd w:val="clear" w:color="auto" w:fill="auto"/>
            <w:noWrap/>
            <w:vAlign w:val="center"/>
            <w:hideMark/>
          </w:tcPr>
          <w:p w:rsidR="00004F6D" w:rsidRPr="00004F6D" w:rsidP="00004F6D" w14:paraId="32B256B8" w14:textId="77777777">
            <w:pPr>
              <w:spacing w:after="0" w:line="240" w:lineRule="auto"/>
              <w:rPr>
                <w:rFonts w:eastAsia="Times New Roman" w:cstheme="minorHAnsi"/>
                <w:b/>
                <w:bCs/>
                <w:color w:val="000000"/>
                <w:sz w:val="18"/>
                <w:szCs w:val="18"/>
              </w:rPr>
            </w:pPr>
            <w:r w:rsidRPr="00004F6D">
              <w:rPr>
                <w:rFonts w:eastAsia="Times New Roman" w:cstheme="minorHAnsi"/>
                <w:b/>
                <w:bCs/>
                <w:color w:val="000000"/>
                <w:sz w:val="18"/>
                <w:szCs w:val="18"/>
              </w:rPr>
              <w:t xml:space="preserve">Total Annual Burden and Cost (rounded) </w:t>
            </w:r>
            <w:r w:rsidRPr="00004F6D">
              <w:rPr>
                <w:rFonts w:eastAsia="Times New Roman" w:cstheme="minorHAnsi"/>
                <w:b/>
                <w:bCs/>
                <w:color w:val="000000"/>
                <w:sz w:val="18"/>
                <w:szCs w:val="18"/>
                <w:vertAlign w:val="superscript"/>
              </w:rPr>
              <w:t>d</w:t>
            </w:r>
          </w:p>
        </w:tc>
        <w:tc>
          <w:tcPr>
            <w:tcW w:w="972" w:type="dxa"/>
            <w:tcBorders>
              <w:top w:val="nil"/>
              <w:left w:val="nil"/>
              <w:bottom w:val="single" w:sz="4" w:space="0" w:color="auto"/>
              <w:right w:val="single" w:sz="4" w:space="0" w:color="auto"/>
            </w:tcBorders>
            <w:shd w:val="clear" w:color="auto" w:fill="auto"/>
            <w:vAlign w:val="center"/>
            <w:hideMark/>
          </w:tcPr>
          <w:p w:rsidR="00004F6D" w:rsidRPr="00004F6D" w:rsidP="00004F6D" w14:paraId="7EB5AE6D"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 </w:t>
            </w:r>
          </w:p>
        </w:tc>
        <w:tc>
          <w:tcPr>
            <w:tcW w:w="1073" w:type="dxa"/>
            <w:tcBorders>
              <w:top w:val="nil"/>
              <w:left w:val="nil"/>
              <w:bottom w:val="single" w:sz="4" w:space="0" w:color="auto"/>
              <w:right w:val="single" w:sz="4" w:space="0" w:color="auto"/>
            </w:tcBorders>
            <w:shd w:val="clear" w:color="auto" w:fill="auto"/>
            <w:vAlign w:val="center"/>
            <w:hideMark/>
          </w:tcPr>
          <w:p w:rsidR="00004F6D" w:rsidRPr="00004F6D" w:rsidP="00004F6D" w14:paraId="1AF186C8"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 </w:t>
            </w:r>
          </w:p>
        </w:tc>
        <w:tc>
          <w:tcPr>
            <w:tcW w:w="972"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3ECC71CF"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 </w:t>
            </w:r>
          </w:p>
        </w:tc>
        <w:tc>
          <w:tcPr>
            <w:tcW w:w="1093" w:type="dxa"/>
            <w:tcBorders>
              <w:top w:val="nil"/>
              <w:left w:val="nil"/>
              <w:bottom w:val="single" w:sz="4" w:space="0" w:color="auto"/>
              <w:right w:val="single" w:sz="4" w:space="0" w:color="auto"/>
            </w:tcBorders>
            <w:shd w:val="clear" w:color="auto" w:fill="auto"/>
            <w:vAlign w:val="center"/>
            <w:hideMark/>
          </w:tcPr>
          <w:p w:rsidR="00004F6D" w:rsidRPr="00004F6D" w:rsidP="00004F6D" w14:paraId="4436F328"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 </w:t>
            </w:r>
          </w:p>
        </w:tc>
        <w:tc>
          <w:tcPr>
            <w:tcW w:w="3199" w:type="dxa"/>
            <w:gridSpan w:val="3"/>
            <w:tcBorders>
              <w:top w:val="single" w:sz="4" w:space="0" w:color="auto"/>
              <w:left w:val="nil"/>
              <w:bottom w:val="single" w:sz="4" w:space="0" w:color="auto"/>
              <w:right w:val="single" w:sz="4" w:space="0" w:color="auto"/>
            </w:tcBorders>
            <w:shd w:val="clear" w:color="auto" w:fill="auto"/>
            <w:noWrap/>
            <w:vAlign w:val="center"/>
            <w:hideMark/>
          </w:tcPr>
          <w:p w:rsidR="00004F6D" w:rsidRPr="00004F6D" w:rsidP="00004F6D" w14:paraId="0B1B2106" w14:textId="77777777">
            <w:pPr>
              <w:spacing w:after="0" w:line="240" w:lineRule="auto"/>
              <w:jc w:val="center"/>
              <w:rPr>
                <w:rFonts w:eastAsia="Times New Roman" w:cstheme="minorHAnsi"/>
                <w:b/>
                <w:bCs/>
                <w:color w:val="000000"/>
                <w:sz w:val="18"/>
                <w:szCs w:val="18"/>
              </w:rPr>
            </w:pPr>
            <w:r w:rsidRPr="00004F6D">
              <w:rPr>
                <w:rFonts w:eastAsia="Times New Roman" w:cstheme="minorHAnsi"/>
                <w:b/>
                <w:bCs/>
                <w:color w:val="000000"/>
                <w:sz w:val="18"/>
                <w:szCs w:val="18"/>
              </w:rPr>
              <w:t>1,340</w:t>
            </w:r>
          </w:p>
        </w:tc>
        <w:tc>
          <w:tcPr>
            <w:tcW w:w="1073" w:type="dxa"/>
            <w:tcBorders>
              <w:top w:val="nil"/>
              <w:left w:val="nil"/>
              <w:bottom w:val="single" w:sz="4" w:space="0" w:color="auto"/>
              <w:right w:val="single" w:sz="4" w:space="0" w:color="auto"/>
            </w:tcBorders>
            <w:shd w:val="clear" w:color="auto" w:fill="auto"/>
            <w:noWrap/>
            <w:vAlign w:val="center"/>
            <w:hideMark/>
          </w:tcPr>
          <w:p w:rsidR="00004F6D" w:rsidRPr="00004F6D" w:rsidP="00004F6D" w14:paraId="2ACE8E57" w14:textId="77777777">
            <w:pPr>
              <w:spacing w:after="0" w:line="240" w:lineRule="auto"/>
              <w:jc w:val="right"/>
              <w:rPr>
                <w:rFonts w:eastAsia="Times New Roman" w:cstheme="minorHAnsi"/>
                <w:b/>
                <w:bCs/>
                <w:color w:val="000000"/>
                <w:sz w:val="18"/>
                <w:szCs w:val="18"/>
              </w:rPr>
            </w:pPr>
            <w:r w:rsidRPr="00004F6D">
              <w:rPr>
                <w:rFonts w:eastAsia="Times New Roman" w:cstheme="minorHAnsi"/>
                <w:b/>
                <w:bCs/>
                <w:color w:val="000000"/>
                <w:sz w:val="18"/>
                <w:szCs w:val="18"/>
              </w:rPr>
              <w:t xml:space="preserve">$71,400 </w:t>
            </w:r>
          </w:p>
        </w:tc>
      </w:tr>
      <w:tr w14:paraId="0B24DF9F" w14:textId="77777777" w:rsidTr="00004F6D">
        <w:tblPrEx>
          <w:tblW w:w="11740" w:type="dxa"/>
          <w:tblInd w:w="108" w:type="dxa"/>
          <w:tblLook w:val="04A0"/>
        </w:tblPrEx>
        <w:trPr>
          <w:trHeight w:val="300"/>
        </w:trPr>
        <w:tc>
          <w:tcPr>
            <w:tcW w:w="3358" w:type="dxa"/>
            <w:tcBorders>
              <w:top w:val="nil"/>
              <w:left w:val="nil"/>
              <w:bottom w:val="nil"/>
              <w:right w:val="nil"/>
            </w:tcBorders>
            <w:shd w:val="clear" w:color="auto" w:fill="auto"/>
            <w:noWrap/>
            <w:vAlign w:val="bottom"/>
            <w:hideMark/>
          </w:tcPr>
          <w:p w:rsidR="00004F6D" w:rsidRPr="00004F6D" w:rsidP="00004F6D" w14:paraId="5612F4EA" w14:textId="77777777">
            <w:pPr>
              <w:spacing w:after="0" w:line="240" w:lineRule="auto"/>
              <w:jc w:val="right"/>
              <w:rPr>
                <w:rFonts w:eastAsia="Times New Roman" w:cstheme="minorHAnsi"/>
                <w:b/>
                <w:bCs/>
                <w:color w:val="000000"/>
                <w:sz w:val="18"/>
                <w:szCs w:val="18"/>
              </w:rPr>
            </w:pPr>
          </w:p>
        </w:tc>
        <w:tc>
          <w:tcPr>
            <w:tcW w:w="972" w:type="dxa"/>
            <w:tcBorders>
              <w:top w:val="nil"/>
              <w:left w:val="nil"/>
              <w:bottom w:val="nil"/>
              <w:right w:val="nil"/>
            </w:tcBorders>
            <w:shd w:val="clear" w:color="auto" w:fill="auto"/>
            <w:noWrap/>
            <w:vAlign w:val="bottom"/>
            <w:hideMark/>
          </w:tcPr>
          <w:p w:rsidR="00004F6D" w:rsidRPr="00004F6D" w:rsidP="00004F6D" w14:paraId="304AA660" w14:textId="77777777">
            <w:pPr>
              <w:spacing w:after="0" w:line="240" w:lineRule="auto"/>
              <w:rPr>
                <w:rFonts w:eastAsia="Times New Roman" w:cstheme="minorHAnsi"/>
                <w:sz w:val="20"/>
                <w:szCs w:val="20"/>
              </w:rPr>
            </w:pPr>
          </w:p>
        </w:tc>
        <w:tc>
          <w:tcPr>
            <w:tcW w:w="1073" w:type="dxa"/>
            <w:tcBorders>
              <w:top w:val="nil"/>
              <w:left w:val="nil"/>
              <w:bottom w:val="nil"/>
              <w:right w:val="nil"/>
            </w:tcBorders>
            <w:shd w:val="clear" w:color="auto" w:fill="auto"/>
            <w:noWrap/>
            <w:vAlign w:val="bottom"/>
            <w:hideMark/>
          </w:tcPr>
          <w:p w:rsidR="00004F6D" w:rsidRPr="00004F6D" w:rsidP="00004F6D" w14:paraId="3ADD83E5" w14:textId="77777777">
            <w:pPr>
              <w:spacing w:after="0" w:line="240" w:lineRule="auto"/>
              <w:rPr>
                <w:rFonts w:eastAsia="Times New Roman" w:cstheme="minorHAnsi"/>
                <w:sz w:val="20"/>
                <w:szCs w:val="20"/>
              </w:rPr>
            </w:pPr>
          </w:p>
        </w:tc>
        <w:tc>
          <w:tcPr>
            <w:tcW w:w="972" w:type="dxa"/>
            <w:tcBorders>
              <w:top w:val="nil"/>
              <w:left w:val="nil"/>
              <w:bottom w:val="nil"/>
              <w:right w:val="nil"/>
            </w:tcBorders>
            <w:shd w:val="clear" w:color="auto" w:fill="auto"/>
            <w:noWrap/>
            <w:vAlign w:val="bottom"/>
            <w:hideMark/>
          </w:tcPr>
          <w:p w:rsidR="00004F6D" w:rsidRPr="00004F6D" w:rsidP="00004F6D" w14:paraId="5F19CBEB" w14:textId="77777777">
            <w:pPr>
              <w:spacing w:after="0" w:line="240" w:lineRule="auto"/>
              <w:rPr>
                <w:rFonts w:eastAsia="Times New Roman" w:cstheme="minorHAnsi"/>
                <w:sz w:val="20"/>
                <w:szCs w:val="20"/>
              </w:rPr>
            </w:pPr>
          </w:p>
        </w:tc>
        <w:tc>
          <w:tcPr>
            <w:tcW w:w="1093" w:type="dxa"/>
            <w:tcBorders>
              <w:top w:val="nil"/>
              <w:left w:val="nil"/>
              <w:bottom w:val="nil"/>
              <w:right w:val="nil"/>
            </w:tcBorders>
            <w:shd w:val="clear" w:color="auto" w:fill="auto"/>
            <w:noWrap/>
            <w:vAlign w:val="bottom"/>
            <w:hideMark/>
          </w:tcPr>
          <w:p w:rsidR="00004F6D" w:rsidRPr="00004F6D" w:rsidP="00004F6D" w14:paraId="7BB0ED81" w14:textId="77777777">
            <w:pPr>
              <w:spacing w:after="0" w:line="240" w:lineRule="auto"/>
              <w:rPr>
                <w:rFonts w:eastAsia="Times New Roman" w:cstheme="minorHAnsi"/>
                <w:sz w:val="20"/>
                <w:szCs w:val="20"/>
              </w:rPr>
            </w:pPr>
          </w:p>
        </w:tc>
        <w:tc>
          <w:tcPr>
            <w:tcW w:w="1093" w:type="dxa"/>
            <w:tcBorders>
              <w:top w:val="nil"/>
              <w:left w:val="nil"/>
              <w:bottom w:val="nil"/>
              <w:right w:val="nil"/>
            </w:tcBorders>
            <w:shd w:val="clear" w:color="auto" w:fill="auto"/>
            <w:noWrap/>
            <w:vAlign w:val="bottom"/>
            <w:hideMark/>
          </w:tcPr>
          <w:p w:rsidR="00004F6D" w:rsidRPr="00004F6D" w:rsidP="00004F6D" w14:paraId="4D9466B9" w14:textId="77777777">
            <w:pPr>
              <w:spacing w:after="0" w:line="240" w:lineRule="auto"/>
              <w:rPr>
                <w:rFonts w:eastAsia="Times New Roman" w:cstheme="minorHAnsi"/>
                <w:sz w:val="20"/>
                <w:szCs w:val="20"/>
              </w:rPr>
            </w:pPr>
          </w:p>
        </w:tc>
        <w:tc>
          <w:tcPr>
            <w:tcW w:w="1134" w:type="dxa"/>
            <w:tcBorders>
              <w:top w:val="nil"/>
              <w:left w:val="nil"/>
              <w:bottom w:val="nil"/>
              <w:right w:val="nil"/>
            </w:tcBorders>
            <w:shd w:val="clear" w:color="auto" w:fill="auto"/>
            <w:noWrap/>
            <w:vAlign w:val="bottom"/>
            <w:hideMark/>
          </w:tcPr>
          <w:p w:rsidR="00004F6D" w:rsidRPr="00004F6D" w:rsidP="00004F6D" w14:paraId="5135A099" w14:textId="77777777">
            <w:pPr>
              <w:spacing w:after="0" w:line="240" w:lineRule="auto"/>
              <w:rPr>
                <w:rFonts w:eastAsia="Times New Roman" w:cstheme="minorHAnsi"/>
                <w:sz w:val="20"/>
                <w:szCs w:val="20"/>
              </w:rPr>
            </w:pPr>
          </w:p>
        </w:tc>
        <w:tc>
          <w:tcPr>
            <w:tcW w:w="972" w:type="dxa"/>
            <w:tcBorders>
              <w:top w:val="nil"/>
              <w:left w:val="nil"/>
              <w:bottom w:val="nil"/>
              <w:right w:val="nil"/>
            </w:tcBorders>
            <w:shd w:val="clear" w:color="auto" w:fill="auto"/>
            <w:noWrap/>
            <w:vAlign w:val="bottom"/>
            <w:hideMark/>
          </w:tcPr>
          <w:p w:rsidR="00004F6D" w:rsidRPr="00004F6D" w:rsidP="00004F6D" w14:paraId="115EDBCF" w14:textId="77777777">
            <w:pPr>
              <w:spacing w:after="0" w:line="240" w:lineRule="auto"/>
              <w:rPr>
                <w:rFonts w:eastAsia="Times New Roman" w:cstheme="minorHAnsi"/>
                <w:sz w:val="20"/>
                <w:szCs w:val="20"/>
              </w:rPr>
            </w:pPr>
          </w:p>
        </w:tc>
        <w:tc>
          <w:tcPr>
            <w:tcW w:w="1073" w:type="dxa"/>
            <w:tcBorders>
              <w:top w:val="nil"/>
              <w:left w:val="nil"/>
              <w:bottom w:val="nil"/>
              <w:right w:val="nil"/>
            </w:tcBorders>
            <w:shd w:val="clear" w:color="auto" w:fill="auto"/>
            <w:noWrap/>
            <w:vAlign w:val="bottom"/>
            <w:hideMark/>
          </w:tcPr>
          <w:p w:rsidR="00004F6D" w:rsidRPr="00004F6D" w:rsidP="00004F6D" w14:paraId="7F235FF3" w14:textId="77777777">
            <w:pPr>
              <w:spacing w:after="0" w:line="240" w:lineRule="auto"/>
              <w:rPr>
                <w:rFonts w:eastAsia="Times New Roman" w:cstheme="minorHAnsi"/>
                <w:sz w:val="20"/>
                <w:szCs w:val="20"/>
              </w:rPr>
            </w:pPr>
          </w:p>
        </w:tc>
      </w:tr>
      <w:tr w14:paraId="5DD8BA19" w14:textId="77777777" w:rsidTr="00004F6D">
        <w:tblPrEx>
          <w:tblW w:w="11740" w:type="dxa"/>
          <w:tblInd w:w="108" w:type="dxa"/>
          <w:tblLook w:val="04A0"/>
        </w:tblPrEx>
        <w:trPr>
          <w:trHeight w:val="300"/>
        </w:trPr>
        <w:tc>
          <w:tcPr>
            <w:tcW w:w="3358" w:type="dxa"/>
            <w:tcBorders>
              <w:top w:val="nil"/>
              <w:left w:val="nil"/>
              <w:bottom w:val="nil"/>
              <w:right w:val="nil"/>
            </w:tcBorders>
            <w:shd w:val="clear" w:color="auto" w:fill="auto"/>
            <w:noWrap/>
            <w:vAlign w:val="center"/>
            <w:hideMark/>
          </w:tcPr>
          <w:p w:rsidR="00004F6D" w:rsidRPr="00004F6D" w:rsidP="00004F6D" w14:paraId="20A3916F" w14:textId="77777777">
            <w:pPr>
              <w:spacing w:after="0" w:line="240" w:lineRule="auto"/>
              <w:rPr>
                <w:rFonts w:eastAsia="Times New Roman" w:cstheme="minorHAnsi"/>
                <w:b/>
                <w:bCs/>
                <w:color w:val="000000"/>
                <w:sz w:val="18"/>
                <w:szCs w:val="18"/>
                <w:u w:val="single"/>
              </w:rPr>
            </w:pPr>
            <w:r w:rsidRPr="00004F6D">
              <w:rPr>
                <w:rFonts w:eastAsia="Times New Roman" w:cstheme="minorHAnsi"/>
                <w:b/>
                <w:bCs/>
                <w:color w:val="000000"/>
                <w:sz w:val="18"/>
                <w:szCs w:val="18"/>
                <w:u w:val="single"/>
              </w:rPr>
              <w:t>Assumptions:</w:t>
            </w:r>
          </w:p>
        </w:tc>
        <w:tc>
          <w:tcPr>
            <w:tcW w:w="972" w:type="dxa"/>
            <w:tcBorders>
              <w:top w:val="nil"/>
              <w:left w:val="nil"/>
              <w:bottom w:val="nil"/>
              <w:right w:val="nil"/>
            </w:tcBorders>
            <w:shd w:val="clear" w:color="auto" w:fill="auto"/>
            <w:noWrap/>
            <w:vAlign w:val="bottom"/>
            <w:hideMark/>
          </w:tcPr>
          <w:p w:rsidR="00004F6D" w:rsidRPr="00004F6D" w:rsidP="00004F6D" w14:paraId="3E0F0B6B" w14:textId="77777777">
            <w:pPr>
              <w:spacing w:after="0" w:line="240" w:lineRule="auto"/>
              <w:rPr>
                <w:rFonts w:eastAsia="Times New Roman" w:cstheme="minorHAnsi"/>
                <w:b/>
                <w:bCs/>
                <w:color w:val="000000"/>
                <w:sz w:val="18"/>
                <w:szCs w:val="18"/>
                <w:u w:val="single"/>
              </w:rPr>
            </w:pPr>
          </w:p>
        </w:tc>
        <w:tc>
          <w:tcPr>
            <w:tcW w:w="1073" w:type="dxa"/>
            <w:tcBorders>
              <w:top w:val="nil"/>
              <w:left w:val="nil"/>
              <w:bottom w:val="nil"/>
              <w:right w:val="nil"/>
            </w:tcBorders>
            <w:shd w:val="clear" w:color="auto" w:fill="auto"/>
            <w:noWrap/>
            <w:vAlign w:val="bottom"/>
            <w:hideMark/>
          </w:tcPr>
          <w:p w:rsidR="00004F6D" w:rsidRPr="00004F6D" w:rsidP="00004F6D" w14:paraId="6235D545" w14:textId="77777777">
            <w:pPr>
              <w:spacing w:after="0" w:line="240" w:lineRule="auto"/>
              <w:rPr>
                <w:rFonts w:eastAsia="Times New Roman" w:cstheme="minorHAnsi"/>
                <w:sz w:val="20"/>
                <w:szCs w:val="20"/>
              </w:rPr>
            </w:pPr>
          </w:p>
        </w:tc>
        <w:tc>
          <w:tcPr>
            <w:tcW w:w="972" w:type="dxa"/>
            <w:tcBorders>
              <w:top w:val="nil"/>
              <w:left w:val="nil"/>
              <w:bottom w:val="nil"/>
              <w:right w:val="nil"/>
            </w:tcBorders>
            <w:shd w:val="clear" w:color="auto" w:fill="auto"/>
            <w:noWrap/>
            <w:vAlign w:val="bottom"/>
            <w:hideMark/>
          </w:tcPr>
          <w:p w:rsidR="00004F6D" w:rsidRPr="00004F6D" w:rsidP="00004F6D" w14:paraId="4643AA42" w14:textId="77777777">
            <w:pPr>
              <w:spacing w:after="0" w:line="240" w:lineRule="auto"/>
              <w:rPr>
                <w:rFonts w:eastAsia="Times New Roman" w:cstheme="minorHAnsi"/>
                <w:sz w:val="20"/>
                <w:szCs w:val="20"/>
              </w:rPr>
            </w:pPr>
          </w:p>
        </w:tc>
        <w:tc>
          <w:tcPr>
            <w:tcW w:w="1093" w:type="dxa"/>
            <w:tcBorders>
              <w:top w:val="nil"/>
              <w:left w:val="nil"/>
              <w:bottom w:val="nil"/>
              <w:right w:val="nil"/>
            </w:tcBorders>
            <w:shd w:val="clear" w:color="auto" w:fill="auto"/>
            <w:noWrap/>
            <w:vAlign w:val="bottom"/>
            <w:hideMark/>
          </w:tcPr>
          <w:p w:rsidR="00004F6D" w:rsidRPr="00004F6D" w:rsidP="00004F6D" w14:paraId="2CE778EC" w14:textId="77777777">
            <w:pPr>
              <w:spacing w:after="0" w:line="240" w:lineRule="auto"/>
              <w:rPr>
                <w:rFonts w:eastAsia="Times New Roman" w:cstheme="minorHAnsi"/>
                <w:sz w:val="20"/>
                <w:szCs w:val="20"/>
              </w:rPr>
            </w:pPr>
          </w:p>
        </w:tc>
        <w:tc>
          <w:tcPr>
            <w:tcW w:w="1093" w:type="dxa"/>
            <w:tcBorders>
              <w:top w:val="nil"/>
              <w:left w:val="nil"/>
              <w:bottom w:val="nil"/>
              <w:right w:val="nil"/>
            </w:tcBorders>
            <w:shd w:val="clear" w:color="auto" w:fill="auto"/>
            <w:noWrap/>
            <w:vAlign w:val="bottom"/>
            <w:hideMark/>
          </w:tcPr>
          <w:p w:rsidR="00004F6D" w:rsidRPr="00004F6D" w:rsidP="00004F6D" w14:paraId="4716D27F" w14:textId="77777777">
            <w:pPr>
              <w:spacing w:after="0" w:line="240" w:lineRule="auto"/>
              <w:rPr>
                <w:rFonts w:eastAsia="Times New Roman" w:cstheme="minorHAnsi"/>
                <w:sz w:val="20"/>
                <w:szCs w:val="20"/>
              </w:rPr>
            </w:pPr>
          </w:p>
        </w:tc>
        <w:tc>
          <w:tcPr>
            <w:tcW w:w="1134" w:type="dxa"/>
            <w:tcBorders>
              <w:top w:val="nil"/>
              <w:left w:val="nil"/>
              <w:bottom w:val="nil"/>
              <w:right w:val="nil"/>
            </w:tcBorders>
            <w:shd w:val="clear" w:color="auto" w:fill="auto"/>
            <w:noWrap/>
            <w:vAlign w:val="bottom"/>
            <w:hideMark/>
          </w:tcPr>
          <w:p w:rsidR="00004F6D" w:rsidRPr="00004F6D" w:rsidP="00004F6D" w14:paraId="51962708" w14:textId="77777777">
            <w:pPr>
              <w:spacing w:after="0" w:line="240" w:lineRule="auto"/>
              <w:rPr>
                <w:rFonts w:eastAsia="Times New Roman" w:cstheme="minorHAnsi"/>
                <w:sz w:val="20"/>
                <w:szCs w:val="20"/>
              </w:rPr>
            </w:pPr>
          </w:p>
        </w:tc>
        <w:tc>
          <w:tcPr>
            <w:tcW w:w="972" w:type="dxa"/>
            <w:tcBorders>
              <w:top w:val="nil"/>
              <w:left w:val="nil"/>
              <w:bottom w:val="nil"/>
              <w:right w:val="nil"/>
            </w:tcBorders>
            <w:shd w:val="clear" w:color="auto" w:fill="auto"/>
            <w:noWrap/>
            <w:vAlign w:val="bottom"/>
            <w:hideMark/>
          </w:tcPr>
          <w:p w:rsidR="00004F6D" w:rsidRPr="00004F6D" w:rsidP="00004F6D" w14:paraId="08643008" w14:textId="77777777">
            <w:pPr>
              <w:spacing w:after="0" w:line="240" w:lineRule="auto"/>
              <w:rPr>
                <w:rFonts w:eastAsia="Times New Roman" w:cstheme="minorHAnsi"/>
                <w:sz w:val="20"/>
                <w:szCs w:val="20"/>
              </w:rPr>
            </w:pPr>
          </w:p>
        </w:tc>
        <w:tc>
          <w:tcPr>
            <w:tcW w:w="1073" w:type="dxa"/>
            <w:tcBorders>
              <w:top w:val="nil"/>
              <w:left w:val="nil"/>
              <w:bottom w:val="nil"/>
              <w:right w:val="nil"/>
            </w:tcBorders>
            <w:shd w:val="clear" w:color="auto" w:fill="auto"/>
            <w:noWrap/>
            <w:vAlign w:val="bottom"/>
            <w:hideMark/>
          </w:tcPr>
          <w:p w:rsidR="00004F6D" w:rsidRPr="00004F6D" w:rsidP="00004F6D" w14:paraId="06935962" w14:textId="77777777">
            <w:pPr>
              <w:spacing w:after="0" w:line="240" w:lineRule="auto"/>
              <w:rPr>
                <w:rFonts w:eastAsia="Times New Roman" w:cstheme="minorHAnsi"/>
                <w:sz w:val="20"/>
                <w:szCs w:val="20"/>
              </w:rPr>
            </w:pPr>
          </w:p>
        </w:tc>
      </w:tr>
      <w:tr w14:paraId="613D03A0" w14:textId="77777777" w:rsidTr="00004F6D">
        <w:tblPrEx>
          <w:tblW w:w="11740" w:type="dxa"/>
          <w:tblInd w:w="108" w:type="dxa"/>
          <w:tblLook w:val="04A0"/>
        </w:tblPrEx>
        <w:trPr>
          <w:trHeight w:val="1245"/>
        </w:trPr>
        <w:tc>
          <w:tcPr>
            <w:tcW w:w="11740" w:type="dxa"/>
            <w:gridSpan w:val="9"/>
            <w:tcBorders>
              <w:top w:val="nil"/>
              <w:left w:val="nil"/>
              <w:bottom w:val="nil"/>
              <w:right w:val="nil"/>
            </w:tcBorders>
            <w:shd w:val="clear" w:color="auto" w:fill="auto"/>
            <w:hideMark/>
          </w:tcPr>
          <w:p w:rsidR="00004F6D" w:rsidRPr="00004F6D" w:rsidP="00004F6D" w14:paraId="5E684572" w14:textId="4923A524">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a</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assume that there are approximately 62 respondents, with no additional new sources becoming subject to the rule over the three-year period of this ICR. 32 of the 62 respondents have only recordkeeping requirements and are exempt from reporting requirements under §63.7881(c). 30 respondents have control, monitoring, reporting, and recordkeeping requirements under the rule. Of these 30 respondents, 29 are from the private sector and one is from the Federal government.</w:t>
            </w:r>
          </w:p>
        </w:tc>
      </w:tr>
      <w:tr w14:paraId="0FC959FE" w14:textId="77777777" w:rsidTr="00004F6D">
        <w:tblPrEx>
          <w:tblW w:w="11740" w:type="dxa"/>
          <w:tblInd w:w="108" w:type="dxa"/>
          <w:tblLook w:val="04A0"/>
        </w:tblPrEx>
        <w:trPr>
          <w:trHeight w:val="945"/>
        </w:trPr>
        <w:tc>
          <w:tcPr>
            <w:tcW w:w="11740" w:type="dxa"/>
            <w:gridSpan w:val="9"/>
            <w:tcBorders>
              <w:top w:val="nil"/>
              <w:left w:val="nil"/>
              <w:bottom w:val="nil"/>
              <w:right w:val="nil"/>
            </w:tcBorders>
            <w:shd w:val="clear" w:color="auto" w:fill="auto"/>
            <w:hideMark/>
          </w:tcPr>
          <w:p w:rsidR="00004F6D" w:rsidRPr="00004F6D" w:rsidP="00004F6D" w14:paraId="7CC0E976" w14:textId="48ECBEA5">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b</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This ICR uses the following labor rates:</w:t>
            </w:r>
            <w:r>
              <w:rPr>
                <w:rFonts w:eastAsia="Times New Roman" w:cstheme="minorHAnsi"/>
                <w:color w:val="000000"/>
                <w:sz w:val="20"/>
                <w:szCs w:val="20"/>
              </w:rPr>
              <w:t xml:space="preserve"> </w:t>
            </w:r>
            <w:r w:rsidRPr="00004F6D">
              <w:rPr>
                <w:rFonts w:eastAsia="Times New Roman" w:cstheme="minorHAnsi"/>
                <w:color w:val="000000"/>
                <w:sz w:val="20"/>
                <w:szCs w:val="20"/>
              </w:rPr>
              <w:t>$73.46 for managerial, $54.51 for technical,</w:t>
            </w:r>
            <w:r>
              <w:rPr>
                <w:rFonts w:eastAsia="Times New Roman" w:cstheme="minorHAnsi"/>
                <w:color w:val="000000"/>
                <w:sz w:val="20"/>
                <w:szCs w:val="20"/>
              </w:rPr>
              <w:t xml:space="preserve"> </w:t>
            </w:r>
            <w:r w:rsidRPr="00004F6D">
              <w:rPr>
                <w:rFonts w:eastAsia="Times New Roman" w:cstheme="minorHAnsi"/>
                <w:color w:val="000000"/>
                <w:sz w:val="20"/>
                <w:szCs w:val="20"/>
              </w:rPr>
              <w:t>and $29.50 for clerical labor.</w:t>
            </w:r>
            <w:r>
              <w:rPr>
                <w:rFonts w:eastAsia="Times New Roman" w:cstheme="minorHAnsi"/>
                <w:color w:val="000000"/>
                <w:sz w:val="20"/>
                <w:szCs w:val="20"/>
              </w:rPr>
              <w:t xml:space="preserve"> </w:t>
            </w:r>
            <w:r w:rsidRPr="00004F6D">
              <w:rPr>
                <w:rFonts w:eastAsia="Times New Roman" w:cstheme="minorHAnsi"/>
                <w:color w:val="000000"/>
                <w:sz w:val="20"/>
                <w:szCs w:val="20"/>
              </w:rPr>
              <w:t>These rates are from the Office of Personnel Management (OPM), 2023 General Schedule, which excludes locality rates of pay.</w:t>
            </w:r>
            <w:r>
              <w:rPr>
                <w:rFonts w:eastAsia="Times New Roman" w:cstheme="minorHAnsi"/>
                <w:color w:val="000000"/>
                <w:sz w:val="20"/>
                <w:szCs w:val="20"/>
              </w:rPr>
              <w:t xml:space="preserve"> </w:t>
            </w:r>
            <w:r w:rsidRPr="00004F6D">
              <w:rPr>
                <w:rFonts w:eastAsia="Times New Roman" w:cstheme="minorHAnsi"/>
                <w:color w:val="000000"/>
                <w:sz w:val="20"/>
                <w:szCs w:val="20"/>
              </w:rPr>
              <w:t>The rates have been increased by 60 percent to account for the benefit packages available to government employees.</w:t>
            </w:r>
          </w:p>
        </w:tc>
      </w:tr>
      <w:tr w14:paraId="7927461B" w14:textId="77777777" w:rsidTr="00004F6D">
        <w:tblPrEx>
          <w:tblW w:w="11740" w:type="dxa"/>
          <w:tblInd w:w="108" w:type="dxa"/>
          <w:tblLook w:val="04A0"/>
        </w:tblPrEx>
        <w:trPr>
          <w:trHeight w:val="315"/>
        </w:trPr>
        <w:tc>
          <w:tcPr>
            <w:tcW w:w="11740" w:type="dxa"/>
            <w:gridSpan w:val="9"/>
            <w:tcBorders>
              <w:top w:val="nil"/>
              <w:left w:val="nil"/>
              <w:bottom w:val="nil"/>
              <w:right w:val="nil"/>
            </w:tcBorders>
            <w:shd w:val="clear" w:color="auto" w:fill="auto"/>
            <w:hideMark/>
          </w:tcPr>
          <w:p w:rsidR="00004F6D" w:rsidRPr="00004F6D" w:rsidP="00004F6D" w14:paraId="3A8E1E25" w14:textId="36ABFDCC">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c</w:t>
            </w:r>
            <w:r>
              <w:rPr>
                <w:rFonts w:eastAsia="Times New Roman" w:cstheme="minorHAnsi"/>
                <w:color w:val="000000"/>
                <w:sz w:val="20"/>
                <w:szCs w:val="20"/>
                <w:vertAlign w:val="superscript"/>
              </w:rPr>
              <w:t xml:space="preserve"> </w:t>
            </w:r>
            <w:r w:rsidRPr="00004F6D">
              <w:rPr>
                <w:rFonts w:eastAsia="Times New Roman" w:cstheme="minorHAnsi"/>
                <w:color w:val="000000"/>
                <w:sz w:val="20"/>
                <w:szCs w:val="20"/>
              </w:rPr>
              <w:t>We have assumed that it will take eight hours twice per year to review each respondent's semiannual report.</w:t>
            </w:r>
          </w:p>
        </w:tc>
      </w:tr>
      <w:tr w14:paraId="52004606" w14:textId="77777777" w:rsidTr="00004F6D">
        <w:tblPrEx>
          <w:tblW w:w="11740" w:type="dxa"/>
          <w:tblInd w:w="108" w:type="dxa"/>
          <w:tblLook w:val="04A0"/>
        </w:tblPrEx>
        <w:trPr>
          <w:trHeight w:val="300"/>
        </w:trPr>
        <w:tc>
          <w:tcPr>
            <w:tcW w:w="11740" w:type="dxa"/>
            <w:gridSpan w:val="9"/>
            <w:tcBorders>
              <w:top w:val="nil"/>
              <w:left w:val="nil"/>
              <w:bottom w:val="nil"/>
              <w:right w:val="nil"/>
            </w:tcBorders>
            <w:shd w:val="clear" w:color="auto" w:fill="auto"/>
            <w:hideMark/>
          </w:tcPr>
          <w:p w:rsidR="00004F6D" w:rsidRPr="00004F6D" w:rsidP="00004F6D" w14:paraId="72B983C0" w14:textId="77777777">
            <w:pPr>
              <w:spacing w:after="0" w:line="240" w:lineRule="auto"/>
              <w:rPr>
                <w:rFonts w:eastAsia="Times New Roman" w:cstheme="minorHAnsi"/>
                <w:color w:val="000000"/>
                <w:sz w:val="20"/>
                <w:szCs w:val="20"/>
              </w:rPr>
            </w:pPr>
            <w:r w:rsidRPr="00004F6D">
              <w:rPr>
                <w:rFonts w:eastAsia="Times New Roman" w:cstheme="minorHAnsi"/>
                <w:color w:val="000000"/>
                <w:sz w:val="20"/>
                <w:szCs w:val="20"/>
                <w:vertAlign w:val="superscript"/>
              </w:rPr>
              <w:t>d</w:t>
            </w:r>
            <w:r w:rsidRPr="00004F6D">
              <w:rPr>
                <w:rFonts w:eastAsia="Times New Roman" w:cstheme="minorHAnsi"/>
                <w:color w:val="000000"/>
                <w:sz w:val="20"/>
                <w:szCs w:val="20"/>
              </w:rPr>
              <w:t xml:space="preserve"> Totals have been rounded to 3 significant figures. Figures may not add exactly due to rounding.</w:t>
            </w:r>
          </w:p>
        </w:tc>
      </w:tr>
    </w:tbl>
    <w:p w:rsidR="00004F6D" w:rsidP="00BB3410" w14:paraId="59C2847B" w14:textId="782D0FAE">
      <w:pPr>
        <w:pStyle w:val="ListParagraph"/>
        <w:spacing w:before="240"/>
        <w:ind w:left="0"/>
        <w:rPr>
          <w:rFonts w:cstheme="minorHAnsi"/>
          <w:sz w:val="24"/>
          <w:szCs w:val="24"/>
        </w:rPr>
      </w:pPr>
    </w:p>
    <w:p w:rsidR="00004F6D" w14:paraId="73BF7A6C" w14:textId="77777777">
      <w:pPr>
        <w:rPr>
          <w:rFonts w:cstheme="minorHAnsi"/>
          <w:sz w:val="24"/>
          <w:szCs w:val="24"/>
        </w:rPr>
      </w:pPr>
      <w:r>
        <w:rPr>
          <w:rFonts w:cstheme="minorHAnsi"/>
          <w:sz w:val="24"/>
          <w:szCs w:val="24"/>
        </w:rPr>
        <w:br w:type="page"/>
      </w:r>
    </w:p>
    <w:tbl>
      <w:tblPr>
        <w:tblW w:w="11559" w:type="dxa"/>
        <w:tblInd w:w="113" w:type="dxa"/>
        <w:tblLook w:val="04A0"/>
      </w:tblPr>
      <w:tblGrid>
        <w:gridCol w:w="960"/>
        <w:gridCol w:w="340"/>
        <w:gridCol w:w="1457"/>
        <w:gridCol w:w="445"/>
        <w:gridCol w:w="195"/>
        <w:gridCol w:w="660"/>
        <w:gridCol w:w="693"/>
        <w:gridCol w:w="416"/>
        <w:gridCol w:w="349"/>
        <w:gridCol w:w="1300"/>
        <w:gridCol w:w="115"/>
        <w:gridCol w:w="437"/>
        <w:gridCol w:w="748"/>
        <w:gridCol w:w="705"/>
        <w:gridCol w:w="595"/>
        <w:gridCol w:w="279"/>
        <w:gridCol w:w="1903"/>
      </w:tblGrid>
      <w:tr w14:paraId="701E2C71" w14:textId="77777777" w:rsidTr="00004F6D">
        <w:tblPrEx>
          <w:tblW w:w="11559" w:type="dxa"/>
          <w:tblInd w:w="113" w:type="dxa"/>
          <w:tblLook w:val="04A0"/>
        </w:tblPrEx>
        <w:trPr>
          <w:trHeight w:val="315"/>
        </w:trPr>
        <w:tc>
          <w:tcPr>
            <w:tcW w:w="11559" w:type="dxa"/>
            <w:gridSpan w:val="1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4F6D" w:rsidRPr="00004F6D" w:rsidP="00004F6D" w14:paraId="4E460AEE" w14:textId="77777777">
            <w:pPr>
              <w:spacing w:after="0" w:line="240" w:lineRule="auto"/>
              <w:jc w:val="center"/>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Number of Respondents</w:t>
            </w:r>
          </w:p>
        </w:tc>
      </w:tr>
      <w:tr w14:paraId="60C0786A" w14:textId="77777777" w:rsidTr="00004F6D">
        <w:tblPrEx>
          <w:tblW w:w="11559" w:type="dxa"/>
          <w:tblInd w:w="113" w:type="dxa"/>
          <w:tblLook w:val="04A0"/>
        </w:tblPrEx>
        <w:trPr>
          <w:trHeight w:val="315"/>
        </w:trPr>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004F6D" w:rsidRPr="00004F6D" w:rsidP="00004F6D" w14:paraId="509BDF0A"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Year </w:t>
            </w:r>
          </w:p>
        </w:tc>
        <w:tc>
          <w:tcPr>
            <w:tcW w:w="2380" w:type="dxa"/>
            <w:gridSpan w:val="4"/>
            <w:tcBorders>
              <w:top w:val="nil"/>
              <w:left w:val="nil"/>
              <w:bottom w:val="nil"/>
              <w:right w:val="single" w:sz="4" w:space="0" w:color="auto"/>
            </w:tcBorders>
            <w:shd w:val="clear" w:color="auto" w:fill="auto"/>
            <w:vAlign w:val="center"/>
            <w:hideMark/>
          </w:tcPr>
          <w:p w:rsidR="00004F6D" w:rsidRPr="00004F6D" w:rsidP="00004F6D" w14:paraId="06C8635E"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(A) </w:t>
            </w:r>
          </w:p>
        </w:tc>
        <w:tc>
          <w:tcPr>
            <w:tcW w:w="1740" w:type="dxa"/>
            <w:gridSpan w:val="3"/>
            <w:tcBorders>
              <w:top w:val="nil"/>
              <w:left w:val="nil"/>
              <w:bottom w:val="nil"/>
              <w:right w:val="single" w:sz="4" w:space="0" w:color="auto"/>
            </w:tcBorders>
            <w:shd w:val="clear" w:color="auto" w:fill="auto"/>
            <w:vAlign w:val="center"/>
            <w:hideMark/>
          </w:tcPr>
          <w:p w:rsidR="00004F6D" w:rsidRPr="00004F6D" w:rsidP="00004F6D" w14:paraId="5098D3BB"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(B) </w:t>
            </w:r>
          </w:p>
        </w:tc>
        <w:tc>
          <w:tcPr>
            <w:tcW w:w="2192" w:type="dxa"/>
            <w:gridSpan w:val="4"/>
            <w:tcBorders>
              <w:top w:val="nil"/>
              <w:left w:val="nil"/>
              <w:bottom w:val="nil"/>
              <w:right w:val="single" w:sz="4" w:space="0" w:color="auto"/>
            </w:tcBorders>
            <w:shd w:val="clear" w:color="auto" w:fill="auto"/>
            <w:vAlign w:val="center"/>
            <w:hideMark/>
          </w:tcPr>
          <w:p w:rsidR="00004F6D" w:rsidRPr="00004F6D" w:rsidP="00004F6D" w14:paraId="11FF8AD2"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(C) </w:t>
            </w:r>
          </w:p>
        </w:tc>
        <w:tc>
          <w:tcPr>
            <w:tcW w:w="2327" w:type="dxa"/>
            <w:gridSpan w:val="4"/>
            <w:tcBorders>
              <w:top w:val="nil"/>
              <w:left w:val="nil"/>
              <w:bottom w:val="nil"/>
              <w:right w:val="single" w:sz="4" w:space="0" w:color="auto"/>
            </w:tcBorders>
            <w:shd w:val="clear" w:color="auto" w:fill="auto"/>
            <w:vAlign w:val="center"/>
            <w:hideMark/>
          </w:tcPr>
          <w:p w:rsidR="00004F6D" w:rsidRPr="00004F6D" w:rsidP="00004F6D" w14:paraId="137D649F"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(D) </w:t>
            </w:r>
          </w:p>
        </w:tc>
        <w:tc>
          <w:tcPr>
            <w:tcW w:w="1960" w:type="dxa"/>
            <w:tcBorders>
              <w:top w:val="nil"/>
              <w:left w:val="nil"/>
              <w:bottom w:val="nil"/>
              <w:right w:val="single" w:sz="4" w:space="0" w:color="auto"/>
            </w:tcBorders>
            <w:shd w:val="clear" w:color="auto" w:fill="auto"/>
            <w:vAlign w:val="center"/>
            <w:hideMark/>
          </w:tcPr>
          <w:p w:rsidR="00004F6D" w:rsidRPr="00004F6D" w:rsidP="00004F6D" w14:paraId="4C89E26E"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(E) </w:t>
            </w:r>
          </w:p>
        </w:tc>
      </w:tr>
      <w:tr w14:paraId="1FC44A62" w14:textId="77777777" w:rsidTr="00004F6D">
        <w:tblPrEx>
          <w:tblW w:w="11559" w:type="dxa"/>
          <w:tblInd w:w="113" w:type="dxa"/>
          <w:tblLook w:val="04A0"/>
        </w:tblPrEx>
        <w:trPr>
          <w:trHeight w:val="1260"/>
        </w:trPr>
        <w:tc>
          <w:tcPr>
            <w:tcW w:w="960" w:type="dxa"/>
            <w:vMerge/>
            <w:tcBorders>
              <w:top w:val="nil"/>
              <w:left w:val="single" w:sz="4" w:space="0" w:color="auto"/>
              <w:bottom w:val="single" w:sz="4" w:space="0" w:color="000000"/>
              <w:right w:val="single" w:sz="4" w:space="0" w:color="auto"/>
            </w:tcBorders>
            <w:vAlign w:val="center"/>
            <w:hideMark/>
          </w:tcPr>
          <w:p w:rsidR="00004F6D" w:rsidRPr="00004F6D" w:rsidP="00004F6D" w14:paraId="52D86E45" w14:textId="77777777">
            <w:pPr>
              <w:spacing w:after="0" w:line="240" w:lineRule="auto"/>
              <w:rPr>
                <w:rFonts w:ascii="Calibri" w:eastAsia="Times New Roman" w:hAnsi="Calibri" w:cs="Calibri"/>
                <w:color w:val="000000"/>
                <w:sz w:val="20"/>
                <w:szCs w:val="20"/>
              </w:rPr>
            </w:pPr>
          </w:p>
        </w:tc>
        <w:tc>
          <w:tcPr>
            <w:tcW w:w="238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540B3F42"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Number of New Respondents</w:t>
            </w:r>
          </w:p>
        </w:tc>
        <w:tc>
          <w:tcPr>
            <w:tcW w:w="174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4E8699EC"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Number of Existing Respondents </w:t>
            </w:r>
          </w:p>
        </w:tc>
        <w:tc>
          <w:tcPr>
            <w:tcW w:w="2192"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1CCBCF80"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Number of Existing Respondents that Keep Records but Do Not Submit Reports </w:t>
            </w:r>
          </w:p>
        </w:tc>
        <w:tc>
          <w:tcPr>
            <w:tcW w:w="2327"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51E41008"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Number of New Respondents that Will Keep Records but Not Submit Reports </w:t>
            </w:r>
          </w:p>
        </w:tc>
        <w:tc>
          <w:tcPr>
            <w:tcW w:w="1960" w:type="dxa"/>
            <w:tcBorders>
              <w:top w:val="nil"/>
              <w:left w:val="nil"/>
              <w:bottom w:val="single" w:sz="4" w:space="0" w:color="auto"/>
              <w:right w:val="single" w:sz="4" w:space="0" w:color="auto"/>
            </w:tcBorders>
            <w:shd w:val="clear" w:color="auto" w:fill="auto"/>
            <w:vAlign w:val="center"/>
            <w:hideMark/>
          </w:tcPr>
          <w:p w:rsidR="00004F6D" w:rsidRPr="00004F6D" w:rsidP="00004F6D" w14:paraId="3547D507"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Number of Respondents (E=A+B+C-D) </w:t>
            </w:r>
            <w:r w:rsidRPr="00004F6D">
              <w:rPr>
                <w:rFonts w:ascii="Calibri" w:eastAsia="Times New Roman" w:hAnsi="Calibri" w:cs="Calibri"/>
                <w:color w:val="000000"/>
                <w:sz w:val="20"/>
                <w:szCs w:val="20"/>
                <w:vertAlign w:val="superscript"/>
              </w:rPr>
              <w:t>1</w:t>
            </w:r>
          </w:p>
        </w:tc>
      </w:tr>
      <w:tr w14:paraId="24844B5F" w14:textId="77777777" w:rsidTr="00004F6D">
        <w:tblPrEx>
          <w:tblW w:w="11559" w:type="dxa"/>
          <w:tblInd w:w="113" w:type="dxa"/>
          <w:tblLook w:val="04A0"/>
        </w:tblPrEx>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4866471A"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1</w:t>
            </w:r>
          </w:p>
        </w:tc>
        <w:tc>
          <w:tcPr>
            <w:tcW w:w="238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16C27E73"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74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E79B8A0"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73</w:t>
            </w:r>
          </w:p>
        </w:tc>
        <w:tc>
          <w:tcPr>
            <w:tcW w:w="2192"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5EACAA77"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31</w:t>
            </w:r>
          </w:p>
        </w:tc>
        <w:tc>
          <w:tcPr>
            <w:tcW w:w="2327"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211476FE"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004F6D" w:rsidRPr="00004F6D" w:rsidP="00004F6D" w14:paraId="2925A6FF"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104</w:t>
            </w:r>
          </w:p>
        </w:tc>
      </w:tr>
      <w:tr w14:paraId="28DA8259" w14:textId="77777777" w:rsidTr="00004F6D">
        <w:tblPrEx>
          <w:tblW w:w="11559" w:type="dxa"/>
          <w:tblInd w:w="113" w:type="dxa"/>
          <w:tblLook w:val="04A0"/>
        </w:tblPrEx>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024C40F9"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2</w:t>
            </w:r>
          </w:p>
        </w:tc>
        <w:tc>
          <w:tcPr>
            <w:tcW w:w="238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4265528B"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74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441C8048"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73</w:t>
            </w:r>
          </w:p>
        </w:tc>
        <w:tc>
          <w:tcPr>
            <w:tcW w:w="2192"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14721636"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31</w:t>
            </w:r>
          </w:p>
        </w:tc>
        <w:tc>
          <w:tcPr>
            <w:tcW w:w="2327"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77CAD71A"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004F6D" w:rsidRPr="00004F6D" w:rsidP="00004F6D" w14:paraId="3BAAF735"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104</w:t>
            </w:r>
          </w:p>
        </w:tc>
      </w:tr>
      <w:tr w14:paraId="5E2ECF38" w14:textId="77777777" w:rsidTr="00004F6D">
        <w:tblPrEx>
          <w:tblW w:w="11559" w:type="dxa"/>
          <w:tblInd w:w="113" w:type="dxa"/>
          <w:tblLook w:val="04A0"/>
        </w:tblPrEx>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61C75EDB"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3</w:t>
            </w:r>
          </w:p>
        </w:tc>
        <w:tc>
          <w:tcPr>
            <w:tcW w:w="238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388EDF2F"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74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5C14EFEE"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73</w:t>
            </w:r>
          </w:p>
        </w:tc>
        <w:tc>
          <w:tcPr>
            <w:tcW w:w="2192"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2A455FD8"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31</w:t>
            </w:r>
          </w:p>
        </w:tc>
        <w:tc>
          <w:tcPr>
            <w:tcW w:w="2327"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427AA7E7"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004F6D" w:rsidRPr="00004F6D" w:rsidP="00004F6D" w14:paraId="768818DD"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104</w:t>
            </w:r>
          </w:p>
        </w:tc>
      </w:tr>
      <w:tr w14:paraId="50B1536D" w14:textId="77777777" w:rsidTr="00004F6D">
        <w:tblPrEx>
          <w:tblW w:w="11559" w:type="dxa"/>
          <w:tblInd w:w="113" w:type="dxa"/>
          <w:tblLook w:val="04A0"/>
        </w:tblPrEx>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44D077C7" w14:textId="77777777">
            <w:pPr>
              <w:spacing w:after="0" w:line="240" w:lineRule="auto"/>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xml:space="preserve">Average </w:t>
            </w:r>
          </w:p>
        </w:tc>
        <w:tc>
          <w:tcPr>
            <w:tcW w:w="238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0C8FDE5E" w14:textId="77777777">
            <w:pPr>
              <w:spacing w:after="0" w:line="240" w:lineRule="auto"/>
              <w:jc w:val="right"/>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0</w:t>
            </w:r>
          </w:p>
        </w:tc>
        <w:tc>
          <w:tcPr>
            <w:tcW w:w="174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06528429" w14:textId="77777777">
            <w:pPr>
              <w:spacing w:after="0" w:line="240" w:lineRule="auto"/>
              <w:jc w:val="right"/>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73</w:t>
            </w:r>
          </w:p>
        </w:tc>
        <w:tc>
          <w:tcPr>
            <w:tcW w:w="2192"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26A4BB5D" w14:textId="77777777">
            <w:pPr>
              <w:spacing w:after="0" w:line="240" w:lineRule="auto"/>
              <w:jc w:val="right"/>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31</w:t>
            </w:r>
          </w:p>
        </w:tc>
        <w:tc>
          <w:tcPr>
            <w:tcW w:w="2327"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18B4A78B" w14:textId="77777777">
            <w:pPr>
              <w:spacing w:after="0" w:line="240" w:lineRule="auto"/>
              <w:jc w:val="right"/>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0</w:t>
            </w:r>
          </w:p>
        </w:tc>
        <w:tc>
          <w:tcPr>
            <w:tcW w:w="1960" w:type="dxa"/>
            <w:tcBorders>
              <w:top w:val="nil"/>
              <w:left w:val="nil"/>
              <w:bottom w:val="single" w:sz="4" w:space="0" w:color="auto"/>
              <w:right w:val="single" w:sz="4" w:space="0" w:color="auto"/>
            </w:tcBorders>
            <w:shd w:val="clear" w:color="auto" w:fill="auto"/>
            <w:vAlign w:val="center"/>
            <w:hideMark/>
          </w:tcPr>
          <w:p w:rsidR="00004F6D" w:rsidRPr="00004F6D" w:rsidP="00004F6D" w14:paraId="658C4148" w14:textId="77777777">
            <w:pPr>
              <w:spacing w:after="0" w:line="240" w:lineRule="auto"/>
              <w:jc w:val="right"/>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104</w:t>
            </w:r>
          </w:p>
        </w:tc>
      </w:tr>
      <w:tr w14:paraId="2A7A7BF4" w14:textId="77777777" w:rsidTr="00004F6D">
        <w:tblPrEx>
          <w:tblW w:w="11559" w:type="dxa"/>
          <w:tblInd w:w="113" w:type="dxa"/>
          <w:tblLook w:val="04A0"/>
        </w:tblPrEx>
        <w:trPr>
          <w:trHeight w:val="1088"/>
        </w:trPr>
        <w:tc>
          <w:tcPr>
            <w:tcW w:w="11559" w:type="dxa"/>
            <w:gridSpan w:val="17"/>
            <w:tcBorders>
              <w:top w:val="nil"/>
              <w:left w:val="nil"/>
              <w:bottom w:val="nil"/>
              <w:right w:val="nil"/>
            </w:tcBorders>
            <w:shd w:val="clear" w:color="auto" w:fill="auto"/>
            <w:vAlign w:val="bottom"/>
            <w:hideMark/>
          </w:tcPr>
          <w:p w:rsidR="00004F6D" w:rsidP="00004F6D" w14:paraId="6DD7634C"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vertAlign w:val="superscript"/>
              </w:rPr>
              <w:t xml:space="preserve">1 </w:t>
            </w:r>
            <w:r w:rsidRPr="00004F6D">
              <w:rPr>
                <w:rFonts w:ascii="Calibri" w:eastAsia="Times New Roman" w:hAnsi="Calibri" w:cs="Calibri"/>
                <w:color w:val="000000"/>
                <w:sz w:val="20"/>
                <w:szCs w:val="20"/>
              </w:rPr>
              <w:t xml:space="preserve">The average Number of Respondents over the three year period of this ICR is 104. Of these 104 respondents, 84 are from the private sector and 20 are from the Federal government. We have further assumed that 62 out of 84 private sector facilities and 11 out of 20 Federal government facilities are subject to control, monitoring, and reporting requirements (73 facilities, total) while the remaining 22 private and 9 Federal government facilities (31 total) are exempt from reporting requirements. </w:t>
            </w:r>
          </w:p>
          <w:p w:rsidR="00004F6D" w:rsidRPr="00004F6D" w:rsidP="00004F6D" w14:paraId="2C894DCD" w14:textId="77777777">
            <w:pPr>
              <w:spacing w:after="0" w:line="240" w:lineRule="auto"/>
              <w:rPr>
                <w:rFonts w:ascii="Calibri" w:eastAsia="Times New Roman" w:hAnsi="Calibri" w:cs="Calibri"/>
                <w:color w:val="000000"/>
                <w:sz w:val="20"/>
                <w:szCs w:val="20"/>
              </w:rPr>
            </w:pPr>
          </w:p>
        </w:tc>
      </w:tr>
      <w:tr w14:paraId="51CEEF84" w14:textId="77777777" w:rsidTr="00004F6D">
        <w:tblPrEx>
          <w:tblW w:w="11559" w:type="dxa"/>
          <w:tblInd w:w="113" w:type="dxa"/>
          <w:tblLook w:val="04A0"/>
        </w:tblPrEx>
        <w:trPr>
          <w:trHeight w:val="315"/>
        </w:trPr>
        <w:tc>
          <w:tcPr>
            <w:tcW w:w="11559"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004F6D" w:rsidRPr="00004F6D" w:rsidP="00004F6D" w14:paraId="1F8F26C4" w14:textId="77777777">
            <w:pPr>
              <w:spacing w:after="0" w:line="240" w:lineRule="auto"/>
              <w:jc w:val="center"/>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xml:space="preserve">Total Annual Responses </w:t>
            </w:r>
          </w:p>
        </w:tc>
      </w:tr>
      <w:tr w14:paraId="5409D7B1" w14:textId="77777777" w:rsidTr="00004F6D">
        <w:tblPrEx>
          <w:tblW w:w="11559" w:type="dxa"/>
          <w:tblInd w:w="113" w:type="dxa"/>
          <w:tblLook w:val="04A0"/>
        </w:tblPrEx>
        <w:trPr>
          <w:trHeight w:val="315"/>
        </w:trPr>
        <w:tc>
          <w:tcPr>
            <w:tcW w:w="3145" w:type="dxa"/>
            <w:gridSpan w:val="4"/>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0AC76B48"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(A) </w:t>
            </w:r>
          </w:p>
        </w:tc>
        <w:tc>
          <w:tcPr>
            <w:tcW w:w="153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1F6B51D8"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(B) </w:t>
            </w:r>
          </w:p>
        </w:tc>
        <w:tc>
          <w:tcPr>
            <w:tcW w:w="216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732F9725"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(C) </w:t>
            </w:r>
          </w:p>
        </w:tc>
        <w:tc>
          <w:tcPr>
            <w:tcW w:w="189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03C651D1"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(D) </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6A3D7DA3"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(E) </w:t>
            </w:r>
          </w:p>
        </w:tc>
      </w:tr>
      <w:tr w14:paraId="233E1537" w14:textId="77777777" w:rsidTr="00004F6D">
        <w:tblPrEx>
          <w:tblW w:w="11559" w:type="dxa"/>
          <w:tblInd w:w="113" w:type="dxa"/>
          <w:tblLook w:val="04A0"/>
        </w:tblPrEx>
        <w:trPr>
          <w:trHeight w:val="1575"/>
        </w:trPr>
        <w:tc>
          <w:tcPr>
            <w:tcW w:w="3145" w:type="dxa"/>
            <w:gridSpan w:val="4"/>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18A47659"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Information Collection Activity </w:t>
            </w:r>
          </w:p>
        </w:tc>
        <w:tc>
          <w:tcPr>
            <w:tcW w:w="153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785CEE06"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Average Number of Respondents </w:t>
            </w:r>
          </w:p>
        </w:tc>
        <w:tc>
          <w:tcPr>
            <w:tcW w:w="216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20245724"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Average Annual Number of Respondents That Keep Records but Do Not Submit Reports </w:t>
            </w:r>
          </w:p>
        </w:tc>
        <w:tc>
          <w:tcPr>
            <w:tcW w:w="189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2D2FB667"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Number of Responses </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1A755B59"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Total (Average) Annual Responses E=((B-C)*D) </w:t>
            </w:r>
          </w:p>
        </w:tc>
      </w:tr>
      <w:tr w14:paraId="54B29D0C" w14:textId="77777777" w:rsidTr="00004F6D">
        <w:tblPrEx>
          <w:tblW w:w="11559" w:type="dxa"/>
          <w:tblInd w:w="113" w:type="dxa"/>
          <w:tblLook w:val="04A0"/>
        </w:tblPrEx>
        <w:trPr>
          <w:trHeight w:val="422"/>
        </w:trPr>
        <w:tc>
          <w:tcPr>
            <w:tcW w:w="3145" w:type="dxa"/>
            <w:gridSpan w:val="4"/>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1FC09515"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Initial notification</w:t>
            </w:r>
          </w:p>
        </w:tc>
        <w:tc>
          <w:tcPr>
            <w:tcW w:w="153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A23FFA6"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216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121365EA"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89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0D3976FC"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1</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70966521"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r>
      <w:tr w14:paraId="46127E46" w14:textId="77777777" w:rsidTr="00004F6D">
        <w:tblPrEx>
          <w:tblW w:w="11559" w:type="dxa"/>
          <w:tblInd w:w="113" w:type="dxa"/>
          <w:tblLook w:val="04A0"/>
        </w:tblPrEx>
        <w:trPr>
          <w:trHeight w:val="404"/>
        </w:trPr>
        <w:tc>
          <w:tcPr>
            <w:tcW w:w="3145" w:type="dxa"/>
            <w:gridSpan w:val="4"/>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633FAB27"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Performance test notification</w:t>
            </w:r>
          </w:p>
        </w:tc>
        <w:tc>
          <w:tcPr>
            <w:tcW w:w="153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1C95D02F"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216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3A606CD2"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89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203B94A6"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1</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28C26E69"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r>
      <w:tr w14:paraId="23761797" w14:textId="77777777" w:rsidTr="00004F6D">
        <w:tblPrEx>
          <w:tblW w:w="11559" w:type="dxa"/>
          <w:tblInd w:w="113" w:type="dxa"/>
          <w:tblLook w:val="04A0"/>
        </w:tblPrEx>
        <w:trPr>
          <w:trHeight w:val="440"/>
        </w:trPr>
        <w:tc>
          <w:tcPr>
            <w:tcW w:w="3145" w:type="dxa"/>
            <w:gridSpan w:val="4"/>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4E830BE3"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Initial compliance determination </w:t>
            </w:r>
          </w:p>
        </w:tc>
        <w:tc>
          <w:tcPr>
            <w:tcW w:w="153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146BCFBF"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216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070D826B"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89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2C5106E8"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1</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B82C96C"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r>
      <w:tr w14:paraId="10F42BCC" w14:textId="77777777" w:rsidTr="00004F6D">
        <w:tblPrEx>
          <w:tblW w:w="11559" w:type="dxa"/>
          <w:tblInd w:w="113" w:type="dxa"/>
          <w:tblLook w:val="04A0"/>
        </w:tblPrEx>
        <w:trPr>
          <w:trHeight w:val="377"/>
        </w:trPr>
        <w:tc>
          <w:tcPr>
            <w:tcW w:w="3145" w:type="dxa"/>
            <w:gridSpan w:val="4"/>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0473D027"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Performance test report</w:t>
            </w:r>
          </w:p>
        </w:tc>
        <w:tc>
          <w:tcPr>
            <w:tcW w:w="153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6A0528E7"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216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62FF23B9"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89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710A4912"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1</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2A221B7"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r>
      <w:tr w14:paraId="552DA600" w14:textId="77777777" w:rsidTr="00004F6D">
        <w:tblPrEx>
          <w:tblW w:w="11559" w:type="dxa"/>
          <w:tblInd w:w="113" w:type="dxa"/>
          <w:tblLook w:val="04A0"/>
        </w:tblPrEx>
        <w:trPr>
          <w:trHeight w:val="449"/>
        </w:trPr>
        <w:tc>
          <w:tcPr>
            <w:tcW w:w="3145" w:type="dxa"/>
            <w:gridSpan w:val="4"/>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0240DB13"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Semiannual reports </w:t>
            </w:r>
          </w:p>
        </w:tc>
        <w:tc>
          <w:tcPr>
            <w:tcW w:w="153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0D211098"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73</w:t>
            </w:r>
          </w:p>
        </w:tc>
        <w:tc>
          <w:tcPr>
            <w:tcW w:w="2160" w:type="dxa"/>
            <w:gridSpan w:val="4"/>
            <w:tcBorders>
              <w:top w:val="nil"/>
              <w:left w:val="nil"/>
              <w:bottom w:val="single" w:sz="4" w:space="0" w:color="auto"/>
              <w:right w:val="single" w:sz="4" w:space="0" w:color="auto"/>
            </w:tcBorders>
            <w:shd w:val="clear" w:color="auto" w:fill="auto"/>
            <w:vAlign w:val="center"/>
            <w:hideMark/>
          </w:tcPr>
          <w:p w:rsidR="00004F6D" w:rsidRPr="00004F6D" w:rsidP="00004F6D" w14:paraId="48863C89"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89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60CD2FC5"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2</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AAE8B95" w14:textId="77777777">
            <w:pPr>
              <w:spacing w:after="0" w:line="240" w:lineRule="auto"/>
              <w:jc w:val="right"/>
              <w:rPr>
                <w:rFonts w:ascii="Calibri" w:eastAsia="Times New Roman" w:hAnsi="Calibri" w:cs="Calibri"/>
                <w:color w:val="000000"/>
                <w:sz w:val="20"/>
                <w:szCs w:val="20"/>
              </w:rPr>
            </w:pPr>
            <w:r w:rsidRPr="00004F6D">
              <w:rPr>
                <w:rFonts w:ascii="Calibri" w:eastAsia="Times New Roman" w:hAnsi="Calibri" w:cs="Calibri"/>
                <w:color w:val="000000"/>
                <w:sz w:val="20"/>
                <w:szCs w:val="20"/>
              </w:rPr>
              <w:t>146</w:t>
            </w:r>
          </w:p>
        </w:tc>
      </w:tr>
      <w:tr w14:paraId="60209E2C" w14:textId="77777777" w:rsidTr="00004F6D">
        <w:tblPrEx>
          <w:tblW w:w="11559" w:type="dxa"/>
          <w:tblInd w:w="113" w:type="dxa"/>
          <w:tblLook w:val="04A0"/>
        </w:tblPrEx>
        <w:trPr>
          <w:trHeight w:val="315"/>
        </w:trPr>
        <w:tc>
          <w:tcPr>
            <w:tcW w:w="3145" w:type="dxa"/>
            <w:gridSpan w:val="4"/>
            <w:tcBorders>
              <w:top w:val="nil"/>
              <w:left w:val="nil"/>
              <w:bottom w:val="nil"/>
              <w:right w:val="nil"/>
            </w:tcBorders>
            <w:shd w:val="clear" w:color="auto" w:fill="auto"/>
            <w:noWrap/>
            <w:vAlign w:val="bottom"/>
            <w:hideMark/>
          </w:tcPr>
          <w:p w:rsidR="00004F6D" w:rsidRPr="00004F6D" w:rsidP="00004F6D" w14:paraId="534623CB" w14:textId="77777777">
            <w:pPr>
              <w:spacing w:after="0" w:line="240" w:lineRule="auto"/>
              <w:jc w:val="right"/>
              <w:rPr>
                <w:rFonts w:ascii="Calibri" w:eastAsia="Times New Roman" w:hAnsi="Calibri" w:cs="Calibri"/>
                <w:color w:val="000000"/>
                <w:sz w:val="20"/>
                <w:szCs w:val="20"/>
              </w:rPr>
            </w:pPr>
          </w:p>
        </w:tc>
        <w:tc>
          <w:tcPr>
            <w:tcW w:w="1530" w:type="dxa"/>
            <w:gridSpan w:val="3"/>
            <w:tcBorders>
              <w:top w:val="nil"/>
              <w:left w:val="nil"/>
              <w:bottom w:val="nil"/>
              <w:right w:val="nil"/>
            </w:tcBorders>
            <w:shd w:val="clear" w:color="auto" w:fill="auto"/>
            <w:vAlign w:val="center"/>
            <w:hideMark/>
          </w:tcPr>
          <w:p w:rsidR="00004F6D" w:rsidRPr="00004F6D" w:rsidP="00004F6D" w14:paraId="44D7FBC3" w14:textId="77777777">
            <w:pPr>
              <w:spacing w:after="0" w:line="240" w:lineRule="auto"/>
              <w:rPr>
                <w:rFonts w:ascii="Times New Roman" w:eastAsia="Times New Roman" w:hAnsi="Times New Roman" w:cs="Times New Roman"/>
                <w:sz w:val="20"/>
                <w:szCs w:val="20"/>
              </w:rPr>
            </w:pPr>
          </w:p>
        </w:tc>
        <w:tc>
          <w:tcPr>
            <w:tcW w:w="2160" w:type="dxa"/>
            <w:gridSpan w:val="4"/>
            <w:tcBorders>
              <w:top w:val="nil"/>
              <w:left w:val="nil"/>
              <w:bottom w:val="nil"/>
              <w:right w:val="nil"/>
            </w:tcBorders>
            <w:shd w:val="clear" w:color="auto" w:fill="auto"/>
            <w:vAlign w:val="center"/>
            <w:hideMark/>
          </w:tcPr>
          <w:p w:rsidR="00004F6D" w:rsidRPr="00004F6D" w:rsidP="00004F6D" w14:paraId="2CE23997" w14:textId="77777777">
            <w:pPr>
              <w:spacing w:after="0" w:line="240" w:lineRule="auto"/>
              <w:rPr>
                <w:rFonts w:ascii="Times New Roman" w:eastAsia="Times New Roman" w:hAnsi="Times New Roman" w:cs="Times New Roman"/>
                <w:sz w:val="20"/>
                <w:szCs w:val="20"/>
              </w:rPr>
            </w:pPr>
          </w:p>
        </w:tc>
        <w:tc>
          <w:tcPr>
            <w:tcW w:w="1890" w:type="dxa"/>
            <w:gridSpan w:val="3"/>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7DC80FD9" w14:textId="77777777">
            <w:pPr>
              <w:spacing w:after="0" w:line="240" w:lineRule="auto"/>
              <w:jc w:val="center"/>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xml:space="preserve">Total </w:t>
            </w:r>
          </w:p>
        </w:tc>
        <w:tc>
          <w:tcPr>
            <w:tcW w:w="2834"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7F14E84C" w14:textId="77777777">
            <w:pPr>
              <w:spacing w:after="0" w:line="240" w:lineRule="auto"/>
              <w:jc w:val="right"/>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146</w:t>
            </w:r>
          </w:p>
        </w:tc>
      </w:tr>
      <w:tr w14:paraId="6A6B7F33" w14:textId="77777777" w:rsidTr="00004F6D">
        <w:tblPrEx>
          <w:tblW w:w="11559" w:type="dxa"/>
          <w:tblInd w:w="113" w:type="dxa"/>
          <w:tblLook w:val="04A0"/>
        </w:tblPrEx>
        <w:trPr>
          <w:gridAfter w:val="2"/>
          <w:wAfter w:w="2239" w:type="dxa"/>
          <w:trHeight w:val="315"/>
        </w:trPr>
        <w:tc>
          <w:tcPr>
            <w:tcW w:w="9320"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rsidR="00004F6D" w:rsidRPr="00004F6D" w:rsidP="00004F6D" w14:paraId="1E38218A" w14:textId="77777777">
            <w:pPr>
              <w:spacing w:after="0" w:line="240" w:lineRule="auto"/>
              <w:jc w:val="center"/>
              <w:rPr>
                <w:rFonts w:ascii="Calibri" w:eastAsia="Times New Roman" w:hAnsi="Calibri" w:cs="Calibri"/>
                <w:b/>
                <w:bCs/>
                <w:color w:val="000000"/>
                <w:sz w:val="24"/>
                <w:szCs w:val="24"/>
              </w:rPr>
            </w:pPr>
            <w:r w:rsidRPr="00004F6D">
              <w:rPr>
                <w:rFonts w:ascii="Calibri" w:eastAsia="Times New Roman" w:hAnsi="Calibri" w:cs="Calibri"/>
                <w:b/>
                <w:bCs/>
                <w:color w:val="000000"/>
                <w:sz w:val="24"/>
                <w:szCs w:val="24"/>
              </w:rPr>
              <w:t>Capital/Startup vs. Operation and Maintenance (O&amp;M) Costs</w:t>
            </w:r>
          </w:p>
        </w:tc>
      </w:tr>
      <w:tr w14:paraId="217B5E97" w14:textId="77777777" w:rsidTr="00004F6D">
        <w:tblPrEx>
          <w:tblW w:w="11559" w:type="dxa"/>
          <w:tblInd w:w="113" w:type="dxa"/>
          <w:tblLook w:val="04A0"/>
        </w:tblPrEx>
        <w:trPr>
          <w:gridAfter w:val="2"/>
          <w:wAfter w:w="2239" w:type="dxa"/>
          <w:trHeight w:val="300"/>
        </w:trPr>
        <w:tc>
          <w:tcPr>
            <w:tcW w:w="1300" w:type="dxa"/>
            <w:gridSpan w:val="2"/>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38FBC016"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(A)</w:t>
            </w:r>
          </w:p>
        </w:tc>
        <w:tc>
          <w:tcPr>
            <w:tcW w:w="1400" w:type="dxa"/>
            <w:tcBorders>
              <w:top w:val="nil"/>
              <w:left w:val="nil"/>
              <w:bottom w:val="single" w:sz="4" w:space="0" w:color="auto"/>
              <w:right w:val="single" w:sz="4" w:space="0" w:color="auto"/>
            </w:tcBorders>
            <w:shd w:val="clear" w:color="auto" w:fill="auto"/>
            <w:vAlign w:val="center"/>
            <w:hideMark/>
          </w:tcPr>
          <w:p w:rsidR="00004F6D" w:rsidRPr="00004F6D" w:rsidP="00004F6D" w14:paraId="2D04EFCC"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(B)</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1703CDA"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(C)</w:t>
            </w:r>
          </w:p>
        </w:tc>
        <w:tc>
          <w:tcPr>
            <w:tcW w:w="142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9DB4592"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(D)</w:t>
            </w:r>
          </w:p>
        </w:tc>
        <w:tc>
          <w:tcPr>
            <w:tcW w:w="1300" w:type="dxa"/>
            <w:tcBorders>
              <w:top w:val="nil"/>
              <w:left w:val="nil"/>
              <w:bottom w:val="single" w:sz="4" w:space="0" w:color="auto"/>
              <w:right w:val="single" w:sz="4" w:space="0" w:color="auto"/>
            </w:tcBorders>
            <w:shd w:val="clear" w:color="auto" w:fill="auto"/>
            <w:vAlign w:val="center"/>
            <w:hideMark/>
          </w:tcPr>
          <w:p w:rsidR="00004F6D" w:rsidRPr="00004F6D" w:rsidP="00004F6D" w14:paraId="2C08CBBB"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(E)</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687C88AB"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(F)</w:t>
            </w:r>
          </w:p>
        </w:tc>
        <w:tc>
          <w:tcPr>
            <w:tcW w:w="1300" w:type="dxa"/>
            <w:gridSpan w:val="2"/>
            <w:tcBorders>
              <w:top w:val="nil"/>
              <w:left w:val="nil"/>
              <w:bottom w:val="single" w:sz="4" w:space="0" w:color="auto"/>
              <w:right w:val="single" w:sz="4" w:space="0" w:color="auto"/>
            </w:tcBorders>
            <w:shd w:val="clear" w:color="auto" w:fill="auto"/>
            <w:vAlign w:val="center"/>
            <w:hideMark/>
          </w:tcPr>
          <w:p w:rsidR="00004F6D" w:rsidRPr="00004F6D" w:rsidP="00004F6D" w14:paraId="0C93E9C2"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(G)</w:t>
            </w:r>
          </w:p>
        </w:tc>
      </w:tr>
      <w:tr w14:paraId="25DACB3D" w14:textId="77777777" w:rsidTr="00004F6D">
        <w:tblPrEx>
          <w:tblW w:w="11559" w:type="dxa"/>
          <w:tblInd w:w="113" w:type="dxa"/>
          <w:tblLook w:val="04A0"/>
        </w:tblPrEx>
        <w:trPr>
          <w:gridAfter w:val="2"/>
          <w:wAfter w:w="2239" w:type="dxa"/>
          <w:trHeight w:val="765"/>
        </w:trPr>
        <w:tc>
          <w:tcPr>
            <w:tcW w:w="1300" w:type="dxa"/>
            <w:gridSpan w:val="2"/>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14E899A7"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Continuous Monitoring Device</w:t>
            </w:r>
          </w:p>
        </w:tc>
        <w:tc>
          <w:tcPr>
            <w:tcW w:w="1400" w:type="dxa"/>
            <w:tcBorders>
              <w:top w:val="nil"/>
              <w:left w:val="nil"/>
              <w:bottom w:val="single" w:sz="4" w:space="0" w:color="auto"/>
              <w:right w:val="single" w:sz="4" w:space="0" w:color="auto"/>
            </w:tcBorders>
            <w:shd w:val="clear" w:color="auto" w:fill="auto"/>
            <w:vAlign w:val="center"/>
            <w:hideMark/>
          </w:tcPr>
          <w:p w:rsidR="00004F6D" w:rsidRPr="00004F6D" w:rsidP="00004F6D" w14:paraId="3A5B6A7E"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Capital/Startup Cost for One Respondent</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601140E8"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Number of New Respondents </w:t>
            </w:r>
          </w:p>
        </w:tc>
        <w:tc>
          <w:tcPr>
            <w:tcW w:w="142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10F3FC05"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Total Capital/Startup Cost, (B X C)</w:t>
            </w:r>
          </w:p>
        </w:tc>
        <w:tc>
          <w:tcPr>
            <w:tcW w:w="1300" w:type="dxa"/>
            <w:tcBorders>
              <w:top w:val="nil"/>
              <w:left w:val="nil"/>
              <w:bottom w:val="single" w:sz="4" w:space="0" w:color="auto"/>
              <w:right w:val="single" w:sz="4" w:space="0" w:color="auto"/>
            </w:tcBorders>
            <w:shd w:val="clear" w:color="auto" w:fill="auto"/>
            <w:vAlign w:val="center"/>
            <w:hideMark/>
          </w:tcPr>
          <w:p w:rsidR="00004F6D" w:rsidRPr="00004F6D" w:rsidP="00004F6D" w14:paraId="7B180954"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Annual O&amp;M Costs for One Respondent</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642AE096"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Number of Respondents with O&amp;M</w:t>
            </w:r>
          </w:p>
        </w:tc>
        <w:tc>
          <w:tcPr>
            <w:tcW w:w="1300" w:type="dxa"/>
            <w:gridSpan w:val="2"/>
            <w:tcBorders>
              <w:top w:val="nil"/>
              <w:left w:val="nil"/>
              <w:bottom w:val="single" w:sz="4" w:space="0" w:color="auto"/>
              <w:right w:val="single" w:sz="4" w:space="0" w:color="auto"/>
            </w:tcBorders>
            <w:shd w:val="clear" w:color="auto" w:fill="auto"/>
            <w:vAlign w:val="center"/>
            <w:hideMark/>
          </w:tcPr>
          <w:p w:rsidR="00004F6D" w:rsidRPr="00004F6D" w:rsidP="00004F6D" w14:paraId="5BF6CB1C"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Total O&amp;M, </w:t>
            </w:r>
            <w:r w:rsidRPr="00004F6D">
              <w:rPr>
                <w:rFonts w:ascii="Calibri" w:eastAsia="Times New Roman" w:hAnsi="Calibri" w:cs="Calibri"/>
                <w:color w:val="000000"/>
                <w:sz w:val="20"/>
                <w:szCs w:val="20"/>
              </w:rPr>
              <w:br/>
              <w:t>(E X F)</w:t>
            </w:r>
          </w:p>
        </w:tc>
      </w:tr>
      <w:tr w14:paraId="1210AAC8" w14:textId="77777777" w:rsidTr="00004F6D">
        <w:tblPrEx>
          <w:tblW w:w="11559" w:type="dxa"/>
          <w:tblInd w:w="113" w:type="dxa"/>
          <w:tblLook w:val="04A0"/>
        </w:tblPrEx>
        <w:trPr>
          <w:gridAfter w:val="2"/>
          <w:wAfter w:w="2239" w:type="dxa"/>
          <w:trHeight w:val="510"/>
        </w:trPr>
        <w:tc>
          <w:tcPr>
            <w:tcW w:w="1300" w:type="dxa"/>
            <w:gridSpan w:val="2"/>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55B3A35F"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Parametric system</w:t>
            </w:r>
          </w:p>
        </w:tc>
        <w:tc>
          <w:tcPr>
            <w:tcW w:w="1400" w:type="dxa"/>
            <w:tcBorders>
              <w:top w:val="nil"/>
              <w:left w:val="nil"/>
              <w:bottom w:val="single" w:sz="4" w:space="0" w:color="auto"/>
              <w:right w:val="single" w:sz="4" w:space="0" w:color="auto"/>
            </w:tcBorders>
            <w:shd w:val="clear" w:color="auto" w:fill="auto"/>
            <w:vAlign w:val="center"/>
            <w:hideMark/>
          </w:tcPr>
          <w:p w:rsidR="00004F6D" w:rsidRPr="00004F6D" w:rsidP="00004F6D" w14:paraId="678F66E6"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$13,000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036B7B45"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42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4D64C741"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$0 </w:t>
            </w:r>
          </w:p>
        </w:tc>
        <w:tc>
          <w:tcPr>
            <w:tcW w:w="1300" w:type="dxa"/>
            <w:tcBorders>
              <w:top w:val="nil"/>
              <w:left w:val="nil"/>
              <w:bottom w:val="single" w:sz="4" w:space="0" w:color="auto"/>
              <w:right w:val="single" w:sz="4" w:space="0" w:color="auto"/>
            </w:tcBorders>
            <w:shd w:val="clear" w:color="auto" w:fill="auto"/>
            <w:vAlign w:val="center"/>
            <w:hideMark/>
          </w:tcPr>
          <w:p w:rsidR="00004F6D" w:rsidRPr="00004F6D" w:rsidP="00004F6D" w14:paraId="2E3CE381"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$2,500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70F08C00"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73</w:t>
            </w:r>
          </w:p>
        </w:tc>
        <w:tc>
          <w:tcPr>
            <w:tcW w:w="1300" w:type="dxa"/>
            <w:gridSpan w:val="2"/>
            <w:tcBorders>
              <w:top w:val="nil"/>
              <w:left w:val="nil"/>
              <w:bottom w:val="single" w:sz="4" w:space="0" w:color="auto"/>
              <w:right w:val="single" w:sz="4" w:space="0" w:color="auto"/>
            </w:tcBorders>
            <w:shd w:val="clear" w:color="auto" w:fill="auto"/>
            <w:vAlign w:val="center"/>
            <w:hideMark/>
          </w:tcPr>
          <w:p w:rsidR="00004F6D" w:rsidRPr="00004F6D" w:rsidP="00004F6D" w14:paraId="5737C86C"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$182,500 </w:t>
            </w:r>
          </w:p>
        </w:tc>
      </w:tr>
      <w:tr w14:paraId="415E128F" w14:textId="77777777" w:rsidTr="00004F6D">
        <w:tblPrEx>
          <w:tblW w:w="11559" w:type="dxa"/>
          <w:tblInd w:w="113" w:type="dxa"/>
          <w:tblLook w:val="04A0"/>
        </w:tblPrEx>
        <w:trPr>
          <w:gridAfter w:val="2"/>
          <w:wAfter w:w="2239" w:type="dxa"/>
          <w:trHeight w:val="300"/>
        </w:trPr>
        <w:tc>
          <w:tcPr>
            <w:tcW w:w="1300" w:type="dxa"/>
            <w:gridSpan w:val="2"/>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24748271"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Leak detection</w:t>
            </w:r>
          </w:p>
        </w:tc>
        <w:tc>
          <w:tcPr>
            <w:tcW w:w="1400" w:type="dxa"/>
            <w:tcBorders>
              <w:top w:val="nil"/>
              <w:left w:val="nil"/>
              <w:bottom w:val="single" w:sz="4" w:space="0" w:color="auto"/>
              <w:right w:val="single" w:sz="4" w:space="0" w:color="auto"/>
            </w:tcBorders>
            <w:shd w:val="clear" w:color="auto" w:fill="auto"/>
            <w:vAlign w:val="center"/>
            <w:hideMark/>
          </w:tcPr>
          <w:p w:rsidR="00004F6D" w:rsidRPr="00004F6D" w:rsidP="00004F6D" w14:paraId="24BCDCFA"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$1,000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7C7637EF"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42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5E4CD936"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$0 </w:t>
            </w:r>
          </w:p>
        </w:tc>
        <w:tc>
          <w:tcPr>
            <w:tcW w:w="1300" w:type="dxa"/>
            <w:tcBorders>
              <w:top w:val="nil"/>
              <w:left w:val="nil"/>
              <w:bottom w:val="single" w:sz="4" w:space="0" w:color="auto"/>
              <w:right w:val="single" w:sz="4" w:space="0" w:color="auto"/>
            </w:tcBorders>
            <w:shd w:val="clear" w:color="auto" w:fill="auto"/>
            <w:vAlign w:val="center"/>
            <w:hideMark/>
          </w:tcPr>
          <w:p w:rsidR="00004F6D" w:rsidRPr="00004F6D" w:rsidP="00004F6D" w14:paraId="4535E387"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$1,000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F6695FF"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73</w:t>
            </w:r>
          </w:p>
        </w:tc>
        <w:tc>
          <w:tcPr>
            <w:tcW w:w="1300" w:type="dxa"/>
            <w:gridSpan w:val="2"/>
            <w:tcBorders>
              <w:top w:val="nil"/>
              <w:left w:val="nil"/>
              <w:bottom w:val="single" w:sz="4" w:space="0" w:color="auto"/>
              <w:right w:val="single" w:sz="4" w:space="0" w:color="auto"/>
            </w:tcBorders>
            <w:shd w:val="clear" w:color="auto" w:fill="auto"/>
            <w:vAlign w:val="center"/>
            <w:hideMark/>
          </w:tcPr>
          <w:p w:rsidR="00004F6D" w:rsidRPr="00004F6D" w:rsidP="00004F6D" w14:paraId="5D953D50"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$73,000 </w:t>
            </w:r>
          </w:p>
        </w:tc>
      </w:tr>
      <w:tr w14:paraId="64D64980" w14:textId="77777777" w:rsidTr="00004F6D">
        <w:tblPrEx>
          <w:tblW w:w="11559" w:type="dxa"/>
          <w:tblInd w:w="113" w:type="dxa"/>
          <w:tblLook w:val="04A0"/>
        </w:tblPrEx>
        <w:trPr>
          <w:gridAfter w:val="2"/>
          <w:wAfter w:w="2239" w:type="dxa"/>
          <w:trHeight w:val="300"/>
        </w:trPr>
        <w:tc>
          <w:tcPr>
            <w:tcW w:w="1300" w:type="dxa"/>
            <w:gridSpan w:val="2"/>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50FAD263"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PRD Monitors</w:t>
            </w:r>
          </w:p>
        </w:tc>
        <w:tc>
          <w:tcPr>
            <w:tcW w:w="1400" w:type="dxa"/>
            <w:tcBorders>
              <w:top w:val="nil"/>
              <w:left w:val="nil"/>
              <w:bottom w:val="single" w:sz="4" w:space="0" w:color="auto"/>
              <w:right w:val="single" w:sz="4" w:space="0" w:color="auto"/>
            </w:tcBorders>
            <w:shd w:val="clear" w:color="auto" w:fill="auto"/>
            <w:vAlign w:val="center"/>
            <w:hideMark/>
          </w:tcPr>
          <w:p w:rsidR="00004F6D" w:rsidRPr="00004F6D" w:rsidP="00004F6D" w14:paraId="41660305"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$12,500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018EB59B"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0</w:t>
            </w:r>
          </w:p>
        </w:tc>
        <w:tc>
          <w:tcPr>
            <w:tcW w:w="142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5AD9A62B"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$0 </w:t>
            </w:r>
          </w:p>
        </w:tc>
        <w:tc>
          <w:tcPr>
            <w:tcW w:w="1300" w:type="dxa"/>
            <w:tcBorders>
              <w:top w:val="nil"/>
              <w:left w:val="nil"/>
              <w:bottom w:val="single" w:sz="4" w:space="0" w:color="auto"/>
              <w:right w:val="single" w:sz="4" w:space="0" w:color="auto"/>
            </w:tcBorders>
            <w:shd w:val="clear" w:color="auto" w:fill="auto"/>
            <w:vAlign w:val="center"/>
            <w:hideMark/>
          </w:tcPr>
          <w:p w:rsidR="00004F6D" w:rsidRPr="00004F6D" w:rsidP="00004F6D" w14:paraId="6AC89590"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$0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2C1EA7BB"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73</w:t>
            </w:r>
          </w:p>
        </w:tc>
        <w:tc>
          <w:tcPr>
            <w:tcW w:w="1300" w:type="dxa"/>
            <w:gridSpan w:val="2"/>
            <w:tcBorders>
              <w:top w:val="nil"/>
              <w:left w:val="nil"/>
              <w:bottom w:val="single" w:sz="4" w:space="0" w:color="auto"/>
              <w:right w:val="single" w:sz="4" w:space="0" w:color="auto"/>
            </w:tcBorders>
            <w:shd w:val="clear" w:color="auto" w:fill="auto"/>
            <w:vAlign w:val="center"/>
            <w:hideMark/>
          </w:tcPr>
          <w:p w:rsidR="00004F6D" w:rsidRPr="00004F6D" w:rsidP="00004F6D" w14:paraId="2F15727F" w14:textId="77777777">
            <w:pPr>
              <w:spacing w:after="0" w:line="240" w:lineRule="auto"/>
              <w:jc w:val="center"/>
              <w:rPr>
                <w:rFonts w:ascii="Calibri" w:eastAsia="Times New Roman" w:hAnsi="Calibri" w:cs="Calibri"/>
                <w:color w:val="000000"/>
                <w:sz w:val="20"/>
                <w:szCs w:val="20"/>
              </w:rPr>
            </w:pPr>
            <w:r w:rsidRPr="00004F6D">
              <w:rPr>
                <w:rFonts w:ascii="Calibri" w:eastAsia="Times New Roman" w:hAnsi="Calibri" w:cs="Calibri"/>
                <w:color w:val="000000"/>
                <w:sz w:val="20"/>
                <w:szCs w:val="20"/>
              </w:rPr>
              <w:t xml:space="preserve">$0 </w:t>
            </w:r>
          </w:p>
        </w:tc>
      </w:tr>
      <w:tr w14:paraId="34DBDD66" w14:textId="77777777" w:rsidTr="00004F6D">
        <w:tblPrEx>
          <w:tblW w:w="11559" w:type="dxa"/>
          <w:tblInd w:w="113" w:type="dxa"/>
          <w:tblLook w:val="04A0"/>
        </w:tblPrEx>
        <w:trPr>
          <w:gridAfter w:val="2"/>
          <w:wAfter w:w="2239" w:type="dxa"/>
          <w:trHeight w:val="300"/>
        </w:trPr>
        <w:tc>
          <w:tcPr>
            <w:tcW w:w="1300" w:type="dxa"/>
            <w:gridSpan w:val="2"/>
            <w:tcBorders>
              <w:top w:val="nil"/>
              <w:left w:val="single" w:sz="4" w:space="0" w:color="auto"/>
              <w:bottom w:val="single" w:sz="4" w:space="0" w:color="auto"/>
              <w:right w:val="single" w:sz="4" w:space="0" w:color="auto"/>
            </w:tcBorders>
            <w:shd w:val="clear" w:color="auto" w:fill="auto"/>
            <w:vAlign w:val="center"/>
            <w:hideMark/>
          </w:tcPr>
          <w:p w:rsidR="00004F6D" w:rsidRPr="00004F6D" w:rsidP="00004F6D" w14:paraId="0BCEABC3" w14:textId="77777777">
            <w:pPr>
              <w:spacing w:after="0" w:line="240" w:lineRule="auto"/>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Total</w:t>
            </w:r>
          </w:p>
        </w:tc>
        <w:tc>
          <w:tcPr>
            <w:tcW w:w="1400" w:type="dxa"/>
            <w:tcBorders>
              <w:top w:val="nil"/>
              <w:left w:val="nil"/>
              <w:bottom w:val="single" w:sz="4" w:space="0" w:color="auto"/>
              <w:right w:val="single" w:sz="4" w:space="0" w:color="auto"/>
            </w:tcBorders>
            <w:shd w:val="clear" w:color="auto" w:fill="auto"/>
            <w:vAlign w:val="center"/>
            <w:hideMark/>
          </w:tcPr>
          <w:p w:rsidR="00004F6D" w:rsidRPr="00004F6D" w:rsidP="00004F6D" w14:paraId="12A01FC6" w14:textId="77777777">
            <w:pPr>
              <w:spacing w:after="0" w:line="240" w:lineRule="auto"/>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23EFB0CB" w14:textId="77777777">
            <w:pPr>
              <w:spacing w:after="0" w:line="240" w:lineRule="auto"/>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w:t>
            </w:r>
          </w:p>
        </w:tc>
        <w:tc>
          <w:tcPr>
            <w:tcW w:w="142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3D5E289F" w14:textId="77777777">
            <w:pPr>
              <w:spacing w:after="0" w:line="240" w:lineRule="auto"/>
              <w:jc w:val="center"/>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xml:space="preserve">$0 </w:t>
            </w:r>
          </w:p>
        </w:tc>
        <w:tc>
          <w:tcPr>
            <w:tcW w:w="1300" w:type="dxa"/>
            <w:tcBorders>
              <w:top w:val="nil"/>
              <w:left w:val="nil"/>
              <w:bottom w:val="single" w:sz="4" w:space="0" w:color="auto"/>
              <w:right w:val="single" w:sz="4" w:space="0" w:color="auto"/>
            </w:tcBorders>
            <w:shd w:val="clear" w:color="auto" w:fill="auto"/>
            <w:vAlign w:val="center"/>
            <w:hideMark/>
          </w:tcPr>
          <w:p w:rsidR="00004F6D" w:rsidRPr="00004F6D" w:rsidP="00004F6D" w14:paraId="60494389" w14:textId="77777777">
            <w:pPr>
              <w:spacing w:after="0" w:line="240" w:lineRule="auto"/>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w:t>
            </w:r>
          </w:p>
        </w:tc>
        <w:tc>
          <w:tcPr>
            <w:tcW w:w="1300" w:type="dxa"/>
            <w:gridSpan w:val="3"/>
            <w:tcBorders>
              <w:top w:val="nil"/>
              <w:left w:val="nil"/>
              <w:bottom w:val="single" w:sz="4" w:space="0" w:color="auto"/>
              <w:right w:val="single" w:sz="4" w:space="0" w:color="auto"/>
            </w:tcBorders>
            <w:shd w:val="clear" w:color="auto" w:fill="auto"/>
            <w:vAlign w:val="center"/>
            <w:hideMark/>
          </w:tcPr>
          <w:p w:rsidR="00004F6D" w:rsidRPr="00004F6D" w:rsidP="00004F6D" w14:paraId="75B0CE8F" w14:textId="77777777">
            <w:pPr>
              <w:spacing w:after="0" w:line="240" w:lineRule="auto"/>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w:t>
            </w:r>
          </w:p>
        </w:tc>
        <w:tc>
          <w:tcPr>
            <w:tcW w:w="1300" w:type="dxa"/>
            <w:gridSpan w:val="2"/>
            <w:tcBorders>
              <w:top w:val="nil"/>
              <w:left w:val="nil"/>
              <w:bottom w:val="single" w:sz="4" w:space="0" w:color="auto"/>
              <w:right w:val="single" w:sz="4" w:space="0" w:color="auto"/>
            </w:tcBorders>
            <w:shd w:val="clear" w:color="auto" w:fill="auto"/>
            <w:vAlign w:val="center"/>
            <w:hideMark/>
          </w:tcPr>
          <w:p w:rsidR="00004F6D" w:rsidRPr="00004F6D" w:rsidP="00004F6D" w14:paraId="1AF14474" w14:textId="77777777">
            <w:pPr>
              <w:spacing w:after="0" w:line="240" w:lineRule="auto"/>
              <w:jc w:val="center"/>
              <w:rPr>
                <w:rFonts w:ascii="Calibri" w:eastAsia="Times New Roman" w:hAnsi="Calibri" w:cs="Calibri"/>
                <w:b/>
                <w:bCs/>
                <w:color w:val="000000"/>
                <w:sz w:val="20"/>
                <w:szCs w:val="20"/>
              </w:rPr>
            </w:pPr>
            <w:r w:rsidRPr="00004F6D">
              <w:rPr>
                <w:rFonts w:ascii="Calibri" w:eastAsia="Times New Roman" w:hAnsi="Calibri" w:cs="Calibri"/>
                <w:b/>
                <w:bCs/>
                <w:color w:val="000000"/>
                <w:sz w:val="20"/>
                <w:szCs w:val="20"/>
              </w:rPr>
              <w:t xml:space="preserve">$256,000 </w:t>
            </w:r>
          </w:p>
        </w:tc>
      </w:tr>
      <w:tr w14:paraId="55BEB310" w14:textId="77777777" w:rsidTr="00004F6D">
        <w:tblPrEx>
          <w:tblW w:w="11559" w:type="dxa"/>
          <w:tblInd w:w="113" w:type="dxa"/>
          <w:tblLook w:val="04A0"/>
        </w:tblPrEx>
        <w:trPr>
          <w:gridAfter w:val="2"/>
          <w:wAfter w:w="2239" w:type="dxa"/>
          <w:trHeight w:val="300"/>
        </w:trPr>
        <w:tc>
          <w:tcPr>
            <w:tcW w:w="9320" w:type="dxa"/>
            <w:gridSpan w:val="15"/>
            <w:tcBorders>
              <w:top w:val="nil"/>
              <w:left w:val="nil"/>
              <w:bottom w:val="nil"/>
              <w:right w:val="nil"/>
            </w:tcBorders>
            <w:shd w:val="clear" w:color="auto" w:fill="auto"/>
            <w:noWrap/>
            <w:vAlign w:val="center"/>
            <w:hideMark/>
          </w:tcPr>
          <w:p w:rsidR="00004F6D" w:rsidRPr="00004F6D" w:rsidP="00004F6D" w14:paraId="71C961ED" w14:textId="77777777">
            <w:pPr>
              <w:spacing w:after="0" w:line="240" w:lineRule="auto"/>
              <w:rPr>
                <w:rFonts w:ascii="Calibri" w:eastAsia="Times New Roman" w:hAnsi="Calibri" w:cs="Calibri"/>
                <w:color w:val="000000"/>
                <w:sz w:val="20"/>
                <w:szCs w:val="20"/>
              </w:rPr>
            </w:pPr>
            <w:r w:rsidRPr="00004F6D">
              <w:rPr>
                <w:rFonts w:ascii="Calibri" w:eastAsia="Times New Roman" w:hAnsi="Calibri" w:cs="Calibri"/>
                <w:color w:val="000000"/>
                <w:sz w:val="20"/>
                <w:szCs w:val="20"/>
              </w:rPr>
              <w:t>Note: Totals have been rounded to 3 significant figures. Figures may not add exactly due to rounding.</w:t>
            </w:r>
          </w:p>
        </w:tc>
      </w:tr>
    </w:tbl>
    <w:p w:rsidR="00BB3410" w:rsidRPr="00004F6D" w:rsidP="00BB3410" w14:paraId="47CC001C" w14:textId="77777777">
      <w:pPr>
        <w:pStyle w:val="ListParagraph"/>
        <w:spacing w:before="240"/>
        <w:ind w:left="0"/>
        <w:rPr>
          <w:rFonts w:cstheme="minorHAnsi"/>
          <w:sz w:val="20"/>
          <w:szCs w:val="20"/>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67C97"/>
    <w:multiLevelType w:val="hybridMultilevel"/>
    <w:tmpl w:val="EA08D1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6"/>
  </w:num>
  <w:num w:numId="5" w16cid:durableId="2055687918">
    <w:abstractNumId w:val="16"/>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7"/>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7"/>
  </w:num>
  <w:num w:numId="27" w16cid:durableId="1015961391">
    <w:abstractNumId w:val="22"/>
  </w:num>
  <w:num w:numId="28" w16cid:durableId="80192557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4ED8"/>
    <w:rsid w:val="00004F6D"/>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6907"/>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2B6B"/>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0D0"/>
    <w:rsid w:val="000978FD"/>
    <w:rsid w:val="000A1198"/>
    <w:rsid w:val="000A11F1"/>
    <w:rsid w:val="000A170A"/>
    <w:rsid w:val="000A397C"/>
    <w:rsid w:val="000A4527"/>
    <w:rsid w:val="000B3576"/>
    <w:rsid w:val="000B461B"/>
    <w:rsid w:val="000B61F2"/>
    <w:rsid w:val="000B7BBA"/>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2D4F"/>
    <w:rsid w:val="000F338A"/>
    <w:rsid w:val="000F3AC3"/>
    <w:rsid w:val="000F4DBB"/>
    <w:rsid w:val="000F4EEF"/>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56DAA"/>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1328"/>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60E"/>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42D6"/>
    <w:rsid w:val="003856DC"/>
    <w:rsid w:val="003901B8"/>
    <w:rsid w:val="003A1D0D"/>
    <w:rsid w:val="003A38FB"/>
    <w:rsid w:val="003A41A0"/>
    <w:rsid w:val="003A6BEF"/>
    <w:rsid w:val="003B04B9"/>
    <w:rsid w:val="003B0A8F"/>
    <w:rsid w:val="003B153D"/>
    <w:rsid w:val="003B1C4C"/>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1A32"/>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763"/>
    <w:rsid w:val="004A6B13"/>
    <w:rsid w:val="004B0167"/>
    <w:rsid w:val="004B710E"/>
    <w:rsid w:val="004C0163"/>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676"/>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7EC"/>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6D80"/>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3F10"/>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4E33"/>
    <w:rsid w:val="008B57B0"/>
    <w:rsid w:val="008C06CB"/>
    <w:rsid w:val="008C0C83"/>
    <w:rsid w:val="008C582D"/>
    <w:rsid w:val="008C63EE"/>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DBE"/>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9E4"/>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27AA"/>
    <w:rsid w:val="00A233E0"/>
    <w:rsid w:val="00A24F5B"/>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5834"/>
    <w:rsid w:val="00A768D2"/>
    <w:rsid w:val="00A80A27"/>
    <w:rsid w:val="00A816BC"/>
    <w:rsid w:val="00A82647"/>
    <w:rsid w:val="00A8542E"/>
    <w:rsid w:val="00A8593A"/>
    <w:rsid w:val="00A9188B"/>
    <w:rsid w:val="00A91EFC"/>
    <w:rsid w:val="00A932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10F4"/>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0894"/>
    <w:rsid w:val="00B62988"/>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064"/>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71B"/>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DDC"/>
    <w:rsid w:val="00C27150"/>
    <w:rsid w:val="00C30469"/>
    <w:rsid w:val="00C3183C"/>
    <w:rsid w:val="00C32359"/>
    <w:rsid w:val="00C32D5B"/>
    <w:rsid w:val="00C33E98"/>
    <w:rsid w:val="00C347F1"/>
    <w:rsid w:val="00C34842"/>
    <w:rsid w:val="00C36AEE"/>
    <w:rsid w:val="00C36E61"/>
    <w:rsid w:val="00C375CA"/>
    <w:rsid w:val="00C4298A"/>
    <w:rsid w:val="00C42F7B"/>
    <w:rsid w:val="00C4389A"/>
    <w:rsid w:val="00C441E0"/>
    <w:rsid w:val="00C44A9E"/>
    <w:rsid w:val="00C457F1"/>
    <w:rsid w:val="00C45979"/>
    <w:rsid w:val="00C51D4B"/>
    <w:rsid w:val="00C538F7"/>
    <w:rsid w:val="00C541C4"/>
    <w:rsid w:val="00C54E17"/>
    <w:rsid w:val="00C54FDB"/>
    <w:rsid w:val="00C573BC"/>
    <w:rsid w:val="00C57906"/>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2D4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2B37"/>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2D47"/>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2DA7"/>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365"/>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40E6"/>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AC5"/>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3666"/>
    <w:rsid w:val="00F440BC"/>
    <w:rsid w:val="00F462DB"/>
    <w:rsid w:val="00F47EAC"/>
    <w:rsid w:val="00F5019F"/>
    <w:rsid w:val="00F50C29"/>
    <w:rsid w:val="00F51F05"/>
    <w:rsid w:val="00F532D6"/>
    <w:rsid w:val="00F56114"/>
    <w:rsid w:val="00F573CC"/>
    <w:rsid w:val="00F57EAD"/>
    <w:rsid w:val="00F601B4"/>
    <w:rsid w:val="00F60B3F"/>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E22D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2024-10-28T00:23:57+00:00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695ECEE7-7E1B-43A2-AB61-CD2D816CE4F5}">
  <ds:schemaRefs>
    <ds:schemaRef ds:uri="Microsoft.SharePoint.Taxonomy.ContentTypeSync"/>
  </ds:schemaRefs>
</ds:datastoreItem>
</file>

<file path=customXml/itemProps5.xml><?xml version="1.0" encoding="utf-8"?>
<ds:datastoreItem xmlns:ds="http://schemas.openxmlformats.org/officeDocument/2006/customXml" ds:itemID="{4CC68EEB-A6D5-4669-8B80-867219D68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9342</Words>
  <Characters>50546</Characters>
  <Application>Microsoft Office Word</Application>
  <DocSecurity>0</DocSecurity>
  <Lines>1805</Lines>
  <Paragraphs>1129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2025-02-27T23:21:00Z</dcterms:created>
  <dcterms:modified xsi:type="dcterms:W3CDTF">2025-02-27T23:21:00Z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