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CD6009" w:rsidP="00CD6009" w14:paraId="4C8D9371" w14:textId="77777777">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CD6009">
        <w:rPr>
          <w:rFonts w:cstheme="minorHAnsi"/>
        </w:rPr>
        <w:t>NESHAP for Group IV Polymers and Resins (40 CFR Part 63, Subpart JJJ) (Renewal)</w:t>
      </w:r>
    </w:p>
    <w:p w:rsidR="00EE2403" w:rsidRPr="00BB3410" w:rsidP="00CD6009" w14:paraId="71D5121E" w14:textId="7BDCC906">
      <w:pPr>
        <w:rPr>
          <w:rFonts w:cstheme="minorHAnsi"/>
        </w:rPr>
      </w:pPr>
      <w:r w:rsidRPr="00BB3410">
        <w:rPr>
          <w:rFonts w:cstheme="minorHAnsi"/>
          <w:b/>
          <w:bCs/>
        </w:rPr>
        <w:t>OMB Control Number</w:t>
      </w:r>
      <w:r w:rsidRPr="00EA0D20">
        <w:rPr>
          <w:rFonts w:cstheme="minorHAnsi"/>
          <w:b/>
          <w:bCs/>
        </w:rPr>
        <w:t>:</w:t>
      </w:r>
      <w:r w:rsidR="00CD6009">
        <w:rPr>
          <w:rFonts w:cstheme="minorHAnsi"/>
        </w:rPr>
        <w:t xml:space="preserve"> 2060-0682</w:t>
      </w:r>
    </w:p>
    <w:p w:rsidR="00EE2403" w:rsidRPr="00BB3410" w:rsidP="00ED57A4" w14:paraId="4FB77BCA" w14:textId="053B11FC">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CD6009">
        <w:rPr>
          <w:rFonts w:cstheme="minorHAnsi"/>
        </w:rPr>
        <w:t>2457.05</w:t>
      </w:r>
    </w:p>
    <w:p w:rsidR="00B21E5D" w:rsidRPr="00DA1380" w:rsidP="00790AA0" w14:paraId="7D10E710" w14:textId="23B0BC94">
      <w:pPr>
        <w:pBdr>
          <w:top w:val="single" w:sz="6" w:space="0" w:color="FFFFFF"/>
          <w:left w:val="single" w:sz="6" w:space="0" w:color="FFFFFF"/>
          <w:bottom w:val="single" w:sz="6" w:space="0" w:color="FFFFFF"/>
          <w:right w:val="single" w:sz="6" w:space="0" w:color="FFFFFF"/>
        </w:pBdr>
      </w:pPr>
      <w:r w:rsidRPr="4BDBF0A0">
        <w:rPr>
          <w:b/>
          <w:bCs/>
        </w:rPr>
        <w:t>Abstract:</w:t>
      </w:r>
      <w:r w:rsidRPr="4BDBF0A0" w:rsidR="00BB432F">
        <w:t xml:space="preserve"> </w:t>
      </w:r>
      <w:r w:rsidRPr="008A5926">
        <w:t xml:space="preserve">The National Emission Standards for Hazardous Air Pollutants (NESHAP) for </w:t>
      </w:r>
      <w:r w:rsidRPr="00CF1060">
        <w:t>Group</w:t>
      </w:r>
      <w:r>
        <w:t xml:space="preserve"> </w:t>
      </w:r>
      <w:r w:rsidRPr="00CF1060">
        <w:t xml:space="preserve">IV Polymers and Resins </w:t>
      </w:r>
      <w:r>
        <w:t>(</w:t>
      </w:r>
      <w:r w:rsidRPr="008A5926">
        <w:t>40 CFR Part 63, Subpart JJJ</w:t>
      </w:r>
      <w:r>
        <w:t>)</w:t>
      </w:r>
      <w:r w:rsidRPr="008A5926">
        <w:t xml:space="preserve"> were </w:t>
      </w:r>
      <w:r w:rsidRPr="00DA1380">
        <w:t xml:space="preserve">proposed on March 29, 1995; promulgated on September 12, 1996; and most-recently amended on March 27, 2014. These regulations apply to </w:t>
      </w:r>
      <w:bookmarkStart w:id="1" w:name="_Hlk40367540"/>
      <w:r w:rsidRPr="00DA1380">
        <w:t xml:space="preserve">each new and existing thermoplastic product process units (TPPU) and associated equipment that produce the subset of polymers and resins known as “Group IV Polymers and Resins” that is a major source of organic hazardous air pollutants (HAPs). </w:t>
      </w:r>
      <w:bookmarkEnd w:id="1"/>
      <w:r w:rsidRPr="00DA1380">
        <w:t xml:space="preserve">Group IV polymers and resins include the following source categories: Acrylonitrile Butadiene Styrene (ABS), Methyl Methacrylate Acrylonitrile Butadiene Styrene (MABS), Methyl Methacrylate Butadiene Styrene (MABS), Nitrile Resin, Polyethylene Terephthalate (PET), Polystyrene (PS), and Styrene Acrylonitrile (SAN). This information is being collected to assure compliance with 40 CFR Part 63, Subpart JJJ. Over the next three years, approximately 27 affected process units (TPPUs) at 24 facilities (i.e., respondents) per year will be subject to these standards, and no additional respondents per year will become subject to these same standards. </w:t>
      </w:r>
    </w:p>
    <w:p w:rsidR="00EA1F47" w:rsidRPr="00B43BC7" w:rsidP="00EA1F47" w14:paraId="20B50ADC" w14:textId="77777777">
      <w:pPr>
        <w:spacing w:before="240"/>
      </w:pPr>
      <w:r w:rsidRPr="00B43BC7">
        <w:t xml:space="preserve">The active (previous) ICR had the following Terms of Clearance (TOC): </w:t>
      </w:r>
    </w:p>
    <w:p w:rsidR="00EA1F47" w:rsidRPr="00B43BC7" w:rsidP="00D67EAB" w14:paraId="5C6E6479" w14:textId="263A67A8">
      <w:pPr>
        <w:spacing w:before="240"/>
        <w:ind w:left="720"/>
      </w:pPr>
      <w:r w:rsidRPr="00B43BC7">
        <w:t>“</w:t>
      </w:r>
      <w:r w:rsidRPr="00B43BC7" w:rsidR="00D67EAB">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r w:rsidRPr="00B43BC7">
        <w:t>”</w:t>
      </w:r>
    </w:p>
    <w:p w:rsidR="00FE1682" w:rsidRPr="00E6717A" w:rsidP="4BDBF0A0" w14:paraId="682A081B" w14:textId="6C69BF16">
      <w:pPr>
        <w:spacing w:before="240"/>
      </w:pPr>
      <w:r w:rsidRPr="00B43BC7">
        <w:t xml:space="preserve">The relevant regulatory text is referenced in section 12(b) of this document. We have created a supplementary document including the regulatory text that describes the ICR requirements as identified in section 12(b) of this document as requested. </w:t>
      </w:r>
      <w:r w:rsidRPr="00B43BC7" w:rsidR="00D67EAB">
        <w:t xml:space="preserve">All electronic collection in this information collection is submitted through EPA's CEDRI, as discussed in section 12(b) of this document. Additional Paperwork Reduction Act requirements for CEDRI, including the burden statement and OMB control number, are </w:t>
      </w:r>
      <w:r w:rsidRPr="00B43BC7" w:rsidR="00D67EAB">
        <w:t xml:space="preserve">available at: </w:t>
      </w:r>
      <w:hyperlink r:id="rId9" w:history="1">
        <w:r w:rsidRPr="00B43BC7" w:rsidR="00D67EAB">
          <w:rPr>
            <w:rStyle w:val="Hyperlink"/>
            <w:color w:val="auto"/>
          </w:rPr>
          <w:t>https://www.epa.gov/electronic-reporting-air-emissions/paperwork-reduction-act-pra-cedri-and-ert</w:t>
        </w:r>
      </w:hyperlink>
      <w:r w:rsidRPr="00B43BC7" w:rsidR="00D67EAB">
        <w:t xml:space="preserve">. We have created supplementary documents that include screenshots of the electronic portal where the reporting requirements are submitted online to EPA, including the OMB burden statement on the electronic portal. </w:t>
      </w:r>
      <w:r w:rsidRPr="00B43BC7">
        <w:t>A description of the EPA’s consultation with respondents and how EPA responded to any concerns raised by respondents or other stakeholders is discussed in section 8 of this document. 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B43BC7" w:rsidP="00653D08" w14:paraId="0D5D4789" w14:textId="66C03829">
      <w:pPr>
        <w:pBdr>
          <w:top w:val="single" w:sz="6" w:space="0" w:color="FFFFFF"/>
          <w:left w:val="single" w:sz="6" w:space="0" w:color="FFFFFF"/>
          <w:bottom w:val="single" w:sz="6" w:space="0" w:color="FFFFFF"/>
          <w:right w:val="single" w:sz="6" w:space="0" w:color="FFFFFF"/>
        </w:pBdr>
      </w:pPr>
      <w:r w:rsidRPr="00B43BC7">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3D08" w:rsidRPr="00B43BC7" w:rsidP="00653D08" w14:paraId="390B56A3" w14:textId="373939C1">
      <w:pPr>
        <w:pBdr>
          <w:top w:val="single" w:sz="6" w:space="0" w:color="FFFFFF"/>
          <w:left w:val="single" w:sz="6" w:space="0" w:color="FFFFFF"/>
          <w:bottom w:val="single" w:sz="6" w:space="0" w:color="FFFFFF"/>
          <w:right w:val="single" w:sz="6" w:space="0" w:color="FFFFFF"/>
        </w:pBdr>
        <w:ind w:left="1440" w:right="1440"/>
      </w:pPr>
      <w:r w:rsidRPr="00B43BC7">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01660" w:rsidRPr="00B43BC7" w:rsidP="00B43BC7" w14:paraId="654F2FEB" w14:textId="6668B7E8">
      <w:pPr>
        <w:pBdr>
          <w:top w:val="single" w:sz="6" w:space="0" w:color="FFFFFF"/>
          <w:left w:val="single" w:sz="6" w:space="0" w:color="FFFFFF"/>
          <w:bottom w:val="single" w:sz="6" w:space="0" w:color="FFFFFF"/>
          <w:right w:val="single" w:sz="6" w:space="0" w:color="FFFFFF"/>
        </w:pBdr>
      </w:pPr>
      <w:r w:rsidRPr="00B43BC7">
        <w:t xml:space="preserve">In the Administrator's judgment, </w:t>
      </w:r>
      <w:r w:rsidRPr="00B43BC7" w:rsidR="00B43BC7">
        <w:t>HAP</w:t>
      </w:r>
      <w:r w:rsidRPr="00B43BC7">
        <w:t xml:space="preserve"> emissions from </w:t>
      </w:r>
      <w:r w:rsidRPr="00B43BC7" w:rsidR="00B43BC7">
        <w:t xml:space="preserve">TPPUs and associated equipment that produce Group IV polymers and resins </w:t>
      </w:r>
      <w:r w:rsidRPr="00B43BC7">
        <w:t xml:space="preserve">cause or contribute to air pollution that may reasonably be anticipated to endanger public health or welfare. Therefore, the </w:t>
      </w:r>
      <w:r w:rsidRPr="00B43BC7" w:rsidR="00AE70A5">
        <w:t>NESHAP</w:t>
      </w:r>
      <w:r w:rsidRPr="00B43BC7">
        <w:t xml:space="preserve"> were promulgated for this source category at 40 CFR Part </w:t>
      </w:r>
      <w:r w:rsidRPr="00B43BC7" w:rsidR="00B43BC7">
        <w:t>63</w:t>
      </w:r>
      <w:r w:rsidRPr="00B43BC7">
        <w:t>,</w:t>
      </w:r>
      <w:r w:rsidRPr="00B43BC7">
        <w:rPr>
          <w:b/>
          <w:bCs/>
          <w:i/>
          <w:iCs/>
        </w:rPr>
        <w:t xml:space="preserve"> </w:t>
      </w:r>
      <w:r w:rsidRPr="00B43BC7">
        <w:t xml:space="preserve">Subpart </w:t>
      </w:r>
      <w:r w:rsidRPr="00B43BC7" w:rsidR="00B43BC7">
        <w:t>JJJ.</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43BC7" w:rsidRPr="008A5926" w:rsidP="00B43BC7" w14:paraId="301F26CB" w14:textId="03980E8D">
      <w:pPr>
        <w:pBdr>
          <w:top w:val="single" w:sz="6" w:space="0" w:color="FFFFFF"/>
          <w:left w:val="single" w:sz="6" w:space="0" w:color="FFFFFF"/>
          <w:bottom w:val="single" w:sz="6" w:space="0" w:color="FFFFFF"/>
          <w:right w:val="single" w:sz="6" w:space="0" w:color="FFFFFF"/>
        </w:pBdr>
      </w:pPr>
      <w:r w:rsidRPr="008A5926">
        <w:t>The recordkeeping and reporting requirements in the</w:t>
      </w:r>
      <w:r>
        <w:t>se</w:t>
      </w:r>
      <w:r w:rsidRPr="008A5926">
        <w:t xml:space="preserve"> standard</w:t>
      </w:r>
      <w:r>
        <w:t>s</w:t>
      </w:r>
      <w:r w:rsidRPr="008A5926">
        <w:t xml:space="preserve"> ensure compliance with the applicable regulations which were promulgated in accordance with the Clean Air Act. The collected information is also used for targeting inspections and as evidence in legal proceedings.</w:t>
      </w:r>
    </w:p>
    <w:p w:rsidR="00B43BC7" w:rsidRPr="008A5926" w:rsidP="00B43BC7" w14:paraId="0357E450" w14:textId="62E4D675">
      <w:pPr>
        <w:pBdr>
          <w:top w:val="single" w:sz="6" w:space="0" w:color="FFFFFF"/>
          <w:left w:val="single" w:sz="6" w:space="0" w:color="FFFFFF"/>
          <w:bottom w:val="single" w:sz="6" w:space="0" w:color="FFFFFF"/>
          <w:right w:val="single" w:sz="6" w:space="0" w:color="FFFFFF"/>
        </w:pBdr>
      </w:pPr>
      <w:r w:rsidRPr="008A5926">
        <w:t xml:space="preserve">Performance tests are required </w:t>
      </w:r>
      <w:r w:rsidRPr="008A5926">
        <w:t>in order to</w:t>
      </w:r>
      <w:r w:rsidRPr="008A5926">
        <w:t xml:space="preserve"> determine an affected facility’s initial capability to comply with the emission standard</w:t>
      </w:r>
      <w:r>
        <w:t>s</w:t>
      </w:r>
      <w:r w:rsidRPr="008A5926">
        <w:t xml:space="preserve">. Continuous emission monitors are used to </w:t>
      </w:r>
      <w:r w:rsidRPr="008A5926">
        <w:t>ensure compliance with the</w:t>
      </w:r>
      <w:r>
        <w:t>se</w:t>
      </w:r>
      <w:r w:rsidRPr="008A5926">
        <w:t xml:space="preserve"> </w:t>
      </w:r>
      <w:r w:rsidRPr="008A5926">
        <w:t>standard</w:t>
      </w:r>
      <w:r>
        <w:t>s</w:t>
      </w:r>
      <w:r w:rsidRPr="008A5926">
        <w:t xml:space="preserve"> at all times</w:t>
      </w:r>
      <w:r w:rsidRPr="008A5926">
        <w:t xml:space="preserve">. During the performance test a record of the operating parameters under which compliance was achieved may be recorded and used to determine compliance in place of a continuous emission monitor. </w:t>
      </w:r>
    </w:p>
    <w:p w:rsidR="00B43BC7" w:rsidRPr="008A5926" w:rsidP="00B43BC7" w14:paraId="5DDE7D32" w14:textId="77777777">
      <w:pPr>
        <w:pBdr>
          <w:top w:val="single" w:sz="6" w:space="0" w:color="FFFFFF"/>
          <w:left w:val="single" w:sz="6" w:space="0" w:color="FFFFFF"/>
          <w:bottom w:val="single" w:sz="6" w:space="0" w:color="FFFFFF"/>
          <w:right w:val="single" w:sz="6" w:space="0" w:color="FFFFFF"/>
        </w:pBdr>
      </w:pPr>
      <w:r w:rsidRPr="008A5926">
        <w:t>The notifications required in the</w:t>
      </w:r>
      <w:r>
        <w:t>se</w:t>
      </w:r>
      <w:r w:rsidRPr="008A5926">
        <w:t xml:space="preserve"> standard</w:t>
      </w:r>
      <w:r>
        <w:t>s</w:t>
      </w:r>
      <w:r w:rsidRPr="008A5926">
        <w:t xml:space="preserve">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w:t>
      </w:r>
      <w:r>
        <w:t xml:space="preserve">that </w:t>
      </w:r>
      <w:r w:rsidRPr="008A5926">
        <w:t>the</w:t>
      </w:r>
      <w:r>
        <w:t>se</w:t>
      </w:r>
      <w:r w:rsidRPr="008A5926">
        <w:t xml:space="preserve"> standard</w:t>
      </w:r>
      <w:r>
        <w:t>s are</w:t>
      </w:r>
      <w:r w:rsidRPr="008A5926">
        <w:t xml:space="preserve"> being met. The performance test may also be observed.</w:t>
      </w:r>
    </w:p>
    <w:p w:rsidR="00BB432F" w:rsidP="00854AAE" w14:paraId="1E879A61" w14:textId="0017D72B">
      <w:pPr>
        <w:pBdr>
          <w:top w:val="single" w:sz="6" w:space="0" w:color="FFFFFF"/>
          <w:left w:val="single" w:sz="6" w:space="0" w:color="FFFFFF"/>
          <w:bottom w:val="single" w:sz="6" w:space="0" w:color="FFFFFF"/>
          <w:right w:val="single" w:sz="6" w:space="0" w:color="FFFFFF"/>
        </w:pBdr>
      </w:pPr>
      <w:r w:rsidRPr="008A5926">
        <w:t>The required semiannual reports are used to determine periods of excess emissions, identify problems at the facility, verify operation/maintenance procedures and for compliance determinations.</w:t>
      </w:r>
    </w:p>
    <w:p w:rsidR="00074917" w:rsidRPr="00E3122D" w:rsidP="00854AAE" w14:paraId="1522D565" w14:textId="4FA9A286">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27C1B65E" w14:textId="74F1348F">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The rule was amended to include electronic reporting provisions on</w:t>
      </w:r>
      <w:r w:rsidR="00E6717A">
        <w:rPr>
          <w:rFonts w:cstheme="minorHAnsi"/>
          <w:color w:val="000000"/>
        </w:rPr>
        <w:t xml:space="preserve"> March 27, </w:t>
      </w:r>
      <w:r w:rsidR="00E6717A">
        <w:rPr>
          <w:rFonts w:cstheme="minorHAnsi"/>
          <w:color w:val="000000"/>
        </w:rPr>
        <w:t>2014</w:t>
      </w:r>
      <w:r w:rsidR="00E6717A">
        <w:rPr>
          <w:rFonts w:cstheme="minorHAnsi"/>
          <w:color w:val="000000"/>
        </w:rPr>
        <w:t xml:space="preserve"> and</w:t>
      </w:r>
      <w:r w:rsidR="00B5008A">
        <w:rPr>
          <w:rFonts w:cstheme="minorHAnsi"/>
          <w:color w:val="000000"/>
        </w:rPr>
        <w:t xml:space="preserve"> </w:t>
      </w:r>
      <w:r w:rsidR="00E6717A">
        <w:rPr>
          <w:rFonts w:cstheme="minorHAnsi"/>
          <w:color w:val="000000"/>
        </w:rPr>
        <w:t xml:space="preserve">November 19, 2020. </w:t>
      </w:r>
      <w:r w:rsidRPr="0093123F">
        <w:rPr>
          <w:rFonts w:cstheme="minorHAnsi"/>
          <w:color w:val="000000"/>
        </w:rPr>
        <w:t>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 For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6"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6"/>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7" w:name="_Toc156593372"/>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E6717A" w:rsidP="00E6717A" w14:paraId="518B46AB" w14:textId="1E7E77F4">
      <w:pPr>
        <w:pBdr>
          <w:top w:val="single" w:sz="6" w:space="0" w:color="FFFFFF"/>
          <w:left w:val="single" w:sz="6" w:space="0" w:color="FFFFFF"/>
          <w:bottom w:val="single" w:sz="6" w:space="0" w:color="FFFFFF"/>
          <w:right w:val="single" w:sz="6" w:space="0" w:color="FFFFFF"/>
        </w:pBdr>
      </w:pPr>
      <w:r>
        <w:t>The</w:t>
      </w:r>
      <w:r w:rsidRPr="008A5926">
        <w:t xml:space="preserve"> majority of</w:t>
      </w:r>
      <w:r w:rsidRPr="008A5926">
        <w:t xml:space="preserve"> the respondents are large entities (i.e., large businesses). However, the impact on small entities (i.e., small businesses) was taken into consideration during the development of the</w:t>
      </w:r>
      <w:r>
        <w:t>se</w:t>
      </w:r>
      <w:r w:rsidRPr="008A5926">
        <w:t xml:space="preserve"> regulation</w:t>
      </w:r>
      <w:r>
        <w:t>s</w:t>
      </w:r>
      <w:r w:rsidRPr="008A5926">
        <w:t>.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8" w:name="_Toc156593373"/>
      <w:r w:rsidRPr="4BDBF0A0">
        <w:rPr>
          <w:b/>
          <w:bCs/>
        </w:rPr>
        <w:t>CONSEQUENCES</w:t>
      </w:r>
      <w:r w:rsidRPr="4BDBF0A0" w:rsidR="00061A77">
        <w:rPr>
          <w:b/>
          <w:bCs/>
        </w:rPr>
        <w:t xml:space="preserve"> OF LESS FREQUENT COLLECTION</w:t>
      </w:r>
      <w:bookmarkEnd w:id="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9" w:name="_Toc156593374"/>
      <w:r w:rsidRPr="00E3122D">
        <w:rPr>
          <w:rFonts w:cstheme="minorHAnsi"/>
          <w:b/>
          <w:bCs/>
        </w:rPr>
        <w:t>GENERAL GUIDELINES</w:t>
      </w:r>
      <w:bookmarkEnd w:id="9"/>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5BF604F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111663" w:rsidRPr="00E6717A" w:rsidP="00854AAE" w14:paraId="775EDF16" w14:textId="6654BB20">
      <w:pPr>
        <w:pBdr>
          <w:top w:val="single" w:sz="6" w:space="0" w:color="FFFFFF"/>
          <w:left w:val="single" w:sz="6" w:space="0" w:color="FFFFFF"/>
          <w:bottom w:val="single" w:sz="6" w:space="0" w:color="FFFFFF"/>
          <w:right w:val="single" w:sz="6" w:space="0" w:color="FFFFFF"/>
        </w:pBdr>
      </w:pPr>
      <w:r w:rsidRPr="00E6717A">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0" w:name="_Toc156593375"/>
      <w:r w:rsidRPr="00E3122D">
        <w:rPr>
          <w:rFonts w:cstheme="minorHAnsi"/>
          <w:b/>
          <w:bCs/>
        </w:rPr>
        <w:t>PUBLIC COMMENT AND CONSULTATIONS</w:t>
      </w:r>
      <w:bookmarkStart w:id="11" w:name="_Toc156593376"/>
      <w:bookmarkEnd w:id="1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2" w:name="_Toc156593377"/>
      <w:bookmarkEnd w:id="11"/>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2"/>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93123F" w:rsidRPr="00FE090D" w:rsidP="0093123F" w14:paraId="2523EFF7" w14:textId="55AD98E2">
      <w:pPr>
        <w:rPr>
          <w:rFonts w:cstheme="minorHAnsi"/>
        </w:rPr>
      </w:pPr>
      <w:r w:rsidRPr="00FE090D">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w:t>
      </w:r>
      <w:r w:rsidR="00E6717A">
        <w:rPr>
          <w:rFonts w:cstheme="minorHAnsi"/>
        </w:rPr>
        <w:t xml:space="preserve"> Plastics Industry Association</w:t>
      </w:r>
      <w:r w:rsidRPr="00FE090D">
        <w:rPr>
          <w:rFonts w:cstheme="minorHAnsi"/>
        </w:rPr>
        <w:t xml:space="preserve"> at</w:t>
      </w:r>
      <w:r w:rsidR="00E6717A">
        <w:rPr>
          <w:rFonts w:cstheme="minorHAnsi"/>
        </w:rPr>
        <w:t xml:space="preserve"> 202-</w:t>
      </w:r>
      <w:r w:rsidRPr="00E6717A" w:rsidR="00E6717A">
        <w:t xml:space="preserve"> </w:t>
      </w:r>
      <w:r w:rsidRPr="00E6717A" w:rsidR="00E6717A">
        <w:rPr>
          <w:rFonts w:cstheme="minorHAnsi"/>
        </w:rPr>
        <w:t>974-5200</w:t>
      </w:r>
      <w:r w:rsidR="00E6717A">
        <w:rPr>
          <w:rFonts w:cstheme="minorHAnsi"/>
        </w:rPr>
        <w:t>,</w:t>
      </w:r>
      <w:r w:rsidRPr="00FE090D">
        <w:rPr>
          <w:rFonts w:cstheme="minorHAnsi"/>
        </w:rPr>
        <w:t xml:space="preserve"> and </w:t>
      </w:r>
      <w:r>
        <w:rPr>
          <w:rFonts w:cstheme="minorHAnsi"/>
        </w:rPr>
        <w:t xml:space="preserve">the </w:t>
      </w:r>
      <w:r w:rsidR="00E6717A">
        <w:rPr>
          <w:rFonts w:cstheme="minorHAnsi"/>
        </w:rPr>
        <w:t xml:space="preserve">American Composites Manufacturers Association </w:t>
      </w:r>
      <w:r w:rsidRPr="00FE090D">
        <w:rPr>
          <w:rFonts w:cstheme="minorHAnsi"/>
        </w:rPr>
        <w:t>at</w:t>
      </w:r>
      <w:r w:rsidR="00E6717A">
        <w:rPr>
          <w:rFonts w:cstheme="minorHAnsi"/>
        </w:rPr>
        <w:t xml:space="preserve"> </w:t>
      </w:r>
      <w:r w:rsidRPr="00E6717A" w:rsidR="00E6717A">
        <w:rPr>
          <w:rFonts w:cstheme="minorHAnsi"/>
        </w:rPr>
        <w:t>703-525-0511</w:t>
      </w:r>
      <w:r w:rsidRPr="00FE090D">
        <w:rPr>
          <w:rFonts w:cstheme="minorHAnsi"/>
        </w:rPr>
        <w:t>.</w:t>
      </w:r>
      <w:r>
        <w:rPr>
          <w:rFonts w:cstheme="minorHAnsi"/>
        </w:rPr>
        <w:t xml:space="preserve"> 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3" w:name="_Toc156593378"/>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4" w:name="_Toc156593380"/>
      <w:r w:rsidRPr="4BDBF0A0">
        <w:rPr>
          <w:b/>
          <w:bCs/>
        </w:rPr>
        <w:t>JUSTIFICATION FOR SENSITIVE QUESTIONS</w:t>
      </w:r>
      <w:bookmarkEnd w:id="14"/>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5" w:name="_Toc156593381"/>
      <w:r w:rsidRPr="4BDBF0A0">
        <w:rPr>
          <w:b/>
          <w:bCs/>
        </w:rPr>
        <w:t>RESPONDENT BURDEN HOURS</w:t>
      </w:r>
      <w:r w:rsidRPr="4BDBF0A0" w:rsidR="00DB799B">
        <w:rPr>
          <w:b/>
          <w:bCs/>
        </w:rPr>
        <w:t xml:space="preserve"> &amp; LABOR COSTS</w:t>
      </w:r>
      <w:bookmarkStart w:id="16" w:name="_Toc156593382"/>
      <w:bookmarkEnd w:id="15"/>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7" w:name="_Toc156593383"/>
      <w:bookmarkEnd w:id="16"/>
    </w:p>
    <w:p w:rsidR="00E6717A" w:rsidRPr="001C7948" w:rsidP="00E6717A" w14:paraId="1AAEE2E7" w14:textId="77777777">
      <w:pPr>
        <w:pBdr>
          <w:top w:val="single" w:sz="6" w:space="0" w:color="FFFFFF"/>
          <w:left w:val="single" w:sz="6" w:space="0" w:color="FFFFFF"/>
          <w:bottom w:val="single" w:sz="6" w:space="0" w:color="FFFFFF"/>
          <w:right w:val="single" w:sz="6" w:space="0" w:color="FFFFFF"/>
        </w:pBdr>
      </w:pPr>
      <w:r w:rsidRPr="00BB7977">
        <w:rPr>
          <w:rFonts w:cstheme="minorHAnsi"/>
          <w:color w:val="000000"/>
        </w:rPr>
        <w:t>The respondents to the recordkeeping and reporting requirements are</w:t>
      </w:r>
      <w:r>
        <w:rPr>
          <w:rFonts w:cstheme="minorHAnsi"/>
          <w:color w:val="000000"/>
        </w:rPr>
        <w:t xml:space="preserve"> </w:t>
      </w:r>
      <w:r w:rsidRPr="008A5926">
        <w:t>owners or operators of any existing or new TPPUs and associated equipment that produce Group IV polymers and resins that are a major source of HAP emissions</w:t>
      </w:r>
      <w:r w:rsidRPr="001C7948">
        <w:t xml:space="preserve">. The United States Standard Industrial Classification (SIC) code for the </w:t>
      </w:r>
      <w:r w:rsidRPr="001C7948">
        <w:t xml:space="preserve">respondents affected by the standards is </w:t>
      </w:r>
      <w:r w:rsidRPr="001C7948">
        <w:t>SIC</w:t>
      </w:r>
      <w:r w:rsidRPr="001C7948">
        <w:t xml:space="preserve"> 2821, which corresponds to the North American Industry Classification System (NAICS) 325211 for Plastic Material and Resin Manufacturing. </w:t>
      </w:r>
    </w:p>
    <w:p w:rsidR="00D71532" w:rsidRPr="001C7948" w:rsidP="00D71532" w14:paraId="2A0FDEFD" w14:textId="7A47BA0B">
      <w:pPr>
        <w:pBdr>
          <w:top w:val="single" w:sz="6" w:space="0" w:color="FFFFFF"/>
          <w:left w:val="single" w:sz="6" w:space="0" w:color="FFFFFF"/>
          <w:bottom w:val="single" w:sz="6" w:space="0" w:color="FFFFFF"/>
          <w:right w:val="single" w:sz="6" w:space="0" w:color="FFFFFF"/>
        </w:pBdr>
        <w:spacing w:before="60"/>
        <w:rPr>
          <w:rFonts w:cstheme="minorHAnsi"/>
        </w:rPr>
      </w:pPr>
      <w:r w:rsidRPr="001C7948">
        <w:rPr>
          <w:rFonts w:cstheme="minorHAnsi"/>
        </w:rPr>
        <w:t xml:space="preserve">Based on our research for this ICR, on average over the next three years, approximately </w:t>
      </w:r>
      <w:r w:rsidRPr="001C7948" w:rsidR="00B44779">
        <w:rPr>
          <w:rFonts w:cstheme="minorHAnsi"/>
        </w:rPr>
        <w:t>24</w:t>
      </w:r>
      <w:r w:rsidRPr="001C7948">
        <w:rPr>
          <w:rFonts w:cstheme="minorHAnsi"/>
        </w:rPr>
        <w:t xml:space="preserve"> existing respondents will be subject to the standard. It is estimated that </w:t>
      </w:r>
      <w:r w:rsidRPr="001C7948" w:rsidR="00B44779">
        <w:rPr>
          <w:rFonts w:cstheme="minorHAnsi"/>
        </w:rPr>
        <w:t>no</w:t>
      </w:r>
      <w:r w:rsidRPr="001C7948">
        <w:rPr>
          <w:rFonts w:cstheme="minorHAnsi"/>
        </w:rPr>
        <w:t xml:space="preserve"> additional </w:t>
      </w:r>
      <w:r w:rsidRPr="001C7948" w:rsidR="00B44779">
        <w:rPr>
          <w:rFonts w:cstheme="minorHAnsi"/>
        </w:rPr>
        <w:t>new</w:t>
      </w:r>
      <w:r w:rsidRPr="001C7948" w:rsidR="001912D6">
        <w:rPr>
          <w:rFonts w:cstheme="minorHAnsi"/>
        </w:rPr>
        <w:t xml:space="preserve"> </w:t>
      </w:r>
      <w:r w:rsidRPr="001C7948">
        <w:rPr>
          <w:rFonts w:cstheme="minorHAnsi"/>
        </w:rPr>
        <w:t xml:space="preserve">respondents per year will become subject, for an overall total of </w:t>
      </w:r>
      <w:r w:rsidRPr="001C7948" w:rsidR="00B44779">
        <w:rPr>
          <w:rFonts w:cstheme="minorHAnsi"/>
        </w:rPr>
        <w:t>24</w:t>
      </w:r>
      <w:r w:rsidRPr="001C7948">
        <w:rPr>
          <w:rFonts w:cstheme="minorHAnsi"/>
        </w:rPr>
        <w:t xml:space="preserve"> respondents per year. The number of respondents is calculated using the table </w:t>
      </w:r>
      <w:bookmarkStart w:id="18" w:name="_Hlk163570653"/>
      <w:r w:rsidRPr="001C7948">
        <w:rPr>
          <w:rFonts w:cstheme="minorHAnsi"/>
        </w:rPr>
        <w:t xml:space="preserve">Number of Respondents </w:t>
      </w:r>
      <w:bookmarkEnd w:id="18"/>
      <w:r w:rsidRPr="001C7948">
        <w:rPr>
          <w:rFonts w:cstheme="minorHAnsi"/>
        </w:rPr>
        <w:t xml:space="preserve">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w:t>
      </w:r>
      <w:r w:rsidRPr="001C7948" w:rsidR="00E6717A">
        <w:rPr>
          <w:rFonts w:cstheme="minorHAnsi"/>
        </w:rPr>
        <w:t>1.1</w:t>
      </w:r>
      <w:r w:rsidRPr="001C7948">
        <w:rPr>
          <w:rFonts w:cstheme="minorHAnsi"/>
        </w:rPr>
        <w:t xml:space="preserve"> affected facility at each plant site and each plant site has only one respondent (i.e., the owner/operator of the plant site).</w:t>
      </w:r>
    </w:p>
    <w:p w:rsidR="00D71532" w:rsidRPr="001C7948" w:rsidP="00854AAE" w14:paraId="6D3040F8" w14:textId="5EB0088A">
      <w:pPr>
        <w:pBdr>
          <w:top w:val="single" w:sz="6" w:space="0" w:color="FFFFFF"/>
          <w:left w:val="single" w:sz="6" w:space="0" w:color="FFFFFF"/>
          <w:bottom w:val="single" w:sz="6" w:space="0" w:color="FFFFFF"/>
          <w:right w:val="single" w:sz="6" w:space="0" w:color="FFFFFF"/>
        </w:pBdr>
        <w:spacing w:before="60"/>
        <w:rPr>
          <w:rFonts w:cstheme="minorHAnsi"/>
        </w:rPr>
      </w:pPr>
      <w:r w:rsidRPr="001C7948">
        <w:rPr>
          <w:rFonts w:cstheme="minorHAnsi"/>
        </w:rPr>
        <w:t xml:space="preserve">The total number of annual responses per year is calculated using the table Total Annual Responses shown below. The number of Total Annual Responses is </w:t>
      </w:r>
      <w:r w:rsidRPr="001C7948" w:rsidR="00B44779">
        <w:rPr>
          <w:rFonts w:cstheme="minorHAnsi"/>
        </w:rPr>
        <w:t>218</w:t>
      </w:r>
      <w:r w:rsidRPr="001C7948">
        <w:rPr>
          <w:rFonts w:cstheme="minorHAnsi"/>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9" w:name="_Toc156593384"/>
      <w:bookmarkEnd w:id="17"/>
    </w:p>
    <w:p w:rsidR="00987C8D" w:rsidRPr="00660D75" w:rsidP="00660D75" w14:paraId="1DF0EBFD" w14:textId="61873D17">
      <w:pPr>
        <w:pBdr>
          <w:top w:val="single" w:sz="6" w:space="0" w:color="FFFFFF"/>
          <w:left w:val="single" w:sz="6" w:space="0" w:color="FFFFFF"/>
          <w:bottom w:val="single" w:sz="6" w:space="0" w:color="FFFFFF"/>
          <w:right w:val="single" w:sz="6" w:space="0" w:color="FFFFFF"/>
        </w:pBdr>
      </w:pPr>
      <w:r w:rsidRPr="00987C8D">
        <w:rPr>
          <w:rFonts w:cstheme="minorHAnsi"/>
          <w:color w:val="000000"/>
        </w:rPr>
        <w:t xml:space="preserve">In this ICR, all the data that are recorded or reported is required </w:t>
      </w:r>
      <w:r w:rsidRPr="008A5926" w:rsidR="00660D75">
        <w:t xml:space="preserve">by the NESHAP for Group IV Polymers and Resins (40 CFR Part 63, Subpart JJJ). </w:t>
      </w:r>
      <w:r w:rsidRPr="00987C8D">
        <w:rPr>
          <w:rFonts w:cstheme="minorHAnsi"/>
          <w:color w:val="000000"/>
        </w:rPr>
        <w:t xml:space="preserve">Any owner/operator </w:t>
      </w:r>
      <w:r w:rsidRPr="001C7948">
        <w:rPr>
          <w:rFonts w:cstheme="minorHAnsi"/>
        </w:rPr>
        <w:t xml:space="preserve">subject to the provisions of this part shall maintain a file of these measurements and retain the file for at least </w:t>
      </w:r>
      <w:r w:rsidRPr="001C7948" w:rsidR="00660D75">
        <w:rPr>
          <w:rFonts w:cstheme="minorHAnsi"/>
        </w:rPr>
        <w:t>five</w:t>
      </w:r>
      <w:r w:rsidRPr="001C7948">
        <w:rPr>
          <w:rFonts w:cstheme="minorHAnsi"/>
        </w:rPr>
        <w:t xml:space="preserve"> years</w:t>
      </w:r>
      <w:r w:rsidRPr="00987C8D">
        <w:rPr>
          <w:rFonts w:cstheme="minorHAnsi"/>
          <w:color w:val="000000"/>
        </w:rPr>
        <w:t xml:space="preserve">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660D75" w:rsidRPr="00862AD0" w:rsidP="00660D75" w14:paraId="69DEB2E2" w14:textId="40D68133">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862AD0">
              <w:t>Notification of Compliance Status</w:t>
            </w:r>
          </w:p>
        </w:tc>
        <w:tc>
          <w:tcPr>
            <w:tcW w:w="2529" w:type="dxa"/>
            <w:tcBorders>
              <w:top w:val="single" w:sz="8" w:space="0" w:color="000000"/>
              <w:left w:val="single" w:sz="8" w:space="0" w:color="000000"/>
              <w:bottom w:val="single" w:sz="8" w:space="0" w:color="000000"/>
              <w:right w:val="single" w:sz="8" w:space="0" w:color="000000"/>
            </w:tcBorders>
            <w:hideMark/>
          </w:tcPr>
          <w:p w:rsidR="00660D75" w:rsidRPr="00862AD0" w:rsidP="00660D75" w14:paraId="1F8187B5" w14:textId="28DD57CE">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862AD0">
              <w:t>§63.1331(a)(4), §63.1335(e)(5)</w:t>
            </w:r>
          </w:p>
        </w:tc>
      </w:tr>
      <w:tr w14:paraId="42A53D6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660D75" w:rsidRPr="00862AD0" w:rsidP="00660D75" w14:paraId="7A28D8FD" w14:textId="002747B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Notification of storage vessel inspection</w:t>
            </w:r>
          </w:p>
        </w:tc>
        <w:tc>
          <w:tcPr>
            <w:tcW w:w="2529" w:type="dxa"/>
            <w:tcBorders>
              <w:top w:val="single" w:sz="8" w:space="0" w:color="000000"/>
              <w:left w:val="single" w:sz="8" w:space="0" w:color="000000"/>
              <w:bottom w:val="single" w:sz="8" w:space="0" w:color="000000"/>
              <w:right w:val="single" w:sz="8" w:space="0" w:color="000000"/>
            </w:tcBorders>
          </w:tcPr>
          <w:p w:rsidR="00660D75" w:rsidRPr="00862AD0" w:rsidP="00660D75" w14:paraId="0C195381" w14:textId="4E7E390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§63.1335(e)(7)(</w:t>
            </w:r>
            <w:r w:rsidRPr="00862AD0">
              <w:t>i</w:t>
            </w:r>
            <w:r w:rsidRPr="00862AD0">
              <w:t>)</w:t>
            </w:r>
          </w:p>
        </w:tc>
      </w:tr>
      <w:tr w14:paraId="24A5B1C6"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660D75" w:rsidRPr="00862AD0" w:rsidP="00660D75" w14:paraId="173AD885" w14:textId="7DF7D8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Notification of performance tests</w:t>
            </w:r>
          </w:p>
        </w:tc>
        <w:tc>
          <w:tcPr>
            <w:tcW w:w="2529" w:type="dxa"/>
            <w:tcBorders>
              <w:top w:val="single" w:sz="8" w:space="0" w:color="000000"/>
              <w:left w:val="single" w:sz="8" w:space="0" w:color="000000"/>
              <w:bottom w:val="single" w:sz="8" w:space="0" w:color="000000"/>
              <w:right w:val="single" w:sz="8" w:space="0" w:color="000000"/>
            </w:tcBorders>
          </w:tcPr>
          <w:p w:rsidR="00660D75" w:rsidRPr="00862AD0" w:rsidP="00660D75" w14:paraId="47911A2B" w14:textId="5B5D938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§63.1333(a)(4)</w:t>
            </w:r>
          </w:p>
        </w:tc>
      </w:tr>
      <w:tr w14:paraId="372F3F46"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660D75" w:rsidRPr="00862AD0" w:rsidP="00660D75" w14:paraId="03A1BDB8" w14:textId="2841505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Requirements for batch process vents in the Notification of Compliance Status</w:t>
            </w:r>
          </w:p>
        </w:tc>
        <w:tc>
          <w:tcPr>
            <w:tcW w:w="2529" w:type="dxa"/>
            <w:tcBorders>
              <w:top w:val="single" w:sz="8" w:space="0" w:color="000000"/>
              <w:left w:val="single" w:sz="8" w:space="0" w:color="000000"/>
              <w:bottom w:val="single" w:sz="8" w:space="0" w:color="000000"/>
              <w:right w:val="single" w:sz="8" w:space="0" w:color="000000"/>
            </w:tcBorders>
          </w:tcPr>
          <w:p w:rsidR="00660D75" w:rsidRPr="00862AD0" w:rsidP="00660D75" w14:paraId="6EF7E594" w14:textId="2FF2B7A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§63.1327(a)</w:t>
            </w:r>
          </w:p>
        </w:tc>
      </w:tr>
      <w:tr w14:paraId="218C732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660D75" w:rsidRPr="00862AD0" w:rsidP="00660D75" w14:paraId="5F9B50AC" w14:textId="6CB36DC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PCCT requirements in Notification of Compliance Status</w:t>
            </w:r>
          </w:p>
        </w:tc>
        <w:tc>
          <w:tcPr>
            <w:tcW w:w="2529" w:type="dxa"/>
            <w:tcBorders>
              <w:top w:val="single" w:sz="8" w:space="0" w:color="000000"/>
              <w:left w:val="single" w:sz="8" w:space="0" w:color="000000"/>
              <w:bottom w:val="single" w:sz="8" w:space="0" w:color="000000"/>
              <w:right w:val="single" w:sz="8" w:space="0" w:color="000000"/>
            </w:tcBorders>
          </w:tcPr>
          <w:p w:rsidR="00660D75" w:rsidRPr="00862AD0" w:rsidP="00660D75" w14:paraId="6472C214" w14:textId="0D7B7DC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§63.1329(c)(3)</w:t>
            </w:r>
          </w:p>
        </w:tc>
      </w:tr>
      <w:tr w14:paraId="65AF09E9"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660D75" w:rsidRPr="00862AD0" w:rsidP="00660D75" w14:paraId="242B4D22" w14:textId="3A8714C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Notification of alternative test method</w:t>
            </w:r>
          </w:p>
        </w:tc>
        <w:tc>
          <w:tcPr>
            <w:tcW w:w="2529" w:type="dxa"/>
            <w:tcBorders>
              <w:top w:val="single" w:sz="8" w:space="0" w:color="000000"/>
              <w:left w:val="single" w:sz="8" w:space="0" w:color="000000"/>
              <w:bottom w:val="single" w:sz="8" w:space="0" w:color="000000"/>
              <w:right w:val="single" w:sz="8" w:space="0" w:color="000000"/>
            </w:tcBorders>
          </w:tcPr>
          <w:p w:rsidR="00660D75" w:rsidRPr="00862AD0" w:rsidP="00660D75" w14:paraId="2C3AC547" w14:textId="5595BA9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§63.7(f)</w:t>
            </w:r>
          </w:p>
        </w:tc>
      </w:tr>
      <w:tr w14:paraId="521D01E0"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660D75" w:rsidRPr="00862AD0" w:rsidP="00660D75" w14:paraId="6DC557FD" w14:textId="6B35EE9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Notification of special compliance requirements</w:t>
            </w:r>
          </w:p>
        </w:tc>
        <w:tc>
          <w:tcPr>
            <w:tcW w:w="2529" w:type="dxa"/>
            <w:tcBorders>
              <w:top w:val="single" w:sz="8" w:space="0" w:color="000000"/>
              <w:left w:val="single" w:sz="8" w:space="0" w:color="000000"/>
              <w:bottom w:val="single" w:sz="8" w:space="0" w:color="000000"/>
              <w:right w:val="single" w:sz="8" w:space="0" w:color="000000"/>
            </w:tcBorders>
          </w:tcPr>
          <w:p w:rsidR="00660D75" w:rsidRPr="00862AD0" w:rsidP="00660D75" w14:paraId="46CD6EB5" w14:textId="6C236D7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§63.9(d)</w:t>
            </w:r>
          </w:p>
        </w:tc>
      </w:tr>
      <w:tr w14:paraId="3523066C"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40165" w:rsidRPr="00862AD0" w:rsidP="00940165" w14:paraId="432AF04A" w14:textId="77777777">
            <w:pPr>
              <w:spacing w:line="120" w:lineRule="exact"/>
            </w:pPr>
          </w:p>
          <w:p w:rsidR="00940165" w:rsidRPr="00862AD0" w:rsidP="00940165" w14:paraId="583255F7" w14:textId="61512CD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Notification of changes in information (reclassification to area source status or to revert to major source status) (electronic submission)</w:t>
            </w:r>
          </w:p>
        </w:tc>
        <w:tc>
          <w:tcPr>
            <w:tcW w:w="2529" w:type="dxa"/>
            <w:tcBorders>
              <w:top w:val="single" w:sz="8" w:space="0" w:color="000000"/>
              <w:left w:val="single" w:sz="8" w:space="0" w:color="000000"/>
              <w:bottom w:val="single" w:sz="8" w:space="0" w:color="000000"/>
              <w:right w:val="single" w:sz="8" w:space="0" w:color="000000"/>
            </w:tcBorders>
          </w:tcPr>
          <w:p w:rsidR="00940165" w:rsidRPr="00862AD0" w:rsidP="00940165" w14:paraId="7345D56A" w14:textId="77777777">
            <w:pPr>
              <w:spacing w:line="120" w:lineRule="exact"/>
            </w:pPr>
          </w:p>
          <w:p w:rsidR="00940165" w:rsidRPr="00987C8D" w:rsidP="00940165" w14:paraId="1E18B6A1" w14:textId="5919281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62AD0">
              <w:t>§63.9(b), §63.9(j)</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28B0BBC9" w14:textId="77777777" w:rsidTr="007A166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4A6CF907" w14:textId="11E6B1D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Reports of malfunctions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519A54B6" w14:textId="5A4230A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§63.1335(b)(1)(ii)</w:t>
            </w:r>
          </w:p>
        </w:tc>
      </w:tr>
      <w:tr w14:paraId="597277DD" w14:textId="77777777" w:rsidTr="007A166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1F20D68D" w14:textId="3851F19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Pre-compliance report for requesting an extension of compliance; requesting approval to use alternative monitoring parameters, alternative continuous monitoring and recordkeeping or alternative controls; requesting approval to use engineering assessment to estimate emissions from a batch emissions episode; or wishing to establish parameter monitoring levels according to the procedures in §63.1334(c) or (d)</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49D3B278" w14:textId="3AAE86D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§63.9(c), §63.1335(e)(3)</w:t>
            </w:r>
          </w:p>
        </w:tc>
      </w:tr>
      <w:tr w14:paraId="36F90CE1" w14:textId="77777777" w:rsidTr="007A166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634D4B27" w14:textId="54780DD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Progress report for affected sources that receiving an extension of compliance</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274902B1" w14:textId="1CB8F21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§63.10(d)(4)</w:t>
            </w:r>
          </w:p>
        </w:tc>
      </w:tr>
      <w:tr w14:paraId="795F6A69" w14:textId="77777777" w:rsidTr="007A166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0B6FDFA5" w14:textId="7E2C1A2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Emissions averaging plan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5DE3707E" w14:textId="7CF4DE3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§63.1335(e)(4)</w:t>
            </w:r>
          </w:p>
        </w:tc>
      </w:tr>
      <w:tr w14:paraId="1AC4BA2B" w14:textId="77777777" w:rsidTr="007A166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5C8239C6" w14:textId="58FD510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Semiannual or quarterly periodic reports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0AEF560C" w14:textId="091A2ED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§63.1335(e)(6)</w:t>
            </w:r>
          </w:p>
        </w:tc>
      </w:tr>
      <w:tr w14:paraId="6E1AC6D7" w14:textId="77777777" w:rsidTr="007A166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0826B2C1" w14:textId="4C82E76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Request of approval for a nominal control efficiency for use in calculating credits for an emissions average</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4FA45341" w14:textId="54F3842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§63.1335(e)(7)(ii)</w:t>
            </w:r>
          </w:p>
        </w:tc>
      </w:tr>
      <w:tr w14:paraId="3C826A51" w14:textId="77777777" w:rsidTr="007A166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144B2B55" w14:textId="1D22899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Report of changes to the primary product for a TPPU or process unit as required by §§63.1310(f)(3)(iii), 63.1310(f)(9), or 63.1310(f)(10)(iii)(C)</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22CA0DDC" w14:textId="510443A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§63.1335(e)(7)(iii)</w:t>
            </w:r>
          </w:p>
        </w:tc>
      </w:tr>
      <w:tr w14:paraId="6FC7A19C" w14:textId="77777777" w:rsidTr="007A166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72358482" w14:textId="2BA3946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Report of newly constructed/reconstructed sources subject to §63.1310(</w:t>
            </w:r>
            <w:r w:rsidRPr="00132A0D">
              <w:t>i</w:t>
            </w:r>
            <w:r w:rsidRPr="00132A0D">
              <w:t>)(1) or (</w:t>
            </w:r>
            <w:r w:rsidRPr="00132A0D">
              <w:t>i</w:t>
            </w:r>
            <w:r w:rsidRPr="00132A0D">
              <w:t xml:space="preserve">)(2) including a description of the process change or addition, planned start-up date and appropriate compliance date, and identification of the group status of emission points (except equipment leak components subject to §63.1331).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0A295C53" w14:textId="3D80817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§63.1335(e)(7)(iv)</w:t>
            </w:r>
          </w:p>
        </w:tc>
      </w:tr>
      <w:tr w14:paraId="7859CC49" w14:textId="77777777" w:rsidTr="00BB3D16">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176D4410" w14:textId="2DB4DB0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Operating permit application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55D8C711" w14:textId="0E43C75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§63.1335(e)(8)</w:t>
            </w:r>
          </w:p>
        </w:tc>
      </w:tr>
      <w:tr w14:paraId="090C9A3B" w14:textId="77777777" w:rsidTr="00BB3D16">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27FF090D" w14:textId="5943B4C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PRD requirements in Periodic reports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7E0B0D5D" w14:textId="157B953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§63.1335(e)(6)(xiii)</w:t>
            </w:r>
          </w:p>
        </w:tc>
      </w:tr>
      <w:tr w14:paraId="619F9D55" w14:textId="77777777" w:rsidTr="00BB3D16">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43877D0A" w14:textId="4117D45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 xml:space="preserve">Equipment </w:t>
            </w:r>
            <w:r w:rsidRPr="00132A0D">
              <w:t>leak</w:t>
            </w:r>
            <w:r w:rsidRPr="00132A0D">
              <w:t xml:space="preserve"> requirements in Periodic reports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3FD4CBEA" w14:textId="4A39EF6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§63.1331(a)(5), §63.182(a)(3), §63.182(d)</w:t>
            </w:r>
          </w:p>
        </w:tc>
      </w:tr>
      <w:tr w14:paraId="7E0FC2F9" w14:textId="77777777" w:rsidTr="00BB3D16">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4363B11A" w14:textId="2BA1846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 xml:space="preserve">Equipment </w:t>
            </w:r>
            <w:r w:rsidRPr="00132A0D">
              <w:t>leak</w:t>
            </w:r>
            <w:r w:rsidRPr="00132A0D">
              <w:t xml:space="preserve"> requirements in Periodic reports for “multiple-end-finisher” subcategory</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628E0983" w14:textId="6E6047C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§63.1331(c)(4)</w:t>
            </w:r>
          </w:p>
        </w:tc>
      </w:tr>
      <w:tr w14:paraId="2427FC8C"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202FC471" w14:textId="7EAF065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PCCT requirements in Periodic reports for “multiple-end-finisher” subcategory</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638FF146" w14:textId="1B924E0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§63.1329(c)</w:t>
            </w:r>
          </w:p>
        </w:tc>
      </w:tr>
      <w:tr w14:paraId="68C4130F"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E917B8" w:rsidP="00660D75" w14:paraId="4420BD12" w14:textId="5BA0DD96">
            <w:pPr>
              <w:pBdr>
                <w:top w:val="single" w:sz="6" w:space="0" w:color="FFFFFF"/>
                <w:left w:val="single" w:sz="6" w:space="0" w:color="FFFFFF"/>
                <w:bottom w:val="single" w:sz="6" w:space="0" w:color="FFFFFF"/>
                <w:right w:val="single" w:sz="6" w:space="0" w:color="FFFFFF"/>
              </w:pBdr>
              <w:spacing w:before="60"/>
            </w:pPr>
            <w:r w:rsidRPr="00132A0D">
              <w:t>Reports for PET and polystyrene affected sources using a control or recovery device to comply with §63.1316</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370227F7" w14:textId="45619C35">
            <w:pPr>
              <w:pBdr>
                <w:top w:val="single" w:sz="6" w:space="0" w:color="FFFFFF"/>
                <w:left w:val="single" w:sz="6" w:space="0" w:color="FFFFFF"/>
                <w:bottom w:val="single" w:sz="6" w:space="0" w:color="FFFFFF"/>
                <w:right w:val="single" w:sz="6" w:space="0" w:color="FFFFFF"/>
              </w:pBdr>
              <w:spacing w:before="60"/>
            </w:pPr>
            <w:r w:rsidRPr="0003773C">
              <w:t>§63.1315(a), §63.1320(a)</w:t>
            </w:r>
          </w:p>
        </w:tc>
      </w:tr>
      <w:tr w14:paraId="67F5B50D"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E917B8" w:rsidP="00660D75" w14:paraId="538D894E" w14:textId="4CB2797D">
            <w:pPr>
              <w:pBdr>
                <w:top w:val="single" w:sz="6" w:space="0" w:color="FFFFFF"/>
                <w:left w:val="single" w:sz="6" w:space="0" w:color="FFFFFF"/>
                <w:bottom w:val="single" w:sz="6" w:space="0" w:color="FFFFFF"/>
                <w:right w:val="single" w:sz="6" w:space="0" w:color="FFFFFF"/>
              </w:pBdr>
              <w:spacing w:before="60"/>
            </w:pPr>
            <w:r w:rsidRPr="00132A0D">
              <w:t>Report for PET affected sources using a dimethyl terephthalate process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77D95744" w14:textId="75EBA140">
            <w:pPr>
              <w:pBdr>
                <w:top w:val="single" w:sz="6" w:space="0" w:color="FFFFFF"/>
                <w:left w:val="single" w:sz="6" w:space="0" w:color="FFFFFF"/>
                <w:bottom w:val="single" w:sz="6" w:space="0" w:color="FFFFFF"/>
                <w:right w:val="single" w:sz="6" w:space="0" w:color="FFFFFF"/>
              </w:pBdr>
              <w:spacing w:before="60"/>
            </w:pPr>
            <w:r w:rsidRPr="0003773C">
              <w:t>§63.1320(b)</w:t>
            </w:r>
          </w:p>
        </w:tc>
      </w:tr>
      <w:tr w14:paraId="27A60EEB"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E917B8" w:rsidP="00660D75" w14:paraId="5378FBE7" w14:textId="6B960337">
            <w:pPr>
              <w:pBdr>
                <w:top w:val="single" w:sz="6" w:space="0" w:color="FFFFFF"/>
                <w:left w:val="single" w:sz="6" w:space="0" w:color="FFFFFF"/>
                <w:bottom w:val="single" w:sz="6" w:space="0" w:color="FFFFFF"/>
                <w:right w:val="single" w:sz="6" w:space="0" w:color="FFFFFF"/>
              </w:pBdr>
              <w:spacing w:before="60"/>
            </w:pPr>
            <w:r w:rsidRPr="00132A0D">
              <w:t xml:space="preserve">Reports for batch process vents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6364A8A1" w14:textId="750655A1">
            <w:pPr>
              <w:pBdr>
                <w:top w:val="single" w:sz="6" w:space="0" w:color="FFFFFF"/>
                <w:left w:val="single" w:sz="6" w:space="0" w:color="FFFFFF"/>
                <w:bottom w:val="single" w:sz="6" w:space="0" w:color="FFFFFF"/>
                <w:right w:val="single" w:sz="6" w:space="0" w:color="FFFFFF"/>
              </w:pBdr>
              <w:spacing w:before="60"/>
            </w:pPr>
            <w:r w:rsidRPr="0003773C">
              <w:t>§§63.1327(b)-(g)</w:t>
            </w:r>
          </w:p>
        </w:tc>
      </w:tr>
      <w:tr w14:paraId="42BF1AA5"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987C8D" w:rsidP="00660D75" w14:paraId="2D1052D7" w14:textId="5090582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917B8">
              <w:t>Performance test reports (electronic submission)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60D75" w:rsidRPr="0003773C" w:rsidP="00660D75" w14:paraId="6646BC9F" w14:textId="259904F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§63.1335(e)(9)</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624AF9">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3550D62A" w14:textId="6D9AA65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Records must be maintained for 5 years.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7934CA38" w14:textId="60ECF6B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§63.1335(a)</w:t>
            </w:r>
          </w:p>
        </w:tc>
      </w:tr>
      <w:tr w14:paraId="67792A54"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7559FCF3" w14:textId="7DC23F9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information, data, and analyses used to document the basis for the determination that the TPPU does not use or manufacture any organic HAP</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1849EF97" w14:textId="200DA38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§63.1310(b)</w:t>
            </w:r>
          </w:p>
        </w:tc>
      </w:tr>
      <w:tr w14:paraId="6D40F05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2E59B461" w14:textId="464628D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malfunctions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4269BB3D" w14:textId="0C9A651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§63.1335(b)(1)(</w:t>
            </w:r>
            <w:r w:rsidRPr="0003773C">
              <w:t>i</w:t>
            </w:r>
            <w:r w:rsidRPr="0003773C">
              <w:t>)</w:t>
            </w:r>
          </w:p>
        </w:tc>
      </w:tr>
      <w:tr w14:paraId="424F59E9"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66072D82" w14:textId="1A246BF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data values measured by monitoring system</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3C69CFA2" w14:textId="024F737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§63.1335(d)(1)</w:t>
            </w:r>
          </w:p>
        </w:tc>
      </w:tr>
      <w:tr w14:paraId="73BD26E2"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7939143C" w14:textId="3D0DA30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measured data value or block average values for 1 hour or shorter periods calculated from all measured data values during each period</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1DCA44C6" w14:textId="4F34149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§63.1335(d)(2)</w:t>
            </w:r>
          </w:p>
        </w:tc>
      </w:tr>
      <w:tr w14:paraId="08471119"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3A89ACD4" w14:textId="1C07D06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daily average (or batch cycle daily average) values of each continuously monitored parameter</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4EB81D40" w14:textId="72D30BE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§63.1335(d)(3)</w:t>
            </w:r>
          </w:p>
        </w:tc>
      </w:tr>
      <w:tr w14:paraId="4BFE9C93"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1C6B444D" w14:textId="257CB33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all recorded values for a given monitored parameter during an operating day are within the limits established in the Notice of Compliance Status or operating permit</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5A2802C1" w14:textId="3BF479E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§63.1335(d)(6)</w:t>
            </w:r>
          </w:p>
        </w:tc>
      </w:tr>
      <w:tr w14:paraId="781808D2"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01C993EA" w14:textId="2CF692B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times and durations of breakdowns, repairs, calibration checks, zero (low-level) and high-level adjustments, or periods of non-operation</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2D3C29B0" w14:textId="0A66C4C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§63.1335(d)(7)</w:t>
            </w:r>
          </w:p>
        </w:tc>
      </w:tr>
      <w:tr w14:paraId="30CF7E83"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4D1766DC" w14:textId="2398DC4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CMS calibration checks and maintenance</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15D1E875" w14:textId="3A46F6D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§63.1335(d)(8)</w:t>
            </w:r>
          </w:p>
        </w:tc>
      </w:tr>
      <w:tr w14:paraId="3CD66435"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047508B4" w14:textId="4F7883A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required as a condition of a waiver of recordkeeping or reporting requirements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18DBA1AF" w14:textId="5D5F669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§63.1335(d)(9)</w:t>
            </w:r>
          </w:p>
        </w:tc>
      </w:tr>
      <w:tr w14:paraId="0CAE060B"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07CF107C" w14:textId="2FEEE52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List of identification numbers for PRDs equipped with closed-vent system and control device, subject to provisions in §63.1331(a)(9)(iv)</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2DB8269C" w14:textId="7AD8E0A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§63.1335(d)(10)(</w:t>
            </w:r>
            <w:r w:rsidRPr="0003773C">
              <w:t>i</w:t>
            </w:r>
            <w:r w:rsidRPr="0003773C">
              <w:t>)</w:t>
            </w:r>
          </w:p>
        </w:tc>
      </w:tr>
      <w:tr w14:paraId="475C6778"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0B2A7F88" w14:textId="6D2F535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List of identification numbers for PRDs subject to provisions in §63.1331(a)(9)(</w:t>
            </w:r>
            <w:r w:rsidRPr="00132A0D">
              <w:t>i</w:t>
            </w:r>
            <w:r w:rsidRPr="00132A0D">
              <w:t>)</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786B4C56" w14:textId="4B9C0C9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§63.1335(d)(10)(ii)</w:t>
            </w:r>
          </w:p>
        </w:tc>
      </w:tr>
      <w:tr w14:paraId="73DEDED9"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3064F1D5" w14:textId="3C9BBF5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List of identification numbers for PRDs equipped with rupture disks, subject to provisions in §63.1331(a)(9)(ii)(B)</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2B9E52E5" w14:textId="3E0764B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§63.1335(d)(10)(iii)</w:t>
            </w:r>
          </w:p>
        </w:tc>
      </w:tr>
      <w:tr w14:paraId="4E57487A"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48182BDC" w14:textId="3CAE7AB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the dates and results of the Method 21 of 40 CFR Part 60, Appendix A, monitoring following a pressure release for each PRD subject to provisions in §63.1331(a)(9)(</w:t>
            </w:r>
            <w:r w:rsidRPr="00132A0D">
              <w:t>i</w:t>
            </w:r>
            <w:r w:rsidRPr="00132A0D">
              <w:t>) and (ii).</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625768AB" w14:textId="0CA7BDD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§63.1335(d)(10)(iv)</w:t>
            </w:r>
          </w:p>
        </w:tc>
      </w:tr>
      <w:tr w14:paraId="0E1AF70D"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987C8D" w:rsidP="00660D75" w14:paraId="058460CB" w14:textId="1A29B8E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2A0D">
              <w:t>Record of pressure release to the atmosphere for PRDs in organic HAP service subject to §63.1331(a)(9)(iii)</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4281F183" w14:textId="4DA6E4F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3773C">
              <w:t>§63.1335(d)(10)(v)</w:t>
            </w:r>
          </w:p>
        </w:tc>
      </w:tr>
      <w:tr w14:paraId="1674D5E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09DCE973" w14:textId="1B3FD62B">
            <w:pPr>
              <w:pBdr>
                <w:top w:val="single" w:sz="6" w:space="0" w:color="FFFFFF"/>
                <w:left w:val="single" w:sz="6" w:space="0" w:color="FFFFFF"/>
                <w:bottom w:val="single" w:sz="6" w:space="0" w:color="FFFFFF"/>
                <w:right w:val="single" w:sz="6" w:space="0" w:color="FFFFFF"/>
              </w:pBdr>
              <w:spacing w:before="60"/>
            </w:pPr>
            <w:r w:rsidRPr="00132A0D">
              <w:t>Records for PET and polystyrene affected sources using a control or recovery device to comply with §63.1316</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7AF4A542" w14:textId="7B07E6C4">
            <w:pPr>
              <w:pBdr>
                <w:top w:val="single" w:sz="6" w:space="0" w:color="FFFFFF"/>
                <w:left w:val="single" w:sz="6" w:space="0" w:color="FFFFFF"/>
                <w:bottom w:val="single" w:sz="6" w:space="0" w:color="FFFFFF"/>
                <w:right w:val="single" w:sz="6" w:space="0" w:color="FFFFFF"/>
              </w:pBdr>
              <w:spacing w:before="60"/>
            </w:pPr>
            <w:r w:rsidRPr="0003773C">
              <w:t>§63.1315(a), §63.1319(a)</w:t>
            </w:r>
          </w:p>
        </w:tc>
      </w:tr>
      <w:tr w14:paraId="0F9317A9"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61F96CF8" w14:textId="18FF74D4">
            <w:pPr>
              <w:pBdr>
                <w:top w:val="single" w:sz="6" w:space="0" w:color="FFFFFF"/>
                <w:left w:val="single" w:sz="6" w:space="0" w:color="FFFFFF"/>
                <w:bottom w:val="single" w:sz="6" w:space="0" w:color="FFFFFF"/>
                <w:right w:val="single" w:sz="6" w:space="0" w:color="FFFFFF"/>
              </w:pBdr>
              <w:spacing w:before="60"/>
            </w:pPr>
            <w:r w:rsidRPr="00132A0D">
              <w:t>Record for demonstrating compliance with the applicability determination procedure for PET affected sources using a dimethyl terephthalate process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38D647F3" w14:textId="1B31B8F7">
            <w:pPr>
              <w:pBdr>
                <w:top w:val="single" w:sz="6" w:space="0" w:color="FFFFFF"/>
                <w:left w:val="single" w:sz="6" w:space="0" w:color="FFFFFF"/>
                <w:bottom w:val="single" w:sz="6" w:space="0" w:color="FFFFFF"/>
                <w:right w:val="single" w:sz="6" w:space="0" w:color="FFFFFF"/>
              </w:pBdr>
              <w:spacing w:before="60"/>
            </w:pPr>
            <w:r w:rsidRPr="0003773C">
              <w:t>§63.1319(b)</w:t>
            </w:r>
          </w:p>
        </w:tc>
      </w:tr>
      <w:tr w14:paraId="4CA5AE1A"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6988C71C" w14:textId="0B14EB3F">
            <w:pPr>
              <w:pBdr>
                <w:top w:val="single" w:sz="6" w:space="0" w:color="FFFFFF"/>
                <w:left w:val="single" w:sz="6" w:space="0" w:color="FFFFFF"/>
                <w:bottom w:val="single" w:sz="6" w:space="0" w:color="FFFFFF"/>
                <w:right w:val="single" w:sz="6" w:space="0" w:color="FFFFFF"/>
              </w:pBdr>
              <w:spacing w:before="60"/>
            </w:pPr>
            <w:r w:rsidRPr="00132A0D">
              <w:t>Record for PET and polystyrene affected sources demonstrating compliance with temperature limits for final condensers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3F4B73C9" w14:textId="3C919486">
            <w:pPr>
              <w:pBdr>
                <w:top w:val="single" w:sz="6" w:space="0" w:color="FFFFFF"/>
                <w:left w:val="single" w:sz="6" w:space="0" w:color="FFFFFF"/>
                <w:bottom w:val="single" w:sz="6" w:space="0" w:color="FFFFFF"/>
                <w:right w:val="single" w:sz="6" w:space="0" w:color="FFFFFF"/>
              </w:pBdr>
              <w:spacing w:before="60"/>
            </w:pPr>
            <w:r w:rsidRPr="0003773C">
              <w:t>§63.1319(b)</w:t>
            </w:r>
          </w:p>
        </w:tc>
      </w:tr>
      <w:tr w14:paraId="763AB7AD"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489032DA" w14:textId="45A54FB3">
            <w:pPr>
              <w:pBdr>
                <w:top w:val="single" w:sz="6" w:space="0" w:color="FFFFFF"/>
                <w:left w:val="single" w:sz="6" w:space="0" w:color="FFFFFF"/>
                <w:bottom w:val="single" w:sz="6" w:space="0" w:color="FFFFFF"/>
                <w:right w:val="single" w:sz="6" w:space="0" w:color="FFFFFF"/>
              </w:pBdr>
              <w:spacing w:before="60"/>
            </w:pPr>
            <w:r w:rsidRPr="00132A0D">
              <w:t>Group determination records for batch process vents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5EFBA01F" w14:textId="71EF5693">
            <w:pPr>
              <w:pBdr>
                <w:top w:val="single" w:sz="6" w:space="0" w:color="FFFFFF"/>
                <w:left w:val="single" w:sz="6" w:space="0" w:color="FFFFFF"/>
                <w:bottom w:val="single" w:sz="6" w:space="0" w:color="FFFFFF"/>
                <w:right w:val="single" w:sz="6" w:space="0" w:color="FFFFFF"/>
              </w:pBdr>
              <w:spacing w:before="60"/>
            </w:pPr>
            <w:r w:rsidRPr="0003773C">
              <w:t>§63.1326(a)</w:t>
            </w:r>
          </w:p>
        </w:tc>
      </w:tr>
      <w:tr w14:paraId="1E58B547"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65C87188" w14:textId="4C2F344B">
            <w:pPr>
              <w:pBdr>
                <w:top w:val="single" w:sz="6" w:space="0" w:color="FFFFFF"/>
                <w:left w:val="single" w:sz="6" w:space="0" w:color="FFFFFF"/>
                <w:bottom w:val="single" w:sz="6" w:space="0" w:color="FFFFFF"/>
                <w:right w:val="single" w:sz="6" w:space="0" w:color="FFFFFF"/>
              </w:pBdr>
              <w:spacing w:before="60"/>
            </w:pPr>
            <w:r w:rsidRPr="00132A0D">
              <w:t>Compliance demonstration records for batch process vents or aggregate batch vent stream</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55B8671D" w14:textId="49F5F05F">
            <w:pPr>
              <w:pBdr>
                <w:top w:val="single" w:sz="6" w:space="0" w:color="FFFFFF"/>
                <w:left w:val="single" w:sz="6" w:space="0" w:color="FFFFFF"/>
                <w:bottom w:val="single" w:sz="6" w:space="0" w:color="FFFFFF"/>
                <w:right w:val="single" w:sz="6" w:space="0" w:color="FFFFFF"/>
              </w:pBdr>
              <w:spacing w:before="60"/>
            </w:pPr>
            <w:r w:rsidRPr="0003773C">
              <w:t>§63.1326(b)</w:t>
            </w:r>
          </w:p>
        </w:tc>
      </w:tr>
      <w:tr w14:paraId="24DB0489"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17A58630" w14:textId="0149B7B7">
            <w:pPr>
              <w:pBdr>
                <w:top w:val="single" w:sz="6" w:space="0" w:color="FFFFFF"/>
                <w:left w:val="single" w:sz="6" w:space="0" w:color="FFFFFF"/>
                <w:bottom w:val="single" w:sz="6" w:space="0" w:color="FFFFFF"/>
                <w:right w:val="single" w:sz="6" w:space="0" w:color="FFFFFF"/>
              </w:pBdr>
              <w:spacing w:before="60"/>
            </w:pPr>
            <w:r w:rsidRPr="00132A0D">
              <w:t xml:space="preserve">Establishment of parameter monitoring level records for batch process vents </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441997A2" w14:textId="0419A6F3">
            <w:pPr>
              <w:pBdr>
                <w:top w:val="single" w:sz="6" w:space="0" w:color="FFFFFF"/>
                <w:left w:val="single" w:sz="6" w:space="0" w:color="FFFFFF"/>
                <w:bottom w:val="single" w:sz="6" w:space="0" w:color="FFFFFF"/>
                <w:right w:val="single" w:sz="6" w:space="0" w:color="FFFFFF"/>
              </w:pBdr>
              <w:spacing w:before="60"/>
            </w:pPr>
            <w:r w:rsidRPr="0003773C">
              <w:t>§63.1326(c)</w:t>
            </w:r>
          </w:p>
        </w:tc>
      </w:tr>
      <w:tr w14:paraId="32CF7A0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3116D902" w14:textId="5C8A41A0">
            <w:pPr>
              <w:pBdr>
                <w:top w:val="single" w:sz="6" w:space="0" w:color="FFFFFF"/>
                <w:left w:val="single" w:sz="6" w:space="0" w:color="FFFFFF"/>
                <w:bottom w:val="single" w:sz="6" w:space="0" w:color="FFFFFF"/>
                <w:right w:val="single" w:sz="6" w:space="0" w:color="FFFFFF"/>
              </w:pBdr>
              <w:spacing w:before="60"/>
            </w:pPr>
            <w:r w:rsidRPr="00132A0D">
              <w:t>Group 2 batch process vent continuous compliance records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548FFC50" w14:textId="3F048F76">
            <w:pPr>
              <w:pBdr>
                <w:top w:val="single" w:sz="6" w:space="0" w:color="FFFFFF"/>
                <w:left w:val="single" w:sz="6" w:space="0" w:color="FFFFFF"/>
                <w:bottom w:val="single" w:sz="6" w:space="0" w:color="FFFFFF"/>
                <w:right w:val="single" w:sz="6" w:space="0" w:color="FFFFFF"/>
              </w:pBdr>
              <w:spacing w:before="60"/>
            </w:pPr>
            <w:r w:rsidRPr="0003773C">
              <w:t>§63.1326(d)</w:t>
            </w:r>
          </w:p>
        </w:tc>
      </w:tr>
      <w:tr w14:paraId="10E44CBF"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776CEAF2" w14:textId="2160FEF9">
            <w:pPr>
              <w:pBdr>
                <w:top w:val="single" w:sz="6" w:space="0" w:color="FFFFFF"/>
                <w:left w:val="single" w:sz="6" w:space="0" w:color="FFFFFF"/>
                <w:bottom w:val="single" w:sz="6" w:space="0" w:color="FFFFFF"/>
                <w:right w:val="single" w:sz="6" w:space="0" w:color="FFFFFF"/>
              </w:pBdr>
              <w:spacing w:before="60"/>
            </w:pPr>
            <w:r w:rsidRPr="00132A0D">
              <w:t xml:space="preserve">Controlled batch process </w:t>
            </w:r>
            <w:r w:rsidRPr="00132A0D">
              <w:t>vent</w:t>
            </w:r>
            <w:r w:rsidRPr="00132A0D">
              <w:t xml:space="preserve"> continuous compliance records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287E5088" w14:textId="21226A27">
            <w:pPr>
              <w:pBdr>
                <w:top w:val="single" w:sz="6" w:space="0" w:color="FFFFFF"/>
                <w:left w:val="single" w:sz="6" w:space="0" w:color="FFFFFF"/>
                <w:bottom w:val="single" w:sz="6" w:space="0" w:color="FFFFFF"/>
                <w:right w:val="single" w:sz="6" w:space="0" w:color="FFFFFF"/>
              </w:pBdr>
              <w:spacing w:before="60"/>
            </w:pPr>
            <w:r w:rsidRPr="0003773C">
              <w:t>§63.1326(e)</w:t>
            </w:r>
          </w:p>
        </w:tc>
      </w:tr>
      <w:tr w14:paraId="439C4D1C"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73C71C74" w14:textId="5E4712DF">
            <w:pPr>
              <w:pBdr>
                <w:top w:val="single" w:sz="6" w:space="0" w:color="FFFFFF"/>
                <w:left w:val="single" w:sz="6" w:space="0" w:color="FFFFFF"/>
                <w:bottom w:val="single" w:sz="6" w:space="0" w:color="FFFFFF"/>
                <w:right w:val="single" w:sz="6" w:space="0" w:color="FFFFFF"/>
              </w:pBdr>
              <w:spacing w:before="60"/>
            </w:pPr>
            <w:r w:rsidRPr="00132A0D">
              <w:t>Aggregate batch vent stream continuous compliance records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389B947D" w14:textId="67ABDDD6">
            <w:pPr>
              <w:pBdr>
                <w:top w:val="single" w:sz="6" w:space="0" w:color="FFFFFF"/>
                <w:left w:val="single" w:sz="6" w:space="0" w:color="FFFFFF"/>
                <w:bottom w:val="single" w:sz="6" w:space="0" w:color="FFFFFF"/>
                <w:right w:val="single" w:sz="6" w:space="0" w:color="FFFFFF"/>
              </w:pBdr>
              <w:spacing w:before="60"/>
            </w:pPr>
            <w:r w:rsidRPr="0003773C">
              <w:t>§63.1326(f)</w:t>
            </w:r>
          </w:p>
        </w:tc>
      </w:tr>
      <w:tr w14:paraId="0562D21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60D75" w:rsidRPr="00132A0D" w:rsidP="00660D75" w14:paraId="5F6F3E69" w14:textId="3B237A6D">
            <w:pPr>
              <w:pBdr>
                <w:top w:val="single" w:sz="6" w:space="0" w:color="FFFFFF"/>
                <w:left w:val="single" w:sz="6" w:space="0" w:color="FFFFFF"/>
                <w:bottom w:val="single" w:sz="6" w:space="0" w:color="FFFFFF"/>
                <w:right w:val="single" w:sz="6" w:space="0" w:color="FFFFFF"/>
              </w:pBdr>
              <w:spacing w:before="60"/>
            </w:pPr>
            <w:r w:rsidRPr="00132A0D">
              <w:t>Documentation supporting the establishment of the batch mass input limitation for batch process vents</w:t>
            </w:r>
          </w:p>
        </w:tc>
        <w:tc>
          <w:tcPr>
            <w:tcW w:w="2250" w:type="dxa"/>
            <w:tcBorders>
              <w:top w:val="single" w:sz="8" w:space="0" w:color="000000"/>
              <w:left w:val="single" w:sz="8" w:space="0" w:color="000000"/>
              <w:bottom w:val="single" w:sz="8" w:space="0" w:color="000000"/>
              <w:right w:val="single" w:sz="8" w:space="0" w:color="000000"/>
            </w:tcBorders>
          </w:tcPr>
          <w:p w:rsidR="00660D75" w:rsidRPr="0003773C" w:rsidP="00660D75" w14:paraId="49BA2679" w14:textId="5B1C83E8">
            <w:pPr>
              <w:pBdr>
                <w:top w:val="single" w:sz="6" w:space="0" w:color="FFFFFF"/>
                <w:left w:val="single" w:sz="6" w:space="0" w:color="FFFFFF"/>
                <w:bottom w:val="single" w:sz="6" w:space="0" w:color="FFFFFF"/>
                <w:right w:val="single" w:sz="6" w:space="0" w:color="FFFFFF"/>
              </w:pBdr>
              <w:spacing w:before="60"/>
            </w:pPr>
            <w:r w:rsidRPr="0003773C">
              <w:t>§63.1326(g)</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0" w:name="_Toc156593385"/>
      <w:bookmarkEnd w:id="19"/>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tblPrEx>
          <w:tblW w:w="9445" w:type="dxa"/>
          <w:tblLook w:val="04A0"/>
        </w:tblPrEx>
        <w:trPr>
          <w:trHeight w:val="432"/>
        </w:trPr>
        <w:tc>
          <w:tcPr>
            <w:tcW w:w="9445" w:type="dxa"/>
            <w:vAlign w:val="center"/>
          </w:tcPr>
          <w:p w:rsidR="008B07A2" w:rsidRPr="00B04A5C" w14:paraId="5C0083D2" w14:textId="77777777">
            <w:pPr>
              <w:outlineLvl w:val="0"/>
              <w:rPr>
                <w:color w:val="000000"/>
              </w:rPr>
            </w:pPr>
            <w:r w:rsidRPr="00B04A5C">
              <w:rPr>
                <w:color w:val="000000"/>
              </w:rPr>
              <w:t>Familiarization with the regulatory requirements.</w:t>
            </w:r>
          </w:p>
        </w:tc>
      </w:tr>
      <w:tr w14:paraId="4942690D" w14:textId="77777777">
        <w:tblPrEx>
          <w:tblW w:w="9445" w:type="dxa"/>
          <w:tblLook w:val="04A0"/>
        </w:tblPrEx>
        <w:trPr>
          <w:trHeight w:val="719"/>
        </w:trPr>
        <w:tc>
          <w:tcPr>
            <w:tcW w:w="9445" w:type="dxa"/>
            <w:vAlign w:val="center"/>
          </w:tcPr>
          <w:p w:rsidR="008B07A2" w:rsidRPr="00B04A5C" w14:paraId="6CF334ED" w14:textId="3F0199A1">
            <w:pPr>
              <w:outlineLvl w:val="0"/>
              <w:rPr>
                <w:color w:val="000000"/>
              </w:rPr>
            </w:pPr>
            <w:r w:rsidRPr="008A5926">
              <w:t>Install, calibrate, maintain, and operate CMS for temperature, pH, scrubber liquid flow rates and pressure, pressure drop, gas flow rates, and specific gravity of the absorbing liquid for control devices.</w:t>
            </w:r>
          </w:p>
        </w:tc>
      </w:tr>
      <w:tr w14:paraId="032F4D1D" w14:textId="77777777">
        <w:tblPrEx>
          <w:tblW w:w="9445" w:type="dxa"/>
          <w:tblLook w:val="04A0"/>
        </w:tblPrEx>
        <w:trPr>
          <w:trHeight w:val="701"/>
        </w:trPr>
        <w:tc>
          <w:tcPr>
            <w:tcW w:w="9445" w:type="dxa"/>
            <w:vAlign w:val="center"/>
          </w:tcPr>
          <w:p w:rsidR="00660D75" w:rsidRPr="00B04A5C" w:rsidP="00660D75" w14:paraId="13C4E26E" w14:textId="427755E7">
            <w:pPr>
              <w:outlineLvl w:val="0"/>
              <w:rPr>
                <w:color w:val="000000"/>
              </w:rPr>
            </w:pPr>
            <w:r w:rsidRPr="008A5926">
              <w:t>Perform initial performance test, Reference Methods 1 or 1A, 2, 2A, 2C, or 2D, 18, 21, 25A, 26 or 26A, and 301 tests, and repeat performance tests if necessary.</w:t>
            </w:r>
          </w:p>
        </w:tc>
      </w:tr>
      <w:tr w14:paraId="55372A75" w14:textId="77777777">
        <w:tblPrEx>
          <w:tblW w:w="9445" w:type="dxa"/>
          <w:tblLook w:val="04A0"/>
        </w:tblPrEx>
        <w:trPr>
          <w:trHeight w:val="432"/>
        </w:trPr>
        <w:tc>
          <w:tcPr>
            <w:tcW w:w="9445" w:type="dxa"/>
            <w:vAlign w:val="center"/>
          </w:tcPr>
          <w:p w:rsidR="00660D75" w:rsidRPr="00B04A5C" w:rsidP="00660D75" w14:paraId="48ADF906" w14:textId="77777777">
            <w:pPr>
              <w:outlineLvl w:val="0"/>
              <w:rPr>
                <w:color w:val="000000"/>
              </w:rPr>
            </w:pPr>
            <w:r w:rsidRPr="00B04A5C">
              <w:rPr>
                <w:color w:val="000000"/>
              </w:rPr>
              <w:t>Write the notifications and reports listed above.</w:t>
            </w:r>
          </w:p>
        </w:tc>
      </w:tr>
      <w:tr w14:paraId="6EB70483" w14:textId="77777777">
        <w:tblPrEx>
          <w:tblW w:w="9445" w:type="dxa"/>
          <w:tblLook w:val="04A0"/>
        </w:tblPrEx>
        <w:trPr>
          <w:trHeight w:val="432"/>
        </w:trPr>
        <w:tc>
          <w:tcPr>
            <w:tcW w:w="9445" w:type="dxa"/>
            <w:vAlign w:val="center"/>
          </w:tcPr>
          <w:p w:rsidR="00660D75" w:rsidRPr="00B04A5C" w:rsidP="00660D75" w14:paraId="40649BBA" w14:textId="77777777">
            <w:pPr>
              <w:outlineLvl w:val="0"/>
              <w:rPr>
                <w:color w:val="000000"/>
              </w:rPr>
            </w:pPr>
            <w:r w:rsidRPr="00B04A5C">
              <w:rPr>
                <w:color w:val="000000"/>
              </w:rPr>
              <w:t>Enter information required to be recorded above.</w:t>
            </w:r>
          </w:p>
        </w:tc>
      </w:tr>
      <w:tr w14:paraId="51C92A26" w14:textId="77777777">
        <w:tblPrEx>
          <w:tblW w:w="9445" w:type="dxa"/>
          <w:tblLook w:val="04A0"/>
        </w:tblPrEx>
        <w:trPr>
          <w:trHeight w:val="692"/>
        </w:trPr>
        <w:tc>
          <w:tcPr>
            <w:tcW w:w="9445" w:type="dxa"/>
            <w:vAlign w:val="center"/>
          </w:tcPr>
          <w:p w:rsidR="00660D75" w:rsidRPr="00B04A5C" w:rsidP="00660D75"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tblPrEx>
          <w:tblW w:w="9445" w:type="dxa"/>
          <w:tblLook w:val="04A0"/>
        </w:tblPrEx>
        <w:trPr>
          <w:trHeight w:val="764"/>
        </w:trPr>
        <w:tc>
          <w:tcPr>
            <w:tcW w:w="9445" w:type="dxa"/>
            <w:vAlign w:val="center"/>
          </w:tcPr>
          <w:p w:rsidR="00660D75" w:rsidRPr="00B04A5C" w:rsidP="00660D75"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tblPrEx>
          <w:tblW w:w="9445" w:type="dxa"/>
          <w:tblLook w:val="04A0"/>
        </w:tblPrEx>
        <w:trPr>
          <w:trHeight w:val="728"/>
        </w:trPr>
        <w:tc>
          <w:tcPr>
            <w:tcW w:w="9445" w:type="dxa"/>
            <w:vAlign w:val="center"/>
          </w:tcPr>
          <w:p w:rsidR="00660D75" w:rsidRPr="00B04A5C" w:rsidP="00660D75"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tblPrEx>
          <w:tblW w:w="9445" w:type="dxa"/>
          <w:tblLook w:val="04A0"/>
        </w:tblPrEx>
        <w:trPr>
          <w:trHeight w:val="432"/>
        </w:trPr>
        <w:tc>
          <w:tcPr>
            <w:tcW w:w="9445" w:type="dxa"/>
            <w:vAlign w:val="center"/>
          </w:tcPr>
          <w:p w:rsidR="00660D75" w:rsidRPr="00B04A5C" w:rsidP="00660D75" w14:paraId="484A8233" w14:textId="77777777">
            <w:pPr>
              <w:outlineLvl w:val="0"/>
              <w:rPr>
                <w:color w:val="000000"/>
              </w:rPr>
            </w:pPr>
            <w:r w:rsidRPr="00B04A5C">
              <w:rPr>
                <w:color w:val="000000"/>
              </w:rPr>
              <w:t>Train personnel to be able to respond to a collection of information.</w:t>
            </w:r>
          </w:p>
        </w:tc>
      </w:tr>
      <w:tr w14:paraId="1564CD2E" w14:textId="77777777">
        <w:tblPrEx>
          <w:tblW w:w="9445" w:type="dxa"/>
          <w:tblLook w:val="04A0"/>
        </w:tblPrEx>
        <w:trPr>
          <w:trHeight w:val="432"/>
        </w:trPr>
        <w:tc>
          <w:tcPr>
            <w:tcW w:w="9445" w:type="dxa"/>
            <w:vAlign w:val="center"/>
          </w:tcPr>
          <w:p w:rsidR="00660D75" w:rsidRPr="00B04A5C" w:rsidP="00660D75"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0"/>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7D848DCF">
      <w:pPr>
        <w:spacing w:before="60"/>
        <w:rPr>
          <w:rFonts w:cstheme="minorHAnsi"/>
          <w:color w:val="000000"/>
        </w:rPr>
      </w:pPr>
      <w:r w:rsidRPr="00B6361B">
        <w:rPr>
          <w:rFonts w:cstheme="minorHAnsi"/>
          <w:color w:val="000000"/>
        </w:rPr>
        <w:t xml:space="preserve">The average annual burden to industry </w:t>
      </w:r>
      <w:r w:rsidRPr="001C7948">
        <w:rPr>
          <w:rFonts w:cstheme="minorHAnsi"/>
        </w:rPr>
        <w:t>over the next three years from these recordkeeping and reporting requirements is estimated to be</w:t>
      </w:r>
      <w:r w:rsidRPr="001C7948" w:rsidR="00B44779">
        <w:rPr>
          <w:rFonts w:cstheme="minorHAnsi"/>
        </w:rPr>
        <w:t xml:space="preserve"> 141,000 </w:t>
      </w:r>
      <w:r w:rsidRPr="001C7948">
        <w:rPr>
          <w:rFonts w:cstheme="minorHAnsi"/>
        </w:rPr>
        <w:t>hours (Total Labor Hours from Table 1). These hours are based on Agency studies and background documents from the development</w:t>
      </w:r>
      <w:r w:rsidRPr="00B6361B">
        <w:rPr>
          <w:rFonts w:cstheme="minorHAnsi"/>
          <w:color w:val="000000"/>
        </w:rPr>
        <w:t xml:space="preserve"> of the regulation, </w:t>
      </w:r>
      <w:r w:rsidRPr="00B6361B">
        <w:rPr>
          <w:rFonts w:cstheme="minorHAnsi"/>
          <w:color w:val="000000"/>
        </w:rPr>
        <w:t>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40C5F556">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B5008A">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4086C" w14:paraId="02C1710F" w14:textId="0127D91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1"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1"/>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2882" w:rsidRPr="001C7948" w:rsidP="00342882" w14:paraId="07317B6B" w14:textId="0B966687">
      <w:pPr>
        <w:pBdr>
          <w:top w:val="single" w:sz="6" w:space="0" w:color="FFFFFF"/>
          <w:left w:val="single" w:sz="6" w:space="0" w:color="FFFFFF"/>
          <w:bottom w:val="single" w:sz="6" w:space="0" w:color="FFFFFF"/>
          <w:right w:val="single" w:sz="6" w:space="0" w:color="FFFFFF"/>
        </w:pBdr>
        <w:rPr>
          <w:rFonts w:cstheme="minorHAnsi"/>
        </w:rPr>
      </w:pPr>
      <w:r w:rsidRPr="00342882">
        <w:rPr>
          <w:rFonts w:cstheme="minorHAnsi"/>
          <w:color w:val="000000"/>
        </w:rPr>
        <w:t xml:space="preserve">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w:t>
      </w:r>
      <w:r w:rsidRPr="001C7948">
        <w:rPr>
          <w:rFonts w:cstheme="minorHAnsi"/>
        </w:rPr>
        <w:t>photocopying and postage.</w:t>
      </w:r>
    </w:p>
    <w:p w:rsidR="00342882" w:rsidRPr="001C7948" w:rsidP="00342882" w14:paraId="105876AA" w14:textId="3EE477E6">
      <w:pPr>
        <w:pBdr>
          <w:top w:val="single" w:sz="6" w:space="0" w:color="FFFFFF"/>
          <w:left w:val="single" w:sz="6" w:space="0" w:color="FFFFFF"/>
          <w:bottom w:val="single" w:sz="6" w:space="0" w:color="FFFFFF"/>
          <w:right w:val="single" w:sz="6" w:space="0" w:color="FFFFFF"/>
        </w:pBdr>
        <w:rPr>
          <w:rFonts w:cstheme="minorHAnsi"/>
        </w:rPr>
      </w:pPr>
      <w:r w:rsidRPr="001C7948">
        <w:rPr>
          <w:rFonts w:cstheme="minorHAnsi"/>
        </w:rPr>
        <w:t>The total capital/startup costs for this ICR are $</w:t>
      </w:r>
      <w:r w:rsidRPr="001C7948" w:rsidR="00B44779">
        <w:rPr>
          <w:rFonts w:cstheme="minorHAnsi"/>
        </w:rPr>
        <w:t>0</w:t>
      </w:r>
      <w:r w:rsidRPr="001C7948">
        <w:rPr>
          <w:rFonts w:cstheme="minorHAnsi"/>
        </w:rPr>
        <w:t xml:space="preserve">. This is the total of column D shown below in the table Capital/Startup vs. Operation and Maintenance (O&amp;M) Costs. </w:t>
      </w:r>
    </w:p>
    <w:p w:rsidR="00342882" w:rsidRPr="001C7948" w:rsidP="00342882" w14:paraId="2CCD21DB" w14:textId="1121C653">
      <w:pPr>
        <w:pBdr>
          <w:top w:val="single" w:sz="6" w:space="0" w:color="FFFFFF"/>
          <w:left w:val="single" w:sz="6" w:space="0" w:color="FFFFFF"/>
          <w:bottom w:val="single" w:sz="6" w:space="0" w:color="FFFFFF"/>
          <w:right w:val="single" w:sz="6" w:space="0" w:color="FFFFFF"/>
        </w:pBdr>
        <w:rPr>
          <w:rFonts w:cstheme="minorHAnsi"/>
        </w:rPr>
      </w:pPr>
      <w:r w:rsidRPr="001C7948">
        <w:rPr>
          <w:rFonts w:cstheme="minorHAnsi"/>
        </w:rPr>
        <w:t>The total operation and maintenance (O&amp;M) costs for this ICR are $</w:t>
      </w:r>
      <w:r w:rsidRPr="001C7948" w:rsidR="00430FA6">
        <w:rPr>
          <w:rFonts w:cstheme="minorHAnsi"/>
        </w:rPr>
        <w:t xml:space="preserve"> </w:t>
      </w:r>
      <w:r w:rsidRPr="001C7948" w:rsidR="00790AA0">
        <w:rPr>
          <w:rFonts w:cstheme="minorHAnsi"/>
        </w:rPr>
        <w:t>10,300,000</w:t>
      </w:r>
      <w:r w:rsidRPr="001C7948">
        <w:rPr>
          <w:rFonts w:cstheme="minorHAnsi"/>
        </w:rPr>
        <w:t>. This is the total of column G shown below in the table Capital/Startup vs. Operation and Maintenance (O&amp;M) Costs.</w:t>
      </w:r>
    </w:p>
    <w:p w:rsidR="00BB3410" w:rsidRPr="001C7948" w:rsidP="00854AAE" w14:paraId="678BA42F" w14:textId="4B02E0F8">
      <w:pPr>
        <w:pBdr>
          <w:top w:val="single" w:sz="6" w:space="0" w:color="FFFFFF"/>
          <w:left w:val="single" w:sz="6" w:space="0" w:color="FFFFFF"/>
          <w:bottom w:val="single" w:sz="6" w:space="0" w:color="FFFFFF"/>
          <w:right w:val="single" w:sz="6" w:space="0" w:color="FFFFFF"/>
        </w:pBdr>
        <w:rPr>
          <w:rFonts w:cstheme="minorHAnsi"/>
        </w:rPr>
      </w:pPr>
      <w:r w:rsidRPr="001C7948">
        <w:rPr>
          <w:rFonts w:cstheme="minorHAnsi"/>
        </w:rPr>
        <w:t>The average annual cost for capital/startup and operation and maintenance costs to industry over the next three years of the ICR is estimated to be $</w:t>
      </w:r>
      <w:r w:rsidRPr="001C7948" w:rsidR="00790AA0">
        <w:rPr>
          <w:rFonts w:cstheme="minorHAnsi"/>
        </w:rPr>
        <w:t>10,300,000</w:t>
      </w:r>
      <w:r w:rsidRPr="001C7948">
        <w:rPr>
          <w:rFonts w:cstheme="minorHAnsi"/>
        </w:rPr>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2" w:name="_Toc156593387"/>
      <w:r w:rsidRPr="4BDBF0A0">
        <w:rPr>
          <w:b/>
          <w:bCs/>
        </w:rPr>
        <w:t xml:space="preserve">AGENCY </w:t>
      </w:r>
      <w:bookmarkStart w:id="23" w:name="_Toc156593388"/>
      <w:bookmarkEnd w:id="22"/>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1C7948" w:rsidP="00A867AD" w14:paraId="18B03B9C" w14:textId="1043F8E9">
      <w:pPr>
        <w:pBdr>
          <w:top w:val="single" w:sz="6" w:space="0" w:color="FFFFFF"/>
          <w:left w:val="single" w:sz="6" w:space="0" w:color="FFFFFF"/>
          <w:bottom w:val="single" w:sz="6" w:space="0" w:color="FFFFFF"/>
          <w:right w:val="single" w:sz="6" w:space="0" w:color="FFFFFF"/>
        </w:pBd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w:t>
      </w:r>
      <w:r w:rsidRPr="001C7948">
        <w:rPr>
          <w:rFonts w:cstheme="minorHAnsi"/>
        </w:rPr>
        <w:t xml:space="preserve">emissions, and the publication and distribution of collected information. The average annual Agency burden and cost during the three years of the ICR is estimated to be </w:t>
      </w:r>
      <w:r w:rsidRPr="001C7948" w:rsidR="00790AA0">
        <w:rPr>
          <w:rFonts w:cstheme="minorHAnsi"/>
        </w:rPr>
        <w:t xml:space="preserve">812 </w:t>
      </w:r>
      <w:r w:rsidRPr="001C7948">
        <w:rPr>
          <w:rFonts w:cstheme="minorHAnsi"/>
        </w:rPr>
        <w:t>hours at a cost of $</w:t>
      </w:r>
      <w:r w:rsidRPr="001C7948" w:rsidR="00B44779">
        <w:rPr>
          <w:rFonts w:cstheme="minorHAnsi"/>
        </w:rPr>
        <w:t>45,200</w:t>
      </w:r>
      <w:r w:rsidRPr="001C7948">
        <w:rPr>
          <w:rFonts w:cstheme="minorHAnsi"/>
        </w:rPr>
        <w:t xml:space="preserve">. See Table 2: Average Annual EPA Burden and Cost – </w:t>
      </w:r>
      <w:r w:rsidRPr="001C7948" w:rsidR="004E6DB7">
        <w:t xml:space="preserve">NESHAP for Group IV Polymers and Resins (40 CFR Part 63, Subpart JJJ) (Renewal). </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5393C75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Pr="006D6C61">
        <w:rPr>
          <w:rFonts w:cstheme="minorHAnsi"/>
          <w:color w:val="000000"/>
        </w:rPr>
        <w:t>76.92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109B85E8" w14:textId="55EA84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4E6DB7" w:rsidP="004E6DB7" w14:paraId="20DC83EE" w14:textId="277077BA">
      <w:pPr>
        <w:pBdr>
          <w:top w:val="single" w:sz="6" w:space="0" w:color="FFFFFF"/>
          <w:left w:val="single" w:sz="6" w:space="0" w:color="FFFFFF"/>
          <w:bottom w:val="single" w:sz="6" w:space="0" w:color="FFFFFF"/>
          <w:right w:val="single" w:sz="6" w:space="0" w:color="FFFFFF"/>
        </w:pBd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8A5926" w:rsidR="004E6DB7">
        <w:t xml:space="preserve">NESHAP for Group IV Polymers and Resins (40 CFR Part 63, Subpart JJJ) (Renewal). </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3"/>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B44779" w:rsidP="00B44779" w14:paraId="4E8B53C8" w14:textId="1A0AC98D">
      <w:r w:rsidRPr="00B44779">
        <w:t xml:space="preserve">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w:t>
      </w:r>
      <w:r w:rsidRPr="00B44779" w:rsidR="00B44779">
        <w:t>There is an adjustment increase in the</w:t>
      </w:r>
      <w:r w:rsidRPr="00B44779">
        <w:t xml:space="preserve"> capital/startup or operation and maintenance (O&amp;M) costs</w:t>
      </w:r>
      <w:r w:rsidR="00491F1D">
        <w:t xml:space="preserve">, which have been adjusted </w:t>
      </w:r>
      <w:r w:rsidRPr="00B44779" w:rsidR="00B44779">
        <w:t>to reflect 2023 dollars using the CEPCI CE index.</w:t>
      </w:r>
      <w:r w:rsidRPr="00B44779">
        <w:t xml:space="preserve"> This ICR </w:t>
      </w:r>
      <w:r w:rsidRPr="00B44779" w:rsidR="00B44779">
        <w:t xml:space="preserve">also </w:t>
      </w:r>
      <w:r w:rsidRPr="00B44779">
        <w:t>uses labor rates from the most recent Bureau of Labor Statistics report (</w:t>
      </w:r>
      <w:r w:rsidRPr="00B44779" w:rsidR="00B44779">
        <w:t>December 2023</w:t>
      </w:r>
      <w:r w:rsidRPr="00B44779">
        <w:t>) to calculate respondent burden costs.</w:t>
      </w:r>
    </w:p>
    <w:p w:rsidR="005D140B" w:rsidRPr="00163C69" w:rsidP="4BDBF0A0" w14:paraId="3604F417" w14:textId="5D0F3160">
      <w:pPr>
        <w:pStyle w:val="ListParagraph"/>
        <w:numPr>
          <w:ilvl w:val="0"/>
          <w:numId w:val="27"/>
        </w:numPr>
        <w:spacing w:before="240" w:after="0"/>
        <w:rPr>
          <w:b/>
          <w:bCs/>
        </w:rPr>
      </w:pPr>
      <w:bookmarkStart w:id="24" w:name="_Toc156593389"/>
      <w:r w:rsidRPr="4BDBF0A0">
        <w:rPr>
          <w:b/>
          <w:bCs/>
        </w:rPr>
        <w:t xml:space="preserve">PUBLICATION OF </w:t>
      </w:r>
      <w:bookmarkStart w:id="25" w:name="_Toc156593390"/>
      <w:bookmarkEnd w:id="24"/>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737D2992">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are available to the public for review and printing and are accessible using </w:t>
      </w:r>
      <w:r w:rsidRPr="007025A2">
        <w:t>WebFIRE</w:t>
      </w:r>
      <w:r w:rsidRPr="007025A2">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w:t>
      </w:r>
      <w:r w:rsidRPr="007025A2">
        <w:t>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5"/>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6" w:name="_Toc156593391"/>
      <w:r w:rsidRPr="00163C69">
        <w:rPr>
          <w:rFonts w:cstheme="minorHAnsi"/>
          <w:b/>
          <w:bCs/>
        </w:rPr>
        <w:t>CERTIFICATION STATEMENT</w:t>
      </w:r>
      <w:bookmarkEnd w:id="26"/>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10"/>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1641AA" w:rsidRPr="001C7948" w:rsidP="001641AA" w14:paraId="7CE12A09" w14:textId="28DC2183">
      <w:pPr>
        <w:spacing w:before="240"/>
        <w:rPr>
          <w:rFonts w:cstheme="minorHAnsi"/>
          <w:b/>
          <w:bCs/>
          <w:sz w:val="24"/>
          <w:szCs w:val="24"/>
        </w:rPr>
      </w:pPr>
      <w:r w:rsidRPr="001C7948">
        <w:rPr>
          <w:rFonts w:cstheme="minorHAnsi"/>
          <w:b/>
          <w:bCs/>
          <w:sz w:val="24"/>
          <w:szCs w:val="24"/>
        </w:rPr>
        <w:t xml:space="preserve">Table 1: Annual Respondent Burden and Cost – </w:t>
      </w:r>
      <w:r w:rsidRPr="001C7948" w:rsidR="001C7948">
        <w:rPr>
          <w:rFonts w:cstheme="minorHAnsi"/>
          <w:b/>
          <w:bCs/>
          <w:sz w:val="24"/>
          <w:szCs w:val="24"/>
        </w:rPr>
        <w:t>NESHAP for Group IV Polymers and Resins (40 CFR Part 63, Subpart JJJ) (Renewal)</w:t>
      </w:r>
    </w:p>
    <w:tbl>
      <w:tblPr>
        <w:tblW w:w="12976" w:type="dxa"/>
        <w:tblInd w:w="113" w:type="dxa"/>
        <w:tblLook w:val="04A0"/>
      </w:tblPr>
      <w:tblGrid>
        <w:gridCol w:w="3235"/>
        <w:gridCol w:w="1160"/>
        <w:gridCol w:w="1238"/>
        <w:gridCol w:w="1172"/>
        <w:gridCol w:w="1306"/>
        <w:gridCol w:w="1050"/>
        <w:gridCol w:w="1338"/>
        <w:gridCol w:w="1103"/>
        <w:gridCol w:w="1366"/>
        <w:gridCol w:w="8"/>
      </w:tblGrid>
      <w:tr w14:paraId="44410B98" w14:textId="77777777" w:rsidTr="001C7948">
        <w:tblPrEx>
          <w:tblW w:w="12976" w:type="dxa"/>
          <w:tblInd w:w="113" w:type="dxa"/>
          <w:tblLook w:val="04A0"/>
        </w:tblPrEx>
        <w:trPr>
          <w:gridAfter w:val="1"/>
          <w:wAfter w:w="8" w:type="dxa"/>
          <w:trHeight w:val="1605"/>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948" w:rsidRPr="001C7948" w:rsidP="001C7948" w14:paraId="19B273A5"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C7948" w:rsidRPr="001C7948" w:rsidP="001C7948" w14:paraId="6E0B4366"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(A) </w:t>
            </w:r>
            <w:r w:rsidRPr="001C7948">
              <w:rPr>
                <w:rFonts w:ascii="Times New Roman" w:eastAsia="Times New Roman" w:hAnsi="Times New Roman" w:cs="Times New Roman"/>
                <w:b/>
                <w:bCs/>
                <w:color w:val="000000"/>
                <w:sz w:val="20"/>
                <w:szCs w:val="20"/>
              </w:rPr>
              <w:br/>
              <w:t>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1C7948" w:rsidRPr="001C7948" w:rsidP="001C7948" w14:paraId="4125A4AE"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(B) </w:t>
            </w:r>
            <w:r w:rsidRPr="001C7948">
              <w:rPr>
                <w:rFonts w:ascii="Times New Roman" w:eastAsia="Times New Roman" w:hAnsi="Times New Roman" w:cs="Times New Roman"/>
                <w:b/>
                <w:bCs/>
                <w:color w:val="000000"/>
                <w:sz w:val="20"/>
                <w:szCs w:val="20"/>
              </w:rPr>
              <w:br/>
              <w:t>Number of occurrences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1C7948" w:rsidRPr="001C7948" w:rsidP="001C7948" w14:paraId="5C2B6E2B"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(C) </w:t>
            </w:r>
            <w:r w:rsidRPr="001C7948">
              <w:rPr>
                <w:rFonts w:ascii="Times New Roman" w:eastAsia="Times New Roman" w:hAnsi="Times New Roman" w:cs="Times New Roman"/>
                <w:b/>
                <w:bCs/>
                <w:color w:val="000000"/>
                <w:sz w:val="20"/>
                <w:szCs w:val="20"/>
              </w:rPr>
              <w:br/>
              <w:t xml:space="preserve">Person-hours per respondent </w:t>
            </w:r>
            <w:r w:rsidRPr="001C7948">
              <w:rPr>
                <w:rFonts w:ascii="Times New Roman" w:eastAsia="Times New Roman" w:hAnsi="Times New Roman" w:cs="Times New Roman"/>
                <w:b/>
                <w:bCs/>
                <w:color w:val="000000"/>
                <w:sz w:val="20"/>
                <w:szCs w:val="20"/>
              </w:rPr>
              <w:br/>
              <w:t>(C=</w:t>
            </w:r>
            <w:r w:rsidRPr="001C7948">
              <w:rPr>
                <w:rFonts w:ascii="Times New Roman" w:eastAsia="Times New Roman" w:hAnsi="Times New Roman" w:cs="Times New Roman"/>
                <w:b/>
                <w:bCs/>
                <w:color w:val="000000"/>
                <w:sz w:val="20"/>
                <w:szCs w:val="20"/>
              </w:rPr>
              <w:t>AxB</w:t>
            </w:r>
            <w:r w:rsidRPr="001C7948">
              <w:rPr>
                <w:rFonts w:ascii="Times New Roman" w:eastAsia="Times New Roman" w:hAnsi="Times New Roman" w:cs="Times New Roman"/>
                <w:b/>
                <w:bCs/>
                <w:color w:val="000000"/>
                <w:sz w:val="20"/>
                <w:szCs w:val="20"/>
              </w:rPr>
              <w:t>)</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C7948" w:rsidRPr="001C7948" w:rsidP="001C7948" w14:paraId="092E41FD"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(D) </w:t>
            </w:r>
            <w:r w:rsidRPr="001C7948">
              <w:rPr>
                <w:rFonts w:ascii="Times New Roman" w:eastAsia="Times New Roman" w:hAnsi="Times New Roman" w:cs="Times New Roman"/>
                <w:b/>
                <w:bCs/>
                <w:color w:val="000000"/>
                <w:sz w:val="20"/>
                <w:szCs w:val="20"/>
              </w:rPr>
              <w:br/>
              <w:t xml:space="preserve">Respondents per year </w:t>
            </w:r>
            <w:r w:rsidRPr="001C7948">
              <w:rPr>
                <w:rFonts w:ascii="Times New Roman" w:eastAsia="Times New Roman" w:hAnsi="Times New Roman" w:cs="Times New Roman"/>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1C7948" w:rsidRPr="001C7948" w:rsidP="001C7948" w14:paraId="4EA63CA2"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(E)</w:t>
            </w:r>
            <w:r w:rsidRPr="001C7948">
              <w:rPr>
                <w:rFonts w:ascii="Times New Roman" w:eastAsia="Times New Roman" w:hAnsi="Times New Roman" w:cs="Times New Roman"/>
                <w:b/>
                <w:bCs/>
                <w:color w:val="000000"/>
                <w:sz w:val="20"/>
                <w:szCs w:val="20"/>
              </w:rPr>
              <w:br/>
              <w:t>Technical person-hours (E=</w:t>
            </w:r>
            <w:r w:rsidRPr="001C7948">
              <w:rPr>
                <w:rFonts w:ascii="Times New Roman" w:eastAsia="Times New Roman" w:hAnsi="Times New Roman" w:cs="Times New Roman"/>
                <w:b/>
                <w:bCs/>
                <w:color w:val="000000"/>
                <w:sz w:val="20"/>
                <w:szCs w:val="20"/>
              </w:rPr>
              <w:t>CxD</w:t>
            </w:r>
            <w:r w:rsidRPr="001C7948">
              <w:rPr>
                <w:rFonts w:ascii="Times New Roman" w:eastAsia="Times New Roman" w:hAnsi="Times New Roman" w:cs="Times New Roman"/>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1C7948" w:rsidRPr="001C7948" w:rsidP="001C7948" w14:paraId="5A70F5C1"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(F) </w:t>
            </w:r>
            <w:r w:rsidRPr="001C7948">
              <w:rPr>
                <w:rFonts w:ascii="Times New Roman" w:eastAsia="Times New Roman" w:hAnsi="Times New Roman" w:cs="Times New Roman"/>
                <w:b/>
                <w:bCs/>
                <w:color w:val="000000"/>
                <w:sz w:val="20"/>
                <w:szCs w:val="20"/>
              </w:rPr>
              <w:br/>
              <w:t>Management person-hours (F=Ex0.05)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C7948" w:rsidRPr="001C7948" w:rsidP="001C7948" w14:paraId="3A90E453"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(G) </w:t>
            </w:r>
            <w:r w:rsidRPr="001C7948">
              <w:rPr>
                <w:rFonts w:ascii="Times New Roman" w:eastAsia="Times New Roman" w:hAnsi="Times New Roman" w:cs="Times New Roman"/>
                <w:b/>
                <w:bCs/>
                <w:color w:val="000000"/>
                <w:sz w:val="20"/>
                <w:szCs w:val="20"/>
              </w:rPr>
              <w:br/>
              <w:t xml:space="preserve">Clerical person-hours </w:t>
            </w:r>
            <w:r w:rsidRPr="001C7948">
              <w:rPr>
                <w:rFonts w:ascii="Times New Roman" w:eastAsia="Times New Roman" w:hAnsi="Times New Roman" w:cs="Times New Roman"/>
                <w:b/>
                <w:bCs/>
                <w:color w:val="000000"/>
                <w:sz w:val="20"/>
                <w:szCs w:val="20"/>
              </w:rPr>
              <w:br/>
              <w:t>(G=Ex0.1)</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C7948" w:rsidRPr="001C7948" w:rsidP="001C7948" w14:paraId="63941D9D"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(H) </w:t>
            </w:r>
            <w:r w:rsidRPr="001C7948">
              <w:rPr>
                <w:rFonts w:ascii="Times New Roman" w:eastAsia="Times New Roman" w:hAnsi="Times New Roman" w:cs="Times New Roman"/>
                <w:b/>
                <w:bCs/>
                <w:color w:val="000000"/>
                <w:sz w:val="20"/>
                <w:szCs w:val="20"/>
              </w:rPr>
              <w:br/>
              <w:t xml:space="preserve">Total Cost </w:t>
            </w:r>
            <w:r w:rsidRPr="001C7948">
              <w:rPr>
                <w:rFonts w:ascii="Times New Roman" w:eastAsia="Times New Roman" w:hAnsi="Times New Roman" w:cs="Times New Roman"/>
                <w:b/>
                <w:bCs/>
                <w:color w:val="000000"/>
                <w:sz w:val="20"/>
                <w:szCs w:val="20"/>
                <w:vertAlign w:val="superscript"/>
              </w:rPr>
              <w:t>b</w:t>
            </w:r>
            <w:r w:rsidRPr="001C7948">
              <w:rPr>
                <w:rFonts w:ascii="Times New Roman" w:eastAsia="Times New Roman" w:hAnsi="Times New Roman" w:cs="Times New Roman"/>
                <w:b/>
                <w:bCs/>
                <w:color w:val="000000"/>
                <w:sz w:val="20"/>
                <w:szCs w:val="20"/>
              </w:rPr>
              <w:t xml:space="preserve"> ($)</w:t>
            </w:r>
          </w:p>
        </w:tc>
      </w:tr>
      <w:tr w14:paraId="1531F946"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0E668DDB"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 Applications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F5CB08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1EDC83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A26F29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336955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00C847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B43DE1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5AB1B9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04EAC3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67B03AA6"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3934C1EE"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 Survey and Studies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800969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99DCB2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586E4F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30ABD1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E05ABC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A9C75A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F5B02C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1857397"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4FFFAFA4"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6EC6E77D"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 Acquisition, Installation, &amp; Utilization of Tech. &amp; Systems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FABA9E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7A2211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1DC5A3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D7D577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C91D45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18AEEB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9F37F7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D6D2A62"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43F8D946"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1F020FB4"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 Reporting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D21402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FA7419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E8BBF0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22D525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FBC3D0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37F021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A7F716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62DBEAE"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736BBEDB"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3CB437E2"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A. Familiarize with regulatory requirements </w:t>
            </w:r>
            <w:r w:rsidRPr="001C7948">
              <w:rPr>
                <w:rFonts w:ascii="Times New Roman" w:eastAsia="Times New Roman" w:hAnsi="Times New Roman" w:cs="Times New Roman"/>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8D0B0B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9175D1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05B906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3BE9C3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24</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27C1F6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960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ECCD14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48</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286B45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96</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4C06190"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$151,206.24 </w:t>
            </w:r>
          </w:p>
        </w:tc>
      </w:tr>
      <w:tr w14:paraId="0DEE1C28"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0785C6D5"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B. Required activities </w:t>
            </w:r>
            <w:r w:rsidRPr="001C7948">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22982D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6.08</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D8C508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13</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AFB667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79</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99718C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27</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49E8EE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2,134</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1DD942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107</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C8A752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213</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6BCA40C"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$336,131.47 </w:t>
            </w:r>
          </w:p>
        </w:tc>
      </w:tr>
      <w:tr w14:paraId="21004382"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02BADC10"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C. Create information </w:t>
            </w:r>
            <w:r w:rsidRPr="001C7948">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59907C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17.85</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ACB954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99</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F2B135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1,767</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292F51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27</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AD2059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47,713</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62D6A9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2,386</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75E082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4,771</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D6AB075"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$7,515,115.51 </w:t>
            </w:r>
          </w:p>
        </w:tc>
      </w:tr>
      <w:tr w14:paraId="31C411EB"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22AA540"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D. Gather existing information </w:t>
            </w:r>
            <w:r w:rsidRPr="001C7948">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912459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2.5</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D058F2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677</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9525D7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1,693</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7D910F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27</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D6DF44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45,698</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E4057E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2,285</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579F1A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4,570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2390D68"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$7,197,653.28 </w:t>
            </w:r>
          </w:p>
        </w:tc>
      </w:tr>
      <w:tr w14:paraId="5A488830"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49F0349E"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E. Write report</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F1F7FD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678514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0D288B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7D3238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A07C0F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682E7B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7017BA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EF28E44"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4579C9EA"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B9D9033"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Notification of compliance status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6B1CA8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DB4246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2E5E24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825B93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A40735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596A09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E9B604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9C85535"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6D09B60C"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6C43F2EB"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Notification of storage vessel inspection </w:t>
            </w:r>
            <w:r w:rsidRPr="001C7948">
              <w:rPr>
                <w:rFonts w:ascii="Times New Roman" w:eastAsia="Times New Roman" w:hAnsi="Times New Roman" w:cs="Times New Roman"/>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5CB043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86D08D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9F92B0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6F455E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24</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68F644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720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606622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36</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DEFC5F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72</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28A41C3"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$113,404.68 </w:t>
            </w:r>
          </w:p>
        </w:tc>
      </w:tr>
      <w:tr w14:paraId="188A6ED3"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899CCE4"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Notification of performance tests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F561B4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5611B1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959AA0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FDBE85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26D34B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28CF60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4C81DD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C2D14F8"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7F5BB413"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11CA4A87"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Notification of alternative test method </w:t>
            </w:r>
            <w:r w:rsidRPr="001C7948">
              <w:rPr>
                <w:rFonts w:ascii="Times New Roman" w:eastAsia="Times New Roman" w:hAnsi="Times New Roman" w:cs="Times New Roman"/>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899E78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353C84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03772B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A39647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6CF548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AEBE86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73FE4A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933B2B5"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0BACA20E"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7C183370"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Notification of special compliance requirements </w:t>
            </w:r>
            <w:r w:rsidRPr="001C7948">
              <w:rPr>
                <w:rFonts w:ascii="Times New Roman" w:eastAsia="Times New Roman" w:hAnsi="Times New Roman" w:cs="Times New Roman"/>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77A375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6A8D9F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6BFCEA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766927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50CA30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0D6792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EF225C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A9F487C"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2AB73898"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78D1A0DD"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Report of newly constructed/reconstructed source</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D153DD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2F1346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A73ECB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C4E1E0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BE1ABD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B89EF4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5AE76F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1162C88"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633E02C9"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5202FB3B"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Operating permit application</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76CE25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7352B7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DD1E6C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88F12A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3CB202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29E4F3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E50D36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DCB16FF"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14A3571A"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5CFDC42A"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Precompliance</w:t>
            </w:r>
            <w:r w:rsidRPr="001C7948">
              <w:rPr>
                <w:rFonts w:ascii="Times New Roman" w:eastAsia="Times New Roman" w:hAnsi="Times New Roman" w:cs="Times New Roman"/>
                <w:color w:val="000000"/>
                <w:sz w:val="20"/>
                <w:szCs w:val="20"/>
              </w:rPr>
              <w:t xml:space="preserve"> report </w:t>
            </w:r>
            <w:r w:rsidRPr="001C7948">
              <w:rPr>
                <w:rFonts w:ascii="Times New Roman" w:eastAsia="Times New Roman" w:hAnsi="Times New Roman" w:cs="Times New Roman"/>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E5B75B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5BFF45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00DF8B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30C2E8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5627A1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DF1A36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A16DDA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A435867"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2FECC4B7" w14:textId="77777777" w:rsidTr="001C7948">
        <w:tblPrEx>
          <w:tblW w:w="12976" w:type="dxa"/>
          <w:tblInd w:w="113" w:type="dxa"/>
          <w:tblLook w:val="04A0"/>
        </w:tblPrEx>
        <w:trPr>
          <w:gridAfter w:val="1"/>
          <w:wAfter w:w="8" w:type="dxa"/>
          <w:trHeight w:val="57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59513CFC"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Progress reports for affected sources receiving an extension of compliance </w:t>
            </w:r>
            <w:r w:rsidRPr="001C7948">
              <w:rPr>
                <w:rFonts w:ascii="Times New Roman" w:eastAsia="Times New Roman" w:hAnsi="Times New Roman" w:cs="Times New Roman"/>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C9D86C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24799F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FE987B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D09720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E67F62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55BAD0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90ADF5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1269346"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3490BAAB"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943639E"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Emissions averaging plans </w:t>
            </w:r>
            <w:r w:rsidRPr="001C7948">
              <w:rPr>
                <w:rFonts w:ascii="Times New Roman" w:eastAsia="Times New Roman" w:hAnsi="Times New Roman" w:cs="Times New Roman"/>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95174A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120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4F4CC6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E51C1C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120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18340D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35B3A4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DD72B7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2AAD87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F3DE540"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59F1267B" w14:textId="77777777" w:rsidTr="001C7948">
        <w:tblPrEx>
          <w:tblW w:w="12976" w:type="dxa"/>
          <w:tblInd w:w="113" w:type="dxa"/>
          <w:tblLook w:val="04A0"/>
        </w:tblPrEx>
        <w:trPr>
          <w:gridAfter w:val="1"/>
          <w:wAfter w:w="8" w:type="dxa"/>
          <w:trHeight w:val="57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F560A9D"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Request for approval for a nominal control efficiency for use in calculating credits for emission averaging </w:t>
            </w:r>
            <w:r w:rsidRPr="001C7948">
              <w:rPr>
                <w:rFonts w:ascii="Times New Roman" w:eastAsia="Times New Roman" w:hAnsi="Times New Roman" w:cs="Times New Roman"/>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2E1F05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0CF1CF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49803C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6D4E7E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0D106E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E03CCA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2CFD82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AA2FDD7"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1858F12B"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135E1387"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Updates to emissions averaging plan </w:t>
            </w:r>
            <w:r w:rsidRPr="001C7948">
              <w:rPr>
                <w:rFonts w:ascii="Times New Roman" w:eastAsia="Times New Roman" w:hAnsi="Times New Roman" w:cs="Times New Roman"/>
                <w:color w:val="000000"/>
                <w:sz w:val="20"/>
                <w:szCs w:val="20"/>
                <w:vertAlign w:val="superscript"/>
              </w:rPr>
              <w:t>k</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B1FE98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24E9E7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D21D41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5D2F55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91AC2C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2B0152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8285B7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F4A16C9"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$3,150.13 </w:t>
            </w:r>
          </w:p>
        </w:tc>
      </w:tr>
      <w:tr w14:paraId="7ED4F29A"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728B16D"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Semiannual periodic reports </w:t>
            </w:r>
            <w:r w:rsidRPr="001C7948">
              <w:rPr>
                <w:rFonts w:ascii="Times New Roman" w:eastAsia="Times New Roman" w:hAnsi="Times New Roman" w:cs="Times New Roman"/>
                <w:color w:val="000000"/>
                <w:sz w:val="20"/>
                <w:szCs w:val="20"/>
                <w:vertAlign w:val="superscript"/>
              </w:rPr>
              <w:t>l</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F2B5BE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80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D721E7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E086C4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160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42E31C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23</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B38D7F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3,680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EC2FB4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184</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92F6C2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368</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B54C9F7"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$579,623.92 </w:t>
            </w:r>
          </w:p>
        </w:tc>
      </w:tr>
      <w:tr w14:paraId="5AD9E84E" w14:textId="77777777" w:rsidTr="001C7948">
        <w:tblPrEx>
          <w:tblW w:w="12976" w:type="dxa"/>
          <w:tblInd w:w="113" w:type="dxa"/>
          <w:tblLook w:val="04A0"/>
        </w:tblPrEx>
        <w:trPr>
          <w:gridAfter w:val="1"/>
          <w:wAfter w:w="8" w:type="dxa"/>
          <w:trHeight w:val="57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4A6BF11C"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Quarterly periodic reports for facilities using emission averaging and where a respondent did not qualify for semiannual reporting </w:t>
            </w:r>
            <w:r w:rsidRPr="001C7948">
              <w:rPr>
                <w:rFonts w:ascii="Times New Roman" w:eastAsia="Times New Roman" w:hAnsi="Times New Roman" w:cs="Times New Roman"/>
                <w:color w:val="000000"/>
                <w:sz w:val="20"/>
                <w:szCs w:val="20"/>
                <w:vertAlign w:val="superscript"/>
              </w:rPr>
              <w:t>l</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A0DA00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80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7C20D9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A90C8F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320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F7A03B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6ED83D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1,280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0E761F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64</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7A6F80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128</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B87266D"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$201,608.32 </w:t>
            </w:r>
          </w:p>
        </w:tc>
      </w:tr>
      <w:tr w14:paraId="4D77AD5A"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74B1E7D4"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Semiannual periodic reports (PRD monitoring)</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81794A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5.5</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BAE55A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A19E8F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11</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F0A8C1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27</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2AE2C9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297</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EF0B69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15</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39927E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59DB00D"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$46,779.43 </w:t>
            </w:r>
          </w:p>
        </w:tc>
      </w:tr>
      <w:tr w14:paraId="7CCD6FF9"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03422C3E"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Semiannual periodic reports (Equip. leaks)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CA7F22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200D14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4687F5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7EAB0A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188EF4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D4F8DF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0.3</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006388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0.6</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9B2D621"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$945.04 </w:t>
            </w:r>
          </w:p>
        </w:tc>
      </w:tr>
      <w:tr w14:paraId="5D81989F"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704DA84D"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Semiannual periodic reports (PCCT)</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E3E941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1C556B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A9D2C4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AB9AD9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0453A0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ACEB1B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0.1</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683CD2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0.2</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96186E9"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$315.01 </w:t>
            </w:r>
          </w:p>
        </w:tc>
      </w:tr>
      <w:tr w14:paraId="136555B7" w14:textId="77777777" w:rsidTr="001C7948">
        <w:tblPrEx>
          <w:tblW w:w="12976" w:type="dxa"/>
          <w:tblInd w:w="113" w:type="dxa"/>
          <w:tblLook w:val="04A0"/>
        </w:tblPrEx>
        <w:trPr>
          <w:gridAfter w:val="1"/>
          <w:wAfter w:w="8" w:type="dxa"/>
          <w:trHeight w:val="57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4FC8EEE4"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Report of changes to the primary product for a TPPU or process unit </w:t>
            </w:r>
            <w:r w:rsidRPr="001C7948">
              <w:rPr>
                <w:rFonts w:ascii="Times New Roman" w:eastAsia="Times New Roman" w:hAnsi="Times New Roman" w:cs="Times New Roman"/>
                <w:color w:val="000000"/>
                <w:sz w:val="20"/>
                <w:szCs w:val="20"/>
                <w:vertAlign w:val="superscript"/>
              </w:rPr>
              <w:t>m</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A81869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614CF3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75EE0C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DE1092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D2A04F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00DA77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0.3</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6DD4B9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0.6</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2A94913"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$945.04 </w:t>
            </w:r>
          </w:p>
        </w:tc>
      </w:tr>
      <w:tr w14:paraId="101B9460"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319611F7"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Report for batch process vents </w:t>
            </w:r>
            <w:r w:rsidRPr="001C7948">
              <w:rPr>
                <w:rFonts w:ascii="Times New Roman" w:eastAsia="Times New Roman" w:hAnsi="Times New Roman" w:cs="Times New Roman"/>
                <w:color w:val="000000"/>
                <w:sz w:val="20"/>
                <w:szCs w:val="20"/>
                <w:vertAlign w:val="superscript"/>
              </w:rPr>
              <w:t>n</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53C0B5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B8B136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174C66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7ECA27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C22179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2EF933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0.3</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BF0320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0.6</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8BCDA9D"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$945.04 </w:t>
            </w:r>
          </w:p>
        </w:tc>
      </w:tr>
      <w:tr w14:paraId="7C42631D"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0D17EA77"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Report for PET sources using a dimethyl terephthalate process </w:t>
            </w:r>
            <w:r w:rsidRPr="001C7948">
              <w:rPr>
                <w:rFonts w:ascii="Times New Roman" w:eastAsia="Times New Roman" w:hAnsi="Times New Roman" w:cs="Times New Roman"/>
                <w:color w:val="000000"/>
                <w:sz w:val="20"/>
                <w:szCs w:val="20"/>
                <w:vertAlign w:val="superscript"/>
              </w:rPr>
              <w:t>o</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98A848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20C5E0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F802AF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2FCA88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1D97A3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F32548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0.2</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8E213B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0.4</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41A33D0"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$630.03 </w:t>
            </w:r>
          </w:p>
        </w:tc>
      </w:tr>
      <w:tr w14:paraId="39A0288B"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19E1445A"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Malfunction Reports </w:t>
            </w:r>
            <w:r w:rsidRPr="001C7948">
              <w:rPr>
                <w:rFonts w:ascii="Times New Roman" w:eastAsia="Times New Roman" w:hAnsi="Times New Roman" w:cs="Times New Roman"/>
                <w:color w:val="000000"/>
                <w:sz w:val="20"/>
                <w:szCs w:val="20"/>
                <w:vertAlign w:val="superscript"/>
              </w:rPr>
              <w:t>p</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207EB1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4D1B1C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B9D3D8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A4DA2D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F6D847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24</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780ED4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1.2</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81BA14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2.4</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706C428"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$3,780.16 </w:t>
            </w:r>
          </w:p>
        </w:tc>
      </w:tr>
      <w:tr w14:paraId="0EE05F64"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5040398E"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Affirmative defense</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AECED5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E5A7DB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094F3F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D6171D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E59878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BB1C70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E2DF23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3B34165"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49858B57"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50B82C6F" w14:textId="77777777">
            <w:pPr>
              <w:spacing w:after="0" w:line="240" w:lineRule="auto"/>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48D8580" w14:textId="77777777">
            <w:pPr>
              <w:spacing w:after="0" w:line="240" w:lineRule="auto"/>
              <w:jc w:val="center"/>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4475DEA" w14:textId="77777777">
            <w:pPr>
              <w:spacing w:after="0" w:line="240" w:lineRule="auto"/>
              <w:jc w:val="center"/>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0EA8864" w14:textId="77777777">
            <w:pPr>
              <w:spacing w:after="0" w:line="240" w:lineRule="auto"/>
              <w:jc w:val="center"/>
              <w:rPr>
                <w:rFonts w:ascii="Times New Roman" w:eastAsia="Times New Roman" w:hAnsi="Times New Roman" w:cs="Times New Roman"/>
                <w:i/>
                <w:iCs/>
                <w:color w:val="000000"/>
                <w:sz w:val="20"/>
                <w:szCs w:val="20"/>
              </w:rPr>
            </w:pPr>
            <w:r w:rsidRPr="001C7948">
              <w:rPr>
                <w:rFonts w:ascii="Times New Roman" w:eastAsia="Times New Roman" w:hAnsi="Times New Roman" w:cs="Times New Roman"/>
                <w:i/>
                <w:i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07F2884" w14:textId="77777777">
            <w:pPr>
              <w:spacing w:after="0" w:line="240" w:lineRule="auto"/>
              <w:jc w:val="center"/>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1C7948" w:rsidRPr="001C7948" w:rsidP="001C7948" w14:paraId="29420EAB" w14:textId="77777777">
            <w:pPr>
              <w:spacing w:after="0" w:line="240" w:lineRule="auto"/>
              <w:jc w:val="center"/>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117,932</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639913C" w14:textId="77777777">
            <w:pPr>
              <w:spacing w:after="0" w:line="240" w:lineRule="auto"/>
              <w:jc w:val="right"/>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 xml:space="preserve">$16,152,233 </w:t>
            </w:r>
          </w:p>
        </w:tc>
      </w:tr>
      <w:tr w14:paraId="0D76EEFC"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33F775A" w14:textId="2AE52CF8">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Recordkeeping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4D27D0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A1269E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F74A06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83A43B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E44BB7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DD7B07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699E44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8D84FB7"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5966C736"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6BAE24F"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A. Familiarize with regulatory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A88C35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See 4A</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BBAEE3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D51BFB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434ECD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D6E6BF1"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02FB7D3"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1ABC0C4"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50EF1FF"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705D584B"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56F53AF5" w14:textId="1AC9560D">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B.</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 xml:space="preserve">Plan activities </w:t>
            </w:r>
            <w:r w:rsidRPr="001C7948">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8E3A8C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See 4B</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0CE1FE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EAB8DD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66CE9D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B539F3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20EFC9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3FCBB8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1B38E0D"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38235A98"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481131B4" w14:textId="76DBD950">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C.</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 xml:space="preserve">Implement activities </w:t>
            </w:r>
            <w:r w:rsidRPr="001C7948">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6AC94F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See 4B</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5DC9C8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B6CDE9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AA4765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25CAAA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80C2B6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5E9DA9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774D52F"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7805BA3E"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3F574FFC" w14:textId="2DFEF551">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D.</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Develop record system</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3A45D6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3A0E12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DE9BA9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AA7A8D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D0426E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3544E1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445C09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2F97B8D"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$0 </w:t>
            </w:r>
          </w:p>
        </w:tc>
      </w:tr>
      <w:tr w14:paraId="1B1C8081"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0EC6DD8E" w14:textId="4C74C09D">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E.</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 xml:space="preserve">Time to enter information </w:t>
            </w:r>
            <w:r w:rsidRPr="001C7948">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E2E3BF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EBF797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2A3216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744F9C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C2E47B0"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6811E53"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2754BD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8EC44E8"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601D0DAC"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F7A9108"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Plan Activities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C1AB44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See 4B</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782CF7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05F34D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F7A358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E6462C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C2DFA8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AF0FA8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9C75BE4"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0CBABC5B"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55A26323"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Create, Test, Research, Develop</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1C225E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See 4C</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03425B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B97DCC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BFDD5C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3FFD79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8FE859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7579B2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6E79137"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16BF901E"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72D8AC92"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Gather information, Monitor, Inspect</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D61621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See 4D</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BFDBCC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0406B8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269BAD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D32795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465DC5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2C2D85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7F32ADA"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632A21AE"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4E088BBB" w14:textId="7777777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Process, Compile, Review</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8E5626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20</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2FD0D4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0F3C41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20</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2B6C25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27</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84AFDA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540</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FF15B96"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27</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9536F9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54</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0EDF058"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$85,053.51 </w:t>
            </w:r>
          </w:p>
        </w:tc>
      </w:tr>
      <w:tr w14:paraId="638CCCBE"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625AF583" w14:textId="5A2F1F18">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F.</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 xml:space="preserve">Time to train personnel </w:t>
            </w:r>
            <w:r w:rsidRPr="001C7948">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689929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5.25</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6CA335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620E4E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21</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6F955D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27</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65F0B9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567</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74CB50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28</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4CA0CE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57</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65E1D0A"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$89,306.19 </w:t>
            </w:r>
          </w:p>
        </w:tc>
      </w:tr>
      <w:tr w14:paraId="4042D045"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B977323" w14:textId="1BA1F859">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G.</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 xml:space="preserve">Time to Record and disclose information </w:t>
            </w:r>
            <w:r w:rsidRPr="001C7948">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C28BE9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17.46</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224552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26</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6E3E99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454</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0866FFA"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27</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0827CFF"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12,258</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9021ECD"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613</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16461F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1,226</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730FCD45"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$1,930,714.68 </w:t>
            </w:r>
          </w:p>
        </w:tc>
      </w:tr>
      <w:tr w14:paraId="4390029D"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5E3CB8D0" w14:textId="1FE18C5F">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H.</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 xml:space="preserve">Store, file and maintain records </w:t>
            </w:r>
            <w:r w:rsidRPr="001C7948">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A8AE3EB"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6.77</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D569ED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35</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F186A3C"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237</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6B04842"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27</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3D0B1E4"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6,399</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68454E38"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320</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5D6A4B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640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67AE42A"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xml:space="preserve">$1,007,884.09 </w:t>
            </w:r>
          </w:p>
        </w:tc>
      </w:tr>
      <w:tr w14:paraId="747458DE"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06C11555" w14:textId="7843C867">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I.</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Time for audits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85C1E9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10F6AD7"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78292F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74D1E45"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48EFF4E"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CE51CB1"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C8A8579" w14:textId="77777777">
            <w:pPr>
              <w:spacing w:after="0" w:line="240" w:lineRule="auto"/>
              <w:jc w:val="center"/>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92F3E43" w14:textId="77777777">
            <w:pPr>
              <w:spacing w:after="0" w:line="240" w:lineRule="auto"/>
              <w:jc w:val="right"/>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rPr>
              <w:t> </w:t>
            </w:r>
          </w:p>
        </w:tc>
      </w:tr>
      <w:tr w14:paraId="6017C035" w14:textId="77777777" w:rsidTr="001C7948">
        <w:tblPrEx>
          <w:tblW w:w="12976" w:type="dxa"/>
          <w:tblInd w:w="113" w:type="dxa"/>
          <w:tblLook w:val="04A0"/>
        </w:tblPrEx>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2E823642" w14:textId="77777777">
            <w:pPr>
              <w:spacing w:after="0" w:line="240" w:lineRule="auto"/>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4685452" w14:textId="77777777">
            <w:pPr>
              <w:spacing w:after="0" w:line="240" w:lineRule="auto"/>
              <w:jc w:val="center"/>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177BF88" w14:textId="77777777">
            <w:pPr>
              <w:spacing w:after="0" w:line="240" w:lineRule="auto"/>
              <w:jc w:val="center"/>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9FB93E8" w14:textId="77777777">
            <w:pPr>
              <w:spacing w:after="0" w:line="240" w:lineRule="auto"/>
              <w:jc w:val="center"/>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365FA68" w14:textId="77777777">
            <w:pPr>
              <w:spacing w:after="0" w:line="240" w:lineRule="auto"/>
              <w:jc w:val="center"/>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1C7948" w:rsidRPr="001C7948" w:rsidP="001C7948" w14:paraId="6A443A6D" w14:textId="77777777">
            <w:pPr>
              <w:spacing w:after="0" w:line="240" w:lineRule="auto"/>
              <w:jc w:val="center"/>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22,729</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56824ED9" w14:textId="77777777">
            <w:pPr>
              <w:spacing w:after="0" w:line="240" w:lineRule="auto"/>
              <w:jc w:val="right"/>
              <w:rPr>
                <w:rFonts w:ascii="Times New Roman" w:eastAsia="Times New Roman" w:hAnsi="Times New Roman" w:cs="Times New Roman"/>
                <w:b/>
                <w:bCs/>
                <w:i/>
                <w:iCs/>
                <w:color w:val="000000"/>
                <w:sz w:val="20"/>
                <w:szCs w:val="20"/>
              </w:rPr>
            </w:pPr>
            <w:r w:rsidRPr="001C7948">
              <w:rPr>
                <w:rFonts w:ascii="Times New Roman" w:eastAsia="Times New Roman" w:hAnsi="Times New Roman" w:cs="Times New Roman"/>
                <w:b/>
                <w:bCs/>
                <w:i/>
                <w:iCs/>
                <w:color w:val="000000"/>
                <w:sz w:val="20"/>
                <w:szCs w:val="20"/>
              </w:rPr>
              <w:t xml:space="preserve">$3,112,958 </w:t>
            </w:r>
          </w:p>
        </w:tc>
      </w:tr>
      <w:tr w14:paraId="2912C177"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0A35A83E" w14:textId="77777777">
            <w:pPr>
              <w:spacing w:after="0" w:line="240" w:lineRule="auto"/>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TOTAL LABOR BURDEN AND COST (rounded) </w:t>
            </w:r>
            <w:r w:rsidRPr="001C7948">
              <w:rPr>
                <w:rFonts w:ascii="Times New Roman" w:eastAsia="Times New Roman" w:hAnsi="Times New Roman" w:cs="Times New Roman"/>
                <w:b/>
                <w:bCs/>
                <w:color w:val="000000"/>
                <w:sz w:val="20"/>
                <w:szCs w:val="20"/>
                <w:vertAlign w:val="superscript"/>
              </w:rPr>
              <w:t>q</w:t>
            </w:r>
          </w:p>
        </w:tc>
        <w:tc>
          <w:tcPr>
            <w:tcW w:w="1160"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7841715"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31766230"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25A191F2"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268C7D5"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1C7948" w:rsidRPr="001C7948" w:rsidP="001C7948" w14:paraId="48C704D4" w14:textId="77777777">
            <w:pPr>
              <w:spacing w:after="0" w:line="240" w:lineRule="auto"/>
              <w:jc w:val="center"/>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141,000</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161119AD" w14:textId="77777777">
            <w:pPr>
              <w:spacing w:after="0" w:line="240" w:lineRule="auto"/>
              <w:jc w:val="right"/>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$19,300,000 </w:t>
            </w:r>
          </w:p>
        </w:tc>
      </w:tr>
      <w:tr w14:paraId="4436A5BF"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4F94ADDF" w14:textId="77777777">
            <w:pPr>
              <w:spacing w:after="0" w:line="240" w:lineRule="auto"/>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TOTAL CAPITAL AND O&amp;M COST (rounded) </w:t>
            </w:r>
            <w:r w:rsidRPr="001C7948">
              <w:rPr>
                <w:rFonts w:ascii="Times New Roman" w:eastAsia="Times New Roman" w:hAnsi="Times New Roman" w:cs="Times New Roman"/>
                <w:b/>
                <w:bCs/>
                <w:color w:val="000000"/>
                <w:sz w:val="20"/>
                <w:szCs w:val="20"/>
                <w:vertAlign w:val="superscript"/>
              </w:rPr>
              <w:t>q</w:t>
            </w:r>
          </w:p>
        </w:tc>
        <w:tc>
          <w:tcPr>
            <w:tcW w:w="1160"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15DF3455"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238"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2EE75F12"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172"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7D37063C"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42F71DB0"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1D3AC660"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338"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72D917C1"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103"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0D7140E0"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4CD28B4B" w14:textId="77777777">
            <w:pPr>
              <w:spacing w:after="0" w:line="240" w:lineRule="auto"/>
              <w:jc w:val="right"/>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$10,300,000 </w:t>
            </w:r>
          </w:p>
        </w:tc>
      </w:tr>
      <w:tr w14:paraId="1598BFFE" w14:textId="77777777" w:rsidTr="001C7948">
        <w:tblPrEx>
          <w:tblW w:w="12976" w:type="dxa"/>
          <w:tblInd w:w="113" w:type="dxa"/>
          <w:tblLook w:val="04A0"/>
        </w:tblPrEx>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1C7948" w:rsidRPr="001C7948" w:rsidP="001C7948" w14:paraId="7F8160A2" w14:textId="77777777">
            <w:pPr>
              <w:spacing w:after="0" w:line="240" w:lineRule="auto"/>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GRAND TOTAL (rounded) </w:t>
            </w:r>
            <w:r w:rsidRPr="001C7948">
              <w:rPr>
                <w:rFonts w:ascii="Times New Roman" w:eastAsia="Times New Roman" w:hAnsi="Times New Roman" w:cs="Times New Roman"/>
                <w:b/>
                <w:bCs/>
                <w:color w:val="000000"/>
                <w:sz w:val="20"/>
                <w:szCs w:val="20"/>
                <w:vertAlign w:val="superscript"/>
              </w:rPr>
              <w:t>q</w:t>
            </w:r>
          </w:p>
        </w:tc>
        <w:tc>
          <w:tcPr>
            <w:tcW w:w="1160"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2165154C"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238"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3DEED48F"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172"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0E5D4486"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2B1A829A"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050"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33111115"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338"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30C922E1"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103" w:type="dxa"/>
            <w:tcBorders>
              <w:top w:val="nil"/>
              <w:left w:val="nil"/>
              <w:bottom w:val="single" w:sz="4" w:space="0" w:color="auto"/>
              <w:right w:val="single" w:sz="4" w:space="0" w:color="auto"/>
            </w:tcBorders>
            <w:shd w:val="clear" w:color="auto" w:fill="auto"/>
            <w:noWrap/>
            <w:vAlign w:val="bottom"/>
            <w:hideMark/>
          </w:tcPr>
          <w:p w:rsidR="001C7948" w:rsidRPr="001C7948" w:rsidP="001C7948" w14:paraId="2F4BD9D2" w14:textId="77777777">
            <w:pPr>
              <w:spacing w:after="0" w:line="240" w:lineRule="auto"/>
              <w:rPr>
                <w:rFonts w:ascii="Times New Roman" w:eastAsia="Times New Roman" w:hAnsi="Times New Roman" w:cs="Times New Roman"/>
                <w:color w:val="000000"/>
              </w:rPr>
            </w:pPr>
            <w:r w:rsidRPr="001C7948">
              <w:rPr>
                <w:rFonts w:ascii="Times New Roman" w:eastAsia="Times New Roman" w:hAnsi="Times New Roman" w:cs="Times New Roman"/>
                <w:color w:val="000000"/>
              </w:rPr>
              <w:t> </w:t>
            </w:r>
          </w:p>
        </w:tc>
        <w:tc>
          <w:tcPr>
            <w:tcW w:w="1366" w:type="dxa"/>
            <w:tcBorders>
              <w:top w:val="nil"/>
              <w:left w:val="nil"/>
              <w:bottom w:val="single" w:sz="4" w:space="0" w:color="auto"/>
              <w:right w:val="single" w:sz="4" w:space="0" w:color="auto"/>
            </w:tcBorders>
            <w:shd w:val="clear" w:color="auto" w:fill="auto"/>
            <w:noWrap/>
            <w:vAlign w:val="center"/>
            <w:hideMark/>
          </w:tcPr>
          <w:p w:rsidR="001C7948" w:rsidRPr="001C7948" w:rsidP="001C7948" w14:paraId="0BF01D17" w14:textId="77777777">
            <w:pPr>
              <w:spacing w:after="0" w:line="240" w:lineRule="auto"/>
              <w:jc w:val="right"/>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 xml:space="preserve">$29,600,000 </w:t>
            </w:r>
          </w:p>
        </w:tc>
      </w:tr>
      <w:tr w14:paraId="4D29B6E5" w14:textId="77777777" w:rsidTr="001C7948">
        <w:tblPrEx>
          <w:tblW w:w="12976" w:type="dxa"/>
          <w:tblInd w:w="113" w:type="dxa"/>
          <w:tblLook w:val="04A0"/>
        </w:tblPrEx>
        <w:trPr>
          <w:gridAfter w:val="1"/>
          <w:wAfter w:w="8" w:type="dxa"/>
          <w:trHeight w:val="300"/>
        </w:trPr>
        <w:tc>
          <w:tcPr>
            <w:tcW w:w="3235" w:type="dxa"/>
            <w:tcBorders>
              <w:top w:val="nil"/>
              <w:left w:val="nil"/>
              <w:bottom w:val="nil"/>
              <w:right w:val="nil"/>
            </w:tcBorders>
            <w:shd w:val="clear" w:color="auto" w:fill="auto"/>
            <w:noWrap/>
            <w:vAlign w:val="center"/>
            <w:hideMark/>
          </w:tcPr>
          <w:p w:rsidR="001C7948" w:rsidRPr="001C7948" w:rsidP="001C7948" w14:paraId="19C81A91" w14:textId="77777777">
            <w:pPr>
              <w:spacing w:after="0" w:line="240" w:lineRule="auto"/>
              <w:rPr>
                <w:rFonts w:ascii="Times New Roman" w:eastAsia="Times New Roman" w:hAnsi="Times New Roman" w:cs="Times New Roman"/>
                <w:b/>
                <w:bCs/>
                <w:color w:val="000000"/>
                <w:sz w:val="20"/>
                <w:szCs w:val="20"/>
              </w:rPr>
            </w:pPr>
            <w:r w:rsidRPr="001C7948">
              <w:rPr>
                <w:rFonts w:ascii="Times New Roman" w:eastAsia="Times New Roman" w:hAnsi="Times New Roman" w:cs="Times New Roman"/>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001C7948" w:rsidRPr="001C7948" w:rsidP="001C7948" w14:paraId="2CAFE4CC" w14:textId="77777777">
            <w:pPr>
              <w:spacing w:after="0" w:line="240" w:lineRule="auto"/>
              <w:rPr>
                <w:rFonts w:ascii="Times New Roman" w:eastAsia="Times New Roman" w:hAnsi="Times New Roman" w:cs="Times New Roman"/>
                <w:b/>
                <w:bCs/>
                <w:color w:val="000000"/>
                <w:sz w:val="20"/>
                <w:szCs w:val="20"/>
              </w:rPr>
            </w:pPr>
          </w:p>
        </w:tc>
        <w:tc>
          <w:tcPr>
            <w:tcW w:w="1238" w:type="dxa"/>
            <w:tcBorders>
              <w:top w:val="nil"/>
              <w:left w:val="nil"/>
              <w:bottom w:val="nil"/>
              <w:right w:val="nil"/>
            </w:tcBorders>
            <w:shd w:val="clear" w:color="auto" w:fill="auto"/>
            <w:noWrap/>
            <w:vAlign w:val="bottom"/>
            <w:hideMark/>
          </w:tcPr>
          <w:p w:rsidR="001C7948" w:rsidRPr="001C7948" w:rsidP="001C7948" w14:paraId="72E941D2" w14:textId="77777777">
            <w:pPr>
              <w:spacing w:after="0"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rsidR="001C7948" w:rsidRPr="001C7948" w:rsidP="001C7948" w14:paraId="798EFBB6" w14:textId="77777777">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rsidR="001C7948" w:rsidRPr="001C7948" w:rsidP="001C7948" w14:paraId="7D5B8101" w14:textId="77777777">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1C7948" w:rsidRPr="001C7948" w:rsidP="001C7948" w14:paraId="3A71085D" w14:textId="77777777">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1C7948" w:rsidRPr="001C7948" w:rsidP="001C7948" w14:paraId="1D5A9B26" w14:textId="77777777">
            <w:pPr>
              <w:spacing w:after="0" w:line="240" w:lineRule="auto"/>
              <w:rPr>
                <w:rFonts w:ascii="Times New Roman" w:eastAsia="Times New Roman" w:hAnsi="Times New Roman" w:cs="Times New Roman"/>
                <w:sz w:val="20"/>
                <w:szCs w:val="20"/>
              </w:rPr>
            </w:pPr>
          </w:p>
        </w:tc>
        <w:tc>
          <w:tcPr>
            <w:tcW w:w="1103" w:type="dxa"/>
            <w:tcBorders>
              <w:top w:val="nil"/>
              <w:left w:val="nil"/>
              <w:bottom w:val="nil"/>
              <w:right w:val="nil"/>
            </w:tcBorders>
            <w:shd w:val="clear" w:color="auto" w:fill="auto"/>
            <w:noWrap/>
            <w:vAlign w:val="bottom"/>
            <w:hideMark/>
          </w:tcPr>
          <w:p w:rsidR="001C7948" w:rsidRPr="001C7948" w:rsidP="001C7948" w14:paraId="37FEBF98" w14:textId="77777777">
            <w:pPr>
              <w:spacing w:after="0" w:line="240" w:lineRule="auto"/>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bottom"/>
            <w:hideMark/>
          </w:tcPr>
          <w:p w:rsidR="001C7948" w:rsidRPr="001C7948" w:rsidP="001C7948" w14:paraId="43090C4D" w14:textId="77777777">
            <w:pPr>
              <w:spacing w:after="0" w:line="240" w:lineRule="auto"/>
              <w:rPr>
                <w:rFonts w:ascii="Times New Roman" w:eastAsia="Times New Roman" w:hAnsi="Times New Roman" w:cs="Times New Roman"/>
                <w:sz w:val="20"/>
                <w:szCs w:val="20"/>
              </w:rPr>
            </w:pPr>
          </w:p>
        </w:tc>
      </w:tr>
      <w:tr w14:paraId="27AD7E33" w14:textId="77777777" w:rsidTr="00891F62">
        <w:tblPrEx>
          <w:tblW w:w="12976" w:type="dxa"/>
          <w:tblInd w:w="113" w:type="dxa"/>
          <w:tblLook w:val="04A0"/>
        </w:tblPrEx>
        <w:trPr>
          <w:trHeight w:val="432"/>
        </w:trPr>
        <w:tc>
          <w:tcPr>
            <w:tcW w:w="12976" w:type="dxa"/>
            <w:gridSpan w:val="10"/>
            <w:tcBorders>
              <w:top w:val="nil"/>
              <w:left w:val="nil"/>
              <w:bottom w:val="nil"/>
              <w:right w:val="nil"/>
            </w:tcBorders>
            <w:shd w:val="clear" w:color="auto" w:fill="auto"/>
            <w:hideMark/>
          </w:tcPr>
          <w:p w:rsidR="001C7948" w:rsidRPr="001C7948" w:rsidP="001C7948" w14:paraId="545A4FA0" w14:textId="09D66BBA">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a</w:t>
            </w:r>
            <w:r w:rsidRPr="001C7948">
              <w:rPr>
                <w:rFonts w:ascii="Times New Roman" w:eastAsia="Times New Roman" w:hAnsi="Times New Roman" w:cs="Times New Roman"/>
                <w:color w:val="000000"/>
                <w:sz w:val="20"/>
                <w:szCs w:val="20"/>
              </w:rPr>
              <w:t xml:space="preserve"> We assume there are an average of 27 sources (TPPUs) at 24 facilities subject to the rule and no additional sources per year will become subject to the rule during the three-year period of this ICR.</w:t>
            </w:r>
          </w:p>
        </w:tc>
      </w:tr>
      <w:tr w14:paraId="38D27A9A" w14:textId="77777777" w:rsidTr="001C7948">
        <w:tblPrEx>
          <w:tblW w:w="12976" w:type="dxa"/>
          <w:tblInd w:w="113" w:type="dxa"/>
          <w:tblLook w:val="04A0"/>
        </w:tblPrEx>
        <w:trPr>
          <w:trHeight w:val="1095"/>
        </w:trPr>
        <w:tc>
          <w:tcPr>
            <w:tcW w:w="12976" w:type="dxa"/>
            <w:gridSpan w:val="10"/>
            <w:tcBorders>
              <w:top w:val="nil"/>
              <w:left w:val="nil"/>
              <w:bottom w:val="nil"/>
              <w:right w:val="nil"/>
            </w:tcBorders>
            <w:shd w:val="clear" w:color="auto" w:fill="auto"/>
            <w:hideMark/>
          </w:tcPr>
          <w:p w:rsidR="001C7948" w:rsidRPr="001C7948" w:rsidP="001C7948" w14:paraId="45CF3289" w14:textId="01EF7400">
            <w:pPr>
              <w:spacing w:after="0" w:line="240" w:lineRule="auto"/>
              <w:rPr>
                <w:rFonts w:ascii="Times New Roman" w:eastAsia="Times New Roman" w:hAnsi="Times New Roman" w:cs="Times New Roman"/>
                <w:sz w:val="20"/>
                <w:szCs w:val="20"/>
              </w:rPr>
            </w:pPr>
            <w:r w:rsidRPr="001C7948">
              <w:rPr>
                <w:rFonts w:ascii="Times New Roman" w:eastAsia="Times New Roman" w:hAnsi="Times New Roman" w:cs="Times New Roman"/>
                <w:sz w:val="20"/>
                <w:szCs w:val="20"/>
                <w:vertAlign w:val="superscript"/>
              </w:rPr>
              <w:t>b</w:t>
            </w:r>
            <w:r w:rsidRPr="001C7948">
              <w:rPr>
                <w:rFonts w:ascii="Times New Roman" w:eastAsia="Times New Roman" w:hAnsi="Times New Roman" w:cs="Times New Roman"/>
                <w:sz w:val="20"/>
                <w:szCs w:val="20"/>
              </w:rPr>
              <w:t xml:space="preserve"> 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512A712D" w14:textId="77777777" w:rsidTr="00891F62">
        <w:tblPrEx>
          <w:tblW w:w="12976" w:type="dxa"/>
          <w:tblInd w:w="113" w:type="dxa"/>
          <w:tblLook w:val="04A0"/>
        </w:tblPrEx>
        <w:trPr>
          <w:trHeight w:val="198"/>
        </w:trPr>
        <w:tc>
          <w:tcPr>
            <w:tcW w:w="12976" w:type="dxa"/>
            <w:gridSpan w:val="10"/>
            <w:tcBorders>
              <w:top w:val="nil"/>
              <w:left w:val="nil"/>
              <w:bottom w:val="nil"/>
              <w:right w:val="nil"/>
            </w:tcBorders>
            <w:shd w:val="clear" w:color="auto" w:fill="auto"/>
            <w:noWrap/>
            <w:hideMark/>
          </w:tcPr>
          <w:p w:rsidR="001C7948" w:rsidRPr="001C7948" w:rsidP="001C7948" w14:paraId="7DB62EB2" w14:textId="5A41C4AB">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c</w:t>
            </w:r>
            <w:r w:rsidRPr="001C7948">
              <w:rPr>
                <w:rFonts w:ascii="Times New Roman" w:eastAsia="Times New Roman" w:hAnsi="Times New Roman" w:cs="Times New Roman"/>
                <w:color w:val="000000"/>
                <w:sz w:val="20"/>
                <w:szCs w:val="20"/>
              </w:rPr>
              <w:t xml:space="preserve"> This ICR assumes all existing sources will have to familiarize with the regulatory requirements each year.</w:t>
            </w:r>
          </w:p>
        </w:tc>
      </w:tr>
      <w:tr w14:paraId="3B4AD40A" w14:textId="77777777" w:rsidTr="001C7948">
        <w:tblPrEx>
          <w:tblW w:w="12976" w:type="dxa"/>
          <w:tblInd w:w="113" w:type="dxa"/>
          <w:tblLook w:val="04A0"/>
        </w:tblPrEx>
        <w:trPr>
          <w:trHeight w:val="1155"/>
        </w:trPr>
        <w:tc>
          <w:tcPr>
            <w:tcW w:w="12976" w:type="dxa"/>
            <w:gridSpan w:val="10"/>
            <w:tcBorders>
              <w:top w:val="nil"/>
              <w:left w:val="nil"/>
              <w:bottom w:val="nil"/>
              <w:right w:val="nil"/>
            </w:tcBorders>
            <w:shd w:val="clear" w:color="auto" w:fill="auto"/>
            <w:hideMark/>
          </w:tcPr>
          <w:p w:rsidR="001C7948" w:rsidRPr="001C7948" w:rsidP="001C7948" w14:paraId="6444B7C4" w14:textId="58D96E4A">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d</w:t>
            </w:r>
            <w:r w:rsidRPr="001C7948">
              <w:rPr>
                <w:rFonts w:ascii="Times New Roman" w:eastAsia="Times New Roman" w:hAnsi="Times New Roman" w:cs="Times New Roman"/>
                <w:color w:val="000000"/>
                <w:sz w:val="20"/>
                <w:szCs w:val="20"/>
              </w:rPr>
              <w:t xml:space="preserve"> Since the activities within each burden category (i.e., process vents, equipment leaks, wastewater, heat exchangers, and equipment leaks) can vary significantly, it is too inaccurate to assume an average activity time (Column A) to calculate hours per facility (Column C). Therefore, we estimated the total hours per facility and the number activities per year (Column B) to back-calculate the person-</w:t>
            </w:r>
            <w:r w:rsidRPr="001C7948">
              <w:rPr>
                <w:rFonts w:ascii="Times New Roman" w:eastAsia="Times New Roman" w:hAnsi="Times New Roman" w:cs="Times New Roman"/>
                <w:color w:val="000000"/>
                <w:sz w:val="20"/>
                <w:szCs w:val="20"/>
              </w:rPr>
              <w:t>hrs</w:t>
            </w:r>
            <w:r w:rsidRPr="001C7948">
              <w:rPr>
                <w:rFonts w:ascii="Times New Roman" w:eastAsia="Times New Roman" w:hAnsi="Times New Roman" w:cs="Times New Roman"/>
                <w:color w:val="000000"/>
                <w:sz w:val="20"/>
                <w:szCs w:val="20"/>
              </w:rPr>
              <w:t xml:space="preserve"> per occurrence value in Column A. The burden for these activities </w:t>
            </w:r>
            <w:r w:rsidRPr="001C7948">
              <w:rPr>
                <w:rFonts w:ascii="Times New Roman" w:eastAsia="Times New Roman" w:hAnsi="Times New Roman" w:cs="Times New Roman"/>
                <w:color w:val="000000"/>
                <w:sz w:val="20"/>
                <w:szCs w:val="20"/>
              </w:rPr>
              <w:t>are</w:t>
            </w:r>
            <w:r w:rsidRPr="001C7948">
              <w:rPr>
                <w:rFonts w:ascii="Times New Roman" w:eastAsia="Times New Roman" w:hAnsi="Times New Roman" w:cs="Times New Roman"/>
                <w:color w:val="000000"/>
                <w:sz w:val="20"/>
                <w:szCs w:val="20"/>
              </w:rPr>
              <w:t xml:space="preserve"> based on the approach used in the HON (Subparts F, G, H, and I).</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Since so much variability exists, it is important to note that this is an estimate and is only used to back-calculate Column A.</w:t>
            </w:r>
          </w:p>
        </w:tc>
      </w:tr>
      <w:tr w14:paraId="050FA7D4" w14:textId="77777777" w:rsidTr="00891F62">
        <w:tblPrEx>
          <w:tblW w:w="12976" w:type="dxa"/>
          <w:tblInd w:w="113" w:type="dxa"/>
          <w:tblLook w:val="04A0"/>
        </w:tblPrEx>
        <w:trPr>
          <w:trHeight w:val="261"/>
        </w:trPr>
        <w:tc>
          <w:tcPr>
            <w:tcW w:w="12976" w:type="dxa"/>
            <w:gridSpan w:val="10"/>
            <w:tcBorders>
              <w:top w:val="nil"/>
              <w:left w:val="nil"/>
              <w:bottom w:val="nil"/>
              <w:right w:val="nil"/>
            </w:tcBorders>
            <w:shd w:val="clear" w:color="auto" w:fill="auto"/>
            <w:noWrap/>
            <w:hideMark/>
          </w:tcPr>
          <w:p w:rsidR="001C7948" w:rsidRPr="001C7948" w:rsidP="001C7948" w14:paraId="40B54472" w14:textId="2822B575">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e</w:t>
            </w:r>
            <w:r w:rsidRPr="001C7948">
              <w:rPr>
                <w:rFonts w:ascii="Times New Roman" w:eastAsia="Times New Roman" w:hAnsi="Times New Roman" w:cs="Times New Roman"/>
                <w:color w:val="000000"/>
                <w:sz w:val="20"/>
                <w:szCs w:val="20"/>
              </w:rPr>
              <w:t xml:space="preserve"> This ICR assumes that each facility will refill storage vessels that have been emptied and degassed 6 times per year.</w:t>
            </w:r>
          </w:p>
        </w:tc>
      </w:tr>
      <w:tr w14:paraId="33E8F33E" w14:textId="77777777" w:rsidTr="00891F62">
        <w:tblPrEx>
          <w:tblW w:w="12976" w:type="dxa"/>
          <w:tblInd w:w="113" w:type="dxa"/>
          <w:tblLook w:val="04A0"/>
        </w:tblPrEx>
        <w:trPr>
          <w:trHeight w:val="180"/>
        </w:trPr>
        <w:tc>
          <w:tcPr>
            <w:tcW w:w="12976" w:type="dxa"/>
            <w:gridSpan w:val="10"/>
            <w:tcBorders>
              <w:top w:val="nil"/>
              <w:left w:val="nil"/>
              <w:bottom w:val="nil"/>
              <w:right w:val="nil"/>
            </w:tcBorders>
            <w:shd w:val="clear" w:color="auto" w:fill="auto"/>
            <w:noWrap/>
            <w:hideMark/>
          </w:tcPr>
          <w:p w:rsidR="001C7948" w:rsidRPr="001C7948" w:rsidP="001C7948" w14:paraId="44A61E65" w14:textId="5C8A6BD1">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f</w:t>
            </w:r>
            <w:r w:rsidR="00B5008A">
              <w:rPr>
                <w:rFonts w:ascii="Times New Roman" w:eastAsia="Times New Roman" w:hAnsi="Times New Roman" w:cs="Times New Roman"/>
                <w:color w:val="000000"/>
                <w:sz w:val="20"/>
                <w:szCs w:val="20"/>
              </w:rPr>
              <w:t xml:space="preserve"> </w:t>
            </w:r>
            <w:r w:rsidRPr="001C7948">
              <w:rPr>
                <w:rFonts w:ascii="Times New Roman" w:eastAsia="Times New Roman" w:hAnsi="Times New Roman" w:cs="Times New Roman"/>
                <w:color w:val="000000"/>
                <w:sz w:val="20"/>
                <w:szCs w:val="20"/>
              </w:rPr>
              <w:t xml:space="preserve">his ICR assumes that 5% of new sources will use alternative test methods. </w:t>
            </w:r>
          </w:p>
        </w:tc>
      </w:tr>
      <w:tr w14:paraId="41BB0F46" w14:textId="77777777" w:rsidTr="00891F62">
        <w:tblPrEx>
          <w:tblW w:w="12976" w:type="dxa"/>
          <w:tblInd w:w="113" w:type="dxa"/>
          <w:tblLook w:val="04A0"/>
        </w:tblPrEx>
        <w:trPr>
          <w:trHeight w:val="225"/>
        </w:trPr>
        <w:tc>
          <w:tcPr>
            <w:tcW w:w="12976" w:type="dxa"/>
            <w:gridSpan w:val="10"/>
            <w:tcBorders>
              <w:top w:val="nil"/>
              <w:left w:val="nil"/>
              <w:bottom w:val="nil"/>
              <w:right w:val="nil"/>
            </w:tcBorders>
            <w:shd w:val="clear" w:color="auto" w:fill="auto"/>
            <w:noWrap/>
            <w:hideMark/>
          </w:tcPr>
          <w:p w:rsidR="001C7948" w:rsidRPr="001C7948" w:rsidP="001C7948" w14:paraId="0AC8503E" w14:textId="141930FF">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g</w:t>
            </w:r>
            <w:r w:rsidRPr="001C7948">
              <w:rPr>
                <w:rFonts w:ascii="Times New Roman" w:eastAsia="Times New Roman" w:hAnsi="Times New Roman" w:cs="Times New Roman"/>
                <w:color w:val="000000"/>
                <w:sz w:val="20"/>
                <w:szCs w:val="20"/>
              </w:rPr>
              <w:t xml:space="preserve"> This ICR assumes that 5% of new sources will use special compliance requirements.</w:t>
            </w:r>
          </w:p>
        </w:tc>
      </w:tr>
      <w:tr w14:paraId="4FB59304" w14:textId="77777777" w:rsidTr="00891F62">
        <w:tblPrEx>
          <w:tblW w:w="12976" w:type="dxa"/>
          <w:tblInd w:w="113" w:type="dxa"/>
          <w:tblLook w:val="04A0"/>
        </w:tblPrEx>
        <w:trPr>
          <w:trHeight w:val="252"/>
        </w:trPr>
        <w:tc>
          <w:tcPr>
            <w:tcW w:w="12976" w:type="dxa"/>
            <w:gridSpan w:val="10"/>
            <w:tcBorders>
              <w:top w:val="nil"/>
              <w:left w:val="nil"/>
              <w:bottom w:val="nil"/>
              <w:right w:val="nil"/>
            </w:tcBorders>
            <w:shd w:val="clear" w:color="auto" w:fill="auto"/>
            <w:noWrap/>
            <w:hideMark/>
          </w:tcPr>
          <w:p w:rsidR="001C7948" w:rsidRPr="001C7948" w:rsidP="001C7948" w14:paraId="4045C579" w14:textId="25795851">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h</w:t>
            </w:r>
            <w:r w:rsidRPr="001C7948">
              <w:rPr>
                <w:rFonts w:ascii="Times New Roman" w:eastAsia="Times New Roman" w:hAnsi="Times New Roman" w:cs="Times New Roman"/>
                <w:color w:val="000000"/>
                <w:sz w:val="20"/>
                <w:szCs w:val="20"/>
              </w:rPr>
              <w:t xml:space="preserve"> This ICR assumes that 10% of new sources will have to submit </w:t>
            </w:r>
            <w:r w:rsidRPr="001C7948">
              <w:rPr>
                <w:rFonts w:ascii="Times New Roman" w:eastAsia="Times New Roman" w:hAnsi="Times New Roman" w:cs="Times New Roman"/>
                <w:color w:val="000000"/>
                <w:sz w:val="20"/>
                <w:szCs w:val="20"/>
              </w:rPr>
              <w:t>precompliance</w:t>
            </w:r>
            <w:r w:rsidRPr="001C7948">
              <w:rPr>
                <w:rFonts w:ascii="Times New Roman" w:eastAsia="Times New Roman" w:hAnsi="Times New Roman" w:cs="Times New Roman"/>
                <w:color w:val="000000"/>
                <w:sz w:val="20"/>
                <w:szCs w:val="20"/>
              </w:rPr>
              <w:t xml:space="preserve"> reports.</w:t>
            </w:r>
          </w:p>
        </w:tc>
      </w:tr>
      <w:tr w14:paraId="3D5B09F9" w14:textId="77777777" w:rsidTr="001C7948">
        <w:tblPrEx>
          <w:tblW w:w="12976" w:type="dxa"/>
          <w:tblInd w:w="113" w:type="dxa"/>
          <w:tblLook w:val="04A0"/>
        </w:tblPrEx>
        <w:trPr>
          <w:trHeight w:val="315"/>
        </w:trPr>
        <w:tc>
          <w:tcPr>
            <w:tcW w:w="12976" w:type="dxa"/>
            <w:gridSpan w:val="10"/>
            <w:tcBorders>
              <w:top w:val="nil"/>
              <w:left w:val="nil"/>
              <w:bottom w:val="nil"/>
              <w:right w:val="nil"/>
            </w:tcBorders>
            <w:shd w:val="clear" w:color="auto" w:fill="auto"/>
            <w:noWrap/>
            <w:hideMark/>
          </w:tcPr>
          <w:p w:rsidR="001C7948" w:rsidRPr="001C7948" w:rsidP="001C7948" w14:paraId="03D5D50D" w14:textId="3B3DDF50">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i</w:t>
            </w:r>
            <w:r w:rsidRPr="001C7948">
              <w:rPr>
                <w:rFonts w:ascii="Times New Roman" w:eastAsia="Times New Roman" w:hAnsi="Times New Roman" w:cs="Times New Roman"/>
                <w:color w:val="000000"/>
                <w:sz w:val="20"/>
                <w:szCs w:val="20"/>
              </w:rPr>
              <w:t xml:space="preserve"> This ICR assumes that all existing sources are already in compliance; new sources cannot receive compliance extensions. </w:t>
            </w:r>
          </w:p>
        </w:tc>
      </w:tr>
      <w:tr w14:paraId="04D828E0" w14:textId="77777777" w:rsidTr="001C7948">
        <w:tblPrEx>
          <w:tblW w:w="12976" w:type="dxa"/>
          <w:tblInd w:w="113" w:type="dxa"/>
          <w:tblLook w:val="04A0"/>
        </w:tblPrEx>
        <w:trPr>
          <w:trHeight w:val="765"/>
        </w:trPr>
        <w:tc>
          <w:tcPr>
            <w:tcW w:w="12976" w:type="dxa"/>
            <w:gridSpan w:val="10"/>
            <w:tcBorders>
              <w:top w:val="nil"/>
              <w:left w:val="nil"/>
              <w:bottom w:val="nil"/>
              <w:right w:val="nil"/>
            </w:tcBorders>
            <w:shd w:val="clear" w:color="auto" w:fill="auto"/>
            <w:hideMark/>
          </w:tcPr>
          <w:p w:rsidR="001C7948" w:rsidRPr="001C7948" w:rsidP="001C7948" w14:paraId="689A5C69" w14:textId="1DF0C9E9">
            <w:pPr>
              <w:spacing w:after="0" w:line="240" w:lineRule="auto"/>
              <w:rPr>
                <w:rFonts w:ascii="Times New Roman" w:eastAsia="Times New Roman" w:hAnsi="Times New Roman" w:cs="Times New Roman"/>
                <w:sz w:val="20"/>
                <w:szCs w:val="20"/>
              </w:rPr>
            </w:pPr>
            <w:r w:rsidRPr="001C7948">
              <w:rPr>
                <w:rFonts w:ascii="Times New Roman" w:eastAsia="Times New Roman" w:hAnsi="Times New Roman" w:cs="Times New Roman"/>
                <w:sz w:val="20"/>
                <w:szCs w:val="20"/>
                <w:vertAlign w:val="superscript"/>
              </w:rPr>
              <w:t>j</w:t>
            </w:r>
            <w:r w:rsidRPr="001C7948">
              <w:rPr>
                <w:rFonts w:ascii="Times New Roman" w:eastAsia="Times New Roman" w:hAnsi="Times New Roman" w:cs="Times New Roman"/>
                <w:sz w:val="20"/>
                <w:szCs w:val="20"/>
              </w:rPr>
              <w:t xml:space="preserve"> This ICR assumes 10% of existing facilities have elected to use emission averaging and that all existing respondents were expected to </w:t>
            </w:r>
            <w:r w:rsidRPr="001C7948">
              <w:rPr>
                <w:rFonts w:ascii="Times New Roman" w:eastAsia="Times New Roman" w:hAnsi="Times New Roman" w:cs="Times New Roman"/>
                <w:sz w:val="20"/>
                <w:szCs w:val="20"/>
              </w:rPr>
              <w:t>be in compliance with</w:t>
            </w:r>
            <w:r w:rsidRPr="001C7948">
              <w:rPr>
                <w:rFonts w:ascii="Times New Roman" w:eastAsia="Times New Roman" w:hAnsi="Times New Roman" w:cs="Times New Roman"/>
                <w:sz w:val="20"/>
                <w:szCs w:val="20"/>
              </w:rPr>
              <w:t xml:space="preserve"> the submittal of an emis</w:t>
            </w:r>
            <w:r>
              <w:rPr>
                <w:rFonts w:ascii="Times New Roman" w:eastAsia="Times New Roman" w:hAnsi="Times New Roman" w:cs="Times New Roman"/>
                <w:sz w:val="20"/>
                <w:szCs w:val="20"/>
              </w:rPr>
              <w:t>si</w:t>
            </w:r>
            <w:r w:rsidRPr="001C7948">
              <w:rPr>
                <w:rFonts w:ascii="Times New Roman" w:eastAsia="Times New Roman" w:hAnsi="Times New Roman" w:cs="Times New Roman"/>
                <w:sz w:val="20"/>
                <w:szCs w:val="20"/>
              </w:rPr>
              <w:t>ons averaging plan as of the 2014 final rule. New facilities cannot use emissions averaging, therefore no new emissions averaging plans will be submitted. This ICR also assumes no existing facilities will elect to use nominal control after submitting the initial emissions averaging plan.</w:t>
            </w:r>
          </w:p>
        </w:tc>
      </w:tr>
      <w:tr w14:paraId="14A9D4FE" w14:textId="77777777" w:rsidTr="001C7948">
        <w:tblPrEx>
          <w:tblW w:w="12976" w:type="dxa"/>
          <w:tblInd w:w="113" w:type="dxa"/>
          <w:tblLook w:val="04A0"/>
        </w:tblPrEx>
        <w:trPr>
          <w:trHeight w:val="315"/>
        </w:trPr>
        <w:tc>
          <w:tcPr>
            <w:tcW w:w="12976" w:type="dxa"/>
            <w:gridSpan w:val="10"/>
            <w:tcBorders>
              <w:top w:val="nil"/>
              <w:left w:val="nil"/>
              <w:bottom w:val="nil"/>
              <w:right w:val="nil"/>
            </w:tcBorders>
            <w:shd w:val="clear" w:color="auto" w:fill="auto"/>
            <w:noWrap/>
            <w:hideMark/>
          </w:tcPr>
          <w:p w:rsidR="001C7948" w:rsidRPr="001C7948" w:rsidP="001C7948" w14:paraId="73A4CF19" w14:textId="07FF3D5E">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k</w:t>
            </w:r>
            <w:r w:rsidRPr="001C7948">
              <w:rPr>
                <w:rFonts w:ascii="Times New Roman" w:eastAsia="Times New Roman" w:hAnsi="Times New Roman" w:cs="Times New Roman"/>
                <w:color w:val="000000"/>
                <w:sz w:val="20"/>
                <w:szCs w:val="20"/>
              </w:rPr>
              <w:t xml:space="preserve"> This ICR assumes 1 facility per year using an emissions averaging plan will make changes requiring an update to the emissions averaging plan. </w:t>
            </w:r>
          </w:p>
        </w:tc>
      </w:tr>
      <w:tr w14:paraId="4B0EF1F1" w14:textId="77777777" w:rsidTr="00891F62">
        <w:tblPrEx>
          <w:tblW w:w="12976" w:type="dxa"/>
          <w:tblInd w:w="113" w:type="dxa"/>
          <w:tblLook w:val="04A0"/>
        </w:tblPrEx>
        <w:trPr>
          <w:trHeight w:val="774"/>
        </w:trPr>
        <w:tc>
          <w:tcPr>
            <w:tcW w:w="12976" w:type="dxa"/>
            <w:gridSpan w:val="10"/>
            <w:tcBorders>
              <w:top w:val="nil"/>
              <w:left w:val="nil"/>
              <w:bottom w:val="nil"/>
              <w:right w:val="nil"/>
            </w:tcBorders>
            <w:shd w:val="clear" w:color="auto" w:fill="auto"/>
            <w:hideMark/>
          </w:tcPr>
          <w:p w:rsidR="001C7948" w:rsidRPr="001C7948" w:rsidP="001C7948" w14:paraId="525CBEC2" w14:textId="65E200EF">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l</w:t>
            </w:r>
            <w:r w:rsidRPr="001C7948">
              <w:rPr>
                <w:rFonts w:ascii="Times New Roman" w:eastAsia="Times New Roman" w:hAnsi="Times New Roman" w:cs="Times New Roman"/>
                <w:color w:val="000000"/>
                <w:sz w:val="20"/>
                <w:szCs w:val="20"/>
              </w:rPr>
              <w:t xml:space="preserve"> This ICR assumes that 5% of the 27 sources (TPPUs) will not qualify for semiannual reports and will be required to submit quarterly reports. (27 TPPUs x 0.05 = 1.35) In addition, 10% of the 24 facilities using emissions averaging are required to submit quarterly reports. (24 respondents x (0.10) = 2.4). </w:t>
            </w:r>
            <w:r w:rsidRPr="001C7948">
              <w:rPr>
                <w:rFonts w:ascii="Times New Roman" w:eastAsia="Times New Roman" w:hAnsi="Times New Roman" w:cs="Times New Roman"/>
                <w:color w:val="000000"/>
                <w:sz w:val="20"/>
                <w:szCs w:val="20"/>
              </w:rPr>
              <w:t>Therefore</w:t>
            </w:r>
            <w:r w:rsidRPr="001C7948">
              <w:rPr>
                <w:rFonts w:ascii="Times New Roman" w:eastAsia="Times New Roman" w:hAnsi="Times New Roman" w:cs="Times New Roman"/>
                <w:color w:val="000000"/>
                <w:sz w:val="20"/>
                <w:szCs w:val="20"/>
              </w:rPr>
              <w:t xml:space="preserve"> we estimate quarterly reports will be submitted for 4 sources. (1.35 + 2.4 = 3.75, rounded to 4) The remaining 23 sources will all submit semiannual reports. </w:t>
            </w:r>
          </w:p>
        </w:tc>
      </w:tr>
      <w:tr w14:paraId="05858A06" w14:textId="77777777" w:rsidTr="001C7948">
        <w:tblPrEx>
          <w:tblW w:w="12976" w:type="dxa"/>
          <w:tblInd w:w="113" w:type="dxa"/>
          <w:tblLook w:val="04A0"/>
        </w:tblPrEx>
        <w:trPr>
          <w:trHeight w:val="315"/>
        </w:trPr>
        <w:tc>
          <w:tcPr>
            <w:tcW w:w="12976" w:type="dxa"/>
            <w:gridSpan w:val="10"/>
            <w:tcBorders>
              <w:top w:val="nil"/>
              <w:left w:val="nil"/>
              <w:bottom w:val="nil"/>
              <w:right w:val="nil"/>
            </w:tcBorders>
            <w:shd w:val="clear" w:color="auto" w:fill="auto"/>
            <w:noWrap/>
            <w:hideMark/>
          </w:tcPr>
          <w:p w:rsidR="001C7948" w:rsidRPr="001C7948" w:rsidP="001C7948" w14:paraId="17647FBF" w14:textId="2A4ABD19">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m</w:t>
            </w:r>
            <w:r w:rsidRPr="001C7948">
              <w:rPr>
                <w:rFonts w:ascii="Times New Roman" w:eastAsia="Times New Roman" w:hAnsi="Times New Roman" w:cs="Times New Roman"/>
                <w:color w:val="000000"/>
                <w:sz w:val="20"/>
                <w:szCs w:val="20"/>
              </w:rPr>
              <w:t xml:space="preserve"> This ICR assumes that 10% of sources will have changes to their primary product. (27 sources x 0.10 = 2.7, rounded to 3)</w:t>
            </w:r>
          </w:p>
        </w:tc>
      </w:tr>
      <w:tr w14:paraId="548284FB" w14:textId="77777777" w:rsidTr="001C7948">
        <w:tblPrEx>
          <w:tblW w:w="12976" w:type="dxa"/>
          <w:tblInd w:w="113" w:type="dxa"/>
          <w:tblLook w:val="04A0"/>
        </w:tblPrEx>
        <w:trPr>
          <w:trHeight w:val="315"/>
        </w:trPr>
        <w:tc>
          <w:tcPr>
            <w:tcW w:w="12976" w:type="dxa"/>
            <w:gridSpan w:val="10"/>
            <w:tcBorders>
              <w:top w:val="nil"/>
              <w:left w:val="nil"/>
              <w:bottom w:val="nil"/>
              <w:right w:val="nil"/>
            </w:tcBorders>
            <w:shd w:val="clear" w:color="auto" w:fill="auto"/>
            <w:noWrap/>
            <w:hideMark/>
          </w:tcPr>
          <w:p w:rsidR="001C7948" w:rsidRPr="001C7948" w:rsidP="001C7948" w14:paraId="6F0CAE2A" w14:textId="10452D9E">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n</w:t>
            </w:r>
            <w:r w:rsidRPr="001C7948">
              <w:rPr>
                <w:rFonts w:ascii="Times New Roman" w:eastAsia="Times New Roman" w:hAnsi="Times New Roman" w:cs="Times New Roman"/>
                <w:color w:val="000000"/>
                <w:sz w:val="20"/>
                <w:szCs w:val="20"/>
              </w:rPr>
              <w:t xml:space="preserve"> This ICR assumes that 10% of sources will makes changes to batch process vents. (27 sources x 0.10 = 2.7, rounded to 3)</w:t>
            </w:r>
          </w:p>
        </w:tc>
      </w:tr>
      <w:tr w14:paraId="2DDD8120" w14:textId="77777777" w:rsidTr="00891F62">
        <w:tblPrEx>
          <w:tblW w:w="12976" w:type="dxa"/>
          <w:tblInd w:w="113" w:type="dxa"/>
          <w:tblLook w:val="04A0"/>
        </w:tblPrEx>
        <w:trPr>
          <w:trHeight w:val="522"/>
        </w:trPr>
        <w:tc>
          <w:tcPr>
            <w:tcW w:w="12976" w:type="dxa"/>
            <w:gridSpan w:val="10"/>
            <w:tcBorders>
              <w:top w:val="nil"/>
              <w:left w:val="nil"/>
              <w:bottom w:val="nil"/>
              <w:right w:val="nil"/>
            </w:tcBorders>
            <w:shd w:val="clear" w:color="auto" w:fill="auto"/>
            <w:hideMark/>
          </w:tcPr>
          <w:p w:rsidR="001C7948" w:rsidRPr="001C7948" w:rsidP="001C7948" w14:paraId="2E34779D" w14:textId="48F3CF74">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o</w:t>
            </w:r>
            <w:r w:rsidRPr="001C7948">
              <w:rPr>
                <w:rFonts w:ascii="Times New Roman" w:eastAsia="Times New Roman" w:hAnsi="Times New Roman" w:cs="Times New Roman"/>
                <w:color w:val="000000"/>
                <w:sz w:val="20"/>
                <w:szCs w:val="20"/>
              </w:rPr>
              <w:t xml:space="preserve"> This ICR assumes that 10% of PET sources will make changes to a dimethyl terephthalate process. There is a total of 15 PET facilities subject to the rule. (15 facilities x 1.1 sources/facility x 10% = 1.65 sources, rounded to 2)</w:t>
            </w:r>
          </w:p>
        </w:tc>
      </w:tr>
      <w:tr w14:paraId="58D6A4C8" w14:textId="77777777" w:rsidTr="001C7948">
        <w:tblPrEx>
          <w:tblW w:w="12976" w:type="dxa"/>
          <w:tblInd w:w="113" w:type="dxa"/>
          <w:tblLook w:val="04A0"/>
        </w:tblPrEx>
        <w:trPr>
          <w:trHeight w:val="315"/>
        </w:trPr>
        <w:tc>
          <w:tcPr>
            <w:tcW w:w="12976" w:type="dxa"/>
            <w:gridSpan w:val="10"/>
            <w:tcBorders>
              <w:top w:val="nil"/>
              <w:left w:val="nil"/>
              <w:bottom w:val="nil"/>
              <w:right w:val="nil"/>
            </w:tcBorders>
            <w:shd w:val="clear" w:color="auto" w:fill="auto"/>
            <w:noWrap/>
            <w:hideMark/>
          </w:tcPr>
          <w:p w:rsidR="001C7948" w:rsidRPr="001C7948" w:rsidP="001C7948" w14:paraId="25AF8038" w14:textId="4C6A72CD">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p</w:t>
            </w:r>
            <w:r w:rsidRPr="001C7948">
              <w:rPr>
                <w:rFonts w:ascii="Times New Roman" w:eastAsia="Times New Roman" w:hAnsi="Times New Roman" w:cs="Times New Roman"/>
                <w:color w:val="000000"/>
                <w:sz w:val="20"/>
                <w:szCs w:val="20"/>
              </w:rPr>
              <w:t xml:space="preserve"> This ICR assumes that 10% of sources will have to submit malfunction reports.</w:t>
            </w:r>
            <w:r w:rsidRPr="001C7948">
              <w:rPr>
                <w:rFonts w:ascii="Times New Roman" w:eastAsia="Times New Roman" w:hAnsi="Times New Roman" w:cs="Times New Roman"/>
                <w:color w:val="000000"/>
                <w:sz w:val="20"/>
                <w:szCs w:val="20"/>
                <w:vertAlign w:val="superscript"/>
              </w:rPr>
              <w:t xml:space="preserve"> </w:t>
            </w:r>
            <w:r w:rsidRPr="001C7948">
              <w:rPr>
                <w:rFonts w:ascii="Times New Roman" w:eastAsia="Times New Roman" w:hAnsi="Times New Roman" w:cs="Times New Roman"/>
                <w:color w:val="000000"/>
                <w:sz w:val="20"/>
                <w:szCs w:val="20"/>
              </w:rPr>
              <w:t>(27 sources x 0.10 = 2.7, rounded to 3)</w:t>
            </w:r>
          </w:p>
        </w:tc>
      </w:tr>
      <w:tr w14:paraId="69AB59D7" w14:textId="77777777" w:rsidTr="001C7948">
        <w:tblPrEx>
          <w:tblW w:w="12976" w:type="dxa"/>
          <w:tblInd w:w="113" w:type="dxa"/>
          <w:tblLook w:val="04A0"/>
        </w:tblPrEx>
        <w:trPr>
          <w:trHeight w:val="315"/>
        </w:trPr>
        <w:tc>
          <w:tcPr>
            <w:tcW w:w="12976" w:type="dxa"/>
            <w:gridSpan w:val="10"/>
            <w:tcBorders>
              <w:top w:val="nil"/>
              <w:left w:val="nil"/>
              <w:bottom w:val="nil"/>
              <w:right w:val="nil"/>
            </w:tcBorders>
            <w:shd w:val="clear" w:color="auto" w:fill="auto"/>
            <w:noWrap/>
            <w:hideMark/>
          </w:tcPr>
          <w:p w:rsidR="001C7948" w:rsidRPr="001C7948" w:rsidP="001C7948" w14:paraId="3D7C6E97" w14:textId="2AC2FE43">
            <w:pPr>
              <w:spacing w:after="0" w:line="240" w:lineRule="auto"/>
              <w:rPr>
                <w:rFonts w:ascii="Times New Roman" w:eastAsia="Times New Roman" w:hAnsi="Times New Roman" w:cs="Times New Roman"/>
                <w:color w:val="000000"/>
                <w:sz w:val="20"/>
                <w:szCs w:val="20"/>
              </w:rPr>
            </w:pPr>
            <w:r w:rsidRPr="001C7948">
              <w:rPr>
                <w:rFonts w:ascii="Times New Roman" w:eastAsia="Times New Roman" w:hAnsi="Times New Roman" w:cs="Times New Roman"/>
                <w:color w:val="000000"/>
                <w:sz w:val="20"/>
                <w:szCs w:val="20"/>
                <w:vertAlign w:val="superscript"/>
              </w:rPr>
              <w:t>q</w:t>
            </w:r>
            <w:r w:rsidRPr="001C7948">
              <w:rPr>
                <w:rFonts w:ascii="Times New Roman" w:eastAsia="Times New Roman" w:hAnsi="Times New Roman" w:cs="Times New Roman"/>
                <w:color w:val="000000"/>
                <w:sz w:val="20"/>
                <w:szCs w:val="20"/>
              </w:rPr>
              <w:t xml:space="preserve"> Totals have been rounded to 3 significant figures. Figures may not add exactly due to rounding.</w:t>
            </w:r>
          </w:p>
        </w:tc>
      </w:tr>
    </w:tbl>
    <w:p w:rsidR="00891F62" w:rsidP="001641AA" w14:paraId="34BEFD2A" w14:textId="77777777">
      <w:pPr>
        <w:spacing w:before="240"/>
        <w:rPr>
          <w:rFonts w:cstheme="minorHAnsi"/>
          <w:b/>
          <w:bCs/>
          <w:sz w:val="24"/>
          <w:szCs w:val="24"/>
        </w:rPr>
      </w:pPr>
    </w:p>
    <w:p w:rsidR="00891F62" w14:paraId="7377C6D3" w14:textId="77777777">
      <w:pPr>
        <w:rPr>
          <w:rFonts w:cstheme="minorHAnsi"/>
          <w:b/>
          <w:bCs/>
          <w:sz w:val="24"/>
          <w:szCs w:val="24"/>
        </w:rPr>
      </w:pPr>
      <w:r>
        <w:rPr>
          <w:rFonts w:cstheme="minorHAnsi"/>
          <w:b/>
          <w:bCs/>
          <w:sz w:val="24"/>
          <w:szCs w:val="24"/>
        </w:rPr>
        <w:br w:type="page"/>
      </w:r>
    </w:p>
    <w:p w:rsidR="001641AA" w:rsidRPr="001C7948" w:rsidP="001641AA" w14:paraId="0C0DF005" w14:textId="1E02FB84">
      <w:pPr>
        <w:spacing w:before="240"/>
        <w:rPr>
          <w:rFonts w:cstheme="minorHAnsi"/>
          <w:b/>
          <w:bCs/>
          <w:sz w:val="24"/>
          <w:szCs w:val="24"/>
        </w:rPr>
      </w:pPr>
      <w:r w:rsidRPr="001C7948">
        <w:rPr>
          <w:rFonts w:cstheme="minorHAnsi"/>
          <w:b/>
          <w:bCs/>
          <w:sz w:val="24"/>
          <w:szCs w:val="24"/>
        </w:rPr>
        <w:t xml:space="preserve">Table 2: Average Annual EPA Burden and Cost – </w:t>
      </w:r>
      <w:r w:rsidRPr="001C7948" w:rsidR="001C7948">
        <w:rPr>
          <w:rFonts w:cstheme="minorHAnsi"/>
          <w:b/>
          <w:bCs/>
          <w:sz w:val="24"/>
          <w:szCs w:val="24"/>
        </w:rPr>
        <w:t>NESHAP for Group IV Polymers and Resins (40 CFR Part 63, Subpart JJJ) (Renewal)</w:t>
      </w:r>
    </w:p>
    <w:tbl>
      <w:tblPr>
        <w:tblW w:w="12418" w:type="dxa"/>
        <w:tblInd w:w="113" w:type="dxa"/>
        <w:tblLook w:val="04A0"/>
      </w:tblPr>
      <w:tblGrid>
        <w:gridCol w:w="3415"/>
        <w:gridCol w:w="1160"/>
        <w:gridCol w:w="1238"/>
        <w:gridCol w:w="986"/>
        <w:gridCol w:w="998"/>
        <w:gridCol w:w="1050"/>
        <w:gridCol w:w="1338"/>
        <w:gridCol w:w="1103"/>
        <w:gridCol w:w="1130"/>
      </w:tblGrid>
      <w:tr w14:paraId="34937D8A" w14:textId="77777777" w:rsidTr="00891F62">
        <w:tblPrEx>
          <w:tblW w:w="12418" w:type="dxa"/>
          <w:tblInd w:w="113" w:type="dxa"/>
          <w:tblLook w:val="04A0"/>
        </w:tblPrEx>
        <w:trPr>
          <w:trHeight w:val="153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F62" w:rsidRPr="00891F62" w:rsidP="00891F62" w14:paraId="62E68197"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91F62" w:rsidRPr="00891F62" w:rsidP="00891F62" w14:paraId="400678F7"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(A)</w:t>
            </w:r>
            <w:r w:rsidRPr="00891F62">
              <w:rPr>
                <w:rFonts w:ascii="Times New Roman" w:eastAsia="Times New Roman" w:hAnsi="Times New Roman" w:cs="Times New Roman"/>
                <w:b/>
                <w:bCs/>
                <w:color w:val="000000"/>
                <w:sz w:val="20"/>
                <w:szCs w:val="20"/>
              </w:rPr>
              <w:br/>
              <w:t>EPA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891F62" w:rsidRPr="00891F62" w:rsidP="00891F62" w14:paraId="535B5FEA"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(B) </w:t>
            </w:r>
            <w:r w:rsidRPr="00891F62">
              <w:rPr>
                <w:rFonts w:ascii="Times New Roman" w:eastAsia="Times New Roman" w:hAnsi="Times New Roman" w:cs="Times New Roman"/>
                <w:b/>
                <w:bCs/>
                <w:color w:val="000000"/>
                <w:sz w:val="20"/>
                <w:szCs w:val="20"/>
              </w:rPr>
              <w:br/>
              <w:t>Number of occurrences per year</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891F62" w:rsidRPr="00891F62" w:rsidP="00891F62" w14:paraId="737B7915"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(C) </w:t>
            </w:r>
            <w:r w:rsidRPr="00891F62">
              <w:rPr>
                <w:rFonts w:ascii="Times New Roman" w:eastAsia="Times New Roman" w:hAnsi="Times New Roman" w:cs="Times New Roman"/>
                <w:b/>
                <w:bCs/>
                <w:color w:val="000000"/>
                <w:sz w:val="20"/>
                <w:szCs w:val="20"/>
              </w:rPr>
              <w:br/>
              <w:t xml:space="preserve">EPA Person-hours per plant </w:t>
            </w:r>
            <w:r w:rsidRPr="00891F62">
              <w:rPr>
                <w:rFonts w:ascii="Times New Roman" w:eastAsia="Times New Roman" w:hAnsi="Times New Roman" w:cs="Times New Roman"/>
                <w:b/>
                <w:bCs/>
                <w:color w:val="000000"/>
                <w:sz w:val="20"/>
                <w:szCs w:val="20"/>
              </w:rPr>
              <w:br/>
              <w:t>(C=</w:t>
            </w:r>
            <w:r w:rsidRPr="00891F62">
              <w:rPr>
                <w:rFonts w:ascii="Times New Roman" w:eastAsia="Times New Roman" w:hAnsi="Times New Roman" w:cs="Times New Roman"/>
                <w:b/>
                <w:bCs/>
                <w:color w:val="000000"/>
                <w:sz w:val="20"/>
                <w:szCs w:val="20"/>
              </w:rPr>
              <w:t>AxB</w:t>
            </w:r>
            <w:r w:rsidRPr="00891F62">
              <w:rPr>
                <w:rFonts w:ascii="Times New Roman" w:eastAsia="Times New Roman" w:hAnsi="Times New Roman" w:cs="Times New Roman"/>
                <w:b/>
                <w:bCs/>
                <w:color w:val="000000"/>
                <w:sz w:val="20"/>
                <w:szCs w:val="20"/>
              </w:rPr>
              <w: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891F62" w:rsidRPr="00891F62" w:rsidP="00891F62" w14:paraId="62E11C1A"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(D) </w:t>
            </w:r>
            <w:r w:rsidRPr="00891F62">
              <w:rPr>
                <w:rFonts w:ascii="Times New Roman" w:eastAsia="Times New Roman" w:hAnsi="Times New Roman" w:cs="Times New Roman"/>
                <w:b/>
                <w:bCs/>
                <w:color w:val="000000"/>
                <w:sz w:val="20"/>
                <w:szCs w:val="20"/>
              </w:rPr>
              <w:br/>
              <w:t xml:space="preserve">Plants per year </w:t>
            </w:r>
            <w:r w:rsidRPr="00891F62">
              <w:rPr>
                <w:rFonts w:ascii="Times New Roman" w:eastAsia="Times New Roman" w:hAnsi="Times New Roman" w:cs="Times New Roman"/>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91F62" w:rsidRPr="00891F62" w:rsidP="00891F62" w14:paraId="71000CD9"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(E)</w:t>
            </w:r>
            <w:r w:rsidRPr="00891F62">
              <w:rPr>
                <w:rFonts w:ascii="Times New Roman" w:eastAsia="Times New Roman" w:hAnsi="Times New Roman" w:cs="Times New Roman"/>
                <w:b/>
                <w:bCs/>
                <w:color w:val="000000"/>
                <w:sz w:val="20"/>
                <w:szCs w:val="20"/>
              </w:rPr>
              <w:br/>
              <w:t>Technical person-hours (E=</w:t>
            </w:r>
            <w:r w:rsidRPr="00891F62">
              <w:rPr>
                <w:rFonts w:ascii="Times New Roman" w:eastAsia="Times New Roman" w:hAnsi="Times New Roman" w:cs="Times New Roman"/>
                <w:b/>
                <w:bCs/>
                <w:color w:val="000000"/>
                <w:sz w:val="20"/>
                <w:szCs w:val="20"/>
              </w:rPr>
              <w:t>CxD</w:t>
            </w:r>
            <w:r w:rsidRPr="00891F62">
              <w:rPr>
                <w:rFonts w:ascii="Times New Roman" w:eastAsia="Times New Roman" w:hAnsi="Times New Roman" w:cs="Times New Roman"/>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891F62" w:rsidRPr="00891F62" w:rsidP="00891F62" w14:paraId="29F9E741"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(F) </w:t>
            </w:r>
            <w:r w:rsidRPr="00891F62">
              <w:rPr>
                <w:rFonts w:ascii="Times New Roman" w:eastAsia="Times New Roman" w:hAnsi="Times New Roman" w:cs="Times New Roman"/>
                <w:b/>
                <w:bCs/>
                <w:color w:val="000000"/>
                <w:sz w:val="20"/>
                <w:szCs w:val="20"/>
              </w:rPr>
              <w:br/>
              <w:t>Management person-hours (F=Ex0.05)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891F62" w:rsidRPr="00891F62" w:rsidP="00891F62" w14:paraId="73297D5B"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(G) </w:t>
            </w:r>
            <w:r w:rsidRPr="00891F62">
              <w:rPr>
                <w:rFonts w:ascii="Times New Roman" w:eastAsia="Times New Roman" w:hAnsi="Times New Roman" w:cs="Times New Roman"/>
                <w:b/>
                <w:bCs/>
                <w:color w:val="000000"/>
                <w:sz w:val="20"/>
                <w:szCs w:val="20"/>
              </w:rPr>
              <w:br/>
              <w:t xml:space="preserve">Clerical person-hours </w:t>
            </w:r>
            <w:r w:rsidRPr="00891F62">
              <w:rPr>
                <w:rFonts w:ascii="Times New Roman" w:eastAsia="Times New Roman" w:hAnsi="Times New Roman" w:cs="Times New Roman"/>
                <w:b/>
                <w:bCs/>
                <w:color w:val="000000"/>
                <w:sz w:val="20"/>
                <w:szCs w:val="20"/>
              </w:rPr>
              <w:br/>
              <w:t>(G=Ex0.1)</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891F62" w:rsidRPr="00891F62" w:rsidP="00891F62" w14:paraId="19BAF69C"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(H) </w:t>
            </w:r>
            <w:r w:rsidRPr="00891F62">
              <w:rPr>
                <w:rFonts w:ascii="Times New Roman" w:eastAsia="Times New Roman" w:hAnsi="Times New Roman" w:cs="Times New Roman"/>
                <w:b/>
                <w:bCs/>
                <w:color w:val="000000"/>
                <w:sz w:val="20"/>
                <w:szCs w:val="20"/>
              </w:rPr>
              <w:br/>
              <w:t xml:space="preserve">Total Cost </w:t>
            </w:r>
            <w:r w:rsidRPr="00891F62">
              <w:rPr>
                <w:rFonts w:ascii="Times New Roman" w:eastAsia="Times New Roman" w:hAnsi="Times New Roman" w:cs="Times New Roman"/>
                <w:b/>
                <w:bCs/>
                <w:color w:val="000000"/>
                <w:sz w:val="20"/>
                <w:szCs w:val="20"/>
                <w:vertAlign w:val="superscript"/>
              </w:rPr>
              <w:t>b</w:t>
            </w:r>
            <w:r w:rsidRPr="00891F62">
              <w:rPr>
                <w:rFonts w:ascii="Times New Roman" w:eastAsia="Times New Roman" w:hAnsi="Times New Roman" w:cs="Times New Roman"/>
                <w:b/>
                <w:bCs/>
                <w:color w:val="000000"/>
                <w:sz w:val="20"/>
                <w:szCs w:val="20"/>
              </w:rPr>
              <w:t xml:space="preserve"> ($)</w:t>
            </w:r>
          </w:p>
        </w:tc>
      </w:tr>
      <w:tr w14:paraId="1984075C" w14:textId="77777777" w:rsidTr="00891F62">
        <w:tblPrEx>
          <w:tblW w:w="12418" w:type="dxa"/>
          <w:tblInd w:w="113"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943D9D2"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Activity</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B081A1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0DDC52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6E1A9C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A3C43F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508256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490F0D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7740F9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A87097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r>
      <w:tr w14:paraId="3A008E01" w14:textId="77777777" w:rsidTr="00891F62">
        <w:tblPrEx>
          <w:tblW w:w="12418" w:type="dxa"/>
          <w:tblInd w:w="113"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791B0D11" w14:textId="3810E9B2">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Performance Tests: Initial</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DD12B4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C7718F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00690F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40</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6F3C1F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065456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825312B"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5DC2CB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AAB55A0"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360F2DF4"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42547CA7" w14:textId="2AFFCFD4">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Performance Tests: Repeat </w:t>
            </w:r>
            <w:r w:rsidRPr="00891F62">
              <w:rPr>
                <w:rFonts w:ascii="Times New Roman" w:eastAsia="Times New Roman" w:hAnsi="Times New Roman" w:cs="Times New Roman"/>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E3EE6A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E23D2F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F61F57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40</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C12FA5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F1A140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67FFEA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75934E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44F0212"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773FFA6E" w14:textId="77777777" w:rsidTr="00891F62">
        <w:tblPrEx>
          <w:tblW w:w="12418" w:type="dxa"/>
          <w:tblInd w:w="113" w:type="dxa"/>
          <w:tblLook w:val="04A0"/>
        </w:tblPrEx>
        <w:trPr>
          <w:trHeight w:val="30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7F62B311"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Reports Review:</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87C93A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E3A417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BEE687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42A8F3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FC4559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A1384C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9DA805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E798714"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r>
      <w:tr w14:paraId="0E76EA99"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6C774AF0" w14:textId="24704AB0">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Initial </w:t>
            </w:r>
            <w:r w:rsidRPr="00891F62">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782D87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1B824A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061F99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9B0420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9E13D1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0F2697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EC4AB3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9E9EEB2"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64F5F5E6" w14:textId="77777777" w:rsidTr="00891F62">
        <w:tblPrEx>
          <w:tblW w:w="12418" w:type="dxa"/>
          <w:tblInd w:w="113" w:type="dxa"/>
          <w:tblLook w:val="04A0"/>
        </w:tblPrEx>
        <w:trPr>
          <w:trHeight w:val="57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0312B173" w14:textId="010BD13B">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Implementation plan, pre-compliance report or permit </w:t>
            </w:r>
            <w:r w:rsidRPr="00891F62">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F2E2F4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20</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9D911A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78760D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20</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F9A761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3B1185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C0070B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7F0060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E23F836"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2A720209"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4AE760EE" w14:textId="1FCB060A">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Compliance status </w:t>
            </w:r>
            <w:r w:rsidRPr="00891F62">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97E654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40</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1000DF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A2486E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40</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6586BE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92FDC1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C1B95D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950C62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ACFA177"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4D1A1F17"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72C4E8C3" w14:textId="60CEE7C1">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Review equipment leak monitoring </w:t>
            </w:r>
            <w:r w:rsidRPr="00891F62">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722645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7</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D70663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C0D916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7</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F8F5B2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27</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9A8DF6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189</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E9046E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9</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FFC810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19</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4EFC30A"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$12,096.76 </w:t>
            </w:r>
          </w:p>
        </w:tc>
      </w:tr>
      <w:tr w14:paraId="6A5BAB5E"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7E2781A1" w14:textId="4974C87C">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5.</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Report of construction/reconstruction </w:t>
            </w:r>
            <w:r w:rsidRPr="00891F62">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CA4FA3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02106F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E1642B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70B789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E1F406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FF79FB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9B61A1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A131D67"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1F41058F"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59CA22C4" w14:textId="3B49DF85">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Notification of performance test </w:t>
            </w:r>
            <w:r w:rsidRPr="00891F62">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AA4AF7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AEB4DA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00EE41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6506FA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6D8A08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F9337B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DCDCEE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B88841C"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606157D1"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C7EFB32" w14:textId="48187431">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7.</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Notification of storage vessel inspection </w:t>
            </w:r>
            <w:r w:rsidRPr="00891F62">
              <w:rPr>
                <w:rFonts w:ascii="Times New Roman" w:eastAsia="Times New Roman" w:hAnsi="Times New Roman" w:cs="Times New Roman"/>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E77622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4FCC2A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FC4C77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12</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B2482D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2BD03F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288</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84E16F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14</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6D3BB5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29</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3C75054"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$18,433.15 </w:t>
            </w:r>
          </w:p>
        </w:tc>
      </w:tr>
      <w:tr w14:paraId="20773BE7"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172DAB3" w14:textId="23EED964">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8.</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Review updates to emission averaging plan </w:t>
            </w:r>
            <w:r w:rsidRPr="00891F62">
              <w:rPr>
                <w:rFonts w:ascii="Times New Roman" w:eastAsia="Times New Roman" w:hAnsi="Times New Roman" w:cs="Times New Roman"/>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E3CBC7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5</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B1757A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98B937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5</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AA418D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458B75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5</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A7E149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0.25</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1E7CC9B"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0.5</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4A10630"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$320.02 </w:t>
            </w:r>
          </w:p>
        </w:tc>
      </w:tr>
      <w:tr w14:paraId="78AB8F1F" w14:textId="77777777" w:rsidTr="00891F62">
        <w:tblPrEx>
          <w:tblW w:w="12418" w:type="dxa"/>
          <w:tblInd w:w="113" w:type="dxa"/>
          <w:tblLook w:val="04A0"/>
        </w:tblPrEx>
        <w:trPr>
          <w:trHeight w:val="57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941DCF2" w14:textId="0910698A">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9.</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Review report of changes to the primary product for a TPPU or process unit </w:t>
            </w:r>
            <w:r w:rsidRPr="00891F62">
              <w:rPr>
                <w:rFonts w:ascii="Times New Roman" w:eastAsia="Times New Roman" w:hAnsi="Times New Roman" w:cs="Times New Roman"/>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EC5E31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8A5C58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A9742D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7EB8BB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25CD1D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DEBDCF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0.3</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C887C6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0.6</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B18FCEB"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$384.02 </w:t>
            </w:r>
          </w:p>
        </w:tc>
      </w:tr>
      <w:tr w14:paraId="54210567"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689E8A9A" w14:textId="7D17A015">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10.</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Review report for batch process vents </w:t>
            </w:r>
            <w:r w:rsidRPr="00891F62">
              <w:rPr>
                <w:rFonts w:ascii="Times New Roman" w:eastAsia="Times New Roman" w:hAnsi="Times New Roman" w:cs="Times New Roman"/>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53816FB"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3D6574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0DF0C3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7E3A61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366B41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617BA7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0.3</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75A7E1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0.6</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5A41E09"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$384.02 </w:t>
            </w:r>
          </w:p>
        </w:tc>
      </w:tr>
      <w:tr w14:paraId="6FEBBAB4" w14:textId="77777777" w:rsidTr="00891F62">
        <w:tblPrEx>
          <w:tblW w:w="12418" w:type="dxa"/>
          <w:tblInd w:w="113" w:type="dxa"/>
          <w:tblLook w:val="04A0"/>
        </w:tblPrEx>
        <w:trPr>
          <w:trHeight w:val="57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1D91ADC" w14:textId="5CE75D20">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11.</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Review report for PET sources using dimethyl terephthalate process </w:t>
            </w:r>
            <w:r w:rsidRPr="00891F62">
              <w:rPr>
                <w:rFonts w:ascii="Times New Roman" w:eastAsia="Times New Roman" w:hAnsi="Times New Roman" w:cs="Times New Roman"/>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0E8269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51E33D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2B6D08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A6A078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0AFD35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44C39E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0.2</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B571A3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0.4</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7952651"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$256.02 </w:t>
            </w:r>
          </w:p>
        </w:tc>
      </w:tr>
      <w:tr w14:paraId="30F5F3E8"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41667DF5" w14:textId="36F71322">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12.</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Review of test results </w:t>
            </w:r>
            <w:r w:rsidRPr="00891F62">
              <w:rPr>
                <w:rFonts w:ascii="Times New Roman" w:eastAsia="Times New Roman" w:hAnsi="Times New Roman" w:cs="Times New Roman"/>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3FAEF8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CC2F6F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E8A1A8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8</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329A0D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F0C174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DE590A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AEA2CC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4C5BD25"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0D431C36"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669ADF59" w14:textId="54768D6B">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13.</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Review malfunction reports </w:t>
            </w:r>
            <w:r w:rsidRPr="00891F62">
              <w:rPr>
                <w:rFonts w:ascii="Times New Roman" w:eastAsia="Times New Roman" w:hAnsi="Times New Roman" w:cs="Times New Roman"/>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E7751E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28D7BA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8CCCD9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3F80E9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E54B6E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2F9CC6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0.3</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42286E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0.6</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B9CE67D"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$384.02 </w:t>
            </w:r>
          </w:p>
        </w:tc>
      </w:tr>
      <w:tr w14:paraId="50CAB174"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629DEC14" w14:textId="484607F4">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14.</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Review semiannual periodic reports </w:t>
            </w:r>
            <w:r w:rsidRPr="00891F62">
              <w:rPr>
                <w:rFonts w:ascii="Times New Roman" w:eastAsia="Times New Roman" w:hAnsi="Times New Roman" w:cs="Times New Roman"/>
                <w:color w:val="000000"/>
                <w:sz w:val="20"/>
                <w:szCs w:val="20"/>
                <w:vertAlign w:val="superscript"/>
              </w:rPr>
              <w:t>d, k</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F76986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3C178C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043C14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25A060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23</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2A6EAFB"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138</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89152E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6.9</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A258EA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14</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DDF7651"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$8,832.55 </w:t>
            </w:r>
          </w:p>
        </w:tc>
      </w:tr>
      <w:tr w14:paraId="686FA42B"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0B06998B" w14:textId="7CB32454">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15.</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Review of quarterly periodic reports </w:t>
            </w:r>
            <w:r w:rsidRPr="00891F62">
              <w:rPr>
                <w:rFonts w:ascii="Times New Roman" w:eastAsia="Times New Roman" w:hAnsi="Times New Roman" w:cs="Times New Roman"/>
                <w:color w:val="000000"/>
                <w:sz w:val="20"/>
                <w:szCs w:val="20"/>
                <w:vertAlign w:val="superscript"/>
              </w:rPr>
              <w:t>d, k</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73D1A4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E25D2C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w:t>
            </w:r>
          </w:p>
        </w:tc>
        <w:tc>
          <w:tcPr>
            <w:tcW w:w="986"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C143D5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16</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F810D2B"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w:t>
            </w:r>
          </w:p>
        </w:tc>
        <w:tc>
          <w:tcPr>
            <w:tcW w:w="105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4E2DBB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64</w:t>
            </w:r>
          </w:p>
        </w:tc>
        <w:tc>
          <w:tcPr>
            <w:tcW w:w="13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E133AE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c>
          <w:tcPr>
            <w:tcW w:w="1103"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2C7270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D3013AC"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$4,096.26 </w:t>
            </w:r>
          </w:p>
        </w:tc>
      </w:tr>
      <w:tr w14:paraId="72ED7FC9" w14:textId="77777777" w:rsidTr="00891F62">
        <w:tblPrEx>
          <w:tblW w:w="12418" w:type="dxa"/>
          <w:tblInd w:w="113" w:type="dxa"/>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DF9FB09" w14:textId="77777777">
            <w:pPr>
              <w:spacing w:after="0" w:line="240" w:lineRule="auto"/>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TOTAL (rounded) </w:t>
            </w:r>
            <w:r w:rsidRPr="00891F62">
              <w:rPr>
                <w:rFonts w:ascii="Times New Roman" w:eastAsia="Times New Roman" w:hAnsi="Times New Roman" w:cs="Times New Roman"/>
                <w:b/>
                <w:bCs/>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A2053F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541564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bottom"/>
            <w:hideMark/>
          </w:tcPr>
          <w:p w:rsidR="00891F62" w:rsidRPr="00891F62" w:rsidP="00891F62" w14:paraId="16981387" w14:textId="77777777">
            <w:pPr>
              <w:spacing w:after="0" w:line="240" w:lineRule="auto"/>
              <w:rPr>
                <w:rFonts w:ascii="Times New Roman" w:eastAsia="Times New Roman" w:hAnsi="Times New Roman" w:cs="Times New Roman"/>
                <w:color w:val="000000"/>
              </w:rPr>
            </w:pPr>
            <w:r w:rsidRPr="00891F62">
              <w:rPr>
                <w:rFonts w:ascii="Times New Roman" w:eastAsia="Times New Roman" w:hAnsi="Times New Roman" w:cs="Times New Roman"/>
                <w:color w:val="000000"/>
              </w:rPr>
              <w:t> </w:t>
            </w:r>
          </w:p>
        </w:tc>
        <w:tc>
          <w:tcPr>
            <w:tcW w:w="998"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331CFD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349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1F62" w:rsidRPr="00891F62" w:rsidP="00891F62" w14:paraId="08FEAAD2"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812</w:t>
            </w:r>
          </w:p>
        </w:tc>
        <w:tc>
          <w:tcPr>
            <w:tcW w:w="113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CEBF39C" w14:textId="77777777">
            <w:pPr>
              <w:spacing w:after="0" w:line="240" w:lineRule="auto"/>
              <w:jc w:val="right"/>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$45,200 </w:t>
            </w:r>
          </w:p>
        </w:tc>
      </w:tr>
      <w:tr w14:paraId="2CF0E5FF" w14:textId="77777777" w:rsidTr="00891F62">
        <w:tblPrEx>
          <w:tblW w:w="12418" w:type="dxa"/>
          <w:tblInd w:w="113" w:type="dxa"/>
          <w:tblLook w:val="04A0"/>
        </w:tblPrEx>
        <w:trPr>
          <w:trHeight w:val="300"/>
        </w:trPr>
        <w:tc>
          <w:tcPr>
            <w:tcW w:w="3415" w:type="dxa"/>
            <w:tcBorders>
              <w:top w:val="nil"/>
              <w:left w:val="nil"/>
              <w:bottom w:val="nil"/>
              <w:right w:val="nil"/>
            </w:tcBorders>
            <w:shd w:val="clear" w:color="auto" w:fill="auto"/>
            <w:noWrap/>
            <w:vAlign w:val="center"/>
            <w:hideMark/>
          </w:tcPr>
          <w:p w:rsidR="00891F62" w:rsidRPr="00891F62" w:rsidP="00891F62" w14:paraId="346EA644" w14:textId="77777777">
            <w:pPr>
              <w:spacing w:after="0" w:line="240" w:lineRule="auto"/>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00891F62" w:rsidRPr="00891F62" w:rsidP="00891F62" w14:paraId="13ED534D" w14:textId="77777777">
            <w:pPr>
              <w:spacing w:after="0" w:line="240" w:lineRule="auto"/>
              <w:rPr>
                <w:rFonts w:ascii="Times New Roman" w:eastAsia="Times New Roman" w:hAnsi="Times New Roman" w:cs="Times New Roman"/>
                <w:b/>
                <w:bCs/>
                <w:color w:val="000000"/>
                <w:sz w:val="20"/>
                <w:szCs w:val="20"/>
              </w:rPr>
            </w:pPr>
          </w:p>
        </w:tc>
        <w:tc>
          <w:tcPr>
            <w:tcW w:w="1238" w:type="dxa"/>
            <w:tcBorders>
              <w:top w:val="nil"/>
              <w:left w:val="nil"/>
              <w:bottom w:val="nil"/>
              <w:right w:val="nil"/>
            </w:tcBorders>
            <w:shd w:val="clear" w:color="auto" w:fill="auto"/>
            <w:noWrap/>
            <w:vAlign w:val="bottom"/>
            <w:hideMark/>
          </w:tcPr>
          <w:p w:rsidR="00891F62" w:rsidRPr="00891F62" w:rsidP="00891F62" w14:paraId="12A16739" w14:textId="77777777">
            <w:pPr>
              <w:spacing w:after="0" w:line="240" w:lineRule="auto"/>
              <w:rPr>
                <w:rFonts w:ascii="Times New Roman" w:eastAsia="Times New Roman" w:hAnsi="Times New Roman" w:cs="Times New Roman"/>
                <w:sz w:val="20"/>
                <w:szCs w:val="20"/>
              </w:rPr>
            </w:pPr>
          </w:p>
        </w:tc>
        <w:tc>
          <w:tcPr>
            <w:tcW w:w="986" w:type="dxa"/>
            <w:tcBorders>
              <w:top w:val="nil"/>
              <w:left w:val="nil"/>
              <w:bottom w:val="nil"/>
              <w:right w:val="nil"/>
            </w:tcBorders>
            <w:shd w:val="clear" w:color="auto" w:fill="auto"/>
            <w:noWrap/>
            <w:vAlign w:val="bottom"/>
            <w:hideMark/>
          </w:tcPr>
          <w:p w:rsidR="00891F62" w:rsidRPr="00891F62" w:rsidP="00891F62" w14:paraId="5501BCAA" w14:textId="77777777">
            <w:pPr>
              <w:spacing w:after="0" w:line="240" w:lineRule="auto"/>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rsidR="00891F62" w:rsidRPr="00891F62" w:rsidP="00891F62" w14:paraId="3EAFA01F" w14:textId="77777777">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rsidR="00891F62" w:rsidRPr="00891F62" w:rsidP="00891F62" w14:paraId="729EA159" w14:textId="77777777">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noWrap/>
            <w:vAlign w:val="bottom"/>
            <w:hideMark/>
          </w:tcPr>
          <w:p w:rsidR="00891F62" w:rsidRPr="00891F62" w:rsidP="00891F62" w14:paraId="4AA0B63D" w14:textId="77777777">
            <w:pPr>
              <w:spacing w:after="0" w:line="240" w:lineRule="auto"/>
              <w:rPr>
                <w:rFonts w:ascii="Times New Roman" w:eastAsia="Times New Roman" w:hAnsi="Times New Roman" w:cs="Times New Roman"/>
                <w:sz w:val="20"/>
                <w:szCs w:val="20"/>
              </w:rPr>
            </w:pPr>
          </w:p>
        </w:tc>
        <w:tc>
          <w:tcPr>
            <w:tcW w:w="1103" w:type="dxa"/>
            <w:tcBorders>
              <w:top w:val="nil"/>
              <w:left w:val="nil"/>
              <w:bottom w:val="nil"/>
              <w:right w:val="nil"/>
            </w:tcBorders>
            <w:shd w:val="clear" w:color="auto" w:fill="auto"/>
            <w:noWrap/>
            <w:vAlign w:val="bottom"/>
            <w:hideMark/>
          </w:tcPr>
          <w:p w:rsidR="00891F62" w:rsidRPr="00891F62" w:rsidP="00891F62" w14:paraId="127C1303" w14:textId="77777777">
            <w:pPr>
              <w:spacing w:after="0" w:line="240" w:lineRule="auto"/>
              <w:rPr>
                <w:rFonts w:ascii="Times New Roman" w:eastAsia="Times New Roman" w:hAnsi="Times New Roman" w:cs="Times New Roman"/>
                <w:sz w:val="20"/>
                <w:szCs w:val="20"/>
              </w:rPr>
            </w:pPr>
          </w:p>
        </w:tc>
        <w:tc>
          <w:tcPr>
            <w:tcW w:w="1130" w:type="dxa"/>
            <w:tcBorders>
              <w:top w:val="nil"/>
              <w:left w:val="nil"/>
              <w:bottom w:val="nil"/>
              <w:right w:val="nil"/>
            </w:tcBorders>
            <w:shd w:val="clear" w:color="auto" w:fill="auto"/>
            <w:noWrap/>
            <w:vAlign w:val="bottom"/>
            <w:hideMark/>
          </w:tcPr>
          <w:p w:rsidR="00891F62" w:rsidRPr="00891F62" w:rsidP="00891F62" w14:paraId="3CF20D31" w14:textId="77777777">
            <w:pPr>
              <w:spacing w:after="0" w:line="240" w:lineRule="auto"/>
              <w:rPr>
                <w:rFonts w:ascii="Times New Roman" w:eastAsia="Times New Roman" w:hAnsi="Times New Roman" w:cs="Times New Roman"/>
                <w:sz w:val="20"/>
                <w:szCs w:val="20"/>
              </w:rPr>
            </w:pPr>
          </w:p>
        </w:tc>
      </w:tr>
      <w:tr w14:paraId="0B86366C" w14:textId="77777777" w:rsidTr="00891F62">
        <w:tblPrEx>
          <w:tblW w:w="12418" w:type="dxa"/>
          <w:tblInd w:w="113" w:type="dxa"/>
          <w:tblLook w:val="04A0"/>
        </w:tblPrEx>
        <w:trPr>
          <w:trHeight w:val="477"/>
        </w:trPr>
        <w:tc>
          <w:tcPr>
            <w:tcW w:w="12418" w:type="dxa"/>
            <w:gridSpan w:val="9"/>
            <w:tcBorders>
              <w:top w:val="nil"/>
              <w:left w:val="nil"/>
              <w:bottom w:val="nil"/>
              <w:right w:val="nil"/>
            </w:tcBorders>
            <w:shd w:val="clear" w:color="auto" w:fill="auto"/>
            <w:hideMark/>
          </w:tcPr>
          <w:p w:rsidR="00891F62" w:rsidRPr="00891F62" w:rsidP="00891F62" w14:paraId="30B42F45" w14:textId="477309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a</w:t>
            </w:r>
            <w:r w:rsidRPr="00891F62">
              <w:rPr>
                <w:rFonts w:ascii="Times New Roman" w:eastAsia="Times New Roman" w:hAnsi="Times New Roman" w:cs="Times New Roman"/>
                <w:color w:val="000000"/>
                <w:sz w:val="20"/>
                <w:szCs w:val="20"/>
              </w:rPr>
              <w:t xml:space="preserve"> We assume there are an average of 27 sources at 24 facilities subject to the rule and no additional sources per year will become subject to the rule during the three-year period of this ICR.</w:t>
            </w:r>
          </w:p>
        </w:tc>
      </w:tr>
      <w:tr w14:paraId="2AF7B1B6" w14:textId="77777777" w:rsidTr="00891F62">
        <w:tblPrEx>
          <w:tblW w:w="12418" w:type="dxa"/>
          <w:tblInd w:w="113" w:type="dxa"/>
          <w:tblLook w:val="04A0"/>
        </w:tblPrEx>
        <w:trPr>
          <w:trHeight w:val="828"/>
        </w:trPr>
        <w:tc>
          <w:tcPr>
            <w:tcW w:w="12418" w:type="dxa"/>
            <w:gridSpan w:val="9"/>
            <w:tcBorders>
              <w:top w:val="nil"/>
              <w:left w:val="nil"/>
              <w:bottom w:val="nil"/>
              <w:right w:val="nil"/>
            </w:tcBorders>
            <w:shd w:val="clear" w:color="auto" w:fill="auto"/>
            <w:hideMark/>
          </w:tcPr>
          <w:p w:rsidR="00891F62" w:rsidRPr="00891F62" w:rsidP="00891F62" w14:paraId="36E2843C" w14:textId="233EE430">
            <w:pPr>
              <w:spacing w:after="0" w:line="240" w:lineRule="auto"/>
              <w:rPr>
                <w:rFonts w:ascii="Times New Roman" w:eastAsia="Times New Roman" w:hAnsi="Times New Roman" w:cs="Times New Roman"/>
                <w:sz w:val="20"/>
                <w:szCs w:val="20"/>
              </w:rPr>
            </w:pPr>
            <w:r w:rsidRPr="00891F62">
              <w:rPr>
                <w:rFonts w:ascii="Times New Roman" w:eastAsia="Times New Roman" w:hAnsi="Times New Roman" w:cs="Times New Roman"/>
                <w:sz w:val="20"/>
                <w:szCs w:val="20"/>
                <w:vertAlign w:val="superscript"/>
              </w:rPr>
              <w:t>b</w:t>
            </w:r>
            <w:r w:rsidRPr="00891F62">
              <w:rPr>
                <w:rFonts w:ascii="Times New Roman" w:eastAsia="Times New Roman" w:hAnsi="Times New Roman" w:cs="Times New Roman"/>
                <w:sz w:val="20"/>
                <w:szCs w:val="20"/>
              </w:rPr>
              <w:t xml:space="preserve"> This cost is based on the average hourly labor rate as follows: Managerial $76.91 (GS-13, Step 5, $48.07 + 60%); Technical $57.07 (GS-12, Step 1, $35.67 + 60%); and Clerical $30.88 (GS-6, Step 3, $19.30+ 60%). This ICR assumes that Managerial hours are 5 percent of </w:t>
            </w:r>
            <w:r w:rsidRPr="00891F62">
              <w:rPr>
                <w:rFonts w:ascii="Times New Roman" w:eastAsia="Times New Roman" w:hAnsi="Times New Roman" w:cs="Times New Roman"/>
                <w:sz w:val="20"/>
                <w:szCs w:val="20"/>
              </w:rPr>
              <w:t>Technical</w:t>
            </w:r>
            <w:r w:rsidRPr="00891F62">
              <w:rPr>
                <w:rFonts w:ascii="Times New Roman" w:eastAsia="Times New Roman" w:hAnsi="Times New Roman" w:cs="Times New Roman"/>
                <w:sz w:val="20"/>
                <w:szCs w:val="20"/>
              </w:rPr>
              <w:t xml:space="preserve">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162CA8B0" w14:textId="77777777" w:rsidTr="00891F62">
        <w:tblPrEx>
          <w:tblW w:w="12418" w:type="dxa"/>
          <w:tblInd w:w="113" w:type="dxa"/>
          <w:tblLook w:val="04A0"/>
        </w:tblPrEx>
        <w:trPr>
          <w:trHeight w:val="162"/>
        </w:trPr>
        <w:tc>
          <w:tcPr>
            <w:tcW w:w="12418" w:type="dxa"/>
            <w:gridSpan w:val="9"/>
            <w:tcBorders>
              <w:top w:val="nil"/>
              <w:left w:val="nil"/>
              <w:bottom w:val="nil"/>
              <w:right w:val="nil"/>
            </w:tcBorders>
            <w:shd w:val="clear" w:color="auto" w:fill="auto"/>
            <w:hideMark/>
          </w:tcPr>
          <w:p w:rsidR="00891F62" w:rsidRPr="00891F62" w:rsidP="00891F62" w14:paraId="7B696AA1" w14:textId="3EC4C3A1">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c</w:t>
            </w:r>
            <w:r w:rsidRPr="00891F62">
              <w:rPr>
                <w:rFonts w:ascii="Times New Roman" w:eastAsia="Times New Roman" w:hAnsi="Times New Roman" w:cs="Times New Roman"/>
                <w:color w:val="000000"/>
                <w:sz w:val="20"/>
                <w:szCs w:val="20"/>
              </w:rPr>
              <w:t xml:space="preserve"> This ICR assumes 20% of sources will have to repeat performance tests.</w:t>
            </w:r>
          </w:p>
        </w:tc>
      </w:tr>
      <w:tr w14:paraId="000FEDF9" w14:textId="77777777" w:rsidTr="00891F62">
        <w:tblPrEx>
          <w:tblW w:w="12418" w:type="dxa"/>
          <w:tblInd w:w="113" w:type="dxa"/>
          <w:tblLook w:val="04A0"/>
        </w:tblPrEx>
        <w:trPr>
          <w:trHeight w:val="315"/>
        </w:trPr>
        <w:tc>
          <w:tcPr>
            <w:tcW w:w="12418" w:type="dxa"/>
            <w:gridSpan w:val="9"/>
            <w:tcBorders>
              <w:top w:val="nil"/>
              <w:left w:val="nil"/>
              <w:bottom w:val="nil"/>
              <w:right w:val="nil"/>
            </w:tcBorders>
            <w:shd w:val="clear" w:color="auto" w:fill="auto"/>
            <w:hideMark/>
          </w:tcPr>
          <w:p w:rsidR="00891F62" w:rsidRPr="00891F62" w:rsidP="00891F62" w14:paraId="4A5027B4" w14:textId="12678785">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d</w:t>
            </w:r>
            <w:r w:rsidRPr="00891F62">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The</w:t>
            </w:r>
            <w:r w:rsidRPr="00891F62">
              <w:rPr>
                <w:rFonts w:ascii="Times New Roman" w:eastAsia="Times New Roman" w:hAnsi="Times New Roman" w:cs="Times New Roman"/>
                <w:color w:val="000000"/>
                <w:sz w:val="20"/>
                <w:szCs w:val="20"/>
              </w:rPr>
              <w:t xml:space="preserve"> burden for these activities are based on similar requirements in the HON (Subparts F, G, H, and I). The HON describes these activities as follows:</w:t>
            </w:r>
          </w:p>
        </w:tc>
      </w:tr>
      <w:tr w14:paraId="0C69F5EE" w14:textId="77777777" w:rsidTr="00891F62">
        <w:tblPrEx>
          <w:tblW w:w="12418" w:type="dxa"/>
          <w:tblInd w:w="113" w:type="dxa"/>
          <w:tblLook w:val="04A0"/>
        </w:tblPrEx>
        <w:trPr>
          <w:trHeight w:val="300"/>
        </w:trPr>
        <w:tc>
          <w:tcPr>
            <w:tcW w:w="12418" w:type="dxa"/>
            <w:gridSpan w:val="9"/>
            <w:tcBorders>
              <w:top w:val="nil"/>
              <w:left w:val="nil"/>
              <w:bottom w:val="nil"/>
              <w:right w:val="nil"/>
            </w:tcBorders>
            <w:shd w:val="clear" w:color="auto" w:fill="auto"/>
            <w:hideMark/>
          </w:tcPr>
          <w:p w:rsidR="00891F62" w:rsidRPr="00891F62" w:rsidP="00891F62" w14:paraId="7E292B2A" w14:textId="77777777">
            <w:pPr>
              <w:spacing w:after="0" w:line="240" w:lineRule="auto"/>
              <w:ind w:firstLine="200" w:firstLineChars="100"/>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1. </w:t>
            </w:r>
            <w:r w:rsidRPr="00891F62">
              <w:rPr>
                <w:rFonts w:ascii="Times New Roman" w:eastAsia="Times New Roman" w:hAnsi="Times New Roman" w:cs="Times New Roman"/>
                <w:color w:val="000000"/>
                <w:sz w:val="20"/>
                <w:szCs w:val="20"/>
                <w:u w:val="single"/>
              </w:rPr>
              <w:t>Initial</w:t>
            </w:r>
            <w:r w:rsidRPr="00891F62">
              <w:rPr>
                <w:rFonts w:ascii="Times New Roman" w:eastAsia="Times New Roman" w:hAnsi="Times New Roman" w:cs="Times New Roman"/>
                <w:color w:val="000000"/>
                <w:sz w:val="20"/>
                <w:szCs w:val="20"/>
              </w:rPr>
              <w:t xml:space="preserve"> represents the EPA review of all initial reports received.</w:t>
            </w:r>
          </w:p>
        </w:tc>
      </w:tr>
      <w:tr w14:paraId="6D46F2FF" w14:textId="77777777" w:rsidTr="00891F62">
        <w:tblPrEx>
          <w:tblW w:w="12418" w:type="dxa"/>
          <w:tblInd w:w="113" w:type="dxa"/>
          <w:tblLook w:val="04A0"/>
        </w:tblPrEx>
        <w:trPr>
          <w:trHeight w:val="300"/>
        </w:trPr>
        <w:tc>
          <w:tcPr>
            <w:tcW w:w="12418" w:type="dxa"/>
            <w:gridSpan w:val="9"/>
            <w:tcBorders>
              <w:top w:val="nil"/>
              <w:left w:val="nil"/>
              <w:bottom w:val="nil"/>
              <w:right w:val="nil"/>
            </w:tcBorders>
            <w:shd w:val="clear" w:color="auto" w:fill="auto"/>
            <w:hideMark/>
          </w:tcPr>
          <w:p w:rsidR="00891F62" w:rsidRPr="00891F62" w:rsidP="00891F62" w14:paraId="580C5C8A" w14:textId="77777777">
            <w:pPr>
              <w:spacing w:after="0" w:line="240" w:lineRule="auto"/>
              <w:ind w:firstLine="200" w:firstLineChars="100"/>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2. </w:t>
            </w:r>
            <w:r w:rsidRPr="00891F62">
              <w:rPr>
                <w:rFonts w:ascii="Times New Roman" w:eastAsia="Times New Roman" w:hAnsi="Times New Roman" w:cs="Times New Roman"/>
                <w:color w:val="000000"/>
                <w:sz w:val="20"/>
                <w:szCs w:val="20"/>
                <w:u w:val="single"/>
              </w:rPr>
              <w:t>Implementation plan or permit</w:t>
            </w:r>
            <w:r w:rsidRPr="00891F62">
              <w:rPr>
                <w:rFonts w:ascii="Times New Roman" w:eastAsia="Times New Roman" w:hAnsi="Times New Roman" w:cs="Times New Roman"/>
                <w:color w:val="000000"/>
                <w:sz w:val="20"/>
                <w:szCs w:val="20"/>
              </w:rPr>
              <w:t xml:space="preserve"> represents the EPA review of all implementation plans, or permit applications if submitted in lieu of an implementation plan.</w:t>
            </w:r>
          </w:p>
        </w:tc>
      </w:tr>
      <w:tr w14:paraId="4EDC8FE0" w14:textId="77777777" w:rsidTr="00891F62">
        <w:tblPrEx>
          <w:tblW w:w="12418" w:type="dxa"/>
          <w:tblInd w:w="113" w:type="dxa"/>
          <w:tblLook w:val="04A0"/>
        </w:tblPrEx>
        <w:trPr>
          <w:trHeight w:val="585"/>
        </w:trPr>
        <w:tc>
          <w:tcPr>
            <w:tcW w:w="12418" w:type="dxa"/>
            <w:gridSpan w:val="9"/>
            <w:tcBorders>
              <w:top w:val="nil"/>
              <w:left w:val="nil"/>
              <w:bottom w:val="nil"/>
              <w:right w:val="nil"/>
            </w:tcBorders>
            <w:shd w:val="clear" w:color="auto" w:fill="auto"/>
            <w:hideMark/>
          </w:tcPr>
          <w:p w:rsidR="00891F62" w:rsidRPr="00891F62" w:rsidP="00891F62" w14:paraId="55E50ACF" w14:textId="77777777">
            <w:pPr>
              <w:spacing w:after="0" w:line="240" w:lineRule="auto"/>
              <w:ind w:firstLine="200" w:firstLineChars="100"/>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3. </w:t>
            </w:r>
            <w:r w:rsidRPr="00891F62">
              <w:rPr>
                <w:rFonts w:ascii="Times New Roman" w:eastAsia="Times New Roman" w:hAnsi="Times New Roman" w:cs="Times New Roman"/>
                <w:color w:val="000000"/>
                <w:sz w:val="20"/>
                <w:szCs w:val="20"/>
                <w:u w:val="single"/>
              </w:rPr>
              <w:t>Compliance status</w:t>
            </w:r>
            <w:r w:rsidRPr="00891F62">
              <w:rPr>
                <w:rFonts w:ascii="Times New Roman" w:eastAsia="Times New Roman" w:hAnsi="Times New Roman" w:cs="Times New Roman"/>
                <w:color w:val="000000"/>
                <w:sz w:val="20"/>
                <w:szCs w:val="20"/>
              </w:rPr>
              <w:t xml:space="preserve"> represents compliance status verification by the EPA for the portions of the standard which a source must comply with before the compliance date.</w:t>
            </w:r>
          </w:p>
        </w:tc>
      </w:tr>
      <w:tr w14:paraId="4F262613" w14:textId="77777777" w:rsidTr="00891F62">
        <w:tblPrEx>
          <w:tblW w:w="12418" w:type="dxa"/>
          <w:tblInd w:w="113" w:type="dxa"/>
          <w:tblLook w:val="04A0"/>
        </w:tblPrEx>
        <w:trPr>
          <w:trHeight w:val="300"/>
        </w:trPr>
        <w:tc>
          <w:tcPr>
            <w:tcW w:w="12418" w:type="dxa"/>
            <w:gridSpan w:val="9"/>
            <w:tcBorders>
              <w:top w:val="nil"/>
              <w:left w:val="nil"/>
              <w:bottom w:val="nil"/>
              <w:right w:val="nil"/>
            </w:tcBorders>
            <w:shd w:val="clear" w:color="auto" w:fill="auto"/>
            <w:hideMark/>
          </w:tcPr>
          <w:p w:rsidR="00891F62" w:rsidRPr="00891F62" w:rsidP="00891F62" w14:paraId="7E8854B2" w14:textId="77777777">
            <w:pPr>
              <w:spacing w:after="0" w:line="240" w:lineRule="auto"/>
              <w:ind w:firstLine="200" w:firstLineChars="100"/>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4. </w:t>
            </w:r>
            <w:r w:rsidRPr="00891F62">
              <w:rPr>
                <w:rFonts w:ascii="Times New Roman" w:eastAsia="Times New Roman" w:hAnsi="Times New Roman" w:cs="Times New Roman"/>
                <w:color w:val="000000"/>
                <w:sz w:val="20"/>
                <w:szCs w:val="20"/>
                <w:u w:val="single"/>
              </w:rPr>
              <w:t>Review equipment leak monitoring</w:t>
            </w:r>
            <w:r w:rsidRPr="00891F62">
              <w:rPr>
                <w:rFonts w:ascii="Times New Roman" w:eastAsia="Times New Roman" w:hAnsi="Times New Roman" w:cs="Times New Roman"/>
                <w:color w:val="000000"/>
                <w:sz w:val="20"/>
                <w:szCs w:val="20"/>
              </w:rPr>
              <w:t xml:space="preserve"> represents the review and screening of periodic reports received </w:t>
            </w:r>
            <w:r w:rsidRPr="00891F62">
              <w:rPr>
                <w:rFonts w:ascii="Times New Roman" w:eastAsia="Times New Roman" w:hAnsi="Times New Roman" w:cs="Times New Roman"/>
                <w:color w:val="000000"/>
                <w:sz w:val="20"/>
                <w:szCs w:val="20"/>
              </w:rPr>
              <w:t>as a result of</w:t>
            </w:r>
            <w:r w:rsidRPr="00891F62">
              <w:rPr>
                <w:rFonts w:ascii="Times New Roman" w:eastAsia="Times New Roman" w:hAnsi="Times New Roman" w:cs="Times New Roman"/>
                <w:color w:val="000000"/>
                <w:sz w:val="20"/>
                <w:szCs w:val="20"/>
              </w:rPr>
              <w:t xml:space="preserve"> the equipment leaks standard.</w:t>
            </w:r>
          </w:p>
        </w:tc>
      </w:tr>
      <w:tr w14:paraId="70EE20CB" w14:textId="77777777" w:rsidTr="00891F62">
        <w:tblPrEx>
          <w:tblW w:w="12418" w:type="dxa"/>
          <w:tblInd w:w="113" w:type="dxa"/>
          <w:tblLook w:val="04A0"/>
        </w:tblPrEx>
        <w:trPr>
          <w:trHeight w:val="300"/>
        </w:trPr>
        <w:tc>
          <w:tcPr>
            <w:tcW w:w="12418" w:type="dxa"/>
            <w:gridSpan w:val="9"/>
            <w:tcBorders>
              <w:top w:val="nil"/>
              <w:left w:val="nil"/>
              <w:bottom w:val="nil"/>
              <w:right w:val="nil"/>
            </w:tcBorders>
            <w:shd w:val="clear" w:color="auto" w:fill="auto"/>
            <w:hideMark/>
          </w:tcPr>
          <w:p w:rsidR="00891F62" w:rsidRPr="00891F62" w:rsidP="00891F62" w14:paraId="058F9906" w14:textId="77777777">
            <w:pPr>
              <w:spacing w:after="0" w:line="240" w:lineRule="auto"/>
              <w:ind w:firstLine="200" w:firstLineChars="100"/>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5. </w:t>
            </w:r>
            <w:r w:rsidRPr="00891F62">
              <w:rPr>
                <w:rFonts w:ascii="Times New Roman" w:eastAsia="Times New Roman" w:hAnsi="Times New Roman" w:cs="Times New Roman"/>
                <w:color w:val="000000"/>
                <w:sz w:val="20"/>
                <w:szCs w:val="20"/>
                <w:u w:val="single"/>
              </w:rPr>
              <w:t>Report of construction/reconstruction</w:t>
            </w:r>
            <w:r w:rsidRPr="00891F62">
              <w:rPr>
                <w:rFonts w:ascii="Times New Roman" w:eastAsia="Times New Roman" w:hAnsi="Times New Roman" w:cs="Times New Roman"/>
                <w:color w:val="000000"/>
                <w:sz w:val="20"/>
                <w:szCs w:val="20"/>
              </w:rPr>
              <w:t xml:space="preserve"> represents the EPA review of this notification from new sources.</w:t>
            </w:r>
          </w:p>
        </w:tc>
      </w:tr>
      <w:tr w14:paraId="3FBEB115" w14:textId="77777777" w:rsidTr="00891F62">
        <w:tblPrEx>
          <w:tblW w:w="12418" w:type="dxa"/>
          <w:tblInd w:w="113" w:type="dxa"/>
          <w:tblLook w:val="04A0"/>
        </w:tblPrEx>
        <w:trPr>
          <w:trHeight w:val="300"/>
        </w:trPr>
        <w:tc>
          <w:tcPr>
            <w:tcW w:w="12418" w:type="dxa"/>
            <w:gridSpan w:val="9"/>
            <w:tcBorders>
              <w:top w:val="nil"/>
              <w:left w:val="nil"/>
              <w:bottom w:val="nil"/>
              <w:right w:val="nil"/>
            </w:tcBorders>
            <w:shd w:val="clear" w:color="auto" w:fill="auto"/>
            <w:hideMark/>
          </w:tcPr>
          <w:p w:rsidR="00891F62" w:rsidRPr="00891F62" w:rsidP="00891F62" w14:paraId="7A6CECA0" w14:textId="77777777">
            <w:pPr>
              <w:spacing w:after="0" w:line="240" w:lineRule="auto"/>
              <w:ind w:firstLine="200" w:firstLineChars="100"/>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6. </w:t>
            </w:r>
            <w:r w:rsidRPr="00891F62">
              <w:rPr>
                <w:rFonts w:ascii="Times New Roman" w:eastAsia="Times New Roman" w:hAnsi="Times New Roman" w:cs="Times New Roman"/>
                <w:color w:val="000000"/>
                <w:sz w:val="20"/>
                <w:szCs w:val="20"/>
                <w:u w:val="single"/>
              </w:rPr>
              <w:t>Notification of performance test</w:t>
            </w:r>
            <w:r w:rsidRPr="00891F62">
              <w:rPr>
                <w:rFonts w:ascii="Times New Roman" w:eastAsia="Times New Roman" w:hAnsi="Times New Roman" w:cs="Times New Roman"/>
                <w:color w:val="000000"/>
                <w:sz w:val="20"/>
                <w:szCs w:val="20"/>
              </w:rPr>
              <w:t xml:space="preserve"> represents the EPA review of this notification from new sources.</w:t>
            </w:r>
          </w:p>
        </w:tc>
      </w:tr>
      <w:tr w14:paraId="349BA45A" w14:textId="77777777" w:rsidTr="00891F62">
        <w:tblPrEx>
          <w:tblW w:w="12418" w:type="dxa"/>
          <w:tblInd w:w="113" w:type="dxa"/>
          <w:tblLook w:val="04A0"/>
        </w:tblPrEx>
        <w:trPr>
          <w:trHeight w:val="300"/>
        </w:trPr>
        <w:tc>
          <w:tcPr>
            <w:tcW w:w="12418" w:type="dxa"/>
            <w:gridSpan w:val="9"/>
            <w:tcBorders>
              <w:top w:val="nil"/>
              <w:left w:val="nil"/>
              <w:bottom w:val="nil"/>
              <w:right w:val="nil"/>
            </w:tcBorders>
            <w:shd w:val="clear" w:color="auto" w:fill="auto"/>
            <w:hideMark/>
          </w:tcPr>
          <w:p w:rsidR="00891F62" w:rsidRPr="00891F62" w:rsidP="00891F62" w14:paraId="119C4F52" w14:textId="77777777">
            <w:pPr>
              <w:spacing w:after="0" w:line="240" w:lineRule="auto"/>
              <w:ind w:firstLine="200" w:firstLineChars="100"/>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7. </w:t>
            </w:r>
            <w:r w:rsidRPr="00891F62">
              <w:rPr>
                <w:rFonts w:ascii="Times New Roman" w:eastAsia="Times New Roman" w:hAnsi="Times New Roman" w:cs="Times New Roman"/>
                <w:color w:val="000000"/>
                <w:sz w:val="20"/>
                <w:szCs w:val="20"/>
                <w:u w:val="single"/>
              </w:rPr>
              <w:t>Review of test results</w:t>
            </w:r>
            <w:r w:rsidRPr="00891F62">
              <w:rPr>
                <w:rFonts w:ascii="Times New Roman" w:eastAsia="Times New Roman" w:hAnsi="Times New Roman" w:cs="Times New Roman"/>
                <w:color w:val="000000"/>
                <w:sz w:val="20"/>
                <w:szCs w:val="20"/>
              </w:rPr>
              <w:t xml:space="preserve"> represents the EPA review of performance test results for new sources.</w:t>
            </w:r>
          </w:p>
        </w:tc>
      </w:tr>
      <w:tr w14:paraId="6E3461A6" w14:textId="77777777" w:rsidTr="00891F62">
        <w:tblPrEx>
          <w:tblW w:w="12418" w:type="dxa"/>
          <w:tblInd w:w="113" w:type="dxa"/>
          <w:tblLook w:val="04A0"/>
        </w:tblPrEx>
        <w:trPr>
          <w:trHeight w:val="300"/>
        </w:trPr>
        <w:tc>
          <w:tcPr>
            <w:tcW w:w="12418" w:type="dxa"/>
            <w:gridSpan w:val="9"/>
            <w:tcBorders>
              <w:top w:val="nil"/>
              <w:left w:val="nil"/>
              <w:bottom w:val="nil"/>
              <w:right w:val="nil"/>
            </w:tcBorders>
            <w:shd w:val="clear" w:color="auto" w:fill="auto"/>
            <w:hideMark/>
          </w:tcPr>
          <w:p w:rsidR="00891F62" w:rsidRPr="00891F62" w:rsidP="00891F62" w14:paraId="51FCE6F0" w14:textId="77777777">
            <w:pPr>
              <w:spacing w:after="0" w:line="240" w:lineRule="auto"/>
              <w:ind w:firstLine="200" w:firstLineChars="100"/>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8. </w:t>
            </w:r>
            <w:r w:rsidRPr="00891F62">
              <w:rPr>
                <w:rFonts w:ascii="Times New Roman" w:eastAsia="Times New Roman" w:hAnsi="Times New Roman" w:cs="Times New Roman"/>
                <w:color w:val="000000"/>
                <w:sz w:val="20"/>
                <w:szCs w:val="20"/>
                <w:u w:val="single"/>
              </w:rPr>
              <w:t>Review periodic reports</w:t>
            </w:r>
            <w:r w:rsidRPr="00891F62">
              <w:rPr>
                <w:rFonts w:ascii="Times New Roman" w:eastAsia="Times New Roman" w:hAnsi="Times New Roman" w:cs="Times New Roman"/>
                <w:color w:val="000000"/>
                <w:sz w:val="20"/>
                <w:szCs w:val="20"/>
              </w:rPr>
              <w:t xml:space="preserve"> represents the EPA review of periodic reports.</w:t>
            </w:r>
          </w:p>
        </w:tc>
      </w:tr>
      <w:tr w14:paraId="23F4CE9F" w14:textId="77777777" w:rsidTr="00891F62">
        <w:tblPrEx>
          <w:tblW w:w="12418" w:type="dxa"/>
          <w:tblInd w:w="113" w:type="dxa"/>
          <w:tblLook w:val="04A0"/>
        </w:tblPrEx>
        <w:trPr>
          <w:trHeight w:val="315"/>
        </w:trPr>
        <w:tc>
          <w:tcPr>
            <w:tcW w:w="12418" w:type="dxa"/>
            <w:gridSpan w:val="9"/>
            <w:tcBorders>
              <w:top w:val="nil"/>
              <w:left w:val="nil"/>
              <w:bottom w:val="nil"/>
              <w:right w:val="nil"/>
            </w:tcBorders>
            <w:shd w:val="clear" w:color="auto" w:fill="auto"/>
            <w:hideMark/>
          </w:tcPr>
          <w:p w:rsidR="00891F62" w:rsidRPr="00891F62" w:rsidP="00891F62" w14:paraId="6A92FCB0" w14:textId="28C6BE8D">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e</w:t>
            </w:r>
            <w:r w:rsidRPr="00891F62">
              <w:rPr>
                <w:rFonts w:ascii="Times New Roman" w:eastAsia="Times New Roman" w:hAnsi="Times New Roman" w:cs="Times New Roman"/>
                <w:color w:val="000000"/>
                <w:sz w:val="20"/>
                <w:szCs w:val="20"/>
              </w:rPr>
              <w:t xml:space="preserve"> This ICR assumes that each facility will refill storage vessels that have been emptied and degassed 6 times per year.</w:t>
            </w:r>
          </w:p>
        </w:tc>
      </w:tr>
      <w:tr w14:paraId="0DF59039" w14:textId="77777777" w:rsidTr="00891F62">
        <w:tblPrEx>
          <w:tblW w:w="12418" w:type="dxa"/>
          <w:tblInd w:w="113" w:type="dxa"/>
          <w:tblLook w:val="04A0"/>
        </w:tblPrEx>
        <w:trPr>
          <w:trHeight w:val="504"/>
        </w:trPr>
        <w:tc>
          <w:tcPr>
            <w:tcW w:w="12418" w:type="dxa"/>
            <w:gridSpan w:val="9"/>
            <w:tcBorders>
              <w:top w:val="nil"/>
              <w:left w:val="nil"/>
              <w:bottom w:val="nil"/>
              <w:right w:val="nil"/>
            </w:tcBorders>
            <w:shd w:val="clear" w:color="auto" w:fill="auto"/>
            <w:hideMark/>
          </w:tcPr>
          <w:p w:rsidR="00891F62" w:rsidRPr="00891F62" w:rsidP="00891F62" w14:paraId="01A765B5" w14:textId="6B88FAC4">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f</w:t>
            </w:r>
            <w:r w:rsidRPr="00891F62">
              <w:rPr>
                <w:rFonts w:ascii="Times New Roman" w:eastAsia="Times New Roman" w:hAnsi="Times New Roman" w:cs="Times New Roman"/>
                <w:color w:val="000000"/>
                <w:sz w:val="20"/>
                <w:szCs w:val="20"/>
              </w:rPr>
              <w:t xml:space="preserve"> This ICR assumes 1 facility per year using an emissions averaging plan will make changes requiring an update to the emissions averaging plan. This activity may also include review of front-end or back-end operations limits. </w:t>
            </w:r>
          </w:p>
        </w:tc>
      </w:tr>
      <w:tr w14:paraId="49402835" w14:textId="77777777" w:rsidTr="00891F62">
        <w:tblPrEx>
          <w:tblW w:w="12418" w:type="dxa"/>
          <w:tblInd w:w="113" w:type="dxa"/>
          <w:tblLook w:val="04A0"/>
        </w:tblPrEx>
        <w:trPr>
          <w:trHeight w:val="315"/>
        </w:trPr>
        <w:tc>
          <w:tcPr>
            <w:tcW w:w="12418" w:type="dxa"/>
            <w:gridSpan w:val="9"/>
            <w:tcBorders>
              <w:top w:val="nil"/>
              <w:left w:val="nil"/>
              <w:bottom w:val="nil"/>
              <w:right w:val="nil"/>
            </w:tcBorders>
            <w:shd w:val="clear" w:color="auto" w:fill="auto"/>
            <w:hideMark/>
          </w:tcPr>
          <w:p w:rsidR="00891F62" w:rsidRPr="00891F62" w:rsidP="00891F62" w14:paraId="20AA886B" w14:textId="01091F5A">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g</w:t>
            </w:r>
            <w:r w:rsidRPr="00891F62">
              <w:rPr>
                <w:rFonts w:ascii="Times New Roman" w:eastAsia="Times New Roman" w:hAnsi="Times New Roman" w:cs="Times New Roman"/>
                <w:color w:val="000000"/>
                <w:sz w:val="20"/>
                <w:szCs w:val="20"/>
              </w:rPr>
              <w:t xml:space="preserve"> This ICR assumes that 10% of sources will have changes to their primary product.</w:t>
            </w:r>
          </w:p>
        </w:tc>
      </w:tr>
      <w:tr w14:paraId="3E981916" w14:textId="77777777" w:rsidTr="00891F62">
        <w:tblPrEx>
          <w:tblW w:w="12418" w:type="dxa"/>
          <w:tblInd w:w="113" w:type="dxa"/>
          <w:tblLook w:val="04A0"/>
        </w:tblPrEx>
        <w:trPr>
          <w:trHeight w:val="315"/>
        </w:trPr>
        <w:tc>
          <w:tcPr>
            <w:tcW w:w="12418" w:type="dxa"/>
            <w:gridSpan w:val="9"/>
            <w:tcBorders>
              <w:top w:val="nil"/>
              <w:left w:val="nil"/>
              <w:bottom w:val="nil"/>
              <w:right w:val="nil"/>
            </w:tcBorders>
            <w:shd w:val="clear" w:color="auto" w:fill="auto"/>
            <w:hideMark/>
          </w:tcPr>
          <w:p w:rsidR="00891F62" w:rsidRPr="00891F62" w:rsidP="00891F62" w14:paraId="3D534558" w14:textId="560473C5">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h</w:t>
            </w:r>
            <w:r w:rsidRPr="00891F62">
              <w:rPr>
                <w:rFonts w:ascii="Times New Roman" w:eastAsia="Times New Roman" w:hAnsi="Times New Roman" w:cs="Times New Roman"/>
                <w:color w:val="000000"/>
                <w:sz w:val="20"/>
                <w:szCs w:val="20"/>
              </w:rPr>
              <w:t xml:space="preserve"> This ICR assumes that 10% of sources will makes changes to batch process vents.</w:t>
            </w:r>
          </w:p>
        </w:tc>
      </w:tr>
      <w:tr w14:paraId="6A29E8EA" w14:textId="77777777" w:rsidTr="00891F62">
        <w:tblPrEx>
          <w:tblW w:w="12418" w:type="dxa"/>
          <w:tblInd w:w="113" w:type="dxa"/>
          <w:tblLook w:val="04A0"/>
        </w:tblPrEx>
        <w:trPr>
          <w:trHeight w:val="540"/>
        </w:trPr>
        <w:tc>
          <w:tcPr>
            <w:tcW w:w="12418" w:type="dxa"/>
            <w:gridSpan w:val="9"/>
            <w:tcBorders>
              <w:top w:val="nil"/>
              <w:left w:val="nil"/>
              <w:bottom w:val="nil"/>
              <w:right w:val="nil"/>
            </w:tcBorders>
            <w:shd w:val="clear" w:color="auto" w:fill="auto"/>
            <w:hideMark/>
          </w:tcPr>
          <w:p w:rsidR="00891F62" w:rsidRPr="00891F62" w:rsidP="00891F62" w14:paraId="6C072BD8" w14:textId="03DA2FA0">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i</w:t>
            </w:r>
            <w:r w:rsidRPr="00891F62">
              <w:rPr>
                <w:rFonts w:ascii="Times New Roman" w:eastAsia="Times New Roman" w:hAnsi="Times New Roman" w:cs="Times New Roman"/>
                <w:color w:val="000000"/>
                <w:sz w:val="20"/>
                <w:szCs w:val="20"/>
              </w:rPr>
              <w:t xml:space="preserve"> This ICR assumes that 10% of PET sources will make changes to a dimethyl terephthalate process. There is a total of 15 PET facilities subject to the rule. (15 facilities x 1.1 sources/facility x 10% = 1.65 sources, rounded to 2)</w:t>
            </w:r>
          </w:p>
        </w:tc>
      </w:tr>
      <w:tr w14:paraId="7E3DE0F2" w14:textId="77777777" w:rsidTr="00891F62">
        <w:tblPrEx>
          <w:tblW w:w="12418" w:type="dxa"/>
          <w:tblInd w:w="113" w:type="dxa"/>
          <w:tblLook w:val="04A0"/>
        </w:tblPrEx>
        <w:trPr>
          <w:trHeight w:val="315"/>
        </w:trPr>
        <w:tc>
          <w:tcPr>
            <w:tcW w:w="12418" w:type="dxa"/>
            <w:gridSpan w:val="9"/>
            <w:tcBorders>
              <w:top w:val="nil"/>
              <w:left w:val="nil"/>
              <w:bottom w:val="nil"/>
              <w:right w:val="nil"/>
            </w:tcBorders>
            <w:shd w:val="clear" w:color="auto" w:fill="auto"/>
            <w:hideMark/>
          </w:tcPr>
          <w:p w:rsidR="00891F62" w:rsidRPr="00891F62" w:rsidP="00891F62" w14:paraId="64D94521" w14:textId="6461D102">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j</w:t>
            </w:r>
            <w:r w:rsidRPr="00891F62">
              <w:rPr>
                <w:rFonts w:ascii="Times New Roman" w:eastAsia="Times New Roman" w:hAnsi="Times New Roman" w:cs="Times New Roman"/>
                <w:color w:val="000000"/>
                <w:sz w:val="20"/>
                <w:szCs w:val="20"/>
              </w:rPr>
              <w:t xml:space="preserve"> This ICR assumes that 10% of sources will have to submit malfunction reports.</w:t>
            </w:r>
          </w:p>
        </w:tc>
      </w:tr>
      <w:tr w14:paraId="37BC3364" w14:textId="77777777" w:rsidTr="00891F62">
        <w:tblPrEx>
          <w:tblW w:w="12418" w:type="dxa"/>
          <w:tblInd w:w="113" w:type="dxa"/>
          <w:tblLook w:val="04A0"/>
        </w:tblPrEx>
        <w:trPr>
          <w:trHeight w:val="1005"/>
        </w:trPr>
        <w:tc>
          <w:tcPr>
            <w:tcW w:w="12418" w:type="dxa"/>
            <w:gridSpan w:val="9"/>
            <w:tcBorders>
              <w:top w:val="nil"/>
              <w:left w:val="nil"/>
              <w:bottom w:val="nil"/>
              <w:right w:val="nil"/>
            </w:tcBorders>
            <w:shd w:val="clear" w:color="auto" w:fill="auto"/>
            <w:hideMark/>
          </w:tcPr>
          <w:p w:rsidR="00891F62" w:rsidRPr="00891F62" w:rsidP="00891F62" w14:paraId="26EB9B94" w14:textId="0542C40C">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k</w:t>
            </w:r>
            <w:r w:rsidRPr="00891F62">
              <w:rPr>
                <w:rFonts w:ascii="Times New Roman" w:eastAsia="Times New Roman" w:hAnsi="Times New Roman" w:cs="Times New Roman"/>
                <w:color w:val="000000"/>
                <w:sz w:val="20"/>
                <w:szCs w:val="20"/>
              </w:rPr>
              <w:t xml:space="preserve"> This ICR assumes that 5% of the 27 sources (TPPUs) will not qualify for semiannual reports and will be required to submit quarterly reports. (27 TPPUs x 0.05 = 1.35) In addition, 10% of the 24 facilities using emissions averaging are required to submit quarterly reports. (24 respondents x (0.10) = 2.4). </w:t>
            </w:r>
            <w:r w:rsidRPr="00891F62">
              <w:rPr>
                <w:rFonts w:ascii="Times New Roman" w:eastAsia="Times New Roman" w:hAnsi="Times New Roman" w:cs="Times New Roman"/>
                <w:color w:val="000000"/>
                <w:sz w:val="20"/>
                <w:szCs w:val="20"/>
              </w:rPr>
              <w:t>Therefore</w:t>
            </w:r>
            <w:r w:rsidRPr="00891F62">
              <w:rPr>
                <w:rFonts w:ascii="Times New Roman" w:eastAsia="Times New Roman" w:hAnsi="Times New Roman" w:cs="Times New Roman"/>
                <w:color w:val="000000"/>
                <w:sz w:val="20"/>
                <w:szCs w:val="20"/>
              </w:rPr>
              <w:t xml:space="preserve"> we estimate quarterly reports will be submitted for 4 sources. (1.35 + 2.4 = 3.75, rounded to 4) The remaining 23 sources will all submit semiannual reports. </w:t>
            </w:r>
          </w:p>
        </w:tc>
      </w:tr>
      <w:tr w14:paraId="540392F6" w14:textId="77777777" w:rsidTr="00891F62">
        <w:tblPrEx>
          <w:tblW w:w="12418" w:type="dxa"/>
          <w:tblInd w:w="113" w:type="dxa"/>
          <w:tblLook w:val="04A0"/>
        </w:tblPrEx>
        <w:trPr>
          <w:trHeight w:val="315"/>
        </w:trPr>
        <w:tc>
          <w:tcPr>
            <w:tcW w:w="12418" w:type="dxa"/>
            <w:gridSpan w:val="9"/>
            <w:tcBorders>
              <w:top w:val="nil"/>
              <w:left w:val="nil"/>
              <w:bottom w:val="nil"/>
              <w:right w:val="nil"/>
            </w:tcBorders>
            <w:shd w:val="clear" w:color="auto" w:fill="auto"/>
            <w:hideMark/>
          </w:tcPr>
          <w:p w:rsidR="00891F62" w:rsidRPr="00891F62" w:rsidP="00891F62" w14:paraId="4A0C46C3" w14:textId="6D67ADC3">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l</w:t>
            </w:r>
            <w:r w:rsidRPr="00891F62">
              <w:rPr>
                <w:rFonts w:ascii="Times New Roman" w:eastAsia="Times New Roman" w:hAnsi="Times New Roman" w:cs="Times New Roman"/>
                <w:color w:val="000000"/>
                <w:sz w:val="20"/>
                <w:szCs w:val="20"/>
              </w:rPr>
              <w:t xml:space="preserve"> Totals have been rounded to 3 significant figures. Figures may not add exactly due to rounding. </w:t>
            </w:r>
          </w:p>
        </w:tc>
      </w:tr>
    </w:tbl>
    <w:p w:rsidR="001641AA" w:rsidP="00BB3410" w14:paraId="58610761" w14:textId="377661E3">
      <w:pPr>
        <w:pStyle w:val="ListParagraph"/>
        <w:spacing w:before="240"/>
        <w:ind w:left="0"/>
        <w:rPr>
          <w:rFonts w:cstheme="minorHAnsi"/>
          <w:b/>
          <w:bCs/>
          <w:sz w:val="24"/>
          <w:szCs w:val="24"/>
        </w:rPr>
      </w:pPr>
    </w:p>
    <w:tbl>
      <w:tblPr>
        <w:tblW w:w="12300" w:type="dxa"/>
        <w:tblInd w:w="113" w:type="dxa"/>
        <w:tblLook w:val="04A0"/>
      </w:tblPr>
      <w:tblGrid>
        <w:gridCol w:w="960"/>
        <w:gridCol w:w="2740"/>
        <w:gridCol w:w="2140"/>
        <w:gridCol w:w="2080"/>
        <w:gridCol w:w="2300"/>
        <w:gridCol w:w="2080"/>
      </w:tblGrid>
      <w:tr w14:paraId="77EFD53E" w14:textId="77777777" w:rsidTr="00891F62">
        <w:tblPrEx>
          <w:tblW w:w="12300" w:type="dxa"/>
          <w:tblInd w:w="113" w:type="dxa"/>
          <w:tblLook w:val="04A0"/>
        </w:tblPrEx>
        <w:trPr>
          <w:trHeight w:val="315"/>
        </w:trPr>
        <w:tc>
          <w:tcPr>
            <w:tcW w:w="123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91F62" w:rsidRPr="00891F62" w:rsidP="00891F62" w14:paraId="32260739" w14:textId="77777777">
            <w:pPr>
              <w:spacing w:after="0" w:line="240" w:lineRule="auto"/>
              <w:jc w:val="center"/>
              <w:rPr>
                <w:rFonts w:ascii="Times New Roman" w:eastAsia="Times New Roman" w:hAnsi="Times New Roman" w:cs="Times New Roman"/>
                <w:b/>
                <w:bCs/>
                <w:color w:val="000000"/>
                <w:sz w:val="24"/>
                <w:szCs w:val="24"/>
              </w:rPr>
            </w:pPr>
            <w:r w:rsidRPr="00891F62">
              <w:rPr>
                <w:rFonts w:ascii="Times New Roman" w:eastAsia="Times New Roman" w:hAnsi="Times New Roman" w:cs="Times New Roman"/>
                <w:b/>
                <w:bCs/>
                <w:color w:val="000000"/>
                <w:sz w:val="24"/>
                <w:szCs w:val="24"/>
              </w:rPr>
              <w:t>Number of Respondents</w:t>
            </w:r>
          </w:p>
        </w:tc>
      </w:tr>
      <w:tr w14:paraId="1DCC8E13" w14:textId="77777777" w:rsidTr="00891F62">
        <w:tblPrEx>
          <w:tblW w:w="12300" w:type="dxa"/>
          <w:tblInd w:w="113" w:type="dxa"/>
          <w:tblLook w:val="04A0"/>
        </w:tblPrEx>
        <w:trPr>
          <w:trHeight w:val="76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891F62" w:rsidRPr="00891F62" w:rsidP="00891F62" w14:paraId="46D4ACED"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4880" w:type="dxa"/>
            <w:gridSpan w:val="2"/>
            <w:tcBorders>
              <w:top w:val="single" w:sz="4" w:space="0" w:color="auto"/>
              <w:left w:val="nil"/>
              <w:bottom w:val="single" w:sz="4" w:space="0" w:color="auto"/>
              <w:right w:val="single" w:sz="4" w:space="0" w:color="auto"/>
            </w:tcBorders>
            <w:shd w:val="clear" w:color="auto" w:fill="auto"/>
            <w:vAlign w:val="bottom"/>
            <w:hideMark/>
          </w:tcPr>
          <w:p w:rsidR="00891F62" w:rsidRPr="00891F62" w:rsidP="00891F62" w14:paraId="67FACE3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Respondents That Submit Reports</w:t>
            </w:r>
          </w:p>
        </w:tc>
        <w:tc>
          <w:tcPr>
            <w:tcW w:w="2080" w:type="dxa"/>
            <w:tcBorders>
              <w:top w:val="nil"/>
              <w:left w:val="nil"/>
              <w:bottom w:val="single" w:sz="4" w:space="0" w:color="auto"/>
              <w:right w:val="single" w:sz="4" w:space="0" w:color="auto"/>
            </w:tcBorders>
            <w:shd w:val="clear" w:color="auto" w:fill="auto"/>
            <w:vAlign w:val="bottom"/>
            <w:hideMark/>
          </w:tcPr>
          <w:p w:rsidR="00891F62" w:rsidRPr="00891F62" w:rsidP="00891F62" w14:paraId="1BC73209"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Respondents That Do Not Submit Any Reports</w:t>
            </w:r>
          </w:p>
        </w:tc>
        <w:tc>
          <w:tcPr>
            <w:tcW w:w="2300" w:type="dxa"/>
            <w:tcBorders>
              <w:top w:val="nil"/>
              <w:left w:val="nil"/>
              <w:bottom w:val="single" w:sz="4" w:space="0" w:color="auto"/>
              <w:right w:val="single" w:sz="4" w:space="0" w:color="auto"/>
            </w:tcBorders>
            <w:shd w:val="clear" w:color="auto" w:fill="auto"/>
            <w:vAlign w:val="bottom"/>
            <w:hideMark/>
          </w:tcPr>
          <w:p w:rsidR="00891F62" w:rsidRPr="00891F62" w:rsidP="00891F62" w14:paraId="43D7535E"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2080" w:type="dxa"/>
            <w:tcBorders>
              <w:top w:val="nil"/>
              <w:left w:val="nil"/>
              <w:bottom w:val="single" w:sz="4" w:space="0" w:color="auto"/>
              <w:right w:val="single" w:sz="4" w:space="0" w:color="auto"/>
            </w:tcBorders>
            <w:shd w:val="clear" w:color="auto" w:fill="auto"/>
            <w:vAlign w:val="bottom"/>
            <w:hideMark/>
          </w:tcPr>
          <w:p w:rsidR="00891F62" w:rsidRPr="00891F62" w:rsidP="00891F62" w14:paraId="36A61DA8"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r>
      <w:tr w14:paraId="776EDF4D" w14:textId="77777777" w:rsidTr="00891F62">
        <w:tblPrEx>
          <w:tblW w:w="12300" w:type="dxa"/>
          <w:tblInd w:w="113" w:type="dxa"/>
          <w:tblLook w:val="04A0"/>
        </w:tblPrEx>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1F62" w:rsidRPr="00891F62" w:rsidP="00891F62" w14:paraId="4B7332C9"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rsidR="00891F62" w:rsidRPr="00891F62" w:rsidP="00891F62" w14:paraId="1D70389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(A)</w:t>
            </w:r>
          </w:p>
        </w:tc>
        <w:tc>
          <w:tcPr>
            <w:tcW w:w="2140" w:type="dxa"/>
            <w:tcBorders>
              <w:top w:val="nil"/>
              <w:left w:val="nil"/>
              <w:bottom w:val="single" w:sz="4" w:space="0" w:color="auto"/>
              <w:right w:val="single" w:sz="4" w:space="0" w:color="auto"/>
            </w:tcBorders>
            <w:shd w:val="clear" w:color="auto" w:fill="auto"/>
            <w:noWrap/>
            <w:vAlign w:val="bottom"/>
            <w:hideMark/>
          </w:tcPr>
          <w:p w:rsidR="00891F62" w:rsidRPr="00891F62" w:rsidP="00891F62" w14:paraId="7537BE1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(B)</w:t>
            </w:r>
          </w:p>
        </w:tc>
        <w:tc>
          <w:tcPr>
            <w:tcW w:w="2080" w:type="dxa"/>
            <w:tcBorders>
              <w:top w:val="nil"/>
              <w:left w:val="nil"/>
              <w:bottom w:val="single" w:sz="4" w:space="0" w:color="auto"/>
              <w:right w:val="single" w:sz="4" w:space="0" w:color="auto"/>
            </w:tcBorders>
            <w:shd w:val="clear" w:color="auto" w:fill="auto"/>
            <w:noWrap/>
            <w:vAlign w:val="bottom"/>
            <w:hideMark/>
          </w:tcPr>
          <w:p w:rsidR="00891F62" w:rsidRPr="00891F62" w:rsidP="00891F62" w14:paraId="76844BE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(C)</w:t>
            </w:r>
          </w:p>
        </w:tc>
        <w:tc>
          <w:tcPr>
            <w:tcW w:w="2300" w:type="dxa"/>
            <w:tcBorders>
              <w:top w:val="nil"/>
              <w:left w:val="nil"/>
              <w:bottom w:val="single" w:sz="4" w:space="0" w:color="auto"/>
              <w:right w:val="single" w:sz="4" w:space="0" w:color="auto"/>
            </w:tcBorders>
            <w:shd w:val="clear" w:color="auto" w:fill="auto"/>
            <w:noWrap/>
            <w:vAlign w:val="bottom"/>
            <w:hideMark/>
          </w:tcPr>
          <w:p w:rsidR="00891F62" w:rsidRPr="00891F62" w:rsidP="00891F62" w14:paraId="4C60A4C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(D)</w:t>
            </w:r>
          </w:p>
        </w:tc>
        <w:tc>
          <w:tcPr>
            <w:tcW w:w="2080" w:type="dxa"/>
            <w:tcBorders>
              <w:top w:val="nil"/>
              <w:left w:val="nil"/>
              <w:bottom w:val="single" w:sz="4" w:space="0" w:color="auto"/>
              <w:right w:val="single" w:sz="4" w:space="0" w:color="auto"/>
            </w:tcBorders>
            <w:shd w:val="clear" w:color="auto" w:fill="auto"/>
            <w:noWrap/>
            <w:vAlign w:val="bottom"/>
            <w:hideMark/>
          </w:tcPr>
          <w:p w:rsidR="00891F62" w:rsidRPr="00891F62" w:rsidP="00891F62" w14:paraId="329E214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(E)</w:t>
            </w:r>
          </w:p>
        </w:tc>
      </w:tr>
      <w:tr w14:paraId="4D050F87" w14:textId="77777777" w:rsidTr="00891F62">
        <w:tblPrEx>
          <w:tblW w:w="12300" w:type="dxa"/>
          <w:tblInd w:w="113" w:type="dxa"/>
          <w:tblLook w:val="04A0"/>
        </w:tblPrEx>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1F62" w:rsidRPr="00891F62" w:rsidP="00891F62" w14:paraId="7379969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Year</w:t>
            </w:r>
          </w:p>
        </w:tc>
        <w:tc>
          <w:tcPr>
            <w:tcW w:w="2740" w:type="dxa"/>
            <w:tcBorders>
              <w:top w:val="nil"/>
              <w:left w:val="nil"/>
              <w:bottom w:val="single" w:sz="4" w:space="0" w:color="auto"/>
              <w:right w:val="single" w:sz="4" w:space="0" w:color="auto"/>
            </w:tcBorders>
            <w:shd w:val="clear" w:color="auto" w:fill="auto"/>
            <w:vAlign w:val="center"/>
            <w:hideMark/>
          </w:tcPr>
          <w:p w:rsidR="00891F62" w:rsidRPr="00891F62" w:rsidP="00891F62" w14:paraId="1A93F8C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Number of New Respondents </w:t>
            </w:r>
            <w:r w:rsidRPr="00891F62">
              <w:rPr>
                <w:rFonts w:ascii="Times New Roman" w:eastAsia="Times New Roman" w:hAnsi="Times New Roman" w:cs="Times New Roman"/>
                <w:color w:val="000000"/>
                <w:sz w:val="20"/>
                <w:szCs w:val="20"/>
                <w:vertAlign w:val="superscript"/>
              </w:rPr>
              <w:t>a</w:t>
            </w:r>
          </w:p>
        </w:tc>
        <w:tc>
          <w:tcPr>
            <w:tcW w:w="2140" w:type="dxa"/>
            <w:tcBorders>
              <w:top w:val="nil"/>
              <w:left w:val="nil"/>
              <w:bottom w:val="single" w:sz="4" w:space="0" w:color="auto"/>
              <w:right w:val="single" w:sz="4" w:space="0" w:color="auto"/>
            </w:tcBorders>
            <w:shd w:val="clear" w:color="auto" w:fill="auto"/>
            <w:vAlign w:val="center"/>
            <w:hideMark/>
          </w:tcPr>
          <w:p w:rsidR="00891F62" w:rsidRPr="00891F62" w:rsidP="00891F62" w14:paraId="39BC9C6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Number of Existing Respondents</w:t>
            </w:r>
          </w:p>
        </w:tc>
        <w:tc>
          <w:tcPr>
            <w:tcW w:w="2080" w:type="dxa"/>
            <w:tcBorders>
              <w:top w:val="nil"/>
              <w:left w:val="nil"/>
              <w:bottom w:val="single" w:sz="4" w:space="0" w:color="auto"/>
              <w:right w:val="single" w:sz="4" w:space="0" w:color="auto"/>
            </w:tcBorders>
            <w:shd w:val="clear" w:color="auto" w:fill="auto"/>
            <w:vAlign w:val="center"/>
            <w:hideMark/>
          </w:tcPr>
          <w:p w:rsidR="00891F62" w:rsidRPr="00891F62" w:rsidP="00891F62" w14:paraId="13C7E8CB" w14:textId="42D6EA7D">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Number of Existing</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Respondents that keep records but do not submit reports</w:t>
            </w:r>
          </w:p>
        </w:tc>
        <w:tc>
          <w:tcPr>
            <w:tcW w:w="2300" w:type="dxa"/>
            <w:tcBorders>
              <w:top w:val="nil"/>
              <w:left w:val="nil"/>
              <w:bottom w:val="single" w:sz="4" w:space="0" w:color="auto"/>
              <w:right w:val="single" w:sz="4" w:space="0" w:color="auto"/>
            </w:tcBorders>
            <w:shd w:val="clear" w:color="auto" w:fill="auto"/>
            <w:vAlign w:val="center"/>
            <w:hideMark/>
          </w:tcPr>
          <w:p w:rsidR="00891F62" w:rsidRPr="00891F62" w:rsidP="00891F62" w14:paraId="773A660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Number of Existing Respondents That Are Also New Respondents</w:t>
            </w:r>
          </w:p>
        </w:tc>
        <w:tc>
          <w:tcPr>
            <w:tcW w:w="2080" w:type="dxa"/>
            <w:tcBorders>
              <w:top w:val="nil"/>
              <w:left w:val="nil"/>
              <w:bottom w:val="single" w:sz="4" w:space="0" w:color="auto"/>
              <w:right w:val="single" w:sz="4" w:space="0" w:color="auto"/>
            </w:tcBorders>
            <w:shd w:val="clear" w:color="auto" w:fill="auto"/>
            <w:vAlign w:val="center"/>
            <w:hideMark/>
          </w:tcPr>
          <w:p w:rsidR="00891F62" w:rsidRPr="00891F62" w:rsidP="00891F62" w14:paraId="1668C97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Number of Respondents (E=A+B+C-D)</w:t>
            </w:r>
          </w:p>
        </w:tc>
      </w:tr>
      <w:tr w14:paraId="768225BF" w14:textId="77777777" w:rsidTr="00891F62">
        <w:tblPrEx>
          <w:tblW w:w="12300" w:type="dxa"/>
          <w:tblInd w:w="113" w:type="dxa"/>
          <w:tblLook w:val="04A0"/>
        </w:tblPrEx>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1F62" w:rsidRPr="00891F62" w:rsidP="00891F62" w14:paraId="5631843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274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4A9E11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42DD2A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c>
          <w:tcPr>
            <w:tcW w:w="208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CF8191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30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4E6F32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08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B09EAD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r>
      <w:tr w14:paraId="74373DFC" w14:textId="77777777" w:rsidTr="00891F62">
        <w:tblPrEx>
          <w:tblW w:w="12300" w:type="dxa"/>
          <w:tblInd w:w="113" w:type="dxa"/>
          <w:tblLook w:val="04A0"/>
        </w:tblPrEx>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1F62" w:rsidRPr="00891F62" w:rsidP="00891F62" w14:paraId="79EEF7B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274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FA1ED8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2229AA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c>
          <w:tcPr>
            <w:tcW w:w="208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494CCF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30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B89069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08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12CD976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r>
      <w:tr w14:paraId="5199D980" w14:textId="77777777" w:rsidTr="00891F62">
        <w:tblPrEx>
          <w:tblW w:w="12300" w:type="dxa"/>
          <w:tblInd w:w="113" w:type="dxa"/>
          <w:tblLook w:val="04A0"/>
        </w:tblPrEx>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1F62" w:rsidRPr="00891F62" w:rsidP="00891F62" w14:paraId="0651E36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c>
          <w:tcPr>
            <w:tcW w:w="274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E8D03B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2D53B0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c>
          <w:tcPr>
            <w:tcW w:w="208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94685C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30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01874EB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08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3EE4263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r>
      <w:tr w14:paraId="66F83185" w14:textId="77777777" w:rsidTr="00891F62">
        <w:tblPrEx>
          <w:tblW w:w="12300" w:type="dxa"/>
          <w:tblInd w:w="113" w:type="dxa"/>
          <w:tblLook w:val="04A0"/>
        </w:tblPrEx>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1F62" w:rsidRPr="00891F62" w:rsidP="00891F62" w14:paraId="1639F58B"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Average</w:t>
            </w:r>
          </w:p>
        </w:tc>
        <w:tc>
          <w:tcPr>
            <w:tcW w:w="274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488D9A8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7B6D2BD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c>
          <w:tcPr>
            <w:tcW w:w="208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2638B7CB"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30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68EFBFF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2080" w:type="dxa"/>
            <w:tcBorders>
              <w:top w:val="nil"/>
              <w:left w:val="nil"/>
              <w:bottom w:val="single" w:sz="4" w:space="0" w:color="auto"/>
              <w:right w:val="single" w:sz="4" w:space="0" w:color="auto"/>
            </w:tcBorders>
            <w:shd w:val="clear" w:color="auto" w:fill="auto"/>
            <w:noWrap/>
            <w:vAlign w:val="center"/>
            <w:hideMark/>
          </w:tcPr>
          <w:p w:rsidR="00891F62" w:rsidRPr="00891F62" w:rsidP="00891F62" w14:paraId="50A50D3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r>
    </w:tbl>
    <w:p w:rsidR="00DE5FD4" w:rsidP="00BB3410" w14:paraId="25C9AE64" w14:textId="77777777">
      <w:pPr>
        <w:pStyle w:val="ListParagraph"/>
        <w:spacing w:before="240"/>
        <w:ind w:left="0"/>
        <w:rPr>
          <w:rFonts w:cstheme="minorHAnsi"/>
          <w:b/>
          <w:bCs/>
          <w:sz w:val="24"/>
          <w:szCs w:val="24"/>
        </w:rPr>
      </w:pPr>
    </w:p>
    <w:tbl>
      <w:tblPr>
        <w:tblW w:w="8100" w:type="dxa"/>
        <w:tblInd w:w="113" w:type="dxa"/>
        <w:tblLook w:val="04A0"/>
      </w:tblPr>
      <w:tblGrid>
        <w:gridCol w:w="2969"/>
        <w:gridCol w:w="1239"/>
        <w:gridCol w:w="1061"/>
        <w:gridCol w:w="1346"/>
        <w:gridCol w:w="1485"/>
      </w:tblGrid>
      <w:tr w14:paraId="7F88D4B8" w14:textId="77777777" w:rsidTr="00891F62">
        <w:tblPrEx>
          <w:tblW w:w="8100" w:type="dxa"/>
          <w:tblInd w:w="113" w:type="dxa"/>
          <w:tblLook w:val="04A0"/>
        </w:tblPrEx>
        <w:trPr>
          <w:trHeight w:val="480"/>
        </w:trPr>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91F62" w:rsidRPr="00891F62" w:rsidP="00891F62" w14:paraId="44B56FA5" w14:textId="77777777">
            <w:pPr>
              <w:spacing w:after="0" w:line="240" w:lineRule="auto"/>
              <w:jc w:val="center"/>
              <w:rPr>
                <w:rFonts w:ascii="Times New Roman" w:eastAsia="Times New Roman" w:hAnsi="Times New Roman" w:cs="Times New Roman"/>
                <w:b/>
                <w:bCs/>
                <w:color w:val="000000"/>
                <w:sz w:val="24"/>
                <w:szCs w:val="24"/>
              </w:rPr>
            </w:pPr>
            <w:r w:rsidRPr="00891F62">
              <w:rPr>
                <w:rFonts w:ascii="Times New Roman" w:eastAsia="Times New Roman" w:hAnsi="Times New Roman" w:cs="Times New Roman"/>
                <w:b/>
                <w:bCs/>
                <w:color w:val="000000"/>
                <w:sz w:val="24"/>
                <w:szCs w:val="24"/>
              </w:rPr>
              <w:t>Total Annual Responses</w:t>
            </w:r>
          </w:p>
        </w:tc>
      </w:tr>
      <w:tr w14:paraId="49B403EC"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3F55977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(A)</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51A1B85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(B)</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44295C8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(C)</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01CED9F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(D)</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778BCFE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(E)</w:t>
            </w:r>
          </w:p>
        </w:tc>
      </w:tr>
      <w:tr w14:paraId="1CFDC946"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A076342"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Information Collection Activity</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28778B6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Number of Respondents</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0D2AEF1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Number of Responses</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4324146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Number of Existing Respondents That Keep Records </w:t>
            </w:r>
            <w:r w:rsidRPr="00891F62">
              <w:rPr>
                <w:rFonts w:ascii="Times New Roman" w:eastAsia="Times New Roman" w:hAnsi="Times New Roman" w:cs="Times New Roman"/>
                <w:color w:val="000000"/>
                <w:sz w:val="20"/>
                <w:szCs w:val="20"/>
              </w:rPr>
              <w:t>But</w:t>
            </w:r>
            <w:r w:rsidRPr="00891F62">
              <w:rPr>
                <w:rFonts w:ascii="Times New Roman" w:eastAsia="Times New Roman" w:hAnsi="Times New Roman" w:cs="Times New Roman"/>
                <w:color w:val="000000"/>
                <w:sz w:val="20"/>
                <w:szCs w:val="20"/>
              </w:rPr>
              <w:t xml:space="preserve"> Do Not Submit Reports</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5A30CB8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Total Annual Responses</w:t>
            </w:r>
            <w:r w:rsidRPr="00891F62">
              <w:rPr>
                <w:rFonts w:ascii="Times New Roman" w:eastAsia="Times New Roman" w:hAnsi="Times New Roman" w:cs="Times New Roman"/>
                <w:color w:val="000000"/>
                <w:sz w:val="20"/>
                <w:szCs w:val="20"/>
              </w:rPr>
              <w:br/>
              <w:t>E=(</w:t>
            </w:r>
            <w:r w:rsidRPr="00891F62">
              <w:rPr>
                <w:rFonts w:ascii="Times New Roman" w:eastAsia="Times New Roman" w:hAnsi="Times New Roman" w:cs="Times New Roman"/>
                <w:color w:val="000000"/>
                <w:sz w:val="20"/>
                <w:szCs w:val="20"/>
              </w:rPr>
              <w:t>BxC</w:t>
            </w:r>
            <w:r w:rsidRPr="00891F62">
              <w:rPr>
                <w:rFonts w:ascii="Times New Roman" w:eastAsia="Times New Roman" w:hAnsi="Times New Roman" w:cs="Times New Roman"/>
                <w:color w:val="000000"/>
                <w:sz w:val="20"/>
                <w:szCs w:val="20"/>
              </w:rPr>
              <w:t>)+D</w:t>
            </w:r>
          </w:p>
        </w:tc>
      </w:tr>
      <w:tr w14:paraId="19D1FD35"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4F1F4F3B"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Notification of compliance status</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7F2F6B3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5931F71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6CE06DB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78DEE3B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2B65DC22"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27EB9021"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Notification of storage vessel inspection</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13050C7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24</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43BC203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6</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232C1EB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6EA42D2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144</w:t>
            </w:r>
          </w:p>
        </w:tc>
      </w:tr>
      <w:tr w14:paraId="484CD0C0"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7DBAD499"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Notification of performance tests</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037AE00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1BF13C7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10AA805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780A904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391873C6"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45F12600"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Notification of alternative test method</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4F4B961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21C9736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485E079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5A563AB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2F613A9B"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7A1E4A38"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Notification of special compliance requirements</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771237A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10ED344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76FAFCA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15BA83D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18D55425"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4012222D"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Pre-compliance report</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12B5F85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6A04A28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4EDB0F9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44F2272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6919B307"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4B09D9C5"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Progress reports for affected sources receiving an extension of compliance</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53F43B9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5B9F3F0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0742300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1139951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428CE215"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9F5F04F"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Emissions averaging plans</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0B10B53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1B056A8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39D5A66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545E591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61B36BE3"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31CA1CD7"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Request for approval for a nominal control efficiency for use in calculating credits for emission averaging</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31C13C7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5D38C12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6557941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6BD83D4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1F0C21C5"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3B3ECBFE"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Updates to emissions averaging plan</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732491A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5CF4D7A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380345F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709F019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r>
      <w:tr w14:paraId="7A668482"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2F78536A"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Report of changes to the primary product for a TPPU or process unit</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3624E2F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40243FA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49AAB14D"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3460A35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r>
      <w:tr w14:paraId="740A1FAD"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49F67BDE"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Report of newly constructed/reconstructed source</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0FFACB3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2353C9F7"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6077C44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6DB280F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0FCCC612"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436E269C"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Operating permit application</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73CC04C3"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74DFA1B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424C443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02E1141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r>
      <w:tr w14:paraId="501C9269"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3DD762DA"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Report for batch process vents</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0AF82C8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6DD0D6A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7FC8044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3758435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r>
      <w:tr w14:paraId="17C0E2FE"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7329A141"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Report for PET sources using a dimethyl terephthalate process</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1F1C360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18513DF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7FC26ED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6123069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r>
      <w:tr w14:paraId="103E19CD"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5DD0E1B8"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Malfunction Reports</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31703992"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395D54D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4C8C2B1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385E2F01"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w:t>
            </w:r>
          </w:p>
        </w:tc>
      </w:tr>
      <w:tr w14:paraId="6AA335EA"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3970782F"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Semiannual reports </w:t>
            </w:r>
            <w:r w:rsidRPr="00891F62">
              <w:rPr>
                <w:rFonts w:ascii="Times New Roman" w:eastAsia="Times New Roman" w:hAnsi="Times New Roman" w:cs="Times New Roman"/>
                <w:color w:val="000000"/>
                <w:sz w:val="20"/>
                <w:szCs w:val="20"/>
                <w:vertAlign w:val="superscript"/>
              </w:rPr>
              <w:t>a</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2ABF6B1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23</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0C7BCD7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0485F0A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216CEBE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46</w:t>
            </w:r>
          </w:p>
        </w:tc>
      </w:tr>
      <w:tr w14:paraId="27F2E55A"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2583DE8"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Quarterly periodic reports for facilities using emission averaging and where a respondent did not qualify for semiannual reporting</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5E4BB65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199EDEE8"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4</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7EDA1FB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10FF29CA"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16</w:t>
            </w:r>
          </w:p>
        </w:tc>
      </w:tr>
      <w:tr w14:paraId="0E34822E" w14:textId="77777777" w:rsidTr="00891F62">
        <w:tblPrEx>
          <w:tblW w:w="8100" w:type="dxa"/>
          <w:tblInd w:w="113" w:type="dxa"/>
          <w:tblLook w:val="04A0"/>
        </w:tblPrEx>
        <w:trPr>
          <w:trHeight w:val="48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2C5585AA" w14:textId="77777777">
            <w:pPr>
              <w:spacing w:after="0" w:line="240" w:lineRule="auto"/>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Total (rounded) </w:t>
            </w:r>
            <w:r w:rsidRPr="00891F62">
              <w:rPr>
                <w:rFonts w:ascii="Times New Roman" w:eastAsia="Times New Roman" w:hAnsi="Times New Roman" w:cs="Times New Roman"/>
                <w:b/>
                <w:bCs/>
                <w:color w:val="000000"/>
                <w:sz w:val="20"/>
                <w:szCs w:val="20"/>
                <w:vertAlign w:val="superscript"/>
              </w:rPr>
              <w:t>b</w:t>
            </w:r>
          </w:p>
        </w:tc>
        <w:tc>
          <w:tcPr>
            <w:tcW w:w="272" w:type="dxa"/>
            <w:tcBorders>
              <w:top w:val="nil"/>
              <w:left w:val="nil"/>
              <w:bottom w:val="single" w:sz="4" w:space="0" w:color="auto"/>
              <w:right w:val="single" w:sz="4" w:space="0" w:color="auto"/>
            </w:tcBorders>
            <w:shd w:val="clear" w:color="auto" w:fill="auto"/>
            <w:vAlign w:val="center"/>
            <w:hideMark/>
          </w:tcPr>
          <w:p w:rsidR="00891F62" w:rsidRPr="00891F62" w:rsidP="00891F62" w14:paraId="67F587A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891F62" w:rsidRPr="00891F62" w:rsidP="00891F62" w14:paraId="5162C52C"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441" w:type="dxa"/>
            <w:tcBorders>
              <w:top w:val="nil"/>
              <w:left w:val="nil"/>
              <w:bottom w:val="single" w:sz="4" w:space="0" w:color="auto"/>
              <w:right w:val="single" w:sz="4" w:space="0" w:color="auto"/>
            </w:tcBorders>
            <w:shd w:val="clear" w:color="auto" w:fill="auto"/>
            <w:vAlign w:val="center"/>
            <w:hideMark/>
          </w:tcPr>
          <w:p w:rsidR="00891F62" w:rsidRPr="00891F62" w:rsidP="00891F62" w14:paraId="55331435"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w:t>
            </w:r>
          </w:p>
        </w:tc>
        <w:tc>
          <w:tcPr>
            <w:tcW w:w="1731" w:type="dxa"/>
            <w:tcBorders>
              <w:top w:val="nil"/>
              <w:left w:val="nil"/>
              <w:bottom w:val="single" w:sz="4" w:space="0" w:color="auto"/>
              <w:right w:val="single" w:sz="4" w:space="0" w:color="auto"/>
            </w:tcBorders>
            <w:shd w:val="clear" w:color="auto" w:fill="auto"/>
            <w:vAlign w:val="center"/>
            <w:hideMark/>
          </w:tcPr>
          <w:p w:rsidR="00891F62" w:rsidRPr="00891F62" w:rsidP="00891F62" w14:paraId="239B0C53"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218</w:t>
            </w:r>
          </w:p>
        </w:tc>
      </w:tr>
      <w:tr w14:paraId="42BFAF91" w14:textId="77777777" w:rsidTr="00891F62">
        <w:tblPrEx>
          <w:tblW w:w="8100" w:type="dxa"/>
          <w:tblInd w:w="113" w:type="dxa"/>
          <w:tblLook w:val="04A0"/>
        </w:tblPrEx>
        <w:trPr>
          <w:trHeight w:val="782"/>
        </w:trPr>
        <w:tc>
          <w:tcPr>
            <w:tcW w:w="8100" w:type="dxa"/>
            <w:gridSpan w:val="5"/>
            <w:tcBorders>
              <w:top w:val="single" w:sz="4" w:space="0" w:color="auto"/>
              <w:left w:val="nil"/>
              <w:bottom w:val="nil"/>
              <w:right w:val="nil"/>
            </w:tcBorders>
            <w:shd w:val="clear" w:color="auto" w:fill="auto"/>
            <w:hideMark/>
          </w:tcPr>
          <w:p w:rsidR="00891F62" w:rsidRPr="00891F62" w:rsidP="00891F62" w14:paraId="0F72D0C4" w14:textId="61CE3CAE">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a</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 xml:space="preserve">There are 27 affected sources (PRD) monitored at 24 facilities. For the 23 sources qualifying for semiannual reports, this information will be included in the required periodic report and is not considered a separate response. For the 4 sources required to submit quarterly reports, we assume this information will be submitted quarterly as a separate report. </w:t>
            </w:r>
          </w:p>
        </w:tc>
      </w:tr>
      <w:tr w14:paraId="1686E2B0" w14:textId="77777777" w:rsidTr="00891F62">
        <w:tblPrEx>
          <w:tblW w:w="8100" w:type="dxa"/>
          <w:tblInd w:w="113" w:type="dxa"/>
          <w:tblLook w:val="04A0"/>
        </w:tblPrEx>
        <w:trPr>
          <w:trHeight w:val="315"/>
        </w:trPr>
        <w:tc>
          <w:tcPr>
            <w:tcW w:w="8100" w:type="dxa"/>
            <w:gridSpan w:val="5"/>
            <w:tcBorders>
              <w:top w:val="nil"/>
              <w:left w:val="nil"/>
              <w:bottom w:val="nil"/>
              <w:right w:val="nil"/>
            </w:tcBorders>
            <w:shd w:val="clear" w:color="auto" w:fill="auto"/>
            <w:hideMark/>
          </w:tcPr>
          <w:p w:rsidR="00891F62" w:rsidRPr="00891F62" w:rsidP="00891F62" w14:paraId="4EBF28A3" w14:textId="1071BB35">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b</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Totals have been rounded to 3 significant figures. Figures may not add exactly due to rounding.</w:t>
            </w:r>
          </w:p>
        </w:tc>
      </w:tr>
    </w:tbl>
    <w:p w:rsidR="009D7EC1" w:rsidP="00BB3410" w14:paraId="26AF562F" w14:textId="2491B3E7">
      <w:pPr>
        <w:pStyle w:val="ListParagraph"/>
        <w:spacing w:before="240"/>
        <w:ind w:left="0"/>
        <w:rPr>
          <w:rFonts w:cstheme="minorHAnsi"/>
          <w:b/>
          <w:bCs/>
          <w:sz w:val="24"/>
          <w:szCs w:val="24"/>
        </w:rPr>
      </w:pPr>
    </w:p>
    <w:tbl>
      <w:tblPr>
        <w:tblW w:w="11780" w:type="dxa"/>
        <w:tblInd w:w="113" w:type="dxa"/>
        <w:tblLook w:val="04A0"/>
      </w:tblPr>
      <w:tblGrid>
        <w:gridCol w:w="3460"/>
        <w:gridCol w:w="1427"/>
        <w:gridCol w:w="1420"/>
        <w:gridCol w:w="1427"/>
        <w:gridCol w:w="1392"/>
        <w:gridCol w:w="1239"/>
        <w:gridCol w:w="1416"/>
      </w:tblGrid>
      <w:tr w14:paraId="33A533ED" w14:textId="77777777" w:rsidTr="00891F62">
        <w:tblPrEx>
          <w:tblW w:w="11780" w:type="dxa"/>
          <w:tblInd w:w="113" w:type="dxa"/>
          <w:tblLook w:val="04A0"/>
        </w:tblPrEx>
        <w:trPr>
          <w:trHeight w:val="315"/>
        </w:trPr>
        <w:tc>
          <w:tcPr>
            <w:tcW w:w="117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91F62" w:rsidRPr="00891F62" w:rsidP="00891F62" w14:paraId="76C661DC" w14:textId="77777777">
            <w:pPr>
              <w:spacing w:after="0" w:line="240" w:lineRule="auto"/>
              <w:jc w:val="center"/>
              <w:rPr>
                <w:rFonts w:ascii="Times New Roman" w:eastAsia="Times New Roman" w:hAnsi="Times New Roman" w:cs="Times New Roman"/>
                <w:b/>
                <w:bCs/>
                <w:color w:val="000000"/>
                <w:sz w:val="24"/>
                <w:szCs w:val="24"/>
              </w:rPr>
            </w:pPr>
            <w:r w:rsidRPr="00891F62">
              <w:rPr>
                <w:rFonts w:ascii="Times New Roman" w:eastAsia="Times New Roman" w:hAnsi="Times New Roman" w:cs="Times New Roman"/>
                <w:b/>
                <w:bCs/>
                <w:color w:val="000000"/>
                <w:sz w:val="24"/>
                <w:szCs w:val="24"/>
              </w:rPr>
              <w:t>Capital/Startup vs. Operation and Maintenance (O&amp;M) Costs</w:t>
            </w:r>
          </w:p>
        </w:tc>
      </w:tr>
      <w:tr w14:paraId="6B257DB4" w14:textId="77777777" w:rsidTr="00891F62">
        <w:tblPrEx>
          <w:tblW w:w="11780" w:type="dxa"/>
          <w:tblInd w:w="113" w:type="dxa"/>
          <w:tblLook w:val="04A0"/>
        </w:tblPrEx>
        <w:trPr>
          <w:trHeight w:val="25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63C5E07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(A)</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3940249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(B)</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6CC9ABD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(C)</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0FD36820"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(D)</w:t>
            </w:r>
          </w:p>
        </w:tc>
        <w:tc>
          <w:tcPr>
            <w:tcW w:w="1480" w:type="dxa"/>
            <w:tcBorders>
              <w:top w:val="nil"/>
              <w:left w:val="nil"/>
              <w:bottom w:val="single" w:sz="4" w:space="0" w:color="auto"/>
              <w:right w:val="single" w:sz="4" w:space="0" w:color="auto"/>
            </w:tcBorders>
            <w:shd w:val="clear" w:color="auto" w:fill="auto"/>
            <w:vAlign w:val="center"/>
            <w:hideMark/>
          </w:tcPr>
          <w:p w:rsidR="00891F62" w:rsidRPr="00891F62" w:rsidP="00891F62" w14:paraId="3C4E4C7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(E)</w:t>
            </w:r>
          </w:p>
        </w:tc>
        <w:tc>
          <w:tcPr>
            <w:tcW w:w="1160" w:type="dxa"/>
            <w:tcBorders>
              <w:top w:val="nil"/>
              <w:left w:val="nil"/>
              <w:bottom w:val="single" w:sz="4" w:space="0" w:color="auto"/>
              <w:right w:val="single" w:sz="4" w:space="0" w:color="auto"/>
            </w:tcBorders>
            <w:shd w:val="clear" w:color="auto" w:fill="auto"/>
            <w:vAlign w:val="center"/>
            <w:hideMark/>
          </w:tcPr>
          <w:p w:rsidR="00891F62" w:rsidRPr="00891F62" w:rsidP="00891F62" w14:paraId="22D978C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(F)</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0BFC5A6B"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(G)</w:t>
            </w:r>
          </w:p>
        </w:tc>
      </w:tr>
      <w:tr w14:paraId="17A8060D" w14:textId="77777777" w:rsidTr="00891F62">
        <w:tblPrEx>
          <w:tblW w:w="11780" w:type="dxa"/>
          <w:tblInd w:w="113" w:type="dxa"/>
          <w:tblLook w:val="04A0"/>
        </w:tblPrEx>
        <w:trPr>
          <w:trHeight w:val="82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854637F"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Burden</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7879B169"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Capital/Startup Cost for One Respondent</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6F9804C6"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Number of New Respondents</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35FC150B" w14:textId="6A2F9E03">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Total Capital/Startup Cost,</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(B X C)</w:t>
            </w:r>
          </w:p>
        </w:tc>
        <w:tc>
          <w:tcPr>
            <w:tcW w:w="1480" w:type="dxa"/>
            <w:tcBorders>
              <w:top w:val="nil"/>
              <w:left w:val="nil"/>
              <w:bottom w:val="single" w:sz="4" w:space="0" w:color="auto"/>
              <w:right w:val="single" w:sz="4" w:space="0" w:color="auto"/>
            </w:tcBorders>
            <w:shd w:val="clear" w:color="auto" w:fill="auto"/>
            <w:vAlign w:val="center"/>
            <w:hideMark/>
          </w:tcPr>
          <w:p w:rsidR="00891F62" w:rsidRPr="00891F62" w:rsidP="00891F62" w14:paraId="22C01D3E"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Annual O&amp;M Costs for One Respondent </w:t>
            </w:r>
            <w:r w:rsidRPr="00891F62">
              <w:rPr>
                <w:rFonts w:ascii="Times New Roman" w:eastAsia="Times New Roman" w:hAnsi="Times New Roman" w:cs="Times New Roman"/>
                <w:color w:val="000000"/>
                <w:sz w:val="20"/>
                <w:szCs w:val="20"/>
                <w:vertAlign w:val="superscript"/>
              </w:rPr>
              <w:t>a</w:t>
            </w:r>
          </w:p>
        </w:tc>
        <w:tc>
          <w:tcPr>
            <w:tcW w:w="1160" w:type="dxa"/>
            <w:tcBorders>
              <w:top w:val="nil"/>
              <w:left w:val="nil"/>
              <w:bottom w:val="single" w:sz="4" w:space="0" w:color="auto"/>
              <w:right w:val="single" w:sz="4" w:space="0" w:color="auto"/>
            </w:tcBorders>
            <w:shd w:val="clear" w:color="auto" w:fill="auto"/>
            <w:vAlign w:val="center"/>
            <w:hideMark/>
          </w:tcPr>
          <w:p w:rsidR="00891F62" w:rsidRPr="00891F62" w:rsidP="00891F62" w14:paraId="3F2E899F" w14:textId="56A2E91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Number of Respondents</w:t>
            </w:r>
            <w:r w:rsidR="00B5008A">
              <w:rPr>
                <w:rFonts w:ascii="Times New Roman" w:eastAsia="Times New Roman" w:hAnsi="Times New Roman" w:cs="Times New Roman"/>
                <w:color w:val="000000"/>
                <w:sz w:val="20"/>
                <w:szCs w:val="20"/>
              </w:rPr>
              <w:t xml:space="preserve"> </w:t>
            </w:r>
            <w:r w:rsidRPr="00891F62">
              <w:rPr>
                <w:rFonts w:ascii="Times New Roman" w:eastAsia="Times New Roman" w:hAnsi="Times New Roman" w:cs="Times New Roman"/>
                <w:color w:val="000000"/>
                <w:sz w:val="20"/>
                <w:szCs w:val="20"/>
              </w:rPr>
              <w:t>with O&amp;M</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77627824" w14:textId="77777777">
            <w:pPr>
              <w:spacing w:after="0" w:line="240" w:lineRule="auto"/>
              <w:jc w:val="center"/>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Total O&amp;M, (</w:t>
            </w:r>
            <w:r w:rsidRPr="00891F62">
              <w:rPr>
                <w:rFonts w:ascii="Times New Roman" w:eastAsia="Times New Roman" w:hAnsi="Times New Roman" w:cs="Times New Roman"/>
                <w:color w:val="000000"/>
                <w:sz w:val="20"/>
                <w:szCs w:val="20"/>
              </w:rPr>
              <w:t>ExF</w:t>
            </w:r>
            <w:r w:rsidRPr="00891F62">
              <w:rPr>
                <w:rFonts w:ascii="Times New Roman" w:eastAsia="Times New Roman" w:hAnsi="Times New Roman" w:cs="Times New Roman"/>
                <w:color w:val="000000"/>
                <w:sz w:val="20"/>
                <w:szCs w:val="20"/>
              </w:rPr>
              <w:t>)</w:t>
            </w:r>
          </w:p>
        </w:tc>
      </w:tr>
      <w:tr w14:paraId="74E2D50C" w14:textId="77777777" w:rsidTr="00891F62">
        <w:tblPrEx>
          <w:tblW w:w="11780" w:type="dxa"/>
          <w:tblInd w:w="113" w:type="dxa"/>
          <w:tblLook w:val="04A0"/>
        </w:tblPrEx>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23FCD5B3"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Electronic indicators for PRD </w:t>
            </w:r>
            <w:r w:rsidRPr="00891F62">
              <w:rPr>
                <w:rFonts w:ascii="Times New Roman" w:eastAsia="Times New Roman" w:hAnsi="Times New Roman" w:cs="Times New Roman"/>
                <w:color w:val="000000"/>
                <w:sz w:val="20"/>
                <w:szCs w:val="20"/>
                <w:vertAlign w:val="superscript"/>
              </w:rPr>
              <w:t>a</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359EF79D"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$22,063 </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2E8E15BB"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1BE47CA7"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c>
          <w:tcPr>
            <w:tcW w:w="1480" w:type="dxa"/>
            <w:tcBorders>
              <w:top w:val="nil"/>
              <w:left w:val="nil"/>
              <w:bottom w:val="single" w:sz="4" w:space="0" w:color="auto"/>
              <w:right w:val="single" w:sz="4" w:space="0" w:color="auto"/>
            </w:tcBorders>
            <w:shd w:val="clear" w:color="auto" w:fill="auto"/>
            <w:vAlign w:val="center"/>
            <w:hideMark/>
          </w:tcPr>
          <w:p w:rsidR="00891F62" w:rsidRPr="00891F62" w:rsidP="00891F62" w14:paraId="278EE4B7"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c>
          <w:tcPr>
            <w:tcW w:w="1160" w:type="dxa"/>
            <w:tcBorders>
              <w:top w:val="nil"/>
              <w:left w:val="nil"/>
              <w:bottom w:val="single" w:sz="4" w:space="0" w:color="auto"/>
              <w:right w:val="single" w:sz="4" w:space="0" w:color="auto"/>
            </w:tcBorders>
            <w:shd w:val="clear" w:color="auto" w:fill="auto"/>
            <w:vAlign w:val="center"/>
            <w:hideMark/>
          </w:tcPr>
          <w:p w:rsidR="00891F62" w:rsidRPr="00891F62" w:rsidP="00891F62" w14:paraId="2FE91659"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1C0B3451"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63611F2B" w14:textId="77777777" w:rsidTr="00891F62">
        <w:tblPrEx>
          <w:tblW w:w="11780" w:type="dxa"/>
          <w:tblInd w:w="113" w:type="dxa"/>
          <w:tblLook w:val="04A0"/>
        </w:tblPrEx>
        <w:trPr>
          <w:trHeight w:val="570"/>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3D143475"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Monitoring equipment for process vents and wastewater </w:t>
            </w:r>
            <w:r w:rsidRPr="00891F62">
              <w:rPr>
                <w:rFonts w:ascii="Times New Roman" w:eastAsia="Times New Roman" w:hAnsi="Times New Roman" w:cs="Times New Roman"/>
                <w:color w:val="000000"/>
                <w:sz w:val="20"/>
                <w:szCs w:val="20"/>
                <w:vertAlign w:val="superscript"/>
              </w:rPr>
              <w:t>b</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4B2D3329"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$34,625 </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201090C0"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368DDBF5"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c>
          <w:tcPr>
            <w:tcW w:w="1480" w:type="dxa"/>
            <w:tcBorders>
              <w:top w:val="nil"/>
              <w:left w:val="nil"/>
              <w:bottom w:val="single" w:sz="4" w:space="0" w:color="auto"/>
              <w:right w:val="single" w:sz="4" w:space="0" w:color="auto"/>
            </w:tcBorders>
            <w:shd w:val="clear" w:color="auto" w:fill="auto"/>
            <w:vAlign w:val="center"/>
            <w:hideMark/>
          </w:tcPr>
          <w:p w:rsidR="00891F62" w:rsidRPr="00891F62" w:rsidP="00891F62" w14:paraId="7B3C2768"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$380,876 </w:t>
            </w:r>
          </w:p>
        </w:tc>
        <w:tc>
          <w:tcPr>
            <w:tcW w:w="1160" w:type="dxa"/>
            <w:tcBorders>
              <w:top w:val="nil"/>
              <w:left w:val="nil"/>
              <w:bottom w:val="single" w:sz="4" w:space="0" w:color="auto"/>
              <w:right w:val="single" w:sz="4" w:space="0" w:color="auto"/>
            </w:tcBorders>
            <w:shd w:val="clear" w:color="auto" w:fill="auto"/>
            <w:vAlign w:val="center"/>
            <w:hideMark/>
          </w:tcPr>
          <w:p w:rsidR="00891F62" w:rsidRPr="00891F62" w:rsidP="00891F62" w14:paraId="4DC0C614"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27</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777BCC7F"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$10,283,644 </w:t>
            </w:r>
          </w:p>
        </w:tc>
      </w:tr>
      <w:tr w14:paraId="0366DAD4" w14:textId="77777777" w:rsidTr="00891F62">
        <w:tblPrEx>
          <w:tblW w:w="11780" w:type="dxa"/>
          <w:tblInd w:w="113" w:type="dxa"/>
          <w:tblLook w:val="04A0"/>
        </w:tblPrEx>
        <w:trPr>
          <w:trHeight w:val="462"/>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FF5985A"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Monitoring equipment for equipment leaks </w:t>
            </w:r>
            <w:r w:rsidRPr="00891F62">
              <w:rPr>
                <w:rFonts w:ascii="Times New Roman" w:eastAsia="Times New Roman" w:hAnsi="Times New Roman" w:cs="Times New Roman"/>
                <w:color w:val="000000"/>
                <w:sz w:val="20"/>
                <w:szCs w:val="20"/>
                <w:vertAlign w:val="superscript"/>
              </w:rPr>
              <w:t>b</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2BE28578"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$1,939 </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2C271F17"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73E08EAB"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c>
          <w:tcPr>
            <w:tcW w:w="1480" w:type="dxa"/>
            <w:tcBorders>
              <w:top w:val="nil"/>
              <w:left w:val="nil"/>
              <w:bottom w:val="single" w:sz="4" w:space="0" w:color="auto"/>
              <w:right w:val="single" w:sz="4" w:space="0" w:color="auto"/>
            </w:tcBorders>
            <w:shd w:val="clear" w:color="auto" w:fill="auto"/>
            <w:vAlign w:val="center"/>
            <w:hideMark/>
          </w:tcPr>
          <w:p w:rsidR="00891F62" w:rsidRPr="00891F62" w:rsidP="00891F62" w14:paraId="08CE23BF"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c>
          <w:tcPr>
            <w:tcW w:w="1160" w:type="dxa"/>
            <w:tcBorders>
              <w:top w:val="nil"/>
              <w:left w:val="nil"/>
              <w:bottom w:val="single" w:sz="4" w:space="0" w:color="auto"/>
              <w:right w:val="single" w:sz="4" w:space="0" w:color="auto"/>
            </w:tcBorders>
            <w:shd w:val="clear" w:color="auto" w:fill="auto"/>
            <w:vAlign w:val="center"/>
            <w:hideMark/>
          </w:tcPr>
          <w:p w:rsidR="00891F62" w:rsidRPr="00891F62" w:rsidP="00891F62" w14:paraId="673DFFF8"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5091C607" w14:textId="77777777">
            <w:pPr>
              <w:spacing w:after="0" w:line="240" w:lineRule="auto"/>
              <w:jc w:val="right"/>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 xml:space="preserve">$0 </w:t>
            </w:r>
          </w:p>
        </w:tc>
      </w:tr>
      <w:tr w14:paraId="29C2F2C4" w14:textId="77777777" w:rsidTr="00891F62">
        <w:tblPrEx>
          <w:tblW w:w="11780" w:type="dxa"/>
          <w:tblInd w:w="113" w:type="dxa"/>
          <w:tblLook w:val="04A0"/>
        </w:tblPrEx>
        <w:trPr>
          <w:trHeight w:val="315"/>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891F62" w:rsidRPr="00891F62" w:rsidP="00891F62" w14:paraId="1BE5BA27" w14:textId="2182C6F3">
            <w:pPr>
              <w:spacing w:after="0" w:line="240" w:lineRule="auto"/>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Total (rounded) </w:t>
            </w:r>
            <w:r w:rsidRPr="00891F62">
              <w:rPr>
                <w:rFonts w:ascii="Times New Roman" w:eastAsia="Times New Roman" w:hAnsi="Times New Roman" w:cs="Times New Roman"/>
                <w:b/>
                <w:bCs/>
                <w:color w:val="000000"/>
                <w:sz w:val="20"/>
                <w:szCs w:val="20"/>
                <w:vertAlign w:val="superscript"/>
              </w:rPr>
              <w:t>c</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57233A6A"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7D84E2F3"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6E037A70"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$0 </w:t>
            </w:r>
          </w:p>
        </w:tc>
        <w:tc>
          <w:tcPr>
            <w:tcW w:w="1480" w:type="dxa"/>
            <w:tcBorders>
              <w:top w:val="nil"/>
              <w:left w:val="nil"/>
              <w:bottom w:val="single" w:sz="4" w:space="0" w:color="auto"/>
              <w:right w:val="single" w:sz="4" w:space="0" w:color="auto"/>
            </w:tcBorders>
            <w:shd w:val="clear" w:color="auto" w:fill="auto"/>
            <w:vAlign w:val="center"/>
            <w:hideMark/>
          </w:tcPr>
          <w:p w:rsidR="00891F62" w:rsidRPr="00891F62" w:rsidP="00891F62" w14:paraId="167D05C3"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1F62" w:rsidRPr="00891F62" w:rsidP="00891F62" w14:paraId="5552D30B" w14:textId="77777777">
            <w:pPr>
              <w:spacing w:after="0" w:line="240" w:lineRule="auto"/>
              <w:jc w:val="center"/>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891F62" w:rsidRPr="00891F62" w:rsidP="00891F62" w14:paraId="65773897" w14:textId="77777777">
            <w:pPr>
              <w:spacing w:after="0" w:line="240" w:lineRule="auto"/>
              <w:jc w:val="right"/>
              <w:rPr>
                <w:rFonts w:ascii="Times New Roman" w:eastAsia="Times New Roman" w:hAnsi="Times New Roman" w:cs="Times New Roman"/>
                <w:b/>
                <w:bCs/>
                <w:color w:val="000000"/>
                <w:sz w:val="20"/>
                <w:szCs w:val="20"/>
              </w:rPr>
            </w:pPr>
            <w:r w:rsidRPr="00891F62">
              <w:rPr>
                <w:rFonts w:ascii="Times New Roman" w:eastAsia="Times New Roman" w:hAnsi="Times New Roman" w:cs="Times New Roman"/>
                <w:b/>
                <w:bCs/>
                <w:color w:val="000000"/>
                <w:sz w:val="20"/>
                <w:szCs w:val="20"/>
              </w:rPr>
              <w:t xml:space="preserve">$10,300,000 </w:t>
            </w:r>
          </w:p>
        </w:tc>
      </w:tr>
      <w:tr w14:paraId="7FE06DD5" w14:textId="77777777" w:rsidTr="00891F62">
        <w:tblPrEx>
          <w:tblW w:w="11780" w:type="dxa"/>
          <w:tblInd w:w="113" w:type="dxa"/>
          <w:tblLook w:val="04A0"/>
        </w:tblPrEx>
        <w:trPr>
          <w:trHeight w:val="1169"/>
        </w:trPr>
        <w:tc>
          <w:tcPr>
            <w:tcW w:w="11780" w:type="dxa"/>
            <w:gridSpan w:val="7"/>
            <w:tcBorders>
              <w:top w:val="single" w:sz="4" w:space="0" w:color="auto"/>
              <w:left w:val="nil"/>
              <w:bottom w:val="nil"/>
              <w:right w:val="nil"/>
            </w:tcBorders>
            <w:shd w:val="clear" w:color="auto" w:fill="auto"/>
            <w:hideMark/>
          </w:tcPr>
          <w:p w:rsidR="00891F62" w:rsidRPr="00891F62" w:rsidP="00891F62" w14:paraId="36E810FC" w14:textId="6E1E7531">
            <w:pPr>
              <w:spacing w:after="0" w:line="240" w:lineRule="auto"/>
              <w:rPr>
                <w:rFonts w:ascii="Times New Roman" w:eastAsia="Times New Roman" w:hAnsi="Times New Roman" w:cs="Times New Roman"/>
                <w:sz w:val="20"/>
                <w:szCs w:val="20"/>
              </w:rPr>
            </w:pPr>
            <w:r w:rsidRPr="00891F62">
              <w:rPr>
                <w:rFonts w:ascii="Times New Roman" w:eastAsia="Times New Roman" w:hAnsi="Times New Roman" w:cs="Times New Roman"/>
                <w:sz w:val="20"/>
                <w:szCs w:val="20"/>
                <w:vertAlign w:val="superscript"/>
              </w:rPr>
              <w:t>a</w:t>
            </w:r>
            <w:r w:rsidRPr="00891F62">
              <w:rPr>
                <w:rFonts w:ascii="Times New Roman" w:eastAsia="Times New Roman" w:hAnsi="Times New Roman" w:cs="Times New Roman"/>
                <w:sz w:val="20"/>
                <w:szCs w:val="20"/>
              </w:rPr>
              <w:t xml:space="preserve"> </w:t>
            </w:r>
            <w:r w:rsidRPr="00891F62">
              <w:rPr>
                <w:rFonts w:ascii="Times New Roman" w:eastAsia="Times New Roman" w:hAnsi="Times New Roman" w:cs="Times New Roman"/>
                <w:sz w:val="20"/>
                <w:szCs w:val="20"/>
              </w:rPr>
              <w:t>Based on</w:t>
            </w:r>
            <w:r w:rsidRPr="00891F62">
              <w:rPr>
                <w:rFonts w:ascii="Times New Roman" w:eastAsia="Times New Roman" w:hAnsi="Times New Roman" w:cs="Times New Roman"/>
                <w:sz w:val="20"/>
                <w:szCs w:val="20"/>
              </w:rPr>
              <w:t xml:space="preserve"> costs from the 2014 final rule, the total capital cost for the electronic indicators for PRDs across all facilities is estimated to be $3,814,120 (see ICR No. 2457.02). This cost has been annualized by multiplying the capital recovery factor by the capital cost. The capital recovery factor is based on an interest rate of 7 percent and an assumed equipment life of 10 years. (Capital cost per monitoring system = $3,814,120 x 0.142 / 34 monitoring system = $15,930/monitoring system. Costs have been adjusted from 2014 dollars to 2023 dollars using the CEPCI CE index. The operation and maintenance (O&amp;M) costs expected from operating the electronic indicators is assumed to be minimal.</w:t>
            </w:r>
          </w:p>
        </w:tc>
      </w:tr>
      <w:tr w14:paraId="0F5001F4" w14:textId="77777777" w:rsidTr="00891F62">
        <w:tblPrEx>
          <w:tblW w:w="11780" w:type="dxa"/>
          <w:tblInd w:w="113" w:type="dxa"/>
          <w:tblLook w:val="04A0"/>
        </w:tblPrEx>
        <w:trPr>
          <w:trHeight w:val="423"/>
        </w:trPr>
        <w:tc>
          <w:tcPr>
            <w:tcW w:w="11780" w:type="dxa"/>
            <w:gridSpan w:val="7"/>
            <w:tcBorders>
              <w:top w:val="nil"/>
              <w:left w:val="nil"/>
              <w:bottom w:val="nil"/>
              <w:right w:val="nil"/>
            </w:tcBorders>
            <w:shd w:val="clear" w:color="auto" w:fill="auto"/>
            <w:hideMark/>
          </w:tcPr>
          <w:p w:rsidR="00891F62" w:rsidRPr="00891F62" w:rsidP="00891F62" w14:paraId="5FE27FDC" w14:textId="31170C5B">
            <w:pPr>
              <w:spacing w:after="0" w:line="240" w:lineRule="auto"/>
              <w:rPr>
                <w:rFonts w:ascii="Times New Roman" w:eastAsia="Times New Roman" w:hAnsi="Times New Roman" w:cs="Times New Roman"/>
                <w:sz w:val="20"/>
                <w:szCs w:val="20"/>
              </w:rPr>
            </w:pPr>
            <w:r w:rsidRPr="00891F62">
              <w:rPr>
                <w:rFonts w:ascii="Times New Roman" w:eastAsia="Times New Roman" w:hAnsi="Times New Roman" w:cs="Times New Roman"/>
                <w:sz w:val="20"/>
                <w:szCs w:val="20"/>
                <w:vertAlign w:val="superscript"/>
              </w:rPr>
              <w:t>b</w:t>
            </w:r>
            <w:r w:rsidRPr="00891F62">
              <w:rPr>
                <w:rFonts w:ascii="Times New Roman" w:eastAsia="Times New Roman" w:hAnsi="Times New Roman" w:cs="Times New Roman"/>
                <w:sz w:val="20"/>
                <w:szCs w:val="20"/>
              </w:rPr>
              <w:t xml:space="preserve"> Capital and O&amp;M costs for process vents, wastewater, and equipment leaks are based on estimates for similar requirements in the HON (Subparts F, G, H and I). The HON uses the following assumptions:</w:t>
            </w:r>
          </w:p>
        </w:tc>
      </w:tr>
      <w:tr w14:paraId="20357DBD" w14:textId="77777777" w:rsidTr="00891F62">
        <w:tblPrEx>
          <w:tblW w:w="11780" w:type="dxa"/>
          <w:tblInd w:w="113" w:type="dxa"/>
          <w:tblLook w:val="04A0"/>
        </w:tblPrEx>
        <w:trPr>
          <w:trHeight w:val="255"/>
        </w:trPr>
        <w:tc>
          <w:tcPr>
            <w:tcW w:w="11780" w:type="dxa"/>
            <w:gridSpan w:val="7"/>
            <w:tcBorders>
              <w:top w:val="nil"/>
              <w:left w:val="nil"/>
              <w:bottom w:val="nil"/>
              <w:right w:val="nil"/>
            </w:tcBorders>
            <w:shd w:val="clear" w:color="auto" w:fill="auto"/>
            <w:hideMark/>
          </w:tcPr>
          <w:p w:rsidR="00891F62" w:rsidRPr="00891F62" w:rsidP="00891F62" w14:paraId="0B6797C1" w14:textId="77777777">
            <w:pPr>
              <w:spacing w:after="0" w:line="240" w:lineRule="auto"/>
              <w:rPr>
                <w:rFonts w:ascii="Times New Roman" w:eastAsia="Times New Roman" w:hAnsi="Times New Roman" w:cs="Times New Roman"/>
                <w:sz w:val="20"/>
                <w:szCs w:val="20"/>
              </w:rPr>
            </w:pPr>
            <w:r w:rsidRPr="00891F62">
              <w:rPr>
                <w:rFonts w:ascii="Times New Roman" w:eastAsia="Times New Roman" w:hAnsi="Times New Roman" w:cs="Times New Roman"/>
                <w:sz w:val="20"/>
                <w:szCs w:val="20"/>
              </w:rPr>
              <w:t>1. Subpart G</w:t>
            </w:r>
          </w:p>
        </w:tc>
      </w:tr>
      <w:tr w14:paraId="1C89A7D8" w14:textId="77777777" w:rsidTr="00891F62">
        <w:tblPrEx>
          <w:tblW w:w="11780" w:type="dxa"/>
          <w:tblInd w:w="113" w:type="dxa"/>
          <w:tblLook w:val="04A0"/>
        </w:tblPrEx>
        <w:trPr>
          <w:trHeight w:val="780"/>
        </w:trPr>
        <w:tc>
          <w:tcPr>
            <w:tcW w:w="11780" w:type="dxa"/>
            <w:gridSpan w:val="7"/>
            <w:tcBorders>
              <w:top w:val="nil"/>
              <w:left w:val="nil"/>
              <w:bottom w:val="nil"/>
              <w:right w:val="nil"/>
            </w:tcBorders>
            <w:shd w:val="clear" w:color="auto" w:fill="auto"/>
            <w:hideMark/>
          </w:tcPr>
          <w:p w:rsidR="00891F62" w:rsidRPr="00891F62" w:rsidP="00891F62" w14:paraId="3F257F19" w14:textId="7FD989F3">
            <w:pPr>
              <w:spacing w:after="0" w:line="240" w:lineRule="auto"/>
              <w:rPr>
                <w:rFonts w:ascii="Times New Roman" w:eastAsia="Times New Roman" w:hAnsi="Times New Roman" w:cs="Times New Roman"/>
                <w:sz w:val="20"/>
                <w:szCs w:val="20"/>
              </w:rPr>
            </w:pPr>
            <w:r w:rsidRPr="00891F62">
              <w:rPr>
                <w:rFonts w:ascii="Times New Roman" w:eastAsia="Times New Roman" w:hAnsi="Times New Roman" w:cs="Times New Roman"/>
                <w:sz w:val="20"/>
                <w:szCs w:val="20"/>
              </w:rPr>
              <w:t>-</w:t>
            </w:r>
            <w:r w:rsidRPr="00891F62">
              <w:rPr>
                <w:rFonts w:ascii="Times New Roman" w:eastAsia="Times New Roman" w:hAnsi="Times New Roman" w:cs="Times New Roman"/>
                <w:i/>
                <w:iCs/>
                <w:sz w:val="20"/>
                <w:szCs w:val="20"/>
              </w:rPr>
              <w:t>Total Capital/Startup Cost of Monitoring Equipment:</w:t>
            </w:r>
            <w:r w:rsidRPr="00891F62">
              <w:rPr>
                <w:rFonts w:ascii="Times New Roman" w:eastAsia="Times New Roman" w:hAnsi="Times New Roman" w:cs="Times New Roman"/>
                <w:sz w:val="20"/>
                <w:szCs w:val="20"/>
              </w:rPr>
              <w:t xml:space="preserve"> The cost to purchase monitoring equipment is approximately $20-30K for process vents and wastewater operations, or an average of $25K with a 10-year life expectancy and a 7 percent depreciation rate, or $2,225 per year. Costs have been adjusted from 2014 dollars to 2023 dollars using the CEPCI CE index. There are no associated costs for transfer racks and storage tanks.</w:t>
            </w:r>
            <w:r w:rsidR="00B5008A">
              <w:rPr>
                <w:rFonts w:ascii="Times New Roman" w:eastAsia="Times New Roman" w:hAnsi="Times New Roman" w:cs="Times New Roman"/>
                <w:sz w:val="20"/>
                <w:szCs w:val="20"/>
              </w:rPr>
              <w:t xml:space="preserve"> </w:t>
            </w:r>
            <w:r w:rsidRPr="00891F62">
              <w:rPr>
                <w:rFonts w:ascii="Times New Roman" w:eastAsia="Times New Roman" w:hAnsi="Times New Roman" w:cs="Times New Roman"/>
                <w:sz w:val="20"/>
                <w:szCs w:val="20"/>
              </w:rPr>
              <w:t>Only new sources need to buy monitoring equipment.</w:t>
            </w:r>
          </w:p>
        </w:tc>
      </w:tr>
      <w:tr w14:paraId="4D137A79" w14:textId="77777777" w:rsidTr="00891F62">
        <w:tblPrEx>
          <w:tblW w:w="11780" w:type="dxa"/>
          <w:tblInd w:w="113" w:type="dxa"/>
          <w:tblLook w:val="04A0"/>
        </w:tblPrEx>
        <w:trPr>
          <w:trHeight w:val="1332"/>
        </w:trPr>
        <w:tc>
          <w:tcPr>
            <w:tcW w:w="11780" w:type="dxa"/>
            <w:gridSpan w:val="7"/>
            <w:tcBorders>
              <w:top w:val="nil"/>
              <w:left w:val="nil"/>
              <w:bottom w:val="nil"/>
              <w:right w:val="nil"/>
            </w:tcBorders>
            <w:shd w:val="clear" w:color="auto" w:fill="auto"/>
            <w:hideMark/>
          </w:tcPr>
          <w:p w:rsidR="00891F62" w:rsidRPr="00891F62" w:rsidP="00891F62" w14:paraId="67F8C110" w14:textId="7C67DAA5">
            <w:pPr>
              <w:spacing w:after="0" w:line="240" w:lineRule="auto"/>
              <w:rPr>
                <w:rFonts w:ascii="Times New Roman" w:eastAsia="Times New Roman" w:hAnsi="Times New Roman" w:cs="Times New Roman"/>
                <w:sz w:val="20"/>
                <w:szCs w:val="20"/>
              </w:rPr>
            </w:pPr>
            <w:r w:rsidRPr="00891F62">
              <w:rPr>
                <w:rFonts w:ascii="Times New Roman" w:eastAsia="Times New Roman" w:hAnsi="Times New Roman" w:cs="Times New Roman"/>
                <w:sz w:val="20"/>
                <w:szCs w:val="20"/>
              </w:rPr>
              <w:t>-</w:t>
            </w:r>
            <w:r w:rsidRPr="00891F62">
              <w:rPr>
                <w:rFonts w:ascii="Times New Roman" w:eastAsia="Times New Roman" w:hAnsi="Times New Roman" w:cs="Times New Roman"/>
                <w:i/>
                <w:iCs/>
                <w:sz w:val="20"/>
                <w:szCs w:val="20"/>
              </w:rPr>
              <w:t xml:space="preserve">Total Cost of Operation and Maintenance of Monitoring Equipment: </w:t>
            </w:r>
            <w:r w:rsidRPr="00891F62">
              <w:rPr>
                <w:rFonts w:ascii="Times New Roman" w:eastAsia="Times New Roman" w:hAnsi="Times New Roman" w:cs="Times New Roman"/>
                <w:sz w:val="20"/>
                <w:szCs w:val="20"/>
              </w:rPr>
              <w:t>The cost to industry associated with the operation and maintenance (O&amp;M) is approximately $100-500K per year (capital/startup depreciation not included) for reactor process vents and wastewater operations.</w:t>
            </w:r>
            <w:r w:rsidR="00B5008A">
              <w:rPr>
                <w:rFonts w:ascii="Times New Roman" w:eastAsia="Times New Roman" w:hAnsi="Times New Roman" w:cs="Times New Roman"/>
                <w:sz w:val="20"/>
                <w:szCs w:val="20"/>
              </w:rPr>
              <w:t xml:space="preserve"> </w:t>
            </w:r>
            <w:r w:rsidRPr="00891F62">
              <w:rPr>
                <w:rFonts w:ascii="Times New Roman" w:eastAsia="Times New Roman" w:hAnsi="Times New Roman" w:cs="Times New Roman"/>
                <w:sz w:val="20"/>
                <w:szCs w:val="20"/>
              </w:rPr>
              <w:t>The cost associated with the operation and maintenance is $50-100K per year (capital/startup depreciation not included) for distillation unit process vents.</w:t>
            </w:r>
            <w:r w:rsidR="00B5008A">
              <w:rPr>
                <w:rFonts w:ascii="Times New Roman" w:eastAsia="Times New Roman" w:hAnsi="Times New Roman" w:cs="Times New Roman"/>
                <w:sz w:val="20"/>
                <w:szCs w:val="20"/>
              </w:rPr>
              <w:t xml:space="preserve"> </w:t>
            </w:r>
            <w:r w:rsidRPr="00891F62">
              <w:rPr>
                <w:rFonts w:ascii="Times New Roman" w:eastAsia="Times New Roman" w:hAnsi="Times New Roman" w:cs="Times New Roman"/>
                <w:sz w:val="20"/>
                <w:szCs w:val="20"/>
              </w:rPr>
              <w:t>There are no associated costs for transfer racks and storage tanks.</w:t>
            </w:r>
            <w:r w:rsidR="00B5008A">
              <w:rPr>
                <w:rFonts w:ascii="Times New Roman" w:eastAsia="Times New Roman" w:hAnsi="Times New Roman" w:cs="Times New Roman"/>
                <w:sz w:val="20"/>
                <w:szCs w:val="20"/>
              </w:rPr>
              <w:t xml:space="preserve"> </w:t>
            </w:r>
            <w:r w:rsidRPr="00891F62">
              <w:rPr>
                <w:rFonts w:ascii="Times New Roman" w:eastAsia="Times New Roman" w:hAnsi="Times New Roman" w:cs="Times New Roman"/>
                <w:sz w:val="20"/>
                <w:szCs w:val="20"/>
              </w:rPr>
              <w:t>The average O&amp;M cost is assumed to be the average of the two ranges, or $275,000 per year. Costs have been adjusted from 2014 dollars to 2023 dollars using the CEPCI CE index. Operation and maintenance incur for both new and existing sources.</w:t>
            </w:r>
          </w:p>
        </w:tc>
      </w:tr>
      <w:tr w14:paraId="7A81377A" w14:textId="77777777" w:rsidTr="00891F62">
        <w:tblPrEx>
          <w:tblW w:w="11780" w:type="dxa"/>
          <w:tblInd w:w="113" w:type="dxa"/>
          <w:tblLook w:val="04A0"/>
        </w:tblPrEx>
        <w:trPr>
          <w:trHeight w:val="255"/>
        </w:trPr>
        <w:tc>
          <w:tcPr>
            <w:tcW w:w="11780" w:type="dxa"/>
            <w:gridSpan w:val="7"/>
            <w:tcBorders>
              <w:top w:val="nil"/>
              <w:left w:val="nil"/>
              <w:bottom w:val="nil"/>
              <w:right w:val="nil"/>
            </w:tcBorders>
            <w:shd w:val="clear" w:color="auto" w:fill="auto"/>
            <w:hideMark/>
          </w:tcPr>
          <w:p w:rsidR="00891F62" w:rsidRPr="00891F62" w:rsidP="00891F62" w14:paraId="7F4E50DD" w14:textId="77777777">
            <w:pPr>
              <w:spacing w:after="0" w:line="240" w:lineRule="auto"/>
              <w:rPr>
                <w:rFonts w:ascii="Times New Roman" w:eastAsia="Times New Roman" w:hAnsi="Times New Roman" w:cs="Times New Roman"/>
                <w:sz w:val="20"/>
                <w:szCs w:val="20"/>
              </w:rPr>
            </w:pPr>
            <w:r w:rsidRPr="00891F62">
              <w:rPr>
                <w:rFonts w:ascii="Times New Roman" w:eastAsia="Times New Roman" w:hAnsi="Times New Roman" w:cs="Times New Roman"/>
                <w:sz w:val="20"/>
                <w:szCs w:val="20"/>
              </w:rPr>
              <w:t>2. Subpart H</w:t>
            </w:r>
          </w:p>
        </w:tc>
      </w:tr>
      <w:tr w14:paraId="35DBD8D8" w14:textId="77777777" w:rsidTr="00891F62">
        <w:tblPrEx>
          <w:tblW w:w="11780" w:type="dxa"/>
          <w:tblInd w:w="113" w:type="dxa"/>
          <w:tblLook w:val="04A0"/>
        </w:tblPrEx>
        <w:trPr>
          <w:trHeight w:val="738"/>
        </w:trPr>
        <w:tc>
          <w:tcPr>
            <w:tcW w:w="11780" w:type="dxa"/>
            <w:gridSpan w:val="7"/>
            <w:tcBorders>
              <w:top w:val="nil"/>
              <w:left w:val="nil"/>
              <w:bottom w:val="nil"/>
              <w:right w:val="nil"/>
            </w:tcBorders>
            <w:shd w:val="clear" w:color="auto" w:fill="auto"/>
            <w:hideMark/>
          </w:tcPr>
          <w:p w:rsidR="00891F62" w:rsidRPr="00891F62" w:rsidP="00891F62" w14:paraId="4A3A33A3" w14:textId="2295C1DF">
            <w:pPr>
              <w:spacing w:after="0" w:line="240" w:lineRule="auto"/>
              <w:rPr>
                <w:rFonts w:ascii="Times New Roman" w:eastAsia="Times New Roman" w:hAnsi="Times New Roman" w:cs="Times New Roman"/>
                <w:sz w:val="20"/>
                <w:szCs w:val="20"/>
              </w:rPr>
            </w:pPr>
            <w:r w:rsidRPr="00891F62">
              <w:rPr>
                <w:rFonts w:ascii="Times New Roman" w:eastAsia="Times New Roman" w:hAnsi="Times New Roman" w:cs="Times New Roman"/>
                <w:sz w:val="20"/>
                <w:szCs w:val="20"/>
              </w:rPr>
              <w:t>-</w:t>
            </w:r>
            <w:r w:rsidRPr="00891F62">
              <w:rPr>
                <w:rFonts w:ascii="Times New Roman" w:eastAsia="Times New Roman" w:hAnsi="Times New Roman" w:cs="Times New Roman"/>
                <w:i/>
                <w:iCs/>
                <w:sz w:val="20"/>
                <w:szCs w:val="20"/>
              </w:rPr>
              <w:t>Total Capital/Startup Cost of Monitoring Equipment:</w:t>
            </w:r>
            <w:r w:rsidRPr="00891F62">
              <w:rPr>
                <w:rFonts w:ascii="Times New Roman" w:eastAsia="Times New Roman" w:hAnsi="Times New Roman" w:cs="Times New Roman"/>
                <w:sz w:val="20"/>
                <w:szCs w:val="20"/>
              </w:rPr>
              <w:t xml:space="preserve"> Only new sources will buy an organic volatile analyzer.</w:t>
            </w:r>
            <w:r w:rsidR="00B5008A">
              <w:rPr>
                <w:rFonts w:ascii="Times New Roman" w:eastAsia="Times New Roman" w:hAnsi="Times New Roman" w:cs="Times New Roman"/>
                <w:sz w:val="20"/>
                <w:szCs w:val="20"/>
              </w:rPr>
              <w:t xml:space="preserve"> </w:t>
            </w:r>
            <w:r w:rsidRPr="00891F62">
              <w:rPr>
                <w:rFonts w:ascii="Times New Roman" w:eastAsia="Times New Roman" w:hAnsi="Times New Roman" w:cs="Times New Roman"/>
                <w:sz w:val="20"/>
                <w:szCs w:val="20"/>
              </w:rPr>
              <w:t>Estimate the average cost of a monitor is $7,000 with a 5-year expected life. The equipment is not capitalized, so no discount rate applies.</w:t>
            </w:r>
            <w:r w:rsidR="00B5008A">
              <w:rPr>
                <w:rFonts w:ascii="Times New Roman" w:eastAsia="Times New Roman" w:hAnsi="Times New Roman" w:cs="Times New Roman"/>
                <w:sz w:val="20"/>
                <w:szCs w:val="20"/>
              </w:rPr>
              <w:t xml:space="preserve"> </w:t>
            </w:r>
            <w:r w:rsidRPr="00891F62">
              <w:rPr>
                <w:rFonts w:ascii="Times New Roman" w:eastAsia="Times New Roman" w:hAnsi="Times New Roman" w:cs="Times New Roman"/>
                <w:sz w:val="20"/>
                <w:szCs w:val="20"/>
              </w:rPr>
              <w:t>The average annual cost is, therefore, $7,000/5, or $1,400/yr.</w:t>
            </w:r>
            <w:r w:rsidR="00B5008A">
              <w:rPr>
                <w:rFonts w:ascii="Times New Roman" w:eastAsia="Times New Roman" w:hAnsi="Times New Roman" w:cs="Times New Roman"/>
                <w:sz w:val="20"/>
                <w:szCs w:val="20"/>
              </w:rPr>
              <w:t xml:space="preserve"> </w:t>
            </w:r>
            <w:r w:rsidRPr="00891F62">
              <w:rPr>
                <w:rFonts w:ascii="Times New Roman" w:eastAsia="Times New Roman" w:hAnsi="Times New Roman" w:cs="Times New Roman"/>
                <w:sz w:val="20"/>
                <w:szCs w:val="20"/>
              </w:rPr>
              <w:t>Costs have been adjusted from 2014 dollars to 2023 dollars using the CEPCI CE index.</w:t>
            </w:r>
          </w:p>
        </w:tc>
      </w:tr>
      <w:tr w14:paraId="70973C1E" w14:textId="77777777" w:rsidTr="00891F62">
        <w:tblPrEx>
          <w:tblW w:w="11780" w:type="dxa"/>
          <w:tblInd w:w="113" w:type="dxa"/>
          <w:tblLook w:val="04A0"/>
        </w:tblPrEx>
        <w:trPr>
          <w:trHeight w:val="450"/>
        </w:trPr>
        <w:tc>
          <w:tcPr>
            <w:tcW w:w="11780" w:type="dxa"/>
            <w:gridSpan w:val="7"/>
            <w:tcBorders>
              <w:top w:val="nil"/>
              <w:left w:val="nil"/>
              <w:bottom w:val="nil"/>
              <w:right w:val="nil"/>
            </w:tcBorders>
            <w:shd w:val="clear" w:color="auto" w:fill="auto"/>
            <w:hideMark/>
          </w:tcPr>
          <w:p w:rsidR="00891F62" w:rsidRPr="00891F62" w:rsidP="00891F62" w14:paraId="4E1AAE22" w14:textId="09E19686">
            <w:pPr>
              <w:spacing w:after="0" w:line="240" w:lineRule="auto"/>
              <w:rPr>
                <w:rFonts w:ascii="Times New Roman" w:eastAsia="Times New Roman" w:hAnsi="Times New Roman" w:cs="Times New Roman"/>
                <w:sz w:val="20"/>
                <w:szCs w:val="20"/>
              </w:rPr>
            </w:pPr>
            <w:r w:rsidRPr="00891F62">
              <w:rPr>
                <w:rFonts w:ascii="Times New Roman" w:eastAsia="Times New Roman" w:hAnsi="Times New Roman" w:cs="Times New Roman"/>
                <w:sz w:val="20"/>
                <w:szCs w:val="20"/>
              </w:rPr>
              <w:t>-</w:t>
            </w:r>
            <w:r w:rsidRPr="00891F62">
              <w:rPr>
                <w:rFonts w:ascii="Times New Roman" w:eastAsia="Times New Roman" w:hAnsi="Times New Roman" w:cs="Times New Roman"/>
                <w:i/>
                <w:iCs/>
                <w:sz w:val="20"/>
                <w:szCs w:val="20"/>
              </w:rPr>
              <w:t>Total Cost of Operation and Maintenance of Monitoring Equipment:</w:t>
            </w:r>
            <w:r w:rsidRPr="00891F62">
              <w:rPr>
                <w:rFonts w:ascii="Times New Roman" w:eastAsia="Times New Roman" w:hAnsi="Times New Roman" w:cs="Times New Roman"/>
                <w:sz w:val="20"/>
                <w:szCs w:val="20"/>
              </w:rPr>
              <w:t xml:space="preserve"> The operation of the monitors is included in the monitoring equipment costs.</w:t>
            </w:r>
            <w:r w:rsidR="00B5008A">
              <w:rPr>
                <w:rFonts w:ascii="Times New Roman" w:eastAsia="Times New Roman" w:hAnsi="Times New Roman" w:cs="Times New Roman"/>
                <w:sz w:val="20"/>
                <w:szCs w:val="20"/>
              </w:rPr>
              <w:t xml:space="preserve"> </w:t>
            </w:r>
            <w:r w:rsidRPr="00891F62">
              <w:rPr>
                <w:rFonts w:ascii="Times New Roman" w:eastAsia="Times New Roman" w:hAnsi="Times New Roman" w:cs="Times New Roman"/>
                <w:sz w:val="20"/>
                <w:szCs w:val="20"/>
              </w:rPr>
              <w:t>Maintenance costs on these units is incidental; therefore, no maintenance or operation costs are incurred.</w:t>
            </w:r>
          </w:p>
        </w:tc>
      </w:tr>
      <w:tr w14:paraId="5BE84F43" w14:textId="77777777" w:rsidTr="00891F62">
        <w:tblPrEx>
          <w:tblW w:w="11780" w:type="dxa"/>
          <w:tblInd w:w="113" w:type="dxa"/>
          <w:tblLook w:val="04A0"/>
        </w:tblPrEx>
        <w:trPr>
          <w:trHeight w:val="207"/>
        </w:trPr>
        <w:tc>
          <w:tcPr>
            <w:tcW w:w="11780" w:type="dxa"/>
            <w:gridSpan w:val="7"/>
            <w:tcBorders>
              <w:top w:val="nil"/>
              <w:left w:val="nil"/>
              <w:bottom w:val="nil"/>
              <w:right w:val="nil"/>
            </w:tcBorders>
            <w:shd w:val="clear" w:color="auto" w:fill="auto"/>
            <w:noWrap/>
            <w:hideMark/>
          </w:tcPr>
          <w:p w:rsidR="00891F62" w:rsidRPr="00891F62" w:rsidP="00891F62" w14:paraId="74EA4F12" w14:textId="77777777">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rPr>
              <w:t>3. The HON does not estimate any capital or O&amp;M costs for Subparts F and I.</w:t>
            </w:r>
          </w:p>
        </w:tc>
      </w:tr>
      <w:tr w14:paraId="76AA7DB9" w14:textId="77777777" w:rsidTr="00891F62">
        <w:tblPrEx>
          <w:tblW w:w="11780" w:type="dxa"/>
          <w:tblInd w:w="113" w:type="dxa"/>
          <w:tblLook w:val="04A0"/>
        </w:tblPrEx>
        <w:trPr>
          <w:trHeight w:val="315"/>
        </w:trPr>
        <w:tc>
          <w:tcPr>
            <w:tcW w:w="11780" w:type="dxa"/>
            <w:gridSpan w:val="7"/>
            <w:tcBorders>
              <w:top w:val="nil"/>
              <w:left w:val="nil"/>
              <w:bottom w:val="nil"/>
              <w:right w:val="nil"/>
            </w:tcBorders>
            <w:shd w:val="clear" w:color="auto" w:fill="auto"/>
            <w:hideMark/>
          </w:tcPr>
          <w:p w:rsidR="00891F62" w:rsidRPr="00891F62" w:rsidP="00891F62" w14:paraId="7A35A291" w14:textId="1F721AB3">
            <w:pPr>
              <w:spacing w:after="0" w:line="240" w:lineRule="auto"/>
              <w:rPr>
                <w:rFonts w:ascii="Times New Roman" w:eastAsia="Times New Roman" w:hAnsi="Times New Roman" w:cs="Times New Roman"/>
                <w:color w:val="000000"/>
                <w:sz w:val="20"/>
                <w:szCs w:val="20"/>
              </w:rPr>
            </w:pPr>
            <w:r w:rsidRPr="00891F62">
              <w:rPr>
                <w:rFonts w:ascii="Times New Roman" w:eastAsia="Times New Roman" w:hAnsi="Times New Roman" w:cs="Times New Roman"/>
                <w:color w:val="000000"/>
                <w:sz w:val="20"/>
                <w:szCs w:val="20"/>
                <w:vertAlign w:val="superscript"/>
              </w:rPr>
              <w:t>c</w:t>
            </w:r>
            <w:r w:rsidRPr="00891F62">
              <w:rPr>
                <w:rFonts w:ascii="Times New Roman" w:eastAsia="Times New Roman" w:hAnsi="Times New Roman" w:cs="Times New Roman"/>
                <w:color w:val="000000"/>
                <w:sz w:val="20"/>
                <w:szCs w:val="20"/>
              </w:rPr>
              <w:t xml:space="preserve"> Totals have been rounded to 3 significant figures. Figures may not add exactly due to rounding.</w:t>
            </w:r>
          </w:p>
        </w:tc>
      </w:tr>
    </w:tbl>
    <w:p w:rsidR="00891F62" w:rsidRPr="00BB3410" w:rsidP="00BB3410" w14:paraId="1AD222EF"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3773C"/>
    <w:rsid w:val="00042F77"/>
    <w:rsid w:val="0004467E"/>
    <w:rsid w:val="000452DC"/>
    <w:rsid w:val="000459E3"/>
    <w:rsid w:val="000461BA"/>
    <w:rsid w:val="00047160"/>
    <w:rsid w:val="00050BB4"/>
    <w:rsid w:val="00051045"/>
    <w:rsid w:val="000518D7"/>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AC1"/>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B3576"/>
    <w:rsid w:val="000B461B"/>
    <w:rsid w:val="000B61F2"/>
    <w:rsid w:val="000B7BBA"/>
    <w:rsid w:val="000C04C0"/>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235F7"/>
    <w:rsid w:val="0013006A"/>
    <w:rsid w:val="00130CF9"/>
    <w:rsid w:val="001310E0"/>
    <w:rsid w:val="00132921"/>
    <w:rsid w:val="001329B3"/>
    <w:rsid w:val="00132A0D"/>
    <w:rsid w:val="00135EAD"/>
    <w:rsid w:val="00136237"/>
    <w:rsid w:val="0013740F"/>
    <w:rsid w:val="00137EB8"/>
    <w:rsid w:val="00141AC2"/>
    <w:rsid w:val="00145DAE"/>
    <w:rsid w:val="00147B68"/>
    <w:rsid w:val="0015084F"/>
    <w:rsid w:val="00152A80"/>
    <w:rsid w:val="0015347D"/>
    <w:rsid w:val="00160461"/>
    <w:rsid w:val="00161846"/>
    <w:rsid w:val="001636DA"/>
    <w:rsid w:val="00163C69"/>
    <w:rsid w:val="00164169"/>
    <w:rsid w:val="001641AA"/>
    <w:rsid w:val="0016658D"/>
    <w:rsid w:val="00166B27"/>
    <w:rsid w:val="00170329"/>
    <w:rsid w:val="00170689"/>
    <w:rsid w:val="00170EB8"/>
    <w:rsid w:val="00171DC0"/>
    <w:rsid w:val="00173422"/>
    <w:rsid w:val="00173E50"/>
    <w:rsid w:val="00176BA8"/>
    <w:rsid w:val="001775F3"/>
    <w:rsid w:val="00180511"/>
    <w:rsid w:val="00184011"/>
    <w:rsid w:val="00185251"/>
    <w:rsid w:val="001912D6"/>
    <w:rsid w:val="0019149E"/>
    <w:rsid w:val="0019182F"/>
    <w:rsid w:val="00191C72"/>
    <w:rsid w:val="001925B3"/>
    <w:rsid w:val="0019580A"/>
    <w:rsid w:val="00195BEB"/>
    <w:rsid w:val="00197A23"/>
    <w:rsid w:val="001A20B0"/>
    <w:rsid w:val="001A21A7"/>
    <w:rsid w:val="001A3351"/>
    <w:rsid w:val="001A53A7"/>
    <w:rsid w:val="001A76B3"/>
    <w:rsid w:val="001A7DEF"/>
    <w:rsid w:val="001B0BAC"/>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5637"/>
    <w:rsid w:val="001C6741"/>
    <w:rsid w:val="001C7470"/>
    <w:rsid w:val="001C7948"/>
    <w:rsid w:val="001C7D52"/>
    <w:rsid w:val="001D01BB"/>
    <w:rsid w:val="001D294E"/>
    <w:rsid w:val="001D2CC2"/>
    <w:rsid w:val="001D47F8"/>
    <w:rsid w:val="001D4CDC"/>
    <w:rsid w:val="001D4D40"/>
    <w:rsid w:val="001D4F2F"/>
    <w:rsid w:val="001D51D8"/>
    <w:rsid w:val="001D5CED"/>
    <w:rsid w:val="001E0924"/>
    <w:rsid w:val="001E211E"/>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28D"/>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6050F"/>
    <w:rsid w:val="00260FB7"/>
    <w:rsid w:val="002648CF"/>
    <w:rsid w:val="00265FE7"/>
    <w:rsid w:val="00270940"/>
    <w:rsid w:val="002732F9"/>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B71"/>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5EAE"/>
    <w:rsid w:val="002C7DDE"/>
    <w:rsid w:val="002D3E1A"/>
    <w:rsid w:val="002D4963"/>
    <w:rsid w:val="002E0316"/>
    <w:rsid w:val="002E0999"/>
    <w:rsid w:val="002E2569"/>
    <w:rsid w:val="002E4E93"/>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882"/>
    <w:rsid w:val="00342DB5"/>
    <w:rsid w:val="00343CEF"/>
    <w:rsid w:val="00344CB0"/>
    <w:rsid w:val="003467C8"/>
    <w:rsid w:val="00347C3C"/>
    <w:rsid w:val="0035079F"/>
    <w:rsid w:val="003527C1"/>
    <w:rsid w:val="00352C25"/>
    <w:rsid w:val="003565B6"/>
    <w:rsid w:val="00356A66"/>
    <w:rsid w:val="00357418"/>
    <w:rsid w:val="0036059B"/>
    <w:rsid w:val="00360B75"/>
    <w:rsid w:val="00361737"/>
    <w:rsid w:val="00363F41"/>
    <w:rsid w:val="00366D56"/>
    <w:rsid w:val="00367871"/>
    <w:rsid w:val="00367DAD"/>
    <w:rsid w:val="0037007A"/>
    <w:rsid w:val="0037342A"/>
    <w:rsid w:val="00373CC8"/>
    <w:rsid w:val="00374B7F"/>
    <w:rsid w:val="00374E24"/>
    <w:rsid w:val="00375E2A"/>
    <w:rsid w:val="00376609"/>
    <w:rsid w:val="00380445"/>
    <w:rsid w:val="0038330C"/>
    <w:rsid w:val="003856DC"/>
    <w:rsid w:val="003877F5"/>
    <w:rsid w:val="003901B8"/>
    <w:rsid w:val="003A0E52"/>
    <w:rsid w:val="003A1D0D"/>
    <w:rsid w:val="003A38FB"/>
    <w:rsid w:val="003A41A0"/>
    <w:rsid w:val="003A6BEF"/>
    <w:rsid w:val="003B04B9"/>
    <w:rsid w:val="003B0A8F"/>
    <w:rsid w:val="003B153D"/>
    <w:rsid w:val="003B4D4F"/>
    <w:rsid w:val="003B62B6"/>
    <w:rsid w:val="003C0ACA"/>
    <w:rsid w:val="003C0DBC"/>
    <w:rsid w:val="003C1314"/>
    <w:rsid w:val="003C16BD"/>
    <w:rsid w:val="003C2B04"/>
    <w:rsid w:val="003C3093"/>
    <w:rsid w:val="003C321D"/>
    <w:rsid w:val="003C5631"/>
    <w:rsid w:val="003C68C2"/>
    <w:rsid w:val="003C6CE9"/>
    <w:rsid w:val="003D06CD"/>
    <w:rsid w:val="003D0C03"/>
    <w:rsid w:val="003D1457"/>
    <w:rsid w:val="003D14BA"/>
    <w:rsid w:val="003D23D5"/>
    <w:rsid w:val="003D29E8"/>
    <w:rsid w:val="003D2F77"/>
    <w:rsid w:val="003D3498"/>
    <w:rsid w:val="003D3D42"/>
    <w:rsid w:val="003D598C"/>
    <w:rsid w:val="003D673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6537"/>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FD0"/>
    <w:rsid w:val="00437139"/>
    <w:rsid w:val="00441783"/>
    <w:rsid w:val="004420DA"/>
    <w:rsid w:val="00444707"/>
    <w:rsid w:val="004455F6"/>
    <w:rsid w:val="00445751"/>
    <w:rsid w:val="004468C2"/>
    <w:rsid w:val="00446B8D"/>
    <w:rsid w:val="00450C44"/>
    <w:rsid w:val="00456E33"/>
    <w:rsid w:val="004600ED"/>
    <w:rsid w:val="004620CA"/>
    <w:rsid w:val="00463285"/>
    <w:rsid w:val="00464F11"/>
    <w:rsid w:val="00465846"/>
    <w:rsid w:val="00466349"/>
    <w:rsid w:val="00466B43"/>
    <w:rsid w:val="00470E22"/>
    <w:rsid w:val="00472D33"/>
    <w:rsid w:val="00475BA6"/>
    <w:rsid w:val="00477D70"/>
    <w:rsid w:val="004831CC"/>
    <w:rsid w:val="00485567"/>
    <w:rsid w:val="004855BE"/>
    <w:rsid w:val="00486860"/>
    <w:rsid w:val="00491CC3"/>
    <w:rsid w:val="00491ED9"/>
    <w:rsid w:val="00491F1D"/>
    <w:rsid w:val="00492617"/>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6DB7"/>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07573"/>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4A6"/>
    <w:rsid w:val="00533A83"/>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3AAC"/>
    <w:rsid w:val="00584D72"/>
    <w:rsid w:val="0058662D"/>
    <w:rsid w:val="005900C3"/>
    <w:rsid w:val="00590A21"/>
    <w:rsid w:val="005932EC"/>
    <w:rsid w:val="005966D8"/>
    <w:rsid w:val="0059769C"/>
    <w:rsid w:val="00597A92"/>
    <w:rsid w:val="005A0F75"/>
    <w:rsid w:val="005A129A"/>
    <w:rsid w:val="005A2ABF"/>
    <w:rsid w:val="005A35B4"/>
    <w:rsid w:val="005A422E"/>
    <w:rsid w:val="005A7235"/>
    <w:rsid w:val="005A7BA6"/>
    <w:rsid w:val="005B4322"/>
    <w:rsid w:val="005B499E"/>
    <w:rsid w:val="005B5DA7"/>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2312"/>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B98"/>
    <w:rsid w:val="00660D75"/>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0C6C"/>
    <w:rsid w:val="006A173F"/>
    <w:rsid w:val="006A1AC5"/>
    <w:rsid w:val="006A231D"/>
    <w:rsid w:val="006A29EB"/>
    <w:rsid w:val="006A5C2F"/>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24442"/>
    <w:rsid w:val="00724815"/>
    <w:rsid w:val="00725EC3"/>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4F03"/>
    <w:rsid w:val="0075537F"/>
    <w:rsid w:val="007558ED"/>
    <w:rsid w:val="007560F1"/>
    <w:rsid w:val="00762228"/>
    <w:rsid w:val="00763E34"/>
    <w:rsid w:val="00764EF9"/>
    <w:rsid w:val="007674E8"/>
    <w:rsid w:val="00770A34"/>
    <w:rsid w:val="00770FC4"/>
    <w:rsid w:val="007711BC"/>
    <w:rsid w:val="007713C7"/>
    <w:rsid w:val="007722B7"/>
    <w:rsid w:val="00772C87"/>
    <w:rsid w:val="00772D61"/>
    <w:rsid w:val="00775025"/>
    <w:rsid w:val="00776C0D"/>
    <w:rsid w:val="0077747C"/>
    <w:rsid w:val="00780787"/>
    <w:rsid w:val="007837C6"/>
    <w:rsid w:val="007838DA"/>
    <w:rsid w:val="0078463B"/>
    <w:rsid w:val="007853D4"/>
    <w:rsid w:val="007860F8"/>
    <w:rsid w:val="00786880"/>
    <w:rsid w:val="00790AA0"/>
    <w:rsid w:val="00791DFE"/>
    <w:rsid w:val="007927B8"/>
    <w:rsid w:val="007937AD"/>
    <w:rsid w:val="00794978"/>
    <w:rsid w:val="00796ED4"/>
    <w:rsid w:val="007975D8"/>
    <w:rsid w:val="007A0115"/>
    <w:rsid w:val="007A1213"/>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3D25"/>
    <w:rsid w:val="007F5265"/>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2ACA"/>
    <w:rsid w:val="00862AD0"/>
    <w:rsid w:val="00863B5C"/>
    <w:rsid w:val="00863E35"/>
    <w:rsid w:val="0086480C"/>
    <w:rsid w:val="0086680C"/>
    <w:rsid w:val="00866A4F"/>
    <w:rsid w:val="00866F44"/>
    <w:rsid w:val="00870F86"/>
    <w:rsid w:val="00872289"/>
    <w:rsid w:val="00873EFF"/>
    <w:rsid w:val="008749E8"/>
    <w:rsid w:val="00876774"/>
    <w:rsid w:val="00876C6F"/>
    <w:rsid w:val="008803DA"/>
    <w:rsid w:val="00881794"/>
    <w:rsid w:val="00881CAD"/>
    <w:rsid w:val="00883A58"/>
    <w:rsid w:val="00891F62"/>
    <w:rsid w:val="0089326A"/>
    <w:rsid w:val="0089358E"/>
    <w:rsid w:val="00893F67"/>
    <w:rsid w:val="00895E6F"/>
    <w:rsid w:val="008A0297"/>
    <w:rsid w:val="008A034D"/>
    <w:rsid w:val="008A1004"/>
    <w:rsid w:val="008A15C2"/>
    <w:rsid w:val="008A2F96"/>
    <w:rsid w:val="008A34CB"/>
    <w:rsid w:val="008A474D"/>
    <w:rsid w:val="008A5926"/>
    <w:rsid w:val="008A5FBC"/>
    <w:rsid w:val="008A6835"/>
    <w:rsid w:val="008B0300"/>
    <w:rsid w:val="008B07A2"/>
    <w:rsid w:val="008B170E"/>
    <w:rsid w:val="008B37A1"/>
    <w:rsid w:val="008B4625"/>
    <w:rsid w:val="008B467F"/>
    <w:rsid w:val="008B57B0"/>
    <w:rsid w:val="008C06CB"/>
    <w:rsid w:val="008C0C83"/>
    <w:rsid w:val="008C582D"/>
    <w:rsid w:val="008C6A5F"/>
    <w:rsid w:val="008C7F35"/>
    <w:rsid w:val="008D0B32"/>
    <w:rsid w:val="008D2A1E"/>
    <w:rsid w:val="008D2CA0"/>
    <w:rsid w:val="008D3B33"/>
    <w:rsid w:val="008D4703"/>
    <w:rsid w:val="008D659E"/>
    <w:rsid w:val="008D6656"/>
    <w:rsid w:val="008E035D"/>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B9F"/>
    <w:rsid w:val="00996CD5"/>
    <w:rsid w:val="00997E71"/>
    <w:rsid w:val="009A09EC"/>
    <w:rsid w:val="009A0E02"/>
    <w:rsid w:val="009A151F"/>
    <w:rsid w:val="009A24BC"/>
    <w:rsid w:val="009A442C"/>
    <w:rsid w:val="009A5C07"/>
    <w:rsid w:val="009A6AF8"/>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93"/>
    <w:rsid w:val="00A12BD8"/>
    <w:rsid w:val="00A15F64"/>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867AD"/>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0A5"/>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3545"/>
    <w:rsid w:val="00B13DEC"/>
    <w:rsid w:val="00B15AEE"/>
    <w:rsid w:val="00B15B9E"/>
    <w:rsid w:val="00B21E5D"/>
    <w:rsid w:val="00B222EC"/>
    <w:rsid w:val="00B22810"/>
    <w:rsid w:val="00B22F84"/>
    <w:rsid w:val="00B2326A"/>
    <w:rsid w:val="00B23E0D"/>
    <w:rsid w:val="00B24852"/>
    <w:rsid w:val="00B26757"/>
    <w:rsid w:val="00B31C31"/>
    <w:rsid w:val="00B37C28"/>
    <w:rsid w:val="00B400AE"/>
    <w:rsid w:val="00B434D7"/>
    <w:rsid w:val="00B43BC7"/>
    <w:rsid w:val="00B44779"/>
    <w:rsid w:val="00B45BEF"/>
    <w:rsid w:val="00B47058"/>
    <w:rsid w:val="00B5008A"/>
    <w:rsid w:val="00B5068E"/>
    <w:rsid w:val="00B51024"/>
    <w:rsid w:val="00B524A9"/>
    <w:rsid w:val="00B603E4"/>
    <w:rsid w:val="00B62988"/>
    <w:rsid w:val="00B6361B"/>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22FC"/>
    <w:rsid w:val="00B9379D"/>
    <w:rsid w:val="00B93F50"/>
    <w:rsid w:val="00B9424F"/>
    <w:rsid w:val="00B9504D"/>
    <w:rsid w:val="00B957FA"/>
    <w:rsid w:val="00B95BD0"/>
    <w:rsid w:val="00B9602F"/>
    <w:rsid w:val="00BA1A18"/>
    <w:rsid w:val="00BA2C33"/>
    <w:rsid w:val="00BA45E6"/>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87E"/>
    <w:rsid w:val="00BC1BF0"/>
    <w:rsid w:val="00BC3541"/>
    <w:rsid w:val="00BC3DD2"/>
    <w:rsid w:val="00BD12E4"/>
    <w:rsid w:val="00BD6B16"/>
    <w:rsid w:val="00BE03A9"/>
    <w:rsid w:val="00BE12E1"/>
    <w:rsid w:val="00BE1B26"/>
    <w:rsid w:val="00BE1F44"/>
    <w:rsid w:val="00BE3D6F"/>
    <w:rsid w:val="00BE4548"/>
    <w:rsid w:val="00BE53BF"/>
    <w:rsid w:val="00BE63D7"/>
    <w:rsid w:val="00BF0CAD"/>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57C4"/>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06D"/>
    <w:rsid w:val="00CD275E"/>
    <w:rsid w:val="00CD2EF7"/>
    <w:rsid w:val="00CD38AB"/>
    <w:rsid w:val="00CD4100"/>
    <w:rsid w:val="00CD4338"/>
    <w:rsid w:val="00CD4809"/>
    <w:rsid w:val="00CD5A92"/>
    <w:rsid w:val="00CD6009"/>
    <w:rsid w:val="00CE0942"/>
    <w:rsid w:val="00CE1EF9"/>
    <w:rsid w:val="00CE2CB1"/>
    <w:rsid w:val="00CE3ACF"/>
    <w:rsid w:val="00CE4292"/>
    <w:rsid w:val="00CE4DEB"/>
    <w:rsid w:val="00CE4F47"/>
    <w:rsid w:val="00CE5752"/>
    <w:rsid w:val="00CE6F2D"/>
    <w:rsid w:val="00CF1060"/>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5342"/>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67EAB"/>
    <w:rsid w:val="00D71532"/>
    <w:rsid w:val="00D73509"/>
    <w:rsid w:val="00D73DBE"/>
    <w:rsid w:val="00D73E09"/>
    <w:rsid w:val="00D74290"/>
    <w:rsid w:val="00D74D4B"/>
    <w:rsid w:val="00D76DB3"/>
    <w:rsid w:val="00D77C8D"/>
    <w:rsid w:val="00D87764"/>
    <w:rsid w:val="00D87BDB"/>
    <w:rsid w:val="00D90653"/>
    <w:rsid w:val="00D92ED6"/>
    <w:rsid w:val="00D9599C"/>
    <w:rsid w:val="00DA138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1050"/>
    <w:rsid w:val="00DD2682"/>
    <w:rsid w:val="00DD35B0"/>
    <w:rsid w:val="00DD4E7A"/>
    <w:rsid w:val="00DD6533"/>
    <w:rsid w:val="00DD718B"/>
    <w:rsid w:val="00DE15D8"/>
    <w:rsid w:val="00DE26D9"/>
    <w:rsid w:val="00DE3DF8"/>
    <w:rsid w:val="00DE4E0C"/>
    <w:rsid w:val="00DE50FF"/>
    <w:rsid w:val="00DE5FD4"/>
    <w:rsid w:val="00DE60DC"/>
    <w:rsid w:val="00DE68CB"/>
    <w:rsid w:val="00DF0955"/>
    <w:rsid w:val="00DF3AA1"/>
    <w:rsid w:val="00DF4973"/>
    <w:rsid w:val="00DF6030"/>
    <w:rsid w:val="00DF7E5D"/>
    <w:rsid w:val="00E00589"/>
    <w:rsid w:val="00E0220E"/>
    <w:rsid w:val="00E034D9"/>
    <w:rsid w:val="00E03FC8"/>
    <w:rsid w:val="00E04947"/>
    <w:rsid w:val="00E065ED"/>
    <w:rsid w:val="00E076DF"/>
    <w:rsid w:val="00E07C37"/>
    <w:rsid w:val="00E10927"/>
    <w:rsid w:val="00E128B1"/>
    <w:rsid w:val="00E14467"/>
    <w:rsid w:val="00E14BF3"/>
    <w:rsid w:val="00E16410"/>
    <w:rsid w:val="00E205A3"/>
    <w:rsid w:val="00E2389F"/>
    <w:rsid w:val="00E25157"/>
    <w:rsid w:val="00E27F78"/>
    <w:rsid w:val="00E30153"/>
    <w:rsid w:val="00E30F8E"/>
    <w:rsid w:val="00E3122D"/>
    <w:rsid w:val="00E31AF4"/>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7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7B8"/>
    <w:rsid w:val="00E91C6A"/>
    <w:rsid w:val="00E94E34"/>
    <w:rsid w:val="00E957A4"/>
    <w:rsid w:val="00E97093"/>
    <w:rsid w:val="00EA0CF2"/>
    <w:rsid w:val="00EA0D20"/>
    <w:rsid w:val="00EA1F47"/>
    <w:rsid w:val="00EA3AE4"/>
    <w:rsid w:val="00EA4A33"/>
    <w:rsid w:val="00EA58E6"/>
    <w:rsid w:val="00EA5D83"/>
    <w:rsid w:val="00EA6184"/>
    <w:rsid w:val="00EA6BDC"/>
    <w:rsid w:val="00EB00A2"/>
    <w:rsid w:val="00EB0A8E"/>
    <w:rsid w:val="00EB0C83"/>
    <w:rsid w:val="00EB1912"/>
    <w:rsid w:val="00EB19A0"/>
    <w:rsid w:val="00EB1C08"/>
    <w:rsid w:val="00EB2A3A"/>
    <w:rsid w:val="00EB34A6"/>
    <w:rsid w:val="00EB4C2F"/>
    <w:rsid w:val="00EB7EC4"/>
    <w:rsid w:val="00EC04E3"/>
    <w:rsid w:val="00EC0D68"/>
    <w:rsid w:val="00EC1141"/>
    <w:rsid w:val="00EC11F9"/>
    <w:rsid w:val="00EC122D"/>
    <w:rsid w:val="00EC1979"/>
    <w:rsid w:val="00EC1EAB"/>
    <w:rsid w:val="00EC230D"/>
    <w:rsid w:val="00EC3FF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2003"/>
    <w:rsid w:val="00F0667A"/>
    <w:rsid w:val="00F0705E"/>
    <w:rsid w:val="00F071BE"/>
    <w:rsid w:val="00F10CF0"/>
    <w:rsid w:val="00F10F27"/>
    <w:rsid w:val="00F13918"/>
    <w:rsid w:val="00F15CFE"/>
    <w:rsid w:val="00F171C6"/>
    <w:rsid w:val="00F1773A"/>
    <w:rsid w:val="00F17AC5"/>
    <w:rsid w:val="00F17E88"/>
    <w:rsid w:val="00F17F8C"/>
    <w:rsid w:val="00F20097"/>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2909"/>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259F"/>
    <w:rsid w:val="00FD3EF8"/>
    <w:rsid w:val="00FD54EB"/>
    <w:rsid w:val="00FD7196"/>
    <w:rsid w:val="00FE090D"/>
    <w:rsid w:val="00FE0BEA"/>
    <w:rsid w:val="00FE0D6A"/>
    <w:rsid w:val="00FE1682"/>
    <w:rsid w:val="00FE2C1F"/>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2024-10-31T14:37:57+00:00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2BEF6B79-CDB3-42AF-928F-F10679669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1891fcec-84c2-4840-9468-b51a784ab0d1"/>
    <ds:schemaRef ds:uri="96fc5250-dc30-4f01-945b-7e46a880eeb3"/>
    <ds:schemaRef ds:uri="4ffa91fb-a0ff-4ac5-b2db-65c790d184a4"/>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F8BEB72D-315A-4FA8-AB63-6981D34787B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25</Pages>
  <Words>8450</Words>
  <Characters>48166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35</cp:revision>
  <dcterms:created xsi:type="dcterms:W3CDTF">2024-10-28T23:44:00Z</dcterms:created>
  <dcterms:modified xsi:type="dcterms:W3CDTF">2025-02-19T22:43:00Z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