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3B366FE" w:rsidRPr="00CB038B" w:rsidP="11AB4B38" w14:paraId="46692DEB" w14:textId="18E8CE09">
      <w:pPr>
        <w:spacing w:after="0"/>
        <w:jc w:val="center"/>
        <w:rPr>
          <w:sz w:val="32"/>
          <w:szCs w:val="32"/>
        </w:rPr>
      </w:pPr>
      <w:bookmarkStart w:id="0" w:name="_Toc49148152"/>
      <w:r w:rsidRPr="11AB4B38">
        <w:rPr>
          <w:sz w:val="32"/>
          <w:szCs w:val="32"/>
        </w:rPr>
        <w:t>U.S. Environmental Protection Agency</w:t>
      </w:r>
    </w:p>
    <w:p w:rsidR="00DE4E0C" w:rsidRPr="00CB038B" w:rsidP="11AB4B38" w14:paraId="1A3CA841" w14:textId="4B14E2EE">
      <w:pPr>
        <w:jc w:val="center"/>
        <w:rPr>
          <w:sz w:val="32"/>
          <w:szCs w:val="32"/>
        </w:rPr>
      </w:pPr>
      <w:r w:rsidRPr="11AB4B38">
        <w:rPr>
          <w:sz w:val="32"/>
          <w:szCs w:val="32"/>
        </w:rPr>
        <w:t>Information Collection Request</w:t>
      </w:r>
    </w:p>
    <w:p w:rsidR="00EA0D20" w:rsidP="00BB432F" w14:paraId="77D1C27C" w14:textId="77777777">
      <w:pPr>
        <w:rPr>
          <w:rFonts w:cstheme="minorHAnsi"/>
          <w:b/>
          <w:bCs/>
        </w:rPr>
      </w:pPr>
    </w:p>
    <w:p w:rsidR="00CD6009" w:rsidP="00CD6009" w14:paraId="4C8D9371" w14:textId="77777777">
      <w:pPr>
        <w:rPr>
          <w:rFonts w:cstheme="minorHAnsi"/>
        </w:rPr>
      </w:pPr>
      <w:r w:rsidRPr="00BB3410">
        <w:rPr>
          <w:rFonts w:cstheme="minorHAnsi"/>
          <w:b/>
          <w:bCs/>
        </w:rPr>
        <w:t>Title</w:t>
      </w:r>
      <w:r w:rsidRPr="00EA0D20">
        <w:rPr>
          <w:rFonts w:cstheme="minorHAnsi"/>
          <w:b/>
          <w:bCs/>
        </w:rPr>
        <w:t>:</w:t>
      </w:r>
      <w:r w:rsidR="001F34A5">
        <w:rPr>
          <w:rFonts w:cstheme="minorHAnsi"/>
        </w:rPr>
        <w:t xml:space="preserve"> </w:t>
      </w:r>
      <w:r w:rsidRPr="00CD6009">
        <w:rPr>
          <w:rFonts w:cstheme="minorHAnsi"/>
        </w:rPr>
        <w:t>NESHAP for Group IV Polymers and Resins (40 CFR Part 63, Subpart JJJ) (Renewal)</w:t>
      </w:r>
    </w:p>
    <w:p w:rsidR="00EE2403" w:rsidRPr="00BB3410" w:rsidP="00CD6009" w14:paraId="71D5121E" w14:textId="7BDCC906">
      <w:pPr>
        <w:rPr>
          <w:rFonts w:cstheme="minorHAnsi"/>
        </w:rPr>
      </w:pPr>
      <w:r w:rsidRPr="00BB3410">
        <w:rPr>
          <w:rFonts w:cstheme="minorHAnsi"/>
          <w:b/>
          <w:bCs/>
        </w:rPr>
        <w:t>OMB Control Number</w:t>
      </w:r>
      <w:r w:rsidRPr="00EA0D20">
        <w:rPr>
          <w:rFonts w:cstheme="minorHAnsi"/>
          <w:b/>
          <w:bCs/>
        </w:rPr>
        <w:t>:</w:t>
      </w:r>
      <w:r w:rsidR="00CD6009">
        <w:rPr>
          <w:rFonts w:cstheme="minorHAnsi"/>
        </w:rPr>
        <w:t xml:space="preserve"> 2060-0682</w:t>
      </w:r>
    </w:p>
    <w:p w:rsidR="00EE2403" w:rsidRPr="00BB3410" w:rsidP="00ED57A4" w14:paraId="4FB77BCA" w14:textId="053B11FC">
      <w:pPr>
        <w:spacing w:before="240" w:line="240" w:lineRule="auto"/>
        <w:rPr>
          <w:rFonts w:cstheme="minorHAnsi"/>
        </w:rPr>
      </w:pPr>
      <w:r w:rsidRPr="00BB3410">
        <w:rPr>
          <w:rFonts w:cstheme="minorHAnsi"/>
          <w:b/>
          <w:bCs/>
        </w:rPr>
        <w:t>EPA ICR Number</w:t>
      </w:r>
      <w:r w:rsidRPr="00EA0D20">
        <w:rPr>
          <w:rFonts w:cstheme="minorHAnsi"/>
          <w:b/>
          <w:bCs/>
        </w:rPr>
        <w:t>:</w:t>
      </w:r>
      <w:r w:rsidRPr="00BB3410" w:rsidR="00BB432F">
        <w:rPr>
          <w:rFonts w:cstheme="minorHAnsi"/>
        </w:rPr>
        <w:t xml:space="preserve"> </w:t>
      </w:r>
      <w:r w:rsidR="00CD6009">
        <w:rPr>
          <w:rFonts w:cstheme="minorHAnsi"/>
        </w:rPr>
        <w:t>2457.05</w:t>
      </w:r>
    </w:p>
    <w:p w:rsidR="00B21E5D" w:rsidRPr="00DA1380" w:rsidP="00790AA0" w14:paraId="7D10E710" w14:textId="23B0BC94">
      <w:pPr>
        <w:pBdr>
          <w:top w:val="single" w:sz="6" w:space="0" w:color="FFFFFF"/>
          <w:left w:val="single" w:sz="6" w:space="0" w:color="FFFFFF"/>
          <w:bottom w:val="single" w:sz="6" w:space="0" w:color="FFFFFF"/>
          <w:right w:val="single" w:sz="6" w:space="0" w:color="FFFFFF"/>
        </w:pBdr>
      </w:pPr>
      <w:r w:rsidRPr="4BDBF0A0">
        <w:rPr>
          <w:b/>
          <w:bCs/>
        </w:rPr>
        <w:t>Abstract:</w:t>
      </w:r>
      <w:r w:rsidRPr="4BDBF0A0" w:rsidR="00BB432F">
        <w:t xml:space="preserve"> </w:t>
      </w:r>
      <w:r w:rsidRPr="008A5926">
        <w:t xml:space="preserve">The National Emission Standards for Hazardous Air Pollutants (NESHAP) for </w:t>
      </w:r>
      <w:r w:rsidRPr="00CF1060">
        <w:t>Group</w:t>
      </w:r>
      <w:r>
        <w:t xml:space="preserve"> </w:t>
      </w:r>
      <w:r w:rsidRPr="00CF1060">
        <w:t xml:space="preserve">IV Polymers and Resins </w:t>
      </w:r>
      <w:r>
        <w:t>(</w:t>
      </w:r>
      <w:r w:rsidRPr="008A5926">
        <w:t>40 CFR Part 63, Subpart JJJ</w:t>
      </w:r>
      <w:r>
        <w:t>)</w:t>
      </w:r>
      <w:r w:rsidRPr="008A5926">
        <w:t xml:space="preserve"> were </w:t>
      </w:r>
      <w:r w:rsidRPr="00DA1380">
        <w:t xml:space="preserve">proposed on March 29, 1995; promulgated on September 12, 1996; and most-recently amended on March 27, 2014. These regulations apply to </w:t>
      </w:r>
      <w:bookmarkStart w:id="1" w:name="_Hlk40367540"/>
      <w:r w:rsidRPr="00DA1380">
        <w:t xml:space="preserve">each new and existing thermoplastic product process units (TPPU) and associated equipment that produce the subset of polymers and resins known as “Group IV Polymers and Resins” that is a major source of organic hazardous air pollutants (HAPs). </w:t>
      </w:r>
      <w:bookmarkEnd w:id="1"/>
      <w:r w:rsidRPr="00DA1380">
        <w:t xml:space="preserve">Group IV polymers and resins include the following source categories: Acrylonitrile Butadiene Styrene (ABS), Methyl Methacrylate Acrylonitrile Butadiene Styrene (MABS), Methyl Methacrylate Butadiene Styrene (MABS), Nitrile Resin, Polyethylene Terephthalate (PET), Polystyrene (PS), and Styrene Acrylonitrile (SAN). This information is being collected to assure compliance with 40 CFR Part 63, Subpart JJJ. Over the next three years, approximately 27 affected process units (TPPUs) at 24 facilities (i.e., respondents) per year will be subject to these standards, and no additional respondents per year will become subject to these same standards. </w:t>
      </w:r>
    </w:p>
    <w:p w:rsidR="00EA1F47" w:rsidRPr="00B43BC7" w:rsidP="00EA1F47" w14:paraId="20B50ADC" w14:textId="77777777">
      <w:pPr>
        <w:spacing w:before="240"/>
      </w:pPr>
      <w:r w:rsidRPr="00B43BC7">
        <w:t xml:space="preserve">The active (previous) ICR had the following Terms of Clearance (TOC): </w:t>
      </w:r>
    </w:p>
    <w:p w:rsidR="00EA1F47" w:rsidRPr="00B43BC7" w:rsidP="00D67EAB" w14:paraId="5C6E6479" w14:textId="263A67A8">
      <w:pPr>
        <w:spacing w:before="240"/>
        <w:ind w:left="720"/>
      </w:pPr>
      <w:r w:rsidRPr="00B43BC7">
        <w:t>“</w:t>
      </w:r>
      <w:r w:rsidRPr="00B43BC7" w:rsidR="00D67EAB">
        <w:t>In accordance with 5 CFR 1320, the information collection is approved for three years. As terms of clearance, upon renewal of this collection, EPA is required to include the following in its supporting statement for this and other NESHAP ICRs: (1) a description of the regulatory text applicable to the ICR including submission specifications; (2) a clear description of the data elements being collected under the ICR; (3) screen shots of the electronic portal where the reporting requirements are submitted to EPA (with the control number and burden statement); (4) a detailed discussion of how information is submitted and the extent to which electronic reporting is available; (5) evidence of consultation with respondents (by actively reaching out to stakeholders as permitted by the PRA) to ensure the supporting statement's accuracy on availability of data, frequency of collection, clarity of instructions, accuracy of burden estimate, relevance of data elements, and similar PRA matters; and (6) discussion of how EPA addressed substantive concerns raised by respondents and other stakeholders during consultation and in response to comments received on FR notices. In addition, please convert the supporting statement to the standard 18 question SS-A format upon renewal.</w:t>
      </w:r>
      <w:r w:rsidRPr="00B43BC7">
        <w:t>”</w:t>
      </w:r>
    </w:p>
    <w:p w:rsidR="00FE1682" w:rsidRPr="00E6717A" w:rsidP="4BDBF0A0" w14:paraId="682A081B" w14:textId="6C69BF16">
      <w:pPr>
        <w:spacing w:before="240"/>
      </w:pPr>
      <w:r w:rsidRPr="00B43BC7">
        <w:t xml:space="preserve">The relevant regulatory text is referenced in section 12(b) of this document. We have created a supplementary document including the regulatory text that describes the ICR requirements as identified in section 12(b) of this document as requested. </w:t>
      </w:r>
      <w:r w:rsidRPr="00B43BC7" w:rsidR="00D67EAB">
        <w:t xml:space="preserve">All electronic collection in this information collection is submitted through EPA's CEDRI, as discussed in section 12(b) of this document. Additional Paperwork Reduction Act requirements for CEDRI, including the burden statement and OMB control number, are </w:t>
      </w:r>
      <w:r w:rsidRPr="00B43BC7" w:rsidR="00D67EAB">
        <w:t xml:space="preserve">available at: </w:t>
      </w:r>
      <w:hyperlink r:id="rId9" w:history="1">
        <w:r w:rsidRPr="00B43BC7" w:rsidR="00D67EAB">
          <w:rPr>
            <w:rStyle w:val="Hyperlink"/>
            <w:color w:val="auto"/>
          </w:rPr>
          <w:t>https://www.epa.gov/electronic-reporting-air-emissions/paperwork-reduction-act-pra-cedri-and-ert</w:t>
        </w:r>
      </w:hyperlink>
      <w:r w:rsidRPr="00B43BC7" w:rsidR="00D67EAB">
        <w:t xml:space="preserve">. We have created supplementary documents that include screenshots of the electronic portal where the reporting requirements are submitted online to EPA, including the OMB burden statement on the electronic portal. </w:t>
      </w:r>
      <w:r w:rsidRPr="00B43BC7">
        <w:t>A description of the EPA’s consultation with respondents and how EPA responded to any concerns raised by respondents or other stakeholders is discussed in section 8 of this document. Per the Terms of Clearance on the previous ICR, this supporting statement follows the standard 18-question format.</w:t>
      </w:r>
    </w:p>
    <w:p w:rsidR="00DE4E0C" w:rsidRPr="00BB3410" w:rsidP="4BDBF0A0" w14:paraId="12DA0580" w14:textId="3A9EBC77">
      <w:pPr>
        <w:rPr>
          <w:b/>
          <w:bCs/>
          <w:u w:val="single"/>
        </w:rPr>
      </w:pPr>
      <w:r w:rsidRPr="4BDBF0A0">
        <w:rPr>
          <w:b/>
          <w:bCs/>
          <w:u w:val="single"/>
        </w:rPr>
        <w:t>Supporting Statement A</w:t>
      </w:r>
      <w:bookmarkEnd w:id="0"/>
    </w:p>
    <w:p w:rsidR="00D47CB3" w:rsidRPr="00E3122D" w:rsidP="00854AAE" w14:paraId="73FF37C3" w14:textId="77C3FA07">
      <w:pPr>
        <w:pStyle w:val="ListParagraph"/>
        <w:numPr>
          <w:ilvl w:val="0"/>
          <w:numId w:val="25"/>
        </w:numPr>
        <w:pBdr>
          <w:bottom w:val="single" w:sz="4" w:space="1" w:color="auto"/>
        </w:pBdr>
        <w:spacing w:before="240" w:after="0"/>
        <w:rPr>
          <w:rFonts w:cstheme="minorHAnsi"/>
          <w:b/>
          <w:bCs/>
        </w:rPr>
      </w:pPr>
      <w:bookmarkStart w:id="2" w:name="_Toc156593368"/>
      <w:r w:rsidRPr="00E3122D">
        <w:rPr>
          <w:rFonts w:cstheme="minorHAnsi"/>
          <w:b/>
          <w:bCs/>
        </w:rPr>
        <w:t>NEED AND AUTHORITY FOR THE COLLECTION</w:t>
      </w:r>
      <w:bookmarkEnd w:id="2"/>
    </w:p>
    <w:p w:rsidR="00A27E5C" w:rsidRPr="00D47CB3" w:rsidP="00854AAE" w14:paraId="0D31D853" w14:textId="354D5D40">
      <w:pPr>
        <w:pBdr>
          <w:bottom w:val="single" w:sz="4" w:space="1" w:color="auto"/>
        </w:pBdr>
        <w:spacing w:before="60"/>
        <w:rPr>
          <w:rFonts w:cstheme="minorHAnsi"/>
          <w:i/>
          <w:iCs/>
        </w:rPr>
      </w:pPr>
      <w:r w:rsidRPr="00D47CB3">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653D08" w:rsidRPr="00B43BC7" w:rsidP="00653D08" w14:paraId="0D5D4789" w14:textId="66C03829">
      <w:pPr>
        <w:pBdr>
          <w:top w:val="single" w:sz="6" w:space="0" w:color="FFFFFF"/>
          <w:left w:val="single" w:sz="6" w:space="0" w:color="FFFFFF"/>
          <w:bottom w:val="single" w:sz="6" w:space="0" w:color="FFFFFF"/>
          <w:right w:val="single" w:sz="6" w:space="0" w:color="FFFFFF"/>
        </w:pBdr>
      </w:pPr>
      <w:r w:rsidRPr="00B43BC7">
        <w:t xml:space="preserve">The EPA is charged under Section 112 of the Clean Air Act, as amended, to establish standards of performance for each category or subcategory of major sources and area sources of hazardous air pollutants. These standards are applicable to new or existing sources of hazardous air pollutants and shall require the maximum degree of emission reduction. In addition, section 114(a) states that the Administrator may require any owner/operator subject to any requirement of this Act to: </w:t>
      </w:r>
    </w:p>
    <w:p w:rsidR="00653D08" w:rsidRPr="00B43BC7" w:rsidP="00653D08" w14:paraId="390B56A3" w14:textId="373939C1">
      <w:pPr>
        <w:pBdr>
          <w:top w:val="single" w:sz="6" w:space="0" w:color="FFFFFF"/>
          <w:left w:val="single" w:sz="6" w:space="0" w:color="FFFFFF"/>
          <w:bottom w:val="single" w:sz="6" w:space="0" w:color="FFFFFF"/>
          <w:right w:val="single" w:sz="6" w:space="0" w:color="FFFFFF"/>
        </w:pBdr>
        <w:ind w:left="1440" w:right="1440"/>
      </w:pPr>
      <w:r w:rsidRPr="00B43BC7">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601660" w:rsidRPr="00B43BC7" w:rsidP="00B43BC7" w14:paraId="654F2FEB" w14:textId="6668B7E8">
      <w:pPr>
        <w:pBdr>
          <w:top w:val="single" w:sz="6" w:space="0" w:color="FFFFFF"/>
          <w:left w:val="single" w:sz="6" w:space="0" w:color="FFFFFF"/>
          <w:bottom w:val="single" w:sz="6" w:space="0" w:color="FFFFFF"/>
          <w:right w:val="single" w:sz="6" w:space="0" w:color="FFFFFF"/>
        </w:pBdr>
      </w:pPr>
      <w:r w:rsidRPr="00B43BC7">
        <w:t xml:space="preserve">In the Administrator's judgment, </w:t>
      </w:r>
      <w:r w:rsidRPr="00B43BC7" w:rsidR="00B43BC7">
        <w:t>HAP</w:t>
      </w:r>
      <w:r w:rsidRPr="00B43BC7">
        <w:t xml:space="preserve"> emissions from </w:t>
      </w:r>
      <w:r w:rsidRPr="00B43BC7" w:rsidR="00B43BC7">
        <w:t xml:space="preserve">TPPUs and associated equipment that produce Group IV polymers and resins </w:t>
      </w:r>
      <w:r w:rsidRPr="00B43BC7">
        <w:t xml:space="preserve">cause or contribute to air pollution that may reasonably be anticipated to endanger public health or welfare. Therefore, the </w:t>
      </w:r>
      <w:r w:rsidRPr="00B43BC7" w:rsidR="00AE70A5">
        <w:t>NESHAP</w:t>
      </w:r>
      <w:r w:rsidRPr="00B43BC7">
        <w:t xml:space="preserve"> were promulgated for this source category at 40 CFR Part </w:t>
      </w:r>
      <w:r w:rsidRPr="00B43BC7" w:rsidR="00B43BC7">
        <w:t>63</w:t>
      </w:r>
      <w:r w:rsidRPr="00B43BC7">
        <w:t>,</w:t>
      </w:r>
      <w:r w:rsidRPr="00B43BC7">
        <w:rPr>
          <w:b/>
          <w:bCs/>
          <w:i/>
          <w:iCs/>
        </w:rPr>
        <w:t xml:space="preserve"> </w:t>
      </w:r>
      <w:r w:rsidRPr="00B43BC7">
        <w:t xml:space="preserve">Subpart </w:t>
      </w:r>
      <w:r w:rsidRPr="00B43BC7" w:rsidR="00B43BC7">
        <w:t>JJJ.</w:t>
      </w:r>
    </w:p>
    <w:p w:rsidR="00D47CB3" w:rsidRPr="00E3122D" w:rsidP="00854AAE" w14:paraId="24F38A28" w14:textId="345BCCC4">
      <w:pPr>
        <w:pStyle w:val="ListParagraph"/>
        <w:numPr>
          <w:ilvl w:val="0"/>
          <w:numId w:val="25"/>
        </w:numPr>
        <w:pBdr>
          <w:bottom w:val="single" w:sz="4" w:space="1" w:color="auto"/>
        </w:pBdr>
        <w:spacing w:before="240" w:after="0"/>
        <w:rPr>
          <w:rFonts w:cstheme="minorHAnsi"/>
          <w:b/>
          <w:bCs/>
        </w:rPr>
      </w:pPr>
      <w:bookmarkStart w:id="3" w:name="_Toc156593369"/>
      <w:r w:rsidRPr="00E3122D">
        <w:rPr>
          <w:rFonts w:cstheme="minorHAnsi"/>
          <w:b/>
          <w:bCs/>
        </w:rPr>
        <w:t>PRACTICAL UTILITY/USERS OF THE DATA</w:t>
      </w:r>
      <w:bookmarkEnd w:id="3"/>
    </w:p>
    <w:p w:rsidR="004252C1" w:rsidRPr="00D47CB3" w:rsidP="00854AAE" w14:paraId="3E2FC7F8" w14:textId="1DCB8D2C">
      <w:pPr>
        <w:pBdr>
          <w:bottom w:val="single" w:sz="4" w:space="1" w:color="auto"/>
        </w:pBdr>
        <w:spacing w:before="60"/>
        <w:rPr>
          <w:rFonts w:ascii="Calibri" w:hAnsi="Calibri" w:cs="Calibri"/>
          <w:i/>
          <w:iCs/>
          <w:color w:val="000000"/>
          <w:shd w:val="clear" w:color="auto" w:fill="FFFFFF"/>
        </w:rPr>
      </w:pPr>
      <w:r w:rsidRPr="00D47CB3">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B43BC7" w:rsidRPr="008A5926" w:rsidP="00B43BC7" w14:paraId="301F26CB" w14:textId="03980E8D">
      <w:pPr>
        <w:pBdr>
          <w:top w:val="single" w:sz="6" w:space="0" w:color="FFFFFF"/>
          <w:left w:val="single" w:sz="6" w:space="0" w:color="FFFFFF"/>
          <w:bottom w:val="single" w:sz="6" w:space="0" w:color="FFFFFF"/>
          <w:right w:val="single" w:sz="6" w:space="0" w:color="FFFFFF"/>
        </w:pBdr>
      </w:pPr>
      <w:r w:rsidRPr="008A5926">
        <w:t>The recordkeeping and reporting requirements in the</w:t>
      </w:r>
      <w:r>
        <w:t>se</w:t>
      </w:r>
      <w:r w:rsidRPr="008A5926">
        <w:t xml:space="preserve"> standard</w:t>
      </w:r>
      <w:r>
        <w:t>s</w:t>
      </w:r>
      <w:r w:rsidRPr="008A5926">
        <w:t xml:space="preserve"> ensure compliance with the applicable regulations which were promulgated in accordance with the Clean Air Act. The collected information is also used for targeting inspections and as evidence in legal proceedings.</w:t>
      </w:r>
    </w:p>
    <w:p w:rsidR="00B43BC7" w:rsidRPr="008A5926" w:rsidP="00B43BC7" w14:paraId="0357E450" w14:textId="62E4D675">
      <w:pPr>
        <w:pBdr>
          <w:top w:val="single" w:sz="6" w:space="0" w:color="FFFFFF"/>
          <w:left w:val="single" w:sz="6" w:space="0" w:color="FFFFFF"/>
          <w:bottom w:val="single" w:sz="6" w:space="0" w:color="FFFFFF"/>
          <w:right w:val="single" w:sz="6" w:space="0" w:color="FFFFFF"/>
        </w:pBdr>
      </w:pPr>
      <w:r w:rsidRPr="008A5926">
        <w:t xml:space="preserve">Performance tests are required </w:t>
      </w:r>
      <w:r w:rsidRPr="008A5926">
        <w:t>in order to</w:t>
      </w:r>
      <w:r w:rsidRPr="008A5926">
        <w:t xml:space="preserve"> determine an affected facility’s initial capability to comply with the emission standard</w:t>
      </w:r>
      <w:r>
        <w:t>s</w:t>
      </w:r>
      <w:r w:rsidRPr="008A5926">
        <w:t xml:space="preserve">. Continuous emission monitors are used to </w:t>
      </w:r>
      <w:r w:rsidRPr="008A5926">
        <w:t>ensure compliance with the</w:t>
      </w:r>
      <w:r>
        <w:t>se</w:t>
      </w:r>
      <w:r w:rsidRPr="008A5926">
        <w:t xml:space="preserve"> </w:t>
      </w:r>
      <w:r w:rsidRPr="008A5926">
        <w:t>standard</w:t>
      </w:r>
      <w:r>
        <w:t>s</w:t>
      </w:r>
      <w:r w:rsidRPr="008A5926">
        <w:t xml:space="preserve"> at all times</w:t>
      </w:r>
      <w:r w:rsidRPr="008A5926">
        <w:t xml:space="preserve">. During the performance test a record of the operating parameters under which compliance was achieved may be recorded and used to determine compliance in place of a continuous emission monitor. </w:t>
      </w:r>
    </w:p>
    <w:p w:rsidR="00B43BC7" w:rsidRPr="008A5926" w:rsidP="00B43BC7" w14:paraId="5DDE7D32" w14:textId="77777777">
      <w:pPr>
        <w:pBdr>
          <w:top w:val="single" w:sz="6" w:space="0" w:color="FFFFFF"/>
          <w:left w:val="single" w:sz="6" w:space="0" w:color="FFFFFF"/>
          <w:bottom w:val="single" w:sz="6" w:space="0" w:color="FFFFFF"/>
          <w:right w:val="single" w:sz="6" w:space="0" w:color="FFFFFF"/>
        </w:pBdr>
      </w:pPr>
      <w:r w:rsidRPr="008A5926">
        <w:t>The notifications required in the</w:t>
      </w:r>
      <w:r>
        <w:t>se</w:t>
      </w:r>
      <w:r w:rsidRPr="008A5926">
        <w:t xml:space="preserve"> standard</w:t>
      </w:r>
      <w:r>
        <w:t>s</w:t>
      </w:r>
      <w:r w:rsidRPr="008A5926">
        <w:t xml:space="preserve"> are used to inform the Agency or delegated authority when a source becomes subject to the requirements of the regulations. The reviewing authority may then inspect the source to check if the pollution control devices are properly installed and operated, leaks are being detected and repaired, and </w:t>
      </w:r>
      <w:r>
        <w:t xml:space="preserve">that </w:t>
      </w:r>
      <w:r w:rsidRPr="008A5926">
        <w:t>the</w:t>
      </w:r>
      <w:r>
        <w:t>se</w:t>
      </w:r>
      <w:r w:rsidRPr="008A5926">
        <w:t xml:space="preserve"> standard</w:t>
      </w:r>
      <w:r>
        <w:t>s are</w:t>
      </w:r>
      <w:r w:rsidRPr="008A5926">
        <w:t xml:space="preserve"> being met. The performance test may also be observed.</w:t>
      </w:r>
    </w:p>
    <w:p w:rsidR="00BB432F" w:rsidP="00854AAE" w14:paraId="1E879A61" w14:textId="0017D72B">
      <w:pPr>
        <w:pBdr>
          <w:top w:val="single" w:sz="6" w:space="0" w:color="FFFFFF"/>
          <w:left w:val="single" w:sz="6" w:space="0" w:color="FFFFFF"/>
          <w:bottom w:val="single" w:sz="6" w:space="0" w:color="FFFFFF"/>
          <w:right w:val="single" w:sz="6" w:space="0" w:color="FFFFFF"/>
        </w:pBdr>
      </w:pPr>
      <w:r w:rsidRPr="008A5926">
        <w:t>The required semiannual reports are used to determine periods of excess emissions, identify problems at the facility, verify operation/maintenance procedures and for compliance determinations.</w:t>
      </w:r>
    </w:p>
    <w:p w:rsidR="00074917" w:rsidRPr="00E3122D" w:rsidP="00854AAE" w14:paraId="1522D565" w14:textId="4FA9A286">
      <w:pPr>
        <w:pStyle w:val="ListParagraph"/>
        <w:numPr>
          <w:ilvl w:val="0"/>
          <w:numId w:val="25"/>
        </w:numPr>
        <w:pBdr>
          <w:bottom w:val="single" w:sz="4" w:space="1" w:color="auto"/>
        </w:pBdr>
        <w:spacing w:before="240" w:after="0"/>
        <w:rPr>
          <w:rFonts w:cstheme="minorHAnsi"/>
          <w:b/>
          <w:bCs/>
        </w:rPr>
      </w:pPr>
      <w:bookmarkStart w:id="4" w:name="_Toc156593370"/>
      <w:r w:rsidRPr="00E3122D">
        <w:rPr>
          <w:rFonts w:cstheme="minorHAnsi"/>
          <w:b/>
          <w:bCs/>
        </w:rPr>
        <w:t>USE OF TECHNOLOGY</w:t>
      </w:r>
      <w:bookmarkEnd w:id="4"/>
    </w:p>
    <w:p w:rsidR="00D47CB3" w:rsidRPr="001F0834" w:rsidP="00854AAE" w14:paraId="50A4BA09" w14:textId="2FD9C2D1">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3123F" w:rsidRPr="0093123F" w:rsidP="0093123F" w14:paraId="2C287949" w14:textId="0FCF9F39">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Some of the respondents are using monitoring equipment that automatically records parameter data. Although personnel at the affected facility must still evaluate the data, internal automation has significantly reduced the burden associated with monitoring and recordkeeping at a plant site.</w:t>
      </w:r>
    </w:p>
    <w:p w:rsidR="0093123F" w:rsidRPr="0093123F" w:rsidP="0093123F" w14:paraId="27C1B65E" w14:textId="74F1348F">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The rule was amended to include electronic reporting provisions on</w:t>
      </w:r>
      <w:r w:rsidR="00E6717A">
        <w:rPr>
          <w:rFonts w:cstheme="minorHAnsi"/>
          <w:color w:val="000000"/>
        </w:rPr>
        <w:t xml:space="preserve"> March 27, </w:t>
      </w:r>
      <w:r w:rsidR="00E6717A">
        <w:rPr>
          <w:rFonts w:cstheme="minorHAnsi"/>
          <w:color w:val="000000"/>
        </w:rPr>
        <w:t>2014</w:t>
      </w:r>
      <w:r w:rsidR="00E6717A">
        <w:rPr>
          <w:rFonts w:cstheme="minorHAnsi"/>
          <w:color w:val="000000"/>
        </w:rPr>
        <w:t xml:space="preserve"> and</w:t>
      </w:r>
      <w:r w:rsidR="00B5008A">
        <w:rPr>
          <w:rFonts w:cstheme="minorHAnsi"/>
          <w:color w:val="000000"/>
        </w:rPr>
        <w:t xml:space="preserve"> </w:t>
      </w:r>
      <w:r w:rsidR="00E6717A">
        <w:rPr>
          <w:rFonts w:cstheme="minorHAnsi"/>
          <w:color w:val="000000"/>
        </w:rPr>
        <w:t xml:space="preserve">November 19, 2020. </w:t>
      </w:r>
      <w:r w:rsidRPr="0093123F">
        <w:rPr>
          <w:rFonts w:cstheme="minorHAnsi"/>
          <w:color w:val="000000"/>
        </w:rPr>
        <w:t>Respondents are required to use the EPA’s Electronic Reporting Tool (ERT) to develop performance test reports and performance evaluation reports and submit them through the EPA’s Compliance and Emissions Data Reporting Interface (CEDRI), which can be accessed through the EPA’s Central Data Exchange (CDX) (https://cdx.epa.gov/). The ERT is an application rather than a form, and the requirement to use the ERT is applicable to numerous subparts. The splash screen of the ERT contains a link to the Paperwork Reduction Act (PRA) requirements, such as the OMB Control Number, expiration date, and burden estimate for this and other subparts. Respondents are also required to submit electronic copies of certain notifications through EPA’s CEDRI. The notification is an upload of their currently required notification in portable document format (PDF) file. For purposes of this ICR, it is assumed that there is no additional burden associated with the requirement for respondents to submit the notifications and reports electronically. The supplemental files to this ICR renewal contain screenshots showing the CDX homepage for CEDRI login, the CEDRI PRA screen, the CEDRI interface for managing reports for various subparts, and the landing page of the ERT that shows the link to PRA information.</w:t>
      </w:r>
    </w:p>
    <w:p w:rsidR="0093123F" w:rsidRPr="0093123F" w:rsidP="0093123F" w14:paraId="4D7E0D9D"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 xml:space="preserve">Electronic copies of records may also be maintained </w:t>
      </w:r>
      <w:r w:rsidRPr="0093123F">
        <w:rPr>
          <w:rFonts w:cstheme="minorHAnsi"/>
          <w:color w:val="000000"/>
        </w:rPr>
        <w:t>in order to</w:t>
      </w:r>
      <w:r w:rsidRPr="0093123F">
        <w:rPr>
          <w:rFonts w:cstheme="minorHAnsi"/>
          <w:color w:val="000000"/>
        </w:rPr>
        <w:t xml:space="preserve"> satisfy federal recordkeeping requirements. For additional information on the Paperwork Reduction Act requirements for CEDRI and ERT for this rule, see: https://www.epa.gov/electronic-reporting-air-emissions/paperwork-reduction-act-pra-cedri-and-ert.</w:t>
      </w:r>
    </w:p>
    <w:p w:rsidR="005263EC" w:rsidRPr="00E3122D" w:rsidP="00854AAE" w14:paraId="2CB3B868" w14:textId="032BA9EC">
      <w:pPr>
        <w:pStyle w:val="ListParagraph"/>
        <w:numPr>
          <w:ilvl w:val="0"/>
          <w:numId w:val="25"/>
        </w:numPr>
        <w:pBdr>
          <w:bottom w:val="single" w:sz="4" w:space="1" w:color="auto"/>
        </w:pBdr>
        <w:spacing w:before="240" w:after="0"/>
        <w:rPr>
          <w:rFonts w:cstheme="minorHAnsi"/>
          <w:b/>
          <w:bCs/>
        </w:rPr>
      </w:pPr>
      <w:bookmarkStart w:id="5" w:name="_Toc156593371"/>
      <w:r w:rsidRPr="00E3122D">
        <w:rPr>
          <w:rFonts w:cstheme="minorHAnsi"/>
          <w:b/>
          <w:bCs/>
        </w:rPr>
        <w:t>EFFORTS TO IDENTIFY DUPLICATION</w:t>
      </w:r>
      <w:bookmarkEnd w:id="5"/>
    </w:p>
    <w:p w:rsidR="00D47CB3" w:rsidRPr="001F0834" w:rsidP="00854AAE" w14:paraId="15DFF081" w14:textId="57054C58">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p w:rsidR="00653D08" w:rsidRPr="000459E3" w:rsidP="00653D08" w14:paraId="2DA2D4B6" w14:textId="409396F1">
      <w:pPr>
        <w:pBdr>
          <w:top w:val="single" w:sz="6" w:space="0" w:color="FFFFFF"/>
          <w:left w:val="single" w:sz="6" w:space="0" w:color="FFFFFF"/>
          <w:bottom w:val="single" w:sz="6" w:space="0" w:color="FFFFFF"/>
          <w:right w:val="single" w:sz="6" w:space="0" w:color="FFFFFF"/>
        </w:pBdr>
        <w:rPr>
          <w:shd w:val="clear" w:color="auto" w:fill="FFFFFF"/>
        </w:rPr>
      </w:pPr>
      <w:bookmarkStart w:id="6" w:name="_Hlk77922001"/>
      <w:r w:rsidRPr="000459E3">
        <w:t>For reports required to be submitted electronically</w:t>
      </w:r>
      <w:r w:rsidRPr="000459E3">
        <w:rPr>
          <w:shd w:val="clear" w:color="auto" w:fill="FFFFFF"/>
        </w:rPr>
        <w:t>, the information is sent through the EPA's CDX, using CEDRI, where the appropriate EPA regional office can review it, as well as state and local agencies that have been delegated authority. If a state or local agency has adopted under its own authority its own standards for reporting or data collection, adherence to those non-Federal requirements does not constitute duplication. </w:t>
      </w:r>
    </w:p>
    <w:p w:rsidR="00ED57A4" w:rsidRPr="00653D08" w:rsidP="00854AAE" w14:paraId="0E470EF3" w14:textId="4B19B57D">
      <w:pPr>
        <w:rPr>
          <w:shd w:val="clear" w:color="auto" w:fill="FFFFFF"/>
        </w:rPr>
      </w:pPr>
      <w:r w:rsidRPr="000459E3">
        <w:rPr>
          <w:shd w:val="clear" w:color="auto" w:fill="FFFFFF"/>
        </w:rPr>
        <w:t>For all other reports, if the subject standards have not been delegated, the information is sent directly to the appropriate EPA regional office. Otherwise, the information is sent directly to the delegated state or local agency. If a state or local agency has adopted its own standards to implement the Federal standards, a copy of the report submitted to the state or local agency can be sent to the Administrator in lieu of the report required by the Federal standards. Therefore, duplication does not exist.</w:t>
      </w:r>
      <w:r w:rsidRPr="00C2600C">
        <w:rPr>
          <w:shd w:val="clear" w:color="auto" w:fill="FFFFFF"/>
        </w:rPr>
        <w:t> </w:t>
      </w:r>
      <w:bookmarkEnd w:id="6"/>
    </w:p>
    <w:p w:rsidR="00251151" w:rsidRPr="00E3122D" w:rsidP="4BDBF0A0" w14:paraId="79D36B3F" w14:textId="453397A5">
      <w:pPr>
        <w:pStyle w:val="ListParagraph"/>
        <w:numPr>
          <w:ilvl w:val="0"/>
          <w:numId w:val="25"/>
        </w:numPr>
        <w:pBdr>
          <w:bottom w:val="single" w:sz="4" w:space="1" w:color="auto"/>
        </w:pBdr>
        <w:spacing w:before="240" w:after="0"/>
        <w:rPr>
          <w:b/>
          <w:bCs/>
        </w:rPr>
      </w:pPr>
      <w:bookmarkStart w:id="7" w:name="_Toc156593372"/>
      <w:r w:rsidRPr="4BDBF0A0">
        <w:rPr>
          <w:b/>
          <w:bCs/>
        </w:rPr>
        <w:t xml:space="preserve">MINIMIZING BURDEN ON SMALL </w:t>
      </w:r>
      <w:r w:rsidRPr="4BDBF0A0" w:rsidR="0F43C128">
        <w:rPr>
          <w:b/>
          <w:bCs/>
        </w:rPr>
        <w:t xml:space="preserve">BUSINESSES AND SMALL </w:t>
      </w:r>
      <w:r w:rsidRPr="4BDBF0A0">
        <w:rPr>
          <w:b/>
          <w:bCs/>
        </w:rPr>
        <w:t>ENTITIES</w:t>
      </w:r>
      <w:bookmarkEnd w:id="7"/>
    </w:p>
    <w:p w:rsidR="00D47CB3" w:rsidRPr="001F0834" w:rsidP="00854AAE" w14:paraId="3D612A53" w14:textId="12EBD254">
      <w:pPr>
        <w:pBdr>
          <w:bottom w:val="single" w:sz="4" w:space="1" w:color="auto"/>
        </w:pBdr>
        <w:spacing w:before="60"/>
        <w:rPr>
          <w:rFonts w:cstheme="minorHAnsi"/>
          <w:i/>
          <w:iCs/>
        </w:rPr>
      </w:pPr>
      <w:r w:rsidRPr="001F0834">
        <w:rPr>
          <w:rFonts w:ascii="Calibri" w:hAnsi="Calibri" w:cs="Calibri"/>
          <w:i/>
          <w:iCs/>
          <w:color w:val="000000"/>
          <w:shd w:val="clear" w:color="auto" w:fill="FFFFFF"/>
        </w:rPr>
        <w:t>If the collection of information impacts small businesses or other small entities, describe any methods used to minimize burden.</w:t>
      </w:r>
    </w:p>
    <w:p w:rsidR="00ED57A4" w:rsidRPr="00E6717A" w:rsidP="00E6717A" w14:paraId="518B46AB" w14:textId="1E7E77F4">
      <w:pPr>
        <w:pBdr>
          <w:top w:val="single" w:sz="6" w:space="0" w:color="FFFFFF"/>
          <w:left w:val="single" w:sz="6" w:space="0" w:color="FFFFFF"/>
          <w:bottom w:val="single" w:sz="6" w:space="0" w:color="FFFFFF"/>
          <w:right w:val="single" w:sz="6" w:space="0" w:color="FFFFFF"/>
        </w:pBdr>
      </w:pPr>
      <w:r>
        <w:t>The</w:t>
      </w:r>
      <w:r w:rsidRPr="008A5926">
        <w:t xml:space="preserve"> majority of</w:t>
      </w:r>
      <w:r w:rsidRPr="008A5926">
        <w:t xml:space="preserve"> the respondents are large entities (i.e., large businesses). However, the impact on small entities (i.e., small businesses) was taken into consideration during the development of the</w:t>
      </w:r>
      <w:r>
        <w:t>se</w:t>
      </w:r>
      <w:r w:rsidRPr="008A5926">
        <w:t xml:space="preserve"> regulation</w:t>
      </w:r>
      <w:r>
        <w:t>s</w:t>
      </w:r>
      <w:r w:rsidRPr="008A5926">
        <w:t>. Due to technical considerations involving the process operations and the types of control equipment employed, the recordkeeping and reporting requirements are the same for both small and large entities. The Agency considers these to be the minimum requirements needed to ensure compliance and, therefore, cannot reduce them further for small entities. To the extent that larger businesses can use economies of scale to reduce their burden, the overall burden will be reduced.</w:t>
      </w:r>
    </w:p>
    <w:p w:rsidR="004252C1" w:rsidRPr="00E3122D" w:rsidP="4BDBF0A0" w14:paraId="1FF5A778" w14:textId="02F91DFF">
      <w:pPr>
        <w:pStyle w:val="ListParagraph"/>
        <w:numPr>
          <w:ilvl w:val="0"/>
          <w:numId w:val="25"/>
        </w:numPr>
        <w:pBdr>
          <w:bottom w:val="single" w:sz="4" w:space="1" w:color="auto"/>
        </w:pBdr>
        <w:spacing w:before="240" w:after="0"/>
        <w:rPr>
          <w:b/>
          <w:bCs/>
        </w:rPr>
      </w:pPr>
      <w:bookmarkStart w:id="8" w:name="_Toc156593373"/>
      <w:r w:rsidRPr="4BDBF0A0">
        <w:rPr>
          <w:b/>
          <w:bCs/>
        </w:rPr>
        <w:t>CONSEQUENCES</w:t>
      </w:r>
      <w:r w:rsidRPr="4BDBF0A0" w:rsidR="00061A77">
        <w:rPr>
          <w:b/>
          <w:bCs/>
        </w:rPr>
        <w:t xml:space="preserve"> OF LESS FREQUENT COLLECTION</w:t>
      </w:r>
      <w:bookmarkEnd w:id="8"/>
    </w:p>
    <w:p w:rsidR="00D47CB3" w:rsidRPr="001F0834" w:rsidP="00854AAE" w14:paraId="00E27992" w14:textId="51FE3814">
      <w:pPr>
        <w:pBdr>
          <w:bottom w:val="single" w:sz="4" w:space="1" w:color="auto"/>
        </w:pBdr>
        <w:tabs>
          <w:tab w:val="left" w:pos="921"/>
        </w:tabs>
        <w:spacing w:before="60"/>
        <w:rPr>
          <w:rFonts w:cstheme="minorHAnsi"/>
          <w:i/>
          <w:iCs/>
        </w:rPr>
      </w:pPr>
      <w:r w:rsidRPr="001F0834">
        <w:rPr>
          <w:rFonts w:ascii="Calibri" w:hAnsi="Calibri" w:cs="Calibr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ED57A4" w:rsidRPr="00653D08" w:rsidP="00653D08" w14:paraId="5934FB28" w14:textId="4392ADF0">
      <w:pPr>
        <w:pBdr>
          <w:top w:val="single" w:sz="6" w:space="0" w:color="FFFFFF"/>
          <w:left w:val="single" w:sz="6" w:space="0" w:color="FFFFFF"/>
          <w:bottom w:val="single" w:sz="6" w:space="0" w:color="FFFFFF"/>
          <w:right w:val="single" w:sz="6" w:space="0" w:color="FFFFFF"/>
        </w:pBdr>
        <w:rPr>
          <w:color w:val="000000"/>
        </w:rPr>
      </w:pPr>
      <w:r w:rsidRPr="00253DBC">
        <w:rPr>
          <w:color w:val="000000"/>
        </w:rPr>
        <w:t xml:space="preserve">Less frequent information collection would decrease the margin of assurance that facilities are continuing to meet the standards. Requirements for information gathering and recordkeeping are useful techniques to ensure that good operation and maintenance practices are </w:t>
      </w:r>
      <w:r w:rsidRPr="00253DBC">
        <w:rPr>
          <w:color w:val="000000"/>
        </w:rPr>
        <w:t>applied</w:t>
      </w:r>
      <w:r w:rsidRPr="00253DBC">
        <w:rPr>
          <w:color w:val="000000"/>
        </w:rPr>
        <w:t xml:space="preserve"> and emission limitations are met. If the information required by these standards was collected less frequently, the proper operation and maintenance of control equipment and the possibility of detecting violations would be less likely.</w:t>
      </w:r>
    </w:p>
    <w:p w:rsidR="00A233E0" w:rsidRPr="00E3122D" w:rsidP="00854AAE" w14:paraId="27596CC0" w14:textId="77777777">
      <w:pPr>
        <w:pStyle w:val="ListParagraph"/>
        <w:numPr>
          <w:ilvl w:val="0"/>
          <w:numId w:val="25"/>
        </w:numPr>
        <w:pBdr>
          <w:bottom w:val="single" w:sz="4" w:space="1" w:color="auto"/>
        </w:pBdr>
        <w:spacing w:before="240" w:after="0"/>
        <w:rPr>
          <w:rFonts w:cstheme="minorHAnsi"/>
          <w:b/>
          <w:bCs/>
        </w:rPr>
      </w:pPr>
      <w:bookmarkStart w:id="9" w:name="_Toc156593374"/>
      <w:r w:rsidRPr="00E3122D">
        <w:rPr>
          <w:rFonts w:cstheme="minorHAnsi"/>
          <w:b/>
          <w:bCs/>
        </w:rPr>
        <w:t>GENERAL GUIDELINES</w:t>
      </w:r>
      <w:bookmarkEnd w:id="9"/>
    </w:p>
    <w:p w:rsidR="00A233E0" w:rsidRPr="00A233E0" w:rsidP="00854AAE" w14:paraId="7754F228" w14:textId="2EAFBFAF">
      <w:pPr>
        <w:pBdr>
          <w:bottom w:val="single" w:sz="4" w:space="1" w:color="auto"/>
        </w:pBdr>
        <w:spacing w:before="60"/>
        <w:rPr>
          <w:rFonts w:cstheme="minorHAnsi"/>
        </w:rPr>
      </w:pPr>
      <w:r w:rsidRPr="00A233E0">
        <w:rPr>
          <w:rFonts w:cstheme="minorHAnsi"/>
          <w:i/>
          <w:iCs/>
        </w:rPr>
        <w:t>Explain any special circumstances that require the collection to be conducted in a manner inconsistent with OMB guidelines.</w:t>
      </w:r>
    </w:p>
    <w:p w:rsidR="00653D08" w:rsidP="00653D08" w14:paraId="72982BD8" w14:textId="5BF604F1">
      <w:pPr>
        <w:pBdr>
          <w:top w:val="single" w:sz="6" w:space="0" w:color="FFFFFF"/>
          <w:left w:val="single" w:sz="6" w:space="0" w:color="FFFFFF"/>
          <w:bottom w:val="single" w:sz="6" w:space="0" w:color="FFFFFF"/>
          <w:right w:val="single" w:sz="6" w:space="0" w:color="FFFFFF"/>
        </w:pBdr>
        <w:rPr>
          <w:color w:val="000000"/>
        </w:rPr>
      </w:pPr>
      <w:r w:rsidRPr="00253DBC">
        <w:rPr>
          <w:color w:val="000000"/>
        </w:rPr>
        <w:t>These reporting or recordkeeping requirements do not violate any of the regulations promulgated by OMB under 5 CFR Part 1320, Section 1320.5.</w:t>
      </w:r>
    </w:p>
    <w:p w:rsidR="00111663" w:rsidRPr="00E6717A" w:rsidP="00854AAE" w14:paraId="775EDF16" w14:textId="6654BB20">
      <w:pPr>
        <w:pBdr>
          <w:top w:val="single" w:sz="6" w:space="0" w:color="FFFFFF"/>
          <w:left w:val="single" w:sz="6" w:space="0" w:color="FFFFFF"/>
          <w:bottom w:val="single" w:sz="6" w:space="0" w:color="FFFFFF"/>
          <w:right w:val="single" w:sz="6" w:space="0" w:color="FFFFFF"/>
        </w:pBdr>
      </w:pPr>
      <w:r w:rsidRPr="00E6717A">
        <w:t>These standards require the respondents to maintain all records, including reports and notifications for at least five years. This is consistent with the General Provisions as applied to the standards. EPA believes that the five-year records retention requirement is consistent with the Part 70 permit program and the five-year statute of limitations on which the permit program is based. The retention of records for five years allows EPA to establish the compliance history of a source, any pattern of non-compliance and to determine the appropriate level of enforcement action. EPA has found that the most flagrant violators have violations extending beyond five years. In addition, EPA would be prevented from pursuing the violators due to the destruction or nonexistence of essential records.</w:t>
      </w:r>
    </w:p>
    <w:p w:rsidR="006036CD" w:rsidRPr="00E3122D" w:rsidP="00854AAE" w14:paraId="02EE9B8D" w14:textId="77777777">
      <w:pPr>
        <w:pStyle w:val="ListParagraph"/>
        <w:numPr>
          <w:ilvl w:val="0"/>
          <w:numId w:val="25"/>
        </w:numPr>
        <w:pBdr>
          <w:bottom w:val="single" w:sz="4" w:space="1" w:color="auto"/>
        </w:pBdr>
        <w:spacing w:before="240" w:after="0"/>
        <w:rPr>
          <w:rFonts w:cstheme="minorHAnsi"/>
          <w:b/>
          <w:bCs/>
        </w:rPr>
      </w:pPr>
      <w:bookmarkStart w:id="10" w:name="_Toc156593375"/>
      <w:r w:rsidRPr="00E3122D">
        <w:rPr>
          <w:rFonts w:cstheme="minorHAnsi"/>
          <w:b/>
          <w:bCs/>
        </w:rPr>
        <w:t>PUBLIC COMMENT AND CONSULTATIONS</w:t>
      </w:r>
      <w:bookmarkStart w:id="11" w:name="_Toc156593376"/>
      <w:bookmarkEnd w:id="10"/>
    </w:p>
    <w:p w:rsidR="00DD2682" w:rsidRPr="00E3122D" w:rsidP="00854AAE" w14:paraId="4922639E" w14:textId="016E742A">
      <w:pPr>
        <w:spacing w:before="120" w:after="0"/>
        <w:rPr>
          <w:rFonts w:cstheme="minorHAnsi"/>
          <w:b/>
          <w:bCs/>
        </w:rPr>
      </w:pPr>
      <w:r w:rsidRPr="00E3122D">
        <w:rPr>
          <w:rFonts w:cstheme="minorHAnsi"/>
          <w:b/>
          <w:bCs/>
        </w:rPr>
        <w:t xml:space="preserve">8a. </w:t>
      </w:r>
      <w:r w:rsidRPr="00E3122D" w:rsidR="00A82647">
        <w:rPr>
          <w:rFonts w:cstheme="minorHAnsi"/>
          <w:b/>
          <w:bCs/>
        </w:rPr>
        <w:t>Public Comment</w:t>
      </w:r>
      <w:bookmarkStart w:id="12" w:name="_Toc156593377"/>
      <w:bookmarkEnd w:id="11"/>
    </w:p>
    <w:p w:rsidR="00A233E0" w:rsidRPr="00A233E0" w:rsidP="00854AAE" w14:paraId="4D2D25D5" w14:textId="77777777">
      <w:pPr>
        <w:spacing w:line="240" w:lineRule="auto"/>
        <w:rPr>
          <w:rFonts w:cstheme="minorHAnsi"/>
          <w:i/>
          <w:iCs/>
        </w:rPr>
      </w:pPr>
      <w:r w:rsidRPr="00A233E0">
        <w:rPr>
          <w:rFonts w:cstheme="minorHAnsi"/>
          <w:i/>
          <w:iCs/>
        </w:rPr>
        <w:t xml:space="preserve">If applicable, provide a copy and identify the date and page number of </w:t>
      </w:r>
      <w:r w:rsidRPr="00A233E0">
        <w:rPr>
          <w:rFonts w:cstheme="minorHAnsi"/>
          <w:i/>
          <w:iCs/>
        </w:rPr>
        <w:t>publication</w:t>
      </w:r>
      <w:r w:rsidRPr="00A233E0">
        <w:rPr>
          <w:rFonts w:cstheme="minorHAnsi"/>
          <w:i/>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3123F" w:rsidP="00854AAE" w14:paraId="08AC9840" w14:textId="23D7E0FB">
      <w:pPr>
        <w:spacing w:before="120" w:after="0"/>
        <w:rPr>
          <w:rFonts w:cstheme="minorHAnsi"/>
          <w:color w:val="000000"/>
        </w:rPr>
      </w:pPr>
      <w:r w:rsidRPr="0093123F">
        <w:rPr>
          <w:rFonts w:cstheme="minorHAnsi"/>
          <w:color w:val="000000"/>
        </w:rPr>
        <w:t>An announcement of a public comment period for the renewal of this ICR was published in the Federal Register (</w:t>
      </w:r>
      <w:r w:rsidRPr="0015347D" w:rsidR="00B044B2">
        <w:rPr>
          <w:rFonts w:cstheme="minorHAnsi"/>
        </w:rPr>
        <w:t>89</w:t>
      </w:r>
      <w:r w:rsidRPr="0015347D">
        <w:rPr>
          <w:rFonts w:cstheme="minorHAnsi"/>
        </w:rPr>
        <w:t xml:space="preserve"> FR </w:t>
      </w:r>
      <w:r w:rsidRPr="0015347D" w:rsidR="0015347D">
        <w:rPr>
          <w:rFonts w:cstheme="minorHAnsi"/>
        </w:rPr>
        <w:t>63933</w:t>
      </w:r>
      <w:r w:rsidRPr="0015347D">
        <w:rPr>
          <w:rFonts w:cstheme="minorHAnsi"/>
        </w:rPr>
        <w:t xml:space="preserve">) on </w:t>
      </w:r>
      <w:r w:rsidRPr="0015347D" w:rsidR="0015347D">
        <w:rPr>
          <w:rFonts w:cstheme="minorHAnsi"/>
        </w:rPr>
        <w:t>August 6, 2024</w:t>
      </w:r>
      <w:r w:rsidRPr="0015347D">
        <w:rPr>
          <w:rFonts w:cstheme="minorHAnsi"/>
        </w:rPr>
        <w:t>.</w:t>
      </w:r>
      <w:r w:rsidRPr="0093123F">
        <w:rPr>
          <w:rFonts w:cstheme="minorHAnsi"/>
          <w:color w:val="000000"/>
        </w:rPr>
        <w:t xml:space="preserve"> No comments were received on the burden published in the Federal Register for this renewal.</w:t>
      </w:r>
    </w:p>
    <w:p w:rsidR="00DB7775" w:rsidRPr="00E3122D" w:rsidP="00854AAE" w14:paraId="71A9B3CC" w14:textId="38434B4D">
      <w:pPr>
        <w:spacing w:before="120" w:after="0"/>
        <w:rPr>
          <w:rFonts w:cstheme="minorHAnsi"/>
          <w:b/>
          <w:bCs/>
        </w:rPr>
      </w:pPr>
      <w:r w:rsidRPr="00E3122D">
        <w:rPr>
          <w:rFonts w:cstheme="minorHAnsi"/>
          <w:b/>
          <w:bCs/>
        </w:rPr>
        <w:t xml:space="preserve">8b. </w:t>
      </w:r>
      <w:r w:rsidRPr="00E3122D" w:rsidR="0061689C">
        <w:rPr>
          <w:rFonts w:cstheme="minorHAnsi"/>
          <w:b/>
          <w:bCs/>
        </w:rPr>
        <w:t>C</w:t>
      </w:r>
      <w:bookmarkEnd w:id="12"/>
      <w:r w:rsidRPr="00E3122D" w:rsidR="005D140B">
        <w:rPr>
          <w:rFonts w:cstheme="minorHAnsi"/>
          <w:b/>
          <w:bCs/>
        </w:rPr>
        <w:t>onsultations</w:t>
      </w:r>
    </w:p>
    <w:p w:rsidR="00A233E0" w:rsidRPr="00A233E0" w:rsidP="00854AAE" w14:paraId="04F99483" w14:textId="77777777">
      <w:pPr>
        <w:rPr>
          <w:rFonts w:cstheme="minorHAnsi"/>
          <w:i/>
          <w:iCs/>
        </w:rPr>
      </w:pPr>
      <w:r w:rsidRPr="00A233E0">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93123F" w:rsidRPr="00FE090D" w:rsidP="0093123F" w14:paraId="0D342960" w14:textId="501BD315">
      <w:pPr>
        <w:rPr>
          <w:rFonts w:cstheme="minorHAnsi"/>
        </w:rPr>
      </w:pPr>
      <w:r w:rsidRPr="00FE090D">
        <w:rPr>
          <w:rFonts w:cstheme="minorHAnsi"/>
        </w:rPr>
        <w:t>The Agency has consulted industry experts and internal data sources to project the number of affected facilities and industry growth over the next three years. The primary source of information as reported by industry, in compliance with the recordkeeping and reporting provisions in the standard, is the Integrated Compliance Information System (ICIS). ICIS is EPA’s database for the collection, maintenance, and retrieval of compliance data for industrial and government-owned facilities. The growth rate for the industry is based on our consultations with the Agency’s internal industry experts. Approximately six respondents will be subject to the standard over the three-year period covered by this ICR.</w:t>
      </w:r>
    </w:p>
    <w:p w:rsidR="0093123F" w:rsidRPr="00FE090D" w:rsidP="0093123F" w14:paraId="2523EFF7" w14:textId="55AD98E2">
      <w:pPr>
        <w:rPr>
          <w:rFonts w:cstheme="minorHAnsi"/>
        </w:rPr>
      </w:pPr>
      <w:r w:rsidRPr="00FE090D">
        <w:rPr>
          <w:rFonts w:cstheme="minorHAnsi"/>
        </w:rPr>
        <w:t>Industry trade association(s) and other interested parties were provided an opportunity to comment on the burden associated with the standard as it was being developed and the standard has been previously reviewed to determine the minimum information needed for compliance purposes. In developing this ICR, we contacted both the</w:t>
      </w:r>
      <w:r w:rsidR="00E6717A">
        <w:rPr>
          <w:rFonts w:cstheme="minorHAnsi"/>
        </w:rPr>
        <w:t xml:space="preserve"> Plastics Industry Association</w:t>
      </w:r>
      <w:r w:rsidRPr="00FE090D">
        <w:rPr>
          <w:rFonts w:cstheme="minorHAnsi"/>
        </w:rPr>
        <w:t xml:space="preserve"> at</w:t>
      </w:r>
      <w:r w:rsidR="00E6717A">
        <w:rPr>
          <w:rFonts w:cstheme="minorHAnsi"/>
        </w:rPr>
        <w:t xml:space="preserve"> 202-</w:t>
      </w:r>
      <w:r w:rsidRPr="00E6717A" w:rsidR="00E6717A">
        <w:t xml:space="preserve"> </w:t>
      </w:r>
      <w:r w:rsidRPr="00E6717A" w:rsidR="00E6717A">
        <w:rPr>
          <w:rFonts w:cstheme="minorHAnsi"/>
        </w:rPr>
        <w:t>974-5200</w:t>
      </w:r>
      <w:r w:rsidR="00E6717A">
        <w:rPr>
          <w:rFonts w:cstheme="minorHAnsi"/>
        </w:rPr>
        <w:t>,</w:t>
      </w:r>
      <w:r w:rsidRPr="00FE090D">
        <w:rPr>
          <w:rFonts w:cstheme="minorHAnsi"/>
        </w:rPr>
        <w:t xml:space="preserve"> and </w:t>
      </w:r>
      <w:r>
        <w:rPr>
          <w:rFonts w:cstheme="minorHAnsi"/>
        </w:rPr>
        <w:t xml:space="preserve">the </w:t>
      </w:r>
      <w:r w:rsidR="00E6717A">
        <w:rPr>
          <w:rFonts w:cstheme="minorHAnsi"/>
        </w:rPr>
        <w:t xml:space="preserve">American Composites Manufacturers Association </w:t>
      </w:r>
      <w:r w:rsidRPr="00FE090D">
        <w:rPr>
          <w:rFonts w:cstheme="minorHAnsi"/>
        </w:rPr>
        <w:t>at</w:t>
      </w:r>
      <w:r w:rsidR="00E6717A">
        <w:rPr>
          <w:rFonts w:cstheme="minorHAnsi"/>
        </w:rPr>
        <w:t xml:space="preserve"> </w:t>
      </w:r>
      <w:r w:rsidRPr="00E6717A" w:rsidR="00E6717A">
        <w:rPr>
          <w:rFonts w:cstheme="minorHAnsi"/>
        </w:rPr>
        <w:t>703-525-0511</w:t>
      </w:r>
      <w:r w:rsidRPr="00FE090D">
        <w:rPr>
          <w:rFonts w:cstheme="minorHAnsi"/>
        </w:rPr>
        <w:t>.</w:t>
      </w:r>
      <w:r>
        <w:rPr>
          <w:rFonts w:cstheme="minorHAnsi"/>
        </w:rPr>
        <w:t xml:space="preserve"> In this case, no comments were received.</w:t>
      </w:r>
    </w:p>
    <w:p w:rsidR="00111663" w:rsidRPr="00BB3410" w:rsidP="00854AAE" w14:paraId="5E198479" w14:textId="30676B02">
      <w:pPr>
        <w:rPr>
          <w:rFonts w:cstheme="minorHAnsi"/>
        </w:rPr>
      </w:pPr>
      <w:r w:rsidRPr="00FE090D">
        <w:rPr>
          <w:rFonts w:cstheme="minorHAnsi"/>
        </w:rPr>
        <w:t>It is our policy to respond after a thorough review of comments received since the last ICR renewal as well as those submitted in response to the first Federal Register notice. In this case, no comments were received.</w:t>
      </w:r>
    </w:p>
    <w:p w:rsidR="00A233E0" w:rsidRPr="00E3122D" w:rsidP="00854AAE" w14:paraId="191560B2" w14:textId="5C828595">
      <w:pPr>
        <w:pStyle w:val="ListParagraph"/>
        <w:numPr>
          <w:ilvl w:val="0"/>
          <w:numId w:val="25"/>
        </w:numPr>
        <w:pBdr>
          <w:bottom w:val="single" w:sz="4" w:space="1" w:color="auto"/>
        </w:pBdr>
        <w:spacing w:before="240" w:after="0"/>
        <w:rPr>
          <w:rFonts w:cstheme="minorHAnsi"/>
          <w:b/>
          <w:bCs/>
        </w:rPr>
      </w:pPr>
      <w:bookmarkStart w:id="13" w:name="_Toc156593378"/>
      <w:r w:rsidRPr="00E3122D">
        <w:rPr>
          <w:rFonts w:cstheme="minorHAnsi"/>
          <w:b/>
          <w:bCs/>
        </w:rPr>
        <w:t>PAYMENTS OR GIFTS TO RESPONDENTS</w:t>
      </w:r>
      <w:bookmarkEnd w:id="13"/>
    </w:p>
    <w:p w:rsidR="00D47CB3" w:rsidRPr="00D47CB3" w:rsidP="00854AAE" w14:paraId="5B1B6C7F" w14:textId="1A951D95">
      <w:pPr>
        <w:pBdr>
          <w:bottom w:val="single" w:sz="4" w:space="1" w:color="auto"/>
        </w:pBdr>
        <w:spacing w:before="60"/>
        <w:rPr>
          <w:rFonts w:cstheme="minorHAnsi"/>
        </w:rPr>
      </w:pPr>
      <w:r w:rsidRPr="00A233E0">
        <w:rPr>
          <w:rFonts w:cstheme="minorHAnsi"/>
          <w:i/>
          <w:iCs/>
        </w:rPr>
        <w:t>Explain any decisions to provide payments or gifts to respondents, other than remuneration of contractors or grantees.</w:t>
      </w:r>
    </w:p>
    <w:p w:rsidR="00ED57A4" w:rsidRPr="00BB3410" w:rsidP="00854AAE" w14:paraId="0D75D3D3" w14:textId="13726668">
      <w:pPr>
        <w:rPr>
          <w:rFonts w:cstheme="minorHAnsi"/>
        </w:rPr>
      </w:pPr>
      <w:r w:rsidRPr="0036059B">
        <w:rPr>
          <w:rStyle w:val="normaltextrun"/>
          <w:color w:val="000000"/>
          <w:bdr w:val="none" w:sz="0" w:space="0" w:color="auto" w:frame="1"/>
        </w:rPr>
        <w:t>No payments or gifts are made to respondents.</w:t>
      </w:r>
    </w:p>
    <w:p w:rsidR="4C04BBF2" w:rsidP="4BDBF0A0" w14:paraId="333FE36D" w14:textId="45DEA41F">
      <w:pPr>
        <w:pStyle w:val="ListParagraph"/>
        <w:numPr>
          <w:ilvl w:val="0"/>
          <w:numId w:val="25"/>
        </w:numPr>
        <w:pBdr>
          <w:bottom w:val="single" w:sz="4" w:space="1" w:color="auto"/>
        </w:pBdr>
        <w:spacing w:before="240" w:after="0"/>
        <w:rPr>
          <w:b/>
          <w:bCs/>
        </w:rPr>
      </w:pPr>
      <w:r w:rsidRPr="4BDBF0A0">
        <w:rPr>
          <w:b/>
          <w:bCs/>
        </w:rPr>
        <w:t>ASSURANCE OF CONFIDENTIALITY</w:t>
      </w:r>
    </w:p>
    <w:p w:rsidR="00A233E0" w:rsidRPr="00A233E0" w:rsidP="00854AAE" w14:paraId="429AF986" w14:textId="40745D8B">
      <w:pPr>
        <w:pBdr>
          <w:bottom w:val="single" w:sz="4" w:space="1" w:color="auto"/>
        </w:pBdr>
        <w:spacing w:before="60"/>
        <w:rPr>
          <w:rFonts w:cstheme="minorHAnsi"/>
        </w:rPr>
      </w:pPr>
      <w:r w:rsidRPr="00A233E0">
        <w:rPr>
          <w:rFonts w:cstheme="minorHAnsi"/>
          <w:i/>
          <w:iCs/>
        </w:rPr>
        <w:t xml:space="preserve">Describe any assurance of confidentiality provided to respondents and the basis for the assurance in statute, regulation, or Agency policy. If the collection requires a </w:t>
      </w:r>
      <w:r w:rsidRPr="00A233E0">
        <w:rPr>
          <w:rFonts w:cstheme="minorHAnsi"/>
          <w:i/>
          <w:iCs/>
        </w:rPr>
        <w:t>systems of records notice (SORN)</w:t>
      </w:r>
      <w:r w:rsidRPr="00A233E0">
        <w:rPr>
          <w:rFonts w:cstheme="minorHAnsi"/>
          <w:i/>
          <w:iCs/>
        </w:rPr>
        <w:t xml:space="preserve"> or privacy impact assessment (PIA), those should be cited and described here.</w:t>
      </w:r>
    </w:p>
    <w:p w:rsidR="009F1E00" w:rsidRPr="00BB3410" w:rsidP="00854AAE" w14:paraId="3676EBC5" w14:textId="1FCA22E2">
      <w:pPr>
        <w:pBdr>
          <w:top w:val="single" w:sz="6" w:space="0" w:color="FFFFFF"/>
          <w:left w:val="single" w:sz="6" w:space="0" w:color="FFFFFF"/>
          <w:bottom w:val="single" w:sz="6" w:space="0" w:color="FFFFFF"/>
          <w:right w:val="single" w:sz="6" w:space="0" w:color="FFFFFF"/>
        </w:pBdr>
        <w:rPr>
          <w:rFonts w:cstheme="minorHAnsi"/>
          <w:color w:val="000000"/>
        </w:rPr>
      </w:pPr>
      <w:r w:rsidRPr="00141AC2">
        <w:rPr>
          <w:rFonts w:cstheme="minorHAnsi"/>
          <w:color w:val="000000"/>
        </w:rPr>
        <w:t>Any information submitted to the Agency for which a claim of confidentiality is made will be safeguarded according to the Agency policies set forth in Title 40, chapter 1, part 2, subpart B - Confidentiality of Business Information (see 40 CFR 2; 41 FR 36902, September 1, 1976; amended by 43 FR 40000, September 8, 1978; 43 FR 42251, September 20, 1978; 44 FR 17674, March 23, 1979).</w:t>
      </w:r>
    </w:p>
    <w:p w:rsidR="00A233E0" w:rsidRPr="00E3122D" w:rsidP="00854AAE" w14:paraId="36FBAEFB" w14:textId="77777777">
      <w:pPr>
        <w:pStyle w:val="ListParagraph"/>
        <w:numPr>
          <w:ilvl w:val="0"/>
          <w:numId w:val="25"/>
        </w:numPr>
        <w:pBdr>
          <w:bottom w:val="single" w:sz="4" w:space="1" w:color="auto"/>
        </w:pBdr>
        <w:spacing w:before="240" w:after="0"/>
        <w:rPr>
          <w:rFonts w:cstheme="minorHAnsi"/>
          <w:b/>
          <w:bCs/>
        </w:rPr>
      </w:pPr>
      <w:bookmarkStart w:id="14" w:name="_Toc156593380"/>
      <w:r w:rsidRPr="4BDBF0A0">
        <w:rPr>
          <w:b/>
          <w:bCs/>
        </w:rPr>
        <w:t>JUSTIFICATION FOR SENSITIVE QUESTIONS</w:t>
      </w:r>
      <w:bookmarkEnd w:id="14"/>
    </w:p>
    <w:p w:rsidR="00A233E0" w:rsidRPr="00A233E0" w:rsidP="00854AAE" w14:paraId="6E3B78D8" w14:textId="5C334C1C">
      <w:pPr>
        <w:pBdr>
          <w:bottom w:val="single" w:sz="4" w:space="1" w:color="auto"/>
        </w:pBdr>
        <w:spacing w:before="60"/>
        <w:rPr>
          <w:rFonts w:cstheme="minorHAnsi"/>
        </w:rPr>
      </w:pPr>
      <w:r w:rsidRPr="00A233E0">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F1E00" w:rsidRPr="00BB3410" w:rsidP="00854AAE" w14:paraId="77467D05" w14:textId="2870C734">
      <w:pPr>
        <w:pBdr>
          <w:top w:val="single" w:sz="6" w:space="0" w:color="FFFFFF"/>
          <w:left w:val="single" w:sz="6" w:space="0" w:color="FFFFFF"/>
          <w:bottom w:val="single" w:sz="6" w:space="0" w:color="FFFFFF"/>
          <w:right w:val="single" w:sz="6" w:space="0" w:color="FFFFFF"/>
        </w:pBdr>
        <w:rPr>
          <w:rFonts w:cstheme="minorHAnsi"/>
          <w:color w:val="000000"/>
        </w:rPr>
      </w:pPr>
      <w:r w:rsidRPr="005E4C2F">
        <w:rPr>
          <w:rFonts w:cstheme="minorHAnsi"/>
          <w:color w:val="000000"/>
        </w:rPr>
        <w:t>The reporting or recordkeeping requirements in the standard do not include sensitive questions.</w:t>
      </w:r>
    </w:p>
    <w:p w:rsidR="001172FE" w:rsidRPr="00E3122D" w:rsidP="00854AAE" w14:paraId="637A8E82" w14:textId="77777777">
      <w:pPr>
        <w:pStyle w:val="ListParagraph"/>
        <w:numPr>
          <w:ilvl w:val="0"/>
          <w:numId w:val="25"/>
        </w:numPr>
        <w:spacing w:before="240" w:after="0"/>
        <w:rPr>
          <w:rFonts w:cstheme="minorHAnsi"/>
          <w:b/>
          <w:bCs/>
        </w:rPr>
      </w:pPr>
      <w:bookmarkStart w:id="15" w:name="_Toc156593381"/>
      <w:r w:rsidRPr="4BDBF0A0">
        <w:rPr>
          <w:b/>
          <w:bCs/>
        </w:rPr>
        <w:t>RESPONDENT BURDEN HOURS</w:t>
      </w:r>
      <w:r w:rsidRPr="4BDBF0A0" w:rsidR="00DB799B">
        <w:rPr>
          <w:b/>
          <w:bCs/>
        </w:rPr>
        <w:t xml:space="preserve"> &amp; LABOR COSTS</w:t>
      </w:r>
      <w:bookmarkStart w:id="16" w:name="_Toc156593382"/>
      <w:bookmarkEnd w:id="15"/>
    </w:p>
    <w:p w:rsidR="00A233E0" w:rsidRPr="00F532D6" w:rsidP="00163C69" w14:paraId="71F2FC12" w14:textId="77777777">
      <w:pPr>
        <w:pStyle w:val="ListParagraph"/>
        <w:ind w:left="0"/>
        <w:rPr>
          <w:rFonts w:cstheme="minorHAnsi"/>
          <w:i/>
          <w:iCs/>
        </w:rPr>
      </w:pPr>
      <w:r w:rsidRPr="00F532D6">
        <w:rPr>
          <w:rFonts w:cstheme="minorHAnsi"/>
          <w:i/>
          <w:iCs/>
        </w:rPr>
        <w:t>Provide estimates of the hour burden of the collection of information. The statement should:</w:t>
      </w:r>
    </w:p>
    <w:p w:rsidR="00A233E0" w:rsidRPr="00F532D6" w:rsidP="006E197A" w14:paraId="11BD2D70" w14:textId="77777777">
      <w:pPr>
        <w:pStyle w:val="ListParagraph"/>
        <w:numPr>
          <w:ilvl w:val="0"/>
          <w:numId w:val="14"/>
        </w:numPr>
        <w:ind w:left="446"/>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A233E0" w:rsidRPr="00F532D6" w:rsidP="001F0834" w14:paraId="2184CE92" w14:textId="77777777">
      <w:pPr>
        <w:pStyle w:val="ListParagraph"/>
        <w:numPr>
          <w:ilvl w:val="0"/>
          <w:numId w:val="14"/>
        </w:numPr>
        <w:ind w:left="450"/>
        <w:rPr>
          <w:rFonts w:cstheme="minorHAnsi"/>
          <w:i/>
          <w:iCs/>
        </w:rPr>
      </w:pPr>
      <w:r w:rsidRPr="00F532D6">
        <w:rPr>
          <w:rFonts w:cstheme="minorHAnsi"/>
          <w:i/>
          <w:iCs/>
        </w:rPr>
        <w:t>If this request for approval covers more than one form, provide separate hour burden estimates for each form and the aggregate the hour burdens.</w:t>
      </w:r>
    </w:p>
    <w:p w:rsidR="00A233E0" w:rsidRPr="00F532D6" w:rsidP="00854AAE" w14:paraId="7EF5894F" w14:textId="5EEBA470">
      <w:pPr>
        <w:pStyle w:val="ListParagraph"/>
        <w:numPr>
          <w:ilvl w:val="0"/>
          <w:numId w:val="14"/>
        </w:numPr>
        <w:pBdr>
          <w:bottom w:val="single" w:sz="4" w:space="1" w:color="auto"/>
        </w:pBdr>
        <w:ind w:left="446"/>
        <w:rPr>
          <w:rFonts w:cstheme="minorHAnsi"/>
          <w:i/>
          <w:iCs/>
        </w:rPr>
      </w:pPr>
      <w:r w:rsidRPr="00F532D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001F0834">
        <w:rPr>
          <w:rFonts w:cstheme="minorHAnsi"/>
          <w:i/>
          <w:iCs/>
        </w:rPr>
        <w:t>.</w:t>
      </w:r>
    </w:p>
    <w:p w:rsidR="001172FE" w:rsidRPr="00E3122D" w:rsidP="00854AAE" w14:paraId="571186E5" w14:textId="2917827F">
      <w:pPr>
        <w:spacing w:before="120" w:after="0"/>
        <w:rPr>
          <w:rFonts w:cstheme="minorHAnsi"/>
          <w:b/>
          <w:bCs/>
        </w:rPr>
      </w:pPr>
      <w:r w:rsidRPr="00E3122D">
        <w:rPr>
          <w:rFonts w:cstheme="minorHAnsi"/>
          <w:b/>
          <w:bCs/>
        </w:rPr>
        <w:t xml:space="preserve">12a. </w:t>
      </w:r>
      <w:r w:rsidRPr="00E3122D" w:rsidR="00557E8F">
        <w:rPr>
          <w:rFonts w:cstheme="minorHAnsi"/>
          <w:b/>
          <w:bCs/>
        </w:rPr>
        <w:t>Respondents/NAICS Codes</w:t>
      </w:r>
      <w:bookmarkStart w:id="17" w:name="_Toc156593383"/>
      <w:bookmarkEnd w:id="16"/>
    </w:p>
    <w:p w:rsidR="00E6717A" w:rsidRPr="001C7948" w:rsidP="00E6717A" w14:paraId="1AAEE2E7" w14:textId="77777777">
      <w:pPr>
        <w:pBdr>
          <w:top w:val="single" w:sz="6" w:space="0" w:color="FFFFFF"/>
          <w:left w:val="single" w:sz="6" w:space="0" w:color="FFFFFF"/>
          <w:bottom w:val="single" w:sz="6" w:space="0" w:color="FFFFFF"/>
          <w:right w:val="single" w:sz="6" w:space="0" w:color="FFFFFF"/>
        </w:pBdr>
      </w:pPr>
      <w:r w:rsidRPr="00BB7977">
        <w:rPr>
          <w:rFonts w:cstheme="minorHAnsi"/>
          <w:color w:val="000000"/>
        </w:rPr>
        <w:t>The respondents to the recordkeeping and reporting requirements are</w:t>
      </w:r>
      <w:r>
        <w:rPr>
          <w:rFonts w:cstheme="minorHAnsi"/>
          <w:color w:val="000000"/>
        </w:rPr>
        <w:t xml:space="preserve"> </w:t>
      </w:r>
      <w:r w:rsidRPr="008A5926">
        <w:t>owners or operators of any existing or new TPPUs and associated equipment that produce Group IV polymers and resins that are a major source of HAP emissions</w:t>
      </w:r>
      <w:r w:rsidRPr="001C7948">
        <w:t xml:space="preserve">. The United States Standard Industrial Classification (SIC) code for the </w:t>
      </w:r>
      <w:r w:rsidRPr="001C7948">
        <w:t xml:space="preserve">respondents affected by the standards is </w:t>
      </w:r>
      <w:r w:rsidRPr="001C7948">
        <w:t>SIC</w:t>
      </w:r>
      <w:r w:rsidRPr="001C7948">
        <w:t xml:space="preserve"> 2821, which corresponds to the North American Industry Classification System (NAICS) 325211 for Plastic Material and Resin Manufacturing. </w:t>
      </w:r>
    </w:p>
    <w:p w:rsidR="00D71532" w:rsidRPr="001C7948" w:rsidP="00D71532" w14:paraId="2A0FDEFD" w14:textId="7A47BA0B">
      <w:pPr>
        <w:pBdr>
          <w:top w:val="single" w:sz="6" w:space="0" w:color="FFFFFF"/>
          <w:left w:val="single" w:sz="6" w:space="0" w:color="FFFFFF"/>
          <w:bottom w:val="single" w:sz="6" w:space="0" w:color="FFFFFF"/>
          <w:right w:val="single" w:sz="6" w:space="0" w:color="FFFFFF"/>
        </w:pBdr>
        <w:spacing w:before="60"/>
        <w:rPr>
          <w:rFonts w:cstheme="minorHAnsi"/>
        </w:rPr>
      </w:pPr>
      <w:r w:rsidRPr="001C7948">
        <w:rPr>
          <w:rFonts w:cstheme="minorHAnsi"/>
        </w:rPr>
        <w:t xml:space="preserve">Based on our research for this ICR, on average over the next three years, approximately </w:t>
      </w:r>
      <w:r w:rsidRPr="001C7948" w:rsidR="00B44779">
        <w:rPr>
          <w:rFonts w:cstheme="minorHAnsi"/>
        </w:rPr>
        <w:t>24</w:t>
      </w:r>
      <w:r w:rsidRPr="001C7948">
        <w:rPr>
          <w:rFonts w:cstheme="minorHAnsi"/>
        </w:rPr>
        <w:t xml:space="preserve"> existing respondents will be subject to the standard. It is estimated that </w:t>
      </w:r>
      <w:r w:rsidRPr="001C7948" w:rsidR="00B44779">
        <w:rPr>
          <w:rFonts w:cstheme="minorHAnsi"/>
        </w:rPr>
        <w:t>no</w:t>
      </w:r>
      <w:r w:rsidRPr="001C7948">
        <w:rPr>
          <w:rFonts w:cstheme="minorHAnsi"/>
        </w:rPr>
        <w:t xml:space="preserve"> additional </w:t>
      </w:r>
      <w:r w:rsidRPr="001C7948" w:rsidR="00B44779">
        <w:rPr>
          <w:rFonts w:cstheme="minorHAnsi"/>
        </w:rPr>
        <w:t>new</w:t>
      </w:r>
      <w:r w:rsidRPr="001C7948" w:rsidR="001912D6">
        <w:rPr>
          <w:rFonts w:cstheme="minorHAnsi"/>
        </w:rPr>
        <w:t xml:space="preserve"> </w:t>
      </w:r>
      <w:r w:rsidRPr="001C7948">
        <w:rPr>
          <w:rFonts w:cstheme="minorHAnsi"/>
        </w:rPr>
        <w:t xml:space="preserve">respondents per year will become subject, for an overall total of </w:t>
      </w:r>
      <w:r w:rsidRPr="001C7948" w:rsidR="00B44779">
        <w:rPr>
          <w:rFonts w:cstheme="minorHAnsi"/>
        </w:rPr>
        <w:t>24</w:t>
      </w:r>
      <w:r w:rsidRPr="001C7948">
        <w:rPr>
          <w:rFonts w:cstheme="minorHAnsi"/>
        </w:rPr>
        <w:t xml:space="preserve"> respondents per year. The number of respondents is calculated using the table </w:t>
      </w:r>
      <w:bookmarkStart w:id="18" w:name="_Hlk163570653"/>
      <w:r w:rsidRPr="001C7948">
        <w:rPr>
          <w:rFonts w:cstheme="minorHAnsi"/>
        </w:rPr>
        <w:t xml:space="preserve">Number of Respondents </w:t>
      </w:r>
      <w:bookmarkEnd w:id="18"/>
      <w:r w:rsidRPr="001C7948">
        <w:rPr>
          <w:rFonts w:cstheme="minorHAnsi"/>
        </w:rPr>
        <w:t xml:space="preserve">that addresses the three years covered by this ICR. None of the facilities in the United States are owned by either state, local, or tribal entities or by the Federal government. They are all owned and operated by privately-owned, for-profit businesses. We assume that they will all respond to EPA inquiries. Based on our consultations with industry representatives, there is an average of </w:t>
      </w:r>
      <w:r w:rsidRPr="001C7948" w:rsidR="00E6717A">
        <w:rPr>
          <w:rFonts w:cstheme="minorHAnsi"/>
        </w:rPr>
        <w:t>1.1</w:t>
      </w:r>
      <w:r w:rsidRPr="001C7948">
        <w:rPr>
          <w:rFonts w:cstheme="minorHAnsi"/>
        </w:rPr>
        <w:t xml:space="preserve"> affected facility at each plant site and each plant site has only one respondent (i.e., the owner/operator of the plant site).</w:t>
      </w:r>
    </w:p>
    <w:p w:rsidR="00D71532" w:rsidRPr="001C7948" w:rsidP="00854AAE" w14:paraId="6D3040F8" w14:textId="5EB0088A">
      <w:pPr>
        <w:pBdr>
          <w:top w:val="single" w:sz="6" w:space="0" w:color="FFFFFF"/>
          <w:left w:val="single" w:sz="6" w:space="0" w:color="FFFFFF"/>
          <w:bottom w:val="single" w:sz="6" w:space="0" w:color="FFFFFF"/>
          <w:right w:val="single" w:sz="6" w:space="0" w:color="FFFFFF"/>
        </w:pBdr>
        <w:spacing w:before="60"/>
        <w:rPr>
          <w:rFonts w:cstheme="minorHAnsi"/>
        </w:rPr>
      </w:pPr>
      <w:r w:rsidRPr="001C7948">
        <w:rPr>
          <w:rFonts w:cstheme="minorHAnsi"/>
        </w:rPr>
        <w:t xml:space="preserve">The total number of annual responses per year is calculated using the table Total Annual Responses shown below. The number of Total Annual Responses is </w:t>
      </w:r>
      <w:r w:rsidRPr="001C7948" w:rsidR="00B44779">
        <w:rPr>
          <w:rFonts w:cstheme="minorHAnsi"/>
        </w:rPr>
        <w:t>218</w:t>
      </w:r>
      <w:r w:rsidRPr="001C7948">
        <w:rPr>
          <w:rFonts w:cstheme="minorHAnsi"/>
        </w:rPr>
        <w:t>.</w:t>
      </w:r>
    </w:p>
    <w:p w:rsidR="00ED57A4" w:rsidRPr="00163C69" w:rsidP="00854AAE" w14:paraId="24D360E5" w14:textId="6DF33794">
      <w:pPr>
        <w:spacing w:before="120" w:after="0"/>
        <w:rPr>
          <w:rFonts w:cstheme="minorHAnsi"/>
          <w:b/>
          <w:bCs/>
        </w:rPr>
      </w:pPr>
      <w:r w:rsidRPr="00163C69">
        <w:rPr>
          <w:rFonts w:cstheme="minorHAnsi"/>
          <w:b/>
          <w:bCs/>
        </w:rPr>
        <w:t xml:space="preserve">12b. </w:t>
      </w:r>
      <w:r w:rsidRPr="00163C69" w:rsidR="00BB7DA0">
        <w:rPr>
          <w:rFonts w:cstheme="minorHAnsi"/>
          <w:b/>
          <w:bCs/>
        </w:rPr>
        <w:t>Information Requested</w:t>
      </w:r>
      <w:bookmarkStart w:id="19" w:name="_Toc156593384"/>
      <w:bookmarkEnd w:id="17"/>
    </w:p>
    <w:p w:rsidR="00987C8D" w:rsidRPr="00660D75" w:rsidP="00660D75" w14:paraId="1DF0EBFD" w14:textId="61873D17">
      <w:pPr>
        <w:pBdr>
          <w:top w:val="single" w:sz="6" w:space="0" w:color="FFFFFF"/>
          <w:left w:val="single" w:sz="6" w:space="0" w:color="FFFFFF"/>
          <w:bottom w:val="single" w:sz="6" w:space="0" w:color="FFFFFF"/>
          <w:right w:val="single" w:sz="6" w:space="0" w:color="FFFFFF"/>
        </w:pBdr>
      </w:pPr>
      <w:r w:rsidRPr="00987C8D">
        <w:rPr>
          <w:rFonts w:cstheme="minorHAnsi"/>
          <w:color w:val="000000"/>
        </w:rPr>
        <w:t xml:space="preserve">In this ICR, all the data that are recorded or reported is required </w:t>
      </w:r>
      <w:r w:rsidRPr="008A5926" w:rsidR="00660D75">
        <w:t xml:space="preserve">by the NESHAP for Group IV Polymers and Resins (40 CFR Part 63, Subpart JJJ). </w:t>
      </w:r>
      <w:r w:rsidRPr="00987C8D">
        <w:rPr>
          <w:rFonts w:cstheme="minorHAnsi"/>
          <w:color w:val="000000"/>
        </w:rPr>
        <w:t xml:space="preserve">Any owner/operator </w:t>
      </w:r>
      <w:r w:rsidRPr="001C7948">
        <w:rPr>
          <w:rFonts w:cstheme="minorHAnsi"/>
        </w:rPr>
        <w:t xml:space="preserve">subject to the provisions of this part shall maintain a file of these measurements and retain the file for at least </w:t>
      </w:r>
      <w:r w:rsidRPr="001C7948" w:rsidR="00660D75">
        <w:rPr>
          <w:rFonts w:cstheme="minorHAnsi"/>
        </w:rPr>
        <w:t>five</w:t>
      </w:r>
      <w:r w:rsidRPr="001C7948">
        <w:rPr>
          <w:rFonts w:cstheme="minorHAnsi"/>
        </w:rPr>
        <w:t xml:space="preserve"> years</w:t>
      </w:r>
      <w:r w:rsidRPr="00987C8D">
        <w:rPr>
          <w:rFonts w:cstheme="minorHAnsi"/>
          <w:color w:val="000000"/>
        </w:rPr>
        <w:t xml:space="preserve"> following the date of such measurements, maintenance reports, and records.</w:t>
      </w:r>
    </w:p>
    <w:p w:rsidR="00987C8D" w:rsidRPr="00987C8D" w:rsidP="00987C8D" w14:paraId="3E9A02C1"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make the following reports:</w:t>
      </w:r>
    </w:p>
    <w:tbl>
      <w:tblPr>
        <w:tblW w:w="9360" w:type="dxa"/>
        <w:jc w:val="center"/>
        <w:tblLayout w:type="fixed"/>
        <w:tblCellMar>
          <w:left w:w="120" w:type="dxa"/>
          <w:right w:w="120" w:type="dxa"/>
        </w:tblCellMar>
        <w:tblLook w:val="04A0"/>
      </w:tblPr>
      <w:tblGrid>
        <w:gridCol w:w="6831"/>
        <w:gridCol w:w="2529"/>
      </w:tblGrid>
      <w:tr w14:paraId="1E4C22C5"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987C8D" w:rsidRPr="00987C8D" w:rsidP="00987C8D" w14:paraId="356888A5"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987C8D" w:rsidRPr="00987C8D" w:rsidP="00987C8D" w14:paraId="064EF651"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Notifications</w:t>
            </w:r>
          </w:p>
        </w:tc>
      </w:tr>
      <w:tr w14:paraId="473FEB0B"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660D75" w:rsidRPr="00862AD0" w:rsidP="00660D75" w14:paraId="69DEB2E2" w14:textId="40D68133">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862AD0">
              <w:t>Notification of Compliance Status</w:t>
            </w:r>
          </w:p>
        </w:tc>
        <w:tc>
          <w:tcPr>
            <w:tcW w:w="2529" w:type="dxa"/>
            <w:tcBorders>
              <w:top w:val="single" w:sz="8" w:space="0" w:color="000000"/>
              <w:left w:val="single" w:sz="8" w:space="0" w:color="000000"/>
              <w:bottom w:val="single" w:sz="8" w:space="0" w:color="000000"/>
              <w:right w:val="single" w:sz="8" w:space="0" w:color="000000"/>
            </w:tcBorders>
            <w:hideMark/>
          </w:tcPr>
          <w:p w:rsidR="00660D75" w:rsidRPr="00862AD0" w:rsidP="00660D75" w14:paraId="1F8187B5" w14:textId="28DD57CE">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862AD0">
              <w:t>§63.1331(a)(4), §63.1335(e)(5)</w:t>
            </w:r>
          </w:p>
        </w:tc>
      </w:tr>
      <w:tr w14:paraId="42A53D6D"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660D75" w:rsidRPr="00862AD0" w:rsidP="00660D75" w14:paraId="7A28D8FD" w14:textId="002747B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Notification of storage vessel inspection</w:t>
            </w:r>
          </w:p>
        </w:tc>
        <w:tc>
          <w:tcPr>
            <w:tcW w:w="2529" w:type="dxa"/>
            <w:tcBorders>
              <w:top w:val="single" w:sz="8" w:space="0" w:color="000000"/>
              <w:left w:val="single" w:sz="8" w:space="0" w:color="000000"/>
              <w:bottom w:val="single" w:sz="8" w:space="0" w:color="000000"/>
              <w:right w:val="single" w:sz="8" w:space="0" w:color="000000"/>
            </w:tcBorders>
          </w:tcPr>
          <w:p w:rsidR="00660D75" w:rsidRPr="00862AD0" w:rsidP="00660D75" w14:paraId="0C195381" w14:textId="4E7E390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§63.1335(e)(7)(</w:t>
            </w:r>
            <w:r w:rsidRPr="00862AD0">
              <w:t>i</w:t>
            </w:r>
            <w:r w:rsidRPr="00862AD0">
              <w:t>)</w:t>
            </w:r>
          </w:p>
        </w:tc>
      </w:tr>
      <w:tr w14:paraId="24A5B1C6"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660D75" w:rsidRPr="00862AD0" w:rsidP="00660D75" w14:paraId="173AD885" w14:textId="7DF7D8B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Notification of performance tests</w:t>
            </w:r>
          </w:p>
        </w:tc>
        <w:tc>
          <w:tcPr>
            <w:tcW w:w="2529" w:type="dxa"/>
            <w:tcBorders>
              <w:top w:val="single" w:sz="8" w:space="0" w:color="000000"/>
              <w:left w:val="single" w:sz="8" w:space="0" w:color="000000"/>
              <w:bottom w:val="single" w:sz="8" w:space="0" w:color="000000"/>
              <w:right w:val="single" w:sz="8" w:space="0" w:color="000000"/>
            </w:tcBorders>
          </w:tcPr>
          <w:p w:rsidR="00660D75" w:rsidRPr="00862AD0" w:rsidP="00660D75" w14:paraId="47911A2B" w14:textId="5B5D938F">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§63.1333(a)(4)</w:t>
            </w:r>
          </w:p>
        </w:tc>
      </w:tr>
      <w:tr w14:paraId="372F3F46"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660D75" w:rsidRPr="00862AD0" w:rsidP="00660D75" w14:paraId="03A1BDB8" w14:textId="28415054">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Requirements for batch process vents in the Notification of Compliance Status</w:t>
            </w:r>
          </w:p>
        </w:tc>
        <w:tc>
          <w:tcPr>
            <w:tcW w:w="2529" w:type="dxa"/>
            <w:tcBorders>
              <w:top w:val="single" w:sz="8" w:space="0" w:color="000000"/>
              <w:left w:val="single" w:sz="8" w:space="0" w:color="000000"/>
              <w:bottom w:val="single" w:sz="8" w:space="0" w:color="000000"/>
              <w:right w:val="single" w:sz="8" w:space="0" w:color="000000"/>
            </w:tcBorders>
          </w:tcPr>
          <w:p w:rsidR="00660D75" w:rsidRPr="00862AD0" w:rsidP="00660D75" w14:paraId="6EF7E594" w14:textId="2FF2B7A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§63.1327(a)</w:t>
            </w:r>
          </w:p>
        </w:tc>
      </w:tr>
      <w:tr w14:paraId="218C732D"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660D75" w:rsidRPr="00862AD0" w:rsidP="00660D75" w14:paraId="5F9B50AC" w14:textId="6CB36DC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PCCT requirements in Notification of Compliance Status</w:t>
            </w:r>
          </w:p>
        </w:tc>
        <w:tc>
          <w:tcPr>
            <w:tcW w:w="2529" w:type="dxa"/>
            <w:tcBorders>
              <w:top w:val="single" w:sz="8" w:space="0" w:color="000000"/>
              <w:left w:val="single" w:sz="8" w:space="0" w:color="000000"/>
              <w:bottom w:val="single" w:sz="8" w:space="0" w:color="000000"/>
              <w:right w:val="single" w:sz="8" w:space="0" w:color="000000"/>
            </w:tcBorders>
          </w:tcPr>
          <w:p w:rsidR="00660D75" w:rsidRPr="00862AD0" w:rsidP="00660D75" w14:paraId="6472C214" w14:textId="0D7B7DC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§63.1329(c)(3)</w:t>
            </w:r>
          </w:p>
        </w:tc>
      </w:tr>
      <w:tr w14:paraId="65AF09E9"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660D75" w:rsidRPr="00862AD0" w:rsidP="00660D75" w14:paraId="242B4D22" w14:textId="3A8714C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Notification of alternative test method</w:t>
            </w:r>
          </w:p>
        </w:tc>
        <w:tc>
          <w:tcPr>
            <w:tcW w:w="2529" w:type="dxa"/>
            <w:tcBorders>
              <w:top w:val="single" w:sz="8" w:space="0" w:color="000000"/>
              <w:left w:val="single" w:sz="8" w:space="0" w:color="000000"/>
              <w:bottom w:val="single" w:sz="8" w:space="0" w:color="000000"/>
              <w:right w:val="single" w:sz="8" w:space="0" w:color="000000"/>
            </w:tcBorders>
          </w:tcPr>
          <w:p w:rsidR="00660D75" w:rsidRPr="00862AD0" w:rsidP="00660D75" w14:paraId="2C3AC547" w14:textId="5595BA9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§63.7(f)</w:t>
            </w:r>
          </w:p>
        </w:tc>
      </w:tr>
      <w:tr w14:paraId="521D01E0"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660D75" w:rsidRPr="00862AD0" w:rsidP="00660D75" w14:paraId="6DC557FD" w14:textId="6B35EE9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Notification of special compliance requirements</w:t>
            </w:r>
          </w:p>
        </w:tc>
        <w:tc>
          <w:tcPr>
            <w:tcW w:w="2529" w:type="dxa"/>
            <w:tcBorders>
              <w:top w:val="single" w:sz="8" w:space="0" w:color="000000"/>
              <w:left w:val="single" w:sz="8" w:space="0" w:color="000000"/>
              <w:bottom w:val="single" w:sz="8" w:space="0" w:color="000000"/>
              <w:right w:val="single" w:sz="8" w:space="0" w:color="000000"/>
            </w:tcBorders>
          </w:tcPr>
          <w:p w:rsidR="00660D75" w:rsidRPr="00862AD0" w:rsidP="00660D75" w14:paraId="46CD6EB5" w14:textId="6C236D78">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§63.9(d)</w:t>
            </w:r>
          </w:p>
        </w:tc>
      </w:tr>
      <w:tr w14:paraId="3523066C"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940165" w:rsidRPr="00862AD0" w:rsidP="00940165" w14:paraId="432AF04A" w14:textId="77777777">
            <w:pPr>
              <w:spacing w:line="120" w:lineRule="exact"/>
            </w:pPr>
          </w:p>
          <w:p w:rsidR="00940165" w:rsidRPr="00862AD0" w:rsidP="00940165" w14:paraId="583255F7" w14:textId="61512CD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Notification of changes in information (reclassification to area source status or to revert to major source status) (electronic submission)</w:t>
            </w:r>
          </w:p>
        </w:tc>
        <w:tc>
          <w:tcPr>
            <w:tcW w:w="2529" w:type="dxa"/>
            <w:tcBorders>
              <w:top w:val="single" w:sz="8" w:space="0" w:color="000000"/>
              <w:left w:val="single" w:sz="8" w:space="0" w:color="000000"/>
              <w:bottom w:val="single" w:sz="8" w:space="0" w:color="000000"/>
              <w:right w:val="single" w:sz="8" w:space="0" w:color="000000"/>
            </w:tcBorders>
          </w:tcPr>
          <w:p w:rsidR="00940165" w:rsidRPr="00862AD0" w:rsidP="00940165" w14:paraId="7345D56A" w14:textId="77777777">
            <w:pPr>
              <w:spacing w:line="120" w:lineRule="exact"/>
            </w:pPr>
          </w:p>
          <w:p w:rsidR="00940165" w:rsidRPr="00987C8D" w:rsidP="00940165" w14:paraId="1E18B6A1" w14:textId="5919281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862AD0">
              <w:t>§63.9(b), §63.9(j)</w:t>
            </w:r>
          </w:p>
        </w:tc>
      </w:tr>
    </w:tbl>
    <w:p w:rsidR="00987C8D" w:rsidRPr="00987C8D" w:rsidP="00987C8D" w14:paraId="147E2DC7"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tbl>
      <w:tblPr>
        <w:tblW w:w="9360" w:type="dxa"/>
        <w:jc w:val="center"/>
        <w:tblLayout w:type="fixed"/>
        <w:tblCellMar>
          <w:left w:w="120" w:type="dxa"/>
          <w:right w:w="120" w:type="dxa"/>
        </w:tblCellMar>
        <w:tblLook w:val="04A0"/>
      </w:tblPr>
      <w:tblGrid>
        <w:gridCol w:w="7290"/>
        <w:gridCol w:w="2070"/>
      </w:tblGrid>
      <w:tr w14:paraId="5C94622F"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7C8D" w:rsidRPr="00987C8D" w:rsidP="00987C8D" w14:paraId="47AEF89D"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987C8D" w:rsidRPr="00987C8D" w:rsidP="00987C8D" w14:paraId="1E8482A3"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Reports</w:t>
            </w:r>
          </w:p>
        </w:tc>
      </w:tr>
      <w:tr w14:paraId="28B0BBC9" w14:textId="77777777" w:rsidTr="007A1660">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4A6CF907" w14:textId="11E6B1D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Reports of malfunctions</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519A54B6" w14:textId="5A4230AB">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§63.1335(b)(1)(ii)</w:t>
            </w:r>
          </w:p>
        </w:tc>
      </w:tr>
      <w:tr w14:paraId="597277DD" w14:textId="77777777" w:rsidTr="007A1660">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1F20D68D" w14:textId="3851F19B">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Pre-compliance report for requesting an extension of compliance; requesting approval to use alternative monitoring parameters, alternative continuous monitoring and recordkeeping or alternative controls; requesting approval to use engineering assessment to estimate emissions from a batch emissions episode; or wishing to establish parameter monitoring levels according to the procedures in §63.1334(c) or (d)</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49D3B278" w14:textId="3AAE86D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§63.9(c), §63.1335(e)(3)</w:t>
            </w:r>
          </w:p>
        </w:tc>
      </w:tr>
      <w:tr w14:paraId="36F90CE1" w14:textId="77777777" w:rsidTr="007A1660">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634D4B27" w14:textId="54780DD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Progress report for affected sources that receiving an extension of compliance</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274902B1" w14:textId="1CB8F21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§63.10(d)(4)</w:t>
            </w:r>
          </w:p>
        </w:tc>
      </w:tr>
      <w:tr w14:paraId="795F6A69" w14:textId="77777777" w:rsidTr="007A1660">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0B6FDFA5" w14:textId="7E2C1A2B">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Emissions averaging plan</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5DE3707E" w14:textId="7CF4DE3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§63.1335(e)(4)</w:t>
            </w:r>
          </w:p>
        </w:tc>
      </w:tr>
      <w:tr w14:paraId="1AC4BA2B" w14:textId="77777777" w:rsidTr="007A1660">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5C8239C6" w14:textId="58FD510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Semiannual or quarterly periodic reports</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0AEF560C" w14:textId="091A2ED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§63.1335(e)(6)</w:t>
            </w:r>
          </w:p>
        </w:tc>
      </w:tr>
      <w:tr w14:paraId="6E1AC6D7" w14:textId="77777777" w:rsidTr="007A1660">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0826B2C1" w14:textId="4C82E76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Request of approval for a nominal control efficiency for use in calculating credits for an emissions average</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4FA45341" w14:textId="54F3842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§63.1335(e)(7)(ii)</w:t>
            </w:r>
          </w:p>
        </w:tc>
      </w:tr>
      <w:tr w14:paraId="3C826A51" w14:textId="77777777" w:rsidTr="007A1660">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144B2B55" w14:textId="1D22899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Report of changes to the primary product for a TPPU or process unit as required by §§63.1310(f)(3)(iii), 63.1310(f)(9), or 63.1310(f)(10)(iii)(C)</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22CA0DDC" w14:textId="510443A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§63.1335(e)(7)(iii)</w:t>
            </w:r>
          </w:p>
        </w:tc>
      </w:tr>
      <w:tr w14:paraId="6FC7A19C" w14:textId="77777777" w:rsidTr="007A1660">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72358482" w14:textId="2BA39464">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Report of newly constructed/reconstructed sources subject to §63.1310(</w:t>
            </w:r>
            <w:r w:rsidRPr="00132A0D">
              <w:t>i</w:t>
            </w:r>
            <w:r w:rsidRPr="00132A0D">
              <w:t>)(1) or (</w:t>
            </w:r>
            <w:r w:rsidRPr="00132A0D">
              <w:t>i</w:t>
            </w:r>
            <w:r w:rsidRPr="00132A0D">
              <w:t xml:space="preserve">)(2) including a description of the process change or addition, planned start-up date and appropriate compliance date, and identification of the group status of emission points (except equipment leak components subject to §63.1331).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0A295C53" w14:textId="3D80817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§63.1335(e)(7)(iv)</w:t>
            </w:r>
          </w:p>
        </w:tc>
      </w:tr>
      <w:tr w14:paraId="7859CC49" w14:textId="77777777" w:rsidTr="00BB3D16">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176D4410" w14:textId="2DB4DB0A">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Operating permit application</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55D8C711" w14:textId="0E43C75B">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§63.1335(e)(8)</w:t>
            </w:r>
          </w:p>
        </w:tc>
      </w:tr>
      <w:tr w14:paraId="090C9A3B" w14:textId="77777777" w:rsidTr="00BB3D16">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27FF090D" w14:textId="5943B4CA">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PRD requirements in Periodic reports</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7E0B0D5D" w14:textId="157B953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§63.1335(e)(6)(xiii)</w:t>
            </w:r>
          </w:p>
        </w:tc>
      </w:tr>
      <w:tr w14:paraId="619F9D55" w14:textId="77777777" w:rsidTr="00BB3D16">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43877D0A" w14:textId="4117D45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 xml:space="preserve">Equipment </w:t>
            </w:r>
            <w:r w:rsidRPr="00132A0D">
              <w:t>leak</w:t>
            </w:r>
            <w:r w:rsidRPr="00132A0D">
              <w:t xml:space="preserve"> requirements in Periodic reports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3FD4CBEA" w14:textId="4A39EF6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§63.1331(a)(5), §63.182(a)(3), §63.182(d)</w:t>
            </w:r>
          </w:p>
        </w:tc>
      </w:tr>
      <w:tr w14:paraId="7E0FC2F9" w14:textId="77777777" w:rsidTr="00BB3D16">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4363B11A" w14:textId="2BA1846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 xml:space="preserve">Equipment </w:t>
            </w:r>
            <w:r w:rsidRPr="00132A0D">
              <w:t>leak</w:t>
            </w:r>
            <w:r w:rsidRPr="00132A0D">
              <w:t xml:space="preserve"> requirements in Periodic reports for “multiple-end-finisher” subcategory</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628E0983" w14:textId="6E6047CA">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§63.1331(c)(4)</w:t>
            </w:r>
          </w:p>
        </w:tc>
      </w:tr>
      <w:tr w14:paraId="2427FC8C"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202FC471" w14:textId="7EAF065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PCCT requirements in Periodic reports for “multiple-end-finisher” subcategory</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638FF146" w14:textId="1B924E0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§63.1329(c)</w:t>
            </w:r>
          </w:p>
        </w:tc>
      </w:tr>
      <w:tr w14:paraId="68C4130F"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E917B8" w:rsidP="00660D75" w14:paraId="4420BD12" w14:textId="5BA0DD96">
            <w:pPr>
              <w:pBdr>
                <w:top w:val="single" w:sz="6" w:space="0" w:color="FFFFFF"/>
                <w:left w:val="single" w:sz="6" w:space="0" w:color="FFFFFF"/>
                <w:bottom w:val="single" w:sz="6" w:space="0" w:color="FFFFFF"/>
                <w:right w:val="single" w:sz="6" w:space="0" w:color="FFFFFF"/>
              </w:pBdr>
              <w:spacing w:before="60"/>
            </w:pPr>
            <w:r w:rsidRPr="00132A0D">
              <w:t>Reports for PET and polystyrene affected sources using a control or recovery device to comply with §63.1316</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370227F7" w14:textId="45619C35">
            <w:pPr>
              <w:pBdr>
                <w:top w:val="single" w:sz="6" w:space="0" w:color="FFFFFF"/>
                <w:left w:val="single" w:sz="6" w:space="0" w:color="FFFFFF"/>
                <w:bottom w:val="single" w:sz="6" w:space="0" w:color="FFFFFF"/>
                <w:right w:val="single" w:sz="6" w:space="0" w:color="FFFFFF"/>
              </w:pBdr>
              <w:spacing w:before="60"/>
            </w:pPr>
            <w:r w:rsidRPr="0003773C">
              <w:t>§63.1315(a), §63.1320(a)</w:t>
            </w:r>
          </w:p>
        </w:tc>
      </w:tr>
      <w:tr w14:paraId="67F5B50D"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E917B8" w:rsidP="00660D75" w14:paraId="538D894E" w14:textId="4CB2797D">
            <w:pPr>
              <w:pBdr>
                <w:top w:val="single" w:sz="6" w:space="0" w:color="FFFFFF"/>
                <w:left w:val="single" w:sz="6" w:space="0" w:color="FFFFFF"/>
                <w:bottom w:val="single" w:sz="6" w:space="0" w:color="FFFFFF"/>
                <w:right w:val="single" w:sz="6" w:space="0" w:color="FFFFFF"/>
              </w:pBdr>
              <w:spacing w:before="60"/>
            </w:pPr>
            <w:r w:rsidRPr="00132A0D">
              <w:t>Report for PET affected sources using a dimethyl terephthalate process</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77D95744" w14:textId="75EBA140">
            <w:pPr>
              <w:pBdr>
                <w:top w:val="single" w:sz="6" w:space="0" w:color="FFFFFF"/>
                <w:left w:val="single" w:sz="6" w:space="0" w:color="FFFFFF"/>
                <w:bottom w:val="single" w:sz="6" w:space="0" w:color="FFFFFF"/>
                <w:right w:val="single" w:sz="6" w:space="0" w:color="FFFFFF"/>
              </w:pBdr>
              <w:spacing w:before="60"/>
            </w:pPr>
            <w:r w:rsidRPr="0003773C">
              <w:t>§63.1320(b)</w:t>
            </w:r>
          </w:p>
        </w:tc>
      </w:tr>
      <w:tr w14:paraId="27A60EEB"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E917B8" w:rsidP="00660D75" w14:paraId="5378FBE7" w14:textId="6B960337">
            <w:pPr>
              <w:pBdr>
                <w:top w:val="single" w:sz="6" w:space="0" w:color="FFFFFF"/>
                <w:left w:val="single" w:sz="6" w:space="0" w:color="FFFFFF"/>
                <w:bottom w:val="single" w:sz="6" w:space="0" w:color="FFFFFF"/>
                <w:right w:val="single" w:sz="6" w:space="0" w:color="FFFFFF"/>
              </w:pBdr>
              <w:spacing w:before="60"/>
            </w:pPr>
            <w:r w:rsidRPr="00132A0D">
              <w:t xml:space="preserve">Reports for batch process vents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6364A8A1" w14:textId="750655A1">
            <w:pPr>
              <w:pBdr>
                <w:top w:val="single" w:sz="6" w:space="0" w:color="FFFFFF"/>
                <w:left w:val="single" w:sz="6" w:space="0" w:color="FFFFFF"/>
                <w:bottom w:val="single" w:sz="6" w:space="0" w:color="FFFFFF"/>
                <w:right w:val="single" w:sz="6" w:space="0" w:color="FFFFFF"/>
              </w:pBdr>
              <w:spacing w:before="60"/>
            </w:pPr>
            <w:r w:rsidRPr="0003773C">
              <w:t>§§63.1327(b)-(g)</w:t>
            </w:r>
          </w:p>
        </w:tc>
      </w:tr>
      <w:tr w14:paraId="42BF1AA5"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987C8D" w:rsidP="00660D75" w14:paraId="2D1052D7" w14:textId="5090582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E917B8">
              <w:t>Performance test reports (electronic submission)</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60D75" w:rsidRPr="0003773C" w:rsidP="00660D75" w14:paraId="6646BC9F" w14:textId="259904F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§63.1335(e)(9)</w:t>
            </w:r>
          </w:p>
        </w:tc>
      </w:tr>
    </w:tbl>
    <w:p w:rsidR="00987C8D" w:rsidRPr="00987C8D" w:rsidP="00987C8D" w14:paraId="386E0196"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987C8D" w:rsidRPr="00987C8D" w:rsidP="00987C8D" w14:paraId="6F3FA291"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keep the following records:</w:t>
      </w:r>
    </w:p>
    <w:tbl>
      <w:tblPr>
        <w:tblW w:w="9360" w:type="dxa"/>
        <w:jc w:val="center"/>
        <w:tblLayout w:type="fixed"/>
        <w:tblCellMar>
          <w:left w:w="120" w:type="dxa"/>
          <w:right w:w="120" w:type="dxa"/>
        </w:tblCellMar>
        <w:tblLook w:val="04A0"/>
      </w:tblPr>
      <w:tblGrid>
        <w:gridCol w:w="7110"/>
        <w:gridCol w:w="2250"/>
      </w:tblGrid>
      <w:tr w14:paraId="604E4242"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987C8D" w:rsidRPr="00987C8D" w:rsidP="00987C8D" w14:paraId="774C9506"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987C8D" w:rsidRPr="00987C8D" w:rsidP="00987C8D" w14:paraId="4FFE0D3A"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Recordkeeping</w:t>
            </w:r>
          </w:p>
        </w:tc>
      </w:tr>
      <w:tr w14:paraId="793EB2B0" w14:textId="77777777" w:rsidTr="00624AF9">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3550D62A" w14:textId="6D9AA65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Records must be maintained for 5 years.</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7934CA38" w14:textId="60ECF6BB">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§63.1335(a)</w:t>
            </w:r>
          </w:p>
        </w:tc>
      </w:tr>
      <w:tr w14:paraId="67792A54"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7559FCF3" w14:textId="7DC23F9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Record of information, data, and analyses used to document the basis for the determination that the TPPU does not use or manufacture any organic HAP</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1849EF97" w14:textId="200DA38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§63.1310(b)</w:t>
            </w:r>
          </w:p>
        </w:tc>
      </w:tr>
      <w:tr w14:paraId="6D40F05E"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2E59B461" w14:textId="464628D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Record of malfunctions</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4269BB3D" w14:textId="0C9A6514">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§63.1335(b)(1)(</w:t>
            </w:r>
            <w:r w:rsidRPr="0003773C">
              <w:t>i</w:t>
            </w:r>
            <w:r w:rsidRPr="0003773C">
              <w:t>)</w:t>
            </w:r>
          </w:p>
        </w:tc>
      </w:tr>
      <w:tr w14:paraId="424F59E9"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66072D82" w14:textId="1A246BF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Record of data values measured by monitoring system</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3C69CFA2" w14:textId="024F737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§63.1335(d)(1)</w:t>
            </w:r>
          </w:p>
        </w:tc>
      </w:tr>
      <w:tr w14:paraId="73BD26E2"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7939143C" w14:textId="3D0DA30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Record of measured data value or block average values for 1 hour or shorter periods calculated from all measured data values during each period</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1DCA44C6" w14:textId="4F34149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§63.1335(d)(2)</w:t>
            </w:r>
          </w:p>
        </w:tc>
      </w:tr>
      <w:tr w14:paraId="08471119"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3A89ACD4" w14:textId="1C07D06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Record of daily average (or batch cycle daily average) values of each continuously monitored parameter</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4EB81D40" w14:textId="72D30BE8">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§63.1335(d)(3)</w:t>
            </w:r>
          </w:p>
        </w:tc>
      </w:tr>
      <w:tr w14:paraId="4BFE9C93"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1C6B444D" w14:textId="257CB33A">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Record of all recorded values for a given monitored parameter during an operating day are within the limits established in the Notice of Compliance Status or operating permit</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5A2802C1" w14:textId="3BF479EF">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§63.1335(d)(6)</w:t>
            </w:r>
          </w:p>
        </w:tc>
      </w:tr>
      <w:tr w14:paraId="781808D2"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01C993EA" w14:textId="2CF692B4">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Record of times and durations of breakdowns, repairs, calibration checks, zero (low-level) and high-level adjustments, or periods of non-operation</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2D3C29B0" w14:textId="0A66C4C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§63.1335(d)(7)</w:t>
            </w:r>
          </w:p>
        </w:tc>
      </w:tr>
      <w:tr w14:paraId="30CF7E83"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4D1766DC" w14:textId="2398DC4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Record of CMS calibration checks and maintenance</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15D1E875" w14:textId="3A46F6D8">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§63.1335(d)(8)</w:t>
            </w:r>
          </w:p>
        </w:tc>
      </w:tr>
      <w:tr w14:paraId="3CD66435"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047508B4" w14:textId="4F7883A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Record required as a condition of a waiver of recordkeeping or reporting requirements</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18DBA1AF" w14:textId="5D5F669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§63.1335(d)(9)</w:t>
            </w:r>
          </w:p>
        </w:tc>
      </w:tr>
      <w:tr w14:paraId="0CAE060B"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07CF107C" w14:textId="2FEEE52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List of identification numbers for PRDs equipped with closed-vent system and control device, subject to provisions in §63.1331(a)(9)(iv)</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2DB8269C" w14:textId="7AD8E0A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§63.1335(d)(10)(</w:t>
            </w:r>
            <w:r w:rsidRPr="0003773C">
              <w:t>i</w:t>
            </w:r>
            <w:r w:rsidRPr="0003773C">
              <w:t>)</w:t>
            </w:r>
          </w:p>
        </w:tc>
      </w:tr>
      <w:tr w14:paraId="475C6778"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0B2A7F88" w14:textId="6D2F535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List of identification numbers for PRDs subject to provisions in §63.1331(a)(9)(</w:t>
            </w:r>
            <w:r w:rsidRPr="00132A0D">
              <w:t>i</w:t>
            </w:r>
            <w:r w:rsidRPr="00132A0D">
              <w:t>)</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786B4C56" w14:textId="4B9C0C9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§63.1335(d)(10)(ii)</w:t>
            </w:r>
          </w:p>
        </w:tc>
      </w:tr>
      <w:tr w14:paraId="73DEDED9"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3064F1D5" w14:textId="3C9BBF5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List of identification numbers for PRDs equipped with rupture disks, subject to provisions in §63.1331(a)(9)(ii)(B)</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2B9E52E5" w14:textId="3E0764B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§63.1335(d)(10)(iii)</w:t>
            </w:r>
          </w:p>
        </w:tc>
      </w:tr>
      <w:tr w14:paraId="4E57487A"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48182BDC" w14:textId="3CAE7ABF">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Record of the dates and results of the Method 21 of 40 CFR Part 60, Appendix A, monitoring following a pressure release for each PRD subject to provisions in §63.1331(a)(9)(</w:t>
            </w:r>
            <w:r w:rsidRPr="00132A0D">
              <w:t>i</w:t>
            </w:r>
            <w:r w:rsidRPr="00132A0D">
              <w:t>) and (ii).</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625768AB" w14:textId="0CA7BDD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§63.1335(d)(10)(iv)</w:t>
            </w:r>
          </w:p>
        </w:tc>
      </w:tr>
      <w:tr w14:paraId="0E1AF70D"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987C8D" w:rsidP="00660D75" w14:paraId="058460CB" w14:textId="1A29B8E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132A0D">
              <w:t>Record of pressure release to the atmosphere for PRDs in organic HAP service subject to §63.1331(a)(9)(iii)</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4281F183" w14:textId="4DA6E4F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3773C">
              <w:t>§63.1335(d)(10)(v)</w:t>
            </w:r>
          </w:p>
        </w:tc>
      </w:tr>
      <w:tr w14:paraId="1674D5EE"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132A0D" w:rsidP="00660D75" w14:paraId="09DCE973" w14:textId="1B3FD62B">
            <w:pPr>
              <w:pBdr>
                <w:top w:val="single" w:sz="6" w:space="0" w:color="FFFFFF"/>
                <w:left w:val="single" w:sz="6" w:space="0" w:color="FFFFFF"/>
                <w:bottom w:val="single" w:sz="6" w:space="0" w:color="FFFFFF"/>
                <w:right w:val="single" w:sz="6" w:space="0" w:color="FFFFFF"/>
              </w:pBdr>
              <w:spacing w:before="60"/>
            </w:pPr>
            <w:r w:rsidRPr="00132A0D">
              <w:t>Records for PET and polystyrene affected sources using a control or recovery device to comply with §63.1316</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7AF4A542" w14:textId="7B07E6C4">
            <w:pPr>
              <w:pBdr>
                <w:top w:val="single" w:sz="6" w:space="0" w:color="FFFFFF"/>
                <w:left w:val="single" w:sz="6" w:space="0" w:color="FFFFFF"/>
                <w:bottom w:val="single" w:sz="6" w:space="0" w:color="FFFFFF"/>
                <w:right w:val="single" w:sz="6" w:space="0" w:color="FFFFFF"/>
              </w:pBdr>
              <w:spacing w:before="60"/>
            </w:pPr>
            <w:r w:rsidRPr="0003773C">
              <w:t>§63.1315(a), §63.1319(a)</w:t>
            </w:r>
          </w:p>
        </w:tc>
      </w:tr>
      <w:tr w14:paraId="0F9317A9"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132A0D" w:rsidP="00660D75" w14:paraId="61F96CF8" w14:textId="18FF74D4">
            <w:pPr>
              <w:pBdr>
                <w:top w:val="single" w:sz="6" w:space="0" w:color="FFFFFF"/>
                <w:left w:val="single" w:sz="6" w:space="0" w:color="FFFFFF"/>
                <w:bottom w:val="single" w:sz="6" w:space="0" w:color="FFFFFF"/>
                <w:right w:val="single" w:sz="6" w:space="0" w:color="FFFFFF"/>
              </w:pBdr>
              <w:spacing w:before="60"/>
            </w:pPr>
            <w:r w:rsidRPr="00132A0D">
              <w:t>Record for demonstrating compliance with the applicability determination procedure for PET affected sources using a dimethyl terephthalate process</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38D647F3" w14:textId="1B31B8F7">
            <w:pPr>
              <w:pBdr>
                <w:top w:val="single" w:sz="6" w:space="0" w:color="FFFFFF"/>
                <w:left w:val="single" w:sz="6" w:space="0" w:color="FFFFFF"/>
                <w:bottom w:val="single" w:sz="6" w:space="0" w:color="FFFFFF"/>
                <w:right w:val="single" w:sz="6" w:space="0" w:color="FFFFFF"/>
              </w:pBdr>
              <w:spacing w:before="60"/>
            </w:pPr>
            <w:r w:rsidRPr="0003773C">
              <w:t>§63.1319(b)</w:t>
            </w:r>
          </w:p>
        </w:tc>
      </w:tr>
      <w:tr w14:paraId="4CA5AE1A"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132A0D" w:rsidP="00660D75" w14:paraId="6988C71C" w14:textId="0B14EB3F">
            <w:pPr>
              <w:pBdr>
                <w:top w:val="single" w:sz="6" w:space="0" w:color="FFFFFF"/>
                <w:left w:val="single" w:sz="6" w:space="0" w:color="FFFFFF"/>
                <w:bottom w:val="single" w:sz="6" w:space="0" w:color="FFFFFF"/>
                <w:right w:val="single" w:sz="6" w:space="0" w:color="FFFFFF"/>
              </w:pBdr>
              <w:spacing w:before="60"/>
            </w:pPr>
            <w:r w:rsidRPr="00132A0D">
              <w:t>Record for PET and polystyrene affected sources demonstrating compliance with temperature limits for final condensers</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3F4B73C9" w14:textId="3C919486">
            <w:pPr>
              <w:pBdr>
                <w:top w:val="single" w:sz="6" w:space="0" w:color="FFFFFF"/>
                <w:left w:val="single" w:sz="6" w:space="0" w:color="FFFFFF"/>
                <w:bottom w:val="single" w:sz="6" w:space="0" w:color="FFFFFF"/>
                <w:right w:val="single" w:sz="6" w:space="0" w:color="FFFFFF"/>
              </w:pBdr>
              <w:spacing w:before="60"/>
            </w:pPr>
            <w:r w:rsidRPr="0003773C">
              <w:t>§63.1319(b)</w:t>
            </w:r>
          </w:p>
        </w:tc>
      </w:tr>
      <w:tr w14:paraId="763AB7AD"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132A0D" w:rsidP="00660D75" w14:paraId="489032DA" w14:textId="45A54FB3">
            <w:pPr>
              <w:pBdr>
                <w:top w:val="single" w:sz="6" w:space="0" w:color="FFFFFF"/>
                <w:left w:val="single" w:sz="6" w:space="0" w:color="FFFFFF"/>
                <w:bottom w:val="single" w:sz="6" w:space="0" w:color="FFFFFF"/>
                <w:right w:val="single" w:sz="6" w:space="0" w:color="FFFFFF"/>
              </w:pBdr>
              <w:spacing w:before="60"/>
            </w:pPr>
            <w:r w:rsidRPr="00132A0D">
              <w:t>Group determination records for batch process vents</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5EFBA01F" w14:textId="71EF5693">
            <w:pPr>
              <w:pBdr>
                <w:top w:val="single" w:sz="6" w:space="0" w:color="FFFFFF"/>
                <w:left w:val="single" w:sz="6" w:space="0" w:color="FFFFFF"/>
                <w:bottom w:val="single" w:sz="6" w:space="0" w:color="FFFFFF"/>
                <w:right w:val="single" w:sz="6" w:space="0" w:color="FFFFFF"/>
              </w:pBdr>
              <w:spacing w:before="60"/>
            </w:pPr>
            <w:r w:rsidRPr="0003773C">
              <w:t>§63.1326(a)</w:t>
            </w:r>
          </w:p>
        </w:tc>
      </w:tr>
      <w:tr w14:paraId="1E58B547"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132A0D" w:rsidP="00660D75" w14:paraId="65C87188" w14:textId="4C2F344B">
            <w:pPr>
              <w:pBdr>
                <w:top w:val="single" w:sz="6" w:space="0" w:color="FFFFFF"/>
                <w:left w:val="single" w:sz="6" w:space="0" w:color="FFFFFF"/>
                <w:bottom w:val="single" w:sz="6" w:space="0" w:color="FFFFFF"/>
                <w:right w:val="single" w:sz="6" w:space="0" w:color="FFFFFF"/>
              </w:pBdr>
              <w:spacing w:before="60"/>
            </w:pPr>
            <w:r w:rsidRPr="00132A0D">
              <w:t>Compliance demonstration records for batch process vents or aggregate batch vent stream</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55B8671D" w14:textId="49F5F05F">
            <w:pPr>
              <w:pBdr>
                <w:top w:val="single" w:sz="6" w:space="0" w:color="FFFFFF"/>
                <w:left w:val="single" w:sz="6" w:space="0" w:color="FFFFFF"/>
                <w:bottom w:val="single" w:sz="6" w:space="0" w:color="FFFFFF"/>
                <w:right w:val="single" w:sz="6" w:space="0" w:color="FFFFFF"/>
              </w:pBdr>
              <w:spacing w:before="60"/>
            </w:pPr>
            <w:r w:rsidRPr="0003773C">
              <w:t>§63.1326(b)</w:t>
            </w:r>
          </w:p>
        </w:tc>
      </w:tr>
      <w:tr w14:paraId="24DB0489"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132A0D" w:rsidP="00660D75" w14:paraId="17A58630" w14:textId="0149B7B7">
            <w:pPr>
              <w:pBdr>
                <w:top w:val="single" w:sz="6" w:space="0" w:color="FFFFFF"/>
                <w:left w:val="single" w:sz="6" w:space="0" w:color="FFFFFF"/>
                <w:bottom w:val="single" w:sz="6" w:space="0" w:color="FFFFFF"/>
                <w:right w:val="single" w:sz="6" w:space="0" w:color="FFFFFF"/>
              </w:pBdr>
              <w:spacing w:before="60"/>
            </w:pPr>
            <w:r w:rsidRPr="00132A0D">
              <w:t xml:space="preserve">Establishment of parameter monitoring level records for batch process vents </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441997A2" w14:textId="0419A6F3">
            <w:pPr>
              <w:pBdr>
                <w:top w:val="single" w:sz="6" w:space="0" w:color="FFFFFF"/>
                <w:left w:val="single" w:sz="6" w:space="0" w:color="FFFFFF"/>
                <w:bottom w:val="single" w:sz="6" w:space="0" w:color="FFFFFF"/>
                <w:right w:val="single" w:sz="6" w:space="0" w:color="FFFFFF"/>
              </w:pBdr>
              <w:spacing w:before="60"/>
            </w:pPr>
            <w:r w:rsidRPr="0003773C">
              <w:t>§63.1326(c)</w:t>
            </w:r>
          </w:p>
        </w:tc>
      </w:tr>
      <w:tr w14:paraId="32CF7A0E"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132A0D" w:rsidP="00660D75" w14:paraId="3116D902" w14:textId="5C8A41A0">
            <w:pPr>
              <w:pBdr>
                <w:top w:val="single" w:sz="6" w:space="0" w:color="FFFFFF"/>
                <w:left w:val="single" w:sz="6" w:space="0" w:color="FFFFFF"/>
                <w:bottom w:val="single" w:sz="6" w:space="0" w:color="FFFFFF"/>
                <w:right w:val="single" w:sz="6" w:space="0" w:color="FFFFFF"/>
              </w:pBdr>
              <w:spacing w:before="60"/>
            </w:pPr>
            <w:r w:rsidRPr="00132A0D">
              <w:t>Group 2 batch process vent continuous compliance records</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548FFC50" w14:textId="3F048F76">
            <w:pPr>
              <w:pBdr>
                <w:top w:val="single" w:sz="6" w:space="0" w:color="FFFFFF"/>
                <w:left w:val="single" w:sz="6" w:space="0" w:color="FFFFFF"/>
                <w:bottom w:val="single" w:sz="6" w:space="0" w:color="FFFFFF"/>
                <w:right w:val="single" w:sz="6" w:space="0" w:color="FFFFFF"/>
              </w:pBdr>
              <w:spacing w:before="60"/>
            </w:pPr>
            <w:r w:rsidRPr="0003773C">
              <w:t>§63.1326(d)</w:t>
            </w:r>
          </w:p>
        </w:tc>
      </w:tr>
      <w:tr w14:paraId="10E44CBF"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132A0D" w:rsidP="00660D75" w14:paraId="776CEAF2" w14:textId="2160FEF9">
            <w:pPr>
              <w:pBdr>
                <w:top w:val="single" w:sz="6" w:space="0" w:color="FFFFFF"/>
                <w:left w:val="single" w:sz="6" w:space="0" w:color="FFFFFF"/>
                <w:bottom w:val="single" w:sz="6" w:space="0" w:color="FFFFFF"/>
                <w:right w:val="single" w:sz="6" w:space="0" w:color="FFFFFF"/>
              </w:pBdr>
              <w:spacing w:before="60"/>
            </w:pPr>
            <w:r w:rsidRPr="00132A0D">
              <w:t xml:space="preserve">Controlled batch process </w:t>
            </w:r>
            <w:r w:rsidRPr="00132A0D">
              <w:t>vent</w:t>
            </w:r>
            <w:r w:rsidRPr="00132A0D">
              <w:t xml:space="preserve"> continuous compliance records</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287E5088" w14:textId="21226A27">
            <w:pPr>
              <w:pBdr>
                <w:top w:val="single" w:sz="6" w:space="0" w:color="FFFFFF"/>
                <w:left w:val="single" w:sz="6" w:space="0" w:color="FFFFFF"/>
                <w:bottom w:val="single" w:sz="6" w:space="0" w:color="FFFFFF"/>
                <w:right w:val="single" w:sz="6" w:space="0" w:color="FFFFFF"/>
              </w:pBdr>
              <w:spacing w:before="60"/>
            </w:pPr>
            <w:r w:rsidRPr="0003773C">
              <w:t>§63.1326(e)</w:t>
            </w:r>
          </w:p>
        </w:tc>
      </w:tr>
      <w:tr w14:paraId="439C4D1C"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132A0D" w:rsidP="00660D75" w14:paraId="73C71C74" w14:textId="5E4712DF">
            <w:pPr>
              <w:pBdr>
                <w:top w:val="single" w:sz="6" w:space="0" w:color="FFFFFF"/>
                <w:left w:val="single" w:sz="6" w:space="0" w:color="FFFFFF"/>
                <w:bottom w:val="single" w:sz="6" w:space="0" w:color="FFFFFF"/>
                <w:right w:val="single" w:sz="6" w:space="0" w:color="FFFFFF"/>
              </w:pBdr>
              <w:spacing w:before="60"/>
            </w:pPr>
            <w:r w:rsidRPr="00132A0D">
              <w:t>Aggregate batch vent stream continuous compliance records</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389B947D" w14:textId="67ABDDD6">
            <w:pPr>
              <w:pBdr>
                <w:top w:val="single" w:sz="6" w:space="0" w:color="FFFFFF"/>
                <w:left w:val="single" w:sz="6" w:space="0" w:color="FFFFFF"/>
                <w:bottom w:val="single" w:sz="6" w:space="0" w:color="FFFFFF"/>
                <w:right w:val="single" w:sz="6" w:space="0" w:color="FFFFFF"/>
              </w:pBdr>
              <w:spacing w:before="60"/>
            </w:pPr>
            <w:r w:rsidRPr="0003773C">
              <w:t>§63.1326(f)</w:t>
            </w:r>
          </w:p>
        </w:tc>
      </w:tr>
      <w:tr w14:paraId="0562D21E"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660D75" w:rsidRPr="00132A0D" w:rsidP="00660D75" w14:paraId="5F6F3E69" w14:textId="3B237A6D">
            <w:pPr>
              <w:pBdr>
                <w:top w:val="single" w:sz="6" w:space="0" w:color="FFFFFF"/>
                <w:left w:val="single" w:sz="6" w:space="0" w:color="FFFFFF"/>
                <w:bottom w:val="single" w:sz="6" w:space="0" w:color="FFFFFF"/>
                <w:right w:val="single" w:sz="6" w:space="0" w:color="FFFFFF"/>
              </w:pBdr>
              <w:spacing w:before="60"/>
            </w:pPr>
            <w:r w:rsidRPr="00132A0D">
              <w:t>Documentation supporting the establishment of the batch mass input limitation for batch process vents</w:t>
            </w:r>
          </w:p>
        </w:tc>
        <w:tc>
          <w:tcPr>
            <w:tcW w:w="2250" w:type="dxa"/>
            <w:tcBorders>
              <w:top w:val="single" w:sz="8" w:space="0" w:color="000000"/>
              <w:left w:val="single" w:sz="8" w:space="0" w:color="000000"/>
              <w:bottom w:val="single" w:sz="8" w:space="0" w:color="000000"/>
              <w:right w:val="single" w:sz="8" w:space="0" w:color="000000"/>
            </w:tcBorders>
          </w:tcPr>
          <w:p w:rsidR="00660D75" w:rsidRPr="0003773C" w:rsidP="00660D75" w14:paraId="49BA2679" w14:textId="5B1C83E8">
            <w:pPr>
              <w:pBdr>
                <w:top w:val="single" w:sz="6" w:space="0" w:color="FFFFFF"/>
                <w:left w:val="single" w:sz="6" w:space="0" w:color="FFFFFF"/>
                <w:bottom w:val="single" w:sz="6" w:space="0" w:color="FFFFFF"/>
                <w:right w:val="single" w:sz="6" w:space="0" w:color="FFFFFF"/>
              </w:pBdr>
              <w:spacing w:before="60"/>
            </w:pPr>
            <w:r w:rsidRPr="0003773C">
              <w:t>§63.1326(g)</w:t>
            </w:r>
          </w:p>
        </w:tc>
      </w:tr>
    </w:tbl>
    <w:p w:rsidR="00BB3410" w:rsidRPr="00BB3410" w:rsidP="00854AAE" w14:paraId="42074A5E" w14:textId="7576F22A">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1172FE" w:rsidRPr="00163C69" w:rsidP="00854AAE" w14:paraId="7B8A0ACD" w14:textId="27119692">
      <w:pPr>
        <w:spacing w:before="120" w:after="0"/>
        <w:rPr>
          <w:rFonts w:cstheme="minorHAnsi"/>
          <w:b/>
          <w:bCs/>
        </w:rPr>
      </w:pPr>
      <w:r w:rsidRPr="00163C69">
        <w:rPr>
          <w:rFonts w:cstheme="minorHAnsi"/>
          <w:b/>
          <w:bCs/>
        </w:rPr>
        <w:t xml:space="preserve">12c. </w:t>
      </w:r>
      <w:r w:rsidRPr="00163C69" w:rsidR="00DD718B">
        <w:rPr>
          <w:rFonts w:cstheme="minorHAnsi"/>
          <w:b/>
          <w:bCs/>
        </w:rPr>
        <w:t>Respondent Activities</w:t>
      </w:r>
      <w:bookmarkStart w:id="20" w:name="_Toc156593385"/>
      <w:bookmarkEnd w:id="19"/>
    </w:p>
    <w:p w:rsidR="008B07A2" w:rsidRPr="00BB3410" w:rsidP="00854AAE" w14:paraId="6DE85374" w14:textId="33657674">
      <w:pPr>
        <w:spacing w:before="60"/>
        <w:rPr>
          <w:rFonts w:cstheme="minorHAnsi"/>
        </w:rPr>
      </w:pPr>
    </w:p>
    <w:tbl>
      <w:tblPr>
        <w:tblStyle w:val="TableGrid"/>
        <w:tblW w:w="9445" w:type="dxa"/>
        <w:tblLook w:val="04A0"/>
      </w:tblPr>
      <w:tblGrid>
        <w:gridCol w:w="9445"/>
      </w:tblGrid>
      <w:tr w14:paraId="33EE675F" w14:textId="77777777">
        <w:tblPrEx>
          <w:tblW w:w="9445" w:type="dxa"/>
          <w:tblLook w:val="04A0"/>
        </w:tblPrEx>
        <w:trPr>
          <w:cantSplit/>
          <w:trHeight w:val="521"/>
          <w:tblHeader/>
        </w:trPr>
        <w:tc>
          <w:tcPr>
            <w:tcW w:w="9445" w:type="dxa"/>
          </w:tcPr>
          <w:p w:rsidR="008B07A2" w14:paraId="04D67FB8" w14:textId="77777777">
            <w:pPr>
              <w:jc w:val="center"/>
              <w:outlineLvl w:val="0"/>
              <w:rPr>
                <w:b/>
                <w:bCs/>
                <w:color w:val="000000"/>
              </w:rPr>
            </w:pPr>
            <w:r w:rsidRPr="00B04A5C">
              <w:rPr>
                <w:b/>
                <w:bCs/>
                <w:color w:val="000000"/>
              </w:rPr>
              <w:t>Respondent Activities</w:t>
            </w:r>
          </w:p>
        </w:tc>
      </w:tr>
      <w:tr w14:paraId="1ACE071A" w14:textId="77777777">
        <w:tblPrEx>
          <w:tblW w:w="9445" w:type="dxa"/>
          <w:tblLook w:val="04A0"/>
        </w:tblPrEx>
        <w:trPr>
          <w:trHeight w:val="432"/>
        </w:trPr>
        <w:tc>
          <w:tcPr>
            <w:tcW w:w="9445" w:type="dxa"/>
            <w:vAlign w:val="center"/>
          </w:tcPr>
          <w:p w:rsidR="008B07A2" w:rsidRPr="00B04A5C" w14:paraId="5C0083D2" w14:textId="77777777">
            <w:pPr>
              <w:outlineLvl w:val="0"/>
              <w:rPr>
                <w:color w:val="000000"/>
              </w:rPr>
            </w:pPr>
            <w:r w:rsidRPr="00B04A5C">
              <w:rPr>
                <w:color w:val="000000"/>
              </w:rPr>
              <w:t>Familiarization with the regulatory requirements.</w:t>
            </w:r>
          </w:p>
        </w:tc>
      </w:tr>
      <w:tr w14:paraId="4942690D" w14:textId="77777777">
        <w:tblPrEx>
          <w:tblW w:w="9445" w:type="dxa"/>
          <w:tblLook w:val="04A0"/>
        </w:tblPrEx>
        <w:trPr>
          <w:trHeight w:val="719"/>
        </w:trPr>
        <w:tc>
          <w:tcPr>
            <w:tcW w:w="9445" w:type="dxa"/>
            <w:vAlign w:val="center"/>
          </w:tcPr>
          <w:p w:rsidR="008B07A2" w:rsidRPr="00B04A5C" w14:paraId="6CF334ED" w14:textId="3F0199A1">
            <w:pPr>
              <w:outlineLvl w:val="0"/>
              <w:rPr>
                <w:color w:val="000000"/>
              </w:rPr>
            </w:pPr>
            <w:r w:rsidRPr="008A5926">
              <w:t>Install, calibrate, maintain, and operate CMS for temperature, pH, scrubber liquid flow rates and pressure, pressure drop, gas flow rates, and specific gravity of the absorbing liquid for control devices.</w:t>
            </w:r>
          </w:p>
        </w:tc>
      </w:tr>
      <w:tr w14:paraId="032F4D1D" w14:textId="77777777">
        <w:tblPrEx>
          <w:tblW w:w="9445" w:type="dxa"/>
          <w:tblLook w:val="04A0"/>
        </w:tblPrEx>
        <w:trPr>
          <w:trHeight w:val="701"/>
        </w:trPr>
        <w:tc>
          <w:tcPr>
            <w:tcW w:w="9445" w:type="dxa"/>
            <w:vAlign w:val="center"/>
          </w:tcPr>
          <w:p w:rsidR="00660D75" w:rsidRPr="00B04A5C" w:rsidP="00660D75" w14:paraId="13C4E26E" w14:textId="427755E7">
            <w:pPr>
              <w:outlineLvl w:val="0"/>
              <w:rPr>
                <w:color w:val="000000"/>
              </w:rPr>
            </w:pPr>
            <w:r w:rsidRPr="008A5926">
              <w:t>Perform initial performance test, Reference Methods 1 or 1A, 2, 2A, 2C, or 2D, 18, 21, 25A, 26 or 26A, and 301 tests, and repeat performance tests if necessary.</w:t>
            </w:r>
          </w:p>
        </w:tc>
      </w:tr>
      <w:tr w14:paraId="55372A75" w14:textId="77777777">
        <w:tblPrEx>
          <w:tblW w:w="9445" w:type="dxa"/>
          <w:tblLook w:val="04A0"/>
        </w:tblPrEx>
        <w:trPr>
          <w:trHeight w:val="432"/>
        </w:trPr>
        <w:tc>
          <w:tcPr>
            <w:tcW w:w="9445" w:type="dxa"/>
            <w:vAlign w:val="center"/>
          </w:tcPr>
          <w:p w:rsidR="00660D75" w:rsidRPr="00B04A5C" w:rsidP="00660D75" w14:paraId="48ADF906" w14:textId="77777777">
            <w:pPr>
              <w:outlineLvl w:val="0"/>
              <w:rPr>
                <w:color w:val="000000"/>
              </w:rPr>
            </w:pPr>
            <w:r w:rsidRPr="00B04A5C">
              <w:rPr>
                <w:color w:val="000000"/>
              </w:rPr>
              <w:t>Write the notifications and reports listed above.</w:t>
            </w:r>
          </w:p>
        </w:tc>
      </w:tr>
      <w:tr w14:paraId="6EB70483" w14:textId="77777777">
        <w:tblPrEx>
          <w:tblW w:w="9445" w:type="dxa"/>
          <w:tblLook w:val="04A0"/>
        </w:tblPrEx>
        <w:trPr>
          <w:trHeight w:val="432"/>
        </w:trPr>
        <w:tc>
          <w:tcPr>
            <w:tcW w:w="9445" w:type="dxa"/>
            <w:vAlign w:val="center"/>
          </w:tcPr>
          <w:p w:rsidR="00660D75" w:rsidRPr="00B04A5C" w:rsidP="00660D75" w14:paraId="40649BBA" w14:textId="77777777">
            <w:pPr>
              <w:outlineLvl w:val="0"/>
              <w:rPr>
                <w:color w:val="000000"/>
              </w:rPr>
            </w:pPr>
            <w:r w:rsidRPr="00B04A5C">
              <w:rPr>
                <w:color w:val="000000"/>
              </w:rPr>
              <w:t>Enter information required to be recorded above.</w:t>
            </w:r>
          </w:p>
        </w:tc>
      </w:tr>
      <w:tr w14:paraId="51C92A26" w14:textId="77777777">
        <w:tblPrEx>
          <w:tblW w:w="9445" w:type="dxa"/>
          <w:tblLook w:val="04A0"/>
        </w:tblPrEx>
        <w:trPr>
          <w:trHeight w:val="692"/>
        </w:trPr>
        <w:tc>
          <w:tcPr>
            <w:tcW w:w="9445" w:type="dxa"/>
            <w:vAlign w:val="center"/>
          </w:tcPr>
          <w:p w:rsidR="00660D75" w:rsidRPr="00B04A5C" w:rsidP="00660D75" w14:paraId="7E34FC8A" w14:textId="77777777">
            <w:pPr>
              <w:outlineLvl w:val="0"/>
              <w:rPr>
                <w:color w:val="000000"/>
              </w:rPr>
            </w:pPr>
            <w:r w:rsidRPr="00B04A5C">
              <w:rPr>
                <w:color w:val="000000"/>
              </w:rPr>
              <w:t>Submit the required reports developing, acquiring, installing, and utilizing technology and systems for collecting, validating, and verifying information.</w:t>
            </w:r>
          </w:p>
        </w:tc>
      </w:tr>
      <w:tr w14:paraId="45A85FE2" w14:textId="77777777">
        <w:tblPrEx>
          <w:tblW w:w="9445" w:type="dxa"/>
          <w:tblLook w:val="04A0"/>
        </w:tblPrEx>
        <w:trPr>
          <w:trHeight w:val="764"/>
        </w:trPr>
        <w:tc>
          <w:tcPr>
            <w:tcW w:w="9445" w:type="dxa"/>
            <w:vAlign w:val="center"/>
          </w:tcPr>
          <w:p w:rsidR="00660D75" w:rsidRPr="00B04A5C" w:rsidP="00660D75" w14:paraId="2D62E2ED" w14:textId="77777777">
            <w:pPr>
              <w:outlineLvl w:val="0"/>
              <w:rPr>
                <w:color w:val="000000"/>
              </w:rPr>
            </w:pPr>
            <w:r w:rsidRPr="00B04A5C">
              <w:rPr>
                <w:color w:val="000000"/>
              </w:rPr>
              <w:t>Develop, acquire, install, and utilize technology and systems for processing and maintaining information.</w:t>
            </w:r>
          </w:p>
        </w:tc>
      </w:tr>
      <w:tr w14:paraId="4D6C2168" w14:textId="77777777">
        <w:tblPrEx>
          <w:tblW w:w="9445" w:type="dxa"/>
          <w:tblLook w:val="04A0"/>
        </w:tblPrEx>
        <w:trPr>
          <w:trHeight w:val="728"/>
        </w:trPr>
        <w:tc>
          <w:tcPr>
            <w:tcW w:w="9445" w:type="dxa"/>
            <w:vAlign w:val="center"/>
          </w:tcPr>
          <w:p w:rsidR="00660D75" w:rsidRPr="00B04A5C" w:rsidP="00660D75" w14:paraId="67734D5F" w14:textId="77777777">
            <w:pPr>
              <w:outlineLvl w:val="0"/>
              <w:rPr>
                <w:color w:val="000000"/>
              </w:rPr>
            </w:pPr>
            <w:r w:rsidRPr="00B04A5C">
              <w:rPr>
                <w:color w:val="000000"/>
              </w:rPr>
              <w:t>Develop, acquire, install, and utilize technology and systems for disclosing and providing information.</w:t>
            </w:r>
          </w:p>
        </w:tc>
      </w:tr>
      <w:tr w14:paraId="6D71BC2F" w14:textId="77777777">
        <w:tblPrEx>
          <w:tblW w:w="9445" w:type="dxa"/>
          <w:tblLook w:val="04A0"/>
        </w:tblPrEx>
        <w:trPr>
          <w:trHeight w:val="432"/>
        </w:trPr>
        <w:tc>
          <w:tcPr>
            <w:tcW w:w="9445" w:type="dxa"/>
            <w:vAlign w:val="center"/>
          </w:tcPr>
          <w:p w:rsidR="00660D75" w:rsidRPr="00B04A5C" w:rsidP="00660D75" w14:paraId="484A8233" w14:textId="77777777">
            <w:pPr>
              <w:outlineLvl w:val="0"/>
              <w:rPr>
                <w:color w:val="000000"/>
              </w:rPr>
            </w:pPr>
            <w:r w:rsidRPr="00B04A5C">
              <w:rPr>
                <w:color w:val="000000"/>
              </w:rPr>
              <w:t>Train personnel to be able to respond to a collection of information.</w:t>
            </w:r>
          </w:p>
        </w:tc>
      </w:tr>
      <w:tr w14:paraId="1564CD2E" w14:textId="77777777">
        <w:tblPrEx>
          <w:tblW w:w="9445" w:type="dxa"/>
          <w:tblLook w:val="04A0"/>
        </w:tblPrEx>
        <w:trPr>
          <w:trHeight w:val="432"/>
        </w:trPr>
        <w:tc>
          <w:tcPr>
            <w:tcW w:w="9445" w:type="dxa"/>
            <w:vAlign w:val="center"/>
          </w:tcPr>
          <w:p w:rsidR="00660D75" w:rsidRPr="00B04A5C" w:rsidP="00660D75" w14:paraId="3F4D593A" w14:textId="77777777">
            <w:pPr>
              <w:outlineLvl w:val="0"/>
              <w:rPr>
                <w:color w:val="000000"/>
              </w:rPr>
            </w:pPr>
            <w:r w:rsidRPr="00B04A5C">
              <w:rPr>
                <w:color w:val="000000"/>
              </w:rPr>
              <w:t>Transmit, or otherwise disclose the information.</w:t>
            </w:r>
          </w:p>
        </w:tc>
      </w:tr>
    </w:tbl>
    <w:p w:rsidR="009F1E00" w:rsidRPr="00BB3410" w:rsidP="00854AAE" w14:paraId="3C4B52CA" w14:textId="1E8EF8B7">
      <w:pPr>
        <w:spacing w:before="60"/>
        <w:rPr>
          <w:rFonts w:cstheme="minorHAnsi"/>
        </w:rPr>
      </w:pPr>
    </w:p>
    <w:p w:rsidR="00D92ED6" w:rsidRPr="00163C69" w:rsidP="00854AAE" w14:paraId="0B6BE1C2" w14:textId="3F49A8F0">
      <w:pPr>
        <w:spacing w:before="120" w:after="0"/>
        <w:rPr>
          <w:rFonts w:cstheme="minorHAnsi"/>
          <w:b/>
          <w:bCs/>
        </w:rPr>
      </w:pPr>
      <w:r w:rsidRPr="00163C69">
        <w:rPr>
          <w:rFonts w:cstheme="minorHAnsi"/>
          <w:b/>
          <w:bCs/>
        </w:rPr>
        <w:t xml:space="preserve">12d. </w:t>
      </w:r>
      <w:r w:rsidRPr="00163C69">
        <w:rPr>
          <w:rFonts w:cstheme="minorHAnsi"/>
          <w:b/>
          <w:bCs/>
        </w:rPr>
        <w:t xml:space="preserve">Respondent </w:t>
      </w:r>
      <w:r w:rsidRPr="00163C69" w:rsidR="00BB2B15">
        <w:rPr>
          <w:rFonts w:cstheme="minorHAnsi"/>
          <w:b/>
          <w:bCs/>
        </w:rPr>
        <w:t xml:space="preserve">Burden </w:t>
      </w:r>
      <w:r w:rsidRPr="00163C69" w:rsidR="00B666CD">
        <w:rPr>
          <w:rFonts w:cstheme="minorHAnsi"/>
          <w:b/>
          <w:bCs/>
        </w:rPr>
        <w:t>Hour</w:t>
      </w:r>
      <w:r w:rsidRPr="00163C69" w:rsidR="00BB2B15">
        <w:rPr>
          <w:rFonts w:cstheme="minorHAnsi"/>
          <w:b/>
          <w:bCs/>
        </w:rPr>
        <w:t>s</w:t>
      </w:r>
      <w:r w:rsidRPr="00163C69" w:rsidR="00B666CD">
        <w:rPr>
          <w:rFonts w:cstheme="minorHAnsi"/>
          <w:b/>
          <w:bCs/>
        </w:rPr>
        <w:t xml:space="preserve"> and Labor </w:t>
      </w:r>
      <w:bookmarkEnd w:id="20"/>
      <w:r w:rsidRPr="00163C69" w:rsidR="00BB2B15">
        <w:rPr>
          <w:rFonts w:cstheme="minorHAnsi"/>
          <w:b/>
          <w:bCs/>
        </w:rPr>
        <w:t>Costs</w:t>
      </w:r>
    </w:p>
    <w:p w:rsidR="00B6361B" w:rsidRPr="00B6361B" w:rsidP="00B6361B" w14:paraId="631C2BE5" w14:textId="548A71BD">
      <w:pPr>
        <w:spacing w:before="60"/>
        <w:rPr>
          <w:rFonts w:cstheme="minorHAnsi"/>
          <w:color w:val="000000"/>
        </w:rPr>
      </w:pPr>
      <w:r w:rsidRPr="00B6361B">
        <w:rPr>
          <w:rFonts w:cstheme="minorHAnsi"/>
          <w:color w:val="000000"/>
        </w:rPr>
        <w:t>Table 1 documents the computation of individual burdens for the recordkeeping and reporting requirements applicable to the industry for the subpart included in this ICR. 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rsidR="00B6361B" w:rsidRPr="00B6361B" w:rsidP="00B6361B" w14:paraId="4ACCEDEC" w14:textId="7D848DCF">
      <w:pPr>
        <w:spacing w:before="60"/>
        <w:rPr>
          <w:rFonts w:cstheme="minorHAnsi"/>
          <w:color w:val="000000"/>
        </w:rPr>
      </w:pPr>
      <w:r w:rsidRPr="00B6361B">
        <w:rPr>
          <w:rFonts w:cstheme="minorHAnsi"/>
          <w:color w:val="000000"/>
        </w:rPr>
        <w:t xml:space="preserve">The average annual burden to industry </w:t>
      </w:r>
      <w:r w:rsidRPr="001C7948">
        <w:rPr>
          <w:rFonts w:cstheme="minorHAnsi"/>
        </w:rPr>
        <w:t>over the next three years from these recordkeeping and reporting requirements is estimated to be</w:t>
      </w:r>
      <w:r w:rsidRPr="001C7948" w:rsidR="00B44779">
        <w:rPr>
          <w:rFonts w:cstheme="minorHAnsi"/>
        </w:rPr>
        <w:t xml:space="preserve"> 141,000 </w:t>
      </w:r>
      <w:r w:rsidRPr="001C7948">
        <w:rPr>
          <w:rFonts w:cstheme="minorHAnsi"/>
        </w:rPr>
        <w:t>hours (Total Labor Hours from Table 1). These hours are based on Agency studies and background documents from the development</w:t>
      </w:r>
      <w:r w:rsidRPr="00B6361B">
        <w:rPr>
          <w:rFonts w:cstheme="minorHAnsi"/>
          <w:color w:val="000000"/>
        </w:rPr>
        <w:t xml:space="preserve"> of the regulation, </w:t>
      </w:r>
      <w:r w:rsidRPr="00B6361B">
        <w:rPr>
          <w:rFonts w:cstheme="minorHAnsi"/>
          <w:color w:val="000000"/>
        </w:rPr>
        <w:t>Agency knowledge and experience with the NESHAP program, the previously approved ICR, and any comments received.</w:t>
      </w:r>
    </w:p>
    <w:p w:rsidR="00B6361B" w:rsidRPr="00B6361B" w:rsidP="00B6361B" w14:paraId="32D048A2" w14:textId="77777777">
      <w:pPr>
        <w:spacing w:before="60"/>
        <w:rPr>
          <w:rFonts w:cstheme="minorHAnsi"/>
          <w:color w:val="000000"/>
        </w:rPr>
      </w:pPr>
      <w:r w:rsidRPr="00B6361B">
        <w:rPr>
          <w:rFonts w:cstheme="minorHAnsi"/>
          <w:color w:val="000000"/>
        </w:rPr>
        <w:t>This ICR uses the following labor rates:</w:t>
      </w:r>
    </w:p>
    <w:p w:rsidR="00B6361B" w:rsidRPr="00B6361B" w:rsidP="00C4086C" w14:paraId="7B7F36C8" w14:textId="40C5F556">
      <w:pPr>
        <w:spacing w:before="60"/>
        <w:ind w:firstLine="720"/>
        <w:rPr>
          <w:rFonts w:cstheme="minorHAnsi"/>
          <w:color w:val="000000"/>
        </w:rPr>
      </w:pPr>
      <w:r w:rsidRPr="00B6361B">
        <w:rPr>
          <w:rFonts w:cstheme="minorHAnsi"/>
          <w:color w:val="000000"/>
        </w:rPr>
        <w:t>Managerial</w:t>
      </w:r>
      <w:r w:rsidRPr="00B6361B">
        <w:rPr>
          <w:rFonts w:cstheme="minorHAnsi"/>
          <w:color w:val="000000"/>
        </w:rPr>
        <w:tab/>
        <w:t>$</w:t>
      </w:r>
      <w:r w:rsidRPr="00F67B5E" w:rsidR="00F67B5E">
        <w:rPr>
          <w:rFonts w:cstheme="minorHAnsi"/>
          <w:color w:val="000000"/>
        </w:rPr>
        <w:t xml:space="preserve">172.41 </w:t>
      </w:r>
      <w:r w:rsidRPr="00B6361B">
        <w:rPr>
          <w:rFonts w:cstheme="minorHAnsi"/>
          <w:color w:val="000000"/>
        </w:rPr>
        <w:t>(</w:t>
      </w:r>
      <w:r w:rsidRPr="00FF4B69" w:rsidR="00FF4B69">
        <w:rPr>
          <w:rFonts w:cstheme="minorHAnsi"/>
          <w:color w:val="000000"/>
        </w:rPr>
        <w:t>$82.10</w:t>
      </w:r>
      <w:r w:rsidR="00FF4B69">
        <w:rPr>
          <w:rFonts w:cstheme="minorHAnsi"/>
          <w:color w:val="000000"/>
        </w:rPr>
        <w:t xml:space="preserve"> </w:t>
      </w:r>
      <w:r w:rsidRPr="00B6361B">
        <w:rPr>
          <w:rFonts w:cstheme="minorHAnsi"/>
          <w:color w:val="000000"/>
        </w:rPr>
        <w:t>+ 110%)</w:t>
      </w:r>
      <w:r w:rsidR="00B5008A">
        <w:rPr>
          <w:rFonts w:cstheme="minorHAnsi"/>
          <w:color w:val="000000"/>
        </w:rPr>
        <w:t xml:space="preserve"> </w:t>
      </w:r>
    </w:p>
    <w:p w:rsidR="00B6361B" w:rsidRPr="00B6361B" w:rsidP="00C4086C" w14:paraId="5A657EE1" w14:textId="5142A15B">
      <w:pPr>
        <w:spacing w:before="60"/>
        <w:ind w:firstLine="720"/>
        <w:rPr>
          <w:rFonts w:cstheme="minorHAnsi"/>
          <w:color w:val="000000"/>
        </w:rPr>
      </w:pPr>
      <w:r w:rsidRPr="00B6361B">
        <w:rPr>
          <w:rFonts w:cstheme="minorHAnsi"/>
          <w:color w:val="000000"/>
        </w:rPr>
        <w:t>Technical</w:t>
      </w:r>
      <w:r w:rsidRPr="00B6361B">
        <w:rPr>
          <w:rFonts w:cstheme="minorHAnsi"/>
          <w:color w:val="000000"/>
        </w:rPr>
        <w:tab/>
        <w:t>$</w:t>
      </w:r>
      <w:r w:rsidRPr="00583AAC" w:rsidR="00583AAC">
        <w:rPr>
          <w:rFonts w:cstheme="minorHAnsi"/>
          <w:color w:val="000000"/>
        </w:rPr>
        <w:t>141.75 ($67.50 + 110%)</w:t>
      </w:r>
    </w:p>
    <w:p w:rsidR="00B6361B" w:rsidRPr="00B6361B" w:rsidP="00C4086C" w14:paraId="02C1710F" w14:textId="0127D915">
      <w:pPr>
        <w:spacing w:before="60"/>
        <w:ind w:firstLine="720"/>
        <w:rPr>
          <w:rFonts w:cstheme="minorHAnsi"/>
          <w:color w:val="000000"/>
        </w:rPr>
      </w:pPr>
      <w:r w:rsidRPr="00B6361B">
        <w:rPr>
          <w:rFonts w:cstheme="minorHAnsi"/>
          <w:color w:val="000000"/>
        </w:rPr>
        <w:t>Clerical</w:t>
      </w:r>
      <w:r w:rsidRPr="00B6361B">
        <w:rPr>
          <w:rFonts w:cstheme="minorHAnsi"/>
          <w:color w:val="000000"/>
        </w:rPr>
        <w:tab/>
      </w:r>
      <w:r w:rsidR="00C4086C">
        <w:rPr>
          <w:rFonts w:cstheme="minorHAnsi"/>
          <w:color w:val="000000"/>
        </w:rPr>
        <w:tab/>
      </w:r>
      <w:r w:rsidRPr="00B6361B">
        <w:rPr>
          <w:rFonts w:cstheme="minorHAnsi"/>
          <w:color w:val="000000"/>
        </w:rPr>
        <w:t>$</w:t>
      </w:r>
      <w:r w:rsidRPr="003F1F7D" w:rsidR="003F1F7D">
        <w:rPr>
          <w:rFonts w:cstheme="minorHAnsi"/>
          <w:color w:val="000000"/>
        </w:rPr>
        <w:t>71.36 ($33.98 + 110%</w:t>
      </w:r>
      <w:r w:rsidR="003F1F7D">
        <w:rPr>
          <w:rFonts w:cstheme="minorHAnsi"/>
          <w:color w:val="000000"/>
        </w:rPr>
        <w:t>)</w:t>
      </w:r>
    </w:p>
    <w:p w:rsidR="00B6361B" w:rsidRPr="00B6361B" w:rsidP="00B6361B" w14:paraId="6E3B36E7" w14:textId="458743BB">
      <w:pPr>
        <w:spacing w:before="60"/>
        <w:rPr>
          <w:rFonts w:cstheme="minorHAnsi"/>
          <w:color w:val="000000"/>
        </w:rPr>
      </w:pPr>
      <w:r w:rsidRPr="006A0C6C">
        <w:rPr>
          <w:rFonts w:cstheme="minorHAnsi"/>
          <w:color w:val="000000"/>
        </w:rPr>
        <w:t>These rates are from the United States Department of Labor, Bureau of Labor Statistics, December 2023, “Table 2. Civilian workers by occupational and industry group.” The rates are from column 1, “Total 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w:t>
      </w:r>
    </w:p>
    <w:p w:rsidR="00ED57A4" w:rsidRPr="00BB3410" w:rsidP="00B6361B" w14:paraId="68F435BE" w14:textId="70B62D6F">
      <w:pPr>
        <w:spacing w:before="60"/>
        <w:rPr>
          <w:rFonts w:cstheme="minorHAnsi"/>
        </w:rPr>
      </w:pPr>
      <w:r w:rsidRPr="00B6361B">
        <w:rPr>
          <w:rFonts w:cstheme="minorHAnsi"/>
          <w:color w:val="000000"/>
        </w:rPr>
        <w:t>We assume that burdens for managerial tasks take 5% of the time required for technical tasks because the typical tasks for managers are to review and approve reports. Clerical burdens are assumed to take 10% of the time required for technical tasks because the typical duties of clerical staff are to proofread the reports, make copies and maintain records.</w:t>
      </w:r>
    </w:p>
    <w:p w:rsidR="00BB2B15" w:rsidRPr="00163C69" w:rsidP="00854AAE" w14:paraId="5D1B71A2" w14:textId="2ADBBFA0">
      <w:pPr>
        <w:pStyle w:val="ListParagraph"/>
        <w:numPr>
          <w:ilvl w:val="0"/>
          <w:numId w:val="25"/>
        </w:numPr>
        <w:spacing w:before="240" w:after="0"/>
        <w:rPr>
          <w:rFonts w:cstheme="minorHAnsi"/>
          <w:b/>
          <w:bCs/>
          <w:caps/>
        </w:rPr>
      </w:pPr>
      <w:bookmarkStart w:id="21" w:name="_Toc156593386"/>
      <w:r w:rsidRPr="4BDBF0A0">
        <w:rPr>
          <w:b/>
          <w:bCs/>
          <w:caps/>
        </w:rPr>
        <w:t>Respondent</w:t>
      </w:r>
      <w:r w:rsidRPr="4BDBF0A0" w:rsidR="009A09EC">
        <w:rPr>
          <w:b/>
          <w:bCs/>
          <w:caps/>
        </w:rPr>
        <w:t xml:space="preserve"> </w:t>
      </w:r>
      <w:r w:rsidRPr="4BDBF0A0" w:rsidR="00D17BB9">
        <w:rPr>
          <w:b/>
          <w:bCs/>
          <w:caps/>
        </w:rPr>
        <w:t xml:space="preserve">CAPITAL AND O&amp;m </w:t>
      </w:r>
      <w:r w:rsidRPr="4BDBF0A0" w:rsidR="004E3CB0">
        <w:rPr>
          <w:b/>
          <w:bCs/>
          <w:caps/>
        </w:rPr>
        <w:t>Cost</w:t>
      </w:r>
      <w:r w:rsidRPr="4BDBF0A0" w:rsidR="00D17BB9">
        <w:rPr>
          <w:b/>
          <w:bCs/>
          <w:caps/>
        </w:rPr>
        <w:t>S</w:t>
      </w:r>
      <w:bookmarkEnd w:id="21"/>
      <w:r w:rsidRPr="4BDBF0A0" w:rsidR="004E3CB0">
        <w:rPr>
          <w:b/>
          <w:bCs/>
          <w:caps/>
        </w:rPr>
        <w:t xml:space="preserve"> </w:t>
      </w:r>
    </w:p>
    <w:p w:rsidR="00F92596" w:rsidRPr="00F92596" w:rsidP="00F92596" w14:paraId="0925DF34" w14:textId="77777777">
      <w:pPr>
        <w:spacing w:after="0" w:line="240" w:lineRule="auto"/>
        <w:rPr>
          <w:rFonts w:cstheme="minorHAnsi"/>
          <w:i/>
          <w:iCs/>
        </w:rPr>
      </w:pPr>
      <w:r w:rsidRPr="00F9259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F92596" w:rsidP="00163C69" w14:paraId="026BDBA4" w14:textId="77777777">
      <w:pPr>
        <w:spacing w:before="120" w:after="0" w:line="240" w:lineRule="auto"/>
        <w:rPr>
          <w:rFonts w:cstheme="minorHAnsi"/>
          <w:i/>
          <w:iCs/>
        </w:rPr>
      </w:pPr>
      <w:r w:rsidRPr="00F92596">
        <w:rPr>
          <w:rFonts w:cstheme="minorHAnsi"/>
          <w:i/>
          <w:iCs/>
        </w:rPr>
        <w:t>The cost estimate should be split into two components: (a) a total capital and start-up cost</w:t>
      </w:r>
    </w:p>
    <w:p w:rsidR="00F92596" w:rsidRPr="00F92596" w:rsidP="00F92596" w14:paraId="7ED5E3E9" w14:textId="77777777">
      <w:pPr>
        <w:spacing w:after="0" w:line="240" w:lineRule="auto"/>
        <w:rPr>
          <w:rFonts w:cstheme="minorHAnsi"/>
          <w:i/>
          <w:iCs/>
        </w:rPr>
      </w:pPr>
      <w:r w:rsidRPr="00F92596">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F92596" w:rsidP="00163C69" w14:paraId="761690A4" w14:textId="77777777">
      <w:pPr>
        <w:spacing w:line="240" w:lineRule="auto"/>
        <w:rPr>
          <w:rFonts w:cstheme="minorHAnsi"/>
          <w:i/>
          <w:iCs/>
        </w:rPr>
      </w:pPr>
      <w:r w:rsidRPr="00F9259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F92596" w:rsidP="00163C69" w14:paraId="577731C5" w14:textId="77777777">
      <w:pPr>
        <w:pBdr>
          <w:bottom w:val="single" w:sz="4" w:space="1" w:color="auto"/>
        </w:pBdr>
        <w:spacing w:line="240" w:lineRule="auto"/>
        <w:rPr>
          <w:rFonts w:cstheme="minorHAnsi"/>
          <w:i/>
          <w:iCs/>
        </w:rPr>
      </w:pPr>
      <w:r w:rsidRPr="00F92596">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42882" w:rsidRPr="001C7948" w:rsidP="00342882" w14:paraId="07317B6B" w14:textId="0B966687">
      <w:pPr>
        <w:pBdr>
          <w:top w:val="single" w:sz="6" w:space="0" w:color="FFFFFF"/>
          <w:left w:val="single" w:sz="6" w:space="0" w:color="FFFFFF"/>
          <w:bottom w:val="single" w:sz="6" w:space="0" w:color="FFFFFF"/>
          <w:right w:val="single" w:sz="6" w:space="0" w:color="FFFFFF"/>
        </w:pBdr>
        <w:rPr>
          <w:rFonts w:cstheme="minorHAnsi"/>
        </w:rPr>
      </w:pPr>
      <w:r w:rsidRPr="00342882">
        <w:rPr>
          <w:rFonts w:cstheme="minorHAnsi"/>
          <w:color w:val="000000"/>
        </w:rPr>
        <w:t xml:space="preserve">The type of industry costs associated with the information collection activities in the subject standard(s) are both labor costs which are addressed elsewhere in this ICR and the costs associated with continuous monitoring. The capital/startup costs are one-time costs when a facility becomes subject to this regulation. The annual operation and maintenance costs are the ongoing costs to maintain the monitor(s) and other costs such as </w:t>
      </w:r>
      <w:r w:rsidRPr="001C7948">
        <w:rPr>
          <w:rFonts w:cstheme="minorHAnsi"/>
        </w:rPr>
        <w:t>photocopying and postage.</w:t>
      </w:r>
    </w:p>
    <w:p w:rsidR="00342882" w:rsidRPr="001C7948" w:rsidP="00342882" w14:paraId="105876AA" w14:textId="3EE477E6">
      <w:pPr>
        <w:pBdr>
          <w:top w:val="single" w:sz="6" w:space="0" w:color="FFFFFF"/>
          <w:left w:val="single" w:sz="6" w:space="0" w:color="FFFFFF"/>
          <w:bottom w:val="single" w:sz="6" w:space="0" w:color="FFFFFF"/>
          <w:right w:val="single" w:sz="6" w:space="0" w:color="FFFFFF"/>
        </w:pBdr>
        <w:rPr>
          <w:rFonts w:cstheme="minorHAnsi"/>
        </w:rPr>
      </w:pPr>
      <w:r w:rsidRPr="001C7948">
        <w:rPr>
          <w:rFonts w:cstheme="minorHAnsi"/>
        </w:rPr>
        <w:t>The total capital/startup costs for this ICR are $</w:t>
      </w:r>
      <w:r w:rsidRPr="001C7948" w:rsidR="00B44779">
        <w:rPr>
          <w:rFonts w:cstheme="minorHAnsi"/>
        </w:rPr>
        <w:t>0</w:t>
      </w:r>
      <w:r w:rsidRPr="001C7948">
        <w:rPr>
          <w:rFonts w:cstheme="minorHAnsi"/>
        </w:rPr>
        <w:t xml:space="preserve">. This is the total of column D shown below in the table Capital/Startup vs. Operation and Maintenance (O&amp;M) Costs. </w:t>
      </w:r>
    </w:p>
    <w:p w:rsidR="00342882" w:rsidRPr="001C7948" w:rsidP="00342882" w14:paraId="2CCD21DB" w14:textId="1121C653">
      <w:pPr>
        <w:pBdr>
          <w:top w:val="single" w:sz="6" w:space="0" w:color="FFFFFF"/>
          <w:left w:val="single" w:sz="6" w:space="0" w:color="FFFFFF"/>
          <w:bottom w:val="single" w:sz="6" w:space="0" w:color="FFFFFF"/>
          <w:right w:val="single" w:sz="6" w:space="0" w:color="FFFFFF"/>
        </w:pBdr>
        <w:rPr>
          <w:rFonts w:cstheme="minorHAnsi"/>
        </w:rPr>
      </w:pPr>
      <w:r w:rsidRPr="001C7948">
        <w:rPr>
          <w:rFonts w:cstheme="minorHAnsi"/>
        </w:rPr>
        <w:t>The total operation and maintenance (O&amp;M) costs for this ICR are $</w:t>
      </w:r>
      <w:r w:rsidRPr="001C7948" w:rsidR="00430FA6">
        <w:rPr>
          <w:rFonts w:cstheme="minorHAnsi"/>
        </w:rPr>
        <w:t xml:space="preserve"> </w:t>
      </w:r>
      <w:r w:rsidRPr="001C7948" w:rsidR="00790AA0">
        <w:rPr>
          <w:rFonts w:cstheme="minorHAnsi"/>
        </w:rPr>
        <w:t>10,300,000</w:t>
      </w:r>
      <w:r w:rsidRPr="001C7948">
        <w:rPr>
          <w:rFonts w:cstheme="minorHAnsi"/>
        </w:rPr>
        <w:t>. This is the total of column G shown below in the table Capital/Startup vs. Operation and Maintenance (O&amp;M) Costs.</w:t>
      </w:r>
    </w:p>
    <w:p w:rsidR="00BB3410" w:rsidRPr="001C7948" w:rsidP="00854AAE" w14:paraId="678BA42F" w14:textId="4B02E0F8">
      <w:pPr>
        <w:pBdr>
          <w:top w:val="single" w:sz="6" w:space="0" w:color="FFFFFF"/>
          <w:left w:val="single" w:sz="6" w:space="0" w:color="FFFFFF"/>
          <w:bottom w:val="single" w:sz="6" w:space="0" w:color="FFFFFF"/>
          <w:right w:val="single" w:sz="6" w:space="0" w:color="FFFFFF"/>
        </w:pBdr>
        <w:rPr>
          <w:rFonts w:cstheme="minorHAnsi"/>
        </w:rPr>
      </w:pPr>
      <w:r w:rsidRPr="001C7948">
        <w:rPr>
          <w:rFonts w:cstheme="minorHAnsi"/>
        </w:rPr>
        <w:t>The average annual cost for capital/startup and operation and maintenance costs to industry over the next three years of the ICR is estimated to be $</w:t>
      </w:r>
      <w:r w:rsidRPr="001C7948" w:rsidR="00790AA0">
        <w:rPr>
          <w:rFonts w:cstheme="minorHAnsi"/>
        </w:rPr>
        <w:t>10,300,000</w:t>
      </w:r>
      <w:r w:rsidRPr="001C7948">
        <w:rPr>
          <w:rFonts w:cstheme="minorHAnsi"/>
        </w:rPr>
        <w:t>.</w:t>
      </w:r>
    </w:p>
    <w:p w:rsidR="00023EFE" w:rsidRPr="00163C69" w:rsidP="00854AAE" w14:paraId="7D2BF7DE" w14:textId="77777777">
      <w:pPr>
        <w:pStyle w:val="ListParagraph"/>
        <w:numPr>
          <w:ilvl w:val="0"/>
          <w:numId w:val="25"/>
        </w:numPr>
        <w:pBdr>
          <w:bottom w:val="single" w:sz="4" w:space="1" w:color="auto"/>
        </w:pBdr>
        <w:spacing w:before="240" w:after="0"/>
        <w:rPr>
          <w:rFonts w:cstheme="minorHAnsi"/>
          <w:b/>
          <w:bCs/>
        </w:rPr>
      </w:pPr>
      <w:bookmarkStart w:id="22" w:name="_Toc156593387"/>
      <w:r w:rsidRPr="4BDBF0A0">
        <w:rPr>
          <w:b/>
          <w:bCs/>
        </w:rPr>
        <w:t xml:space="preserve">AGENCY </w:t>
      </w:r>
      <w:bookmarkStart w:id="23" w:name="_Toc156593388"/>
      <w:bookmarkEnd w:id="22"/>
      <w:r w:rsidRPr="4BDBF0A0" w:rsidR="00BB2B15">
        <w:rPr>
          <w:b/>
          <w:bCs/>
        </w:rPr>
        <w:t>COSTS</w:t>
      </w:r>
    </w:p>
    <w:p w:rsidR="001F0834" w:rsidRPr="001F0834" w:rsidP="00854AAE" w14:paraId="3D696CEA" w14:textId="77777777">
      <w:pPr>
        <w:pBdr>
          <w:bottom w:val="single" w:sz="4" w:space="1" w:color="auto"/>
        </w:pBdr>
        <w:rPr>
          <w:rFonts w:cstheme="minorHAnsi"/>
          <w:bCs/>
          <w:i/>
          <w:iCs/>
        </w:rPr>
      </w:pPr>
      <w:r w:rsidRPr="001F0834">
        <w:rPr>
          <w:rFonts w:cstheme="minorHAnsi"/>
          <w:bCs/>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RPr="00163C69" w:rsidP="00854AAE" w14:paraId="1D8BBDEC" w14:textId="7D3333D9">
      <w:pPr>
        <w:spacing w:before="120" w:after="0"/>
        <w:rPr>
          <w:rFonts w:cstheme="minorHAnsi"/>
          <w:b/>
          <w:bCs/>
        </w:rPr>
      </w:pPr>
      <w:r w:rsidRPr="00163C69">
        <w:rPr>
          <w:rFonts w:eastAsiaTheme="majorEastAsia" w:cstheme="minorHAnsi"/>
          <w:b/>
          <w:bCs/>
        </w:rPr>
        <w:t xml:space="preserve">14a. </w:t>
      </w:r>
      <w:r w:rsidRPr="00163C69" w:rsidR="00BB2B15">
        <w:rPr>
          <w:rFonts w:eastAsiaTheme="majorEastAsia" w:cstheme="minorHAnsi"/>
          <w:b/>
          <w:bCs/>
        </w:rPr>
        <w:t>Agency Activities</w:t>
      </w:r>
    </w:p>
    <w:p w:rsidR="00962BB9" w:rsidRPr="00962BB9" w:rsidP="00962BB9" w14:paraId="63B05811" w14:textId="77777777">
      <w:pPr>
        <w:spacing w:before="120" w:after="0"/>
        <w:rPr>
          <w:rFonts w:cstheme="minorHAnsi"/>
        </w:rPr>
      </w:pPr>
      <w:r w:rsidRPr="00962BB9">
        <w:rPr>
          <w:rFonts w:cstheme="minorHAnsi"/>
        </w:rPr>
        <w:t>The EPA conducts the following activities in connection with the acquisition, analysis, storage, and distribution of the required information:</w:t>
      </w:r>
    </w:p>
    <w:p w:rsidR="00962BB9" w:rsidRPr="00962BB9" w:rsidP="000C04C0" w14:paraId="7F2F63EE" w14:textId="77777777">
      <w:pPr>
        <w:spacing w:before="120" w:after="0"/>
        <w:ind w:left="1440" w:hanging="720"/>
        <w:rPr>
          <w:rFonts w:cstheme="minorHAnsi"/>
        </w:rPr>
      </w:pPr>
      <w:r w:rsidRPr="00962BB9">
        <w:rPr>
          <w:rFonts w:cstheme="minorHAnsi"/>
        </w:rPr>
        <w:t>•</w:t>
      </w:r>
      <w:r w:rsidRPr="00962BB9">
        <w:rPr>
          <w:rFonts w:cstheme="minorHAnsi"/>
        </w:rPr>
        <w:tab/>
        <w:t>Review notifications and reports, including performance test reports, and excess emissions reports, required to be submitted by industry.</w:t>
      </w:r>
    </w:p>
    <w:p w:rsidR="00962BB9" w:rsidRPr="00962BB9" w:rsidP="000C04C0" w14:paraId="5819A6E8" w14:textId="77777777">
      <w:pPr>
        <w:spacing w:before="120" w:after="0"/>
        <w:ind w:left="1440" w:hanging="720"/>
        <w:rPr>
          <w:rFonts w:cstheme="minorHAnsi"/>
        </w:rPr>
      </w:pPr>
      <w:r w:rsidRPr="00962BB9">
        <w:rPr>
          <w:rFonts w:cstheme="minorHAnsi"/>
        </w:rPr>
        <w:t>•</w:t>
      </w:r>
      <w:r w:rsidRPr="00962BB9">
        <w:rPr>
          <w:rFonts w:cstheme="minorHAnsi"/>
        </w:rPr>
        <w:tab/>
        <w:t>Audit facility records.</w:t>
      </w:r>
    </w:p>
    <w:p w:rsidR="00962BB9" w:rsidRPr="00962BB9" w:rsidP="000C04C0" w14:paraId="6B24FF73" w14:textId="77777777">
      <w:pPr>
        <w:spacing w:before="120" w:after="0"/>
        <w:ind w:left="1440" w:hanging="720"/>
        <w:rPr>
          <w:rFonts w:cstheme="minorHAnsi"/>
        </w:rPr>
      </w:pPr>
      <w:r w:rsidRPr="00962BB9">
        <w:rPr>
          <w:rFonts w:cstheme="minorHAnsi"/>
        </w:rPr>
        <w:t>•</w:t>
      </w:r>
      <w:r w:rsidRPr="00962BB9">
        <w:rPr>
          <w:rFonts w:cstheme="minorHAnsi"/>
        </w:rPr>
        <w:tab/>
        <w:t>Input, analyze, and maintain data in the Enforcement and Compliance History Online (ECHO) and ICIS.</w:t>
      </w:r>
    </w:p>
    <w:p w:rsidR="00962BB9" w:rsidRPr="00962BB9" w:rsidP="00962BB9" w14:paraId="0568D192" w14:textId="77777777">
      <w:pPr>
        <w:spacing w:before="120" w:after="0"/>
        <w:rPr>
          <w:rFonts w:cstheme="minorHAnsi"/>
        </w:rPr>
      </w:pPr>
      <w:r w:rsidRPr="00962BB9">
        <w:rPr>
          <w:rFonts w:cstheme="minorHAnsi"/>
        </w:rPr>
        <w:t xml:space="preserve">Following notification of startup, the reviewing authority could inspect the source to determine whether the pollution control devices are properly installed and operated. Performance test reports are used by the Agency to discern a source’s initial capability to comply with the emission </w:t>
      </w:r>
      <w:r w:rsidRPr="00962BB9">
        <w:rPr>
          <w:rFonts w:cstheme="minorHAnsi"/>
        </w:rPr>
        <w:t>standard, and</w:t>
      </w:r>
      <w:r w:rsidRPr="00962BB9">
        <w:rPr>
          <w:rFonts w:cstheme="minorHAnsi"/>
        </w:rPr>
        <w:t xml:space="preserve"> note the operating conditions under which compliance was achieved. Data and records maintained by the respondents are tabulated and published for use in compliance and enforcement programs. The semiannual reports are used for problem identification, as a check on source operation and maintenance, and for compliance determinations.</w:t>
      </w:r>
    </w:p>
    <w:p w:rsidR="00962BB9" w:rsidRPr="00962BB9" w:rsidP="00962BB9" w14:paraId="213C8C02" w14:textId="77777777">
      <w:pPr>
        <w:spacing w:before="120" w:after="0"/>
        <w:rPr>
          <w:rFonts w:cstheme="minorHAnsi"/>
        </w:rPr>
      </w:pPr>
      <w:r w:rsidRPr="00962BB9">
        <w:rPr>
          <w:rFonts w:cstheme="minorHAnsi"/>
        </w:rPr>
        <w:t>Information contained in the reports is reported by state and local governments in the ICIS Air database, which is operated and maintained by EPA's Office of Compliance. EPA uses ICIS for tracking air pollution compliance and enforcement by local and state regulatory agencies, EPA regional offices and EPA headquarters. EPA and its delegated Authorities can edit, store, retrieve and analyze the data.</w:t>
      </w:r>
    </w:p>
    <w:p w:rsidR="00023EFE" w:rsidRPr="00163C69" w:rsidP="00854AAE" w14:paraId="30F74537" w14:textId="3975E491">
      <w:pPr>
        <w:spacing w:before="120" w:after="0"/>
        <w:rPr>
          <w:rFonts w:cstheme="minorHAnsi"/>
          <w:b/>
          <w:bCs/>
        </w:rPr>
      </w:pPr>
      <w:r w:rsidRPr="00163C69">
        <w:rPr>
          <w:rFonts w:eastAsiaTheme="majorEastAsia" w:cstheme="minorHAnsi"/>
          <w:b/>
          <w:bCs/>
        </w:rPr>
        <w:t xml:space="preserve">14b. </w:t>
      </w:r>
      <w:r w:rsidRPr="00163C69" w:rsidR="00BB2B15">
        <w:rPr>
          <w:rFonts w:eastAsiaTheme="majorEastAsia" w:cstheme="minorHAnsi"/>
          <w:b/>
          <w:bCs/>
        </w:rPr>
        <w:t>Agency Labor Cost</w:t>
      </w:r>
    </w:p>
    <w:p w:rsidR="000069AF" w:rsidRPr="001C7948" w:rsidP="00A867AD" w14:paraId="18B03B9C" w14:textId="1043F8E9">
      <w:pPr>
        <w:pBdr>
          <w:top w:val="single" w:sz="6" w:space="0" w:color="FFFFFF"/>
          <w:left w:val="single" w:sz="6" w:space="0" w:color="FFFFFF"/>
          <w:bottom w:val="single" w:sz="6" w:space="0" w:color="FFFFFF"/>
          <w:right w:val="single" w:sz="6" w:space="0" w:color="FFFFFF"/>
        </w:pBdr>
      </w:pPr>
      <w:r w:rsidRPr="000069AF">
        <w:rPr>
          <w:rFonts w:cstheme="minorHAnsi"/>
          <w:color w:val="000000"/>
        </w:rPr>
        <w:t xml:space="preserve">The ‘burden’ to the Federal Government is attributed entirely to work performed by either Federal employees or government contractors. The only costs to the Agency are those costs associated with analysis of the reported information. The EPA's overall compliance and enforcement program includes such activities as the examination of records maintained by the respondents, periodic inspection of sources of </w:t>
      </w:r>
      <w:r w:rsidRPr="001C7948">
        <w:rPr>
          <w:rFonts w:cstheme="minorHAnsi"/>
        </w:rPr>
        <w:t xml:space="preserve">emissions, and the publication and distribution of collected information. The average annual Agency burden and cost during the three years of the ICR is estimated to be </w:t>
      </w:r>
      <w:r w:rsidRPr="001C7948" w:rsidR="00790AA0">
        <w:rPr>
          <w:rFonts w:cstheme="minorHAnsi"/>
        </w:rPr>
        <w:t xml:space="preserve">812 </w:t>
      </w:r>
      <w:r w:rsidRPr="001C7948">
        <w:rPr>
          <w:rFonts w:cstheme="minorHAnsi"/>
        </w:rPr>
        <w:t>hours at a cost of $</w:t>
      </w:r>
      <w:r w:rsidRPr="001C7948" w:rsidR="00B44779">
        <w:rPr>
          <w:rFonts w:cstheme="minorHAnsi"/>
        </w:rPr>
        <w:t>45,200</w:t>
      </w:r>
      <w:r w:rsidRPr="001C7948">
        <w:rPr>
          <w:rFonts w:cstheme="minorHAnsi"/>
        </w:rPr>
        <w:t xml:space="preserve">. See Table 2: Average Annual EPA Burden and Cost – </w:t>
      </w:r>
      <w:r w:rsidRPr="001C7948" w:rsidR="004E6DB7">
        <w:t xml:space="preserve">NESHAP for Group IV Polymers and Resins (40 CFR Part 63, Subpart JJJ) (Renewal). </w:t>
      </w:r>
    </w:p>
    <w:p w:rsidR="000069AF" w:rsidRPr="000069AF" w:rsidP="000069AF" w14:paraId="3BEB8CF7"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This cost is based on the average hourly labor rate as follows:</w:t>
      </w:r>
    </w:p>
    <w:p w:rsidR="006D6C61" w:rsidP="000069AF" w14:paraId="5BDD4B04" w14:textId="5393C75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Managerial</w:t>
      </w:r>
      <w:r w:rsidRPr="000069AF">
        <w:rPr>
          <w:rFonts w:cstheme="minorHAnsi"/>
          <w:color w:val="000000"/>
        </w:rPr>
        <w:tab/>
        <w:t>$</w:t>
      </w:r>
      <w:r w:rsidRPr="006D6C61">
        <w:rPr>
          <w:rFonts w:cstheme="minorHAnsi"/>
          <w:color w:val="000000"/>
        </w:rPr>
        <w:t>76.92 (GS-13, Step 5, $48.07 + 60%)</w:t>
      </w:r>
    </w:p>
    <w:p w:rsidR="00BF6C47" w:rsidP="000069AF" w14:paraId="11AA48E4"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Technical</w:t>
      </w:r>
      <w:r w:rsidRPr="000069AF">
        <w:rPr>
          <w:rFonts w:cstheme="minorHAnsi"/>
          <w:color w:val="000000"/>
        </w:rPr>
        <w:tab/>
        <w:t>$</w:t>
      </w:r>
      <w:r w:rsidRPr="00BF6C47">
        <w:rPr>
          <w:rFonts w:cstheme="minorHAnsi"/>
          <w:color w:val="000000"/>
        </w:rPr>
        <w:t>57.07 (GS-12, Step 1, $35.67 + 60%)</w:t>
      </w:r>
    </w:p>
    <w:p w:rsidR="000069AF" w:rsidRPr="000069AF" w:rsidP="000069AF" w14:paraId="109B85E8" w14:textId="55EA84B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Clerical</w:t>
      </w:r>
      <w:r w:rsidRPr="000069AF">
        <w:rPr>
          <w:rFonts w:cstheme="minorHAnsi"/>
          <w:color w:val="000000"/>
        </w:rPr>
        <w:tab/>
      </w:r>
      <w:r w:rsidRPr="000069AF">
        <w:rPr>
          <w:rFonts w:cstheme="minorHAnsi"/>
          <w:color w:val="000000"/>
        </w:rPr>
        <w:tab/>
        <w:t>$</w:t>
      </w:r>
      <w:r w:rsidRPr="00E30153" w:rsidR="00E30153">
        <w:rPr>
          <w:rFonts w:cstheme="minorHAnsi"/>
          <w:color w:val="000000"/>
        </w:rPr>
        <w:t>30.88 (GS-6, Step 3, $19.30+ 60%)</w:t>
      </w:r>
    </w:p>
    <w:p w:rsidR="000069AF" w:rsidRPr="004E6DB7" w:rsidP="004E6DB7" w14:paraId="20DC83EE" w14:textId="277077BA">
      <w:pPr>
        <w:pBdr>
          <w:top w:val="single" w:sz="6" w:space="0" w:color="FFFFFF"/>
          <w:left w:val="single" w:sz="6" w:space="0" w:color="FFFFFF"/>
          <w:bottom w:val="single" w:sz="6" w:space="0" w:color="FFFFFF"/>
          <w:right w:val="single" w:sz="6" w:space="0" w:color="FFFFFF"/>
        </w:pBdr>
      </w:pPr>
      <w:r w:rsidRPr="00E30153">
        <w:rPr>
          <w:rFonts w:cstheme="minorHAnsi"/>
          <w:color w:val="000000"/>
        </w:rPr>
        <w:t>These rates are from the Office of Personnel Management (OPM), 2024 General Schedule, which excludes locality, rates of pay. The rates have been increased by 60 percent to account for the benefit packages available to government employees</w:t>
      </w:r>
      <w:r w:rsidRPr="000069AF">
        <w:rPr>
          <w:rFonts w:cstheme="minorHAnsi"/>
          <w:color w:val="000000"/>
        </w:rPr>
        <w:t xml:space="preserve">. Details upon which this estimate is based appear at the end of this document in Table 2: Average Annual EPA Burden and Cost – </w:t>
      </w:r>
      <w:r w:rsidRPr="008A5926" w:rsidR="004E6DB7">
        <w:t xml:space="preserve">NESHAP for Group IV Polymers and Resins (40 CFR Part 63, Subpart JJJ) (Renewal). </w:t>
      </w:r>
    </w:p>
    <w:p w:rsidR="00D17BB9" w:rsidRPr="00163C69" w:rsidP="00854AAE" w14:paraId="164B7E2B" w14:textId="2BCAACF4">
      <w:pPr>
        <w:spacing w:before="120" w:after="0"/>
        <w:rPr>
          <w:rFonts w:cstheme="minorHAnsi"/>
          <w:b/>
          <w:bCs/>
        </w:rPr>
      </w:pPr>
      <w:r w:rsidRPr="00163C69">
        <w:rPr>
          <w:rFonts w:eastAsiaTheme="majorEastAsia" w:cstheme="minorHAnsi"/>
          <w:b/>
          <w:bCs/>
        </w:rPr>
        <w:t xml:space="preserve">14c. </w:t>
      </w:r>
      <w:r w:rsidRPr="00163C69">
        <w:rPr>
          <w:rFonts w:eastAsiaTheme="majorEastAsia" w:cstheme="minorHAnsi"/>
          <w:b/>
          <w:bCs/>
        </w:rPr>
        <w:t>Agency Non-Labor Costs</w:t>
      </w:r>
    </w:p>
    <w:p w:rsidR="00BB3410" w:rsidRPr="00BB3410" w:rsidP="00854AAE" w14:paraId="7FCA1ABF" w14:textId="55AC30C8">
      <w:pPr>
        <w:spacing w:before="60"/>
        <w:rPr>
          <w:rFonts w:cstheme="minorHAnsi"/>
        </w:rPr>
      </w:pPr>
      <w:r w:rsidRPr="00731652">
        <w:rPr>
          <w:rFonts w:cstheme="minorHAnsi"/>
        </w:rPr>
        <w:t>There are no non-labor costs to the Agency associated with this information collection.</w:t>
      </w:r>
    </w:p>
    <w:p w:rsidR="004620CA" w:rsidRPr="00163C69" w:rsidP="4BDBF0A0" w14:paraId="3144CC9D" w14:textId="72F4E703">
      <w:pPr>
        <w:pStyle w:val="ListParagraph"/>
        <w:numPr>
          <w:ilvl w:val="0"/>
          <w:numId w:val="27"/>
        </w:numPr>
        <w:spacing w:before="240" w:after="0"/>
        <w:rPr>
          <w:b/>
          <w:bCs/>
        </w:rPr>
      </w:pPr>
      <w:r w:rsidRPr="4BDBF0A0">
        <w:rPr>
          <w:b/>
          <w:bCs/>
        </w:rPr>
        <w:t xml:space="preserve">REASONS FOR </w:t>
      </w:r>
      <w:r w:rsidRPr="4BDBF0A0" w:rsidR="00AD46F7">
        <w:rPr>
          <w:b/>
          <w:bCs/>
        </w:rPr>
        <w:t>CHANGE IN BURDEN</w:t>
      </w:r>
      <w:bookmarkEnd w:id="23"/>
    </w:p>
    <w:p w:rsidR="001F0834" w:rsidRPr="001F0834" w:rsidP="00854AAE" w14:paraId="567B01FE" w14:textId="77777777">
      <w:pPr>
        <w:pBdr>
          <w:bottom w:val="single" w:sz="12" w:space="1" w:color="auto"/>
        </w:pBdr>
        <w:spacing w:before="60"/>
        <w:rPr>
          <w:rFonts w:cstheme="minorHAnsi"/>
          <w:bCs/>
          <w:i/>
          <w:iCs/>
        </w:rPr>
      </w:pPr>
      <w:r w:rsidRPr="001F0834">
        <w:rPr>
          <w:rFonts w:cstheme="minorHAnsi"/>
          <w:bCs/>
          <w:i/>
          <w:iCs/>
        </w:rPr>
        <w:t>Explain the reasons for any program changes or adjustments reported in the burden or capital/O&amp;M cost estimates.</w:t>
      </w:r>
    </w:p>
    <w:p w:rsidR="002E4E93" w:rsidRPr="00B44779" w:rsidP="00B44779" w14:paraId="4E8B53C8" w14:textId="1A0AC98D">
      <w:r w:rsidRPr="00B44779">
        <w:t xml:space="preserve">There is no change in burden from the most recently approved ICR as currently identified in the OMB Inventory of Approved Burdens. This is due to two considerations. First, the regulations have not changed over the past three years and are not anticipated to change over the next three years. Second, the growth rate for this industry is very low or non-existent, so there is no significant change in the overall burden. </w:t>
      </w:r>
      <w:r w:rsidRPr="00B44779" w:rsidR="00B44779">
        <w:t>There is an adjustment increase in the</w:t>
      </w:r>
      <w:r w:rsidRPr="00B44779">
        <w:t xml:space="preserve"> capital/startup or operation and maintenance (O&amp;M) costs</w:t>
      </w:r>
      <w:r w:rsidR="00491F1D">
        <w:t xml:space="preserve">, which have been adjusted </w:t>
      </w:r>
      <w:r w:rsidRPr="00B44779" w:rsidR="00B44779">
        <w:t>to reflect 2023 dollars using the CEPCI CE index.</w:t>
      </w:r>
      <w:r w:rsidRPr="00B44779">
        <w:t xml:space="preserve"> This ICR </w:t>
      </w:r>
      <w:r w:rsidRPr="00B44779" w:rsidR="00B44779">
        <w:t xml:space="preserve">also </w:t>
      </w:r>
      <w:r w:rsidRPr="00B44779">
        <w:t>uses labor rates from the most recent Bureau of Labor Statistics report (</w:t>
      </w:r>
      <w:r w:rsidRPr="00B44779" w:rsidR="00B44779">
        <w:t>December 2023</w:t>
      </w:r>
      <w:r w:rsidRPr="00B44779">
        <w:t>) to calculate respondent burden costs.</w:t>
      </w:r>
    </w:p>
    <w:p w:rsidR="005D140B" w:rsidRPr="00163C69" w:rsidP="4BDBF0A0" w14:paraId="3604F417" w14:textId="5D0F3160">
      <w:pPr>
        <w:pStyle w:val="ListParagraph"/>
        <w:numPr>
          <w:ilvl w:val="0"/>
          <w:numId w:val="27"/>
        </w:numPr>
        <w:spacing w:before="240" w:after="0"/>
        <w:rPr>
          <w:b/>
          <w:bCs/>
        </w:rPr>
      </w:pPr>
      <w:bookmarkStart w:id="24" w:name="_Toc156593389"/>
      <w:r w:rsidRPr="4BDBF0A0">
        <w:rPr>
          <w:b/>
          <w:bCs/>
        </w:rPr>
        <w:t xml:space="preserve">PUBLICATION OF </w:t>
      </w:r>
      <w:bookmarkStart w:id="25" w:name="_Toc156593390"/>
      <w:bookmarkEnd w:id="24"/>
      <w:r w:rsidR="00E73E81">
        <w:rPr>
          <w:b/>
          <w:bCs/>
        </w:rPr>
        <w:t>DATA</w:t>
      </w:r>
    </w:p>
    <w:p w:rsidR="001F0834" w:rsidRPr="001F0834" w:rsidP="00854AAE" w14:paraId="21A4F990" w14:textId="77777777">
      <w:pPr>
        <w:pBdr>
          <w:bottom w:val="single" w:sz="12" w:space="1" w:color="auto"/>
        </w:pBdr>
        <w:spacing w:before="60"/>
        <w:rPr>
          <w:rFonts w:cstheme="minorHAnsi"/>
          <w:bCs/>
          <w:i/>
          <w:iCs/>
        </w:rPr>
      </w:pPr>
      <w:r w:rsidRPr="001F0834">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F11C3" w:rsidRPr="000C21A3" w:rsidP="007F11C3" w14:paraId="6222D8F7" w14:textId="737D2992">
      <w:pPr>
        <w:pBdr>
          <w:top w:val="single" w:sz="6" w:space="0" w:color="FFFFFF"/>
          <w:left w:val="single" w:sz="6" w:space="0" w:color="FFFFFF"/>
          <w:bottom w:val="single" w:sz="6" w:space="0" w:color="FFFFFF"/>
          <w:right w:val="single" w:sz="6" w:space="0" w:color="FFFFFF"/>
        </w:pBdr>
        <w:rPr>
          <w:color w:val="FF0000"/>
        </w:rPr>
      </w:pPr>
      <w:r w:rsidRPr="007025A2">
        <w:t xml:space="preserve">All non-CBI data submitted electronically to the Agency through CEDRI are available to the public for review and printing and are accessible using </w:t>
      </w:r>
      <w:r w:rsidRPr="007025A2">
        <w:t>WebFIRE</w:t>
      </w:r>
      <w:r w:rsidRPr="007025A2">
        <w:t xml:space="preserve">. Electronically submitted emissions data from performance testing or performance evaluations using the Electronic Reporting Tool or templates attached to CEDRI, as well as data from reports from regulations with electronic templates, are tabulated; data submitted as portable document format (PDF) files attached to CEDRI are neither tabulated nor subject to complex analytical techniques. Electronically submitted emissions data used to develop emissions factors undergo complex analytical techniques and the draft emissions factors are available on the Clearinghouse for Inventories and Emission Factors listserv at https://www.epa.gov/chief/chief-listserv for public review and printing. Electronically submitted emissions data, as well as other data, obtained from one-time or sporadic information collection requests often undergo complex analytical techniques; results of those activities are included in </w:t>
      </w:r>
      <w:r w:rsidRPr="007025A2">
        <w:t>individual rulemaking dockets and are available at https://www.regulations.gov/ for public review and printing.</w:t>
      </w:r>
    </w:p>
    <w:p w:rsidR="00627768" w:rsidRPr="00163C69" w:rsidP="4BDBF0A0" w14:paraId="54E9D2D0" w14:textId="67124984">
      <w:pPr>
        <w:pStyle w:val="ListParagraph"/>
        <w:numPr>
          <w:ilvl w:val="0"/>
          <w:numId w:val="27"/>
        </w:numPr>
        <w:spacing w:before="240" w:after="0"/>
        <w:rPr>
          <w:b/>
          <w:bCs/>
        </w:rPr>
      </w:pPr>
      <w:r w:rsidRPr="4BDBF0A0">
        <w:rPr>
          <w:b/>
          <w:bCs/>
        </w:rPr>
        <w:t xml:space="preserve">DISPLAY </w:t>
      </w:r>
      <w:r w:rsidRPr="4BDBF0A0" w:rsidR="00644EBE">
        <w:rPr>
          <w:b/>
          <w:bCs/>
        </w:rPr>
        <w:t xml:space="preserve">OF </w:t>
      </w:r>
      <w:r w:rsidRPr="4BDBF0A0" w:rsidR="000D5863">
        <w:rPr>
          <w:b/>
          <w:bCs/>
        </w:rPr>
        <w:t>EXPIRATION DATE</w:t>
      </w:r>
      <w:bookmarkEnd w:id="25"/>
      <w:r w:rsidRPr="4BDBF0A0" w:rsidR="00644EBE">
        <w:rPr>
          <w:b/>
          <w:bCs/>
        </w:rPr>
        <w:t xml:space="preserve"> </w:t>
      </w:r>
    </w:p>
    <w:p w:rsidR="001F0834" w:rsidRPr="00F532D6" w:rsidP="00854AAE" w14:paraId="23256265" w14:textId="77777777">
      <w:pPr>
        <w:pBdr>
          <w:bottom w:val="single" w:sz="12" w:space="1" w:color="auto"/>
        </w:pBdr>
        <w:spacing w:before="60"/>
        <w:rPr>
          <w:rFonts w:cstheme="minorHAnsi"/>
          <w:i/>
          <w:iCs/>
        </w:rPr>
      </w:pPr>
      <w:r w:rsidRPr="00F532D6">
        <w:rPr>
          <w:rFonts w:cstheme="minorHAnsi"/>
          <w:i/>
          <w:iCs/>
        </w:rPr>
        <w:t>If seeking approval to not display the expiration date for OMB approval of the information collection, explain the reasons that display would be inappropriate.</w:t>
      </w:r>
    </w:p>
    <w:p w:rsidR="000B61F2" w:rsidRPr="00632312" w:rsidP="00854AAE" w14:paraId="528AA43D" w14:textId="0667CAF3">
      <w:pPr>
        <w:pBdr>
          <w:top w:val="single" w:sz="6" w:space="0" w:color="FFFFFF"/>
          <w:left w:val="single" w:sz="6" w:space="0" w:color="FFFFFF"/>
          <w:bottom w:val="single" w:sz="6" w:space="0" w:color="FFFFFF"/>
          <w:right w:val="single" w:sz="6" w:space="0" w:color="FFFFFF"/>
        </w:pBdr>
      </w:pPr>
      <w:r w:rsidRPr="00632312">
        <w:t>EPA will display the expiration date for OMB approval of the information collection.</w:t>
      </w:r>
    </w:p>
    <w:p w:rsidR="00691828" w:rsidRPr="00163C69" w:rsidP="00854AAE" w14:paraId="7CCB26DD" w14:textId="4CB12282">
      <w:pPr>
        <w:pStyle w:val="ListParagraph"/>
        <w:numPr>
          <w:ilvl w:val="0"/>
          <w:numId w:val="27"/>
        </w:numPr>
        <w:spacing w:before="240" w:after="0"/>
        <w:rPr>
          <w:rFonts w:cstheme="minorHAnsi"/>
          <w:b/>
          <w:bCs/>
        </w:rPr>
      </w:pPr>
      <w:bookmarkStart w:id="26" w:name="_Toc156593391"/>
      <w:r w:rsidRPr="00163C69">
        <w:rPr>
          <w:rFonts w:cstheme="minorHAnsi"/>
          <w:b/>
          <w:bCs/>
        </w:rPr>
        <w:t>CERTIFICATION STATEMENT</w:t>
      </w:r>
      <w:bookmarkEnd w:id="26"/>
    </w:p>
    <w:p w:rsidR="001F0834" w:rsidRPr="001F0834" w:rsidP="00854AAE" w14:paraId="59893047" w14:textId="77777777">
      <w:pPr>
        <w:pBdr>
          <w:bottom w:val="single" w:sz="12" w:space="1" w:color="auto"/>
        </w:pBdr>
        <w:spacing w:before="60"/>
        <w:rPr>
          <w:rFonts w:cstheme="minorHAnsi"/>
          <w:i/>
          <w:iCs/>
        </w:rPr>
      </w:pPr>
      <w:r w:rsidRPr="001F0834">
        <w:rPr>
          <w:rFonts w:cstheme="minorHAnsi"/>
          <w:i/>
          <w:iCs/>
        </w:rPr>
        <w:t>Explain each exception to the topics of the certification statement identified in “Certification for Paperwork Reduction Act Submissions.”</w:t>
      </w:r>
    </w:p>
    <w:p w:rsidR="003C16BD" w:rsidRPr="003C16BD" w:rsidP="003C16BD" w14:paraId="6F362167" w14:textId="7CCFB312">
      <w:pPr>
        <w:pBdr>
          <w:top w:val="single" w:sz="6" w:space="0" w:color="FFFFFF"/>
          <w:left w:val="single" w:sz="6" w:space="0" w:color="FFFFFF"/>
          <w:bottom w:val="single" w:sz="6" w:space="0" w:color="FFFFFF"/>
          <w:right w:val="single" w:sz="6" w:space="0" w:color="FFFFFF"/>
        </w:pBdr>
      </w:pPr>
      <w:r w:rsidRPr="003C16BD">
        <w:t>There are no exceptions to the topics of the certification statement.</w:t>
      </w:r>
    </w:p>
    <w:p w:rsidR="00ED57A4" w:rsidRPr="0073767D" w:rsidP="00854AAE" w14:paraId="2765D073" w14:textId="0AAC5BD7">
      <w:pPr>
        <w:pBdr>
          <w:top w:val="single" w:sz="6" w:space="0" w:color="FFFFFF"/>
          <w:left w:val="single" w:sz="6" w:space="0" w:color="FFFFFF"/>
          <w:bottom w:val="single" w:sz="6" w:space="0" w:color="FFFFFF"/>
          <w:right w:val="single" w:sz="6" w:space="0" w:color="FFFFFF"/>
        </w:pBdr>
      </w:pPr>
    </w:p>
    <w:p w:rsidR="00BB3410" w:rsidRPr="00BB3410" w:rsidP="00BB3410" w14:paraId="0F10E677" w14:textId="43CACB1D">
      <w:pPr>
        <w:rPr>
          <w:rFonts w:cstheme="minorHAnsi"/>
          <w:color w:val="000000"/>
          <w:shd w:val="clear" w:color="auto" w:fill="FFFFFF"/>
        </w:rPr>
        <w:sectPr w:rsidSect="00B82E99">
          <w:footerReference w:type="default" r:id="rId10"/>
          <w:pgSz w:w="12240" w:h="15840"/>
          <w:pgMar w:top="1440" w:right="1440" w:bottom="1440" w:left="1440" w:header="720" w:footer="720" w:gutter="0"/>
          <w:cols w:space="720"/>
          <w:docGrid w:linePitch="360"/>
        </w:sectPr>
      </w:pPr>
      <w:r w:rsidRPr="00BB3410">
        <w:rPr>
          <w:rStyle w:val="normaltextrun"/>
          <w:rFonts w:cstheme="minorHAnsi"/>
          <w:color w:val="000000"/>
          <w:shd w:val="clear" w:color="auto" w:fill="FFFFFF"/>
        </w:rPr>
        <w:br w:type="page"/>
      </w:r>
    </w:p>
    <w:p w:rsidR="001641AA" w:rsidRPr="001C7948" w:rsidP="001641AA" w14:paraId="7CE12A09" w14:textId="28DC2183">
      <w:pPr>
        <w:spacing w:before="240"/>
        <w:rPr>
          <w:rFonts w:cstheme="minorHAnsi"/>
          <w:b/>
          <w:bCs/>
          <w:sz w:val="24"/>
          <w:szCs w:val="24"/>
        </w:rPr>
      </w:pPr>
      <w:r w:rsidRPr="001C7948">
        <w:rPr>
          <w:rFonts w:cstheme="minorHAnsi"/>
          <w:b/>
          <w:bCs/>
          <w:sz w:val="24"/>
          <w:szCs w:val="24"/>
        </w:rPr>
        <w:t xml:space="preserve">Table 1: Annual Respondent Burden and Cost – </w:t>
      </w:r>
      <w:r w:rsidRPr="001C7948" w:rsidR="001C7948">
        <w:rPr>
          <w:rFonts w:cstheme="minorHAnsi"/>
          <w:b/>
          <w:bCs/>
          <w:sz w:val="24"/>
          <w:szCs w:val="24"/>
        </w:rPr>
        <w:t>NESHAP for Group IV Polymers and Resins (40 CFR Part 63, Subpart JJJ) (Renewal)</w:t>
      </w:r>
    </w:p>
    <w:tbl>
      <w:tblPr>
        <w:tblW w:w="12976" w:type="dxa"/>
        <w:tblInd w:w="113" w:type="dxa"/>
        <w:tblLook w:val="04A0"/>
      </w:tblPr>
      <w:tblGrid>
        <w:gridCol w:w="3235"/>
        <w:gridCol w:w="1160"/>
        <w:gridCol w:w="1238"/>
        <w:gridCol w:w="1172"/>
        <w:gridCol w:w="1306"/>
        <w:gridCol w:w="1050"/>
        <w:gridCol w:w="1338"/>
        <w:gridCol w:w="1103"/>
        <w:gridCol w:w="1366"/>
        <w:gridCol w:w="8"/>
      </w:tblGrid>
      <w:tr w14:paraId="44410B98" w14:textId="77777777" w:rsidTr="001C7948">
        <w:tblPrEx>
          <w:tblW w:w="12976" w:type="dxa"/>
          <w:tblInd w:w="113" w:type="dxa"/>
          <w:tblLook w:val="04A0"/>
        </w:tblPrEx>
        <w:trPr>
          <w:gridAfter w:val="1"/>
          <w:wAfter w:w="8" w:type="dxa"/>
          <w:trHeight w:val="1605"/>
        </w:trPr>
        <w:tc>
          <w:tcPr>
            <w:tcW w:w="3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7948" w:rsidRPr="001C7948" w:rsidP="001C7948" w14:paraId="19B273A5"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Burden Item</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1C7948" w:rsidRPr="001C7948" w:rsidP="001C7948" w14:paraId="6E0B4366"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(A) </w:t>
            </w:r>
            <w:r w:rsidRPr="001C7948">
              <w:rPr>
                <w:rFonts w:ascii="Times New Roman" w:eastAsia="Times New Roman" w:hAnsi="Times New Roman" w:cs="Times New Roman"/>
                <w:b/>
                <w:bCs/>
                <w:color w:val="000000"/>
                <w:sz w:val="20"/>
                <w:szCs w:val="20"/>
              </w:rPr>
              <w:br/>
              <w:t>Person-hours per occurrence</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1C7948" w:rsidRPr="001C7948" w:rsidP="001C7948" w14:paraId="4125A4AE"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(B) </w:t>
            </w:r>
            <w:r w:rsidRPr="001C7948">
              <w:rPr>
                <w:rFonts w:ascii="Times New Roman" w:eastAsia="Times New Roman" w:hAnsi="Times New Roman" w:cs="Times New Roman"/>
                <w:b/>
                <w:bCs/>
                <w:color w:val="000000"/>
                <w:sz w:val="20"/>
                <w:szCs w:val="20"/>
              </w:rPr>
              <w:br/>
              <w:t>Number of occurrences per year</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1C7948" w:rsidRPr="001C7948" w:rsidP="001C7948" w14:paraId="5C2B6E2B"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(C) </w:t>
            </w:r>
            <w:r w:rsidRPr="001C7948">
              <w:rPr>
                <w:rFonts w:ascii="Times New Roman" w:eastAsia="Times New Roman" w:hAnsi="Times New Roman" w:cs="Times New Roman"/>
                <w:b/>
                <w:bCs/>
                <w:color w:val="000000"/>
                <w:sz w:val="20"/>
                <w:szCs w:val="20"/>
              </w:rPr>
              <w:br/>
              <w:t xml:space="preserve">Person-hours per respondent </w:t>
            </w:r>
            <w:r w:rsidRPr="001C7948">
              <w:rPr>
                <w:rFonts w:ascii="Times New Roman" w:eastAsia="Times New Roman" w:hAnsi="Times New Roman" w:cs="Times New Roman"/>
                <w:b/>
                <w:bCs/>
                <w:color w:val="000000"/>
                <w:sz w:val="20"/>
                <w:szCs w:val="20"/>
              </w:rPr>
              <w:br/>
              <w:t>(C=</w:t>
            </w:r>
            <w:r w:rsidRPr="001C7948">
              <w:rPr>
                <w:rFonts w:ascii="Times New Roman" w:eastAsia="Times New Roman" w:hAnsi="Times New Roman" w:cs="Times New Roman"/>
                <w:b/>
                <w:bCs/>
                <w:color w:val="000000"/>
                <w:sz w:val="20"/>
                <w:szCs w:val="20"/>
              </w:rPr>
              <w:t>AxB</w:t>
            </w:r>
            <w:r w:rsidRPr="001C7948">
              <w:rPr>
                <w:rFonts w:ascii="Times New Roman" w:eastAsia="Times New Roman" w:hAnsi="Times New Roman" w:cs="Times New Roman"/>
                <w:b/>
                <w:bCs/>
                <w:color w:val="000000"/>
                <w:sz w:val="20"/>
                <w:szCs w:val="20"/>
              </w:rPr>
              <w:t>)</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1C7948" w:rsidRPr="001C7948" w:rsidP="001C7948" w14:paraId="092E41FD"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(D) </w:t>
            </w:r>
            <w:r w:rsidRPr="001C7948">
              <w:rPr>
                <w:rFonts w:ascii="Times New Roman" w:eastAsia="Times New Roman" w:hAnsi="Times New Roman" w:cs="Times New Roman"/>
                <w:b/>
                <w:bCs/>
                <w:color w:val="000000"/>
                <w:sz w:val="20"/>
                <w:szCs w:val="20"/>
              </w:rPr>
              <w:br/>
              <w:t xml:space="preserve">Respondents per year </w:t>
            </w:r>
            <w:r w:rsidRPr="001C7948">
              <w:rPr>
                <w:rFonts w:ascii="Times New Roman" w:eastAsia="Times New Roman" w:hAnsi="Times New Roman" w:cs="Times New Roman"/>
                <w:b/>
                <w:bCs/>
                <w:color w:val="000000"/>
                <w:sz w:val="20"/>
                <w:szCs w:val="20"/>
                <w:vertAlign w:val="superscript"/>
              </w:rPr>
              <w:t>a</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1C7948" w:rsidRPr="001C7948" w:rsidP="001C7948" w14:paraId="4EA63CA2"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(E)</w:t>
            </w:r>
            <w:r w:rsidRPr="001C7948">
              <w:rPr>
                <w:rFonts w:ascii="Times New Roman" w:eastAsia="Times New Roman" w:hAnsi="Times New Roman" w:cs="Times New Roman"/>
                <w:b/>
                <w:bCs/>
                <w:color w:val="000000"/>
                <w:sz w:val="20"/>
                <w:szCs w:val="20"/>
              </w:rPr>
              <w:br/>
              <w:t>Technical person-hours (E=</w:t>
            </w:r>
            <w:r w:rsidRPr="001C7948">
              <w:rPr>
                <w:rFonts w:ascii="Times New Roman" w:eastAsia="Times New Roman" w:hAnsi="Times New Roman" w:cs="Times New Roman"/>
                <w:b/>
                <w:bCs/>
                <w:color w:val="000000"/>
                <w:sz w:val="20"/>
                <w:szCs w:val="20"/>
              </w:rPr>
              <w:t>CxD</w:t>
            </w:r>
            <w:r w:rsidRPr="001C7948">
              <w:rPr>
                <w:rFonts w:ascii="Times New Roman" w:eastAsia="Times New Roman" w:hAnsi="Times New Roman" w:cs="Times New Roman"/>
                <w:b/>
                <w:bCs/>
                <w:color w:val="000000"/>
                <w:sz w:val="20"/>
                <w:szCs w:val="20"/>
              </w:rPr>
              <w:t>)</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1C7948" w:rsidRPr="001C7948" w:rsidP="001C7948" w14:paraId="5A70F5C1"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(F) </w:t>
            </w:r>
            <w:r w:rsidRPr="001C7948">
              <w:rPr>
                <w:rFonts w:ascii="Times New Roman" w:eastAsia="Times New Roman" w:hAnsi="Times New Roman" w:cs="Times New Roman"/>
                <w:b/>
                <w:bCs/>
                <w:color w:val="000000"/>
                <w:sz w:val="20"/>
                <w:szCs w:val="20"/>
              </w:rPr>
              <w:br/>
              <w:t>Management person-hours (F=Ex0.05)</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1C7948" w:rsidRPr="001C7948" w:rsidP="001C7948" w14:paraId="3A90E453"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(G) </w:t>
            </w:r>
            <w:r w:rsidRPr="001C7948">
              <w:rPr>
                <w:rFonts w:ascii="Times New Roman" w:eastAsia="Times New Roman" w:hAnsi="Times New Roman" w:cs="Times New Roman"/>
                <w:b/>
                <w:bCs/>
                <w:color w:val="000000"/>
                <w:sz w:val="20"/>
                <w:szCs w:val="20"/>
              </w:rPr>
              <w:br/>
              <w:t xml:space="preserve">Clerical person-hours </w:t>
            </w:r>
            <w:r w:rsidRPr="001C7948">
              <w:rPr>
                <w:rFonts w:ascii="Times New Roman" w:eastAsia="Times New Roman" w:hAnsi="Times New Roman" w:cs="Times New Roman"/>
                <w:b/>
                <w:bCs/>
                <w:color w:val="000000"/>
                <w:sz w:val="20"/>
                <w:szCs w:val="20"/>
              </w:rPr>
              <w:br/>
              <w:t>(G=Ex0.1)</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1C7948" w:rsidRPr="001C7948" w:rsidP="001C7948" w14:paraId="63941D9D"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(H) </w:t>
            </w:r>
            <w:r w:rsidRPr="001C7948">
              <w:rPr>
                <w:rFonts w:ascii="Times New Roman" w:eastAsia="Times New Roman" w:hAnsi="Times New Roman" w:cs="Times New Roman"/>
                <w:b/>
                <w:bCs/>
                <w:color w:val="000000"/>
                <w:sz w:val="20"/>
                <w:szCs w:val="20"/>
              </w:rPr>
              <w:br/>
              <w:t xml:space="preserve">Total Cost </w:t>
            </w:r>
            <w:r w:rsidRPr="001C7948">
              <w:rPr>
                <w:rFonts w:ascii="Times New Roman" w:eastAsia="Times New Roman" w:hAnsi="Times New Roman" w:cs="Times New Roman"/>
                <w:b/>
                <w:bCs/>
                <w:color w:val="000000"/>
                <w:sz w:val="20"/>
                <w:szCs w:val="20"/>
                <w:vertAlign w:val="superscript"/>
              </w:rPr>
              <w:t>b</w:t>
            </w:r>
            <w:r w:rsidRPr="001C7948">
              <w:rPr>
                <w:rFonts w:ascii="Times New Roman" w:eastAsia="Times New Roman" w:hAnsi="Times New Roman" w:cs="Times New Roman"/>
                <w:b/>
                <w:bCs/>
                <w:color w:val="000000"/>
                <w:sz w:val="20"/>
                <w:szCs w:val="20"/>
              </w:rPr>
              <w:t xml:space="preserve"> ($)</w:t>
            </w:r>
          </w:p>
        </w:tc>
      </w:tr>
      <w:tr w14:paraId="1531F946"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0E668DDB"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 Applications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F5CB08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N/A</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1EDC83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A26F29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336955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00C847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B43DE1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5AB1B9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04EAC3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67B03AA6"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3934C1EE"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 Survey and Studies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800969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N/A</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99DCB2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586E4F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30ABD1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E05ABC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A9C75A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F5B02C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1857397"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4FFFAFA4"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6EC6E77D"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 Acquisition, Installation, &amp; Utilization of Tech. &amp; Systems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FABA9E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N/A</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7A2211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1DC5A3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D7D577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C91D45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18AEEB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9F37F7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D6D2A62"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43F8D946"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1F020FB4"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 Reporting Requirements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D21402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FA7419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E8BBF0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22D525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FBC3D0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37F021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A7F716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62DBEAE"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736BBEDB"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3CB437E2"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A. Familiarize with regulatory requirements </w:t>
            </w:r>
            <w:r w:rsidRPr="001C7948">
              <w:rPr>
                <w:rFonts w:ascii="Times New Roman" w:eastAsia="Times New Roman" w:hAnsi="Times New Roman" w:cs="Times New Roman"/>
                <w:color w:val="000000"/>
                <w:sz w:val="20"/>
                <w:szCs w:val="20"/>
                <w:vertAlign w:val="superscript"/>
              </w:rPr>
              <w:t>c</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8D0B0B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40</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9175D1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05B906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40</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3BE9C3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24</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27C1F6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960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ECCD14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48</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286B45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96</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4C06190"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$151,206.24 </w:t>
            </w:r>
          </w:p>
        </w:tc>
      </w:tr>
      <w:tr w14:paraId="0DEE1C28"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0785C6D5"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B. Required activities </w:t>
            </w:r>
            <w:r w:rsidRPr="001C7948">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22982D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6.08</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D8C508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13</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AFB667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79</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99718C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27</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49E8EE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2,134</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1DD942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107</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C8A752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213</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6BCA40C"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$336,131.47 </w:t>
            </w:r>
          </w:p>
        </w:tc>
      </w:tr>
      <w:tr w14:paraId="21004382"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02BADC10"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C. Create information </w:t>
            </w:r>
            <w:r w:rsidRPr="001C7948">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59907C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17.85</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ACB954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99</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F2B135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1,767</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292F51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27</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AD2059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47,713</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62D6A9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2,386</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75E082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4,771</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D6AB075"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$7,515,115.51 </w:t>
            </w:r>
          </w:p>
        </w:tc>
      </w:tr>
      <w:tr w14:paraId="31C411EB"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222AA540"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D. Gather existing information </w:t>
            </w:r>
            <w:r w:rsidRPr="001C7948">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912459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2.5</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D058F2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677</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9525D7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1,693</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7D910F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27</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D6DF44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45,698</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E4057E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2,285</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579F1A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4,570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2390D68"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$7,197,653.28 </w:t>
            </w:r>
          </w:p>
        </w:tc>
      </w:tr>
      <w:tr w14:paraId="5A488830"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49F0349E"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E. Write report</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F1F7FD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678514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0D288B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7D3238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A07C0F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682E7B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7017BA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EF28E44"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4579C9EA"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2B9D9033"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Notification of compliance status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6B1CA8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20</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DB4246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2E5E24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20</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825B93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A40735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596A09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E9B604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9C85535"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6D09B60C"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6C43F2EB"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Notification of storage vessel inspection </w:t>
            </w:r>
            <w:r w:rsidRPr="001C7948">
              <w:rPr>
                <w:rFonts w:ascii="Times New Roman" w:eastAsia="Times New Roman" w:hAnsi="Times New Roman" w:cs="Times New Roman"/>
                <w:color w:val="000000"/>
                <w:sz w:val="20"/>
                <w:szCs w:val="20"/>
                <w:vertAlign w:val="superscript"/>
              </w:rPr>
              <w:t>e</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5CB043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5</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86D08D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6</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9F92B0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30</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6F455E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24</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68F644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720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606622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36</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DEFC5F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72</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28A41C3"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$113,404.68 </w:t>
            </w:r>
          </w:p>
        </w:tc>
      </w:tr>
      <w:tr w14:paraId="188A6ED3"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2899CCE4"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Notification of performance tests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F561B4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10</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5611B1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959AA0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10</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FDBE85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26D34B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28CF60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4C81DD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C2D14F8"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7F5BB413"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11CA4A87"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Notification of alternative test method </w:t>
            </w:r>
            <w:r w:rsidRPr="001C7948">
              <w:rPr>
                <w:rFonts w:ascii="Times New Roman" w:eastAsia="Times New Roman" w:hAnsi="Times New Roman" w:cs="Times New Roman"/>
                <w:color w:val="000000"/>
                <w:sz w:val="20"/>
                <w:szCs w:val="20"/>
                <w:vertAlign w:val="superscript"/>
              </w:rPr>
              <w:t>f</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899E78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5</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353C84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03772B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5</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A39647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6CF548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AEBE86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73FE4A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933B2B5"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0BACA20E"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7C183370"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Notification of special compliance requirements </w:t>
            </w:r>
            <w:r w:rsidRPr="001C7948">
              <w:rPr>
                <w:rFonts w:ascii="Times New Roman" w:eastAsia="Times New Roman" w:hAnsi="Times New Roman" w:cs="Times New Roman"/>
                <w:color w:val="000000"/>
                <w:sz w:val="20"/>
                <w:szCs w:val="20"/>
                <w:vertAlign w:val="superscript"/>
              </w:rPr>
              <w:t>g</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77A375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5</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6A8D9F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6BFCEA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5</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766927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50CA30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0D6792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EF225C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A9F487C"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2AB73898"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78D1A0DD"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Report of newly constructed/reconstructed source</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D153DD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2F1346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A73ECB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C4E1E0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BE1ABD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B89EF4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5AE76F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1162C88"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633E02C9"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5202FB3B"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Operating permit application</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76CE25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40</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7352B7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DD1E6C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40</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88F12A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3CB202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29E4F3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E50D36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DCB16FF"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14A3571A"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5CFDC42A"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Precompliance</w:t>
            </w:r>
            <w:r w:rsidRPr="001C7948">
              <w:rPr>
                <w:rFonts w:ascii="Times New Roman" w:eastAsia="Times New Roman" w:hAnsi="Times New Roman" w:cs="Times New Roman"/>
                <w:color w:val="000000"/>
                <w:sz w:val="20"/>
                <w:szCs w:val="20"/>
              </w:rPr>
              <w:t xml:space="preserve"> report </w:t>
            </w:r>
            <w:r w:rsidRPr="001C7948">
              <w:rPr>
                <w:rFonts w:ascii="Times New Roman" w:eastAsia="Times New Roman" w:hAnsi="Times New Roman" w:cs="Times New Roman"/>
                <w:color w:val="000000"/>
                <w:sz w:val="20"/>
                <w:szCs w:val="20"/>
                <w:vertAlign w:val="superscript"/>
              </w:rPr>
              <w:t>h</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E5B75B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40</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5BFF45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00DF8B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40</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30C2E8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5627A1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DF1A36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A16DDA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A435867"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2FECC4B7" w14:textId="77777777" w:rsidTr="001C7948">
        <w:tblPrEx>
          <w:tblW w:w="12976" w:type="dxa"/>
          <w:tblInd w:w="113" w:type="dxa"/>
          <w:tblLook w:val="04A0"/>
        </w:tblPrEx>
        <w:trPr>
          <w:gridAfter w:val="1"/>
          <w:wAfter w:w="8" w:type="dxa"/>
          <w:trHeight w:val="57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59513CFC"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Progress reports for affected sources receiving an extension of compliance </w:t>
            </w:r>
            <w:r w:rsidRPr="001C7948">
              <w:rPr>
                <w:rFonts w:ascii="Times New Roman" w:eastAsia="Times New Roman" w:hAnsi="Times New Roman" w:cs="Times New Roman"/>
                <w:color w:val="000000"/>
                <w:sz w:val="20"/>
                <w:szCs w:val="20"/>
                <w:vertAlign w:val="superscript"/>
              </w:rPr>
              <w:t>i</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C9D86C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24799F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FE987B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8</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D09720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E67F62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55BAD0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90ADF5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1269346"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3490BAAB"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2943639E"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Emissions averaging plans </w:t>
            </w:r>
            <w:r w:rsidRPr="001C7948">
              <w:rPr>
                <w:rFonts w:ascii="Times New Roman" w:eastAsia="Times New Roman" w:hAnsi="Times New Roman" w:cs="Times New Roman"/>
                <w:color w:val="000000"/>
                <w:sz w:val="20"/>
                <w:szCs w:val="20"/>
                <w:vertAlign w:val="superscript"/>
              </w:rPr>
              <w:t>j</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95174A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120</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4F4CC6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E51C1C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120</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18340D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35B3A4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DD72B7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2AAD87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F3DE540"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59F1267B" w14:textId="77777777" w:rsidTr="001C7948">
        <w:tblPrEx>
          <w:tblW w:w="12976" w:type="dxa"/>
          <w:tblInd w:w="113" w:type="dxa"/>
          <w:tblLook w:val="04A0"/>
        </w:tblPrEx>
        <w:trPr>
          <w:gridAfter w:val="1"/>
          <w:wAfter w:w="8" w:type="dxa"/>
          <w:trHeight w:val="57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2F560A9D"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Request for approval for a nominal control efficiency for use in calculating credits for emission averaging </w:t>
            </w:r>
            <w:r w:rsidRPr="001C7948">
              <w:rPr>
                <w:rFonts w:ascii="Times New Roman" w:eastAsia="Times New Roman" w:hAnsi="Times New Roman" w:cs="Times New Roman"/>
                <w:color w:val="000000"/>
                <w:sz w:val="20"/>
                <w:szCs w:val="20"/>
                <w:vertAlign w:val="superscript"/>
              </w:rPr>
              <w:t>j</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2E1F05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0CF1CF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49803C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6D4E7E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0D106E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E03CCA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2CFD82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AA2FDD7"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1858F12B"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135E1387"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Updates to emissions averaging plan </w:t>
            </w:r>
            <w:r w:rsidRPr="001C7948">
              <w:rPr>
                <w:rFonts w:ascii="Times New Roman" w:eastAsia="Times New Roman" w:hAnsi="Times New Roman" w:cs="Times New Roman"/>
                <w:color w:val="000000"/>
                <w:sz w:val="20"/>
                <w:szCs w:val="20"/>
                <w:vertAlign w:val="superscript"/>
              </w:rPr>
              <w:t>k</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B1FE98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20</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24E9E7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D21D41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20</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5D2F55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91AC2C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2B0152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8285B7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F4A16C9"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$3,150.13 </w:t>
            </w:r>
          </w:p>
        </w:tc>
      </w:tr>
      <w:tr w14:paraId="7ED4F29A"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2728B16D"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Semiannual periodic reports </w:t>
            </w:r>
            <w:r w:rsidRPr="001C7948">
              <w:rPr>
                <w:rFonts w:ascii="Times New Roman" w:eastAsia="Times New Roman" w:hAnsi="Times New Roman" w:cs="Times New Roman"/>
                <w:color w:val="000000"/>
                <w:sz w:val="20"/>
                <w:szCs w:val="20"/>
                <w:vertAlign w:val="superscript"/>
              </w:rPr>
              <w:t>l</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F2B5BE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80</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D721E7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E086C4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160</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42E31C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23</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B38D7F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3,680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EC2FB4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184</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92F6C2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368</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B54C9F7"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$579,623.92 </w:t>
            </w:r>
          </w:p>
        </w:tc>
      </w:tr>
      <w:tr w14:paraId="5AD9E84E" w14:textId="77777777" w:rsidTr="001C7948">
        <w:tblPrEx>
          <w:tblW w:w="12976" w:type="dxa"/>
          <w:tblInd w:w="113" w:type="dxa"/>
          <w:tblLook w:val="04A0"/>
        </w:tblPrEx>
        <w:trPr>
          <w:gridAfter w:val="1"/>
          <w:wAfter w:w="8" w:type="dxa"/>
          <w:trHeight w:val="57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4A6BF11C"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Quarterly periodic reports for facilities using emission averaging and where a respondent did not qualify for semiannual reporting </w:t>
            </w:r>
            <w:r w:rsidRPr="001C7948">
              <w:rPr>
                <w:rFonts w:ascii="Times New Roman" w:eastAsia="Times New Roman" w:hAnsi="Times New Roman" w:cs="Times New Roman"/>
                <w:color w:val="000000"/>
                <w:sz w:val="20"/>
                <w:szCs w:val="20"/>
                <w:vertAlign w:val="superscript"/>
              </w:rPr>
              <w:t>l</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A0DA00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80</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7C20D9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A90C8F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320</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F7A03B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6ED83D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1,280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0E761F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64</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7A6F80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128</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B87266D"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$201,608.32 </w:t>
            </w:r>
          </w:p>
        </w:tc>
      </w:tr>
      <w:tr w14:paraId="4D77AD5A"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74B1E7D4"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Semiannual periodic reports (PRD monitoring)</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81794A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5.5</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BAE55A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A19E8F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11</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F0A8C1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27</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2AE2C9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297</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EF0B69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15</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39927E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59DB00D"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$46,779.43 </w:t>
            </w:r>
          </w:p>
        </w:tc>
      </w:tr>
      <w:tr w14:paraId="7CCD6FF9"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03422C3E"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Semiannual periodic reports (Equip. leaks)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CA7F22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200D14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4687F5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6</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7EAB0A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188EF4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6</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D4F8DF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0.3</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006388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0.6</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9B2D621"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$945.04 </w:t>
            </w:r>
          </w:p>
        </w:tc>
      </w:tr>
      <w:tr w14:paraId="5D81989F"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704DA84D"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Semiannual periodic reports (PCCT)</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E3E941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1C556B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A9D2C4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AB9AD9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0453A0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ACEB1B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0.1</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683CD2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0.2</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96186E9"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$315.01 </w:t>
            </w:r>
          </w:p>
        </w:tc>
      </w:tr>
      <w:tr w14:paraId="136555B7" w14:textId="77777777" w:rsidTr="001C7948">
        <w:tblPrEx>
          <w:tblW w:w="12976" w:type="dxa"/>
          <w:tblInd w:w="113" w:type="dxa"/>
          <w:tblLook w:val="04A0"/>
        </w:tblPrEx>
        <w:trPr>
          <w:gridAfter w:val="1"/>
          <w:wAfter w:w="8" w:type="dxa"/>
          <w:trHeight w:val="57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4FC8EEE4"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Report of changes to the primary product for a TPPU or process unit </w:t>
            </w:r>
            <w:r w:rsidRPr="001C7948">
              <w:rPr>
                <w:rFonts w:ascii="Times New Roman" w:eastAsia="Times New Roman" w:hAnsi="Times New Roman" w:cs="Times New Roman"/>
                <w:color w:val="000000"/>
                <w:sz w:val="20"/>
                <w:szCs w:val="20"/>
                <w:vertAlign w:val="superscript"/>
              </w:rPr>
              <w:t>m</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A81869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614CF3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75EE0C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DE1092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D2A04F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6</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00DA77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0.3</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6DD4B9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0.6</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2A94913"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$945.04 </w:t>
            </w:r>
          </w:p>
        </w:tc>
      </w:tr>
      <w:tr w14:paraId="101B9460"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319611F7"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Report for batch process vents </w:t>
            </w:r>
            <w:r w:rsidRPr="001C7948">
              <w:rPr>
                <w:rFonts w:ascii="Times New Roman" w:eastAsia="Times New Roman" w:hAnsi="Times New Roman" w:cs="Times New Roman"/>
                <w:color w:val="000000"/>
                <w:sz w:val="20"/>
                <w:szCs w:val="20"/>
                <w:vertAlign w:val="superscript"/>
              </w:rPr>
              <w:t>n</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53C0B5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B8B136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174C66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7ECA27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C22179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6</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2EF933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0.3</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BF0320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0.6</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8BCDA9D"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$945.04 </w:t>
            </w:r>
          </w:p>
        </w:tc>
      </w:tr>
      <w:tr w14:paraId="7C42631D"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0D17EA77"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Report for PET sources using a dimethyl terephthalate process </w:t>
            </w:r>
            <w:r w:rsidRPr="001C7948">
              <w:rPr>
                <w:rFonts w:ascii="Times New Roman" w:eastAsia="Times New Roman" w:hAnsi="Times New Roman" w:cs="Times New Roman"/>
                <w:color w:val="000000"/>
                <w:sz w:val="20"/>
                <w:szCs w:val="20"/>
                <w:vertAlign w:val="superscript"/>
              </w:rPr>
              <w:t>o</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98A848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20C5E0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F802AF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2FCA88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1D97A3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F32548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0.2</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8E213B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0.4</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41A33D0"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$630.03 </w:t>
            </w:r>
          </w:p>
        </w:tc>
      </w:tr>
      <w:tr w14:paraId="39A0288B"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19E1445A"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Malfunction Reports </w:t>
            </w:r>
            <w:r w:rsidRPr="001C7948">
              <w:rPr>
                <w:rFonts w:ascii="Times New Roman" w:eastAsia="Times New Roman" w:hAnsi="Times New Roman" w:cs="Times New Roman"/>
                <w:color w:val="000000"/>
                <w:sz w:val="20"/>
                <w:szCs w:val="20"/>
                <w:vertAlign w:val="superscript"/>
              </w:rPr>
              <w:t>p</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207EB1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8</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4D1B1C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B9D3D8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8</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A4DA2D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F6D847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24</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780ED4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1.2</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81BA14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2.4</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706C428"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$3,780.16 </w:t>
            </w:r>
          </w:p>
        </w:tc>
      </w:tr>
      <w:tr w14:paraId="0EE05F64"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5040398E"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Affirmative defense</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AECED5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30</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E5A7DB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094F3F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D6171D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E59878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BB1C70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E2DF23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3B34165"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49858B57"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50B82C6F" w14:textId="77777777">
            <w:pPr>
              <w:spacing w:after="0" w:line="240" w:lineRule="auto"/>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Subtotal for Reporting Requirements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48D8580" w14:textId="77777777">
            <w:pPr>
              <w:spacing w:after="0" w:line="240" w:lineRule="auto"/>
              <w:jc w:val="center"/>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 </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4475DEA" w14:textId="77777777">
            <w:pPr>
              <w:spacing w:after="0" w:line="240" w:lineRule="auto"/>
              <w:jc w:val="center"/>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0EA8864" w14:textId="77777777">
            <w:pPr>
              <w:spacing w:after="0" w:line="240" w:lineRule="auto"/>
              <w:jc w:val="center"/>
              <w:rPr>
                <w:rFonts w:ascii="Times New Roman" w:eastAsia="Times New Roman" w:hAnsi="Times New Roman" w:cs="Times New Roman"/>
                <w:i/>
                <w:iCs/>
                <w:color w:val="000000"/>
                <w:sz w:val="20"/>
                <w:szCs w:val="20"/>
              </w:rPr>
            </w:pPr>
            <w:r w:rsidRPr="001C7948">
              <w:rPr>
                <w:rFonts w:ascii="Times New Roman" w:eastAsia="Times New Roman" w:hAnsi="Times New Roman" w:cs="Times New Roman"/>
                <w:i/>
                <w:iCs/>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07F2884" w14:textId="77777777">
            <w:pPr>
              <w:spacing w:after="0" w:line="240" w:lineRule="auto"/>
              <w:jc w:val="center"/>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 </w:t>
            </w:r>
          </w:p>
        </w:tc>
        <w:tc>
          <w:tcPr>
            <w:tcW w:w="3491" w:type="dxa"/>
            <w:gridSpan w:val="3"/>
            <w:tcBorders>
              <w:top w:val="single" w:sz="4" w:space="0" w:color="auto"/>
              <w:left w:val="nil"/>
              <w:bottom w:val="single" w:sz="4" w:space="0" w:color="auto"/>
              <w:right w:val="single" w:sz="4" w:space="0" w:color="auto"/>
            </w:tcBorders>
            <w:shd w:val="clear" w:color="auto" w:fill="auto"/>
            <w:noWrap/>
            <w:vAlign w:val="center"/>
            <w:hideMark/>
          </w:tcPr>
          <w:p w:rsidR="001C7948" w:rsidRPr="001C7948" w:rsidP="001C7948" w14:paraId="29420EAB" w14:textId="77777777">
            <w:pPr>
              <w:spacing w:after="0" w:line="240" w:lineRule="auto"/>
              <w:jc w:val="center"/>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117,932</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639913C" w14:textId="77777777">
            <w:pPr>
              <w:spacing w:after="0" w:line="240" w:lineRule="auto"/>
              <w:jc w:val="right"/>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 xml:space="preserve">$16,152,233 </w:t>
            </w:r>
          </w:p>
        </w:tc>
      </w:tr>
      <w:tr w14:paraId="0D76EEFC"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233F775A" w14:textId="2AE52CF8">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5.</w:t>
            </w:r>
            <w:r w:rsidR="00B5008A">
              <w:rPr>
                <w:rFonts w:ascii="Times New Roman" w:eastAsia="Times New Roman" w:hAnsi="Times New Roman" w:cs="Times New Roman"/>
                <w:color w:val="000000"/>
                <w:sz w:val="20"/>
                <w:szCs w:val="20"/>
              </w:rPr>
              <w:t xml:space="preserve"> </w:t>
            </w:r>
            <w:r w:rsidRPr="001C7948">
              <w:rPr>
                <w:rFonts w:ascii="Times New Roman" w:eastAsia="Times New Roman" w:hAnsi="Times New Roman" w:cs="Times New Roman"/>
                <w:color w:val="000000"/>
                <w:sz w:val="20"/>
                <w:szCs w:val="20"/>
              </w:rPr>
              <w:t>Recordkeeping Requirements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4D27D0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A1269E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F74A06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83A43B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E44BB7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DD7B07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699E44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8D84FB7"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5966C736"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26BAE24F"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A. Familiarize with regulatory requirements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A88C35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See 4A</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BBAEE3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D51BFB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434ECD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D6E6BF1"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02FB7D3"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1ABC0C4"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50EF1FF"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705D584B"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56F53AF5" w14:textId="1AC9560D">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B.</w:t>
            </w:r>
            <w:r w:rsidR="00B5008A">
              <w:rPr>
                <w:rFonts w:ascii="Times New Roman" w:eastAsia="Times New Roman" w:hAnsi="Times New Roman" w:cs="Times New Roman"/>
                <w:color w:val="000000"/>
                <w:sz w:val="20"/>
                <w:szCs w:val="20"/>
              </w:rPr>
              <w:t xml:space="preserve"> </w:t>
            </w:r>
            <w:r w:rsidRPr="001C7948">
              <w:rPr>
                <w:rFonts w:ascii="Times New Roman" w:eastAsia="Times New Roman" w:hAnsi="Times New Roman" w:cs="Times New Roman"/>
                <w:color w:val="000000"/>
                <w:sz w:val="20"/>
                <w:szCs w:val="20"/>
              </w:rPr>
              <w:t xml:space="preserve">Plan activities </w:t>
            </w:r>
            <w:r w:rsidRPr="001C7948">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8E3A8C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See 4B</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0CE1FE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EAB8DD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66CE9D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B539F3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20EFC9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3FCBB8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1B38E0D"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38235A98"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481131B4" w14:textId="76DBD950">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C.</w:t>
            </w:r>
            <w:r w:rsidR="00B5008A">
              <w:rPr>
                <w:rFonts w:ascii="Times New Roman" w:eastAsia="Times New Roman" w:hAnsi="Times New Roman" w:cs="Times New Roman"/>
                <w:color w:val="000000"/>
                <w:sz w:val="20"/>
                <w:szCs w:val="20"/>
              </w:rPr>
              <w:t xml:space="preserve"> </w:t>
            </w:r>
            <w:r w:rsidRPr="001C7948">
              <w:rPr>
                <w:rFonts w:ascii="Times New Roman" w:eastAsia="Times New Roman" w:hAnsi="Times New Roman" w:cs="Times New Roman"/>
                <w:color w:val="000000"/>
                <w:sz w:val="20"/>
                <w:szCs w:val="20"/>
              </w:rPr>
              <w:t xml:space="preserve">Implement activities </w:t>
            </w:r>
            <w:r w:rsidRPr="001C7948">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6AC94F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See 4B</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5DC9C8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B6CDE9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AA4765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25CAAA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80C2B6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5E9DA9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774D52F"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7805BA3E"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3F574FFC" w14:textId="2DFEF551">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D.</w:t>
            </w:r>
            <w:r w:rsidR="00B5008A">
              <w:rPr>
                <w:rFonts w:ascii="Times New Roman" w:eastAsia="Times New Roman" w:hAnsi="Times New Roman" w:cs="Times New Roman"/>
                <w:color w:val="000000"/>
                <w:sz w:val="20"/>
                <w:szCs w:val="20"/>
              </w:rPr>
              <w:t xml:space="preserve"> </w:t>
            </w:r>
            <w:r w:rsidRPr="001C7948">
              <w:rPr>
                <w:rFonts w:ascii="Times New Roman" w:eastAsia="Times New Roman" w:hAnsi="Times New Roman" w:cs="Times New Roman"/>
                <w:color w:val="000000"/>
                <w:sz w:val="20"/>
                <w:szCs w:val="20"/>
              </w:rPr>
              <w:t>Develop record system</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3A45D6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40</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3A0E12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DE9BA9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40</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AA7A8D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D0426E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3544E1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445C09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2F97B8D"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$0 </w:t>
            </w:r>
          </w:p>
        </w:tc>
      </w:tr>
      <w:tr w14:paraId="1B1C8081"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0EC6DD8E" w14:textId="4C74C09D">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E.</w:t>
            </w:r>
            <w:r w:rsidR="00B5008A">
              <w:rPr>
                <w:rFonts w:ascii="Times New Roman" w:eastAsia="Times New Roman" w:hAnsi="Times New Roman" w:cs="Times New Roman"/>
                <w:color w:val="000000"/>
                <w:sz w:val="20"/>
                <w:szCs w:val="20"/>
              </w:rPr>
              <w:t xml:space="preserve"> </w:t>
            </w:r>
            <w:r w:rsidRPr="001C7948">
              <w:rPr>
                <w:rFonts w:ascii="Times New Roman" w:eastAsia="Times New Roman" w:hAnsi="Times New Roman" w:cs="Times New Roman"/>
                <w:color w:val="000000"/>
                <w:sz w:val="20"/>
                <w:szCs w:val="20"/>
              </w:rPr>
              <w:t xml:space="preserve">Time to enter information </w:t>
            </w:r>
            <w:r w:rsidRPr="001C7948">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E2E3BF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EBF797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2A3216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744F9C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C2E47B0"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6811E53"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2754BD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8EC44E8"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601D0DAC"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2F7A9108"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Plan Activities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C1AB44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See 4B</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782CF7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05F34D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F7A358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E6462C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C2DFA8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AF0FA8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9C75BE4"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0CBABC5B"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55A26323"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Create, Test, Research, Develop</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1C225E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See 4C</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03425B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B97DCC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BFDD5C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3FFD79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8FE859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7579B2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6E79137"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16BF901E"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72D8AC92"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Gather information, Monitor, Inspect</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D61621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See 4D</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BFDBCC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0406B8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269BAD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D32795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465DC5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2C2D85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7F32ADA"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632A21AE"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4E088BBB" w14:textId="7777777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Process, Compile, Review</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8E5626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20</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2FD0D4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0F3C41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20</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2B6C25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27</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84AFDA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540</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FF15B96"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27</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9536F9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54</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0EDF058"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$85,053.51 </w:t>
            </w:r>
          </w:p>
        </w:tc>
      </w:tr>
      <w:tr w14:paraId="638CCCBE"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625AF583" w14:textId="5A2F1F18">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F.</w:t>
            </w:r>
            <w:r w:rsidR="00B5008A">
              <w:rPr>
                <w:rFonts w:ascii="Times New Roman" w:eastAsia="Times New Roman" w:hAnsi="Times New Roman" w:cs="Times New Roman"/>
                <w:color w:val="000000"/>
                <w:sz w:val="20"/>
                <w:szCs w:val="20"/>
              </w:rPr>
              <w:t xml:space="preserve"> </w:t>
            </w:r>
            <w:r w:rsidRPr="001C7948">
              <w:rPr>
                <w:rFonts w:ascii="Times New Roman" w:eastAsia="Times New Roman" w:hAnsi="Times New Roman" w:cs="Times New Roman"/>
                <w:color w:val="000000"/>
                <w:sz w:val="20"/>
                <w:szCs w:val="20"/>
              </w:rPr>
              <w:t xml:space="preserve">Time to train personnel </w:t>
            </w:r>
            <w:r w:rsidRPr="001C7948">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689929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5.25</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6CA335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620E4E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21</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6F955D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27</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65F0B9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567</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74CB50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28</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4CA0CE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57</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65E1D0A"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$89,306.19 </w:t>
            </w:r>
          </w:p>
        </w:tc>
      </w:tr>
      <w:tr w14:paraId="4042D045"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2B977323" w14:textId="1BA1F859">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G.</w:t>
            </w:r>
            <w:r w:rsidR="00B5008A">
              <w:rPr>
                <w:rFonts w:ascii="Times New Roman" w:eastAsia="Times New Roman" w:hAnsi="Times New Roman" w:cs="Times New Roman"/>
                <w:color w:val="000000"/>
                <w:sz w:val="20"/>
                <w:szCs w:val="20"/>
              </w:rPr>
              <w:t xml:space="preserve"> </w:t>
            </w:r>
            <w:r w:rsidRPr="001C7948">
              <w:rPr>
                <w:rFonts w:ascii="Times New Roman" w:eastAsia="Times New Roman" w:hAnsi="Times New Roman" w:cs="Times New Roman"/>
                <w:color w:val="000000"/>
                <w:sz w:val="20"/>
                <w:szCs w:val="20"/>
              </w:rPr>
              <w:t xml:space="preserve">Time to Record and disclose information </w:t>
            </w:r>
            <w:r w:rsidRPr="001C7948">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C28BE9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17.46</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224552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26</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6E3E99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454</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0866FFA"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27</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0827CFF"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12,258</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9021ECD"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613</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16461F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1,226</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730FCD45"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$1,930,714.68 </w:t>
            </w:r>
          </w:p>
        </w:tc>
      </w:tr>
      <w:tr w14:paraId="4390029D"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5E3CB8D0" w14:textId="1FE18C5F">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H.</w:t>
            </w:r>
            <w:r w:rsidR="00B5008A">
              <w:rPr>
                <w:rFonts w:ascii="Times New Roman" w:eastAsia="Times New Roman" w:hAnsi="Times New Roman" w:cs="Times New Roman"/>
                <w:color w:val="000000"/>
                <w:sz w:val="20"/>
                <w:szCs w:val="20"/>
              </w:rPr>
              <w:t xml:space="preserve"> </w:t>
            </w:r>
            <w:r w:rsidRPr="001C7948">
              <w:rPr>
                <w:rFonts w:ascii="Times New Roman" w:eastAsia="Times New Roman" w:hAnsi="Times New Roman" w:cs="Times New Roman"/>
                <w:color w:val="000000"/>
                <w:sz w:val="20"/>
                <w:szCs w:val="20"/>
              </w:rPr>
              <w:t xml:space="preserve">Store, file and maintain records </w:t>
            </w:r>
            <w:r w:rsidRPr="001C7948">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A8AE3EB"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6.77</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D569ED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35</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F186A3C"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237</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6B04842"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27</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3D0B1E4"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6,399</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68454E38"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320</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5D6A4B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640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67AE42A"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xml:space="preserve">$1,007,884.09 </w:t>
            </w:r>
          </w:p>
        </w:tc>
      </w:tr>
      <w:tr w14:paraId="747458DE"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06C11555" w14:textId="7843C867">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I.</w:t>
            </w:r>
            <w:r w:rsidR="00B5008A">
              <w:rPr>
                <w:rFonts w:ascii="Times New Roman" w:eastAsia="Times New Roman" w:hAnsi="Times New Roman" w:cs="Times New Roman"/>
                <w:color w:val="000000"/>
                <w:sz w:val="20"/>
                <w:szCs w:val="20"/>
              </w:rPr>
              <w:t xml:space="preserve"> </w:t>
            </w:r>
            <w:r w:rsidRPr="001C7948">
              <w:rPr>
                <w:rFonts w:ascii="Times New Roman" w:eastAsia="Times New Roman" w:hAnsi="Times New Roman" w:cs="Times New Roman"/>
                <w:color w:val="000000"/>
                <w:sz w:val="20"/>
                <w:szCs w:val="20"/>
              </w:rPr>
              <w:t>Time for audits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85C1E9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N/A</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10F6AD7"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78292F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74D1E45"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48EFF4E"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CE51CB1"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C8A8579" w14:textId="77777777">
            <w:pPr>
              <w:spacing w:after="0" w:line="240" w:lineRule="auto"/>
              <w:jc w:val="center"/>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92F3E43" w14:textId="77777777">
            <w:pPr>
              <w:spacing w:after="0" w:line="240" w:lineRule="auto"/>
              <w:jc w:val="right"/>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rPr>
              <w:t> </w:t>
            </w:r>
          </w:p>
        </w:tc>
      </w:tr>
      <w:tr w14:paraId="6017C035" w14:textId="77777777" w:rsidTr="001C7948">
        <w:tblPrEx>
          <w:tblW w:w="12976" w:type="dxa"/>
          <w:tblInd w:w="113" w:type="dxa"/>
          <w:tblLook w:val="04A0"/>
        </w:tblPrEx>
        <w:trPr>
          <w:gridAfter w:val="1"/>
          <w:wAfter w:w="8" w:type="dxa"/>
          <w:trHeight w:val="30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2E823642" w14:textId="77777777">
            <w:pPr>
              <w:spacing w:after="0" w:line="240" w:lineRule="auto"/>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Subtotal for Recordkeeping Requirements</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4685452" w14:textId="77777777">
            <w:pPr>
              <w:spacing w:after="0" w:line="240" w:lineRule="auto"/>
              <w:jc w:val="center"/>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 </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177BF88" w14:textId="77777777">
            <w:pPr>
              <w:spacing w:after="0" w:line="240" w:lineRule="auto"/>
              <w:jc w:val="center"/>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9FB93E8" w14:textId="77777777">
            <w:pPr>
              <w:spacing w:after="0" w:line="240" w:lineRule="auto"/>
              <w:jc w:val="center"/>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365FA68" w14:textId="77777777">
            <w:pPr>
              <w:spacing w:after="0" w:line="240" w:lineRule="auto"/>
              <w:jc w:val="center"/>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 </w:t>
            </w:r>
          </w:p>
        </w:tc>
        <w:tc>
          <w:tcPr>
            <w:tcW w:w="3491" w:type="dxa"/>
            <w:gridSpan w:val="3"/>
            <w:tcBorders>
              <w:top w:val="single" w:sz="4" w:space="0" w:color="auto"/>
              <w:left w:val="nil"/>
              <w:bottom w:val="single" w:sz="4" w:space="0" w:color="auto"/>
              <w:right w:val="single" w:sz="4" w:space="0" w:color="auto"/>
            </w:tcBorders>
            <w:shd w:val="clear" w:color="auto" w:fill="auto"/>
            <w:noWrap/>
            <w:vAlign w:val="center"/>
            <w:hideMark/>
          </w:tcPr>
          <w:p w:rsidR="001C7948" w:rsidRPr="001C7948" w:rsidP="001C7948" w14:paraId="6A443A6D" w14:textId="77777777">
            <w:pPr>
              <w:spacing w:after="0" w:line="240" w:lineRule="auto"/>
              <w:jc w:val="center"/>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22,729</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56824ED9" w14:textId="77777777">
            <w:pPr>
              <w:spacing w:after="0" w:line="240" w:lineRule="auto"/>
              <w:jc w:val="right"/>
              <w:rPr>
                <w:rFonts w:ascii="Times New Roman" w:eastAsia="Times New Roman" w:hAnsi="Times New Roman" w:cs="Times New Roman"/>
                <w:b/>
                <w:bCs/>
                <w:i/>
                <w:iCs/>
                <w:color w:val="000000"/>
                <w:sz w:val="20"/>
                <w:szCs w:val="20"/>
              </w:rPr>
            </w:pPr>
            <w:r w:rsidRPr="001C7948">
              <w:rPr>
                <w:rFonts w:ascii="Times New Roman" w:eastAsia="Times New Roman" w:hAnsi="Times New Roman" w:cs="Times New Roman"/>
                <w:b/>
                <w:bCs/>
                <w:i/>
                <w:iCs/>
                <w:color w:val="000000"/>
                <w:sz w:val="20"/>
                <w:szCs w:val="20"/>
              </w:rPr>
              <w:t xml:space="preserve">$3,112,958 </w:t>
            </w:r>
          </w:p>
        </w:tc>
      </w:tr>
      <w:tr w14:paraId="2912C177"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0A35A83E" w14:textId="77777777">
            <w:pPr>
              <w:spacing w:after="0" w:line="240" w:lineRule="auto"/>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TOTAL LABOR BURDEN AND COST (rounded) </w:t>
            </w:r>
            <w:r w:rsidRPr="001C7948">
              <w:rPr>
                <w:rFonts w:ascii="Times New Roman" w:eastAsia="Times New Roman" w:hAnsi="Times New Roman" w:cs="Times New Roman"/>
                <w:b/>
                <w:bCs/>
                <w:color w:val="000000"/>
                <w:sz w:val="20"/>
                <w:szCs w:val="20"/>
                <w:vertAlign w:val="superscript"/>
              </w:rPr>
              <w:t>q</w:t>
            </w:r>
          </w:p>
        </w:tc>
        <w:tc>
          <w:tcPr>
            <w:tcW w:w="1160"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7841715"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w:t>
            </w:r>
          </w:p>
        </w:tc>
        <w:tc>
          <w:tcPr>
            <w:tcW w:w="1238"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31766230"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25A191F2"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268C7D5"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w:t>
            </w:r>
          </w:p>
        </w:tc>
        <w:tc>
          <w:tcPr>
            <w:tcW w:w="3491" w:type="dxa"/>
            <w:gridSpan w:val="3"/>
            <w:tcBorders>
              <w:top w:val="single" w:sz="4" w:space="0" w:color="auto"/>
              <w:left w:val="nil"/>
              <w:bottom w:val="single" w:sz="4" w:space="0" w:color="auto"/>
              <w:right w:val="single" w:sz="4" w:space="0" w:color="auto"/>
            </w:tcBorders>
            <w:shd w:val="clear" w:color="auto" w:fill="auto"/>
            <w:noWrap/>
            <w:vAlign w:val="center"/>
            <w:hideMark/>
          </w:tcPr>
          <w:p w:rsidR="001C7948" w:rsidRPr="001C7948" w:rsidP="001C7948" w14:paraId="48C704D4" w14:textId="77777777">
            <w:pPr>
              <w:spacing w:after="0" w:line="240" w:lineRule="auto"/>
              <w:jc w:val="center"/>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141,000</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161119AD" w14:textId="77777777">
            <w:pPr>
              <w:spacing w:after="0" w:line="240" w:lineRule="auto"/>
              <w:jc w:val="right"/>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$19,300,000 </w:t>
            </w:r>
          </w:p>
        </w:tc>
      </w:tr>
      <w:tr w14:paraId="4436A5BF"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4F94ADDF" w14:textId="77777777">
            <w:pPr>
              <w:spacing w:after="0" w:line="240" w:lineRule="auto"/>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TOTAL CAPITAL AND O&amp;M COST (rounded) </w:t>
            </w:r>
            <w:r w:rsidRPr="001C7948">
              <w:rPr>
                <w:rFonts w:ascii="Times New Roman" w:eastAsia="Times New Roman" w:hAnsi="Times New Roman" w:cs="Times New Roman"/>
                <w:b/>
                <w:bCs/>
                <w:color w:val="000000"/>
                <w:sz w:val="20"/>
                <w:szCs w:val="20"/>
                <w:vertAlign w:val="superscript"/>
              </w:rPr>
              <w:t>q</w:t>
            </w:r>
          </w:p>
        </w:tc>
        <w:tc>
          <w:tcPr>
            <w:tcW w:w="1160"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15DF3455"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238"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2EE75F12"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172"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7D37063C"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306"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42F71DB0"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050"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1D3AC660"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338"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72D917C1"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103"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0D7140E0"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4CD28B4B" w14:textId="77777777">
            <w:pPr>
              <w:spacing w:after="0" w:line="240" w:lineRule="auto"/>
              <w:jc w:val="right"/>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$10,300,000 </w:t>
            </w:r>
          </w:p>
        </w:tc>
      </w:tr>
      <w:tr w14:paraId="1598BFFE" w14:textId="77777777" w:rsidTr="001C7948">
        <w:tblPrEx>
          <w:tblW w:w="12976" w:type="dxa"/>
          <w:tblInd w:w="113" w:type="dxa"/>
          <w:tblLook w:val="04A0"/>
        </w:tblPrEx>
        <w:trPr>
          <w:gridAfter w:val="1"/>
          <w:wAfter w:w="8" w:type="dxa"/>
          <w:trHeight w:val="31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1C7948" w:rsidRPr="001C7948" w:rsidP="001C7948" w14:paraId="7F8160A2" w14:textId="77777777">
            <w:pPr>
              <w:spacing w:after="0" w:line="240" w:lineRule="auto"/>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GRAND TOTAL (rounded) </w:t>
            </w:r>
            <w:r w:rsidRPr="001C7948">
              <w:rPr>
                <w:rFonts w:ascii="Times New Roman" w:eastAsia="Times New Roman" w:hAnsi="Times New Roman" w:cs="Times New Roman"/>
                <w:b/>
                <w:bCs/>
                <w:color w:val="000000"/>
                <w:sz w:val="20"/>
                <w:szCs w:val="20"/>
                <w:vertAlign w:val="superscript"/>
              </w:rPr>
              <w:t>q</w:t>
            </w:r>
          </w:p>
        </w:tc>
        <w:tc>
          <w:tcPr>
            <w:tcW w:w="1160"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2165154C"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238"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3DEED48F"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172"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0E5D4486"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306"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2B1A829A"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050"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33111115"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338"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30C922E1"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103" w:type="dxa"/>
            <w:tcBorders>
              <w:top w:val="nil"/>
              <w:left w:val="nil"/>
              <w:bottom w:val="single" w:sz="4" w:space="0" w:color="auto"/>
              <w:right w:val="single" w:sz="4" w:space="0" w:color="auto"/>
            </w:tcBorders>
            <w:shd w:val="clear" w:color="auto" w:fill="auto"/>
            <w:noWrap/>
            <w:vAlign w:val="bottom"/>
            <w:hideMark/>
          </w:tcPr>
          <w:p w:rsidR="001C7948" w:rsidRPr="001C7948" w:rsidP="001C7948" w14:paraId="2F4BD9D2" w14:textId="77777777">
            <w:pPr>
              <w:spacing w:after="0" w:line="240" w:lineRule="auto"/>
              <w:rPr>
                <w:rFonts w:ascii="Times New Roman" w:eastAsia="Times New Roman" w:hAnsi="Times New Roman" w:cs="Times New Roman"/>
                <w:color w:val="000000"/>
              </w:rPr>
            </w:pPr>
            <w:r w:rsidRPr="001C7948">
              <w:rPr>
                <w:rFonts w:ascii="Times New Roman" w:eastAsia="Times New Roman" w:hAnsi="Times New Roman" w:cs="Times New Roman"/>
                <w:color w:val="000000"/>
              </w:rPr>
              <w:t> </w:t>
            </w:r>
          </w:p>
        </w:tc>
        <w:tc>
          <w:tcPr>
            <w:tcW w:w="1366" w:type="dxa"/>
            <w:tcBorders>
              <w:top w:val="nil"/>
              <w:left w:val="nil"/>
              <w:bottom w:val="single" w:sz="4" w:space="0" w:color="auto"/>
              <w:right w:val="single" w:sz="4" w:space="0" w:color="auto"/>
            </w:tcBorders>
            <w:shd w:val="clear" w:color="auto" w:fill="auto"/>
            <w:noWrap/>
            <w:vAlign w:val="center"/>
            <w:hideMark/>
          </w:tcPr>
          <w:p w:rsidR="001C7948" w:rsidRPr="001C7948" w:rsidP="001C7948" w14:paraId="0BF01D17" w14:textId="77777777">
            <w:pPr>
              <w:spacing w:after="0" w:line="240" w:lineRule="auto"/>
              <w:jc w:val="right"/>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 xml:space="preserve">$29,600,000 </w:t>
            </w:r>
          </w:p>
        </w:tc>
      </w:tr>
      <w:tr w14:paraId="4D29B6E5" w14:textId="77777777" w:rsidTr="001C7948">
        <w:tblPrEx>
          <w:tblW w:w="12976" w:type="dxa"/>
          <w:tblInd w:w="113" w:type="dxa"/>
          <w:tblLook w:val="04A0"/>
        </w:tblPrEx>
        <w:trPr>
          <w:gridAfter w:val="1"/>
          <w:wAfter w:w="8" w:type="dxa"/>
          <w:trHeight w:val="300"/>
        </w:trPr>
        <w:tc>
          <w:tcPr>
            <w:tcW w:w="3235" w:type="dxa"/>
            <w:tcBorders>
              <w:top w:val="nil"/>
              <w:left w:val="nil"/>
              <w:bottom w:val="nil"/>
              <w:right w:val="nil"/>
            </w:tcBorders>
            <w:shd w:val="clear" w:color="auto" w:fill="auto"/>
            <w:noWrap/>
            <w:vAlign w:val="center"/>
            <w:hideMark/>
          </w:tcPr>
          <w:p w:rsidR="001C7948" w:rsidRPr="001C7948" w:rsidP="001C7948" w14:paraId="19C81A91" w14:textId="77777777">
            <w:pPr>
              <w:spacing w:after="0" w:line="240" w:lineRule="auto"/>
              <w:rPr>
                <w:rFonts w:ascii="Times New Roman" w:eastAsia="Times New Roman" w:hAnsi="Times New Roman" w:cs="Times New Roman"/>
                <w:b/>
                <w:bCs/>
                <w:color w:val="000000"/>
                <w:sz w:val="20"/>
                <w:szCs w:val="20"/>
              </w:rPr>
            </w:pPr>
            <w:r w:rsidRPr="001C7948">
              <w:rPr>
                <w:rFonts w:ascii="Times New Roman" w:eastAsia="Times New Roman" w:hAnsi="Times New Roman" w:cs="Times New Roman"/>
                <w:b/>
                <w:bCs/>
                <w:color w:val="000000"/>
                <w:sz w:val="20"/>
                <w:szCs w:val="20"/>
              </w:rPr>
              <w:t>Assumptions:</w:t>
            </w:r>
          </w:p>
        </w:tc>
        <w:tc>
          <w:tcPr>
            <w:tcW w:w="1160" w:type="dxa"/>
            <w:tcBorders>
              <w:top w:val="nil"/>
              <w:left w:val="nil"/>
              <w:bottom w:val="nil"/>
              <w:right w:val="nil"/>
            </w:tcBorders>
            <w:shd w:val="clear" w:color="auto" w:fill="auto"/>
            <w:noWrap/>
            <w:vAlign w:val="bottom"/>
            <w:hideMark/>
          </w:tcPr>
          <w:p w:rsidR="001C7948" w:rsidRPr="001C7948" w:rsidP="001C7948" w14:paraId="2CAFE4CC" w14:textId="77777777">
            <w:pPr>
              <w:spacing w:after="0" w:line="240" w:lineRule="auto"/>
              <w:rPr>
                <w:rFonts w:ascii="Times New Roman" w:eastAsia="Times New Roman" w:hAnsi="Times New Roman" w:cs="Times New Roman"/>
                <w:b/>
                <w:bCs/>
                <w:color w:val="000000"/>
                <w:sz w:val="20"/>
                <w:szCs w:val="20"/>
              </w:rPr>
            </w:pPr>
          </w:p>
        </w:tc>
        <w:tc>
          <w:tcPr>
            <w:tcW w:w="1238" w:type="dxa"/>
            <w:tcBorders>
              <w:top w:val="nil"/>
              <w:left w:val="nil"/>
              <w:bottom w:val="nil"/>
              <w:right w:val="nil"/>
            </w:tcBorders>
            <w:shd w:val="clear" w:color="auto" w:fill="auto"/>
            <w:noWrap/>
            <w:vAlign w:val="bottom"/>
            <w:hideMark/>
          </w:tcPr>
          <w:p w:rsidR="001C7948" w:rsidRPr="001C7948" w:rsidP="001C7948" w14:paraId="72E941D2" w14:textId="77777777">
            <w:pPr>
              <w:spacing w:after="0" w:line="240" w:lineRule="auto"/>
              <w:rPr>
                <w:rFonts w:ascii="Times New Roman" w:eastAsia="Times New Roman" w:hAnsi="Times New Roman" w:cs="Times New Roman"/>
                <w:sz w:val="20"/>
                <w:szCs w:val="20"/>
              </w:rPr>
            </w:pPr>
          </w:p>
        </w:tc>
        <w:tc>
          <w:tcPr>
            <w:tcW w:w="1172" w:type="dxa"/>
            <w:tcBorders>
              <w:top w:val="nil"/>
              <w:left w:val="nil"/>
              <w:bottom w:val="nil"/>
              <w:right w:val="nil"/>
            </w:tcBorders>
            <w:shd w:val="clear" w:color="auto" w:fill="auto"/>
            <w:noWrap/>
            <w:vAlign w:val="bottom"/>
            <w:hideMark/>
          </w:tcPr>
          <w:p w:rsidR="001C7948" w:rsidRPr="001C7948" w:rsidP="001C7948" w14:paraId="798EFBB6" w14:textId="77777777">
            <w:pPr>
              <w:spacing w:after="0" w:line="240" w:lineRule="auto"/>
              <w:rPr>
                <w:rFonts w:ascii="Times New Roman" w:eastAsia="Times New Roman" w:hAnsi="Times New Roman" w:cs="Times New Roman"/>
                <w:sz w:val="20"/>
                <w:szCs w:val="20"/>
              </w:rPr>
            </w:pPr>
          </w:p>
        </w:tc>
        <w:tc>
          <w:tcPr>
            <w:tcW w:w="1306" w:type="dxa"/>
            <w:tcBorders>
              <w:top w:val="nil"/>
              <w:left w:val="nil"/>
              <w:bottom w:val="nil"/>
              <w:right w:val="nil"/>
            </w:tcBorders>
            <w:shd w:val="clear" w:color="auto" w:fill="auto"/>
            <w:noWrap/>
            <w:vAlign w:val="bottom"/>
            <w:hideMark/>
          </w:tcPr>
          <w:p w:rsidR="001C7948" w:rsidRPr="001C7948" w:rsidP="001C7948" w14:paraId="7D5B8101" w14:textId="77777777">
            <w:pPr>
              <w:spacing w:after="0" w:line="240" w:lineRule="auto"/>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rsidR="001C7948" w:rsidRPr="001C7948" w:rsidP="001C7948" w14:paraId="3A71085D" w14:textId="77777777">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1C7948" w:rsidRPr="001C7948" w:rsidP="001C7948" w14:paraId="1D5A9B26" w14:textId="77777777">
            <w:pPr>
              <w:spacing w:after="0" w:line="240" w:lineRule="auto"/>
              <w:rPr>
                <w:rFonts w:ascii="Times New Roman" w:eastAsia="Times New Roman" w:hAnsi="Times New Roman" w:cs="Times New Roman"/>
                <w:sz w:val="20"/>
                <w:szCs w:val="20"/>
              </w:rPr>
            </w:pPr>
          </w:p>
        </w:tc>
        <w:tc>
          <w:tcPr>
            <w:tcW w:w="1103" w:type="dxa"/>
            <w:tcBorders>
              <w:top w:val="nil"/>
              <w:left w:val="nil"/>
              <w:bottom w:val="nil"/>
              <w:right w:val="nil"/>
            </w:tcBorders>
            <w:shd w:val="clear" w:color="auto" w:fill="auto"/>
            <w:noWrap/>
            <w:vAlign w:val="bottom"/>
            <w:hideMark/>
          </w:tcPr>
          <w:p w:rsidR="001C7948" w:rsidRPr="001C7948" w:rsidP="001C7948" w14:paraId="37FEBF98" w14:textId="77777777">
            <w:pPr>
              <w:spacing w:after="0" w:line="240" w:lineRule="auto"/>
              <w:rPr>
                <w:rFonts w:ascii="Times New Roman" w:eastAsia="Times New Roman" w:hAnsi="Times New Roman" w:cs="Times New Roman"/>
                <w:sz w:val="20"/>
                <w:szCs w:val="20"/>
              </w:rPr>
            </w:pPr>
          </w:p>
        </w:tc>
        <w:tc>
          <w:tcPr>
            <w:tcW w:w="1366" w:type="dxa"/>
            <w:tcBorders>
              <w:top w:val="nil"/>
              <w:left w:val="nil"/>
              <w:bottom w:val="nil"/>
              <w:right w:val="nil"/>
            </w:tcBorders>
            <w:shd w:val="clear" w:color="auto" w:fill="auto"/>
            <w:noWrap/>
            <w:vAlign w:val="bottom"/>
            <w:hideMark/>
          </w:tcPr>
          <w:p w:rsidR="001C7948" w:rsidRPr="001C7948" w:rsidP="001C7948" w14:paraId="43090C4D" w14:textId="77777777">
            <w:pPr>
              <w:spacing w:after="0" w:line="240" w:lineRule="auto"/>
              <w:rPr>
                <w:rFonts w:ascii="Times New Roman" w:eastAsia="Times New Roman" w:hAnsi="Times New Roman" w:cs="Times New Roman"/>
                <w:sz w:val="20"/>
                <w:szCs w:val="20"/>
              </w:rPr>
            </w:pPr>
          </w:p>
        </w:tc>
      </w:tr>
      <w:tr w14:paraId="27AD7E33" w14:textId="77777777" w:rsidTr="00891F62">
        <w:tblPrEx>
          <w:tblW w:w="12976" w:type="dxa"/>
          <w:tblInd w:w="113" w:type="dxa"/>
          <w:tblLook w:val="04A0"/>
        </w:tblPrEx>
        <w:trPr>
          <w:trHeight w:val="432"/>
        </w:trPr>
        <w:tc>
          <w:tcPr>
            <w:tcW w:w="12976" w:type="dxa"/>
            <w:gridSpan w:val="10"/>
            <w:tcBorders>
              <w:top w:val="nil"/>
              <w:left w:val="nil"/>
              <w:bottom w:val="nil"/>
              <w:right w:val="nil"/>
            </w:tcBorders>
            <w:shd w:val="clear" w:color="auto" w:fill="auto"/>
            <w:hideMark/>
          </w:tcPr>
          <w:p w:rsidR="001C7948" w:rsidRPr="001C7948" w:rsidP="001C7948" w14:paraId="545A4FA0" w14:textId="09D66BBA">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a</w:t>
            </w:r>
            <w:r w:rsidRPr="001C7948">
              <w:rPr>
                <w:rFonts w:ascii="Times New Roman" w:eastAsia="Times New Roman" w:hAnsi="Times New Roman" w:cs="Times New Roman"/>
                <w:color w:val="000000"/>
                <w:sz w:val="20"/>
                <w:szCs w:val="20"/>
              </w:rPr>
              <w:t xml:space="preserve"> We assume there are an average of 27 sources (TPPUs) at 24 facilities subject to the rule and no additional sources per year will become subject to the rule during the three-year period of this ICR.</w:t>
            </w:r>
          </w:p>
        </w:tc>
      </w:tr>
      <w:tr w14:paraId="38D27A9A" w14:textId="77777777" w:rsidTr="001C7948">
        <w:tblPrEx>
          <w:tblW w:w="12976" w:type="dxa"/>
          <w:tblInd w:w="113" w:type="dxa"/>
          <w:tblLook w:val="04A0"/>
        </w:tblPrEx>
        <w:trPr>
          <w:trHeight w:val="1095"/>
        </w:trPr>
        <w:tc>
          <w:tcPr>
            <w:tcW w:w="12976" w:type="dxa"/>
            <w:gridSpan w:val="10"/>
            <w:tcBorders>
              <w:top w:val="nil"/>
              <w:left w:val="nil"/>
              <w:bottom w:val="nil"/>
              <w:right w:val="nil"/>
            </w:tcBorders>
            <w:shd w:val="clear" w:color="auto" w:fill="auto"/>
            <w:hideMark/>
          </w:tcPr>
          <w:p w:rsidR="001C7948" w:rsidRPr="001C7948" w:rsidP="001C7948" w14:paraId="45CF3289" w14:textId="01EF7400">
            <w:pPr>
              <w:spacing w:after="0" w:line="240" w:lineRule="auto"/>
              <w:rPr>
                <w:rFonts w:ascii="Times New Roman" w:eastAsia="Times New Roman" w:hAnsi="Times New Roman" w:cs="Times New Roman"/>
                <w:sz w:val="20"/>
                <w:szCs w:val="20"/>
              </w:rPr>
            </w:pPr>
            <w:r w:rsidRPr="001C7948">
              <w:rPr>
                <w:rFonts w:ascii="Times New Roman" w:eastAsia="Times New Roman" w:hAnsi="Times New Roman" w:cs="Times New Roman"/>
                <w:sz w:val="20"/>
                <w:szCs w:val="20"/>
                <w:vertAlign w:val="superscript"/>
              </w:rPr>
              <w:t>b</w:t>
            </w:r>
            <w:r w:rsidRPr="001C7948">
              <w:rPr>
                <w:rFonts w:ascii="Times New Roman" w:eastAsia="Times New Roman" w:hAnsi="Times New Roman" w:cs="Times New Roman"/>
                <w:sz w:val="20"/>
                <w:szCs w:val="20"/>
              </w:rPr>
              <w:t xml:space="preserve"> This ICR uses the following labor rates: Managerial $172.41 ($82.10+ 110%); Technical $141.75 ($67.50 + 110%); and Clerical $71.36 ($33.98 + 110%). These rates are from the United States Department of Labor, Bureau of Labor Statistics, December 2023, “Table 2. Civilian workers by occupational and industry group.” The rates are from column 1, “Total 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w:t>
            </w:r>
          </w:p>
        </w:tc>
      </w:tr>
      <w:tr w14:paraId="512A712D" w14:textId="77777777" w:rsidTr="00891F62">
        <w:tblPrEx>
          <w:tblW w:w="12976" w:type="dxa"/>
          <w:tblInd w:w="113" w:type="dxa"/>
          <w:tblLook w:val="04A0"/>
        </w:tblPrEx>
        <w:trPr>
          <w:trHeight w:val="198"/>
        </w:trPr>
        <w:tc>
          <w:tcPr>
            <w:tcW w:w="12976" w:type="dxa"/>
            <w:gridSpan w:val="10"/>
            <w:tcBorders>
              <w:top w:val="nil"/>
              <w:left w:val="nil"/>
              <w:bottom w:val="nil"/>
              <w:right w:val="nil"/>
            </w:tcBorders>
            <w:shd w:val="clear" w:color="auto" w:fill="auto"/>
            <w:noWrap/>
            <w:hideMark/>
          </w:tcPr>
          <w:p w:rsidR="001C7948" w:rsidRPr="001C7948" w:rsidP="001C7948" w14:paraId="7DB62EB2" w14:textId="5A41C4AB">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c</w:t>
            </w:r>
            <w:r w:rsidRPr="001C7948">
              <w:rPr>
                <w:rFonts w:ascii="Times New Roman" w:eastAsia="Times New Roman" w:hAnsi="Times New Roman" w:cs="Times New Roman"/>
                <w:color w:val="000000"/>
                <w:sz w:val="20"/>
                <w:szCs w:val="20"/>
              </w:rPr>
              <w:t xml:space="preserve"> This ICR assumes all existing sources will have to familiarize with the regulatory requirements each year.</w:t>
            </w:r>
          </w:p>
        </w:tc>
      </w:tr>
      <w:tr w14:paraId="3B4AD40A" w14:textId="77777777" w:rsidTr="001C7948">
        <w:tblPrEx>
          <w:tblW w:w="12976" w:type="dxa"/>
          <w:tblInd w:w="113" w:type="dxa"/>
          <w:tblLook w:val="04A0"/>
        </w:tblPrEx>
        <w:trPr>
          <w:trHeight w:val="1155"/>
        </w:trPr>
        <w:tc>
          <w:tcPr>
            <w:tcW w:w="12976" w:type="dxa"/>
            <w:gridSpan w:val="10"/>
            <w:tcBorders>
              <w:top w:val="nil"/>
              <w:left w:val="nil"/>
              <w:bottom w:val="nil"/>
              <w:right w:val="nil"/>
            </w:tcBorders>
            <w:shd w:val="clear" w:color="auto" w:fill="auto"/>
            <w:hideMark/>
          </w:tcPr>
          <w:p w:rsidR="001C7948" w:rsidRPr="001C7948" w:rsidP="001C7948" w14:paraId="6444B7C4" w14:textId="58D96E4A">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d</w:t>
            </w:r>
            <w:r w:rsidRPr="001C7948">
              <w:rPr>
                <w:rFonts w:ascii="Times New Roman" w:eastAsia="Times New Roman" w:hAnsi="Times New Roman" w:cs="Times New Roman"/>
                <w:color w:val="000000"/>
                <w:sz w:val="20"/>
                <w:szCs w:val="20"/>
              </w:rPr>
              <w:t xml:space="preserve"> Since the activities within each burden category (i.e., process vents, equipment leaks, wastewater, heat exchangers, and equipment leaks) can vary significantly, it is too inaccurate to assume an average activity time (Column A) to calculate hours per facility (Column C). Therefore, we estimated the total hours per facility and the number activities per year (Column B) to back-calculate the person-</w:t>
            </w:r>
            <w:r w:rsidRPr="001C7948">
              <w:rPr>
                <w:rFonts w:ascii="Times New Roman" w:eastAsia="Times New Roman" w:hAnsi="Times New Roman" w:cs="Times New Roman"/>
                <w:color w:val="000000"/>
                <w:sz w:val="20"/>
                <w:szCs w:val="20"/>
              </w:rPr>
              <w:t>hrs</w:t>
            </w:r>
            <w:r w:rsidRPr="001C7948">
              <w:rPr>
                <w:rFonts w:ascii="Times New Roman" w:eastAsia="Times New Roman" w:hAnsi="Times New Roman" w:cs="Times New Roman"/>
                <w:color w:val="000000"/>
                <w:sz w:val="20"/>
                <w:szCs w:val="20"/>
              </w:rPr>
              <w:t xml:space="preserve"> per occurrence value in Column A. The burden for these activities </w:t>
            </w:r>
            <w:r w:rsidRPr="001C7948">
              <w:rPr>
                <w:rFonts w:ascii="Times New Roman" w:eastAsia="Times New Roman" w:hAnsi="Times New Roman" w:cs="Times New Roman"/>
                <w:color w:val="000000"/>
                <w:sz w:val="20"/>
                <w:szCs w:val="20"/>
              </w:rPr>
              <w:t>are</w:t>
            </w:r>
            <w:r w:rsidRPr="001C7948">
              <w:rPr>
                <w:rFonts w:ascii="Times New Roman" w:eastAsia="Times New Roman" w:hAnsi="Times New Roman" w:cs="Times New Roman"/>
                <w:color w:val="000000"/>
                <w:sz w:val="20"/>
                <w:szCs w:val="20"/>
              </w:rPr>
              <w:t xml:space="preserve"> based on the approach used in the HON (Subparts F, G, H, and I).</w:t>
            </w:r>
            <w:r w:rsidR="00B5008A">
              <w:rPr>
                <w:rFonts w:ascii="Times New Roman" w:eastAsia="Times New Roman" w:hAnsi="Times New Roman" w:cs="Times New Roman"/>
                <w:color w:val="000000"/>
                <w:sz w:val="20"/>
                <w:szCs w:val="20"/>
              </w:rPr>
              <w:t xml:space="preserve"> </w:t>
            </w:r>
            <w:r w:rsidRPr="001C7948">
              <w:rPr>
                <w:rFonts w:ascii="Times New Roman" w:eastAsia="Times New Roman" w:hAnsi="Times New Roman" w:cs="Times New Roman"/>
                <w:color w:val="000000"/>
                <w:sz w:val="20"/>
                <w:szCs w:val="20"/>
              </w:rPr>
              <w:t>Since so much variability exists, it is important to note that this is an estimate and is only used to back-calculate Column A.</w:t>
            </w:r>
          </w:p>
        </w:tc>
      </w:tr>
      <w:tr w14:paraId="050FA7D4" w14:textId="77777777" w:rsidTr="00891F62">
        <w:tblPrEx>
          <w:tblW w:w="12976" w:type="dxa"/>
          <w:tblInd w:w="113" w:type="dxa"/>
          <w:tblLook w:val="04A0"/>
        </w:tblPrEx>
        <w:trPr>
          <w:trHeight w:val="261"/>
        </w:trPr>
        <w:tc>
          <w:tcPr>
            <w:tcW w:w="12976" w:type="dxa"/>
            <w:gridSpan w:val="10"/>
            <w:tcBorders>
              <w:top w:val="nil"/>
              <w:left w:val="nil"/>
              <w:bottom w:val="nil"/>
              <w:right w:val="nil"/>
            </w:tcBorders>
            <w:shd w:val="clear" w:color="auto" w:fill="auto"/>
            <w:noWrap/>
            <w:hideMark/>
          </w:tcPr>
          <w:p w:rsidR="001C7948" w:rsidRPr="001C7948" w:rsidP="001C7948" w14:paraId="40B54472" w14:textId="2822B575">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e</w:t>
            </w:r>
            <w:r w:rsidRPr="001C7948">
              <w:rPr>
                <w:rFonts w:ascii="Times New Roman" w:eastAsia="Times New Roman" w:hAnsi="Times New Roman" w:cs="Times New Roman"/>
                <w:color w:val="000000"/>
                <w:sz w:val="20"/>
                <w:szCs w:val="20"/>
              </w:rPr>
              <w:t xml:space="preserve"> This ICR assumes that each facility will refill storage vessels that have been emptied and degassed 6 times per year.</w:t>
            </w:r>
          </w:p>
        </w:tc>
      </w:tr>
      <w:tr w14:paraId="33E8F33E" w14:textId="77777777" w:rsidTr="00891F62">
        <w:tblPrEx>
          <w:tblW w:w="12976" w:type="dxa"/>
          <w:tblInd w:w="113" w:type="dxa"/>
          <w:tblLook w:val="04A0"/>
        </w:tblPrEx>
        <w:trPr>
          <w:trHeight w:val="180"/>
        </w:trPr>
        <w:tc>
          <w:tcPr>
            <w:tcW w:w="12976" w:type="dxa"/>
            <w:gridSpan w:val="10"/>
            <w:tcBorders>
              <w:top w:val="nil"/>
              <w:left w:val="nil"/>
              <w:bottom w:val="nil"/>
              <w:right w:val="nil"/>
            </w:tcBorders>
            <w:shd w:val="clear" w:color="auto" w:fill="auto"/>
            <w:noWrap/>
            <w:hideMark/>
          </w:tcPr>
          <w:p w:rsidR="001C7948" w:rsidRPr="001C7948" w:rsidP="001C7948" w14:paraId="44A61E65" w14:textId="5C8A6BD1">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f</w:t>
            </w:r>
            <w:r w:rsidR="00B5008A">
              <w:rPr>
                <w:rFonts w:ascii="Times New Roman" w:eastAsia="Times New Roman" w:hAnsi="Times New Roman" w:cs="Times New Roman"/>
                <w:color w:val="000000"/>
                <w:sz w:val="20"/>
                <w:szCs w:val="20"/>
              </w:rPr>
              <w:t xml:space="preserve"> </w:t>
            </w:r>
            <w:r w:rsidRPr="001C7948">
              <w:rPr>
                <w:rFonts w:ascii="Times New Roman" w:eastAsia="Times New Roman" w:hAnsi="Times New Roman" w:cs="Times New Roman"/>
                <w:color w:val="000000"/>
                <w:sz w:val="20"/>
                <w:szCs w:val="20"/>
              </w:rPr>
              <w:t xml:space="preserve">his ICR assumes that 5% of new sources will use alternative test methods. </w:t>
            </w:r>
          </w:p>
        </w:tc>
      </w:tr>
      <w:tr w14:paraId="41BB0F46" w14:textId="77777777" w:rsidTr="00891F62">
        <w:tblPrEx>
          <w:tblW w:w="12976" w:type="dxa"/>
          <w:tblInd w:w="113" w:type="dxa"/>
          <w:tblLook w:val="04A0"/>
        </w:tblPrEx>
        <w:trPr>
          <w:trHeight w:val="225"/>
        </w:trPr>
        <w:tc>
          <w:tcPr>
            <w:tcW w:w="12976" w:type="dxa"/>
            <w:gridSpan w:val="10"/>
            <w:tcBorders>
              <w:top w:val="nil"/>
              <w:left w:val="nil"/>
              <w:bottom w:val="nil"/>
              <w:right w:val="nil"/>
            </w:tcBorders>
            <w:shd w:val="clear" w:color="auto" w:fill="auto"/>
            <w:noWrap/>
            <w:hideMark/>
          </w:tcPr>
          <w:p w:rsidR="001C7948" w:rsidRPr="001C7948" w:rsidP="001C7948" w14:paraId="0AC8503E" w14:textId="141930FF">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g</w:t>
            </w:r>
            <w:r w:rsidRPr="001C7948">
              <w:rPr>
                <w:rFonts w:ascii="Times New Roman" w:eastAsia="Times New Roman" w:hAnsi="Times New Roman" w:cs="Times New Roman"/>
                <w:color w:val="000000"/>
                <w:sz w:val="20"/>
                <w:szCs w:val="20"/>
              </w:rPr>
              <w:t xml:space="preserve"> This ICR assumes that 5% of new sources will use special compliance requirements.</w:t>
            </w:r>
          </w:p>
        </w:tc>
      </w:tr>
      <w:tr w14:paraId="4FB59304" w14:textId="77777777" w:rsidTr="00891F62">
        <w:tblPrEx>
          <w:tblW w:w="12976" w:type="dxa"/>
          <w:tblInd w:w="113" w:type="dxa"/>
          <w:tblLook w:val="04A0"/>
        </w:tblPrEx>
        <w:trPr>
          <w:trHeight w:val="252"/>
        </w:trPr>
        <w:tc>
          <w:tcPr>
            <w:tcW w:w="12976" w:type="dxa"/>
            <w:gridSpan w:val="10"/>
            <w:tcBorders>
              <w:top w:val="nil"/>
              <w:left w:val="nil"/>
              <w:bottom w:val="nil"/>
              <w:right w:val="nil"/>
            </w:tcBorders>
            <w:shd w:val="clear" w:color="auto" w:fill="auto"/>
            <w:noWrap/>
            <w:hideMark/>
          </w:tcPr>
          <w:p w:rsidR="001C7948" w:rsidRPr="001C7948" w:rsidP="001C7948" w14:paraId="4045C579" w14:textId="25795851">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h</w:t>
            </w:r>
            <w:r w:rsidRPr="001C7948">
              <w:rPr>
                <w:rFonts w:ascii="Times New Roman" w:eastAsia="Times New Roman" w:hAnsi="Times New Roman" w:cs="Times New Roman"/>
                <w:color w:val="000000"/>
                <w:sz w:val="20"/>
                <w:szCs w:val="20"/>
              </w:rPr>
              <w:t xml:space="preserve"> This ICR assumes that 10% of new sources will have to submit </w:t>
            </w:r>
            <w:r w:rsidRPr="001C7948">
              <w:rPr>
                <w:rFonts w:ascii="Times New Roman" w:eastAsia="Times New Roman" w:hAnsi="Times New Roman" w:cs="Times New Roman"/>
                <w:color w:val="000000"/>
                <w:sz w:val="20"/>
                <w:szCs w:val="20"/>
              </w:rPr>
              <w:t>precompliance</w:t>
            </w:r>
            <w:r w:rsidRPr="001C7948">
              <w:rPr>
                <w:rFonts w:ascii="Times New Roman" w:eastAsia="Times New Roman" w:hAnsi="Times New Roman" w:cs="Times New Roman"/>
                <w:color w:val="000000"/>
                <w:sz w:val="20"/>
                <w:szCs w:val="20"/>
              </w:rPr>
              <w:t xml:space="preserve"> reports.</w:t>
            </w:r>
          </w:p>
        </w:tc>
      </w:tr>
      <w:tr w14:paraId="3D5B09F9" w14:textId="77777777" w:rsidTr="001C7948">
        <w:tblPrEx>
          <w:tblW w:w="12976" w:type="dxa"/>
          <w:tblInd w:w="113" w:type="dxa"/>
          <w:tblLook w:val="04A0"/>
        </w:tblPrEx>
        <w:trPr>
          <w:trHeight w:val="315"/>
        </w:trPr>
        <w:tc>
          <w:tcPr>
            <w:tcW w:w="12976" w:type="dxa"/>
            <w:gridSpan w:val="10"/>
            <w:tcBorders>
              <w:top w:val="nil"/>
              <w:left w:val="nil"/>
              <w:bottom w:val="nil"/>
              <w:right w:val="nil"/>
            </w:tcBorders>
            <w:shd w:val="clear" w:color="auto" w:fill="auto"/>
            <w:noWrap/>
            <w:hideMark/>
          </w:tcPr>
          <w:p w:rsidR="001C7948" w:rsidRPr="001C7948" w:rsidP="001C7948" w14:paraId="03D5D50D" w14:textId="3B3DDF50">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i</w:t>
            </w:r>
            <w:r w:rsidRPr="001C7948">
              <w:rPr>
                <w:rFonts w:ascii="Times New Roman" w:eastAsia="Times New Roman" w:hAnsi="Times New Roman" w:cs="Times New Roman"/>
                <w:color w:val="000000"/>
                <w:sz w:val="20"/>
                <w:szCs w:val="20"/>
              </w:rPr>
              <w:t xml:space="preserve"> This ICR assumes that all existing sources are already in compliance; new sources cannot receive compliance extensions. </w:t>
            </w:r>
          </w:p>
        </w:tc>
      </w:tr>
      <w:tr w14:paraId="04D828E0" w14:textId="77777777" w:rsidTr="001C7948">
        <w:tblPrEx>
          <w:tblW w:w="12976" w:type="dxa"/>
          <w:tblInd w:w="113" w:type="dxa"/>
          <w:tblLook w:val="04A0"/>
        </w:tblPrEx>
        <w:trPr>
          <w:trHeight w:val="765"/>
        </w:trPr>
        <w:tc>
          <w:tcPr>
            <w:tcW w:w="12976" w:type="dxa"/>
            <w:gridSpan w:val="10"/>
            <w:tcBorders>
              <w:top w:val="nil"/>
              <w:left w:val="nil"/>
              <w:bottom w:val="nil"/>
              <w:right w:val="nil"/>
            </w:tcBorders>
            <w:shd w:val="clear" w:color="auto" w:fill="auto"/>
            <w:hideMark/>
          </w:tcPr>
          <w:p w:rsidR="001C7948" w:rsidRPr="001C7948" w:rsidP="001C7948" w14:paraId="689A5C69" w14:textId="1DF0C9E9">
            <w:pPr>
              <w:spacing w:after="0" w:line="240" w:lineRule="auto"/>
              <w:rPr>
                <w:rFonts w:ascii="Times New Roman" w:eastAsia="Times New Roman" w:hAnsi="Times New Roman" w:cs="Times New Roman"/>
                <w:sz w:val="20"/>
                <w:szCs w:val="20"/>
              </w:rPr>
            </w:pPr>
            <w:r w:rsidRPr="001C7948">
              <w:rPr>
                <w:rFonts w:ascii="Times New Roman" w:eastAsia="Times New Roman" w:hAnsi="Times New Roman" w:cs="Times New Roman"/>
                <w:sz w:val="20"/>
                <w:szCs w:val="20"/>
                <w:vertAlign w:val="superscript"/>
              </w:rPr>
              <w:t>j</w:t>
            </w:r>
            <w:r w:rsidRPr="001C7948">
              <w:rPr>
                <w:rFonts w:ascii="Times New Roman" w:eastAsia="Times New Roman" w:hAnsi="Times New Roman" w:cs="Times New Roman"/>
                <w:sz w:val="20"/>
                <w:szCs w:val="20"/>
              </w:rPr>
              <w:t xml:space="preserve"> This ICR assumes 10% of existing facilities have elected to use emission averaging and that all existing respondents were expected to </w:t>
            </w:r>
            <w:r w:rsidRPr="001C7948">
              <w:rPr>
                <w:rFonts w:ascii="Times New Roman" w:eastAsia="Times New Roman" w:hAnsi="Times New Roman" w:cs="Times New Roman"/>
                <w:sz w:val="20"/>
                <w:szCs w:val="20"/>
              </w:rPr>
              <w:t>be in compliance with</w:t>
            </w:r>
            <w:r w:rsidRPr="001C7948">
              <w:rPr>
                <w:rFonts w:ascii="Times New Roman" w:eastAsia="Times New Roman" w:hAnsi="Times New Roman" w:cs="Times New Roman"/>
                <w:sz w:val="20"/>
                <w:szCs w:val="20"/>
              </w:rPr>
              <w:t xml:space="preserve"> the submittal of an emis</w:t>
            </w:r>
            <w:r>
              <w:rPr>
                <w:rFonts w:ascii="Times New Roman" w:eastAsia="Times New Roman" w:hAnsi="Times New Roman" w:cs="Times New Roman"/>
                <w:sz w:val="20"/>
                <w:szCs w:val="20"/>
              </w:rPr>
              <w:t>si</w:t>
            </w:r>
            <w:r w:rsidRPr="001C7948">
              <w:rPr>
                <w:rFonts w:ascii="Times New Roman" w:eastAsia="Times New Roman" w:hAnsi="Times New Roman" w:cs="Times New Roman"/>
                <w:sz w:val="20"/>
                <w:szCs w:val="20"/>
              </w:rPr>
              <w:t>ons averaging plan as of the 2014 final rule. New facilities cannot use emissions averaging, therefore no new emissions averaging plans will be submitted. This ICR also assumes no existing facilities will elect to use nominal control after submitting the initial emissions averaging plan.</w:t>
            </w:r>
          </w:p>
        </w:tc>
      </w:tr>
      <w:tr w14:paraId="14A9D4FE" w14:textId="77777777" w:rsidTr="001C7948">
        <w:tblPrEx>
          <w:tblW w:w="12976" w:type="dxa"/>
          <w:tblInd w:w="113" w:type="dxa"/>
          <w:tblLook w:val="04A0"/>
        </w:tblPrEx>
        <w:trPr>
          <w:trHeight w:val="315"/>
        </w:trPr>
        <w:tc>
          <w:tcPr>
            <w:tcW w:w="12976" w:type="dxa"/>
            <w:gridSpan w:val="10"/>
            <w:tcBorders>
              <w:top w:val="nil"/>
              <w:left w:val="nil"/>
              <w:bottom w:val="nil"/>
              <w:right w:val="nil"/>
            </w:tcBorders>
            <w:shd w:val="clear" w:color="auto" w:fill="auto"/>
            <w:noWrap/>
            <w:hideMark/>
          </w:tcPr>
          <w:p w:rsidR="001C7948" w:rsidRPr="001C7948" w:rsidP="001C7948" w14:paraId="73A4CF19" w14:textId="07FF3D5E">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k</w:t>
            </w:r>
            <w:r w:rsidRPr="001C7948">
              <w:rPr>
                <w:rFonts w:ascii="Times New Roman" w:eastAsia="Times New Roman" w:hAnsi="Times New Roman" w:cs="Times New Roman"/>
                <w:color w:val="000000"/>
                <w:sz w:val="20"/>
                <w:szCs w:val="20"/>
              </w:rPr>
              <w:t xml:space="preserve"> This ICR assumes 1 facility per year using an emissions averaging plan will make changes requiring an update to the emissions averaging plan. </w:t>
            </w:r>
          </w:p>
        </w:tc>
      </w:tr>
      <w:tr w14:paraId="4B0EF1F1" w14:textId="77777777" w:rsidTr="00891F62">
        <w:tblPrEx>
          <w:tblW w:w="12976" w:type="dxa"/>
          <w:tblInd w:w="113" w:type="dxa"/>
          <w:tblLook w:val="04A0"/>
        </w:tblPrEx>
        <w:trPr>
          <w:trHeight w:val="774"/>
        </w:trPr>
        <w:tc>
          <w:tcPr>
            <w:tcW w:w="12976" w:type="dxa"/>
            <w:gridSpan w:val="10"/>
            <w:tcBorders>
              <w:top w:val="nil"/>
              <w:left w:val="nil"/>
              <w:bottom w:val="nil"/>
              <w:right w:val="nil"/>
            </w:tcBorders>
            <w:shd w:val="clear" w:color="auto" w:fill="auto"/>
            <w:hideMark/>
          </w:tcPr>
          <w:p w:rsidR="001C7948" w:rsidRPr="001C7948" w:rsidP="001C7948" w14:paraId="525CBEC2" w14:textId="65E200EF">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l</w:t>
            </w:r>
            <w:r w:rsidRPr="001C7948">
              <w:rPr>
                <w:rFonts w:ascii="Times New Roman" w:eastAsia="Times New Roman" w:hAnsi="Times New Roman" w:cs="Times New Roman"/>
                <w:color w:val="000000"/>
                <w:sz w:val="20"/>
                <w:szCs w:val="20"/>
              </w:rPr>
              <w:t xml:space="preserve"> This ICR assumes that 5% of the 27 sources (TPPUs) will not qualify for semiannual reports and will be required to submit quarterly reports. (27 TPPUs x 0.05 = 1.35) In addition, 10% of the 24 facilities using emissions averaging are required to submit quarterly reports. (24 respondents x (0.10) = 2.4). </w:t>
            </w:r>
            <w:r w:rsidRPr="001C7948">
              <w:rPr>
                <w:rFonts w:ascii="Times New Roman" w:eastAsia="Times New Roman" w:hAnsi="Times New Roman" w:cs="Times New Roman"/>
                <w:color w:val="000000"/>
                <w:sz w:val="20"/>
                <w:szCs w:val="20"/>
              </w:rPr>
              <w:t>Therefore</w:t>
            </w:r>
            <w:r w:rsidRPr="001C7948">
              <w:rPr>
                <w:rFonts w:ascii="Times New Roman" w:eastAsia="Times New Roman" w:hAnsi="Times New Roman" w:cs="Times New Roman"/>
                <w:color w:val="000000"/>
                <w:sz w:val="20"/>
                <w:szCs w:val="20"/>
              </w:rPr>
              <w:t xml:space="preserve"> we estimate quarterly reports will be submitted for 4 sources. (1.35 + 2.4 = 3.75, rounded to 4) The remaining 23 sources will all submit semiannual reports. </w:t>
            </w:r>
          </w:p>
        </w:tc>
      </w:tr>
      <w:tr w14:paraId="05858A06" w14:textId="77777777" w:rsidTr="001C7948">
        <w:tblPrEx>
          <w:tblW w:w="12976" w:type="dxa"/>
          <w:tblInd w:w="113" w:type="dxa"/>
          <w:tblLook w:val="04A0"/>
        </w:tblPrEx>
        <w:trPr>
          <w:trHeight w:val="315"/>
        </w:trPr>
        <w:tc>
          <w:tcPr>
            <w:tcW w:w="12976" w:type="dxa"/>
            <w:gridSpan w:val="10"/>
            <w:tcBorders>
              <w:top w:val="nil"/>
              <w:left w:val="nil"/>
              <w:bottom w:val="nil"/>
              <w:right w:val="nil"/>
            </w:tcBorders>
            <w:shd w:val="clear" w:color="auto" w:fill="auto"/>
            <w:noWrap/>
            <w:hideMark/>
          </w:tcPr>
          <w:p w:rsidR="001C7948" w:rsidRPr="001C7948" w:rsidP="001C7948" w14:paraId="17647FBF" w14:textId="2A4ABD19">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m</w:t>
            </w:r>
            <w:r w:rsidRPr="001C7948">
              <w:rPr>
                <w:rFonts w:ascii="Times New Roman" w:eastAsia="Times New Roman" w:hAnsi="Times New Roman" w:cs="Times New Roman"/>
                <w:color w:val="000000"/>
                <w:sz w:val="20"/>
                <w:szCs w:val="20"/>
              </w:rPr>
              <w:t xml:space="preserve"> This ICR assumes that 10% of sources will have changes to their primary product. (27 sources x 0.10 = 2.7, rounded to 3)</w:t>
            </w:r>
          </w:p>
        </w:tc>
      </w:tr>
      <w:tr w14:paraId="548284FB" w14:textId="77777777" w:rsidTr="001C7948">
        <w:tblPrEx>
          <w:tblW w:w="12976" w:type="dxa"/>
          <w:tblInd w:w="113" w:type="dxa"/>
          <w:tblLook w:val="04A0"/>
        </w:tblPrEx>
        <w:trPr>
          <w:trHeight w:val="315"/>
        </w:trPr>
        <w:tc>
          <w:tcPr>
            <w:tcW w:w="12976" w:type="dxa"/>
            <w:gridSpan w:val="10"/>
            <w:tcBorders>
              <w:top w:val="nil"/>
              <w:left w:val="nil"/>
              <w:bottom w:val="nil"/>
              <w:right w:val="nil"/>
            </w:tcBorders>
            <w:shd w:val="clear" w:color="auto" w:fill="auto"/>
            <w:noWrap/>
            <w:hideMark/>
          </w:tcPr>
          <w:p w:rsidR="001C7948" w:rsidRPr="001C7948" w:rsidP="001C7948" w14:paraId="6F0CAE2A" w14:textId="10452D9E">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n</w:t>
            </w:r>
            <w:r w:rsidRPr="001C7948">
              <w:rPr>
                <w:rFonts w:ascii="Times New Roman" w:eastAsia="Times New Roman" w:hAnsi="Times New Roman" w:cs="Times New Roman"/>
                <w:color w:val="000000"/>
                <w:sz w:val="20"/>
                <w:szCs w:val="20"/>
              </w:rPr>
              <w:t xml:space="preserve"> This ICR assumes that 10% of sources will makes changes to batch process vents. (27 sources x 0.10 = 2.7, rounded to 3)</w:t>
            </w:r>
          </w:p>
        </w:tc>
      </w:tr>
      <w:tr w14:paraId="2DDD8120" w14:textId="77777777" w:rsidTr="00891F62">
        <w:tblPrEx>
          <w:tblW w:w="12976" w:type="dxa"/>
          <w:tblInd w:w="113" w:type="dxa"/>
          <w:tblLook w:val="04A0"/>
        </w:tblPrEx>
        <w:trPr>
          <w:trHeight w:val="522"/>
        </w:trPr>
        <w:tc>
          <w:tcPr>
            <w:tcW w:w="12976" w:type="dxa"/>
            <w:gridSpan w:val="10"/>
            <w:tcBorders>
              <w:top w:val="nil"/>
              <w:left w:val="nil"/>
              <w:bottom w:val="nil"/>
              <w:right w:val="nil"/>
            </w:tcBorders>
            <w:shd w:val="clear" w:color="auto" w:fill="auto"/>
            <w:hideMark/>
          </w:tcPr>
          <w:p w:rsidR="001C7948" w:rsidRPr="001C7948" w:rsidP="001C7948" w14:paraId="2E34779D" w14:textId="48F3CF74">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o</w:t>
            </w:r>
            <w:r w:rsidRPr="001C7948">
              <w:rPr>
                <w:rFonts w:ascii="Times New Roman" w:eastAsia="Times New Roman" w:hAnsi="Times New Roman" w:cs="Times New Roman"/>
                <w:color w:val="000000"/>
                <w:sz w:val="20"/>
                <w:szCs w:val="20"/>
              </w:rPr>
              <w:t xml:space="preserve"> This ICR assumes that 10% of PET sources will make changes to a dimethyl terephthalate process. There is a total of 15 PET facilities subject to the rule. (15 facilities x 1.1 sources/facility x 10% = 1.65 sources, rounded to 2)</w:t>
            </w:r>
          </w:p>
        </w:tc>
      </w:tr>
      <w:tr w14:paraId="58D6A4C8" w14:textId="77777777" w:rsidTr="001C7948">
        <w:tblPrEx>
          <w:tblW w:w="12976" w:type="dxa"/>
          <w:tblInd w:w="113" w:type="dxa"/>
          <w:tblLook w:val="04A0"/>
        </w:tblPrEx>
        <w:trPr>
          <w:trHeight w:val="315"/>
        </w:trPr>
        <w:tc>
          <w:tcPr>
            <w:tcW w:w="12976" w:type="dxa"/>
            <w:gridSpan w:val="10"/>
            <w:tcBorders>
              <w:top w:val="nil"/>
              <w:left w:val="nil"/>
              <w:bottom w:val="nil"/>
              <w:right w:val="nil"/>
            </w:tcBorders>
            <w:shd w:val="clear" w:color="auto" w:fill="auto"/>
            <w:noWrap/>
            <w:hideMark/>
          </w:tcPr>
          <w:p w:rsidR="001C7948" w:rsidRPr="001C7948" w:rsidP="001C7948" w14:paraId="25AF8038" w14:textId="4C6A72CD">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p</w:t>
            </w:r>
            <w:r w:rsidRPr="001C7948">
              <w:rPr>
                <w:rFonts w:ascii="Times New Roman" w:eastAsia="Times New Roman" w:hAnsi="Times New Roman" w:cs="Times New Roman"/>
                <w:color w:val="000000"/>
                <w:sz w:val="20"/>
                <w:szCs w:val="20"/>
              </w:rPr>
              <w:t xml:space="preserve"> This ICR assumes that 10% of sources will have to submit malfunction reports.</w:t>
            </w:r>
            <w:r w:rsidRPr="001C7948">
              <w:rPr>
                <w:rFonts w:ascii="Times New Roman" w:eastAsia="Times New Roman" w:hAnsi="Times New Roman" w:cs="Times New Roman"/>
                <w:color w:val="000000"/>
                <w:sz w:val="20"/>
                <w:szCs w:val="20"/>
                <w:vertAlign w:val="superscript"/>
              </w:rPr>
              <w:t xml:space="preserve"> </w:t>
            </w:r>
            <w:r w:rsidRPr="001C7948">
              <w:rPr>
                <w:rFonts w:ascii="Times New Roman" w:eastAsia="Times New Roman" w:hAnsi="Times New Roman" w:cs="Times New Roman"/>
                <w:color w:val="000000"/>
                <w:sz w:val="20"/>
                <w:szCs w:val="20"/>
              </w:rPr>
              <w:t>(27 sources x 0.10 = 2.7, rounded to 3)</w:t>
            </w:r>
          </w:p>
        </w:tc>
      </w:tr>
      <w:tr w14:paraId="69AB59D7" w14:textId="77777777" w:rsidTr="001C7948">
        <w:tblPrEx>
          <w:tblW w:w="12976" w:type="dxa"/>
          <w:tblInd w:w="113" w:type="dxa"/>
          <w:tblLook w:val="04A0"/>
        </w:tblPrEx>
        <w:trPr>
          <w:trHeight w:val="315"/>
        </w:trPr>
        <w:tc>
          <w:tcPr>
            <w:tcW w:w="12976" w:type="dxa"/>
            <w:gridSpan w:val="10"/>
            <w:tcBorders>
              <w:top w:val="nil"/>
              <w:left w:val="nil"/>
              <w:bottom w:val="nil"/>
              <w:right w:val="nil"/>
            </w:tcBorders>
            <w:shd w:val="clear" w:color="auto" w:fill="auto"/>
            <w:noWrap/>
            <w:hideMark/>
          </w:tcPr>
          <w:p w:rsidR="001C7948" w:rsidRPr="001C7948" w:rsidP="001C7948" w14:paraId="3D7C6E97" w14:textId="2AC2FE43">
            <w:pPr>
              <w:spacing w:after="0" w:line="240" w:lineRule="auto"/>
              <w:rPr>
                <w:rFonts w:ascii="Times New Roman" w:eastAsia="Times New Roman" w:hAnsi="Times New Roman" w:cs="Times New Roman"/>
                <w:color w:val="000000"/>
                <w:sz w:val="20"/>
                <w:szCs w:val="20"/>
              </w:rPr>
            </w:pPr>
            <w:r w:rsidRPr="001C7948">
              <w:rPr>
                <w:rFonts w:ascii="Times New Roman" w:eastAsia="Times New Roman" w:hAnsi="Times New Roman" w:cs="Times New Roman"/>
                <w:color w:val="000000"/>
                <w:sz w:val="20"/>
                <w:szCs w:val="20"/>
                <w:vertAlign w:val="superscript"/>
              </w:rPr>
              <w:t>q</w:t>
            </w:r>
            <w:r w:rsidRPr="001C7948">
              <w:rPr>
                <w:rFonts w:ascii="Times New Roman" w:eastAsia="Times New Roman" w:hAnsi="Times New Roman" w:cs="Times New Roman"/>
                <w:color w:val="000000"/>
                <w:sz w:val="20"/>
                <w:szCs w:val="20"/>
              </w:rPr>
              <w:t xml:space="preserve"> Totals have been rounded to 3 significant figures. Figures may not add exactly due to rounding.</w:t>
            </w:r>
          </w:p>
        </w:tc>
      </w:tr>
    </w:tbl>
    <w:p w:rsidR="00891F62" w:rsidP="001641AA" w14:paraId="34BEFD2A" w14:textId="77777777">
      <w:pPr>
        <w:spacing w:before="240"/>
        <w:rPr>
          <w:rFonts w:cstheme="minorHAnsi"/>
          <w:b/>
          <w:bCs/>
          <w:sz w:val="24"/>
          <w:szCs w:val="24"/>
        </w:rPr>
      </w:pPr>
    </w:p>
    <w:p w:rsidR="00891F62" w14:paraId="7377C6D3" w14:textId="77777777">
      <w:pPr>
        <w:rPr>
          <w:rFonts w:cstheme="minorHAnsi"/>
          <w:b/>
          <w:bCs/>
          <w:sz w:val="24"/>
          <w:szCs w:val="24"/>
        </w:rPr>
      </w:pPr>
      <w:r>
        <w:rPr>
          <w:rFonts w:cstheme="minorHAnsi"/>
          <w:b/>
          <w:bCs/>
          <w:sz w:val="24"/>
          <w:szCs w:val="24"/>
        </w:rPr>
        <w:br w:type="page"/>
      </w:r>
    </w:p>
    <w:p w:rsidR="001641AA" w:rsidRPr="001C7948" w:rsidP="001641AA" w14:paraId="0C0DF005" w14:textId="1E02FB84">
      <w:pPr>
        <w:spacing w:before="240"/>
        <w:rPr>
          <w:rFonts w:cstheme="minorHAnsi"/>
          <w:b/>
          <w:bCs/>
          <w:sz w:val="24"/>
          <w:szCs w:val="24"/>
        </w:rPr>
      </w:pPr>
      <w:r w:rsidRPr="001C7948">
        <w:rPr>
          <w:rFonts w:cstheme="minorHAnsi"/>
          <w:b/>
          <w:bCs/>
          <w:sz w:val="24"/>
          <w:szCs w:val="24"/>
        </w:rPr>
        <w:t xml:space="preserve">Table 2: Average Annual EPA Burden and Cost – </w:t>
      </w:r>
      <w:r w:rsidRPr="001C7948" w:rsidR="001C7948">
        <w:rPr>
          <w:rFonts w:cstheme="minorHAnsi"/>
          <w:b/>
          <w:bCs/>
          <w:sz w:val="24"/>
          <w:szCs w:val="24"/>
        </w:rPr>
        <w:t>NESHAP for Group IV Polymers and Resins (40 CFR Part 63, Subpart JJJ) (Renewal)</w:t>
      </w:r>
    </w:p>
    <w:tbl>
      <w:tblPr>
        <w:tblW w:w="12418" w:type="dxa"/>
        <w:tblInd w:w="113" w:type="dxa"/>
        <w:tblLook w:val="04A0"/>
      </w:tblPr>
      <w:tblGrid>
        <w:gridCol w:w="3415"/>
        <w:gridCol w:w="1160"/>
        <w:gridCol w:w="1238"/>
        <w:gridCol w:w="986"/>
        <w:gridCol w:w="998"/>
        <w:gridCol w:w="1050"/>
        <w:gridCol w:w="1338"/>
        <w:gridCol w:w="1103"/>
        <w:gridCol w:w="1130"/>
      </w:tblGrid>
      <w:tr w14:paraId="34937D8A" w14:textId="77777777" w:rsidTr="00891F62">
        <w:tblPrEx>
          <w:tblW w:w="12418" w:type="dxa"/>
          <w:tblInd w:w="113" w:type="dxa"/>
          <w:tblLook w:val="04A0"/>
        </w:tblPrEx>
        <w:trPr>
          <w:trHeight w:val="1530"/>
        </w:trPr>
        <w:tc>
          <w:tcPr>
            <w:tcW w:w="3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F62" w:rsidRPr="00891F62" w:rsidP="00891F62" w14:paraId="62E68197"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Activity</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891F62" w:rsidRPr="00891F62" w:rsidP="00891F62" w14:paraId="400678F7"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(A)</w:t>
            </w:r>
            <w:r w:rsidRPr="00891F62">
              <w:rPr>
                <w:rFonts w:ascii="Times New Roman" w:eastAsia="Times New Roman" w:hAnsi="Times New Roman" w:cs="Times New Roman"/>
                <w:b/>
                <w:bCs/>
                <w:color w:val="000000"/>
                <w:sz w:val="20"/>
                <w:szCs w:val="20"/>
              </w:rPr>
              <w:br/>
              <w:t>EPA person-hours per occurrence</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891F62" w:rsidRPr="00891F62" w:rsidP="00891F62" w14:paraId="535B5FEA"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xml:space="preserve">(B) </w:t>
            </w:r>
            <w:r w:rsidRPr="00891F62">
              <w:rPr>
                <w:rFonts w:ascii="Times New Roman" w:eastAsia="Times New Roman" w:hAnsi="Times New Roman" w:cs="Times New Roman"/>
                <w:b/>
                <w:bCs/>
                <w:color w:val="000000"/>
                <w:sz w:val="20"/>
                <w:szCs w:val="20"/>
              </w:rPr>
              <w:br/>
              <w:t>Number of occurrences per year</w:t>
            </w:r>
          </w:p>
        </w:tc>
        <w:tc>
          <w:tcPr>
            <w:tcW w:w="986" w:type="dxa"/>
            <w:tcBorders>
              <w:top w:val="single" w:sz="4" w:space="0" w:color="auto"/>
              <w:left w:val="nil"/>
              <w:bottom w:val="single" w:sz="4" w:space="0" w:color="auto"/>
              <w:right w:val="single" w:sz="4" w:space="0" w:color="auto"/>
            </w:tcBorders>
            <w:shd w:val="clear" w:color="auto" w:fill="auto"/>
            <w:vAlign w:val="center"/>
            <w:hideMark/>
          </w:tcPr>
          <w:p w:rsidR="00891F62" w:rsidRPr="00891F62" w:rsidP="00891F62" w14:paraId="737B7915"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xml:space="preserve">(C) </w:t>
            </w:r>
            <w:r w:rsidRPr="00891F62">
              <w:rPr>
                <w:rFonts w:ascii="Times New Roman" w:eastAsia="Times New Roman" w:hAnsi="Times New Roman" w:cs="Times New Roman"/>
                <w:b/>
                <w:bCs/>
                <w:color w:val="000000"/>
                <w:sz w:val="20"/>
                <w:szCs w:val="20"/>
              </w:rPr>
              <w:br/>
              <w:t xml:space="preserve">EPA Person-hours per plant </w:t>
            </w:r>
            <w:r w:rsidRPr="00891F62">
              <w:rPr>
                <w:rFonts w:ascii="Times New Roman" w:eastAsia="Times New Roman" w:hAnsi="Times New Roman" w:cs="Times New Roman"/>
                <w:b/>
                <w:bCs/>
                <w:color w:val="000000"/>
                <w:sz w:val="20"/>
                <w:szCs w:val="20"/>
              </w:rPr>
              <w:br/>
              <w:t>(C=</w:t>
            </w:r>
            <w:r w:rsidRPr="00891F62">
              <w:rPr>
                <w:rFonts w:ascii="Times New Roman" w:eastAsia="Times New Roman" w:hAnsi="Times New Roman" w:cs="Times New Roman"/>
                <w:b/>
                <w:bCs/>
                <w:color w:val="000000"/>
                <w:sz w:val="20"/>
                <w:szCs w:val="20"/>
              </w:rPr>
              <w:t>AxB</w:t>
            </w:r>
            <w:r w:rsidRPr="00891F62">
              <w:rPr>
                <w:rFonts w:ascii="Times New Roman" w:eastAsia="Times New Roman" w:hAnsi="Times New Roman" w:cs="Times New Roman"/>
                <w:b/>
                <w:bCs/>
                <w:color w:val="000000"/>
                <w:sz w:val="20"/>
                <w:szCs w:val="20"/>
              </w:rPr>
              <w:t>)</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891F62" w:rsidRPr="00891F62" w:rsidP="00891F62" w14:paraId="62E11C1A"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xml:space="preserve">(D) </w:t>
            </w:r>
            <w:r w:rsidRPr="00891F62">
              <w:rPr>
                <w:rFonts w:ascii="Times New Roman" w:eastAsia="Times New Roman" w:hAnsi="Times New Roman" w:cs="Times New Roman"/>
                <w:b/>
                <w:bCs/>
                <w:color w:val="000000"/>
                <w:sz w:val="20"/>
                <w:szCs w:val="20"/>
              </w:rPr>
              <w:br/>
              <w:t xml:space="preserve">Plants per year </w:t>
            </w:r>
            <w:r w:rsidRPr="00891F62">
              <w:rPr>
                <w:rFonts w:ascii="Times New Roman" w:eastAsia="Times New Roman" w:hAnsi="Times New Roman" w:cs="Times New Roman"/>
                <w:b/>
                <w:bCs/>
                <w:color w:val="000000"/>
                <w:sz w:val="20"/>
                <w:szCs w:val="20"/>
                <w:vertAlign w:val="superscript"/>
              </w:rPr>
              <w:t>a</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891F62" w:rsidRPr="00891F62" w:rsidP="00891F62" w14:paraId="71000CD9"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(E)</w:t>
            </w:r>
            <w:r w:rsidRPr="00891F62">
              <w:rPr>
                <w:rFonts w:ascii="Times New Roman" w:eastAsia="Times New Roman" w:hAnsi="Times New Roman" w:cs="Times New Roman"/>
                <w:b/>
                <w:bCs/>
                <w:color w:val="000000"/>
                <w:sz w:val="20"/>
                <w:szCs w:val="20"/>
              </w:rPr>
              <w:br/>
              <w:t>Technical person-hours (E=</w:t>
            </w:r>
            <w:r w:rsidRPr="00891F62">
              <w:rPr>
                <w:rFonts w:ascii="Times New Roman" w:eastAsia="Times New Roman" w:hAnsi="Times New Roman" w:cs="Times New Roman"/>
                <w:b/>
                <w:bCs/>
                <w:color w:val="000000"/>
                <w:sz w:val="20"/>
                <w:szCs w:val="20"/>
              </w:rPr>
              <w:t>CxD</w:t>
            </w:r>
            <w:r w:rsidRPr="00891F62">
              <w:rPr>
                <w:rFonts w:ascii="Times New Roman" w:eastAsia="Times New Roman" w:hAnsi="Times New Roman" w:cs="Times New Roman"/>
                <w:b/>
                <w:bCs/>
                <w:color w:val="000000"/>
                <w:sz w:val="20"/>
                <w:szCs w:val="20"/>
              </w:rPr>
              <w:t>)</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891F62" w:rsidRPr="00891F62" w:rsidP="00891F62" w14:paraId="29F9E741"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xml:space="preserve">(F) </w:t>
            </w:r>
            <w:r w:rsidRPr="00891F62">
              <w:rPr>
                <w:rFonts w:ascii="Times New Roman" w:eastAsia="Times New Roman" w:hAnsi="Times New Roman" w:cs="Times New Roman"/>
                <w:b/>
                <w:bCs/>
                <w:color w:val="000000"/>
                <w:sz w:val="20"/>
                <w:szCs w:val="20"/>
              </w:rPr>
              <w:br/>
              <w:t>Management person-hours (F=Ex0.05)</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891F62" w:rsidRPr="00891F62" w:rsidP="00891F62" w14:paraId="73297D5B"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xml:space="preserve">(G) </w:t>
            </w:r>
            <w:r w:rsidRPr="00891F62">
              <w:rPr>
                <w:rFonts w:ascii="Times New Roman" w:eastAsia="Times New Roman" w:hAnsi="Times New Roman" w:cs="Times New Roman"/>
                <w:b/>
                <w:bCs/>
                <w:color w:val="000000"/>
                <w:sz w:val="20"/>
                <w:szCs w:val="20"/>
              </w:rPr>
              <w:br/>
              <w:t xml:space="preserve">Clerical person-hours </w:t>
            </w:r>
            <w:r w:rsidRPr="00891F62">
              <w:rPr>
                <w:rFonts w:ascii="Times New Roman" w:eastAsia="Times New Roman" w:hAnsi="Times New Roman" w:cs="Times New Roman"/>
                <w:b/>
                <w:bCs/>
                <w:color w:val="000000"/>
                <w:sz w:val="20"/>
                <w:szCs w:val="20"/>
              </w:rPr>
              <w:br/>
              <w:t>(G=Ex0.1)</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891F62" w:rsidRPr="00891F62" w:rsidP="00891F62" w14:paraId="19BAF69C"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xml:space="preserve">(H) </w:t>
            </w:r>
            <w:r w:rsidRPr="00891F62">
              <w:rPr>
                <w:rFonts w:ascii="Times New Roman" w:eastAsia="Times New Roman" w:hAnsi="Times New Roman" w:cs="Times New Roman"/>
                <w:b/>
                <w:bCs/>
                <w:color w:val="000000"/>
                <w:sz w:val="20"/>
                <w:szCs w:val="20"/>
              </w:rPr>
              <w:br/>
              <w:t xml:space="preserve">Total Cost </w:t>
            </w:r>
            <w:r w:rsidRPr="00891F62">
              <w:rPr>
                <w:rFonts w:ascii="Times New Roman" w:eastAsia="Times New Roman" w:hAnsi="Times New Roman" w:cs="Times New Roman"/>
                <w:b/>
                <w:bCs/>
                <w:color w:val="000000"/>
                <w:sz w:val="20"/>
                <w:szCs w:val="20"/>
                <w:vertAlign w:val="superscript"/>
              </w:rPr>
              <w:t>b</w:t>
            </w:r>
            <w:r w:rsidRPr="00891F62">
              <w:rPr>
                <w:rFonts w:ascii="Times New Roman" w:eastAsia="Times New Roman" w:hAnsi="Times New Roman" w:cs="Times New Roman"/>
                <w:b/>
                <w:bCs/>
                <w:color w:val="000000"/>
                <w:sz w:val="20"/>
                <w:szCs w:val="20"/>
              </w:rPr>
              <w:t xml:space="preserve"> ($)</w:t>
            </w:r>
          </w:p>
        </w:tc>
      </w:tr>
      <w:tr w14:paraId="1984075C" w14:textId="77777777" w:rsidTr="00891F62">
        <w:tblPrEx>
          <w:tblW w:w="12418" w:type="dxa"/>
          <w:tblInd w:w="113" w:type="dxa"/>
          <w:tblLook w:val="04A0"/>
        </w:tblPrEx>
        <w:trPr>
          <w:trHeight w:val="300"/>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1943D9D2"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Activity</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B081A1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0DDC52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6E1A9C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A3C43F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508256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490F0D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7740F9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A87097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r>
      <w:tr w14:paraId="3A008E01" w14:textId="77777777" w:rsidTr="00891F62">
        <w:tblPrEx>
          <w:tblW w:w="12418" w:type="dxa"/>
          <w:tblInd w:w="113" w:type="dxa"/>
          <w:tblLook w:val="04A0"/>
        </w:tblPrEx>
        <w:trPr>
          <w:trHeight w:val="300"/>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791B0D11" w14:textId="3810E9B2">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Performance Tests: Initial</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DD12B4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40</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C7718F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00690F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40</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6F3C1F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065456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825312B"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5DC2CB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AAB55A0"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r>
      <w:tr w14:paraId="360F2DF4"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42547CA7" w14:textId="2AFFCFD4">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Performance Tests: Repeat </w:t>
            </w:r>
            <w:r w:rsidRPr="00891F62">
              <w:rPr>
                <w:rFonts w:ascii="Times New Roman" w:eastAsia="Times New Roman" w:hAnsi="Times New Roman" w:cs="Times New Roman"/>
                <w:color w:val="000000"/>
                <w:sz w:val="20"/>
                <w:szCs w:val="20"/>
                <w:vertAlign w:val="superscript"/>
              </w:rPr>
              <w:t>c</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E3EE6A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40</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E23D2F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F61F57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40</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C12FA5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F1A140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67FFEA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75934E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44F0212"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r>
      <w:tr w14:paraId="773FFA6E" w14:textId="77777777" w:rsidTr="00891F62">
        <w:tblPrEx>
          <w:tblW w:w="12418" w:type="dxa"/>
          <w:tblInd w:w="113" w:type="dxa"/>
          <w:tblLook w:val="04A0"/>
        </w:tblPrEx>
        <w:trPr>
          <w:trHeight w:val="300"/>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7F62B311"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Reports Review:</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87C93A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E3A417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BEE687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42A8F3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FC4559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A1384C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9DA805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E798714"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r>
      <w:tr w14:paraId="0E76EA99"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6C774AF0" w14:textId="24704AB0">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Initial </w:t>
            </w:r>
            <w:r w:rsidRPr="00891F62">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782D87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1B824A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061F99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9B0420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9E13D1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0F2697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EC4AB3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9E9EEB2"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r>
      <w:tr w14:paraId="64F5F5E6" w14:textId="77777777" w:rsidTr="00891F62">
        <w:tblPrEx>
          <w:tblW w:w="12418" w:type="dxa"/>
          <w:tblInd w:w="113" w:type="dxa"/>
          <w:tblLook w:val="04A0"/>
        </w:tblPrEx>
        <w:trPr>
          <w:trHeight w:val="570"/>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0312B173" w14:textId="010BD13B">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Implementation plan, pre-compliance report or permit </w:t>
            </w:r>
            <w:r w:rsidRPr="00891F62">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F2E2F4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20</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9D911A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78760D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20</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F9A761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3B1185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C0070B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7F0060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E23F836"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r>
      <w:tr w14:paraId="2A720209"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4AE760EE" w14:textId="1FCB060A">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Compliance status </w:t>
            </w:r>
            <w:r w:rsidRPr="00891F62">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97E654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40</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1000DF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A2486E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40</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6586BE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92FDC1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C1B95D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950C62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ACFA177"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r>
      <w:tr w14:paraId="4D1A1F17"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72C4E8C3" w14:textId="60CEE7C1">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Review equipment leak monitoring </w:t>
            </w:r>
            <w:r w:rsidRPr="00891F62">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722645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7</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D70663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C0D916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7</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F8F5B2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27</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9A8DF6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189</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E9046E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9</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FFC810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19</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4EFC30A"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$12,096.76 </w:t>
            </w:r>
          </w:p>
        </w:tc>
      </w:tr>
      <w:tr w14:paraId="6A5BAB5E"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7E2781A1" w14:textId="4974C87C">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5.</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Report of construction/reconstruction </w:t>
            </w:r>
            <w:r w:rsidRPr="00891F62">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CA4FA3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02106F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E1642B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70B789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E1F406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FF79FB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9B61A1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A131D67"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r>
      <w:tr w14:paraId="1F41058F"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59CA22C4" w14:textId="3B49DF85">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6.</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Notification of performance test </w:t>
            </w:r>
            <w:r w:rsidRPr="00891F62">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AA4AF7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AEB4DA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00EE41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6506FA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6D8A08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F9337B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DCDCEE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B88841C"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r>
      <w:tr w14:paraId="606157D1"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1C7EFB32" w14:textId="48187431">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7.</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Notification of storage vessel inspection </w:t>
            </w:r>
            <w:r w:rsidRPr="00891F62">
              <w:rPr>
                <w:rFonts w:ascii="Times New Roman" w:eastAsia="Times New Roman" w:hAnsi="Times New Roman" w:cs="Times New Roman"/>
                <w:color w:val="000000"/>
                <w:sz w:val="20"/>
                <w:szCs w:val="20"/>
                <w:vertAlign w:val="superscript"/>
              </w:rPr>
              <w:t>e</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E77622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4FCC2A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6</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FC4C77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12</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B2482D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24</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2BD03F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288</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84E16F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14</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6D3BB5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29</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3C75054"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$18,433.15 </w:t>
            </w:r>
          </w:p>
        </w:tc>
      </w:tr>
      <w:tr w14:paraId="20773BE7"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1172DAB3" w14:textId="23EED964">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8.</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Review updates to emission averaging plan </w:t>
            </w:r>
            <w:r w:rsidRPr="00891F62">
              <w:rPr>
                <w:rFonts w:ascii="Times New Roman" w:eastAsia="Times New Roman" w:hAnsi="Times New Roman" w:cs="Times New Roman"/>
                <w:color w:val="000000"/>
                <w:sz w:val="20"/>
                <w:szCs w:val="20"/>
                <w:vertAlign w:val="superscript"/>
              </w:rPr>
              <w:t>f</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E3CBC7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5</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B1757A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98B937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5</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AA418D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458B75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5</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A7E149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0.25</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1E7CC9B"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0.5</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4A10630"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$320.02 </w:t>
            </w:r>
          </w:p>
        </w:tc>
      </w:tr>
      <w:tr w14:paraId="78AB8F1F" w14:textId="77777777" w:rsidTr="00891F62">
        <w:tblPrEx>
          <w:tblW w:w="12418" w:type="dxa"/>
          <w:tblInd w:w="113" w:type="dxa"/>
          <w:tblLook w:val="04A0"/>
        </w:tblPrEx>
        <w:trPr>
          <w:trHeight w:val="570"/>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1941DCF2" w14:textId="0910698A">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9.</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Review report of changes to the primary product for a TPPU or process unit </w:t>
            </w:r>
            <w:r w:rsidRPr="00891F62">
              <w:rPr>
                <w:rFonts w:ascii="Times New Roman" w:eastAsia="Times New Roman" w:hAnsi="Times New Roman" w:cs="Times New Roman"/>
                <w:color w:val="000000"/>
                <w:sz w:val="20"/>
                <w:szCs w:val="20"/>
                <w:vertAlign w:val="superscript"/>
              </w:rPr>
              <w:t>g</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EC5E31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8A5C58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A9742D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7EB8BB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25CD1D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6</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DEBDCF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0.3</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C887C6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0.6</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B18FCEB"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$384.02 </w:t>
            </w:r>
          </w:p>
        </w:tc>
      </w:tr>
      <w:tr w14:paraId="54210567"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689E8A9A" w14:textId="7D17A015">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10.</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Review report for batch process vents </w:t>
            </w:r>
            <w:r w:rsidRPr="00891F62">
              <w:rPr>
                <w:rFonts w:ascii="Times New Roman" w:eastAsia="Times New Roman" w:hAnsi="Times New Roman" w:cs="Times New Roman"/>
                <w:color w:val="000000"/>
                <w:sz w:val="20"/>
                <w:szCs w:val="20"/>
                <w:vertAlign w:val="superscript"/>
              </w:rPr>
              <w:t>h</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53816FB"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3D6574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0DF0C3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7E3A61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366B41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6</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617BA7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0.3</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75A7E1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0.6</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5A41E09"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$384.02 </w:t>
            </w:r>
          </w:p>
        </w:tc>
      </w:tr>
      <w:tr w14:paraId="6FEBBAB4" w14:textId="77777777" w:rsidTr="00891F62">
        <w:tblPrEx>
          <w:tblW w:w="12418" w:type="dxa"/>
          <w:tblInd w:w="113" w:type="dxa"/>
          <w:tblLook w:val="04A0"/>
        </w:tblPrEx>
        <w:trPr>
          <w:trHeight w:val="570"/>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11D91ADC" w14:textId="5CE75D20">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11.</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Review report for PET sources using dimethyl terephthalate process </w:t>
            </w:r>
            <w:r w:rsidRPr="00891F62">
              <w:rPr>
                <w:rFonts w:ascii="Times New Roman" w:eastAsia="Times New Roman" w:hAnsi="Times New Roman" w:cs="Times New Roman"/>
                <w:color w:val="000000"/>
                <w:sz w:val="20"/>
                <w:szCs w:val="20"/>
                <w:vertAlign w:val="superscript"/>
              </w:rPr>
              <w:t>i</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0E8269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51E33D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2B6D08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A6A078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0AFD35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44C39E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0.2</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B571A3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0.4</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7952651"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$256.02 </w:t>
            </w:r>
          </w:p>
        </w:tc>
      </w:tr>
      <w:tr w14:paraId="30F5F3E8"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41667DF5" w14:textId="36F71322">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12.</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Review of test results </w:t>
            </w:r>
            <w:r w:rsidRPr="00891F62">
              <w:rPr>
                <w:rFonts w:ascii="Times New Roman" w:eastAsia="Times New Roman" w:hAnsi="Times New Roman" w:cs="Times New Roman"/>
                <w:color w:val="000000"/>
                <w:sz w:val="20"/>
                <w:szCs w:val="20"/>
                <w:vertAlign w:val="superscript"/>
              </w:rPr>
              <w:t>d</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3FAEF8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8</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CC2F6F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E8A1A8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8</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329A0D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F0C174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DE590A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AEA2CC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4C5BD25"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r>
      <w:tr w14:paraId="0D431C36"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669ADF59" w14:textId="54768D6B">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13.</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Review malfunction reports </w:t>
            </w:r>
            <w:r w:rsidRPr="00891F62">
              <w:rPr>
                <w:rFonts w:ascii="Times New Roman" w:eastAsia="Times New Roman" w:hAnsi="Times New Roman" w:cs="Times New Roman"/>
                <w:color w:val="000000"/>
                <w:sz w:val="20"/>
                <w:szCs w:val="20"/>
                <w:vertAlign w:val="superscript"/>
              </w:rPr>
              <w:t>j</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E7751E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28D7BA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8CCCD9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3F80E9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E54B6E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6</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2F9CC6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0.3</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42286E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0.6</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B9CE67D"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$384.02 </w:t>
            </w:r>
          </w:p>
        </w:tc>
      </w:tr>
      <w:tr w14:paraId="50CAB174"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629DEC14" w14:textId="484607F4">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14.</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Review semiannual periodic reports </w:t>
            </w:r>
            <w:r w:rsidRPr="00891F62">
              <w:rPr>
                <w:rFonts w:ascii="Times New Roman" w:eastAsia="Times New Roman" w:hAnsi="Times New Roman" w:cs="Times New Roman"/>
                <w:color w:val="000000"/>
                <w:sz w:val="20"/>
                <w:szCs w:val="20"/>
                <w:vertAlign w:val="superscript"/>
              </w:rPr>
              <w:t>d, k</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F76986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3C178C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043C14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6</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25A060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23</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2A6EAFB"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138</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89152E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6.9</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A258EA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14</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DDF7651"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$8,832.55 </w:t>
            </w:r>
          </w:p>
        </w:tc>
      </w:tr>
      <w:tr w14:paraId="686FA42B"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0B06998B" w14:textId="7CB32454">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15.</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Review of quarterly periodic reports </w:t>
            </w:r>
            <w:r w:rsidRPr="00891F62">
              <w:rPr>
                <w:rFonts w:ascii="Times New Roman" w:eastAsia="Times New Roman" w:hAnsi="Times New Roman" w:cs="Times New Roman"/>
                <w:color w:val="000000"/>
                <w:sz w:val="20"/>
                <w:szCs w:val="20"/>
                <w:vertAlign w:val="superscript"/>
              </w:rPr>
              <w:t>d, k</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73D1A4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E25D2C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w:t>
            </w:r>
          </w:p>
        </w:tc>
        <w:tc>
          <w:tcPr>
            <w:tcW w:w="986"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C143D5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16</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F810D2B"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w:t>
            </w:r>
          </w:p>
        </w:tc>
        <w:tc>
          <w:tcPr>
            <w:tcW w:w="105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4E2DBB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64</w:t>
            </w:r>
          </w:p>
        </w:tc>
        <w:tc>
          <w:tcPr>
            <w:tcW w:w="13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E133AE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p>
        </w:tc>
        <w:tc>
          <w:tcPr>
            <w:tcW w:w="1103"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2C7270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6</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D3013AC"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$4,096.26 </w:t>
            </w:r>
          </w:p>
        </w:tc>
      </w:tr>
      <w:tr w14:paraId="72ED7FC9" w14:textId="77777777" w:rsidTr="00891F62">
        <w:tblPrEx>
          <w:tblW w:w="12418" w:type="dxa"/>
          <w:tblInd w:w="113"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1DF9FB09" w14:textId="77777777">
            <w:pPr>
              <w:spacing w:after="0" w:line="240" w:lineRule="auto"/>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xml:space="preserve">TOTAL (rounded) </w:t>
            </w:r>
            <w:r w:rsidRPr="00891F62">
              <w:rPr>
                <w:rFonts w:ascii="Times New Roman" w:eastAsia="Times New Roman" w:hAnsi="Times New Roman" w:cs="Times New Roman"/>
                <w:b/>
                <w:bCs/>
                <w:color w:val="000000"/>
                <w:sz w:val="20"/>
                <w:szCs w:val="20"/>
                <w:vertAlign w:val="superscript"/>
              </w:rPr>
              <w:t>e</w:t>
            </w:r>
          </w:p>
        </w:tc>
        <w:tc>
          <w:tcPr>
            <w:tcW w:w="116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A2053F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23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541564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986" w:type="dxa"/>
            <w:tcBorders>
              <w:top w:val="nil"/>
              <w:left w:val="nil"/>
              <w:bottom w:val="single" w:sz="4" w:space="0" w:color="auto"/>
              <w:right w:val="single" w:sz="4" w:space="0" w:color="auto"/>
            </w:tcBorders>
            <w:shd w:val="clear" w:color="auto" w:fill="auto"/>
            <w:noWrap/>
            <w:vAlign w:val="bottom"/>
            <w:hideMark/>
          </w:tcPr>
          <w:p w:rsidR="00891F62" w:rsidRPr="00891F62" w:rsidP="00891F62" w14:paraId="16981387" w14:textId="77777777">
            <w:pPr>
              <w:spacing w:after="0" w:line="240" w:lineRule="auto"/>
              <w:rPr>
                <w:rFonts w:ascii="Times New Roman" w:eastAsia="Times New Roman" w:hAnsi="Times New Roman" w:cs="Times New Roman"/>
                <w:color w:val="000000"/>
              </w:rPr>
            </w:pPr>
            <w:r w:rsidRPr="00891F62">
              <w:rPr>
                <w:rFonts w:ascii="Times New Roman" w:eastAsia="Times New Roman" w:hAnsi="Times New Roman" w:cs="Times New Roman"/>
                <w:color w:val="000000"/>
              </w:rPr>
              <w:t> </w:t>
            </w:r>
          </w:p>
        </w:tc>
        <w:tc>
          <w:tcPr>
            <w:tcW w:w="998"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331CFD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349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91F62" w:rsidRPr="00891F62" w:rsidP="00891F62" w14:paraId="08FEAAD2"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812</w:t>
            </w:r>
          </w:p>
        </w:tc>
        <w:tc>
          <w:tcPr>
            <w:tcW w:w="113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CEBF39C" w14:textId="77777777">
            <w:pPr>
              <w:spacing w:after="0" w:line="240" w:lineRule="auto"/>
              <w:jc w:val="right"/>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xml:space="preserve">$45,200 </w:t>
            </w:r>
          </w:p>
        </w:tc>
      </w:tr>
      <w:tr w14:paraId="2CF0E5FF" w14:textId="77777777" w:rsidTr="00891F62">
        <w:tblPrEx>
          <w:tblW w:w="12418" w:type="dxa"/>
          <w:tblInd w:w="113" w:type="dxa"/>
          <w:tblLook w:val="04A0"/>
        </w:tblPrEx>
        <w:trPr>
          <w:trHeight w:val="300"/>
        </w:trPr>
        <w:tc>
          <w:tcPr>
            <w:tcW w:w="3415" w:type="dxa"/>
            <w:tcBorders>
              <w:top w:val="nil"/>
              <w:left w:val="nil"/>
              <w:bottom w:val="nil"/>
              <w:right w:val="nil"/>
            </w:tcBorders>
            <w:shd w:val="clear" w:color="auto" w:fill="auto"/>
            <w:noWrap/>
            <w:vAlign w:val="center"/>
            <w:hideMark/>
          </w:tcPr>
          <w:p w:rsidR="00891F62" w:rsidRPr="00891F62" w:rsidP="00891F62" w14:paraId="346EA644" w14:textId="77777777">
            <w:pPr>
              <w:spacing w:after="0" w:line="240" w:lineRule="auto"/>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Assumptions:</w:t>
            </w:r>
          </w:p>
        </w:tc>
        <w:tc>
          <w:tcPr>
            <w:tcW w:w="1160" w:type="dxa"/>
            <w:tcBorders>
              <w:top w:val="nil"/>
              <w:left w:val="nil"/>
              <w:bottom w:val="nil"/>
              <w:right w:val="nil"/>
            </w:tcBorders>
            <w:shd w:val="clear" w:color="auto" w:fill="auto"/>
            <w:noWrap/>
            <w:vAlign w:val="bottom"/>
            <w:hideMark/>
          </w:tcPr>
          <w:p w:rsidR="00891F62" w:rsidRPr="00891F62" w:rsidP="00891F62" w14:paraId="13ED534D" w14:textId="77777777">
            <w:pPr>
              <w:spacing w:after="0" w:line="240" w:lineRule="auto"/>
              <w:rPr>
                <w:rFonts w:ascii="Times New Roman" w:eastAsia="Times New Roman" w:hAnsi="Times New Roman" w:cs="Times New Roman"/>
                <w:b/>
                <w:bCs/>
                <w:color w:val="000000"/>
                <w:sz w:val="20"/>
                <w:szCs w:val="20"/>
              </w:rPr>
            </w:pPr>
          </w:p>
        </w:tc>
        <w:tc>
          <w:tcPr>
            <w:tcW w:w="1238" w:type="dxa"/>
            <w:tcBorders>
              <w:top w:val="nil"/>
              <w:left w:val="nil"/>
              <w:bottom w:val="nil"/>
              <w:right w:val="nil"/>
            </w:tcBorders>
            <w:shd w:val="clear" w:color="auto" w:fill="auto"/>
            <w:noWrap/>
            <w:vAlign w:val="bottom"/>
            <w:hideMark/>
          </w:tcPr>
          <w:p w:rsidR="00891F62" w:rsidRPr="00891F62" w:rsidP="00891F62" w14:paraId="12A16739" w14:textId="77777777">
            <w:pPr>
              <w:spacing w:after="0" w:line="240" w:lineRule="auto"/>
              <w:rPr>
                <w:rFonts w:ascii="Times New Roman" w:eastAsia="Times New Roman" w:hAnsi="Times New Roman" w:cs="Times New Roman"/>
                <w:sz w:val="20"/>
                <w:szCs w:val="20"/>
              </w:rPr>
            </w:pPr>
          </w:p>
        </w:tc>
        <w:tc>
          <w:tcPr>
            <w:tcW w:w="986" w:type="dxa"/>
            <w:tcBorders>
              <w:top w:val="nil"/>
              <w:left w:val="nil"/>
              <w:bottom w:val="nil"/>
              <w:right w:val="nil"/>
            </w:tcBorders>
            <w:shd w:val="clear" w:color="auto" w:fill="auto"/>
            <w:noWrap/>
            <w:vAlign w:val="bottom"/>
            <w:hideMark/>
          </w:tcPr>
          <w:p w:rsidR="00891F62" w:rsidRPr="00891F62" w:rsidP="00891F62" w14:paraId="5501BCAA" w14:textId="77777777">
            <w:pPr>
              <w:spacing w:after="0" w:line="240" w:lineRule="auto"/>
              <w:rPr>
                <w:rFonts w:ascii="Times New Roman" w:eastAsia="Times New Roman" w:hAnsi="Times New Roman" w:cs="Times New Roman"/>
                <w:sz w:val="20"/>
                <w:szCs w:val="20"/>
              </w:rPr>
            </w:pPr>
          </w:p>
        </w:tc>
        <w:tc>
          <w:tcPr>
            <w:tcW w:w="998" w:type="dxa"/>
            <w:tcBorders>
              <w:top w:val="nil"/>
              <w:left w:val="nil"/>
              <w:bottom w:val="nil"/>
              <w:right w:val="nil"/>
            </w:tcBorders>
            <w:shd w:val="clear" w:color="auto" w:fill="auto"/>
            <w:noWrap/>
            <w:vAlign w:val="bottom"/>
            <w:hideMark/>
          </w:tcPr>
          <w:p w:rsidR="00891F62" w:rsidRPr="00891F62" w:rsidP="00891F62" w14:paraId="3EAFA01F" w14:textId="77777777">
            <w:pPr>
              <w:spacing w:after="0" w:line="240" w:lineRule="auto"/>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rsidR="00891F62" w:rsidRPr="00891F62" w:rsidP="00891F62" w14:paraId="729EA159" w14:textId="77777777">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noWrap/>
            <w:vAlign w:val="bottom"/>
            <w:hideMark/>
          </w:tcPr>
          <w:p w:rsidR="00891F62" w:rsidRPr="00891F62" w:rsidP="00891F62" w14:paraId="4AA0B63D" w14:textId="77777777">
            <w:pPr>
              <w:spacing w:after="0" w:line="240" w:lineRule="auto"/>
              <w:rPr>
                <w:rFonts w:ascii="Times New Roman" w:eastAsia="Times New Roman" w:hAnsi="Times New Roman" w:cs="Times New Roman"/>
                <w:sz w:val="20"/>
                <w:szCs w:val="20"/>
              </w:rPr>
            </w:pPr>
          </w:p>
        </w:tc>
        <w:tc>
          <w:tcPr>
            <w:tcW w:w="1103" w:type="dxa"/>
            <w:tcBorders>
              <w:top w:val="nil"/>
              <w:left w:val="nil"/>
              <w:bottom w:val="nil"/>
              <w:right w:val="nil"/>
            </w:tcBorders>
            <w:shd w:val="clear" w:color="auto" w:fill="auto"/>
            <w:noWrap/>
            <w:vAlign w:val="bottom"/>
            <w:hideMark/>
          </w:tcPr>
          <w:p w:rsidR="00891F62" w:rsidRPr="00891F62" w:rsidP="00891F62" w14:paraId="127C1303" w14:textId="77777777">
            <w:pPr>
              <w:spacing w:after="0" w:line="240" w:lineRule="auto"/>
              <w:rPr>
                <w:rFonts w:ascii="Times New Roman" w:eastAsia="Times New Roman" w:hAnsi="Times New Roman" w:cs="Times New Roman"/>
                <w:sz w:val="20"/>
                <w:szCs w:val="20"/>
              </w:rPr>
            </w:pPr>
          </w:p>
        </w:tc>
        <w:tc>
          <w:tcPr>
            <w:tcW w:w="1130" w:type="dxa"/>
            <w:tcBorders>
              <w:top w:val="nil"/>
              <w:left w:val="nil"/>
              <w:bottom w:val="nil"/>
              <w:right w:val="nil"/>
            </w:tcBorders>
            <w:shd w:val="clear" w:color="auto" w:fill="auto"/>
            <w:noWrap/>
            <w:vAlign w:val="bottom"/>
            <w:hideMark/>
          </w:tcPr>
          <w:p w:rsidR="00891F62" w:rsidRPr="00891F62" w:rsidP="00891F62" w14:paraId="3CF20D31" w14:textId="77777777">
            <w:pPr>
              <w:spacing w:after="0" w:line="240" w:lineRule="auto"/>
              <w:rPr>
                <w:rFonts w:ascii="Times New Roman" w:eastAsia="Times New Roman" w:hAnsi="Times New Roman" w:cs="Times New Roman"/>
                <w:sz w:val="20"/>
                <w:szCs w:val="20"/>
              </w:rPr>
            </w:pPr>
          </w:p>
        </w:tc>
      </w:tr>
      <w:tr w14:paraId="0B86366C" w14:textId="77777777" w:rsidTr="00891F62">
        <w:tblPrEx>
          <w:tblW w:w="12418" w:type="dxa"/>
          <w:tblInd w:w="113" w:type="dxa"/>
          <w:tblLook w:val="04A0"/>
        </w:tblPrEx>
        <w:trPr>
          <w:trHeight w:val="477"/>
        </w:trPr>
        <w:tc>
          <w:tcPr>
            <w:tcW w:w="12418" w:type="dxa"/>
            <w:gridSpan w:val="9"/>
            <w:tcBorders>
              <w:top w:val="nil"/>
              <w:left w:val="nil"/>
              <w:bottom w:val="nil"/>
              <w:right w:val="nil"/>
            </w:tcBorders>
            <w:shd w:val="clear" w:color="auto" w:fill="auto"/>
            <w:hideMark/>
          </w:tcPr>
          <w:p w:rsidR="00891F62" w:rsidRPr="00891F62" w:rsidP="00891F62" w14:paraId="30B42F45" w14:textId="477309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a</w:t>
            </w:r>
            <w:r w:rsidRPr="00891F62">
              <w:rPr>
                <w:rFonts w:ascii="Times New Roman" w:eastAsia="Times New Roman" w:hAnsi="Times New Roman" w:cs="Times New Roman"/>
                <w:color w:val="000000"/>
                <w:sz w:val="20"/>
                <w:szCs w:val="20"/>
              </w:rPr>
              <w:t xml:space="preserve"> We assume there are an average of 27 sources at 24 facilities subject to the rule and no additional sources per year will become subject to the rule during the three-year period of this ICR.</w:t>
            </w:r>
          </w:p>
        </w:tc>
      </w:tr>
      <w:tr w14:paraId="2AF7B1B6" w14:textId="77777777" w:rsidTr="00891F62">
        <w:tblPrEx>
          <w:tblW w:w="12418" w:type="dxa"/>
          <w:tblInd w:w="113" w:type="dxa"/>
          <w:tblLook w:val="04A0"/>
        </w:tblPrEx>
        <w:trPr>
          <w:trHeight w:val="828"/>
        </w:trPr>
        <w:tc>
          <w:tcPr>
            <w:tcW w:w="12418" w:type="dxa"/>
            <w:gridSpan w:val="9"/>
            <w:tcBorders>
              <w:top w:val="nil"/>
              <w:left w:val="nil"/>
              <w:bottom w:val="nil"/>
              <w:right w:val="nil"/>
            </w:tcBorders>
            <w:shd w:val="clear" w:color="auto" w:fill="auto"/>
            <w:hideMark/>
          </w:tcPr>
          <w:p w:rsidR="00891F62" w:rsidRPr="00891F62" w:rsidP="00891F62" w14:paraId="36E2843C" w14:textId="233EE430">
            <w:pPr>
              <w:spacing w:after="0" w:line="240" w:lineRule="auto"/>
              <w:rPr>
                <w:rFonts w:ascii="Times New Roman" w:eastAsia="Times New Roman" w:hAnsi="Times New Roman" w:cs="Times New Roman"/>
                <w:sz w:val="20"/>
                <w:szCs w:val="20"/>
              </w:rPr>
            </w:pPr>
            <w:r w:rsidRPr="00891F62">
              <w:rPr>
                <w:rFonts w:ascii="Times New Roman" w:eastAsia="Times New Roman" w:hAnsi="Times New Roman" w:cs="Times New Roman"/>
                <w:sz w:val="20"/>
                <w:szCs w:val="20"/>
                <w:vertAlign w:val="superscript"/>
              </w:rPr>
              <w:t>b</w:t>
            </w:r>
            <w:r w:rsidRPr="00891F62">
              <w:rPr>
                <w:rFonts w:ascii="Times New Roman" w:eastAsia="Times New Roman" w:hAnsi="Times New Roman" w:cs="Times New Roman"/>
                <w:sz w:val="20"/>
                <w:szCs w:val="20"/>
              </w:rPr>
              <w:t xml:space="preserve"> This cost is based on the average hourly labor rate as follows: Managerial $76.91 (GS-13, Step 5, $48.07 + 60%); Technical $57.07 (GS-12, Step 1, $35.67 + 60%); and Clerical $30.88 (GS-6, Step 3, $19.30+ 60%). This ICR assumes that Managerial hours are 5 percent of </w:t>
            </w:r>
            <w:r w:rsidRPr="00891F62">
              <w:rPr>
                <w:rFonts w:ascii="Times New Roman" w:eastAsia="Times New Roman" w:hAnsi="Times New Roman" w:cs="Times New Roman"/>
                <w:sz w:val="20"/>
                <w:szCs w:val="20"/>
              </w:rPr>
              <w:t>Technical</w:t>
            </w:r>
            <w:r w:rsidRPr="00891F62">
              <w:rPr>
                <w:rFonts w:ascii="Times New Roman" w:eastAsia="Times New Roman" w:hAnsi="Times New Roman" w:cs="Times New Roman"/>
                <w:sz w:val="20"/>
                <w:szCs w:val="20"/>
              </w:rPr>
              <w:t xml:space="preserve"> hours, and Clerical hours are 10 percent of Technical hours. These rates are from the Office of Personnel Management (OPM), 2024 General Schedule, which excludes locality, rates of pay. The rates have been increased by 60 percent to account for the benefit packages available to government employees.</w:t>
            </w:r>
          </w:p>
        </w:tc>
      </w:tr>
      <w:tr w14:paraId="162CA8B0" w14:textId="77777777" w:rsidTr="00891F62">
        <w:tblPrEx>
          <w:tblW w:w="12418" w:type="dxa"/>
          <w:tblInd w:w="113" w:type="dxa"/>
          <w:tblLook w:val="04A0"/>
        </w:tblPrEx>
        <w:trPr>
          <w:trHeight w:val="162"/>
        </w:trPr>
        <w:tc>
          <w:tcPr>
            <w:tcW w:w="12418" w:type="dxa"/>
            <w:gridSpan w:val="9"/>
            <w:tcBorders>
              <w:top w:val="nil"/>
              <w:left w:val="nil"/>
              <w:bottom w:val="nil"/>
              <w:right w:val="nil"/>
            </w:tcBorders>
            <w:shd w:val="clear" w:color="auto" w:fill="auto"/>
            <w:hideMark/>
          </w:tcPr>
          <w:p w:rsidR="00891F62" w:rsidRPr="00891F62" w:rsidP="00891F62" w14:paraId="7B696AA1" w14:textId="3EC4C3A1">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c</w:t>
            </w:r>
            <w:r w:rsidRPr="00891F62">
              <w:rPr>
                <w:rFonts w:ascii="Times New Roman" w:eastAsia="Times New Roman" w:hAnsi="Times New Roman" w:cs="Times New Roman"/>
                <w:color w:val="000000"/>
                <w:sz w:val="20"/>
                <w:szCs w:val="20"/>
              </w:rPr>
              <w:t xml:space="preserve"> This ICR assumes 20% of sources will have to repeat performance tests.</w:t>
            </w:r>
          </w:p>
        </w:tc>
      </w:tr>
      <w:tr w14:paraId="000FEDF9" w14:textId="77777777" w:rsidTr="00891F62">
        <w:tblPrEx>
          <w:tblW w:w="12418" w:type="dxa"/>
          <w:tblInd w:w="113" w:type="dxa"/>
          <w:tblLook w:val="04A0"/>
        </w:tblPrEx>
        <w:trPr>
          <w:trHeight w:val="315"/>
        </w:trPr>
        <w:tc>
          <w:tcPr>
            <w:tcW w:w="12418" w:type="dxa"/>
            <w:gridSpan w:val="9"/>
            <w:tcBorders>
              <w:top w:val="nil"/>
              <w:left w:val="nil"/>
              <w:bottom w:val="nil"/>
              <w:right w:val="nil"/>
            </w:tcBorders>
            <w:shd w:val="clear" w:color="auto" w:fill="auto"/>
            <w:hideMark/>
          </w:tcPr>
          <w:p w:rsidR="00891F62" w:rsidRPr="00891F62" w:rsidP="00891F62" w14:paraId="4A5027B4" w14:textId="12678785">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d</w:t>
            </w:r>
            <w:r w:rsidRPr="00891F62">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The</w:t>
            </w:r>
            <w:r w:rsidRPr="00891F62">
              <w:rPr>
                <w:rFonts w:ascii="Times New Roman" w:eastAsia="Times New Roman" w:hAnsi="Times New Roman" w:cs="Times New Roman"/>
                <w:color w:val="000000"/>
                <w:sz w:val="20"/>
                <w:szCs w:val="20"/>
              </w:rPr>
              <w:t xml:space="preserve"> burden for these activities are based on similar requirements in the HON (Subparts F, G, H, and I). The HON describes these activities as follows:</w:t>
            </w:r>
          </w:p>
        </w:tc>
      </w:tr>
      <w:tr w14:paraId="0C69F5EE" w14:textId="77777777" w:rsidTr="00891F62">
        <w:tblPrEx>
          <w:tblW w:w="12418" w:type="dxa"/>
          <w:tblInd w:w="113" w:type="dxa"/>
          <w:tblLook w:val="04A0"/>
        </w:tblPrEx>
        <w:trPr>
          <w:trHeight w:val="300"/>
        </w:trPr>
        <w:tc>
          <w:tcPr>
            <w:tcW w:w="12418" w:type="dxa"/>
            <w:gridSpan w:val="9"/>
            <w:tcBorders>
              <w:top w:val="nil"/>
              <w:left w:val="nil"/>
              <w:bottom w:val="nil"/>
              <w:right w:val="nil"/>
            </w:tcBorders>
            <w:shd w:val="clear" w:color="auto" w:fill="auto"/>
            <w:hideMark/>
          </w:tcPr>
          <w:p w:rsidR="00891F62" w:rsidRPr="00891F62" w:rsidP="00891F62" w14:paraId="7E292B2A" w14:textId="77777777">
            <w:pPr>
              <w:spacing w:after="0" w:line="240" w:lineRule="auto"/>
              <w:ind w:firstLine="200" w:firstLineChars="100"/>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1. </w:t>
            </w:r>
            <w:r w:rsidRPr="00891F62">
              <w:rPr>
                <w:rFonts w:ascii="Times New Roman" w:eastAsia="Times New Roman" w:hAnsi="Times New Roman" w:cs="Times New Roman"/>
                <w:color w:val="000000"/>
                <w:sz w:val="20"/>
                <w:szCs w:val="20"/>
                <w:u w:val="single"/>
              </w:rPr>
              <w:t>Initial</w:t>
            </w:r>
            <w:r w:rsidRPr="00891F62">
              <w:rPr>
                <w:rFonts w:ascii="Times New Roman" w:eastAsia="Times New Roman" w:hAnsi="Times New Roman" w:cs="Times New Roman"/>
                <w:color w:val="000000"/>
                <w:sz w:val="20"/>
                <w:szCs w:val="20"/>
              </w:rPr>
              <w:t xml:space="preserve"> represents the EPA review of all initial reports received.</w:t>
            </w:r>
          </w:p>
        </w:tc>
      </w:tr>
      <w:tr w14:paraId="6D46F2FF" w14:textId="77777777" w:rsidTr="00891F62">
        <w:tblPrEx>
          <w:tblW w:w="12418" w:type="dxa"/>
          <w:tblInd w:w="113" w:type="dxa"/>
          <w:tblLook w:val="04A0"/>
        </w:tblPrEx>
        <w:trPr>
          <w:trHeight w:val="300"/>
        </w:trPr>
        <w:tc>
          <w:tcPr>
            <w:tcW w:w="12418" w:type="dxa"/>
            <w:gridSpan w:val="9"/>
            <w:tcBorders>
              <w:top w:val="nil"/>
              <w:left w:val="nil"/>
              <w:bottom w:val="nil"/>
              <w:right w:val="nil"/>
            </w:tcBorders>
            <w:shd w:val="clear" w:color="auto" w:fill="auto"/>
            <w:hideMark/>
          </w:tcPr>
          <w:p w:rsidR="00891F62" w:rsidRPr="00891F62" w:rsidP="00891F62" w14:paraId="580C5C8A" w14:textId="77777777">
            <w:pPr>
              <w:spacing w:after="0" w:line="240" w:lineRule="auto"/>
              <w:ind w:firstLine="200" w:firstLineChars="100"/>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2. </w:t>
            </w:r>
            <w:r w:rsidRPr="00891F62">
              <w:rPr>
                <w:rFonts w:ascii="Times New Roman" w:eastAsia="Times New Roman" w:hAnsi="Times New Roman" w:cs="Times New Roman"/>
                <w:color w:val="000000"/>
                <w:sz w:val="20"/>
                <w:szCs w:val="20"/>
                <w:u w:val="single"/>
              </w:rPr>
              <w:t>Implementation plan or permit</w:t>
            </w:r>
            <w:r w:rsidRPr="00891F62">
              <w:rPr>
                <w:rFonts w:ascii="Times New Roman" w:eastAsia="Times New Roman" w:hAnsi="Times New Roman" w:cs="Times New Roman"/>
                <w:color w:val="000000"/>
                <w:sz w:val="20"/>
                <w:szCs w:val="20"/>
              </w:rPr>
              <w:t xml:space="preserve"> represents the EPA review of all implementation plans, or permit applications if submitted in lieu of an implementation plan.</w:t>
            </w:r>
          </w:p>
        </w:tc>
      </w:tr>
      <w:tr w14:paraId="4EDC8FE0" w14:textId="77777777" w:rsidTr="00891F62">
        <w:tblPrEx>
          <w:tblW w:w="12418" w:type="dxa"/>
          <w:tblInd w:w="113" w:type="dxa"/>
          <w:tblLook w:val="04A0"/>
        </w:tblPrEx>
        <w:trPr>
          <w:trHeight w:val="585"/>
        </w:trPr>
        <w:tc>
          <w:tcPr>
            <w:tcW w:w="12418" w:type="dxa"/>
            <w:gridSpan w:val="9"/>
            <w:tcBorders>
              <w:top w:val="nil"/>
              <w:left w:val="nil"/>
              <w:bottom w:val="nil"/>
              <w:right w:val="nil"/>
            </w:tcBorders>
            <w:shd w:val="clear" w:color="auto" w:fill="auto"/>
            <w:hideMark/>
          </w:tcPr>
          <w:p w:rsidR="00891F62" w:rsidRPr="00891F62" w:rsidP="00891F62" w14:paraId="55E50ACF" w14:textId="77777777">
            <w:pPr>
              <w:spacing w:after="0" w:line="240" w:lineRule="auto"/>
              <w:ind w:firstLine="200" w:firstLineChars="100"/>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3. </w:t>
            </w:r>
            <w:r w:rsidRPr="00891F62">
              <w:rPr>
                <w:rFonts w:ascii="Times New Roman" w:eastAsia="Times New Roman" w:hAnsi="Times New Roman" w:cs="Times New Roman"/>
                <w:color w:val="000000"/>
                <w:sz w:val="20"/>
                <w:szCs w:val="20"/>
                <w:u w:val="single"/>
              </w:rPr>
              <w:t>Compliance status</w:t>
            </w:r>
            <w:r w:rsidRPr="00891F62">
              <w:rPr>
                <w:rFonts w:ascii="Times New Roman" w:eastAsia="Times New Roman" w:hAnsi="Times New Roman" w:cs="Times New Roman"/>
                <w:color w:val="000000"/>
                <w:sz w:val="20"/>
                <w:szCs w:val="20"/>
              </w:rPr>
              <w:t xml:space="preserve"> represents compliance status verification by the EPA for the portions of the standard which a source must comply with before the compliance date.</w:t>
            </w:r>
          </w:p>
        </w:tc>
      </w:tr>
      <w:tr w14:paraId="4F262613" w14:textId="77777777" w:rsidTr="00891F62">
        <w:tblPrEx>
          <w:tblW w:w="12418" w:type="dxa"/>
          <w:tblInd w:w="113" w:type="dxa"/>
          <w:tblLook w:val="04A0"/>
        </w:tblPrEx>
        <w:trPr>
          <w:trHeight w:val="300"/>
        </w:trPr>
        <w:tc>
          <w:tcPr>
            <w:tcW w:w="12418" w:type="dxa"/>
            <w:gridSpan w:val="9"/>
            <w:tcBorders>
              <w:top w:val="nil"/>
              <w:left w:val="nil"/>
              <w:bottom w:val="nil"/>
              <w:right w:val="nil"/>
            </w:tcBorders>
            <w:shd w:val="clear" w:color="auto" w:fill="auto"/>
            <w:hideMark/>
          </w:tcPr>
          <w:p w:rsidR="00891F62" w:rsidRPr="00891F62" w:rsidP="00891F62" w14:paraId="7E8854B2" w14:textId="77777777">
            <w:pPr>
              <w:spacing w:after="0" w:line="240" w:lineRule="auto"/>
              <w:ind w:firstLine="200" w:firstLineChars="100"/>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4. </w:t>
            </w:r>
            <w:r w:rsidRPr="00891F62">
              <w:rPr>
                <w:rFonts w:ascii="Times New Roman" w:eastAsia="Times New Roman" w:hAnsi="Times New Roman" w:cs="Times New Roman"/>
                <w:color w:val="000000"/>
                <w:sz w:val="20"/>
                <w:szCs w:val="20"/>
                <w:u w:val="single"/>
              </w:rPr>
              <w:t>Review equipment leak monitoring</w:t>
            </w:r>
            <w:r w:rsidRPr="00891F62">
              <w:rPr>
                <w:rFonts w:ascii="Times New Roman" w:eastAsia="Times New Roman" w:hAnsi="Times New Roman" w:cs="Times New Roman"/>
                <w:color w:val="000000"/>
                <w:sz w:val="20"/>
                <w:szCs w:val="20"/>
              </w:rPr>
              <w:t xml:space="preserve"> represents the review and screening of periodic reports received </w:t>
            </w:r>
            <w:r w:rsidRPr="00891F62">
              <w:rPr>
                <w:rFonts w:ascii="Times New Roman" w:eastAsia="Times New Roman" w:hAnsi="Times New Roman" w:cs="Times New Roman"/>
                <w:color w:val="000000"/>
                <w:sz w:val="20"/>
                <w:szCs w:val="20"/>
              </w:rPr>
              <w:t>as a result of</w:t>
            </w:r>
            <w:r w:rsidRPr="00891F62">
              <w:rPr>
                <w:rFonts w:ascii="Times New Roman" w:eastAsia="Times New Roman" w:hAnsi="Times New Roman" w:cs="Times New Roman"/>
                <w:color w:val="000000"/>
                <w:sz w:val="20"/>
                <w:szCs w:val="20"/>
              </w:rPr>
              <w:t xml:space="preserve"> the equipment leaks standard.</w:t>
            </w:r>
          </w:p>
        </w:tc>
      </w:tr>
      <w:tr w14:paraId="70EE20CB" w14:textId="77777777" w:rsidTr="00891F62">
        <w:tblPrEx>
          <w:tblW w:w="12418" w:type="dxa"/>
          <w:tblInd w:w="113" w:type="dxa"/>
          <w:tblLook w:val="04A0"/>
        </w:tblPrEx>
        <w:trPr>
          <w:trHeight w:val="300"/>
        </w:trPr>
        <w:tc>
          <w:tcPr>
            <w:tcW w:w="12418" w:type="dxa"/>
            <w:gridSpan w:val="9"/>
            <w:tcBorders>
              <w:top w:val="nil"/>
              <w:left w:val="nil"/>
              <w:bottom w:val="nil"/>
              <w:right w:val="nil"/>
            </w:tcBorders>
            <w:shd w:val="clear" w:color="auto" w:fill="auto"/>
            <w:hideMark/>
          </w:tcPr>
          <w:p w:rsidR="00891F62" w:rsidRPr="00891F62" w:rsidP="00891F62" w14:paraId="058F9906" w14:textId="77777777">
            <w:pPr>
              <w:spacing w:after="0" w:line="240" w:lineRule="auto"/>
              <w:ind w:firstLine="200" w:firstLineChars="100"/>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5. </w:t>
            </w:r>
            <w:r w:rsidRPr="00891F62">
              <w:rPr>
                <w:rFonts w:ascii="Times New Roman" w:eastAsia="Times New Roman" w:hAnsi="Times New Roman" w:cs="Times New Roman"/>
                <w:color w:val="000000"/>
                <w:sz w:val="20"/>
                <w:szCs w:val="20"/>
                <w:u w:val="single"/>
              </w:rPr>
              <w:t>Report of construction/reconstruction</w:t>
            </w:r>
            <w:r w:rsidRPr="00891F62">
              <w:rPr>
                <w:rFonts w:ascii="Times New Roman" w:eastAsia="Times New Roman" w:hAnsi="Times New Roman" w:cs="Times New Roman"/>
                <w:color w:val="000000"/>
                <w:sz w:val="20"/>
                <w:szCs w:val="20"/>
              </w:rPr>
              <w:t xml:space="preserve"> represents the EPA review of this notification from new sources.</w:t>
            </w:r>
          </w:p>
        </w:tc>
      </w:tr>
      <w:tr w14:paraId="3FBEB115" w14:textId="77777777" w:rsidTr="00891F62">
        <w:tblPrEx>
          <w:tblW w:w="12418" w:type="dxa"/>
          <w:tblInd w:w="113" w:type="dxa"/>
          <w:tblLook w:val="04A0"/>
        </w:tblPrEx>
        <w:trPr>
          <w:trHeight w:val="300"/>
        </w:trPr>
        <w:tc>
          <w:tcPr>
            <w:tcW w:w="12418" w:type="dxa"/>
            <w:gridSpan w:val="9"/>
            <w:tcBorders>
              <w:top w:val="nil"/>
              <w:left w:val="nil"/>
              <w:bottom w:val="nil"/>
              <w:right w:val="nil"/>
            </w:tcBorders>
            <w:shd w:val="clear" w:color="auto" w:fill="auto"/>
            <w:hideMark/>
          </w:tcPr>
          <w:p w:rsidR="00891F62" w:rsidRPr="00891F62" w:rsidP="00891F62" w14:paraId="7A6CECA0" w14:textId="77777777">
            <w:pPr>
              <w:spacing w:after="0" w:line="240" w:lineRule="auto"/>
              <w:ind w:firstLine="200" w:firstLineChars="100"/>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6. </w:t>
            </w:r>
            <w:r w:rsidRPr="00891F62">
              <w:rPr>
                <w:rFonts w:ascii="Times New Roman" w:eastAsia="Times New Roman" w:hAnsi="Times New Roman" w:cs="Times New Roman"/>
                <w:color w:val="000000"/>
                <w:sz w:val="20"/>
                <w:szCs w:val="20"/>
                <w:u w:val="single"/>
              </w:rPr>
              <w:t>Notification of performance test</w:t>
            </w:r>
            <w:r w:rsidRPr="00891F62">
              <w:rPr>
                <w:rFonts w:ascii="Times New Roman" w:eastAsia="Times New Roman" w:hAnsi="Times New Roman" w:cs="Times New Roman"/>
                <w:color w:val="000000"/>
                <w:sz w:val="20"/>
                <w:szCs w:val="20"/>
              </w:rPr>
              <w:t xml:space="preserve"> represents the EPA review of this notification from new sources.</w:t>
            </w:r>
          </w:p>
        </w:tc>
      </w:tr>
      <w:tr w14:paraId="349BA45A" w14:textId="77777777" w:rsidTr="00891F62">
        <w:tblPrEx>
          <w:tblW w:w="12418" w:type="dxa"/>
          <w:tblInd w:w="113" w:type="dxa"/>
          <w:tblLook w:val="04A0"/>
        </w:tblPrEx>
        <w:trPr>
          <w:trHeight w:val="300"/>
        </w:trPr>
        <w:tc>
          <w:tcPr>
            <w:tcW w:w="12418" w:type="dxa"/>
            <w:gridSpan w:val="9"/>
            <w:tcBorders>
              <w:top w:val="nil"/>
              <w:left w:val="nil"/>
              <w:bottom w:val="nil"/>
              <w:right w:val="nil"/>
            </w:tcBorders>
            <w:shd w:val="clear" w:color="auto" w:fill="auto"/>
            <w:hideMark/>
          </w:tcPr>
          <w:p w:rsidR="00891F62" w:rsidRPr="00891F62" w:rsidP="00891F62" w14:paraId="119C4F52" w14:textId="77777777">
            <w:pPr>
              <w:spacing w:after="0" w:line="240" w:lineRule="auto"/>
              <w:ind w:firstLine="200" w:firstLineChars="100"/>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7. </w:t>
            </w:r>
            <w:r w:rsidRPr="00891F62">
              <w:rPr>
                <w:rFonts w:ascii="Times New Roman" w:eastAsia="Times New Roman" w:hAnsi="Times New Roman" w:cs="Times New Roman"/>
                <w:color w:val="000000"/>
                <w:sz w:val="20"/>
                <w:szCs w:val="20"/>
                <w:u w:val="single"/>
              </w:rPr>
              <w:t>Review of test results</w:t>
            </w:r>
            <w:r w:rsidRPr="00891F62">
              <w:rPr>
                <w:rFonts w:ascii="Times New Roman" w:eastAsia="Times New Roman" w:hAnsi="Times New Roman" w:cs="Times New Roman"/>
                <w:color w:val="000000"/>
                <w:sz w:val="20"/>
                <w:szCs w:val="20"/>
              </w:rPr>
              <w:t xml:space="preserve"> represents the EPA review of performance test results for new sources.</w:t>
            </w:r>
          </w:p>
        </w:tc>
      </w:tr>
      <w:tr w14:paraId="6E3461A6" w14:textId="77777777" w:rsidTr="00891F62">
        <w:tblPrEx>
          <w:tblW w:w="12418" w:type="dxa"/>
          <w:tblInd w:w="113" w:type="dxa"/>
          <w:tblLook w:val="04A0"/>
        </w:tblPrEx>
        <w:trPr>
          <w:trHeight w:val="300"/>
        </w:trPr>
        <w:tc>
          <w:tcPr>
            <w:tcW w:w="12418" w:type="dxa"/>
            <w:gridSpan w:val="9"/>
            <w:tcBorders>
              <w:top w:val="nil"/>
              <w:left w:val="nil"/>
              <w:bottom w:val="nil"/>
              <w:right w:val="nil"/>
            </w:tcBorders>
            <w:shd w:val="clear" w:color="auto" w:fill="auto"/>
            <w:hideMark/>
          </w:tcPr>
          <w:p w:rsidR="00891F62" w:rsidRPr="00891F62" w:rsidP="00891F62" w14:paraId="51FCE6F0" w14:textId="77777777">
            <w:pPr>
              <w:spacing w:after="0" w:line="240" w:lineRule="auto"/>
              <w:ind w:firstLine="200" w:firstLineChars="100"/>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8. </w:t>
            </w:r>
            <w:r w:rsidRPr="00891F62">
              <w:rPr>
                <w:rFonts w:ascii="Times New Roman" w:eastAsia="Times New Roman" w:hAnsi="Times New Roman" w:cs="Times New Roman"/>
                <w:color w:val="000000"/>
                <w:sz w:val="20"/>
                <w:szCs w:val="20"/>
                <w:u w:val="single"/>
              </w:rPr>
              <w:t>Review periodic reports</w:t>
            </w:r>
            <w:r w:rsidRPr="00891F62">
              <w:rPr>
                <w:rFonts w:ascii="Times New Roman" w:eastAsia="Times New Roman" w:hAnsi="Times New Roman" w:cs="Times New Roman"/>
                <w:color w:val="000000"/>
                <w:sz w:val="20"/>
                <w:szCs w:val="20"/>
              </w:rPr>
              <w:t xml:space="preserve"> represents the EPA review of periodic reports.</w:t>
            </w:r>
          </w:p>
        </w:tc>
      </w:tr>
      <w:tr w14:paraId="23F4CE9F" w14:textId="77777777" w:rsidTr="00891F62">
        <w:tblPrEx>
          <w:tblW w:w="12418" w:type="dxa"/>
          <w:tblInd w:w="113" w:type="dxa"/>
          <w:tblLook w:val="04A0"/>
        </w:tblPrEx>
        <w:trPr>
          <w:trHeight w:val="315"/>
        </w:trPr>
        <w:tc>
          <w:tcPr>
            <w:tcW w:w="12418" w:type="dxa"/>
            <w:gridSpan w:val="9"/>
            <w:tcBorders>
              <w:top w:val="nil"/>
              <w:left w:val="nil"/>
              <w:bottom w:val="nil"/>
              <w:right w:val="nil"/>
            </w:tcBorders>
            <w:shd w:val="clear" w:color="auto" w:fill="auto"/>
            <w:hideMark/>
          </w:tcPr>
          <w:p w:rsidR="00891F62" w:rsidRPr="00891F62" w:rsidP="00891F62" w14:paraId="6A92FCB0" w14:textId="28C6BE8D">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e</w:t>
            </w:r>
            <w:r w:rsidRPr="00891F62">
              <w:rPr>
                <w:rFonts w:ascii="Times New Roman" w:eastAsia="Times New Roman" w:hAnsi="Times New Roman" w:cs="Times New Roman"/>
                <w:color w:val="000000"/>
                <w:sz w:val="20"/>
                <w:szCs w:val="20"/>
              </w:rPr>
              <w:t xml:space="preserve"> This ICR assumes that each facility will refill storage vessels that have been emptied and degassed 6 times per year.</w:t>
            </w:r>
          </w:p>
        </w:tc>
      </w:tr>
      <w:tr w14:paraId="0DF59039" w14:textId="77777777" w:rsidTr="00891F62">
        <w:tblPrEx>
          <w:tblW w:w="12418" w:type="dxa"/>
          <w:tblInd w:w="113" w:type="dxa"/>
          <w:tblLook w:val="04A0"/>
        </w:tblPrEx>
        <w:trPr>
          <w:trHeight w:val="504"/>
        </w:trPr>
        <w:tc>
          <w:tcPr>
            <w:tcW w:w="12418" w:type="dxa"/>
            <w:gridSpan w:val="9"/>
            <w:tcBorders>
              <w:top w:val="nil"/>
              <w:left w:val="nil"/>
              <w:bottom w:val="nil"/>
              <w:right w:val="nil"/>
            </w:tcBorders>
            <w:shd w:val="clear" w:color="auto" w:fill="auto"/>
            <w:hideMark/>
          </w:tcPr>
          <w:p w:rsidR="00891F62" w:rsidRPr="00891F62" w:rsidP="00891F62" w14:paraId="01A765B5" w14:textId="6B88FAC4">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f</w:t>
            </w:r>
            <w:r w:rsidRPr="00891F62">
              <w:rPr>
                <w:rFonts w:ascii="Times New Roman" w:eastAsia="Times New Roman" w:hAnsi="Times New Roman" w:cs="Times New Roman"/>
                <w:color w:val="000000"/>
                <w:sz w:val="20"/>
                <w:szCs w:val="20"/>
              </w:rPr>
              <w:t xml:space="preserve"> This ICR assumes 1 facility per year using an emissions averaging plan will make changes requiring an update to the emissions averaging plan. This activity may also include review of front-end or back-end operations limits. </w:t>
            </w:r>
          </w:p>
        </w:tc>
      </w:tr>
      <w:tr w14:paraId="49402835" w14:textId="77777777" w:rsidTr="00891F62">
        <w:tblPrEx>
          <w:tblW w:w="12418" w:type="dxa"/>
          <w:tblInd w:w="113" w:type="dxa"/>
          <w:tblLook w:val="04A0"/>
        </w:tblPrEx>
        <w:trPr>
          <w:trHeight w:val="315"/>
        </w:trPr>
        <w:tc>
          <w:tcPr>
            <w:tcW w:w="12418" w:type="dxa"/>
            <w:gridSpan w:val="9"/>
            <w:tcBorders>
              <w:top w:val="nil"/>
              <w:left w:val="nil"/>
              <w:bottom w:val="nil"/>
              <w:right w:val="nil"/>
            </w:tcBorders>
            <w:shd w:val="clear" w:color="auto" w:fill="auto"/>
            <w:hideMark/>
          </w:tcPr>
          <w:p w:rsidR="00891F62" w:rsidRPr="00891F62" w:rsidP="00891F62" w14:paraId="20AA886B" w14:textId="01091F5A">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g</w:t>
            </w:r>
            <w:r w:rsidRPr="00891F62">
              <w:rPr>
                <w:rFonts w:ascii="Times New Roman" w:eastAsia="Times New Roman" w:hAnsi="Times New Roman" w:cs="Times New Roman"/>
                <w:color w:val="000000"/>
                <w:sz w:val="20"/>
                <w:szCs w:val="20"/>
              </w:rPr>
              <w:t xml:space="preserve"> This ICR assumes that 10% of sources will have changes to their primary product.</w:t>
            </w:r>
          </w:p>
        </w:tc>
      </w:tr>
      <w:tr w14:paraId="3E981916" w14:textId="77777777" w:rsidTr="00891F62">
        <w:tblPrEx>
          <w:tblW w:w="12418" w:type="dxa"/>
          <w:tblInd w:w="113" w:type="dxa"/>
          <w:tblLook w:val="04A0"/>
        </w:tblPrEx>
        <w:trPr>
          <w:trHeight w:val="315"/>
        </w:trPr>
        <w:tc>
          <w:tcPr>
            <w:tcW w:w="12418" w:type="dxa"/>
            <w:gridSpan w:val="9"/>
            <w:tcBorders>
              <w:top w:val="nil"/>
              <w:left w:val="nil"/>
              <w:bottom w:val="nil"/>
              <w:right w:val="nil"/>
            </w:tcBorders>
            <w:shd w:val="clear" w:color="auto" w:fill="auto"/>
            <w:hideMark/>
          </w:tcPr>
          <w:p w:rsidR="00891F62" w:rsidRPr="00891F62" w:rsidP="00891F62" w14:paraId="3D534558" w14:textId="560473C5">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h</w:t>
            </w:r>
            <w:r w:rsidRPr="00891F62">
              <w:rPr>
                <w:rFonts w:ascii="Times New Roman" w:eastAsia="Times New Roman" w:hAnsi="Times New Roman" w:cs="Times New Roman"/>
                <w:color w:val="000000"/>
                <w:sz w:val="20"/>
                <w:szCs w:val="20"/>
              </w:rPr>
              <w:t xml:space="preserve"> This ICR assumes that 10% of sources will makes changes to batch process vents.</w:t>
            </w:r>
          </w:p>
        </w:tc>
      </w:tr>
      <w:tr w14:paraId="6A29E8EA" w14:textId="77777777" w:rsidTr="00891F62">
        <w:tblPrEx>
          <w:tblW w:w="12418" w:type="dxa"/>
          <w:tblInd w:w="113" w:type="dxa"/>
          <w:tblLook w:val="04A0"/>
        </w:tblPrEx>
        <w:trPr>
          <w:trHeight w:val="540"/>
        </w:trPr>
        <w:tc>
          <w:tcPr>
            <w:tcW w:w="12418" w:type="dxa"/>
            <w:gridSpan w:val="9"/>
            <w:tcBorders>
              <w:top w:val="nil"/>
              <w:left w:val="nil"/>
              <w:bottom w:val="nil"/>
              <w:right w:val="nil"/>
            </w:tcBorders>
            <w:shd w:val="clear" w:color="auto" w:fill="auto"/>
            <w:hideMark/>
          </w:tcPr>
          <w:p w:rsidR="00891F62" w:rsidRPr="00891F62" w:rsidP="00891F62" w14:paraId="6C072BD8" w14:textId="03DA2FA0">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i</w:t>
            </w:r>
            <w:r w:rsidRPr="00891F62">
              <w:rPr>
                <w:rFonts w:ascii="Times New Roman" w:eastAsia="Times New Roman" w:hAnsi="Times New Roman" w:cs="Times New Roman"/>
                <w:color w:val="000000"/>
                <w:sz w:val="20"/>
                <w:szCs w:val="20"/>
              </w:rPr>
              <w:t xml:space="preserve"> This ICR assumes that 10% of PET sources will make changes to a dimethyl terephthalate process. There is a total of 15 PET facilities subject to the rule. (15 facilities x 1.1 sources/facility x 10% = 1.65 sources, rounded to 2)</w:t>
            </w:r>
          </w:p>
        </w:tc>
      </w:tr>
      <w:tr w14:paraId="7E3DE0F2" w14:textId="77777777" w:rsidTr="00891F62">
        <w:tblPrEx>
          <w:tblW w:w="12418" w:type="dxa"/>
          <w:tblInd w:w="113" w:type="dxa"/>
          <w:tblLook w:val="04A0"/>
        </w:tblPrEx>
        <w:trPr>
          <w:trHeight w:val="315"/>
        </w:trPr>
        <w:tc>
          <w:tcPr>
            <w:tcW w:w="12418" w:type="dxa"/>
            <w:gridSpan w:val="9"/>
            <w:tcBorders>
              <w:top w:val="nil"/>
              <w:left w:val="nil"/>
              <w:bottom w:val="nil"/>
              <w:right w:val="nil"/>
            </w:tcBorders>
            <w:shd w:val="clear" w:color="auto" w:fill="auto"/>
            <w:hideMark/>
          </w:tcPr>
          <w:p w:rsidR="00891F62" w:rsidRPr="00891F62" w:rsidP="00891F62" w14:paraId="64D94521" w14:textId="6461D102">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j</w:t>
            </w:r>
            <w:r w:rsidRPr="00891F62">
              <w:rPr>
                <w:rFonts w:ascii="Times New Roman" w:eastAsia="Times New Roman" w:hAnsi="Times New Roman" w:cs="Times New Roman"/>
                <w:color w:val="000000"/>
                <w:sz w:val="20"/>
                <w:szCs w:val="20"/>
              </w:rPr>
              <w:t xml:space="preserve"> This ICR assumes that 10% of sources will have to submit malfunction reports.</w:t>
            </w:r>
          </w:p>
        </w:tc>
      </w:tr>
      <w:tr w14:paraId="37BC3364" w14:textId="77777777" w:rsidTr="00891F62">
        <w:tblPrEx>
          <w:tblW w:w="12418" w:type="dxa"/>
          <w:tblInd w:w="113" w:type="dxa"/>
          <w:tblLook w:val="04A0"/>
        </w:tblPrEx>
        <w:trPr>
          <w:trHeight w:val="1005"/>
        </w:trPr>
        <w:tc>
          <w:tcPr>
            <w:tcW w:w="12418" w:type="dxa"/>
            <w:gridSpan w:val="9"/>
            <w:tcBorders>
              <w:top w:val="nil"/>
              <w:left w:val="nil"/>
              <w:bottom w:val="nil"/>
              <w:right w:val="nil"/>
            </w:tcBorders>
            <w:shd w:val="clear" w:color="auto" w:fill="auto"/>
            <w:hideMark/>
          </w:tcPr>
          <w:p w:rsidR="00891F62" w:rsidRPr="00891F62" w:rsidP="00891F62" w14:paraId="26EB9B94" w14:textId="0542C40C">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k</w:t>
            </w:r>
            <w:r w:rsidRPr="00891F62">
              <w:rPr>
                <w:rFonts w:ascii="Times New Roman" w:eastAsia="Times New Roman" w:hAnsi="Times New Roman" w:cs="Times New Roman"/>
                <w:color w:val="000000"/>
                <w:sz w:val="20"/>
                <w:szCs w:val="20"/>
              </w:rPr>
              <w:t xml:space="preserve"> This ICR assumes that 5% of the 27 sources (TPPUs) will not qualify for semiannual reports and will be required to submit quarterly reports. (27 TPPUs x 0.05 = 1.35) In addition, 10% of the 24 facilities using emissions averaging are required to submit quarterly reports. (24 respondents x (0.10) = 2.4). </w:t>
            </w:r>
            <w:r w:rsidRPr="00891F62">
              <w:rPr>
                <w:rFonts w:ascii="Times New Roman" w:eastAsia="Times New Roman" w:hAnsi="Times New Roman" w:cs="Times New Roman"/>
                <w:color w:val="000000"/>
                <w:sz w:val="20"/>
                <w:szCs w:val="20"/>
              </w:rPr>
              <w:t>Therefore</w:t>
            </w:r>
            <w:r w:rsidRPr="00891F62">
              <w:rPr>
                <w:rFonts w:ascii="Times New Roman" w:eastAsia="Times New Roman" w:hAnsi="Times New Roman" w:cs="Times New Roman"/>
                <w:color w:val="000000"/>
                <w:sz w:val="20"/>
                <w:szCs w:val="20"/>
              </w:rPr>
              <w:t xml:space="preserve"> we estimate quarterly reports will be submitted for 4 sources. (1.35 + 2.4 = 3.75, rounded to 4) The remaining 23 sources will all submit semiannual reports. </w:t>
            </w:r>
          </w:p>
        </w:tc>
      </w:tr>
      <w:tr w14:paraId="540392F6" w14:textId="77777777" w:rsidTr="00891F62">
        <w:tblPrEx>
          <w:tblW w:w="12418" w:type="dxa"/>
          <w:tblInd w:w="113" w:type="dxa"/>
          <w:tblLook w:val="04A0"/>
        </w:tblPrEx>
        <w:trPr>
          <w:trHeight w:val="315"/>
        </w:trPr>
        <w:tc>
          <w:tcPr>
            <w:tcW w:w="12418" w:type="dxa"/>
            <w:gridSpan w:val="9"/>
            <w:tcBorders>
              <w:top w:val="nil"/>
              <w:left w:val="nil"/>
              <w:bottom w:val="nil"/>
              <w:right w:val="nil"/>
            </w:tcBorders>
            <w:shd w:val="clear" w:color="auto" w:fill="auto"/>
            <w:hideMark/>
          </w:tcPr>
          <w:p w:rsidR="00891F62" w:rsidRPr="00891F62" w:rsidP="00891F62" w14:paraId="4A0C46C3" w14:textId="6D67ADC3">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l</w:t>
            </w:r>
            <w:r w:rsidRPr="00891F62">
              <w:rPr>
                <w:rFonts w:ascii="Times New Roman" w:eastAsia="Times New Roman" w:hAnsi="Times New Roman" w:cs="Times New Roman"/>
                <w:color w:val="000000"/>
                <w:sz w:val="20"/>
                <w:szCs w:val="20"/>
              </w:rPr>
              <w:t xml:space="preserve"> Totals have been rounded to 3 significant figures. Figures may not add exactly due to rounding. </w:t>
            </w:r>
          </w:p>
        </w:tc>
      </w:tr>
    </w:tbl>
    <w:p w:rsidR="001641AA" w:rsidP="00BB3410" w14:paraId="58610761" w14:textId="377661E3">
      <w:pPr>
        <w:pStyle w:val="ListParagraph"/>
        <w:spacing w:before="240"/>
        <w:ind w:left="0"/>
        <w:rPr>
          <w:rFonts w:cstheme="minorHAnsi"/>
          <w:b/>
          <w:bCs/>
          <w:sz w:val="24"/>
          <w:szCs w:val="24"/>
        </w:rPr>
      </w:pPr>
    </w:p>
    <w:tbl>
      <w:tblPr>
        <w:tblW w:w="12300" w:type="dxa"/>
        <w:tblInd w:w="113" w:type="dxa"/>
        <w:tblLook w:val="04A0"/>
      </w:tblPr>
      <w:tblGrid>
        <w:gridCol w:w="960"/>
        <w:gridCol w:w="2740"/>
        <w:gridCol w:w="2140"/>
        <w:gridCol w:w="2080"/>
        <w:gridCol w:w="2300"/>
        <w:gridCol w:w="2080"/>
      </w:tblGrid>
      <w:tr w14:paraId="77EFD53E" w14:textId="77777777" w:rsidTr="00891F62">
        <w:tblPrEx>
          <w:tblW w:w="12300" w:type="dxa"/>
          <w:tblInd w:w="113" w:type="dxa"/>
          <w:tblLook w:val="04A0"/>
        </w:tblPrEx>
        <w:trPr>
          <w:trHeight w:val="315"/>
        </w:trPr>
        <w:tc>
          <w:tcPr>
            <w:tcW w:w="1230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891F62" w:rsidRPr="00891F62" w:rsidP="00891F62" w14:paraId="32260739" w14:textId="77777777">
            <w:pPr>
              <w:spacing w:after="0" w:line="240" w:lineRule="auto"/>
              <w:jc w:val="center"/>
              <w:rPr>
                <w:rFonts w:ascii="Times New Roman" w:eastAsia="Times New Roman" w:hAnsi="Times New Roman" w:cs="Times New Roman"/>
                <w:b/>
                <w:bCs/>
                <w:color w:val="000000"/>
                <w:sz w:val="24"/>
                <w:szCs w:val="24"/>
              </w:rPr>
            </w:pPr>
            <w:r w:rsidRPr="00891F62">
              <w:rPr>
                <w:rFonts w:ascii="Times New Roman" w:eastAsia="Times New Roman" w:hAnsi="Times New Roman" w:cs="Times New Roman"/>
                <w:b/>
                <w:bCs/>
                <w:color w:val="000000"/>
                <w:sz w:val="24"/>
                <w:szCs w:val="24"/>
              </w:rPr>
              <w:t>Number of Respondents</w:t>
            </w:r>
          </w:p>
        </w:tc>
      </w:tr>
      <w:tr w14:paraId="1DCC8E13" w14:textId="77777777" w:rsidTr="00891F62">
        <w:tblPrEx>
          <w:tblW w:w="12300" w:type="dxa"/>
          <w:tblInd w:w="113" w:type="dxa"/>
          <w:tblLook w:val="04A0"/>
        </w:tblPrEx>
        <w:trPr>
          <w:trHeight w:val="76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891F62" w:rsidRPr="00891F62" w:rsidP="00891F62" w14:paraId="46D4ACED"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4880" w:type="dxa"/>
            <w:gridSpan w:val="2"/>
            <w:tcBorders>
              <w:top w:val="single" w:sz="4" w:space="0" w:color="auto"/>
              <w:left w:val="nil"/>
              <w:bottom w:val="single" w:sz="4" w:space="0" w:color="auto"/>
              <w:right w:val="single" w:sz="4" w:space="0" w:color="auto"/>
            </w:tcBorders>
            <w:shd w:val="clear" w:color="auto" w:fill="auto"/>
            <w:vAlign w:val="bottom"/>
            <w:hideMark/>
          </w:tcPr>
          <w:p w:rsidR="00891F62" w:rsidRPr="00891F62" w:rsidP="00891F62" w14:paraId="67FACE3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Respondents That Submit Reports</w:t>
            </w:r>
          </w:p>
        </w:tc>
        <w:tc>
          <w:tcPr>
            <w:tcW w:w="2080" w:type="dxa"/>
            <w:tcBorders>
              <w:top w:val="nil"/>
              <w:left w:val="nil"/>
              <w:bottom w:val="single" w:sz="4" w:space="0" w:color="auto"/>
              <w:right w:val="single" w:sz="4" w:space="0" w:color="auto"/>
            </w:tcBorders>
            <w:shd w:val="clear" w:color="auto" w:fill="auto"/>
            <w:vAlign w:val="bottom"/>
            <w:hideMark/>
          </w:tcPr>
          <w:p w:rsidR="00891F62" w:rsidRPr="00891F62" w:rsidP="00891F62" w14:paraId="1BC73209"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Respondents That Do Not Submit Any Reports</w:t>
            </w:r>
          </w:p>
        </w:tc>
        <w:tc>
          <w:tcPr>
            <w:tcW w:w="2300" w:type="dxa"/>
            <w:tcBorders>
              <w:top w:val="nil"/>
              <w:left w:val="nil"/>
              <w:bottom w:val="single" w:sz="4" w:space="0" w:color="auto"/>
              <w:right w:val="single" w:sz="4" w:space="0" w:color="auto"/>
            </w:tcBorders>
            <w:shd w:val="clear" w:color="auto" w:fill="auto"/>
            <w:vAlign w:val="bottom"/>
            <w:hideMark/>
          </w:tcPr>
          <w:p w:rsidR="00891F62" w:rsidRPr="00891F62" w:rsidP="00891F62" w14:paraId="43D7535E"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2080" w:type="dxa"/>
            <w:tcBorders>
              <w:top w:val="nil"/>
              <w:left w:val="nil"/>
              <w:bottom w:val="single" w:sz="4" w:space="0" w:color="auto"/>
              <w:right w:val="single" w:sz="4" w:space="0" w:color="auto"/>
            </w:tcBorders>
            <w:shd w:val="clear" w:color="auto" w:fill="auto"/>
            <w:vAlign w:val="bottom"/>
            <w:hideMark/>
          </w:tcPr>
          <w:p w:rsidR="00891F62" w:rsidRPr="00891F62" w:rsidP="00891F62" w14:paraId="36A61DA8"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r>
      <w:tr w14:paraId="776EDF4D" w14:textId="77777777" w:rsidTr="00891F62">
        <w:tblPrEx>
          <w:tblW w:w="12300" w:type="dxa"/>
          <w:tblInd w:w="113" w:type="dxa"/>
          <w:tblLook w:val="04A0"/>
        </w:tblPrEx>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91F62" w:rsidRPr="00891F62" w:rsidP="00891F62" w14:paraId="4B7332C9"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2740" w:type="dxa"/>
            <w:tcBorders>
              <w:top w:val="nil"/>
              <w:left w:val="nil"/>
              <w:bottom w:val="single" w:sz="4" w:space="0" w:color="auto"/>
              <w:right w:val="single" w:sz="4" w:space="0" w:color="auto"/>
            </w:tcBorders>
            <w:shd w:val="clear" w:color="auto" w:fill="auto"/>
            <w:noWrap/>
            <w:vAlign w:val="bottom"/>
            <w:hideMark/>
          </w:tcPr>
          <w:p w:rsidR="00891F62" w:rsidRPr="00891F62" w:rsidP="00891F62" w14:paraId="1D70389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(A)</w:t>
            </w:r>
          </w:p>
        </w:tc>
        <w:tc>
          <w:tcPr>
            <w:tcW w:w="2140" w:type="dxa"/>
            <w:tcBorders>
              <w:top w:val="nil"/>
              <w:left w:val="nil"/>
              <w:bottom w:val="single" w:sz="4" w:space="0" w:color="auto"/>
              <w:right w:val="single" w:sz="4" w:space="0" w:color="auto"/>
            </w:tcBorders>
            <w:shd w:val="clear" w:color="auto" w:fill="auto"/>
            <w:noWrap/>
            <w:vAlign w:val="bottom"/>
            <w:hideMark/>
          </w:tcPr>
          <w:p w:rsidR="00891F62" w:rsidRPr="00891F62" w:rsidP="00891F62" w14:paraId="7537BE1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(B)</w:t>
            </w:r>
          </w:p>
        </w:tc>
        <w:tc>
          <w:tcPr>
            <w:tcW w:w="2080" w:type="dxa"/>
            <w:tcBorders>
              <w:top w:val="nil"/>
              <w:left w:val="nil"/>
              <w:bottom w:val="single" w:sz="4" w:space="0" w:color="auto"/>
              <w:right w:val="single" w:sz="4" w:space="0" w:color="auto"/>
            </w:tcBorders>
            <w:shd w:val="clear" w:color="auto" w:fill="auto"/>
            <w:noWrap/>
            <w:vAlign w:val="bottom"/>
            <w:hideMark/>
          </w:tcPr>
          <w:p w:rsidR="00891F62" w:rsidRPr="00891F62" w:rsidP="00891F62" w14:paraId="76844BE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(C)</w:t>
            </w:r>
          </w:p>
        </w:tc>
        <w:tc>
          <w:tcPr>
            <w:tcW w:w="2300" w:type="dxa"/>
            <w:tcBorders>
              <w:top w:val="nil"/>
              <w:left w:val="nil"/>
              <w:bottom w:val="single" w:sz="4" w:space="0" w:color="auto"/>
              <w:right w:val="single" w:sz="4" w:space="0" w:color="auto"/>
            </w:tcBorders>
            <w:shd w:val="clear" w:color="auto" w:fill="auto"/>
            <w:noWrap/>
            <w:vAlign w:val="bottom"/>
            <w:hideMark/>
          </w:tcPr>
          <w:p w:rsidR="00891F62" w:rsidRPr="00891F62" w:rsidP="00891F62" w14:paraId="4C60A4C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(D)</w:t>
            </w:r>
          </w:p>
        </w:tc>
        <w:tc>
          <w:tcPr>
            <w:tcW w:w="2080" w:type="dxa"/>
            <w:tcBorders>
              <w:top w:val="nil"/>
              <w:left w:val="nil"/>
              <w:bottom w:val="single" w:sz="4" w:space="0" w:color="auto"/>
              <w:right w:val="single" w:sz="4" w:space="0" w:color="auto"/>
            </w:tcBorders>
            <w:shd w:val="clear" w:color="auto" w:fill="auto"/>
            <w:noWrap/>
            <w:vAlign w:val="bottom"/>
            <w:hideMark/>
          </w:tcPr>
          <w:p w:rsidR="00891F62" w:rsidRPr="00891F62" w:rsidP="00891F62" w14:paraId="329E214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(E)</w:t>
            </w:r>
          </w:p>
        </w:tc>
      </w:tr>
      <w:tr w14:paraId="4D050F87" w14:textId="77777777" w:rsidTr="00891F62">
        <w:tblPrEx>
          <w:tblW w:w="12300" w:type="dxa"/>
          <w:tblInd w:w="113" w:type="dxa"/>
          <w:tblLook w:val="04A0"/>
        </w:tblPrEx>
        <w:trPr>
          <w:trHeight w:val="10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91F62" w:rsidRPr="00891F62" w:rsidP="00891F62" w14:paraId="7379969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Year</w:t>
            </w:r>
          </w:p>
        </w:tc>
        <w:tc>
          <w:tcPr>
            <w:tcW w:w="2740" w:type="dxa"/>
            <w:tcBorders>
              <w:top w:val="nil"/>
              <w:left w:val="nil"/>
              <w:bottom w:val="single" w:sz="4" w:space="0" w:color="auto"/>
              <w:right w:val="single" w:sz="4" w:space="0" w:color="auto"/>
            </w:tcBorders>
            <w:shd w:val="clear" w:color="auto" w:fill="auto"/>
            <w:vAlign w:val="center"/>
            <w:hideMark/>
          </w:tcPr>
          <w:p w:rsidR="00891F62" w:rsidRPr="00891F62" w:rsidP="00891F62" w14:paraId="1A93F8C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Number of New Respondents </w:t>
            </w:r>
            <w:r w:rsidRPr="00891F62">
              <w:rPr>
                <w:rFonts w:ascii="Times New Roman" w:eastAsia="Times New Roman" w:hAnsi="Times New Roman" w:cs="Times New Roman"/>
                <w:color w:val="000000"/>
                <w:sz w:val="20"/>
                <w:szCs w:val="20"/>
                <w:vertAlign w:val="superscript"/>
              </w:rPr>
              <w:t>a</w:t>
            </w:r>
          </w:p>
        </w:tc>
        <w:tc>
          <w:tcPr>
            <w:tcW w:w="2140" w:type="dxa"/>
            <w:tcBorders>
              <w:top w:val="nil"/>
              <w:left w:val="nil"/>
              <w:bottom w:val="single" w:sz="4" w:space="0" w:color="auto"/>
              <w:right w:val="single" w:sz="4" w:space="0" w:color="auto"/>
            </w:tcBorders>
            <w:shd w:val="clear" w:color="auto" w:fill="auto"/>
            <w:vAlign w:val="center"/>
            <w:hideMark/>
          </w:tcPr>
          <w:p w:rsidR="00891F62" w:rsidRPr="00891F62" w:rsidP="00891F62" w14:paraId="39BC9C6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Number of Existing Respondents</w:t>
            </w:r>
          </w:p>
        </w:tc>
        <w:tc>
          <w:tcPr>
            <w:tcW w:w="2080" w:type="dxa"/>
            <w:tcBorders>
              <w:top w:val="nil"/>
              <w:left w:val="nil"/>
              <w:bottom w:val="single" w:sz="4" w:space="0" w:color="auto"/>
              <w:right w:val="single" w:sz="4" w:space="0" w:color="auto"/>
            </w:tcBorders>
            <w:shd w:val="clear" w:color="auto" w:fill="auto"/>
            <w:vAlign w:val="center"/>
            <w:hideMark/>
          </w:tcPr>
          <w:p w:rsidR="00891F62" w:rsidRPr="00891F62" w:rsidP="00891F62" w14:paraId="13C7E8CB" w14:textId="42D6EA7D">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Number of Existing</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Respondents that keep records but do not submit reports</w:t>
            </w:r>
          </w:p>
        </w:tc>
        <w:tc>
          <w:tcPr>
            <w:tcW w:w="2300" w:type="dxa"/>
            <w:tcBorders>
              <w:top w:val="nil"/>
              <w:left w:val="nil"/>
              <w:bottom w:val="single" w:sz="4" w:space="0" w:color="auto"/>
              <w:right w:val="single" w:sz="4" w:space="0" w:color="auto"/>
            </w:tcBorders>
            <w:shd w:val="clear" w:color="auto" w:fill="auto"/>
            <w:vAlign w:val="center"/>
            <w:hideMark/>
          </w:tcPr>
          <w:p w:rsidR="00891F62" w:rsidRPr="00891F62" w:rsidP="00891F62" w14:paraId="773A660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Number of Existing Respondents That Are Also New Respondents</w:t>
            </w:r>
          </w:p>
        </w:tc>
        <w:tc>
          <w:tcPr>
            <w:tcW w:w="2080" w:type="dxa"/>
            <w:tcBorders>
              <w:top w:val="nil"/>
              <w:left w:val="nil"/>
              <w:bottom w:val="single" w:sz="4" w:space="0" w:color="auto"/>
              <w:right w:val="single" w:sz="4" w:space="0" w:color="auto"/>
            </w:tcBorders>
            <w:shd w:val="clear" w:color="auto" w:fill="auto"/>
            <w:vAlign w:val="center"/>
            <w:hideMark/>
          </w:tcPr>
          <w:p w:rsidR="00891F62" w:rsidRPr="00891F62" w:rsidP="00891F62" w14:paraId="1668C97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Number of Respondents (E=A+B+C-D)</w:t>
            </w:r>
          </w:p>
        </w:tc>
      </w:tr>
      <w:tr w14:paraId="768225BF" w14:textId="77777777" w:rsidTr="00891F62">
        <w:tblPrEx>
          <w:tblW w:w="12300" w:type="dxa"/>
          <w:tblInd w:w="113" w:type="dxa"/>
          <w:tblLook w:val="04A0"/>
        </w:tblPrEx>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91F62" w:rsidRPr="00891F62" w:rsidP="00891F62" w14:paraId="5631843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274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4A9E11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42DD2A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24</w:t>
            </w:r>
          </w:p>
        </w:tc>
        <w:tc>
          <w:tcPr>
            <w:tcW w:w="208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CF8191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230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4E6F32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208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B09EAD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24</w:t>
            </w:r>
          </w:p>
        </w:tc>
      </w:tr>
      <w:tr w14:paraId="74373DFC" w14:textId="77777777" w:rsidTr="00891F62">
        <w:tblPrEx>
          <w:tblW w:w="12300" w:type="dxa"/>
          <w:tblInd w:w="113" w:type="dxa"/>
          <w:tblLook w:val="04A0"/>
        </w:tblPrEx>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91F62" w:rsidRPr="00891F62" w:rsidP="00891F62" w14:paraId="79EEF7B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274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FA1ED8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2229AA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24</w:t>
            </w:r>
          </w:p>
        </w:tc>
        <w:tc>
          <w:tcPr>
            <w:tcW w:w="208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494CCF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230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B89069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208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12CD976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24</w:t>
            </w:r>
          </w:p>
        </w:tc>
      </w:tr>
      <w:tr w14:paraId="5199D980" w14:textId="77777777" w:rsidTr="00891F62">
        <w:tblPrEx>
          <w:tblW w:w="12300" w:type="dxa"/>
          <w:tblInd w:w="113" w:type="dxa"/>
          <w:tblLook w:val="04A0"/>
        </w:tblPrEx>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91F62" w:rsidRPr="00891F62" w:rsidP="00891F62" w14:paraId="0651E36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p>
        </w:tc>
        <w:tc>
          <w:tcPr>
            <w:tcW w:w="274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E8D03B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2D53B0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24</w:t>
            </w:r>
          </w:p>
        </w:tc>
        <w:tc>
          <w:tcPr>
            <w:tcW w:w="208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94685C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230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01874EB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208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3EE4263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24</w:t>
            </w:r>
          </w:p>
        </w:tc>
      </w:tr>
      <w:tr w14:paraId="66F83185" w14:textId="77777777" w:rsidTr="00891F62">
        <w:tblPrEx>
          <w:tblW w:w="12300" w:type="dxa"/>
          <w:tblInd w:w="113" w:type="dxa"/>
          <w:tblLook w:val="04A0"/>
        </w:tblPrEx>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91F62" w:rsidRPr="00891F62" w:rsidP="00891F62" w14:paraId="1639F58B"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Average</w:t>
            </w:r>
          </w:p>
        </w:tc>
        <w:tc>
          <w:tcPr>
            <w:tcW w:w="274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488D9A8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214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7B6D2BD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24</w:t>
            </w:r>
          </w:p>
        </w:tc>
        <w:tc>
          <w:tcPr>
            <w:tcW w:w="208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2638B7CB"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230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68EFBFF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2080" w:type="dxa"/>
            <w:tcBorders>
              <w:top w:val="nil"/>
              <w:left w:val="nil"/>
              <w:bottom w:val="single" w:sz="4" w:space="0" w:color="auto"/>
              <w:right w:val="single" w:sz="4" w:space="0" w:color="auto"/>
            </w:tcBorders>
            <w:shd w:val="clear" w:color="auto" w:fill="auto"/>
            <w:noWrap/>
            <w:vAlign w:val="center"/>
            <w:hideMark/>
          </w:tcPr>
          <w:p w:rsidR="00891F62" w:rsidRPr="00891F62" w:rsidP="00891F62" w14:paraId="50A50D3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24</w:t>
            </w:r>
          </w:p>
        </w:tc>
      </w:tr>
    </w:tbl>
    <w:p w:rsidR="00DE5FD4" w:rsidP="00BB3410" w14:paraId="25C9AE64" w14:textId="77777777">
      <w:pPr>
        <w:pStyle w:val="ListParagraph"/>
        <w:spacing w:before="240"/>
        <w:ind w:left="0"/>
        <w:rPr>
          <w:rFonts w:cstheme="minorHAnsi"/>
          <w:b/>
          <w:bCs/>
          <w:sz w:val="24"/>
          <w:szCs w:val="24"/>
        </w:rPr>
      </w:pPr>
    </w:p>
    <w:tbl>
      <w:tblPr>
        <w:tblW w:w="8100" w:type="dxa"/>
        <w:tblInd w:w="113" w:type="dxa"/>
        <w:tblLook w:val="04A0"/>
      </w:tblPr>
      <w:tblGrid>
        <w:gridCol w:w="2969"/>
        <w:gridCol w:w="1239"/>
        <w:gridCol w:w="1061"/>
        <w:gridCol w:w="1346"/>
        <w:gridCol w:w="1485"/>
      </w:tblGrid>
      <w:tr w14:paraId="7F88D4B8" w14:textId="77777777" w:rsidTr="00891F62">
        <w:tblPrEx>
          <w:tblW w:w="8100" w:type="dxa"/>
          <w:tblInd w:w="113" w:type="dxa"/>
          <w:tblLook w:val="04A0"/>
        </w:tblPrEx>
        <w:trPr>
          <w:trHeight w:val="480"/>
        </w:trPr>
        <w:tc>
          <w:tcPr>
            <w:tcW w:w="81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91F62" w:rsidRPr="00891F62" w:rsidP="00891F62" w14:paraId="44B56FA5" w14:textId="77777777">
            <w:pPr>
              <w:spacing w:after="0" w:line="240" w:lineRule="auto"/>
              <w:jc w:val="center"/>
              <w:rPr>
                <w:rFonts w:ascii="Times New Roman" w:eastAsia="Times New Roman" w:hAnsi="Times New Roman" w:cs="Times New Roman"/>
                <w:b/>
                <w:bCs/>
                <w:color w:val="000000"/>
                <w:sz w:val="24"/>
                <w:szCs w:val="24"/>
              </w:rPr>
            </w:pPr>
            <w:r w:rsidRPr="00891F62">
              <w:rPr>
                <w:rFonts w:ascii="Times New Roman" w:eastAsia="Times New Roman" w:hAnsi="Times New Roman" w:cs="Times New Roman"/>
                <w:b/>
                <w:bCs/>
                <w:color w:val="000000"/>
                <w:sz w:val="24"/>
                <w:szCs w:val="24"/>
              </w:rPr>
              <w:t>Total Annual Responses</w:t>
            </w:r>
          </w:p>
        </w:tc>
      </w:tr>
      <w:tr w14:paraId="49B403EC"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3F55977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(A)</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51A1B85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(B)</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44295C8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(C)</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01CED9F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(D)</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778BCFE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(E)</w:t>
            </w:r>
          </w:p>
        </w:tc>
      </w:tr>
      <w:tr w14:paraId="1CFDC946"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1A076342"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Information Collection Activity</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28778B6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Number of Respondents</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0D2AEF1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Number of Responses</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4324146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Number of Existing Respondents That Keep Records </w:t>
            </w:r>
            <w:r w:rsidRPr="00891F62">
              <w:rPr>
                <w:rFonts w:ascii="Times New Roman" w:eastAsia="Times New Roman" w:hAnsi="Times New Roman" w:cs="Times New Roman"/>
                <w:color w:val="000000"/>
                <w:sz w:val="20"/>
                <w:szCs w:val="20"/>
              </w:rPr>
              <w:t>But</w:t>
            </w:r>
            <w:r w:rsidRPr="00891F62">
              <w:rPr>
                <w:rFonts w:ascii="Times New Roman" w:eastAsia="Times New Roman" w:hAnsi="Times New Roman" w:cs="Times New Roman"/>
                <w:color w:val="000000"/>
                <w:sz w:val="20"/>
                <w:szCs w:val="20"/>
              </w:rPr>
              <w:t xml:space="preserve"> Do Not Submit Reports</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5A30CB8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Total Annual Responses</w:t>
            </w:r>
            <w:r w:rsidRPr="00891F62">
              <w:rPr>
                <w:rFonts w:ascii="Times New Roman" w:eastAsia="Times New Roman" w:hAnsi="Times New Roman" w:cs="Times New Roman"/>
                <w:color w:val="000000"/>
                <w:sz w:val="20"/>
                <w:szCs w:val="20"/>
              </w:rPr>
              <w:br/>
              <w:t>E=(</w:t>
            </w:r>
            <w:r w:rsidRPr="00891F62">
              <w:rPr>
                <w:rFonts w:ascii="Times New Roman" w:eastAsia="Times New Roman" w:hAnsi="Times New Roman" w:cs="Times New Roman"/>
                <w:color w:val="000000"/>
                <w:sz w:val="20"/>
                <w:szCs w:val="20"/>
              </w:rPr>
              <w:t>BxC</w:t>
            </w:r>
            <w:r w:rsidRPr="00891F62">
              <w:rPr>
                <w:rFonts w:ascii="Times New Roman" w:eastAsia="Times New Roman" w:hAnsi="Times New Roman" w:cs="Times New Roman"/>
                <w:color w:val="000000"/>
                <w:sz w:val="20"/>
                <w:szCs w:val="20"/>
              </w:rPr>
              <w:t>)+D</w:t>
            </w:r>
          </w:p>
        </w:tc>
      </w:tr>
      <w:tr w14:paraId="19D1FD35"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4F1F4F3B"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Notification of compliance status</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7F2F6B3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5931F71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6CE06DB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78DEE3B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r>
      <w:tr w14:paraId="2B65DC22"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27EB9021"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Notification of storage vessel inspection</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13050C7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24</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43BC203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6</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232C1EB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6EA42D2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144</w:t>
            </w:r>
          </w:p>
        </w:tc>
      </w:tr>
      <w:tr w14:paraId="484CD0C0"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7DBAD499"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Notification of performance tests</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037AE00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1BF13C7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10AA805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780A904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r>
      <w:tr w14:paraId="391873C6"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45F12600"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Notification of alternative test method</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4F4B961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21C9736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485E079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5A563AB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r>
      <w:tr w14:paraId="2F613A9B"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7A1E4A38"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Notification of special compliance requirements</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771237A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10ED344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76FAFCA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15BA83D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r>
      <w:tr w14:paraId="18D55425"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4012222D"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Pre-compliance report</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12B5F85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6A04A28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4EDB0F9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44F2272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r>
      <w:tr w14:paraId="6919B307"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4B09D9C5"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Progress reports for affected sources receiving an extension of compliance</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53F43B9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5B9F3F0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0742300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1139951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r>
      <w:tr w14:paraId="428CE215"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19F5F04F"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Emissions averaging plans</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0B10B53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1B056A8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39D5A66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545E591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r>
      <w:tr w14:paraId="61B36BE3"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31CA1CD7"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Request for approval for a nominal control efficiency for use in calculating credits for emission averaging</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31C13C7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5D38C12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6557941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6BD83D4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r>
      <w:tr w14:paraId="1F0C21C5"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3B3ECBFE"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Updates to emissions averaging plan</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732491A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5CF4D7A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380345F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709F019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r>
      <w:tr w14:paraId="7A668482"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2F78536A"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Report of changes to the primary product for a TPPU or process unit</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3624E2F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40243FA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49AAB14D"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3460A35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p>
        </w:tc>
      </w:tr>
      <w:tr w14:paraId="740A1FAD"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49F67BDE"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Report of newly constructed/reconstructed source</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0FFACB3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2353C9F7"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6077C44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6DB280F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r>
      <w:tr w14:paraId="0FCCC612"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436E269C"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Operating permit application</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73CC04C3"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74DFA1B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424C443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02E1141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r>
      <w:tr w14:paraId="501C9269"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3DD762DA"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Report for batch process vents</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0AF82C8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6DD0D6A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7FC8044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3758435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p>
        </w:tc>
      </w:tr>
      <w:tr w14:paraId="17C0E2FE"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7329A141"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Report for PET sources using a dimethyl terephthalate process</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1F1C360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18513DF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7FC26ED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6123069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r>
      <w:tr w14:paraId="103E19CD"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5DD0E1B8"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Malfunction Reports</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31703992"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395D54D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4C8C2B1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385E2F01"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w:t>
            </w:r>
          </w:p>
        </w:tc>
      </w:tr>
      <w:tr w14:paraId="6AA335EA"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3970782F"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Semiannual reports </w:t>
            </w:r>
            <w:r w:rsidRPr="00891F62">
              <w:rPr>
                <w:rFonts w:ascii="Times New Roman" w:eastAsia="Times New Roman" w:hAnsi="Times New Roman" w:cs="Times New Roman"/>
                <w:color w:val="000000"/>
                <w:sz w:val="20"/>
                <w:szCs w:val="20"/>
                <w:vertAlign w:val="superscript"/>
              </w:rPr>
              <w:t>a</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2ABF6B1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23</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0C7BCD7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0485F0A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216CEBE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46</w:t>
            </w:r>
          </w:p>
        </w:tc>
      </w:tr>
      <w:tr w14:paraId="27F2E55A"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12583DE8"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Quarterly periodic reports for facilities using emission averaging and where a respondent did not qualify for semiannual reporting</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5E4BB65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199EDEE8"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4</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7EDA1FB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10FF29CA"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16</w:t>
            </w:r>
          </w:p>
        </w:tc>
      </w:tr>
      <w:tr w14:paraId="0E34822E" w14:textId="77777777" w:rsidTr="00891F62">
        <w:tblPrEx>
          <w:tblW w:w="8100" w:type="dxa"/>
          <w:tblInd w:w="113" w:type="dxa"/>
          <w:tblLook w:val="04A0"/>
        </w:tblPrEx>
        <w:trPr>
          <w:trHeight w:val="480"/>
        </w:trPr>
        <w:tc>
          <w:tcPr>
            <w:tcW w:w="3595"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2C5585AA" w14:textId="77777777">
            <w:pPr>
              <w:spacing w:after="0" w:line="240" w:lineRule="auto"/>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xml:space="preserve">Total (rounded) </w:t>
            </w:r>
            <w:r w:rsidRPr="00891F62">
              <w:rPr>
                <w:rFonts w:ascii="Times New Roman" w:eastAsia="Times New Roman" w:hAnsi="Times New Roman" w:cs="Times New Roman"/>
                <w:b/>
                <w:bCs/>
                <w:color w:val="000000"/>
                <w:sz w:val="20"/>
                <w:szCs w:val="20"/>
                <w:vertAlign w:val="superscript"/>
              </w:rPr>
              <w:t>b</w:t>
            </w:r>
          </w:p>
        </w:tc>
        <w:tc>
          <w:tcPr>
            <w:tcW w:w="272" w:type="dxa"/>
            <w:tcBorders>
              <w:top w:val="nil"/>
              <w:left w:val="nil"/>
              <w:bottom w:val="single" w:sz="4" w:space="0" w:color="auto"/>
              <w:right w:val="single" w:sz="4" w:space="0" w:color="auto"/>
            </w:tcBorders>
            <w:shd w:val="clear" w:color="auto" w:fill="auto"/>
            <w:vAlign w:val="center"/>
            <w:hideMark/>
          </w:tcPr>
          <w:p w:rsidR="00891F62" w:rsidRPr="00891F62" w:rsidP="00891F62" w14:paraId="67F587A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061" w:type="dxa"/>
            <w:tcBorders>
              <w:top w:val="nil"/>
              <w:left w:val="nil"/>
              <w:bottom w:val="single" w:sz="4" w:space="0" w:color="auto"/>
              <w:right w:val="single" w:sz="4" w:space="0" w:color="auto"/>
            </w:tcBorders>
            <w:shd w:val="clear" w:color="auto" w:fill="auto"/>
            <w:vAlign w:val="center"/>
            <w:hideMark/>
          </w:tcPr>
          <w:p w:rsidR="00891F62" w:rsidRPr="00891F62" w:rsidP="00891F62" w14:paraId="5162C52C"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441" w:type="dxa"/>
            <w:tcBorders>
              <w:top w:val="nil"/>
              <w:left w:val="nil"/>
              <w:bottom w:val="single" w:sz="4" w:space="0" w:color="auto"/>
              <w:right w:val="single" w:sz="4" w:space="0" w:color="auto"/>
            </w:tcBorders>
            <w:shd w:val="clear" w:color="auto" w:fill="auto"/>
            <w:vAlign w:val="center"/>
            <w:hideMark/>
          </w:tcPr>
          <w:p w:rsidR="00891F62" w:rsidRPr="00891F62" w:rsidP="00891F62" w14:paraId="55331435"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w:t>
            </w:r>
          </w:p>
        </w:tc>
        <w:tc>
          <w:tcPr>
            <w:tcW w:w="1731" w:type="dxa"/>
            <w:tcBorders>
              <w:top w:val="nil"/>
              <w:left w:val="nil"/>
              <w:bottom w:val="single" w:sz="4" w:space="0" w:color="auto"/>
              <w:right w:val="single" w:sz="4" w:space="0" w:color="auto"/>
            </w:tcBorders>
            <w:shd w:val="clear" w:color="auto" w:fill="auto"/>
            <w:vAlign w:val="center"/>
            <w:hideMark/>
          </w:tcPr>
          <w:p w:rsidR="00891F62" w:rsidRPr="00891F62" w:rsidP="00891F62" w14:paraId="239B0C53"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218</w:t>
            </w:r>
          </w:p>
        </w:tc>
      </w:tr>
      <w:tr w14:paraId="42BFAF91" w14:textId="77777777" w:rsidTr="00891F62">
        <w:tblPrEx>
          <w:tblW w:w="8100" w:type="dxa"/>
          <w:tblInd w:w="113" w:type="dxa"/>
          <w:tblLook w:val="04A0"/>
        </w:tblPrEx>
        <w:trPr>
          <w:trHeight w:val="782"/>
        </w:trPr>
        <w:tc>
          <w:tcPr>
            <w:tcW w:w="8100" w:type="dxa"/>
            <w:gridSpan w:val="5"/>
            <w:tcBorders>
              <w:top w:val="single" w:sz="4" w:space="0" w:color="auto"/>
              <w:left w:val="nil"/>
              <w:bottom w:val="nil"/>
              <w:right w:val="nil"/>
            </w:tcBorders>
            <w:shd w:val="clear" w:color="auto" w:fill="auto"/>
            <w:hideMark/>
          </w:tcPr>
          <w:p w:rsidR="00891F62" w:rsidRPr="00891F62" w:rsidP="00891F62" w14:paraId="0F72D0C4" w14:textId="61CE3CAE">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a</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 xml:space="preserve">There are 27 affected sources (PRD) monitored at 24 facilities. For the 23 sources qualifying for semiannual reports, this information will be included in the required periodic report and is not considered a separate response. For the 4 sources required to submit quarterly reports, we assume this information will be submitted quarterly as a separate report. </w:t>
            </w:r>
          </w:p>
        </w:tc>
      </w:tr>
      <w:tr w14:paraId="1686E2B0" w14:textId="77777777" w:rsidTr="00891F62">
        <w:tblPrEx>
          <w:tblW w:w="8100" w:type="dxa"/>
          <w:tblInd w:w="113" w:type="dxa"/>
          <w:tblLook w:val="04A0"/>
        </w:tblPrEx>
        <w:trPr>
          <w:trHeight w:val="315"/>
        </w:trPr>
        <w:tc>
          <w:tcPr>
            <w:tcW w:w="8100" w:type="dxa"/>
            <w:gridSpan w:val="5"/>
            <w:tcBorders>
              <w:top w:val="nil"/>
              <w:left w:val="nil"/>
              <w:bottom w:val="nil"/>
              <w:right w:val="nil"/>
            </w:tcBorders>
            <w:shd w:val="clear" w:color="auto" w:fill="auto"/>
            <w:hideMark/>
          </w:tcPr>
          <w:p w:rsidR="00891F62" w:rsidRPr="00891F62" w:rsidP="00891F62" w14:paraId="4EBF28A3" w14:textId="1071BB35">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b</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Totals have been rounded to 3 significant figures. Figures may not add exactly due to rounding.</w:t>
            </w:r>
          </w:p>
        </w:tc>
      </w:tr>
    </w:tbl>
    <w:p w:rsidR="009D7EC1" w:rsidP="00BB3410" w14:paraId="26AF562F" w14:textId="2491B3E7">
      <w:pPr>
        <w:pStyle w:val="ListParagraph"/>
        <w:spacing w:before="240"/>
        <w:ind w:left="0"/>
        <w:rPr>
          <w:rFonts w:cstheme="minorHAnsi"/>
          <w:b/>
          <w:bCs/>
          <w:sz w:val="24"/>
          <w:szCs w:val="24"/>
        </w:rPr>
      </w:pPr>
    </w:p>
    <w:tbl>
      <w:tblPr>
        <w:tblW w:w="11780" w:type="dxa"/>
        <w:tblInd w:w="113" w:type="dxa"/>
        <w:tblLook w:val="04A0"/>
      </w:tblPr>
      <w:tblGrid>
        <w:gridCol w:w="3460"/>
        <w:gridCol w:w="1427"/>
        <w:gridCol w:w="1420"/>
        <w:gridCol w:w="1427"/>
        <w:gridCol w:w="1392"/>
        <w:gridCol w:w="1239"/>
        <w:gridCol w:w="1416"/>
      </w:tblGrid>
      <w:tr w14:paraId="33A533ED" w14:textId="77777777" w:rsidTr="00891F62">
        <w:tblPrEx>
          <w:tblW w:w="11780" w:type="dxa"/>
          <w:tblInd w:w="113" w:type="dxa"/>
          <w:tblLook w:val="04A0"/>
        </w:tblPrEx>
        <w:trPr>
          <w:trHeight w:val="315"/>
        </w:trPr>
        <w:tc>
          <w:tcPr>
            <w:tcW w:w="1178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891F62" w:rsidRPr="00891F62" w:rsidP="00891F62" w14:paraId="76C661DC" w14:textId="77777777">
            <w:pPr>
              <w:spacing w:after="0" w:line="240" w:lineRule="auto"/>
              <w:jc w:val="center"/>
              <w:rPr>
                <w:rFonts w:ascii="Times New Roman" w:eastAsia="Times New Roman" w:hAnsi="Times New Roman" w:cs="Times New Roman"/>
                <w:b/>
                <w:bCs/>
                <w:color w:val="000000"/>
                <w:sz w:val="24"/>
                <w:szCs w:val="24"/>
              </w:rPr>
            </w:pPr>
            <w:r w:rsidRPr="00891F62">
              <w:rPr>
                <w:rFonts w:ascii="Times New Roman" w:eastAsia="Times New Roman" w:hAnsi="Times New Roman" w:cs="Times New Roman"/>
                <w:b/>
                <w:bCs/>
                <w:color w:val="000000"/>
                <w:sz w:val="24"/>
                <w:szCs w:val="24"/>
              </w:rPr>
              <w:t>Capital/Startup vs. Operation and Maintenance (O&amp;M) Costs</w:t>
            </w:r>
          </w:p>
        </w:tc>
      </w:tr>
      <w:tr w14:paraId="6B257DB4" w14:textId="77777777" w:rsidTr="00891F62">
        <w:tblPrEx>
          <w:tblW w:w="11780" w:type="dxa"/>
          <w:tblInd w:w="113" w:type="dxa"/>
          <w:tblLook w:val="04A0"/>
        </w:tblPrEx>
        <w:trPr>
          <w:trHeight w:val="255"/>
        </w:trPr>
        <w:tc>
          <w:tcPr>
            <w:tcW w:w="3460"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63C5E07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(A)</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3940249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(B)</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6CC9ABD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(C)</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0FD36820"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(D)</w:t>
            </w:r>
          </w:p>
        </w:tc>
        <w:tc>
          <w:tcPr>
            <w:tcW w:w="1480" w:type="dxa"/>
            <w:tcBorders>
              <w:top w:val="nil"/>
              <w:left w:val="nil"/>
              <w:bottom w:val="single" w:sz="4" w:space="0" w:color="auto"/>
              <w:right w:val="single" w:sz="4" w:space="0" w:color="auto"/>
            </w:tcBorders>
            <w:shd w:val="clear" w:color="auto" w:fill="auto"/>
            <w:vAlign w:val="center"/>
            <w:hideMark/>
          </w:tcPr>
          <w:p w:rsidR="00891F62" w:rsidRPr="00891F62" w:rsidP="00891F62" w14:paraId="3C4E4C7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(E)</w:t>
            </w:r>
          </w:p>
        </w:tc>
        <w:tc>
          <w:tcPr>
            <w:tcW w:w="1160" w:type="dxa"/>
            <w:tcBorders>
              <w:top w:val="nil"/>
              <w:left w:val="nil"/>
              <w:bottom w:val="single" w:sz="4" w:space="0" w:color="auto"/>
              <w:right w:val="single" w:sz="4" w:space="0" w:color="auto"/>
            </w:tcBorders>
            <w:shd w:val="clear" w:color="auto" w:fill="auto"/>
            <w:vAlign w:val="center"/>
            <w:hideMark/>
          </w:tcPr>
          <w:p w:rsidR="00891F62" w:rsidRPr="00891F62" w:rsidP="00891F62" w14:paraId="22D978C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(F)</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0BFC5A6B"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(G)</w:t>
            </w:r>
          </w:p>
        </w:tc>
      </w:tr>
      <w:tr w14:paraId="17A8060D" w14:textId="77777777" w:rsidTr="00891F62">
        <w:tblPrEx>
          <w:tblW w:w="11780" w:type="dxa"/>
          <w:tblInd w:w="113" w:type="dxa"/>
          <w:tblLook w:val="04A0"/>
        </w:tblPrEx>
        <w:trPr>
          <w:trHeight w:val="825"/>
        </w:trPr>
        <w:tc>
          <w:tcPr>
            <w:tcW w:w="3460"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1854637F"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Burden</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7879B169"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Capital/Startup Cost for One Respondent</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6F9804C6"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Number of New Respondents</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35FC150B" w14:textId="6A2F9E03">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Total Capital/Startup Cost,</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(B X C)</w:t>
            </w:r>
          </w:p>
        </w:tc>
        <w:tc>
          <w:tcPr>
            <w:tcW w:w="1480" w:type="dxa"/>
            <w:tcBorders>
              <w:top w:val="nil"/>
              <w:left w:val="nil"/>
              <w:bottom w:val="single" w:sz="4" w:space="0" w:color="auto"/>
              <w:right w:val="single" w:sz="4" w:space="0" w:color="auto"/>
            </w:tcBorders>
            <w:shd w:val="clear" w:color="auto" w:fill="auto"/>
            <w:vAlign w:val="center"/>
            <w:hideMark/>
          </w:tcPr>
          <w:p w:rsidR="00891F62" w:rsidRPr="00891F62" w:rsidP="00891F62" w14:paraId="22C01D3E"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Annual O&amp;M Costs for One Respondent </w:t>
            </w:r>
            <w:r w:rsidRPr="00891F62">
              <w:rPr>
                <w:rFonts w:ascii="Times New Roman" w:eastAsia="Times New Roman" w:hAnsi="Times New Roman" w:cs="Times New Roman"/>
                <w:color w:val="000000"/>
                <w:sz w:val="20"/>
                <w:szCs w:val="20"/>
                <w:vertAlign w:val="superscript"/>
              </w:rPr>
              <w:t>a</w:t>
            </w:r>
          </w:p>
        </w:tc>
        <w:tc>
          <w:tcPr>
            <w:tcW w:w="1160" w:type="dxa"/>
            <w:tcBorders>
              <w:top w:val="nil"/>
              <w:left w:val="nil"/>
              <w:bottom w:val="single" w:sz="4" w:space="0" w:color="auto"/>
              <w:right w:val="single" w:sz="4" w:space="0" w:color="auto"/>
            </w:tcBorders>
            <w:shd w:val="clear" w:color="auto" w:fill="auto"/>
            <w:vAlign w:val="center"/>
            <w:hideMark/>
          </w:tcPr>
          <w:p w:rsidR="00891F62" w:rsidRPr="00891F62" w:rsidP="00891F62" w14:paraId="3F2E899F" w14:textId="56A2E91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Number of Respondents</w:t>
            </w:r>
            <w:r w:rsidR="00B5008A">
              <w:rPr>
                <w:rFonts w:ascii="Times New Roman" w:eastAsia="Times New Roman" w:hAnsi="Times New Roman" w:cs="Times New Roman"/>
                <w:color w:val="000000"/>
                <w:sz w:val="20"/>
                <w:szCs w:val="20"/>
              </w:rPr>
              <w:t xml:space="preserve"> </w:t>
            </w:r>
            <w:r w:rsidRPr="00891F62">
              <w:rPr>
                <w:rFonts w:ascii="Times New Roman" w:eastAsia="Times New Roman" w:hAnsi="Times New Roman" w:cs="Times New Roman"/>
                <w:color w:val="000000"/>
                <w:sz w:val="20"/>
                <w:szCs w:val="20"/>
              </w:rPr>
              <w:t>with O&amp;M</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77627824" w14:textId="77777777">
            <w:pPr>
              <w:spacing w:after="0" w:line="240" w:lineRule="auto"/>
              <w:jc w:val="center"/>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Total O&amp;M, (</w:t>
            </w:r>
            <w:r w:rsidRPr="00891F62">
              <w:rPr>
                <w:rFonts w:ascii="Times New Roman" w:eastAsia="Times New Roman" w:hAnsi="Times New Roman" w:cs="Times New Roman"/>
                <w:color w:val="000000"/>
                <w:sz w:val="20"/>
                <w:szCs w:val="20"/>
              </w:rPr>
              <w:t>ExF</w:t>
            </w:r>
            <w:r w:rsidRPr="00891F62">
              <w:rPr>
                <w:rFonts w:ascii="Times New Roman" w:eastAsia="Times New Roman" w:hAnsi="Times New Roman" w:cs="Times New Roman"/>
                <w:color w:val="000000"/>
                <w:sz w:val="20"/>
                <w:szCs w:val="20"/>
              </w:rPr>
              <w:t>)</w:t>
            </w:r>
          </w:p>
        </w:tc>
      </w:tr>
      <w:tr w14:paraId="74E2D50C" w14:textId="77777777" w:rsidTr="00891F62">
        <w:tblPrEx>
          <w:tblW w:w="11780" w:type="dxa"/>
          <w:tblInd w:w="113" w:type="dxa"/>
          <w:tblLook w:val="04A0"/>
        </w:tblPrEx>
        <w:trPr>
          <w:trHeight w:val="315"/>
        </w:trPr>
        <w:tc>
          <w:tcPr>
            <w:tcW w:w="3460"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23FCD5B3"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Electronic indicators for PRD </w:t>
            </w:r>
            <w:r w:rsidRPr="00891F62">
              <w:rPr>
                <w:rFonts w:ascii="Times New Roman" w:eastAsia="Times New Roman" w:hAnsi="Times New Roman" w:cs="Times New Roman"/>
                <w:color w:val="000000"/>
                <w:sz w:val="20"/>
                <w:szCs w:val="20"/>
                <w:vertAlign w:val="superscript"/>
              </w:rPr>
              <w:t>a</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359EF79D"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$22,063 </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2E8E15BB"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1BE47CA7"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c>
          <w:tcPr>
            <w:tcW w:w="1480" w:type="dxa"/>
            <w:tcBorders>
              <w:top w:val="nil"/>
              <w:left w:val="nil"/>
              <w:bottom w:val="single" w:sz="4" w:space="0" w:color="auto"/>
              <w:right w:val="single" w:sz="4" w:space="0" w:color="auto"/>
            </w:tcBorders>
            <w:shd w:val="clear" w:color="auto" w:fill="auto"/>
            <w:vAlign w:val="center"/>
            <w:hideMark/>
          </w:tcPr>
          <w:p w:rsidR="00891F62" w:rsidRPr="00891F62" w:rsidP="00891F62" w14:paraId="278EE4B7"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c>
          <w:tcPr>
            <w:tcW w:w="1160" w:type="dxa"/>
            <w:tcBorders>
              <w:top w:val="nil"/>
              <w:left w:val="nil"/>
              <w:bottom w:val="single" w:sz="4" w:space="0" w:color="auto"/>
              <w:right w:val="single" w:sz="4" w:space="0" w:color="auto"/>
            </w:tcBorders>
            <w:shd w:val="clear" w:color="auto" w:fill="auto"/>
            <w:vAlign w:val="center"/>
            <w:hideMark/>
          </w:tcPr>
          <w:p w:rsidR="00891F62" w:rsidRPr="00891F62" w:rsidP="00891F62" w14:paraId="2FE91659"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1C0B3451"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r>
      <w:tr w14:paraId="63611F2B" w14:textId="77777777" w:rsidTr="00891F62">
        <w:tblPrEx>
          <w:tblW w:w="11780" w:type="dxa"/>
          <w:tblInd w:w="113" w:type="dxa"/>
          <w:tblLook w:val="04A0"/>
        </w:tblPrEx>
        <w:trPr>
          <w:trHeight w:val="570"/>
        </w:trPr>
        <w:tc>
          <w:tcPr>
            <w:tcW w:w="3460"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3D143475"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Monitoring equipment for process vents and wastewater </w:t>
            </w:r>
            <w:r w:rsidRPr="00891F62">
              <w:rPr>
                <w:rFonts w:ascii="Times New Roman" w:eastAsia="Times New Roman" w:hAnsi="Times New Roman" w:cs="Times New Roman"/>
                <w:color w:val="000000"/>
                <w:sz w:val="20"/>
                <w:szCs w:val="20"/>
                <w:vertAlign w:val="superscript"/>
              </w:rPr>
              <w:t>b</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4B2D3329"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$34,625 </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201090C0"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368DDBF5"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c>
          <w:tcPr>
            <w:tcW w:w="1480" w:type="dxa"/>
            <w:tcBorders>
              <w:top w:val="nil"/>
              <w:left w:val="nil"/>
              <w:bottom w:val="single" w:sz="4" w:space="0" w:color="auto"/>
              <w:right w:val="single" w:sz="4" w:space="0" w:color="auto"/>
            </w:tcBorders>
            <w:shd w:val="clear" w:color="auto" w:fill="auto"/>
            <w:vAlign w:val="center"/>
            <w:hideMark/>
          </w:tcPr>
          <w:p w:rsidR="00891F62" w:rsidRPr="00891F62" w:rsidP="00891F62" w14:paraId="7B3C2768"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$380,876 </w:t>
            </w:r>
          </w:p>
        </w:tc>
        <w:tc>
          <w:tcPr>
            <w:tcW w:w="1160" w:type="dxa"/>
            <w:tcBorders>
              <w:top w:val="nil"/>
              <w:left w:val="nil"/>
              <w:bottom w:val="single" w:sz="4" w:space="0" w:color="auto"/>
              <w:right w:val="single" w:sz="4" w:space="0" w:color="auto"/>
            </w:tcBorders>
            <w:shd w:val="clear" w:color="auto" w:fill="auto"/>
            <w:vAlign w:val="center"/>
            <w:hideMark/>
          </w:tcPr>
          <w:p w:rsidR="00891F62" w:rsidRPr="00891F62" w:rsidP="00891F62" w14:paraId="4DC0C614"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27</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777BCC7F"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$10,283,644 </w:t>
            </w:r>
          </w:p>
        </w:tc>
      </w:tr>
      <w:tr w14:paraId="0366DAD4" w14:textId="77777777" w:rsidTr="00891F62">
        <w:tblPrEx>
          <w:tblW w:w="11780" w:type="dxa"/>
          <w:tblInd w:w="113" w:type="dxa"/>
          <w:tblLook w:val="04A0"/>
        </w:tblPrEx>
        <w:trPr>
          <w:trHeight w:val="462"/>
        </w:trPr>
        <w:tc>
          <w:tcPr>
            <w:tcW w:w="3460"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1FF5985A"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Monitoring equipment for equipment leaks </w:t>
            </w:r>
            <w:r w:rsidRPr="00891F62">
              <w:rPr>
                <w:rFonts w:ascii="Times New Roman" w:eastAsia="Times New Roman" w:hAnsi="Times New Roman" w:cs="Times New Roman"/>
                <w:color w:val="000000"/>
                <w:sz w:val="20"/>
                <w:szCs w:val="20"/>
                <w:vertAlign w:val="superscript"/>
              </w:rPr>
              <w:t>b</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2BE28578"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$1,939 </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2C271F17"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73E08EAB"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c>
          <w:tcPr>
            <w:tcW w:w="1480" w:type="dxa"/>
            <w:tcBorders>
              <w:top w:val="nil"/>
              <w:left w:val="nil"/>
              <w:bottom w:val="single" w:sz="4" w:space="0" w:color="auto"/>
              <w:right w:val="single" w:sz="4" w:space="0" w:color="auto"/>
            </w:tcBorders>
            <w:shd w:val="clear" w:color="auto" w:fill="auto"/>
            <w:vAlign w:val="center"/>
            <w:hideMark/>
          </w:tcPr>
          <w:p w:rsidR="00891F62" w:rsidRPr="00891F62" w:rsidP="00891F62" w14:paraId="08CE23BF"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c>
          <w:tcPr>
            <w:tcW w:w="1160" w:type="dxa"/>
            <w:tcBorders>
              <w:top w:val="nil"/>
              <w:left w:val="nil"/>
              <w:bottom w:val="single" w:sz="4" w:space="0" w:color="auto"/>
              <w:right w:val="single" w:sz="4" w:space="0" w:color="auto"/>
            </w:tcBorders>
            <w:shd w:val="clear" w:color="auto" w:fill="auto"/>
            <w:vAlign w:val="center"/>
            <w:hideMark/>
          </w:tcPr>
          <w:p w:rsidR="00891F62" w:rsidRPr="00891F62" w:rsidP="00891F62" w14:paraId="673DFFF8"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0</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5091C607" w14:textId="77777777">
            <w:pPr>
              <w:spacing w:after="0" w:line="240" w:lineRule="auto"/>
              <w:jc w:val="right"/>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 xml:space="preserve">$0 </w:t>
            </w:r>
          </w:p>
        </w:tc>
      </w:tr>
      <w:tr w14:paraId="29C2F2C4" w14:textId="77777777" w:rsidTr="00891F62">
        <w:tblPrEx>
          <w:tblW w:w="11780" w:type="dxa"/>
          <w:tblInd w:w="113" w:type="dxa"/>
          <w:tblLook w:val="04A0"/>
        </w:tblPrEx>
        <w:trPr>
          <w:trHeight w:val="315"/>
        </w:trPr>
        <w:tc>
          <w:tcPr>
            <w:tcW w:w="3460" w:type="dxa"/>
            <w:tcBorders>
              <w:top w:val="nil"/>
              <w:left w:val="single" w:sz="4" w:space="0" w:color="auto"/>
              <w:bottom w:val="single" w:sz="4" w:space="0" w:color="auto"/>
              <w:right w:val="single" w:sz="4" w:space="0" w:color="auto"/>
            </w:tcBorders>
            <w:shd w:val="clear" w:color="auto" w:fill="auto"/>
            <w:vAlign w:val="center"/>
            <w:hideMark/>
          </w:tcPr>
          <w:p w:rsidR="00891F62" w:rsidRPr="00891F62" w:rsidP="00891F62" w14:paraId="1BE5BA27" w14:textId="2182C6F3">
            <w:pPr>
              <w:spacing w:after="0" w:line="240" w:lineRule="auto"/>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xml:space="preserve">Total (rounded) </w:t>
            </w:r>
            <w:r w:rsidRPr="00891F62">
              <w:rPr>
                <w:rFonts w:ascii="Times New Roman" w:eastAsia="Times New Roman" w:hAnsi="Times New Roman" w:cs="Times New Roman"/>
                <w:b/>
                <w:bCs/>
                <w:color w:val="000000"/>
                <w:sz w:val="20"/>
                <w:szCs w:val="20"/>
                <w:vertAlign w:val="superscript"/>
              </w:rPr>
              <w:t>c</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57233A6A"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7D84E2F3"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6E037A70"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xml:space="preserve">$0 </w:t>
            </w:r>
          </w:p>
        </w:tc>
        <w:tc>
          <w:tcPr>
            <w:tcW w:w="1480" w:type="dxa"/>
            <w:tcBorders>
              <w:top w:val="nil"/>
              <w:left w:val="nil"/>
              <w:bottom w:val="single" w:sz="4" w:space="0" w:color="auto"/>
              <w:right w:val="single" w:sz="4" w:space="0" w:color="auto"/>
            </w:tcBorders>
            <w:shd w:val="clear" w:color="auto" w:fill="auto"/>
            <w:vAlign w:val="center"/>
            <w:hideMark/>
          </w:tcPr>
          <w:p w:rsidR="00891F62" w:rsidRPr="00891F62" w:rsidP="00891F62" w14:paraId="167D05C3"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891F62" w:rsidRPr="00891F62" w:rsidP="00891F62" w14:paraId="5552D30B" w14:textId="77777777">
            <w:pPr>
              <w:spacing w:after="0" w:line="240" w:lineRule="auto"/>
              <w:jc w:val="center"/>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w:t>
            </w:r>
          </w:p>
        </w:tc>
        <w:tc>
          <w:tcPr>
            <w:tcW w:w="1420" w:type="dxa"/>
            <w:tcBorders>
              <w:top w:val="nil"/>
              <w:left w:val="nil"/>
              <w:bottom w:val="single" w:sz="4" w:space="0" w:color="auto"/>
              <w:right w:val="single" w:sz="4" w:space="0" w:color="auto"/>
            </w:tcBorders>
            <w:shd w:val="clear" w:color="auto" w:fill="auto"/>
            <w:vAlign w:val="center"/>
            <w:hideMark/>
          </w:tcPr>
          <w:p w:rsidR="00891F62" w:rsidRPr="00891F62" w:rsidP="00891F62" w14:paraId="65773897" w14:textId="77777777">
            <w:pPr>
              <w:spacing w:after="0" w:line="240" w:lineRule="auto"/>
              <w:jc w:val="right"/>
              <w:rPr>
                <w:rFonts w:ascii="Times New Roman" w:eastAsia="Times New Roman" w:hAnsi="Times New Roman" w:cs="Times New Roman"/>
                <w:b/>
                <w:bCs/>
                <w:color w:val="000000"/>
                <w:sz w:val="20"/>
                <w:szCs w:val="20"/>
              </w:rPr>
            </w:pPr>
            <w:r w:rsidRPr="00891F62">
              <w:rPr>
                <w:rFonts w:ascii="Times New Roman" w:eastAsia="Times New Roman" w:hAnsi="Times New Roman" w:cs="Times New Roman"/>
                <w:b/>
                <w:bCs/>
                <w:color w:val="000000"/>
                <w:sz w:val="20"/>
                <w:szCs w:val="20"/>
              </w:rPr>
              <w:t xml:space="preserve">$10,300,000 </w:t>
            </w:r>
          </w:p>
        </w:tc>
      </w:tr>
      <w:tr w14:paraId="7FE06DD5" w14:textId="77777777" w:rsidTr="00891F62">
        <w:tblPrEx>
          <w:tblW w:w="11780" w:type="dxa"/>
          <w:tblInd w:w="113" w:type="dxa"/>
          <w:tblLook w:val="04A0"/>
        </w:tblPrEx>
        <w:trPr>
          <w:trHeight w:val="1169"/>
        </w:trPr>
        <w:tc>
          <w:tcPr>
            <w:tcW w:w="11780" w:type="dxa"/>
            <w:gridSpan w:val="7"/>
            <w:tcBorders>
              <w:top w:val="single" w:sz="4" w:space="0" w:color="auto"/>
              <w:left w:val="nil"/>
              <w:bottom w:val="nil"/>
              <w:right w:val="nil"/>
            </w:tcBorders>
            <w:shd w:val="clear" w:color="auto" w:fill="auto"/>
            <w:hideMark/>
          </w:tcPr>
          <w:p w:rsidR="00891F62" w:rsidRPr="00891F62" w:rsidP="00891F62" w14:paraId="36E810FC" w14:textId="6E1E7531">
            <w:pPr>
              <w:spacing w:after="0" w:line="240" w:lineRule="auto"/>
              <w:rPr>
                <w:rFonts w:ascii="Times New Roman" w:eastAsia="Times New Roman" w:hAnsi="Times New Roman" w:cs="Times New Roman"/>
                <w:sz w:val="20"/>
                <w:szCs w:val="20"/>
              </w:rPr>
            </w:pPr>
            <w:r w:rsidRPr="00891F62">
              <w:rPr>
                <w:rFonts w:ascii="Times New Roman" w:eastAsia="Times New Roman" w:hAnsi="Times New Roman" w:cs="Times New Roman"/>
                <w:sz w:val="20"/>
                <w:szCs w:val="20"/>
                <w:vertAlign w:val="superscript"/>
              </w:rPr>
              <w:t>a</w:t>
            </w:r>
            <w:r w:rsidRPr="00891F62">
              <w:rPr>
                <w:rFonts w:ascii="Times New Roman" w:eastAsia="Times New Roman" w:hAnsi="Times New Roman" w:cs="Times New Roman"/>
                <w:sz w:val="20"/>
                <w:szCs w:val="20"/>
              </w:rPr>
              <w:t xml:space="preserve"> </w:t>
            </w:r>
            <w:r w:rsidRPr="00891F62">
              <w:rPr>
                <w:rFonts w:ascii="Times New Roman" w:eastAsia="Times New Roman" w:hAnsi="Times New Roman" w:cs="Times New Roman"/>
                <w:sz w:val="20"/>
                <w:szCs w:val="20"/>
              </w:rPr>
              <w:t>Based on</w:t>
            </w:r>
            <w:r w:rsidRPr="00891F62">
              <w:rPr>
                <w:rFonts w:ascii="Times New Roman" w:eastAsia="Times New Roman" w:hAnsi="Times New Roman" w:cs="Times New Roman"/>
                <w:sz w:val="20"/>
                <w:szCs w:val="20"/>
              </w:rPr>
              <w:t xml:space="preserve"> costs from the 2014 final rule, the total capital cost for the electronic indicators for PRDs across all facilities is estimated to be $3,814,120 (see ICR No. 2457.02). This cost has been annualized by multiplying the capital recovery factor by the capital cost. The capital recovery factor is based on an interest rate of 7 percent and an assumed equipment life of 10 years. (Capital cost per monitoring system = $3,814,120 x 0.142 / 34 monitoring system = $15,930/monitoring system. Costs have been adjusted from 2014 dollars to 2023 dollars using the CEPCI CE index. The operation and maintenance (O&amp;M) costs expected from operating the electronic indicators is assumed to be minimal.</w:t>
            </w:r>
          </w:p>
        </w:tc>
      </w:tr>
      <w:tr w14:paraId="0F5001F4" w14:textId="77777777" w:rsidTr="00891F62">
        <w:tblPrEx>
          <w:tblW w:w="11780" w:type="dxa"/>
          <w:tblInd w:w="113" w:type="dxa"/>
          <w:tblLook w:val="04A0"/>
        </w:tblPrEx>
        <w:trPr>
          <w:trHeight w:val="423"/>
        </w:trPr>
        <w:tc>
          <w:tcPr>
            <w:tcW w:w="11780" w:type="dxa"/>
            <w:gridSpan w:val="7"/>
            <w:tcBorders>
              <w:top w:val="nil"/>
              <w:left w:val="nil"/>
              <w:bottom w:val="nil"/>
              <w:right w:val="nil"/>
            </w:tcBorders>
            <w:shd w:val="clear" w:color="auto" w:fill="auto"/>
            <w:hideMark/>
          </w:tcPr>
          <w:p w:rsidR="00891F62" w:rsidRPr="00891F62" w:rsidP="00891F62" w14:paraId="5FE27FDC" w14:textId="31170C5B">
            <w:pPr>
              <w:spacing w:after="0" w:line="240" w:lineRule="auto"/>
              <w:rPr>
                <w:rFonts w:ascii="Times New Roman" w:eastAsia="Times New Roman" w:hAnsi="Times New Roman" w:cs="Times New Roman"/>
                <w:sz w:val="20"/>
                <w:szCs w:val="20"/>
              </w:rPr>
            </w:pPr>
            <w:r w:rsidRPr="00891F62">
              <w:rPr>
                <w:rFonts w:ascii="Times New Roman" w:eastAsia="Times New Roman" w:hAnsi="Times New Roman" w:cs="Times New Roman"/>
                <w:sz w:val="20"/>
                <w:szCs w:val="20"/>
                <w:vertAlign w:val="superscript"/>
              </w:rPr>
              <w:t>b</w:t>
            </w:r>
            <w:r w:rsidRPr="00891F62">
              <w:rPr>
                <w:rFonts w:ascii="Times New Roman" w:eastAsia="Times New Roman" w:hAnsi="Times New Roman" w:cs="Times New Roman"/>
                <w:sz w:val="20"/>
                <w:szCs w:val="20"/>
              </w:rPr>
              <w:t xml:space="preserve"> Capital and O&amp;M costs for process vents, wastewater, and equipment leaks are based on estimates for similar requirements in the HON (Subparts F, G, H and I). The HON uses the following assumptions:</w:t>
            </w:r>
          </w:p>
        </w:tc>
      </w:tr>
      <w:tr w14:paraId="20357DBD" w14:textId="77777777" w:rsidTr="00891F62">
        <w:tblPrEx>
          <w:tblW w:w="11780" w:type="dxa"/>
          <w:tblInd w:w="113" w:type="dxa"/>
          <w:tblLook w:val="04A0"/>
        </w:tblPrEx>
        <w:trPr>
          <w:trHeight w:val="255"/>
        </w:trPr>
        <w:tc>
          <w:tcPr>
            <w:tcW w:w="11780" w:type="dxa"/>
            <w:gridSpan w:val="7"/>
            <w:tcBorders>
              <w:top w:val="nil"/>
              <w:left w:val="nil"/>
              <w:bottom w:val="nil"/>
              <w:right w:val="nil"/>
            </w:tcBorders>
            <w:shd w:val="clear" w:color="auto" w:fill="auto"/>
            <w:hideMark/>
          </w:tcPr>
          <w:p w:rsidR="00891F62" w:rsidRPr="00891F62" w:rsidP="00891F62" w14:paraId="0B6797C1" w14:textId="77777777">
            <w:pPr>
              <w:spacing w:after="0" w:line="240" w:lineRule="auto"/>
              <w:rPr>
                <w:rFonts w:ascii="Times New Roman" w:eastAsia="Times New Roman" w:hAnsi="Times New Roman" w:cs="Times New Roman"/>
                <w:sz w:val="20"/>
                <w:szCs w:val="20"/>
              </w:rPr>
            </w:pPr>
            <w:r w:rsidRPr="00891F62">
              <w:rPr>
                <w:rFonts w:ascii="Times New Roman" w:eastAsia="Times New Roman" w:hAnsi="Times New Roman" w:cs="Times New Roman"/>
                <w:sz w:val="20"/>
                <w:szCs w:val="20"/>
              </w:rPr>
              <w:t>1. Subpart G</w:t>
            </w:r>
          </w:p>
        </w:tc>
      </w:tr>
      <w:tr w14:paraId="1C89A7D8" w14:textId="77777777" w:rsidTr="00891F62">
        <w:tblPrEx>
          <w:tblW w:w="11780" w:type="dxa"/>
          <w:tblInd w:w="113" w:type="dxa"/>
          <w:tblLook w:val="04A0"/>
        </w:tblPrEx>
        <w:trPr>
          <w:trHeight w:val="780"/>
        </w:trPr>
        <w:tc>
          <w:tcPr>
            <w:tcW w:w="11780" w:type="dxa"/>
            <w:gridSpan w:val="7"/>
            <w:tcBorders>
              <w:top w:val="nil"/>
              <w:left w:val="nil"/>
              <w:bottom w:val="nil"/>
              <w:right w:val="nil"/>
            </w:tcBorders>
            <w:shd w:val="clear" w:color="auto" w:fill="auto"/>
            <w:hideMark/>
          </w:tcPr>
          <w:p w:rsidR="00891F62" w:rsidRPr="00891F62" w:rsidP="00891F62" w14:paraId="3F257F19" w14:textId="7FD989F3">
            <w:pPr>
              <w:spacing w:after="0" w:line="240" w:lineRule="auto"/>
              <w:rPr>
                <w:rFonts w:ascii="Times New Roman" w:eastAsia="Times New Roman" w:hAnsi="Times New Roman" w:cs="Times New Roman"/>
                <w:sz w:val="20"/>
                <w:szCs w:val="20"/>
              </w:rPr>
            </w:pPr>
            <w:r w:rsidRPr="00891F62">
              <w:rPr>
                <w:rFonts w:ascii="Times New Roman" w:eastAsia="Times New Roman" w:hAnsi="Times New Roman" w:cs="Times New Roman"/>
                <w:sz w:val="20"/>
                <w:szCs w:val="20"/>
              </w:rPr>
              <w:t>-</w:t>
            </w:r>
            <w:r w:rsidRPr="00891F62">
              <w:rPr>
                <w:rFonts w:ascii="Times New Roman" w:eastAsia="Times New Roman" w:hAnsi="Times New Roman" w:cs="Times New Roman"/>
                <w:i/>
                <w:iCs/>
                <w:sz w:val="20"/>
                <w:szCs w:val="20"/>
              </w:rPr>
              <w:t>Total Capital/Startup Cost of Monitoring Equipment:</w:t>
            </w:r>
            <w:r w:rsidRPr="00891F62">
              <w:rPr>
                <w:rFonts w:ascii="Times New Roman" w:eastAsia="Times New Roman" w:hAnsi="Times New Roman" w:cs="Times New Roman"/>
                <w:sz w:val="20"/>
                <w:szCs w:val="20"/>
              </w:rPr>
              <w:t xml:space="preserve"> The cost to purchase monitoring equipment is approximately $20-30K for process vents and wastewater operations, or an average of $25K with a 10-year life expectancy and a 7 percent depreciation rate, or $2,225 per year. Costs have been adjusted from 2014 dollars to 2023 dollars using the CEPCI CE index. There are no associated costs for transfer racks and storage tanks.</w:t>
            </w:r>
            <w:r w:rsidR="00B5008A">
              <w:rPr>
                <w:rFonts w:ascii="Times New Roman" w:eastAsia="Times New Roman" w:hAnsi="Times New Roman" w:cs="Times New Roman"/>
                <w:sz w:val="20"/>
                <w:szCs w:val="20"/>
              </w:rPr>
              <w:t xml:space="preserve"> </w:t>
            </w:r>
            <w:r w:rsidRPr="00891F62">
              <w:rPr>
                <w:rFonts w:ascii="Times New Roman" w:eastAsia="Times New Roman" w:hAnsi="Times New Roman" w:cs="Times New Roman"/>
                <w:sz w:val="20"/>
                <w:szCs w:val="20"/>
              </w:rPr>
              <w:t>Only new sources need to buy monitoring equipment.</w:t>
            </w:r>
          </w:p>
        </w:tc>
      </w:tr>
      <w:tr w14:paraId="4D137A79" w14:textId="77777777" w:rsidTr="00891F62">
        <w:tblPrEx>
          <w:tblW w:w="11780" w:type="dxa"/>
          <w:tblInd w:w="113" w:type="dxa"/>
          <w:tblLook w:val="04A0"/>
        </w:tblPrEx>
        <w:trPr>
          <w:trHeight w:val="1332"/>
        </w:trPr>
        <w:tc>
          <w:tcPr>
            <w:tcW w:w="11780" w:type="dxa"/>
            <w:gridSpan w:val="7"/>
            <w:tcBorders>
              <w:top w:val="nil"/>
              <w:left w:val="nil"/>
              <w:bottom w:val="nil"/>
              <w:right w:val="nil"/>
            </w:tcBorders>
            <w:shd w:val="clear" w:color="auto" w:fill="auto"/>
            <w:hideMark/>
          </w:tcPr>
          <w:p w:rsidR="00891F62" w:rsidRPr="00891F62" w:rsidP="00891F62" w14:paraId="67F8C110" w14:textId="7C67DAA5">
            <w:pPr>
              <w:spacing w:after="0" w:line="240" w:lineRule="auto"/>
              <w:rPr>
                <w:rFonts w:ascii="Times New Roman" w:eastAsia="Times New Roman" w:hAnsi="Times New Roman" w:cs="Times New Roman"/>
                <w:sz w:val="20"/>
                <w:szCs w:val="20"/>
              </w:rPr>
            </w:pPr>
            <w:r w:rsidRPr="00891F62">
              <w:rPr>
                <w:rFonts w:ascii="Times New Roman" w:eastAsia="Times New Roman" w:hAnsi="Times New Roman" w:cs="Times New Roman"/>
                <w:sz w:val="20"/>
                <w:szCs w:val="20"/>
              </w:rPr>
              <w:t>-</w:t>
            </w:r>
            <w:r w:rsidRPr="00891F62">
              <w:rPr>
                <w:rFonts w:ascii="Times New Roman" w:eastAsia="Times New Roman" w:hAnsi="Times New Roman" w:cs="Times New Roman"/>
                <w:i/>
                <w:iCs/>
                <w:sz w:val="20"/>
                <w:szCs w:val="20"/>
              </w:rPr>
              <w:t xml:space="preserve">Total Cost of Operation and Maintenance of Monitoring Equipment: </w:t>
            </w:r>
            <w:r w:rsidRPr="00891F62">
              <w:rPr>
                <w:rFonts w:ascii="Times New Roman" w:eastAsia="Times New Roman" w:hAnsi="Times New Roman" w:cs="Times New Roman"/>
                <w:sz w:val="20"/>
                <w:szCs w:val="20"/>
              </w:rPr>
              <w:t>The cost to industry associated with the operation and maintenance (O&amp;M) is approximately $100-500K per year (capital/startup depreciation not included) for reactor process vents and wastewater operations.</w:t>
            </w:r>
            <w:r w:rsidR="00B5008A">
              <w:rPr>
                <w:rFonts w:ascii="Times New Roman" w:eastAsia="Times New Roman" w:hAnsi="Times New Roman" w:cs="Times New Roman"/>
                <w:sz w:val="20"/>
                <w:szCs w:val="20"/>
              </w:rPr>
              <w:t xml:space="preserve"> </w:t>
            </w:r>
            <w:r w:rsidRPr="00891F62">
              <w:rPr>
                <w:rFonts w:ascii="Times New Roman" w:eastAsia="Times New Roman" w:hAnsi="Times New Roman" w:cs="Times New Roman"/>
                <w:sz w:val="20"/>
                <w:szCs w:val="20"/>
              </w:rPr>
              <w:t>The cost associated with the operation and maintenance is $50-100K per year (capital/startup depreciation not included) for distillation unit process vents.</w:t>
            </w:r>
            <w:r w:rsidR="00B5008A">
              <w:rPr>
                <w:rFonts w:ascii="Times New Roman" w:eastAsia="Times New Roman" w:hAnsi="Times New Roman" w:cs="Times New Roman"/>
                <w:sz w:val="20"/>
                <w:szCs w:val="20"/>
              </w:rPr>
              <w:t xml:space="preserve"> </w:t>
            </w:r>
            <w:r w:rsidRPr="00891F62">
              <w:rPr>
                <w:rFonts w:ascii="Times New Roman" w:eastAsia="Times New Roman" w:hAnsi="Times New Roman" w:cs="Times New Roman"/>
                <w:sz w:val="20"/>
                <w:szCs w:val="20"/>
              </w:rPr>
              <w:t>There are no associated costs for transfer racks and storage tanks.</w:t>
            </w:r>
            <w:r w:rsidR="00B5008A">
              <w:rPr>
                <w:rFonts w:ascii="Times New Roman" w:eastAsia="Times New Roman" w:hAnsi="Times New Roman" w:cs="Times New Roman"/>
                <w:sz w:val="20"/>
                <w:szCs w:val="20"/>
              </w:rPr>
              <w:t xml:space="preserve"> </w:t>
            </w:r>
            <w:r w:rsidRPr="00891F62">
              <w:rPr>
                <w:rFonts w:ascii="Times New Roman" w:eastAsia="Times New Roman" w:hAnsi="Times New Roman" w:cs="Times New Roman"/>
                <w:sz w:val="20"/>
                <w:szCs w:val="20"/>
              </w:rPr>
              <w:t>The average O&amp;M cost is assumed to be the average of the two ranges, or $275,000 per year. Costs have been adjusted from 2014 dollars to 2023 dollars using the CEPCI CE index. Operation and maintenance incur for both new and existing sources.</w:t>
            </w:r>
          </w:p>
        </w:tc>
      </w:tr>
      <w:tr w14:paraId="7A81377A" w14:textId="77777777" w:rsidTr="00891F62">
        <w:tblPrEx>
          <w:tblW w:w="11780" w:type="dxa"/>
          <w:tblInd w:w="113" w:type="dxa"/>
          <w:tblLook w:val="04A0"/>
        </w:tblPrEx>
        <w:trPr>
          <w:trHeight w:val="255"/>
        </w:trPr>
        <w:tc>
          <w:tcPr>
            <w:tcW w:w="11780" w:type="dxa"/>
            <w:gridSpan w:val="7"/>
            <w:tcBorders>
              <w:top w:val="nil"/>
              <w:left w:val="nil"/>
              <w:bottom w:val="nil"/>
              <w:right w:val="nil"/>
            </w:tcBorders>
            <w:shd w:val="clear" w:color="auto" w:fill="auto"/>
            <w:hideMark/>
          </w:tcPr>
          <w:p w:rsidR="00891F62" w:rsidRPr="00891F62" w:rsidP="00891F62" w14:paraId="7F4E50DD" w14:textId="77777777">
            <w:pPr>
              <w:spacing w:after="0" w:line="240" w:lineRule="auto"/>
              <w:rPr>
                <w:rFonts w:ascii="Times New Roman" w:eastAsia="Times New Roman" w:hAnsi="Times New Roman" w:cs="Times New Roman"/>
                <w:sz w:val="20"/>
                <w:szCs w:val="20"/>
              </w:rPr>
            </w:pPr>
            <w:r w:rsidRPr="00891F62">
              <w:rPr>
                <w:rFonts w:ascii="Times New Roman" w:eastAsia="Times New Roman" w:hAnsi="Times New Roman" w:cs="Times New Roman"/>
                <w:sz w:val="20"/>
                <w:szCs w:val="20"/>
              </w:rPr>
              <w:t>2. Subpart H</w:t>
            </w:r>
          </w:p>
        </w:tc>
      </w:tr>
      <w:tr w14:paraId="35DBD8D8" w14:textId="77777777" w:rsidTr="00891F62">
        <w:tblPrEx>
          <w:tblW w:w="11780" w:type="dxa"/>
          <w:tblInd w:w="113" w:type="dxa"/>
          <w:tblLook w:val="04A0"/>
        </w:tblPrEx>
        <w:trPr>
          <w:trHeight w:val="738"/>
        </w:trPr>
        <w:tc>
          <w:tcPr>
            <w:tcW w:w="11780" w:type="dxa"/>
            <w:gridSpan w:val="7"/>
            <w:tcBorders>
              <w:top w:val="nil"/>
              <w:left w:val="nil"/>
              <w:bottom w:val="nil"/>
              <w:right w:val="nil"/>
            </w:tcBorders>
            <w:shd w:val="clear" w:color="auto" w:fill="auto"/>
            <w:hideMark/>
          </w:tcPr>
          <w:p w:rsidR="00891F62" w:rsidRPr="00891F62" w:rsidP="00891F62" w14:paraId="4A3A33A3" w14:textId="2295C1DF">
            <w:pPr>
              <w:spacing w:after="0" w:line="240" w:lineRule="auto"/>
              <w:rPr>
                <w:rFonts w:ascii="Times New Roman" w:eastAsia="Times New Roman" w:hAnsi="Times New Roman" w:cs="Times New Roman"/>
                <w:sz w:val="20"/>
                <w:szCs w:val="20"/>
              </w:rPr>
            </w:pPr>
            <w:r w:rsidRPr="00891F62">
              <w:rPr>
                <w:rFonts w:ascii="Times New Roman" w:eastAsia="Times New Roman" w:hAnsi="Times New Roman" w:cs="Times New Roman"/>
                <w:sz w:val="20"/>
                <w:szCs w:val="20"/>
              </w:rPr>
              <w:t>-</w:t>
            </w:r>
            <w:r w:rsidRPr="00891F62">
              <w:rPr>
                <w:rFonts w:ascii="Times New Roman" w:eastAsia="Times New Roman" w:hAnsi="Times New Roman" w:cs="Times New Roman"/>
                <w:i/>
                <w:iCs/>
                <w:sz w:val="20"/>
                <w:szCs w:val="20"/>
              </w:rPr>
              <w:t>Total Capital/Startup Cost of Monitoring Equipment:</w:t>
            </w:r>
            <w:r w:rsidRPr="00891F62">
              <w:rPr>
                <w:rFonts w:ascii="Times New Roman" w:eastAsia="Times New Roman" w:hAnsi="Times New Roman" w:cs="Times New Roman"/>
                <w:sz w:val="20"/>
                <w:szCs w:val="20"/>
              </w:rPr>
              <w:t xml:space="preserve"> Only new sources will buy an organic volatile analyzer.</w:t>
            </w:r>
            <w:r w:rsidR="00B5008A">
              <w:rPr>
                <w:rFonts w:ascii="Times New Roman" w:eastAsia="Times New Roman" w:hAnsi="Times New Roman" w:cs="Times New Roman"/>
                <w:sz w:val="20"/>
                <w:szCs w:val="20"/>
              </w:rPr>
              <w:t xml:space="preserve"> </w:t>
            </w:r>
            <w:r w:rsidRPr="00891F62">
              <w:rPr>
                <w:rFonts w:ascii="Times New Roman" w:eastAsia="Times New Roman" w:hAnsi="Times New Roman" w:cs="Times New Roman"/>
                <w:sz w:val="20"/>
                <w:szCs w:val="20"/>
              </w:rPr>
              <w:t>Estimate the average cost of a monitor is $7,000 with a 5-year expected life. The equipment is not capitalized, so no discount rate applies.</w:t>
            </w:r>
            <w:r w:rsidR="00B5008A">
              <w:rPr>
                <w:rFonts w:ascii="Times New Roman" w:eastAsia="Times New Roman" w:hAnsi="Times New Roman" w:cs="Times New Roman"/>
                <w:sz w:val="20"/>
                <w:szCs w:val="20"/>
              </w:rPr>
              <w:t xml:space="preserve"> </w:t>
            </w:r>
            <w:r w:rsidRPr="00891F62">
              <w:rPr>
                <w:rFonts w:ascii="Times New Roman" w:eastAsia="Times New Roman" w:hAnsi="Times New Roman" w:cs="Times New Roman"/>
                <w:sz w:val="20"/>
                <w:szCs w:val="20"/>
              </w:rPr>
              <w:t>The average annual cost is, therefore, $7,000/5, or $1,400/yr.</w:t>
            </w:r>
            <w:r w:rsidR="00B5008A">
              <w:rPr>
                <w:rFonts w:ascii="Times New Roman" w:eastAsia="Times New Roman" w:hAnsi="Times New Roman" w:cs="Times New Roman"/>
                <w:sz w:val="20"/>
                <w:szCs w:val="20"/>
              </w:rPr>
              <w:t xml:space="preserve"> </w:t>
            </w:r>
            <w:r w:rsidRPr="00891F62">
              <w:rPr>
                <w:rFonts w:ascii="Times New Roman" w:eastAsia="Times New Roman" w:hAnsi="Times New Roman" w:cs="Times New Roman"/>
                <w:sz w:val="20"/>
                <w:szCs w:val="20"/>
              </w:rPr>
              <w:t>Costs have been adjusted from 2014 dollars to 2023 dollars using the CEPCI CE index.</w:t>
            </w:r>
          </w:p>
        </w:tc>
      </w:tr>
      <w:tr w14:paraId="70973C1E" w14:textId="77777777" w:rsidTr="00891F62">
        <w:tblPrEx>
          <w:tblW w:w="11780" w:type="dxa"/>
          <w:tblInd w:w="113" w:type="dxa"/>
          <w:tblLook w:val="04A0"/>
        </w:tblPrEx>
        <w:trPr>
          <w:trHeight w:val="450"/>
        </w:trPr>
        <w:tc>
          <w:tcPr>
            <w:tcW w:w="11780" w:type="dxa"/>
            <w:gridSpan w:val="7"/>
            <w:tcBorders>
              <w:top w:val="nil"/>
              <w:left w:val="nil"/>
              <w:bottom w:val="nil"/>
              <w:right w:val="nil"/>
            </w:tcBorders>
            <w:shd w:val="clear" w:color="auto" w:fill="auto"/>
            <w:hideMark/>
          </w:tcPr>
          <w:p w:rsidR="00891F62" w:rsidRPr="00891F62" w:rsidP="00891F62" w14:paraId="4E1AAE22" w14:textId="09E19686">
            <w:pPr>
              <w:spacing w:after="0" w:line="240" w:lineRule="auto"/>
              <w:rPr>
                <w:rFonts w:ascii="Times New Roman" w:eastAsia="Times New Roman" w:hAnsi="Times New Roman" w:cs="Times New Roman"/>
                <w:sz w:val="20"/>
                <w:szCs w:val="20"/>
              </w:rPr>
            </w:pPr>
            <w:r w:rsidRPr="00891F62">
              <w:rPr>
                <w:rFonts w:ascii="Times New Roman" w:eastAsia="Times New Roman" w:hAnsi="Times New Roman" w:cs="Times New Roman"/>
                <w:sz w:val="20"/>
                <w:szCs w:val="20"/>
              </w:rPr>
              <w:t>-</w:t>
            </w:r>
            <w:r w:rsidRPr="00891F62">
              <w:rPr>
                <w:rFonts w:ascii="Times New Roman" w:eastAsia="Times New Roman" w:hAnsi="Times New Roman" w:cs="Times New Roman"/>
                <w:i/>
                <w:iCs/>
                <w:sz w:val="20"/>
                <w:szCs w:val="20"/>
              </w:rPr>
              <w:t>Total Cost of Operation and Maintenance of Monitoring Equipment:</w:t>
            </w:r>
            <w:r w:rsidRPr="00891F62">
              <w:rPr>
                <w:rFonts w:ascii="Times New Roman" w:eastAsia="Times New Roman" w:hAnsi="Times New Roman" w:cs="Times New Roman"/>
                <w:sz w:val="20"/>
                <w:szCs w:val="20"/>
              </w:rPr>
              <w:t xml:space="preserve"> The operation of the monitors is included in the monitoring equipment costs.</w:t>
            </w:r>
            <w:r w:rsidR="00B5008A">
              <w:rPr>
                <w:rFonts w:ascii="Times New Roman" w:eastAsia="Times New Roman" w:hAnsi="Times New Roman" w:cs="Times New Roman"/>
                <w:sz w:val="20"/>
                <w:szCs w:val="20"/>
              </w:rPr>
              <w:t xml:space="preserve"> </w:t>
            </w:r>
            <w:r w:rsidRPr="00891F62">
              <w:rPr>
                <w:rFonts w:ascii="Times New Roman" w:eastAsia="Times New Roman" w:hAnsi="Times New Roman" w:cs="Times New Roman"/>
                <w:sz w:val="20"/>
                <w:szCs w:val="20"/>
              </w:rPr>
              <w:t>Maintenance costs on these units is incidental; therefore, no maintenance or operation costs are incurred.</w:t>
            </w:r>
          </w:p>
        </w:tc>
      </w:tr>
      <w:tr w14:paraId="5BE84F43" w14:textId="77777777" w:rsidTr="00891F62">
        <w:tblPrEx>
          <w:tblW w:w="11780" w:type="dxa"/>
          <w:tblInd w:w="113" w:type="dxa"/>
          <w:tblLook w:val="04A0"/>
        </w:tblPrEx>
        <w:trPr>
          <w:trHeight w:val="207"/>
        </w:trPr>
        <w:tc>
          <w:tcPr>
            <w:tcW w:w="11780" w:type="dxa"/>
            <w:gridSpan w:val="7"/>
            <w:tcBorders>
              <w:top w:val="nil"/>
              <w:left w:val="nil"/>
              <w:bottom w:val="nil"/>
              <w:right w:val="nil"/>
            </w:tcBorders>
            <w:shd w:val="clear" w:color="auto" w:fill="auto"/>
            <w:noWrap/>
            <w:hideMark/>
          </w:tcPr>
          <w:p w:rsidR="00891F62" w:rsidRPr="00891F62" w:rsidP="00891F62" w14:paraId="74EA4F12" w14:textId="77777777">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rPr>
              <w:t>3. The HON does not estimate any capital or O&amp;M costs for Subparts F and I.</w:t>
            </w:r>
          </w:p>
        </w:tc>
      </w:tr>
      <w:tr w14:paraId="76AA7DB9" w14:textId="77777777" w:rsidTr="00891F62">
        <w:tblPrEx>
          <w:tblW w:w="11780" w:type="dxa"/>
          <w:tblInd w:w="113" w:type="dxa"/>
          <w:tblLook w:val="04A0"/>
        </w:tblPrEx>
        <w:trPr>
          <w:trHeight w:val="315"/>
        </w:trPr>
        <w:tc>
          <w:tcPr>
            <w:tcW w:w="11780" w:type="dxa"/>
            <w:gridSpan w:val="7"/>
            <w:tcBorders>
              <w:top w:val="nil"/>
              <w:left w:val="nil"/>
              <w:bottom w:val="nil"/>
              <w:right w:val="nil"/>
            </w:tcBorders>
            <w:shd w:val="clear" w:color="auto" w:fill="auto"/>
            <w:hideMark/>
          </w:tcPr>
          <w:p w:rsidR="00891F62" w:rsidRPr="00891F62" w:rsidP="00891F62" w14:paraId="7A35A291" w14:textId="1F721AB3">
            <w:pPr>
              <w:spacing w:after="0" w:line="240" w:lineRule="auto"/>
              <w:rPr>
                <w:rFonts w:ascii="Times New Roman" w:eastAsia="Times New Roman" w:hAnsi="Times New Roman" w:cs="Times New Roman"/>
                <w:color w:val="000000"/>
                <w:sz w:val="20"/>
                <w:szCs w:val="20"/>
              </w:rPr>
            </w:pPr>
            <w:r w:rsidRPr="00891F62">
              <w:rPr>
                <w:rFonts w:ascii="Times New Roman" w:eastAsia="Times New Roman" w:hAnsi="Times New Roman" w:cs="Times New Roman"/>
                <w:color w:val="000000"/>
                <w:sz w:val="20"/>
                <w:szCs w:val="20"/>
                <w:vertAlign w:val="superscript"/>
              </w:rPr>
              <w:t>c</w:t>
            </w:r>
            <w:r w:rsidRPr="00891F62">
              <w:rPr>
                <w:rFonts w:ascii="Times New Roman" w:eastAsia="Times New Roman" w:hAnsi="Times New Roman" w:cs="Times New Roman"/>
                <w:color w:val="000000"/>
                <w:sz w:val="20"/>
                <w:szCs w:val="20"/>
              </w:rPr>
              <w:t xml:space="preserve"> Totals have been rounded to 3 significant figures. Figures may not add exactly due to rounding.</w:t>
            </w:r>
          </w:p>
        </w:tc>
      </w:tr>
    </w:tbl>
    <w:p w:rsidR="00891F62" w:rsidRPr="00BB3410" w:rsidP="00BB3410" w14:paraId="1AD222EF" w14:textId="77777777">
      <w:pPr>
        <w:pStyle w:val="ListParagraph"/>
        <w:spacing w:before="240"/>
        <w:ind w:left="0"/>
        <w:rPr>
          <w:rFonts w:cstheme="minorHAnsi"/>
          <w:sz w:val="24"/>
          <w:szCs w:val="24"/>
        </w:rPr>
      </w:pPr>
    </w:p>
    <w:sectPr w:rsidSect="00B82E9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197E032B" w14:textId="77777777">
    <w:pPr>
      <w:framePr w:wrap="notBeside" w:hAnchor="text" w:xAlign="center"/>
    </w:pPr>
    <w:r>
      <w:fldChar w:fldCharType="begin"/>
    </w:r>
    <w:r>
      <w:instrText xml:space="preserve"> PAGE  </w:instrText>
    </w:r>
    <w:r>
      <w:fldChar w:fldCharType="separate"/>
    </w:r>
    <w:r>
      <w:rPr>
        <w:noProof/>
      </w:rPr>
      <w:t>2</w:t>
    </w:r>
    <w:r>
      <w:fldChar w:fldCharType="end"/>
    </w:r>
  </w:p>
  <w:p w:rsidR="00BB432F" w14:paraId="124C49E3"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1">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1"/>
  </w:num>
  <w:num w:numId="2" w16cid:durableId="1032609060">
    <w:abstractNumId w:val="4"/>
  </w:num>
  <w:num w:numId="3" w16cid:durableId="1158494831">
    <w:abstractNumId w:val="2"/>
  </w:num>
  <w:num w:numId="4" w16cid:durableId="493573829">
    <w:abstractNumId w:val="25"/>
  </w:num>
  <w:num w:numId="5" w16cid:durableId="2055687918">
    <w:abstractNumId w:val="16"/>
  </w:num>
  <w:num w:numId="6" w16cid:durableId="1603025219">
    <w:abstractNumId w:val="23"/>
  </w:num>
  <w:num w:numId="7" w16cid:durableId="423957196">
    <w:abstractNumId w:val="14"/>
  </w:num>
  <w:num w:numId="8" w16cid:durableId="2031829208">
    <w:abstractNumId w:val="19"/>
  </w:num>
  <w:num w:numId="9" w16cid:durableId="218439549">
    <w:abstractNumId w:val="7"/>
  </w:num>
  <w:num w:numId="10" w16cid:durableId="1285231924">
    <w:abstractNumId w:val="3"/>
  </w:num>
  <w:num w:numId="11" w16cid:durableId="327370686">
    <w:abstractNumId w:val="6"/>
  </w:num>
  <w:num w:numId="12" w16cid:durableId="1802993385">
    <w:abstractNumId w:val="9"/>
  </w:num>
  <w:num w:numId="13" w16cid:durableId="1792938267">
    <w:abstractNumId w:val="26"/>
  </w:num>
  <w:num w:numId="14" w16cid:durableId="239490726">
    <w:abstractNumId w:val="5"/>
  </w:num>
  <w:num w:numId="15" w16cid:durableId="1395350314">
    <w:abstractNumId w:val="8"/>
  </w:num>
  <w:num w:numId="16" w16cid:durableId="441535906">
    <w:abstractNumId w:val="12"/>
  </w:num>
  <w:num w:numId="17" w16cid:durableId="2008243381">
    <w:abstractNumId w:val="20"/>
  </w:num>
  <w:num w:numId="18" w16cid:durableId="840463183">
    <w:abstractNumId w:val="18"/>
  </w:num>
  <w:num w:numId="19" w16cid:durableId="469980091">
    <w:abstractNumId w:val="22"/>
  </w:num>
  <w:num w:numId="20" w16cid:durableId="2126730031">
    <w:abstractNumId w:val="10"/>
  </w:num>
  <w:num w:numId="21" w16cid:durableId="106124704">
    <w:abstractNumId w:val="1"/>
  </w:num>
  <w:num w:numId="22" w16cid:durableId="1552418013">
    <w:abstractNumId w:val="13"/>
  </w:num>
  <w:num w:numId="23" w16cid:durableId="1598828334">
    <w:abstractNumId w:val="24"/>
  </w:num>
  <w:num w:numId="24" w16cid:durableId="2051031068">
    <w:abstractNumId w:val="0"/>
  </w:num>
  <w:num w:numId="25" w16cid:durableId="258569098">
    <w:abstractNumId w:val="15"/>
  </w:num>
  <w:num w:numId="26" w16cid:durableId="331181582">
    <w:abstractNumId w:val="17"/>
  </w:num>
  <w:num w:numId="27" w16cid:durableId="1015961391">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trackedChanges" w:enforcement="0"/>
  <w:defaultTabStop w:val="7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609"/>
    <w:rsid w:val="0000050D"/>
    <w:rsid w:val="0000329D"/>
    <w:rsid w:val="00003D64"/>
    <w:rsid w:val="00004678"/>
    <w:rsid w:val="000069AF"/>
    <w:rsid w:val="000069C3"/>
    <w:rsid w:val="00006C95"/>
    <w:rsid w:val="00007FB5"/>
    <w:rsid w:val="00010EEE"/>
    <w:rsid w:val="000129E1"/>
    <w:rsid w:val="00013852"/>
    <w:rsid w:val="00013CE8"/>
    <w:rsid w:val="00014B10"/>
    <w:rsid w:val="00015FF6"/>
    <w:rsid w:val="0001637F"/>
    <w:rsid w:val="00017B90"/>
    <w:rsid w:val="00020791"/>
    <w:rsid w:val="00023EFE"/>
    <w:rsid w:val="000267E1"/>
    <w:rsid w:val="00030670"/>
    <w:rsid w:val="0003166C"/>
    <w:rsid w:val="00032552"/>
    <w:rsid w:val="00033219"/>
    <w:rsid w:val="00036CF2"/>
    <w:rsid w:val="00037107"/>
    <w:rsid w:val="0003773C"/>
    <w:rsid w:val="00042F77"/>
    <w:rsid w:val="0004467E"/>
    <w:rsid w:val="000452DC"/>
    <w:rsid w:val="000459E3"/>
    <w:rsid w:val="000461BA"/>
    <w:rsid w:val="00047160"/>
    <w:rsid w:val="00050BB4"/>
    <w:rsid w:val="00051045"/>
    <w:rsid w:val="000518D7"/>
    <w:rsid w:val="000521D6"/>
    <w:rsid w:val="00053570"/>
    <w:rsid w:val="000544D0"/>
    <w:rsid w:val="0005572E"/>
    <w:rsid w:val="0005629D"/>
    <w:rsid w:val="0005783D"/>
    <w:rsid w:val="00060163"/>
    <w:rsid w:val="0006085E"/>
    <w:rsid w:val="0006128A"/>
    <w:rsid w:val="00061A77"/>
    <w:rsid w:val="00061BCE"/>
    <w:rsid w:val="00063CA7"/>
    <w:rsid w:val="00065167"/>
    <w:rsid w:val="00065411"/>
    <w:rsid w:val="00066059"/>
    <w:rsid w:val="00070074"/>
    <w:rsid w:val="000728E0"/>
    <w:rsid w:val="00073AC1"/>
    <w:rsid w:val="00073C3D"/>
    <w:rsid w:val="00074917"/>
    <w:rsid w:val="00074E51"/>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6319"/>
    <w:rsid w:val="000970D0"/>
    <w:rsid w:val="000978FD"/>
    <w:rsid w:val="000A1198"/>
    <w:rsid w:val="000A11F1"/>
    <w:rsid w:val="000A170A"/>
    <w:rsid w:val="000A397C"/>
    <w:rsid w:val="000A4527"/>
    <w:rsid w:val="000B3576"/>
    <w:rsid w:val="000B461B"/>
    <w:rsid w:val="000B61F2"/>
    <w:rsid w:val="000B7BBA"/>
    <w:rsid w:val="000C04C0"/>
    <w:rsid w:val="000C21A3"/>
    <w:rsid w:val="000C41A7"/>
    <w:rsid w:val="000C43C8"/>
    <w:rsid w:val="000C608D"/>
    <w:rsid w:val="000D224E"/>
    <w:rsid w:val="000D251E"/>
    <w:rsid w:val="000D2D5D"/>
    <w:rsid w:val="000D3C22"/>
    <w:rsid w:val="000D45B2"/>
    <w:rsid w:val="000D516A"/>
    <w:rsid w:val="000D5863"/>
    <w:rsid w:val="000D6FA4"/>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58D"/>
    <w:rsid w:val="00102EE5"/>
    <w:rsid w:val="00103DD8"/>
    <w:rsid w:val="00105F52"/>
    <w:rsid w:val="00106C2C"/>
    <w:rsid w:val="00107505"/>
    <w:rsid w:val="00111663"/>
    <w:rsid w:val="00112360"/>
    <w:rsid w:val="00112675"/>
    <w:rsid w:val="001141DA"/>
    <w:rsid w:val="00116064"/>
    <w:rsid w:val="001172FE"/>
    <w:rsid w:val="00117FE1"/>
    <w:rsid w:val="001235F7"/>
    <w:rsid w:val="0013006A"/>
    <w:rsid w:val="00130CF9"/>
    <w:rsid w:val="001310E0"/>
    <w:rsid w:val="00132921"/>
    <w:rsid w:val="001329B3"/>
    <w:rsid w:val="00132A0D"/>
    <w:rsid w:val="00135EAD"/>
    <w:rsid w:val="00136237"/>
    <w:rsid w:val="0013740F"/>
    <w:rsid w:val="00137EB8"/>
    <w:rsid w:val="00141AC2"/>
    <w:rsid w:val="00145DAE"/>
    <w:rsid w:val="00147B68"/>
    <w:rsid w:val="0015084F"/>
    <w:rsid w:val="00152A80"/>
    <w:rsid w:val="0015347D"/>
    <w:rsid w:val="00160461"/>
    <w:rsid w:val="00161846"/>
    <w:rsid w:val="001636DA"/>
    <w:rsid w:val="00163C69"/>
    <w:rsid w:val="00164169"/>
    <w:rsid w:val="001641AA"/>
    <w:rsid w:val="0016658D"/>
    <w:rsid w:val="00166B27"/>
    <w:rsid w:val="00170329"/>
    <w:rsid w:val="00170689"/>
    <w:rsid w:val="00170EB8"/>
    <w:rsid w:val="00171DC0"/>
    <w:rsid w:val="00173422"/>
    <w:rsid w:val="00173E50"/>
    <w:rsid w:val="00176BA8"/>
    <w:rsid w:val="001775F3"/>
    <w:rsid w:val="00180511"/>
    <w:rsid w:val="00184011"/>
    <w:rsid w:val="00185251"/>
    <w:rsid w:val="001912D6"/>
    <w:rsid w:val="0019149E"/>
    <w:rsid w:val="0019182F"/>
    <w:rsid w:val="00191C72"/>
    <w:rsid w:val="001925B3"/>
    <w:rsid w:val="0019580A"/>
    <w:rsid w:val="00195BEB"/>
    <w:rsid w:val="00197A23"/>
    <w:rsid w:val="001A20B0"/>
    <w:rsid w:val="001A21A7"/>
    <w:rsid w:val="001A3351"/>
    <w:rsid w:val="001A53A7"/>
    <w:rsid w:val="001A76B3"/>
    <w:rsid w:val="001A7DEF"/>
    <w:rsid w:val="001B0BAC"/>
    <w:rsid w:val="001B1773"/>
    <w:rsid w:val="001B1962"/>
    <w:rsid w:val="001B2D25"/>
    <w:rsid w:val="001B4565"/>
    <w:rsid w:val="001B46D7"/>
    <w:rsid w:val="001B4BEC"/>
    <w:rsid w:val="001B7B47"/>
    <w:rsid w:val="001C0151"/>
    <w:rsid w:val="001C04B9"/>
    <w:rsid w:val="001C260A"/>
    <w:rsid w:val="001C2D48"/>
    <w:rsid w:val="001C3106"/>
    <w:rsid w:val="001C3D5A"/>
    <w:rsid w:val="001C4634"/>
    <w:rsid w:val="001C5637"/>
    <w:rsid w:val="001C6741"/>
    <w:rsid w:val="001C7470"/>
    <w:rsid w:val="001C7948"/>
    <w:rsid w:val="001C7D52"/>
    <w:rsid w:val="001D01BB"/>
    <w:rsid w:val="001D294E"/>
    <w:rsid w:val="001D2CC2"/>
    <w:rsid w:val="001D47F8"/>
    <w:rsid w:val="001D4CDC"/>
    <w:rsid w:val="001D4D40"/>
    <w:rsid w:val="001D4F2F"/>
    <w:rsid w:val="001D51D8"/>
    <w:rsid w:val="001D5CED"/>
    <w:rsid w:val="001E0924"/>
    <w:rsid w:val="001E211E"/>
    <w:rsid w:val="001E3A31"/>
    <w:rsid w:val="001E43D7"/>
    <w:rsid w:val="001E534A"/>
    <w:rsid w:val="001E548A"/>
    <w:rsid w:val="001E54CA"/>
    <w:rsid w:val="001E601A"/>
    <w:rsid w:val="001E6E50"/>
    <w:rsid w:val="001E7480"/>
    <w:rsid w:val="001E74E1"/>
    <w:rsid w:val="001F0834"/>
    <w:rsid w:val="001F0D3B"/>
    <w:rsid w:val="001F1A52"/>
    <w:rsid w:val="001F1F14"/>
    <w:rsid w:val="001F34A5"/>
    <w:rsid w:val="001F370A"/>
    <w:rsid w:val="001F5541"/>
    <w:rsid w:val="001F75D9"/>
    <w:rsid w:val="001F7B1A"/>
    <w:rsid w:val="001F7DF2"/>
    <w:rsid w:val="0020142E"/>
    <w:rsid w:val="00201886"/>
    <w:rsid w:val="002064A4"/>
    <w:rsid w:val="00210F2E"/>
    <w:rsid w:val="00211627"/>
    <w:rsid w:val="0021345A"/>
    <w:rsid w:val="00213AE6"/>
    <w:rsid w:val="00216C6A"/>
    <w:rsid w:val="00220258"/>
    <w:rsid w:val="00222530"/>
    <w:rsid w:val="0022259D"/>
    <w:rsid w:val="0022416D"/>
    <w:rsid w:val="00224BB3"/>
    <w:rsid w:val="00224D61"/>
    <w:rsid w:val="00224F14"/>
    <w:rsid w:val="00226D49"/>
    <w:rsid w:val="0022710C"/>
    <w:rsid w:val="002272EE"/>
    <w:rsid w:val="00227759"/>
    <w:rsid w:val="00230F45"/>
    <w:rsid w:val="00233342"/>
    <w:rsid w:val="002335AB"/>
    <w:rsid w:val="00234B8D"/>
    <w:rsid w:val="0023528D"/>
    <w:rsid w:val="00235E79"/>
    <w:rsid w:val="002360BC"/>
    <w:rsid w:val="00240F23"/>
    <w:rsid w:val="0024175E"/>
    <w:rsid w:val="002420F2"/>
    <w:rsid w:val="002455F0"/>
    <w:rsid w:val="0024599B"/>
    <w:rsid w:val="00246A7E"/>
    <w:rsid w:val="00247198"/>
    <w:rsid w:val="0025051F"/>
    <w:rsid w:val="00251151"/>
    <w:rsid w:val="00252A4E"/>
    <w:rsid w:val="0025319A"/>
    <w:rsid w:val="00253DBC"/>
    <w:rsid w:val="0025617C"/>
    <w:rsid w:val="0026050F"/>
    <w:rsid w:val="00260FB7"/>
    <w:rsid w:val="002648CF"/>
    <w:rsid w:val="00265FE7"/>
    <w:rsid w:val="00270940"/>
    <w:rsid w:val="002732F9"/>
    <w:rsid w:val="0027766D"/>
    <w:rsid w:val="00277A03"/>
    <w:rsid w:val="0028340E"/>
    <w:rsid w:val="00283764"/>
    <w:rsid w:val="00283AE9"/>
    <w:rsid w:val="00283C66"/>
    <w:rsid w:val="002847BB"/>
    <w:rsid w:val="002853F5"/>
    <w:rsid w:val="00285782"/>
    <w:rsid w:val="00285A68"/>
    <w:rsid w:val="00286FA0"/>
    <w:rsid w:val="00287F46"/>
    <w:rsid w:val="00287F94"/>
    <w:rsid w:val="00290BEB"/>
    <w:rsid w:val="00291493"/>
    <w:rsid w:val="00291589"/>
    <w:rsid w:val="002933D6"/>
    <w:rsid w:val="00295B71"/>
    <w:rsid w:val="0029755D"/>
    <w:rsid w:val="002A43D0"/>
    <w:rsid w:val="002A6075"/>
    <w:rsid w:val="002A676B"/>
    <w:rsid w:val="002A6E4E"/>
    <w:rsid w:val="002A774D"/>
    <w:rsid w:val="002A7860"/>
    <w:rsid w:val="002A78D3"/>
    <w:rsid w:val="002B0036"/>
    <w:rsid w:val="002B4615"/>
    <w:rsid w:val="002B7383"/>
    <w:rsid w:val="002B77A2"/>
    <w:rsid w:val="002C0623"/>
    <w:rsid w:val="002C1434"/>
    <w:rsid w:val="002C1646"/>
    <w:rsid w:val="002C4713"/>
    <w:rsid w:val="002C5EAE"/>
    <w:rsid w:val="002C7DDE"/>
    <w:rsid w:val="002D3E1A"/>
    <w:rsid w:val="002D4963"/>
    <w:rsid w:val="002E0316"/>
    <w:rsid w:val="002E0999"/>
    <w:rsid w:val="002E2569"/>
    <w:rsid w:val="002E4E93"/>
    <w:rsid w:val="002E5BAD"/>
    <w:rsid w:val="002E6047"/>
    <w:rsid w:val="002E6D1D"/>
    <w:rsid w:val="002F0614"/>
    <w:rsid w:val="002F077A"/>
    <w:rsid w:val="002F10BE"/>
    <w:rsid w:val="002F13DA"/>
    <w:rsid w:val="002F15EB"/>
    <w:rsid w:val="002F3CE0"/>
    <w:rsid w:val="002F6A76"/>
    <w:rsid w:val="00300363"/>
    <w:rsid w:val="003005BB"/>
    <w:rsid w:val="00303DE5"/>
    <w:rsid w:val="00304842"/>
    <w:rsid w:val="003060D3"/>
    <w:rsid w:val="00307411"/>
    <w:rsid w:val="00310FDB"/>
    <w:rsid w:val="00312370"/>
    <w:rsid w:val="00312F28"/>
    <w:rsid w:val="003132A5"/>
    <w:rsid w:val="00313941"/>
    <w:rsid w:val="00316194"/>
    <w:rsid w:val="003169B4"/>
    <w:rsid w:val="00316BE6"/>
    <w:rsid w:val="00317844"/>
    <w:rsid w:val="00317A6C"/>
    <w:rsid w:val="00317D89"/>
    <w:rsid w:val="003224B7"/>
    <w:rsid w:val="00322A16"/>
    <w:rsid w:val="0032350D"/>
    <w:rsid w:val="00323E74"/>
    <w:rsid w:val="00324F21"/>
    <w:rsid w:val="003256A4"/>
    <w:rsid w:val="00330B87"/>
    <w:rsid w:val="00331168"/>
    <w:rsid w:val="0033211D"/>
    <w:rsid w:val="00333489"/>
    <w:rsid w:val="00342882"/>
    <w:rsid w:val="00342DB5"/>
    <w:rsid w:val="00343CEF"/>
    <w:rsid w:val="00344CB0"/>
    <w:rsid w:val="003467C8"/>
    <w:rsid w:val="00347C3C"/>
    <w:rsid w:val="0035079F"/>
    <w:rsid w:val="003527C1"/>
    <w:rsid w:val="00352C25"/>
    <w:rsid w:val="003565B6"/>
    <w:rsid w:val="00356A66"/>
    <w:rsid w:val="00357418"/>
    <w:rsid w:val="0036059B"/>
    <w:rsid w:val="00360B75"/>
    <w:rsid w:val="00361737"/>
    <w:rsid w:val="00363F41"/>
    <w:rsid w:val="00366D56"/>
    <w:rsid w:val="00367871"/>
    <w:rsid w:val="00367DAD"/>
    <w:rsid w:val="0037007A"/>
    <w:rsid w:val="0037342A"/>
    <w:rsid w:val="00373CC8"/>
    <w:rsid w:val="00374B7F"/>
    <w:rsid w:val="00374E24"/>
    <w:rsid w:val="00375E2A"/>
    <w:rsid w:val="00376609"/>
    <w:rsid w:val="00380445"/>
    <w:rsid w:val="0038330C"/>
    <w:rsid w:val="003856DC"/>
    <w:rsid w:val="003877F5"/>
    <w:rsid w:val="003901B8"/>
    <w:rsid w:val="003A0E52"/>
    <w:rsid w:val="003A1D0D"/>
    <w:rsid w:val="003A38FB"/>
    <w:rsid w:val="003A41A0"/>
    <w:rsid w:val="003A6BEF"/>
    <w:rsid w:val="003B04B9"/>
    <w:rsid w:val="003B0A8F"/>
    <w:rsid w:val="003B153D"/>
    <w:rsid w:val="003B4D4F"/>
    <w:rsid w:val="003B62B6"/>
    <w:rsid w:val="003C0ACA"/>
    <w:rsid w:val="003C0DBC"/>
    <w:rsid w:val="003C1314"/>
    <w:rsid w:val="003C16BD"/>
    <w:rsid w:val="003C2B04"/>
    <w:rsid w:val="003C3093"/>
    <w:rsid w:val="003C321D"/>
    <w:rsid w:val="003C5631"/>
    <w:rsid w:val="003C68C2"/>
    <w:rsid w:val="003C6CE9"/>
    <w:rsid w:val="003D06CD"/>
    <w:rsid w:val="003D0C03"/>
    <w:rsid w:val="003D1457"/>
    <w:rsid w:val="003D14BA"/>
    <w:rsid w:val="003D23D5"/>
    <w:rsid w:val="003D29E8"/>
    <w:rsid w:val="003D2F77"/>
    <w:rsid w:val="003D3498"/>
    <w:rsid w:val="003D3D42"/>
    <w:rsid w:val="003D598C"/>
    <w:rsid w:val="003D673C"/>
    <w:rsid w:val="003D7167"/>
    <w:rsid w:val="003D7919"/>
    <w:rsid w:val="003D7B2A"/>
    <w:rsid w:val="003E133B"/>
    <w:rsid w:val="003E4B7A"/>
    <w:rsid w:val="003E5AAE"/>
    <w:rsid w:val="003E5D61"/>
    <w:rsid w:val="003E7E56"/>
    <w:rsid w:val="003F0A11"/>
    <w:rsid w:val="003F1F7D"/>
    <w:rsid w:val="003F36DC"/>
    <w:rsid w:val="003F5429"/>
    <w:rsid w:val="003F639F"/>
    <w:rsid w:val="003F6664"/>
    <w:rsid w:val="003F72BB"/>
    <w:rsid w:val="00401C79"/>
    <w:rsid w:val="00402C51"/>
    <w:rsid w:val="00403FAB"/>
    <w:rsid w:val="00404886"/>
    <w:rsid w:val="0040643E"/>
    <w:rsid w:val="004064AA"/>
    <w:rsid w:val="004113CD"/>
    <w:rsid w:val="00412B2A"/>
    <w:rsid w:val="00414BB8"/>
    <w:rsid w:val="00415248"/>
    <w:rsid w:val="00415988"/>
    <w:rsid w:val="00416537"/>
    <w:rsid w:val="00417612"/>
    <w:rsid w:val="0042383B"/>
    <w:rsid w:val="0042409F"/>
    <w:rsid w:val="00424DDE"/>
    <w:rsid w:val="00424F93"/>
    <w:rsid w:val="004252C1"/>
    <w:rsid w:val="0042541E"/>
    <w:rsid w:val="00427079"/>
    <w:rsid w:val="004306A8"/>
    <w:rsid w:val="00430EDC"/>
    <w:rsid w:val="00430FA6"/>
    <w:rsid w:val="00431D3F"/>
    <w:rsid w:val="00432AC2"/>
    <w:rsid w:val="0043515D"/>
    <w:rsid w:val="00436FD0"/>
    <w:rsid w:val="00437139"/>
    <w:rsid w:val="00441783"/>
    <w:rsid w:val="004420DA"/>
    <w:rsid w:val="00444707"/>
    <w:rsid w:val="004455F6"/>
    <w:rsid w:val="00445751"/>
    <w:rsid w:val="004468C2"/>
    <w:rsid w:val="00446B8D"/>
    <w:rsid w:val="00450C44"/>
    <w:rsid w:val="00456E33"/>
    <w:rsid w:val="004600ED"/>
    <w:rsid w:val="004620CA"/>
    <w:rsid w:val="00463285"/>
    <w:rsid w:val="00464F11"/>
    <w:rsid w:val="00465846"/>
    <w:rsid w:val="00466349"/>
    <w:rsid w:val="00466B43"/>
    <w:rsid w:val="00470E22"/>
    <w:rsid w:val="00472D33"/>
    <w:rsid w:val="00475BA6"/>
    <w:rsid w:val="00477D70"/>
    <w:rsid w:val="004831CC"/>
    <w:rsid w:val="00485567"/>
    <w:rsid w:val="004855BE"/>
    <w:rsid w:val="00486860"/>
    <w:rsid w:val="00491CC3"/>
    <w:rsid w:val="00491ED9"/>
    <w:rsid w:val="00491F1D"/>
    <w:rsid w:val="00492617"/>
    <w:rsid w:val="00495623"/>
    <w:rsid w:val="00496F19"/>
    <w:rsid w:val="0049718B"/>
    <w:rsid w:val="004A0C7A"/>
    <w:rsid w:val="004A2646"/>
    <w:rsid w:val="004A284B"/>
    <w:rsid w:val="004A2961"/>
    <w:rsid w:val="004A2CDE"/>
    <w:rsid w:val="004A3ABF"/>
    <w:rsid w:val="004A4B8D"/>
    <w:rsid w:val="004A5B46"/>
    <w:rsid w:val="004A6B13"/>
    <w:rsid w:val="004B0167"/>
    <w:rsid w:val="004B710E"/>
    <w:rsid w:val="004C17A6"/>
    <w:rsid w:val="004C43EA"/>
    <w:rsid w:val="004C4445"/>
    <w:rsid w:val="004C53AD"/>
    <w:rsid w:val="004C6291"/>
    <w:rsid w:val="004C65F0"/>
    <w:rsid w:val="004C680C"/>
    <w:rsid w:val="004C6EC4"/>
    <w:rsid w:val="004C7205"/>
    <w:rsid w:val="004D0275"/>
    <w:rsid w:val="004D59E6"/>
    <w:rsid w:val="004D5E8D"/>
    <w:rsid w:val="004D6404"/>
    <w:rsid w:val="004E1414"/>
    <w:rsid w:val="004E336F"/>
    <w:rsid w:val="004E3CB0"/>
    <w:rsid w:val="004E5457"/>
    <w:rsid w:val="004E5A83"/>
    <w:rsid w:val="004E6DB7"/>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6171"/>
    <w:rsid w:val="005062F5"/>
    <w:rsid w:val="00507573"/>
    <w:rsid w:val="00510C48"/>
    <w:rsid w:val="005119F4"/>
    <w:rsid w:val="00511DDD"/>
    <w:rsid w:val="00512F2D"/>
    <w:rsid w:val="00513479"/>
    <w:rsid w:val="0051499C"/>
    <w:rsid w:val="00515993"/>
    <w:rsid w:val="00517F46"/>
    <w:rsid w:val="00520209"/>
    <w:rsid w:val="0052076B"/>
    <w:rsid w:val="00524059"/>
    <w:rsid w:val="005263EC"/>
    <w:rsid w:val="00526DFC"/>
    <w:rsid w:val="00527EB0"/>
    <w:rsid w:val="005303CA"/>
    <w:rsid w:val="00530DF8"/>
    <w:rsid w:val="00531CA7"/>
    <w:rsid w:val="005324A6"/>
    <w:rsid w:val="00533A83"/>
    <w:rsid w:val="005346D7"/>
    <w:rsid w:val="00535D3D"/>
    <w:rsid w:val="00536768"/>
    <w:rsid w:val="005372F7"/>
    <w:rsid w:val="00537322"/>
    <w:rsid w:val="00542227"/>
    <w:rsid w:val="005424B5"/>
    <w:rsid w:val="00542CEE"/>
    <w:rsid w:val="00546097"/>
    <w:rsid w:val="00546B65"/>
    <w:rsid w:val="00546FB4"/>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4C83"/>
    <w:rsid w:val="005810DF"/>
    <w:rsid w:val="00583101"/>
    <w:rsid w:val="005836B3"/>
    <w:rsid w:val="00583AAC"/>
    <w:rsid w:val="00584D72"/>
    <w:rsid w:val="0058662D"/>
    <w:rsid w:val="005900C3"/>
    <w:rsid w:val="00590A21"/>
    <w:rsid w:val="005932EC"/>
    <w:rsid w:val="005966D8"/>
    <w:rsid w:val="0059769C"/>
    <w:rsid w:val="00597A92"/>
    <w:rsid w:val="005A0F75"/>
    <w:rsid w:val="005A129A"/>
    <w:rsid w:val="005A2ABF"/>
    <w:rsid w:val="005A35B4"/>
    <w:rsid w:val="005A422E"/>
    <w:rsid w:val="005A7235"/>
    <w:rsid w:val="005A7BA6"/>
    <w:rsid w:val="005B4322"/>
    <w:rsid w:val="005B499E"/>
    <w:rsid w:val="005B5DA7"/>
    <w:rsid w:val="005B6A8D"/>
    <w:rsid w:val="005C195D"/>
    <w:rsid w:val="005C2031"/>
    <w:rsid w:val="005D0ACB"/>
    <w:rsid w:val="005D140B"/>
    <w:rsid w:val="005D1C36"/>
    <w:rsid w:val="005D1F2E"/>
    <w:rsid w:val="005D2654"/>
    <w:rsid w:val="005D2E6F"/>
    <w:rsid w:val="005D5624"/>
    <w:rsid w:val="005D5865"/>
    <w:rsid w:val="005D5F1D"/>
    <w:rsid w:val="005E03A2"/>
    <w:rsid w:val="005E35C4"/>
    <w:rsid w:val="005E4A7B"/>
    <w:rsid w:val="005E4C2F"/>
    <w:rsid w:val="005E588F"/>
    <w:rsid w:val="005E5BEC"/>
    <w:rsid w:val="005E5D2D"/>
    <w:rsid w:val="005E6FAB"/>
    <w:rsid w:val="005F1234"/>
    <w:rsid w:val="005F13AA"/>
    <w:rsid w:val="005F484B"/>
    <w:rsid w:val="005F5F0A"/>
    <w:rsid w:val="00601660"/>
    <w:rsid w:val="00601B3B"/>
    <w:rsid w:val="00602636"/>
    <w:rsid w:val="006036CD"/>
    <w:rsid w:val="00603CAA"/>
    <w:rsid w:val="00603CC1"/>
    <w:rsid w:val="0060451D"/>
    <w:rsid w:val="00604681"/>
    <w:rsid w:val="00604D35"/>
    <w:rsid w:val="0060549C"/>
    <w:rsid w:val="006071E2"/>
    <w:rsid w:val="0060750F"/>
    <w:rsid w:val="006079C2"/>
    <w:rsid w:val="00611426"/>
    <w:rsid w:val="00613362"/>
    <w:rsid w:val="006150A3"/>
    <w:rsid w:val="006161DD"/>
    <w:rsid w:val="0061689C"/>
    <w:rsid w:val="006210DF"/>
    <w:rsid w:val="0062163B"/>
    <w:rsid w:val="00622434"/>
    <w:rsid w:val="00622500"/>
    <w:rsid w:val="00622738"/>
    <w:rsid w:val="00623817"/>
    <w:rsid w:val="00624119"/>
    <w:rsid w:val="00624BE7"/>
    <w:rsid w:val="0062570F"/>
    <w:rsid w:val="006262C0"/>
    <w:rsid w:val="00627768"/>
    <w:rsid w:val="00632312"/>
    <w:rsid w:val="00635E63"/>
    <w:rsid w:val="006364B9"/>
    <w:rsid w:val="00637244"/>
    <w:rsid w:val="00640646"/>
    <w:rsid w:val="006406C5"/>
    <w:rsid w:val="00640DB6"/>
    <w:rsid w:val="00642467"/>
    <w:rsid w:val="00642D76"/>
    <w:rsid w:val="00643FF8"/>
    <w:rsid w:val="00644EBE"/>
    <w:rsid w:val="00645A18"/>
    <w:rsid w:val="00645B0D"/>
    <w:rsid w:val="00651606"/>
    <w:rsid w:val="0065161C"/>
    <w:rsid w:val="00652B35"/>
    <w:rsid w:val="00652EE5"/>
    <w:rsid w:val="00653D08"/>
    <w:rsid w:val="0065454C"/>
    <w:rsid w:val="00660027"/>
    <w:rsid w:val="00660B98"/>
    <w:rsid w:val="00660D75"/>
    <w:rsid w:val="00665EAF"/>
    <w:rsid w:val="00666566"/>
    <w:rsid w:val="00666D5A"/>
    <w:rsid w:val="00670897"/>
    <w:rsid w:val="00672A20"/>
    <w:rsid w:val="006737EC"/>
    <w:rsid w:val="006739CE"/>
    <w:rsid w:val="0068304A"/>
    <w:rsid w:val="00683207"/>
    <w:rsid w:val="00686D59"/>
    <w:rsid w:val="00687254"/>
    <w:rsid w:val="00687583"/>
    <w:rsid w:val="00691828"/>
    <w:rsid w:val="00691A07"/>
    <w:rsid w:val="00692B88"/>
    <w:rsid w:val="00693D40"/>
    <w:rsid w:val="006971C6"/>
    <w:rsid w:val="00697598"/>
    <w:rsid w:val="006A01ED"/>
    <w:rsid w:val="006A0C6C"/>
    <w:rsid w:val="006A173F"/>
    <w:rsid w:val="006A1AC5"/>
    <w:rsid w:val="006A231D"/>
    <w:rsid w:val="006A29EB"/>
    <w:rsid w:val="006A5C2F"/>
    <w:rsid w:val="006A6EDB"/>
    <w:rsid w:val="006B102F"/>
    <w:rsid w:val="006B15F9"/>
    <w:rsid w:val="006B18D6"/>
    <w:rsid w:val="006B20E9"/>
    <w:rsid w:val="006B2749"/>
    <w:rsid w:val="006B42B0"/>
    <w:rsid w:val="006B490F"/>
    <w:rsid w:val="006B57A3"/>
    <w:rsid w:val="006B58DB"/>
    <w:rsid w:val="006B6448"/>
    <w:rsid w:val="006B6B7D"/>
    <w:rsid w:val="006B738C"/>
    <w:rsid w:val="006B770D"/>
    <w:rsid w:val="006C1677"/>
    <w:rsid w:val="006C4CAA"/>
    <w:rsid w:val="006C68A7"/>
    <w:rsid w:val="006C780F"/>
    <w:rsid w:val="006C79DB"/>
    <w:rsid w:val="006D09D6"/>
    <w:rsid w:val="006D1400"/>
    <w:rsid w:val="006D419B"/>
    <w:rsid w:val="006D6C61"/>
    <w:rsid w:val="006D7A1A"/>
    <w:rsid w:val="006E009D"/>
    <w:rsid w:val="006E0122"/>
    <w:rsid w:val="006E0960"/>
    <w:rsid w:val="006E116F"/>
    <w:rsid w:val="006E13FF"/>
    <w:rsid w:val="006E197A"/>
    <w:rsid w:val="006E1DC0"/>
    <w:rsid w:val="006E4817"/>
    <w:rsid w:val="006E6819"/>
    <w:rsid w:val="006E6A2C"/>
    <w:rsid w:val="006E6C7E"/>
    <w:rsid w:val="006E7D37"/>
    <w:rsid w:val="006F1F1D"/>
    <w:rsid w:val="006F4946"/>
    <w:rsid w:val="00700983"/>
    <w:rsid w:val="007020F8"/>
    <w:rsid w:val="007025A2"/>
    <w:rsid w:val="007029CB"/>
    <w:rsid w:val="00702E91"/>
    <w:rsid w:val="00702F36"/>
    <w:rsid w:val="00703FEF"/>
    <w:rsid w:val="00704459"/>
    <w:rsid w:val="007045C4"/>
    <w:rsid w:val="00704CBA"/>
    <w:rsid w:val="00706B15"/>
    <w:rsid w:val="00706F41"/>
    <w:rsid w:val="007072D8"/>
    <w:rsid w:val="00710A21"/>
    <w:rsid w:val="00712749"/>
    <w:rsid w:val="007128E1"/>
    <w:rsid w:val="007139DB"/>
    <w:rsid w:val="00714D14"/>
    <w:rsid w:val="00714E66"/>
    <w:rsid w:val="007167A3"/>
    <w:rsid w:val="00716971"/>
    <w:rsid w:val="007169A1"/>
    <w:rsid w:val="00716CE1"/>
    <w:rsid w:val="00716D1D"/>
    <w:rsid w:val="00724442"/>
    <w:rsid w:val="00724815"/>
    <w:rsid w:val="00725EC3"/>
    <w:rsid w:val="00726EFA"/>
    <w:rsid w:val="007279D9"/>
    <w:rsid w:val="00731652"/>
    <w:rsid w:val="00732759"/>
    <w:rsid w:val="00732A40"/>
    <w:rsid w:val="00735197"/>
    <w:rsid w:val="00735C37"/>
    <w:rsid w:val="0073767D"/>
    <w:rsid w:val="0074077E"/>
    <w:rsid w:val="00741CD7"/>
    <w:rsid w:val="00742631"/>
    <w:rsid w:val="00742DE0"/>
    <w:rsid w:val="00743A10"/>
    <w:rsid w:val="00743BAD"/>
    <w:rsid w:val="00745A5F"/>
    <w:rsid w:val="00746F8F"/>
    <w:rsid w:val="00747678"/>
    <w:rsid w:val="00750796"/>
    <w:rsid w:val="007534F8"/>
    <w:rsid w:val="0075404F"/>
    <w:rsid w:val="00754F03"/>
    <w:rsid w:val="0075537F"/>
    <w:rsid w:val="007558ED"/>
    <w:rsid w:val="007560F1"/>
    <w:rsid w:val="00762228"/>
    <w:rsid w:val="00763E34"/>
    <w:rsid w:val="00764EF9"/>
    <w:rsid w:val="007674E8"/>
    <w:rsid w:val="00770A34"/>
    <w:rsid w:val="00770FC4"/>
    <w:rsid w:val="007711BC"/>
    <w:rsid w:val="007713C7"/>
    <w:rsid w:val="007722B7"/>
    <w:rsid w:val="00772C87"/>
    <w:rsid w:val="00772D61"/>
    <w:rsid w:val="00775025"/>
    <w:rsid w:val="00776C0D"/>
    <w:rsid w:val="0077747C"/>
    <w:rsid w:val="00780787"/>
    <w:rsid w:val="007837C6"/>
    <w:rsid w:val="007838DA"/>
    <w:rsid w:val="0078463B"/>
    <w:rsid w:val="007853D4"/>
    <w:rsid w:val="007860F8"/>
    <w:rsid w:val="00786880"/>
    <w:rsid w:val="00790AA0"/>
    <w:rsid w:val="00791DFE"/>
    <w:rsid w:val="007927B8"/>
    <w:rsid w:val="007937AD"/>
    <w:rsid w:val="00794978"/>
    <w:rsid w:val="00796ED4"/>
    <w:rsid w:val="007975D8"/>
    <w:rsid w:val="007A0115"/>
    <w:rsid w:val="007A1213"/>
    <w:rsid w:val="007A2883"/>
    <w:rsid w:val="007A3403"/>
    <w:rsid w:val="007A3539"/>
    <w:rsid w:val="007A3C78"/>
    <w:rsid w:val="007A4ADE"/>
    <w:rsid w:val="007A5180"/>
    <w:rsid w:val="007A5A6C"/>
    <w:rsid w:val="007A5EE5"/>
    <w:rsid w:val="007B00E3"/>
    <w:rsid w:val="007B14AA"/>
    <w:rsid w:val="007B22C1"/>
    <w:rsid w:val="007B2A30"/>
    <w:rsid w:val="007B41DD"/>
    <w:rsid w:val="007B5199"/>
    <w:rsid w:val="007B5773"/>
    <w:rsid w:val="007B74AA"/>
    <w:rsid w:val="007C285F"/>
    <w:rsid w:val="007C3A41"/>
    <w:rsid w:val="007C7191"/>
    <w:rsid w:val="007C7392"/>
    <w:rsid w:val="007D1451"/>
    <w:rsid w:val="007D1B8B"/>
    <w:rsid w:val="007D2824"/>
    <w:rsid w:val="007D3C4B"/>
    <w:rsid w:val="007D4381"/>
    <w:rsid w:val="007D47D8"/>
    <w:rsid w:val="007D58A8"/>
    <w:rsid w:val="007D5F7F"/>
    <w:rsid w:val="007E0597"/>
    <w:rsid w:val="007E0985"/>
    <w:rsid w:val="007E1BD7"/>
    <w:rsid w:val="007E1DEB"/>
    <w:rsid w:val="007E2E4D"/>
    <w:rsid w:val="007E403E"/>
    <w:rsid w:val="007E4B86"/>
    <w:rsid w:val="007E6E0D"/>
    <w:rsid w:val="007F11C3"/>
    <w:rsid w:val="007F1FD4"/>
    <w:rsid w:val="007F246C"/>
    <w:rsid w:val="007F2A90"/>
    <w:rsid w:val="007F3D25"/>
    <w:rsid w:val="007F5265"/>
    <w:rsid w:val="007F60B7"/>
    <w:rsid w:val="007F7757"/>
    <w:rsid w:val="0080187D"/>
    <w:rsid w:val="00802495"/>
    <w:rsid w:val="0080293D"/>
    <w:rsid w:val="00802D56"/>
    <w:rsid w:val="00803457"/>
    <w:rsid w:val="008042DB"/>
    <w:rsid w:val="00806D50"/>
    <w:rsid w:val="00807B4F"/>
    <w:rsid w:val="00811D22"/>
    <w:rsid w:val="00811FC2"/>
    <w:rsid w:val="008144DD"/>
    <w:rsid w:val="0081485B"/>
    <w:rsid w:val="00815A4C"/>
    <w:rsid w:val="00816010"/>
    <w:rsid w:val="008201BE"/>
    <w:rsid w:val="008202C9"/>
    <w:rsid w:val="008208CD"/>
    <w:rsid w:val="008219AA"/>
    <w:rsid w:val="008240E3"/>
    <w:rsid w:val="00824837"/>
    <w:rsid w:val="00827596"/>
    <w:rsid w:val="0082798D"/>
    <w:rsid w:val="00830F44"/>
    <w:rsid w:val="008310D5"/>
    <w:rsid w:val="008316D7"/>
    <w:rsid w:val="00831944"/>
    <w:rsid w:val="00831B47"/>
    <w:rsid w:val="008343F1"/>
    <w:rsid w:val="008366EC"/>
    <w:rsid w:val="00840AE4"/>
    <w:rsid w:val="008416DF"/>
    <w:rsid w:val="008443B3"/>
    <w:rsid w:val="00846433"/>
    <w:rsid w:val="0084668A"/>
    <w:rsid w:val="00850DF4"/>
    <w:rsid w:val="00851082"/>
    <w:rsid w:val="008510C7"/>
    <w:rsid w:val="0085150A"/>
    <w:rsid w:val="0085160F"/>
    <w:rsid w:val="00852A45"/>
    <w:rsid w:val="00853133"/>
    <w:rsid w:val="0085327B"/>
    <w:rsid w:val="00853B1E"/>
    <w:rsid w:val="00854AAE"/>
    <w:rsid w:val="00856CDB"/>
    <w:rsid w:val="00860243"/>
    <w:rsid w:val="00862ACA"/>
    <w:rsid w:val="00862AD0"/>
    <w:rsid w:val="00863B5C"/>
    <w:rsid w:val="00863E35"/>
    <w:rsid w:val="0086480C"/>
    <w:rsid w:val="0086680C"/>
    <w:rsid w:val="00866A4F"/>
    <w:rsid w:val="00866F44"/>
    <w:rsid w:val="00870F86"/>
    <w:rsid w:val="00872289"/>
    <w:rsid w:val="00873EFF"/>
    <w:rsid w:val="008749E8"/>
    <w:rsid w:val="00876774"/>
    <w:rsid w:val="00876C6F"/>
    <w:rsid w:val="008803DA"/>
    <w:rsid w:val="00881794"/>
    <w:rsid w:val="00881CAD"/>
    <w:rsid w:val="00883A58"/>
    <w:rsid w:val="00891F62"/>
    <w:rsid w:val="0089326A"/>
    <w:rsid w:val="0089358E"/>
    <w:rsid w:val="00893F67"/>
    <w:rsid w:val="00895E6F"/>
    <w:rsid w:val="008A0297"/>
    <w:rsid w:val="008A034D"/>
    <w:rsid w:val="008A1004"/>
    <w:rsid w:val="008A15C2"/>
    <w:rsid w:val="008A2F96"/>
    <w:rsid w:val="008A34CB"/>
    <w:rsid w:val="008A474D"/>
    <w:rsid w:val="008A5926"/>
    <w:rsid w:val="008A5FBC"/>
    <w:rsid w:val="008A6835"/>
    <w:rsid w:val="008B0300"/>
    <w:rsid w:val="008B07A2"/>
    <w:rsid w:val="008B170E"/>
    <w:rsid w:val="008B37A1"/>
    <w:rsid w:val="008B4625"/>
    <w:rsid w:val="008B467F"/>
    <w:rsid w:val="008B57B0"/>
    <w:rsid w:val="008C06CB"/>
    <w:rsid w:val="008C0C83"/>
    <w:rsid w:val="008C582D"/>
    <w:rsid w:val="008C6A5F"/>
    <w:rsid w:val="008C7F35"/>
    <w:rsid w:val="008D0B32"/>
    <w:rsid w:val="008D2A1E"/>
    <w:rsid w:val="008D2CA0"/>
    <w:rsid w:val="008D3B33"/>
    <w:rsid w:val="008D4703"/>
    <w:rsid w:val="008D659E"/>
    <w:rsid w:val="008D6656"/>
    <w:rsid w:val="008E035D"/>
    <w:rsid w:val="008E2B3A"/>
    <w:rsid w:val="008E3EF5"/>
    <w:rsid w:val="008E4DC6"/>
    <w:rsid w:val="008E5DFF"/>
    <w:rsid w:val="008E6B14"/>
    <w:rsid w:val="008E6FC3"/>
    <w:rsid w:val="008F0A00"/>
    <w:rsid w:val="008F0EEB"/>
    <w:rsid w:val="008F1F04"/>
    <w:rsid w:val="008F2C24"/>
    <w:rsid w:val="008F48A5"/>
    <w:rsid w:val="008F4B28"/>
    <w:rsid w:val="008F5FAF"/>
    <w:rsid w:val="008F74C2"/>
    <w:rsid w:val="008F7CEE"/>
    <w:rsid w:val="00900E6C"/>
    <w:rsid w:val="00900E6F"/>
    <w:rsid w:val="00901C53"/>
    <w:rsid w:val="00902767"/>
    <w:rsid w:val="00902BB7"/>
    <w:rsid w:val="009048BF"/>
    <w:rsid w:val="00911E06"/>
    <w:rsid w:val="009124E7"/>
    <w:rsid w:val="00912F15"/>
    <w:rsid w:val="00916658"/>
    <w:rsid w:val="00916674"/>
    <w:rsid w:val="00916D23"/>
    <w:rsid w:val="0091768B"/>
    <w:rsid w:val="00921B62"/>
    <w:rsid w:val="00922AA7"/>
    <w:rsid w:val="00922C6F"/>
    <w:rsid w:val="00922D6B"/>
    <w:rsid w:val="00923155"/>
    <w:rsid w:val="00925391"/>
    <w:rsid w:val="009254E0"/>
    <w:rsid w:val="00925CEA"/>
    <w:rsid w:val="00927A0F"/>
    <w:rsid w:val="00927A30"/>
    <w:rsid w:val="00927DC6"/>
    <w:rsid w:val="0093123F"/>
    <w:rsid w:val="00931E9D"/>
    <w:rsid w:val="009328B3"/>
    <w:rsid w:val="00936A54"/>
    <w:rsid w:val="00937543"/>
    <w:rsid w:val="00937AC9"/>
    <w:rsid w:val="00940165"/>
    <w:rsid w:val="009409E4"/>
    <w:rsid w:val="00940B0E"/>
    <w:rsid w:val="00940F81"/>
    <w:rsid w:val="00941552"/>
    <w:rsid w:val="009429A4"/>
    <w:rsid w:val="00942B82"/>
    <w:rsid w:val="0094321E"/>
    <w:rsid w:val="00943C5A"/>
    <w:rsid w:val="00944273"/>
    <w:rsid w:val="00944C1D"/>
    <w:rsid w:val="00945D12"/>
    <w:rsid w:val="00946AF5"/>
    <w:rsid w:val="0095227C"/>
    <w:rsid w:val="009523A7"/>
    <w:rsid w:val="009523F2"/>
    <w:rsid w:val="00953FB7"/>
    <w:rsid w:val="009551C5"/>
    <w:rsid w:val="00956636"/>
    <w:rsid w:val="00961FE9"/>
    <w:rsid w:val="009620C0"/>
    <w:rsid w:val="009628DB"/>
    <w:rsid w:val="00962BB9"/>
    <w:rsid w:val="00963312"/>
    <w:rsid w:val="0096386A"/>
    <w:rsid w:val="0096508A"/>
    <w:rsid w:val="00965ABF"/>
    <w:rsid w:val="00971823"/>
    <w:rsid w:val="00971A41"/>
    <w:rsid w:val="00975BE8"/>
    <w:rsid w:val="00976A58"/>
    <w:rsid w:val="00977AA1"/>
    <w:rsid w:val="00980058"/>
    <w:rsid w:val="00982445"/>
    <w:rsid w:val="00982777"/>
    <w:rsid w:val="00982C40"/>
    <w:rsid w:val="0098375D"/>
    <w:rsid w:val="00986137"/>
    <w:rsid w:val="00986389"/>
    <w:rsid w:val="009872CD"/>
    <w:rsid w:val="00987A8B"/>
    <w:rsid w:val="00987C8D"/>
    <w:rsid w:val="00990A46"/>
    <w:rsid w:val="00990AB9"/>
    <w:rsid w:val="009912BB"/>
    <w:rsid w:val="009920E2"/>
    <w:rsid w:val="00994217"/>
    <w:rsid w:val="00994618"/>
    <w:rsid w:val="00996B9F"/>
    <w:rsid w:val="00996CD5"/>
    <w:rsid w:val="00997E71"/>
    <w:rsid w:val="009A09EC"/>
    <w:rsid w:val="009A0E02"/>
    <w:rsid w:val="009A151F"/>
    <w:rsid w:val="009A24BC"/>
    <w:rsid w:val="009A442C"/>
    <w:rsid w:val="009A5C07"/>
    <w:rsid w:val="009A6AF8"/>
    <w:rsid w:val="009A7ED7"/>
    <w:rsid w:val="009A7EF0"/>
    <w:rsid w:val="009B2A92"/>
    <w:rsid w:val="009B3C05"/>
    <w:rsid w:val="009B46F6"/>
    <w:rsid w:val="009B5CB4"/>
    <w:rsid w:val="009B5E96"/>
    <w:rsid w:val="009B76F3"/>
    <w:rsid w:val="009B7753"/>
    <w:rsid w:val="009C2087"/>
    <w:rsid w:val="009C24FF"/>
    <w:rsid w:val="009C2DE1"/>
    <w:rsid w:val="009C3712"/>
    <w:rsid w:val="009C3901"/>
    <w:rsid w:val="009C3BA8"/>
    <w:rsid w:val="009C3C64"/>
    <w:rsid w:val="009C66BD"/>
    <w:rsid w:val="009D040F"/>
    <w:rsid w:val="009D043F"/>
    <w:rsid w:val="009D090E"/>
    <w:rsid w:val="009D1603"/>
    <w:rsid w:val="009D1FF1"/>
    <w:rsid w:val="009D23AF"/>
    <w:rsid w:val="009D2F92"/>
    <w:rsid w:val="009D4058"/>
    <w:rsid w:val="009D4B0D"/>
    <w:rsid w:val="009D57EC"/>
    <w:rsid w:val="009D5839"/>
    <w:rsid w:val="009D5AD5"/>
    <w:rsid w:val="009D607F"/>
    <w:rsid w:val="009D640D"/>
    <w:rsid w:val="009D6EDD"/>
    <w:rsid w:val="009D75E4"/>
    <w:rsid w:val="009D7CC1"/>
    <w:rsid w:val="009D7E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3011"/>
    <w:rsid w:val="009F45ED"/>
    <w:rsid w:val="00A02D1A"/>
    <w:rsid w:val="00A03078"/>
    <w:rsid w:val="00A0627A"/>
    <w:rsid w:val="00A10781"/>
    <w:rsid w:val="00A10C30"/>
    <w:rsid w:val="00A12B93"/>
    <w:rsid w:val="00A12BD8"/>
    <w:rsid w:val="00A15F64"/>
    <w:rsid w:val="00A227AA"/>
    <w:rsid w:val="00A233E0"/>
    <w:rsid w:val="00A24F5B"/>
    <w:rsid w:val="00A26353"/>
    <w:rsid w:val="00A266EE"/>
    <w:rsid w:val="00A26E89"/>
    <w:rsid w:val="00A274B4"/>
    <w:rsid w:val="00A27E5C"/>
    <w:rsid w:val="00A306EB"/>
    <w:rsid w:val="00A31484"/>
    <w:rsid w:val="00A352DB"/>
    <w:rsid w:val="00A358CC"/>
    <w:rsid w:val="00A35BC3"/>
    <w:rsid w:val="00A35F5B"/>
    <w:rsid w:val="00A361CE"/>
    <w:rsid w:val="00A45770"/>
    <w:rsid w:val="00A45865"/>
    <w:rsid w:val="00A5226D"/>
    <w:rsid w:val="00A53BD4"/>
    <w:rsid w:val="00A53C9A"/>
    <w:rsid w:val="00A54598"/>
    <w:rsid w:val="00A55764"/>
    <w:rsid w:val="00A56C84"/>
    <w:rsid w:val="00A60384"/>
    <w:rsid w:val="00A6282F"/>
    <w:rsid w:val="00A62AFA"/>
    <w:rsid w:val="00A64B54"/>
    <w:rsid w:val="00A67FC6"/>
    <w:rsid w:val="00A68791"/>
    <w:rsid w:val="00A71397"/>
    <w:rsid w:val="00A71F84"/>
    <w:rsid w:val="00A72623"/>
    <w:rsid w:val="00A768D2"/>
    <w:rsid w:val="00A80A27"/>
    <w:rsid w:val="00A816BC"/>
    <w:rsid w:val="00A82647"/>
    <w:rsid w:val="00A8542E"/>
    <w:rsid w:val="00A8593A"/>
    <w:rsid w:val="00A867AD"/>
    <w:rsid w:val="00A9188B"/>
    <w:rsid w:val="00A91EFC"/>
    <w:rsid w:val="00A955EC"/>
    <w:rsid w:val="00A9734E"/>
    <w:rsid w:val="00A975AC"/>
    <w:rsid w:val="00A97EE9"/>
    <w:rsid w:val="00AA26C8"/>
    <w:rsid w:val="00AA2AE3"/>
    <w:rsid w:val="00AA3857"/>
    <w:rsid w:val="00AA4A5E"/>
    <w:rsid w:val="00AA4F24"/>
    <w:rsid w:val="00AA5BD7"/>
    <w:rsid w:val="00AA67A0"/>
    <w:rsid w:val="00AA74E9"/>
    <w:rsid w:val="00AB58D2"/>
    <w:rsid w:val="00AC105E"/>
    <w:rsid w:val="00AC1131"/>
    <w:rsid w:val="00AC1AC4"/>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3B1"/>
    <w:rsid w:val="00AE70A5"/>
    <w:rsid w:val="00AE7A5F"/>
    <w:rsid w:val="00AE7BE7"/>
    <w:rsid w:val="00AE7FC5"/>
    <w:rsid w:val="00AF2486"/>
    <w:rsid w:val="00AF24FA"/>
    <w:rsid w:val="00AF3D20"/>
    <w:rsid w:val="00AF4218"/>
    <w:rsid w:val="00AF6F5C"/>
    <w:rsid w:val="00B027C5"/>
    <w:rsid w:val="00B02874"/>
    <w:rsid w:val="00B044B2"/>
    <w:rsid w:val="00B04655"/>
    <w:rsid w:val="00B04A5C"/>
    <w:rsid w:val="00B06750"/>
    <w:rsid w:val="00B07337"/>
    <w:rsid w:val="00B11B2A"/>
    <w:rsid w:val="00B13545"/>
    <w:rsid w:val="00B13DEC"/>
    <w:rsid w:val="00B15AEE"/>
    <w:rsid w:val="00B15B9E"/>
    <w:rsid w:val="00B21E5D"/>
    <w:rsid w:val="00B222EC"/>
    <w:rsid w:val="00B22810"/>
    <w:rsid w:val="00B22F84"/>
    <w:rsid w:val="00B2326A"/>
    <w:rsid w:val="00B23E0D"/>
    <w:rsid w:val="00B24852"/>
    <w:rsid w:val="00B26757"/>
    <w:rsid w:val="00B31C31"/>
    <w:rsid w:val="00B37C28"/>
    <w:rsid w:val="00B400AE"/>
    <w:rsid w:val="00B434D7"/>
    <w:rsid w:val="00B43BC7"/>
    <w:rsid w:val="00B44779"/>
    <w:rsid w:val="00B45BEF"/>
    <w:rsid w:val="00B47058"/>
    <w:rsid w:val="00B5008A"/>
    <w:rsid w:val="00B5068E"/>
    <w:rsid w:val="00B51024"/>
    <w:rsid w:val="00B524A9"/>
    <w:rsid w:val="00B603E4"/>
    <w:rsid w:val="00B62988"/>
    <w:rsid w:val="00B6361B"/>
    <w:rsid w:val="00B63B97"/>
    <w:rsid w:val="00B65237"/>
    <w:rsid w:val="00B666CD"/>
    <w:rsid w:val="00B67894"/>
    <w:rsid w:val="00B72371"/>
    <w:rsid w:val="00B737EF"/>
    <w:rsid w:val="00B74D25"/>
    <w:rsid w:val="00B7519D"/>
    <w:rsid w:val="00B77C81"/>
    <w:rsid w:val="00B80F76"/>
    <w:rsid w:val="00B818B8"/>
    <w:rsid w:val="00B81A2E"/>
    <w:rsid w:val="00B82E99"/>
    <w:rsid w:val="00B83587"/>
    <w:rsid w:val="00B8407F"/>
    <w:rsid w:val="00B8491D"/>
    <w:rsid w:val="00B85B34"/>
    <w:rsid w:val="00B8742C"/>
    <w:rsid w:val="00B90437"/>
    <w:rsid w:val="00B92005"/>
    <w:rsid w:val="00B92284"/>
    <w:rsid w:val="00B922FC"/>
    <w:rsid w:val="00B9379D"/>
    <w:rsid w:val="00B93F50"/>
    <w:rsid w:val="00B9424F"/>
    <w:rsid w:val="00B9504D"/>
    <w:rsid w:val="00B957FA"/>
    <w:rsid w:val="00B95BD0"/>
    <w:rsid w:val="00B9602F"/>
    <w:rsid w:val="00BA1A18"/>
    <w:rsid w:val="00BA2C33"/>
    <w:rsid w:val="00BA45E6"/>
    <w:rsid w:val="00BA5E6F"/>
    <w:rsid w:val="00BB0D04"/>
    <w:rsid w:val="00BB29FA"/>
    <w:rsid w:val="00BB2B15"/>
    <w:rsid w:val="00BB3410"/>
    <w:rsid w:val="00BB432F"/>
    <w:rsid w:val="00BB49A7"/>
    <w:rsid w:val="00BB49C0"/>
    <w:rsid w:val="00BB6F4C"/>
    <w:rsid w:val="00BB6FB5"/>
    <w:rsid w:val="00BB753F"/>
    <w:rsid w:val="00BB7977"/>
    <w:rsid w:val="00BB7DA0"/>
    <w:rsid w:val="00BB7FF2"/>
    <w:rsid w:val="00BC0B1A"/>
    <w:rsid w:val="00BC1522"/>
    <w:rsid w:val="00BC187E"/>
    <w:rsid w:val="00BC1BF0"/>
    <w:rsid w:val="00BC3541"/>
    <w:rsid w:val="00BC3DD2"/>
    <w:rsid w:val="00BD12E4"/>
    <w:rsid w:val="00BD6B16"/>
    <w:rsid w:val="00BE03A9"/>
    <w:rsid w:val="00BE12E1"/>
    <w:rsid w:val="00BE1B26"/>
    <w:rsid w:val="00BE1F44"/>
    <w:rsid w:val="00BE3D6F"/>
    <w:rsid w:val="00BE4548"/>
    <w:rsid w:val="00BE53BF"/>
    <w:rsid w:val="00BE63D7"/>
    <w:rsid w:val="00BF0CAD"/>
    <w:rsid w:val="00BF2700"/>
    <w:rsid w:val="00BF2A34"/>
    <w:rsid w:val="00BF2DF6"/>
    <w:rsid w:val="00BF5699"/>
    <w:rsid w:val="00BF6721"/>
    <w:rsid w:val="00BF6C47"/>
    <w:rsid w:val="00C02D9A"/>
    <w:rsid w:val="00C033E9"/>
    <w:rsid w:val="00C0389F"/>
    <w:rsid w:val="00C04326"/>
    <w:rsid w:val="00C046AD"/>
    <w:rsid w:val="00C054E3"/>
    <w:rsid w:val="00C066B7"/>
    <w:rsid w:val="00C07AAE"/>
    <w:rsid w:val="00C07D74"/>
    <w:rsid w:val="00C11ED5"/>
    <w:rsid w:val="00C13B84"/>
    <w:rsid w:val="00C14B7B"/>
    <w:rsid w:val="00C14D9D"/>
    <w:rsid w:val="00C1628D"/>
    <w:rsid w:val="00C20372"/>
    <w:rsid w:val="00C2356F"/>
    <w:rsid w:val="00C24C6C"/>
    <w:rsid w:val="00C25A7A"/>
    <w:rsid w:val="00C2600C"/>
    <w:rsid w:val="00C26DDC"/>
    <w:rsid w:val="00C27150"/>
    <w:rsid w:val="00C30469"/>
    <w:rsid w:val="00C3183C"/>
    <w:rsid w:val="00C32359"/>
    <w:rsid w:val="00C32D5B"/>
    <w:rsid w:val="00C33E98"/>
    <w:rsid w:val="00C347F1"/>
    <w:rsid w:val="00C34842"/>
    <w:rsid w:val="00C36AEE"/>
    <w:rsid w:val="00C36E61"/>
    <w:rsid w:val="00C375CA"/>
    <w:rsid w:val="00C4086C"/>
    <w:rsid w:val="00C4298A"/>
    <w:rsid w:val="00C42F7B"/>
    <w:rsid w:val="00C441E0"/>
    <w:rsid w:val="00C44A9E"/>
    <w:rsid w:val="00C457F1"/>
    <w:rsid w:val="00C45979"/>
    <w:rsid w:val="00C47AFE"/>
    <w:rsid w:val="00C51D4B"/>
    <w:rsid w:val="00C538F7"/>
    <w:rsid w:val="00C541C4"/>
    <w:rsid w:val="00C54E17"/>
    <w:rsid w:val="00C54FDB"/>
    <w:rsid w:val="00C573BC"/>
    <w:rsid w:val="00C60DDA"/>
    <w:rsid w:val="00C613DC"/>
    <w:rsid w:val="00C6228D"/>
    <w:rsid w:val="00C63846"/>
    <w:rsid w:val="00C67D9C"/>
    <w:rsid w:val="00C706D7"/>
    <w:rsid w:val="00C72590"/>
    <w:rsid w:val="00C72CCD"/>
    <w:rsid w:val="00C733F7"/>
    <w:rsid w:val="00C754FD"/>
    <w:rsid w:val="00C76FDB"/>
    <w:rsid w:val="00C80081"/>
    <w:rsid w:val="00C80E50"/>
    <w:rsid w:val="00C81982"/>
    <w:rsid w:val="00C81E8A"/>
    <w:rsid w:val="00C83ECD"/>
    <w:rsid w:val="00C8408B"/>
    <w:rsid w:val="00C86ABE"/>
    <w:rsid w:val="00C8720B"/>
    <w:rsid w:val="00C87C08"/>
    <w:rsid w:val="00C87E71"/>
    <w:rsid w:val="00C91270"/>
    <w:rsid w:val="00C9141A"/>
    <w:rsid w:val="00C916DE"/>
    <w:rsid w:val="00C93634"/>
    <w:rsid w:val="00C943C6"/>
    <w:rsid w:val="00C94D70"/>
    <w:rsid w:val="00C9517E"/>
    <w:rsid w:val="00C957C4"/>
    <w:rsid w:val="00C96032"/>
    <w:rsid w:val="00C96BDE"/>
    <w:rsid w:val="00CA27B9"/>
    <w:rsid w:val="00CA32FE"/>
    <w:rsid w:val="00CA4137"/>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206D"/>
    <w:rsid w:val="00CD275E"/>
    <w:rsid w:val="00CD2EF7"/>
    <w:rsid w:val="00CD38AB"/>
    <w:rsid w:val="00CD4100"/>
    <w:rsid w:val="00CD4338"/>
    <w:rsid w:val="00CD4809"/>
    <w:rsid w:val="00CD5A92"/>
    <w:rsid w:val="00CD6009"/>
    <w:rsid w:val="00CE0942"/>
    <w:rsid w:val="00CE1EF9"/>
    <w:rsid w:val="00CE2CB1"/>
    <w:rsid w:val="00CE3ACF"/>
    <w:rsid w:val="00CE4292"/>
    <w:rsid w:val="00CE4DEB"/>
    <w:rsid w:val="00CE4F47"/>
    <w:rsid w:val="00CE5752"/>
    <w:rsid w:val="00CE6F2D"/>
    <w:rsid w:val="00CF1060"/>
    <w:rsid w:val="00CF23B4"/>
    <w:rsid w:val="00CF242E"/>
    <w:rsid w:val="00CF413A"/>
    <w:rsid w:val="00CF4631"/>
    <w:rsid w:val="00CF5A3C"/>
    <w:rsid w:val="00CF5EFF"/>
    <w:rsid w:val="00D00106"/>
    <w:rsid w:val="00D00D33"/>
    <w:rsid w:val="00D01A8F"/>
    <w:rsid w:val="00D04072"/>
    <w:rsid w:val="00D043F3"/>
    <w:rsid w:val="00D10B82"/>
    <w:rsid w:val="00D12D20"/>
    <w:rsid w:val="00D14A68"/>
    <w:rsid w:val="00D163B0"/>
    <w:rsid w:val="00D17BB9"/>
    <w:rsid w:val="00D210DB"/>
    <w:rsid w:val="00D225E2"/>
    <w:rsid w:val="00D234AD"/>
    <w:rsid w:val="00D24AC0"/>
    <w:rsid w:val="00D25342"/>
    <w:rsid w:val="00D26124"/>
    <w:rsid w:val="00D31DCE"/>
    <w:rsid w:val="00D33817"/>
    <w:rsid w:val="00D36464"/>
    <w:rsid w:val="00D37D03"/>
    <w:rsid w:val="00D37D3F"/>
    <w:rsid w:val="00D414EB"/>
    <w:rsid w:val="00D4260C"/>
    <w:rsid w:val="00D43278"/>
    <w:rsid w:val="00D432B7"/>
    <w:rsid w:val="00D437E5"/>
    <w:rsid w:val="00D4483E"/>
    <w:rsid w:val="00D4591C"/>
    <w:rsid w:val="00D45C8A"/>
    <w:rsid w:val="00D47C16"/>
    <w:rsid w:val="00D47C2B"/>
    <w:rsid w:val="00D47CB3"/>
    <w:rsid w:val="00D50C3C"/>
    <w:rsid w:val="00D51356"/>
    <w:rsid w:val="00D517F0"/>
    <w:rsid w:val="00D5260D"/>
    <w:rsid w:val="00D54334"/>
    <w:rsid w:val="00D544EC"/>
    <w:rsid w:val="00D55926"/>
    <w:rsid w:val="00D55EB1"/>
    <w:rsid w:val="00D57716"/>
    <w:rsid w:val="00D61EDC"/>
    <w:rsid w:val="00D64254"/>
    <w:rsid w:val="00D67EAB"/>
    <w:rsid w:val="00D71532"/>
    <w:rsid w:val="00D73509"/>
    <w:rsid w:val="00D73DBE"/>
    <w:rsid w:val="00D73E09"/>
    <w:rsid w:val="00D74290"/>
    <w:rsid w:val="00D74D4B"/>
    <w:rsid w:val="00D76DB3"/>
    <w:rsid w:val="00D77C8D"/>
    <w:rsid w:val="00D87764"/>
    <w:rsid w:val="00D87BDB"/>
    <w:rsid w:val="00D90653"/>
    <w:rsid w:val="00D92ED6"/>
    <w:rsid w:val="00D9599C"/>
    <w:rsid w:val="00DA1380"/>
    <w:rsid w:val="00DA4019"/>
    <w:rsid w:val="00DA4E0C"/>
    <w:rsid w:val="00DA53F8"/>
    <w:rsid w:val="00DA7843"/>
    <w:rsid w:val="00DA7E80"/>
    <w:rsid w:val="00DB0E66"/>
    <w:rsid w:val="00DB13CB"/>
    <w:rsid w:val="00DB523F"/>
    <w:rsid w:val="00DB52E0"/>
    <w:rsid w:val="00DB5E95"/>
    <w:rsid w:val="00DB6062"/>
    <w:rsid w:val="00DB7775"/>
    <w:rsid w:val="00DB799B"/>
    <w:rsid w:val="00DC1889"/>
    <w:rsid w:val="00DC1EEC"/>
    <w:rsid w:val="00DC2D99"/>
    <w:rsid w:val="00DC57CD"/>
    <w:rsid w:val="00DC6593"/>
    <w:rsid w:val="00DD1050"/>
    <w:rsid w:val="00DD2682"/>
    <w:rsid w:val="00DD35B0"/>
    <w:rsid w:val="00DD4E7A"/>
    <w:rsid w:val="00DD6533"/>
    <w:rsid w:val="00DD718B"/>
    <w:rsid w:val="00DE15D8"/>
    <w:rsid w:val="00DE26D9"/>
    <w:rsid w:val="00DE3DF8"/>
    <w:rsid w:val="00DE4E0C"/>
    <w:rsid w:val="00DE50FF"/>
    <w:rsid w:val="00DE5FD4"/>
    <w:rsid w:val="00DE60DC"/>
    <w:rsid w:val="00DE68CB"/>
    <w:rsid w:val="00DF0955"/>
    <w:rsid w:val="00DF3AA1"/>
    <w:rsid w:val="00DF4973"/>
    <w:rsid w:val="00DF6030"/>
    <w:rsid w:val="00DF7E5D"/>
    <w:rsid w:val="00E00589"/>
    <w:rsid w:val="00E0220E"/>
    <w:rsid w:val="00E034D9"/>
    <w:rsid w:val="00E03FC8"/>
    <w:rsid w:val="00E04947"/>
    <w:rsid w:val="00E065ED"/>
    <w:rsid w:val="00E076DF"/>
    <w:rsid w:val="00E07C37"/>
    <w:rsid w:val="00E10927"/>
    <w:rsid w:val="00E128B1"/>
    <w:rsid w:val="00E14467"/>
    <w:rsid w:val="00E14BF3"/>
    <w:rsid w:val="00E16410"/>
    <w:rsid w:val="00E205A3"/>
    <w:rsid w:val="00E2389F"/>
    <w:rsid w:val="00E25157"/>
    <w:rsid w:val="00E27F78"/>
    <w:rsid w:val="00E30153"/>
    <w:rsid w:val="00E30F8E"/>
    <w:rsid w:val="00E3122D"/>
    <w:rsid w:val="00E31AF4"/>
    <w:rsid w:val="00E33FC1"/>
    <w:rsid w:val="00E3518D"/>
    <w:rsid w:val="00E35BF8"/>
    <w:rsid w:val="00E37A2B"/>
    <w:rsid w:val="00E40D81"/>
    <w:rsid w:val="00E42EA6"/>
    <w:rsid w:val="00E439D8"/>
    <w:rsid w:val="00E463E4"/>
    <w:rsid w:val="00E47562"/>
    <w:rsid w:val="00E50CD6"/>
    <w:rsid w:val="00E5311D"/>
    <w:rsid w:val="00E54B97"/>
    <w:rsid w:val="00E55F68"/>
    <w:rsid w:val="00E604E8"/>
    <w:rsid w:val="00E63258"/>
    <w:rsid w:val="00E63B7C"/>
    <w:rsid w:val="00E64357"/>
    <w:rsid w:val="00E64935"/>
    <w:rsid w:val="00E64F9E"/>
    <w:rsid w:val="00E663AF"/>
    <w:rsid w:val="00E6714A"/>
    <w:rsid w:val="00E6717A"/>
    <w:rsid w:val="00E671A5"/>
    <w:rsid w:val="00E67AA0"/>
    <w:rsid w:val="00E70167"/>
    <w:rsid w:val="00E705EC"/>
    <w:rsid w:val="00E71E8B"/>
    <w:rsid w:val="00E72DB0"/>
    <w:rsid w:val="00E73765"/>
    <w:rsid w:val="00E73E81"/>
    <w:rsid w:val="00E74511"/>
    <w:rsid w:val="00E75438"/>
    <w:rsid w:val="00E75DBD"/>
    <w:rsid w:val="00E777B0"/>
    <w:rsid w:val="00E77E40"/>
    <w:rsid w:val="00E815E1"/>
    <w:rsid w:val="00E833F8"/>
    <w:rsid w:val="00E83D5C"/>
    <w:rsid w:val="00E85622"/>
    <w:rsid w:val="00E87F99"/>
    <w:rsid w:val="00E87FCD"/>
    <w:rsid w:val="00E917B8"/>
    <w:rsid w:val="00E91C6A"/>
    <w:rsid w:val="00E94E34"/>
    <w:rsid w:val="00E957A4"/>
    <w:rsid w:val="00E97093"/>
    <w:rsid w:val="00EA0CF2"/>
    <w:rsid w:val="00EA0D20"/>
    <w:rsid w:val="00EA1F47"/>
    <w:rsid w:val="00EA3AE4"/>
    <w:rsid w:val="00EA4A33"/>
    <w:rsid w:val="00EA58E6"/>
    <w:rsid w:val="00EA5D83"/>
    <w:rsid w:val="00EA6184"/>
    <w:rsid w:val="00EA6BDC"/>
    <w:rsid w:val="00EB00A2"/>
    <w:rsid w:val="00EB0A8E"/>
    <w:rsid w:val="00EB0C83"/>
    <w:rsid w:val="00EB1912"/>
    <w:rsid w:val="00EB19A0"/>
    <w:rsid w:val="00EB1C08"/>
    <w:rsid w:val="00EB2A3A"/>
    <w:rsid w:val="00EB34A6"/>
    <w:rsid w:val="00EB4C2F"/>
    <w:rsid w:val="00EB7EC4"/>
    <w:rsid w:val="00EC04E3"/>
    <w:rsid w:val="00EC0D68"/>
    <w:rsid w:val="00EC1141"/>
    <w:rsid w:val="00EC11F9"/>
    <w:rsid w:val="00EC122D"/>
    <w:rsid w:val="00EC1979"/>
    <w:rsid w:val="00EC1EAB"/>
    <w:rsid w:val="00EC230D"/>
    <w:rsid w:val="00EC3FFD"/>
    <w:rsid w:val="00EC5598"/>
    <w:rsid w:val="00EC6B27"/>
    <w:rsid w:val="00EC700B"/>
    <w:rsid w:val="00EC7AEE"/>
    <w:rsid w:val="00ED0082"/>
    <w:rsid w:val="00ED1842"/>
    <w:rsid w:val="00ED1C59"/>
    <w:rsid w:val="00ED2C2E"/>
    <w:rsid w:val="00ED31BD"/>
    <w:rsid w:val="00ED3C90"/>
    <w:rsid w:val="00ED4385"/>
    <w:rsid w:val="00ED44A3"/>
    <w:rsid w:val="00ED57A4"/>
    <w:rsid w:val="00ED6496"/>
    <w:rsid w:val="00EE038B"/>
    <w:rsid w:val="00EE2072"/>
    <w:rsid w:val="00EE2403"/>
    <w:rsid w:val="00EE2B2F"/>
    <w:rsid w:val="00EE5AC9"/>
    <w:rsid w:val="00EE68B7"/>
    <w:rsid w:val="00EE7609"/>
    <w:rsid w:val="00EE782C"/>
    <w:rsid w:val="00EF2E9D"/>
    <w:rsid w:val="00EF3B34"/>
    <w:rsid w:val="00EF71E8"/>
    <w:rsid w:val="00EF7A31"/>
    <w:rsid w:val="00EF7B2E"/>
    <w:rsid w:val="00EF7D9F"/>
    <w:rsid w:val="00F0015C"/>
    <w:rsid w:val="00F02003"/>
    <w:rsid w:val="00F0667A"/>
    <w:rsid w:val="00F0705E"/>
    <w:rsid w:val="00F071BE"/>
    <w:rsid w:val="00F10CF0"/>
    <w:rsid w:val="00F10F27"/>
    <w:rsid w:val="00F13918"/>
    <w:rsid w:val="00F15CFE"/>
    <w:rsid w:val="00F171C6"/>
    <w:rsid w:val="00F1773A"/>
    <w:rsid w:val="00F17AC5"/>
    <w:rsid w:val="00F17E88"/>
    <w:rsid w:val="00F17F8C"/>
    <w:rsid w:val="00F20097"/>
    <w:rsid w:val="00F2237E"/>
    <w:rsid w:val="00F229AC"/>
    <w:rsid w:val="00F252CD"/>
    <w:rsid w:val="00F2554C"/>
    <w:rsid w:val="00F27BD2"/>
    <w:rsid w:val="00F3030A"/>
    <w:rsid w:val="00F31DEE"/>
    <w:rsid w:val="00F32BF6"/>
    <w:rsid w:val="00F33388"/>
    <w:rsid w:val="00F33E4D"/>
    <w:rsid w:val="00F34178"/>
    <w:rsid w:val="00F34BCA"/>
    <w:rsid w:val="00F36723"/>
    <w:rsid w:val="00F37D13"/>
    <w:rsid w:val="00F405E9"/>
    <w:rsid w:val="00F42EA6"/>
    <w:rsid w:val="00F43533"/>
    <w:rsid w:val="00F440BC"/>
    <w:rsid w:val="00F462DB"/>
    <w:rsid w:val="00F47EAC"/>
    <w:rsid w:val="00F5019F"/>
    <w:rsid w:val="00F50C29"/>
    <w:rsid w:val="00F51F05"/>
    <w:rsid w:val="00F532D6"/>
    <w:rsid w:val="00F56114"/>
    <w:rsid w:val="00F573CC"/>
    <w:rsid w:val="00F57EAD"/>
    <w:rsid w:val="00F601B4"/>
    <w:rsid w:val="00F62C65"/>
    <w:rsid w:val="00F63290"/>
    <w:rsid w:val="00F652A6"/>
    <w:rsid w:val="00F66728"/>
    <w:rsid w:val="00F67649"/>
    <w:rsid w:val="00F67B5E"/>
    <w:rsid w:val="00F67C9A"/>
    <w:rsid w:val="00F7072E"/>
    <w:rsid w:val="00F71C27"/>
    <w:rsid w:val="00F7283C"/>
    <w:rsid w:val="00F741CB"/>
    <w:rsid w:val="00F74FF8"/>
    <w:rsid w:val="00F7776D"/>
    <w:rsid w:val="00F823FF"/>
    <w:rsid w:val="00F84AF9"/>
    <w:rsid w:val="00F85BB1"/>
    <w:rsid w:val="00F8697C"/>
    <w:rsid w:val="00F904F9"/>
    <w:rsid w:val="00F90ACE"/>
    <w:rsid w:val="00F9157A"/>
    <w:rsid w:val="00F916E8"/>
    <w:rsid w:val="00F91707"/>
    <w:rsid w:val="00F919C9"/>
    <w:rsid w:val="00F91EF0"/>
    <w:rsid w:val="00F92596"/>
    <w:rsid w:val="00F94728"/>
    <w:rsid w:val="00F95973"/>
    <w:rsid w:val="00FA0F0D"/>
    <w:rsid w:val="00FA243A"/>
    <w:rsid w:val="00FA2909"/>
    <w:rsid w:val="00FA4C93"/>
    <w:rsid w:val="00FA5FC1"/>
    <w:rsid w:val="00FA7931"/>
    <w:rsid w:val="00FB012C"/>
    <w:rsid w:val="00FB2200"/>
    <w:rsid w:val="00FB28AA"/>
    <w:rsid w:val="00FB37E2"/>
    <w:rsid w:val="00FB38ED"/>
    <w:rsid w:val="00FB6E02"/>
    <w:rsid w:val="00FB72D9"/>
    <w:rsid w:val="00FB7E9F"/>
    <w:rsid w:val="00FC02BD"/>
    <w:rsid w:val="00FC0F42"/>
    <w:rsid w:val="00FC2365"/>
    <w:rsid w:val="00FC4CC6"/>
    <w:rsid w:val="00FC4FBB"/>
    <w:rsid w:val="00FC53C7"/>
    <w:rsid w:val="00FC601F"/>
    <w:rsid w:val="00FC6545"/>
    <w:rsid w:val="00FC7E37"/>
    <w:rsid w:val="00FD0324"/>
    <w:rsid w:val="00FD071A"/>
    <w:rsid w:val="00FD0D81"/>
    <w:rsid w:val="00FD259F"/>
    <w:rsid w:val="00FD3EF8"/>
    <w:rsid w:val="00FD54EB"/>
    <w:rsid w:val="00FD7196"/>
    <w:rsid w:val="00FE090D"/>
    <w:rsid w:val="00FE0BEA"/>
    <w:rsid w:val="00FE0D6A"/>
    <w:rsid w:val="00FE1682"/>
    <w:rsid w:val="00FE2C1F"/>
    <w:rsid w:val="00FE4665"/>
    <w:rsid w:val="00FE539F"/>
    <w:rsid w:val="00FF04B1"/>
    <w:rsid w:val="00FF0CC3"/>
    <w:rsid w:val="00FF0DE8"/>
    <w:rsid w:val="00FF11A9"/>
    <w:rsid w:val="00FF165F"/>
    <w:rsid w:val="00FF16DB"/>
    <w:rsid w:val="00FF3DDF"/>
    <w:rsid w:val="00FF4B69"/>
    <w:rsid w:val="00FF5265"/>
    <w:rsid w:val="00FF55F1"/>
    <w:rsid w:val="00FF6FC8"/>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EDCDEDAF-B3A7-4576-8090-09722369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epa.gov/electronic-reporting-air-emissions/paperwork-reduction-act-pra-cedri-and-e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6fc5250-dc30-4f01-945b-7e46a880eeb3">
      <UserInfo>
        <DisplayName/>
        <AccountId xsi:nil="true"/>
        <AccountType/>
      </UserInfo>
    </SharedWithUsers>
    <TaxCatchAll xmlns="4ffa91fb-a0ff-4ac5-b2db-65c790d184a4" xsi:nil="true"/>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2024-10-31T14:37:57+00:00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2.xml><?xml version="1.0" encoding="utf-8"?>
<ds:datastoreItem xmlns:ds="http://schemas.openxmlformats.org/officeDocument/2006/customXml" ds:itemID="{2BEF6B79-CDB3-42AF-928F-F10679669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4d6aed1e-57d3-46e3-9aba-f706adbce63b"/>
    <ds:schemaRef ds:uri="1891fcec-84c2-4840-9468-b51a784ab0d1"/>
    <ds:schemaRef ds:uri="96fc5250-dc30-4f01-945b-7e46a880eeb3"/>
    <ds:schemaRef ds:uri="4ffa91fb-a0ff-4ac5-b2db-65c790d184a4"/>
    <ds:schemaRef ds:uri="http://schemas.microsoft.com/sharepoint/v3/fields"/>
    <ds:schemaRef ds:uri="http://schemas.microsoft.com/sharepoint/v3"/>
    <ds:schemaRef ds:uri="http://schemas.microsoft.com/sharepoint.v3"/>
  </ds:schemaRefs>
</ds:datastoreItem>
</file>

<file path=customXml/itemProps4.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5.xml><?xml version="1.0" encoding="utf-8"?>
<ds:datastoreItem xmlns:ds="http://schemas.openxmlformats.org/officeDocument/2006/customXml" ds:itemID="{F8BEB72D-315A-4FA8-AB63-6981D34787B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25</Pages>
  <Words>8450</Words>
  <Characters>48166</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56503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Kerwin, Courtney</cp:lastModifiedBy>
  <cp:revision>35</cp:revision>
  <dcterms:created xsi:type="dcterms:W3CDTF">2024-10-28T23:44:00Z</dcterms:created>
  <dcterms:modified xsi:type="dcterms:W3CDTF">2025-02-19T22:43:00Z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0x01010052C2644CEF3BE14BA984F9E32D274554</vt:lpwstr>
  </property>
  <property fmtid="{D5CDD505-2E9C-101B-9397-08002B2CF9AE}" pid="4" name="Document Type">
    <vt:lpwstr/>
  </property>
  <property fmtid="{D5CDD505-2E9C-101B-9397-08002B2CF9AE}" pid="5" name="Document_x0020_Type">
    <vt:lpwstr/>
  </property>
  <property fmtid="{D5CDD505-2E9C-101B-9397-08002B2CF9AE}" pid="6" name="e3f09c3df709400db2417a7161762d62">
    <vt:lpwstr/>
  </property>
  <property fmtid="{D5CDD505-2E9C-101B-9397-08002B2CF9AE}" pid="7" name="EPA Subject">
    <vt:lpwstr/>
  </property>
  <property fmtid="{D5CDD505-2E9C-101B-9397-08002B2CF9AE}" pid="8" name="EPA_x0020_Subject">
    <vt:lpwstr/>
  </property>
  <property fmtid="{D5CDD505-2E9C-101B-9397-08002B2CF9AE}" pid="9" name="GrammarlyDocumentId">
    <vt:lpwstr>a86e2fc53bbd1bcb0284f45b3c0d02852a05458551506f0bb17e01f1c2acf9c3</vt:lpwstr>
  </property>
  <property fmtid="{D5CDD505-2E9C-101B-9397-08002B2CF9AE}" pid="10" name="MediaServiceImageTags">
    <vt:lpwstr/>
  </property>
  <property fmtid="{D5CDD505-2E9C-101B-9397-08002B2CF9AE}" pid="11" name="Order">
    <vt:r8>227000</vt:r8>
  </property>
  <property fmtid="{D5CDD505-2E9C-101B-9397-08002B2CF9AE}" pid="12" name="TaxKeyword">
    <vt:lpwstr/>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