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105E" w:rsidRPr="002D3306" w:rsidP="002D3306" w14:paraId="74C6B6CC" w14:textId="77777777">
      <w:pPr>
        <w:pStyle w:val="Heading1"/>
        <w:spacing w:before="0"/>
        <w:jc w:val="center"/>
        <w:rPr>
          <w:rFonts w:asciiTheme="minorHAnsi" w:hAnsiTheme="minorHAnsi" w:cstheme="minorHAnsi"/>
          <w:b/>
          <w:bCs/>
          <w:color w:val="auto"/>
          <w:sz w:val="24"/>
          <w:szCs w:val="24"/>
        </w:rPr>
      </w:pPr>
      <w:bookmarkStart w:id="0" w:name="_Hlk513456995"/>
      <w:r w:rsidRPr="002D3306">
        <w:rPr>
          <w:rFonts w:asciiTheme="minorHAnsi" w:hAnsiTheme="minorHAnsi" w:cstheme="minorHAnsi"/>
          <w:b/>
          <w:bCs/>
          <w:color w:val="auto"/>
          <w:sz w:val="24"/>
          <w:szCs w:val="24"/>
        </w:rPr>
        <w:t>Supporting Statement for a Generic Information Collection Submission</w:t>
      </w:r>
    </w:p>
    <w:p w:rsidR="008B105E" w:rsidRPr="002D3306" w:rsidP="002D3306" w14:paraId="065FB868" w14:textId="77777777">
      <w:pPr>
        <w:pStyle w:val="Heading1"/>
        <w:spacing w:before="0"/>
        <w:jc w:val="center"/>
        <w:rPr>
          <w:rFonts w:asciiTheme="minorHAnsi" w:hAnsiTheme="minorHAnsi" w:cstheme="minorHAnsi"/>
          <w:b/>
          <w:bCs/>
          <w:color w:val="auto"/>
          <w:sz w:val="24"/>
          <w:szCs w:val="24"/>
        </w:rPr>
      </w:pPr>
      <w:r w:rsidRPr="002D3306">
        <w:rPr>
          <w:rFonts w:asciiTheme="minorHAnsi" w:hAnsiTheme="minorHAnsi" w:cstheme="minorHAnsi"/>
          <w:b/>
          <w:bCs/>
          <w:color w:val="auto"/>
          <w:sz w:val="24"/>
          <w:szCs w:val="24"/>
        </w:rPr>
        <w:t>Under the Paperwork Reduction Act (PRA)</w:t>
      </w:r>
    </w:p>
    <w:bookmarkEnd w:id="0"/>
    <w:p w:rsidR="0046122A" w:rsidRPr="008B105E" w:rsidP="00E528F8" w14:paraId="7023B7EA" w14:textId="77777777">
      <w:pPr>
        <w:jc w:val="center"/>
        <w:rPr>
          <w:rFonts w:ascii="Calibri" w:hAnsi="Calibri" w:cs="Calibri"/>
          <w:b/>
        </w:rPr>
      </w:pPr>
    </w:p>
    <w:tbl>
      <w:tblPr>
        <w:tblStyle w:val="TableGrid"/>
        <w:tblW w:w="0" w:type="auto"/>
        <w:tblLook w:val="04A0"/>
      </w:tblPr>
      <w:tblGrid>
        <w:gridCol w:w="2398"/>
        <w:gridCol w:w="6232"/>
      </w:tblGrid>
      <w:tr w14:paraId="731761D6" w14:textId="77777777" w:rsidTr="0046122A">
        <w:tblPrEx>
          <w:tblW w:w="0" w:type="auto"/>
          <w:tblLook w:val="04A0"/>
        </w:tblPrEx>
        <w:tc>
          <w:tcPr>
            <w:tcW w:w="2605" w:type="dxa"/>
            <w:tcBorders>
              <w:top w:val="single" w:sz="4" w:space="0" w:color="auto"/>
              <w:left w:val="single" w:sz="4" w:space="0" w:color="auto"/>
              <w:bottom w:val="single" w:sz="4" w:space="0" w:color="auto"/>
              <w:right w:val="single" w:sz="4" w:space="0" w:color="auto"/>
            </w:tcBorders>
            <w:hideMark/>
          </w:tcPr>
          <w:p w:rsidR="0046122A" w:rsidRPr="008B105E" w14:paraId="1D9D65D6" w14:textId="54D90B63">
            <w:pPr>
              <w:jc w:val="right"/>
              <w:rPr>
                <w:rFonts w:ascii="Calibri" w:hAnsi="Calibri" w:cs="Calibri"/>
                <w:b/>
                <w:bCs/>
                <w:szCs w:val="20"/>
              </w:rPr>
            </w:pPr>
            <w:bookmarkStart w:id="1" w:name="_Hlk178146375"/>
            <w:r w:rsidRPr="008B105E">
              <w:rPr>
                <w:rFonts w:ascii="Calibri" w:hAnsi="Calibri" w:cs="Calibri"/>
                <w:b/>
                <w:bCs/>
              </w:rPr>
              <w:t>ICR Title:</w:t>
            </w:r>
          </w:p>
        </w:tc>
        <w:tc>
          <w:tcPr>
            <w:tcW w:w="7033" w:type="dxa"/>
            <w:tcBorders>
              <w:top w:val="single" w:sz="4" w:space="0" w:color="auto"/>
              <w:left w:val="single" w:sz="4" w:space="0" w:color="auto"/>
              <w:bottom w:val="single" w:sz="4" w:space="0" w:color="auto"/>
              <w:right w:val="single" w:sz="4" w:space="0" w:color="auto"/>
            </w:tcBorders>
            <w:hideMark/>
          </w:tcPr>
          <w:p w:rsidR="0046122A" w:rsidRPr="008B105E" w14:paraId="3A58934A" w14:textId="77777777">
            <w:pPr>
              <w:rPr>
                <w:rFonts w:ascii="Calibri" w:hAnsi="Calibri" w:cs="Calibri"/>
              </w:rPr>
            </w:pPr>
            <w:r w:rsidRPr="008B105E">
              <w:rPr>
                <w:rFonts w:ascii="Calibri" w:hAnsi="Calibri" w:cs="Calibri"/>
              </w:rPr>
              <w:t>TSCA Existing Chemical Risk Evaluation and Management; Generic ICR for Interviews and Focus Groups</w:t>
            </w:r>
          </w:p>
        </w:tc>
      </w:tr>
      <w:tr w14:paraId="08E6A576" w14:textId="77777777" w:rsidTr="0046122A">
        <w:tblPrEx>
          <w:tblW w:w="0" w:type="auto"/>
          <w:tblLook w:val="04A0"/>
        </w:tblPrEx>
        <w:tc>
          <w:tcPr>
            <w:tcW w:w="2605" w:type="dxa"/>
            <w:tcBorders>
              <w:top w:val="single" w:sz="4" w:space="0" w:color="auto"/>
              <w:left w:val="single" w:sz="4" w:space="0" w:color="auto"/>
              <w:bottom w:val="single" w:sz="4" w:space="0" w:color="auto"/>
              <w:right w:val="single" w:sz="4" w:space="0" w:color="auto"/>
            </w:tcBorders>
            <w:hideMark/>
          </w:tcPr>
          <w:p w:rsidR="0046122A" w:rsidRPr="008B105E" w14:paraId="6311346B" w14:textId="77777777">
            <w:pPr>
              <w:jc w:val="right"/>
              <w:rPr>
                <w:rFonts w:ascii="Calibri" w:hAnsi="Calibri" w:cs="Calibri"/>
                <w:b/>
                <w:bCs/>
              </w:rPr>
            </w:pPr>
            <w:r w:rsidRPr="008B105E">
              <w:rPr>
                <w:rFonts w:ascii="Calibri" w:hAnsi="Calibri" w:cs="Calibri"/>
                <w:b/>
                <w:bCs/>
              </w:rPr>
              <w:t>EPA ICR Number:</w:t>
            </w:r>
          </w:p>
        </w:tc>
        <w:tc>
          <w:tcPr>
            <w:tcW w:w="7033" w:type="dxa"/>
            <w:tcBorders>
              <w:top w:val="single" w:sz="4" w:space="0" w:color="auto"/>
              <w:left w:val="single" w:sz="4" w:space="0" w:color="auto"/>
              <w:bottom w:val="single" w:sz="4" w:space="0" w:color="auto"/>
              <w:right w:val="single" w:sz="4" w:space="0" w:color="auto"/>
            </w:tcBorders>
            <w:hideMark/>
          </w:tcPr>
          <w:p w:rsidR="0046122A" w:rsidRPr="008B105E" w14:paraId="2614D972" w14:textId="60A20FB6">
            <w:pPr>
              <w:rPr>
                <w:rFonts w:ascii="Calibri" w:hAnsi="Calibri" w:cs="Calibri"/>
              </w:rPr>
            </w:pPr>
            <w:r w:rsidRPr="008B105E">
              <w:rPr>
                <w:rFonts w:ascii="Calibri" w:hAnsi="Calibri" w:cs="Calibri"/>
              </w:rPr>
              <w:t>2584.0</w:t>
            </w:r>
            <w:r w:rsidR="00C26775">
              <w:rPr>
                <w:rFonts w:ascii="Calibri" w:hAnsi="Calibri" w:cs="Calibri"/>
              </w:rPr>
              <w:t>3</w:t>
            </w:r>
          </w:p>
        </w:tc>
      </w:tr>
      <w:tr w14:paraId="4E101588" w14:textId="77777777" w:rsidTr="0046122A">
        <w:tblPrEx>
          <w:tblW w:w="0" w:type="auto"/>
          <w:tblLook w:val="04A0"/>
        </w:tblPrEx>
        <w:tc>
          <w:tcPr>
            <w:tcW w:w="2605" w:type="dxa"/>
            <w:tcBorders>
              <w:top w:val="single" w:sz="4" w:space="0" w:color="auto"/>
              <w:left w:val="single" w:sz="4" w:space="0" w:color="auto"/>
              <w:bottom w:val="single" w:sz="4" w:space="0" w:color="auto"/>
              <w:right w:val="single" w:sz="4" w:space="0" w:color="auto"/>
            </w:tcBorders>
            <w:hideMark/>
          </w:tcPr>
          <w:p w:rsidR="0046122A" w:rsidRPr="008B105E" w14:paraId="13665871" w14:textId="77777777">
            <w:pPr>
              <w:jc w:val="right"/>
              <w:rPr>
                <w:rFonts w:ascii="Calibri" w:hAnsi="Calibri" w:cs="Calibri"/>
                <w:b/>
                <w:bCs/>
              </w:rPr>
            </w:pPr>
            <w:r w:rsidRPr="008B105E">
              <w:rPr>
                <w:rFonts w:ascii="Calibri" w:hAnsi="Calibri" w:cs="Calibri"/>
                <w:b/>
                <w:bCs/>
              </w:rPr>
              <w:t>OMB Control Number:</w:t>
            </w:r>
          </w:p>
        </w:tc>
        <w:tc>
          <w:tcPr>
            <w:tcW w:w="7033" w:type="dxa"/>
            <w:tcBorders>
              <w:top w:val="single" w:sz="4" w:space="0" w:color="auto"/>
              <w:left w:val="single" w:sz="4" w:space="0" w:color="auto"/>
              <w:bottom w:val="single" w:sz="4" w:space="0" w:color="auto"/>
              <w:right w:val="single" w:sz="4" w:space="0" w:color="auto"/>
            </w:tcBorders>
            <w:hideMark/>
          </w:tcPr>
          <w:p w:rsidR="0046122A" w:rsidRPr="008B105E" w14:paraId="585B9FD8" w14:textId="37A631FF">
            <w:pPr>
              <w:rPr>
                <w:rFonts w:ascii="Calibri" w:hAnsi="Calibri" w:cs="Calibri"/>
              </w:rPr>
            </w:pPr>
            <w:r w:rsidRPr="008B105E">
              <w:rPr>
                <w:rFonts w:ascii="Calibri" w:hAnsi="Calibri" w:cs="Calibri"/>
              </w:rPr>
              <w:t>2070-</w:t>
            </w:r>
            <w:r w:rsidRPr="008B105E" w:rsidR="00323058">
              <w:rPr>
                <w:rFonts w:ascii="Calibri" w:hAnsi="Calibri" w:cs="Calibri"/>
              </w:rPr>
              <w:t>0219</w:t>
            </w:r>
          </w:p>
        </w:tc>
      </w:tr>
      <w:tr w14:paraId="3145831D" w14:textId="77777777" w:rsidTr="0046122A">
        <w:tblPrEx>
          <w:tblW w:w="0" w:type="auto"/>
          <w:tblLook w:val="04A0"/>
        </w:tblPrEx>
        <w:tc>
          <w:tcPr>
            <w:tcW w:w="2605" w:type="dxa"/>
            <w:tcBorders>
              <w:top w:val="single" w:sz="4" w:space="0" w:color="auto"/>
              <w:left w:val="single" w:sz="4" w:space="0" w:color="auto"/>
              <w:bottom w:val="single" w:sz="4" w:space="0" w:color="auto"/>
              <w:right w:val="single" w:sz="4" w:space="0" w:color="auto"/>
            </w:tcBorders>
            <w:hideMark/>
          </w:tcPr>
          <w:p w:rsidR="0046122A" w:rsidRPr="008B105E" w14:paraId="5A16EA1B" w14:textId="77777777">
            <w:pPr>
              <w:jc w:val="right"/>
              <w:rPr>
                <w:rFonts w:ascii="Calibri" w:hAnsi="Calibri" w:cs="Calibri"/>
                <w:b/>
                <w:bCs/>
              </w:rPr>
            </w:pPr>
            <w:r w:rsidRPr="008B105E">
              <w:rPr>
                <w:rFonts w:ascii="Calibri" w:hAnsi="Calibri" w:cs="Calibri"/>
                <w:b/>
                <w:bCs/>
              </w:rPr>
              <w:t>Docket ID Number:</w:t>
            </w:r>
          </w:p>
        </w:tc>
        <w:tc>
          <w:tcPr>
            <w:tcW w:w="7033" w:type="dxa"/>
            <w:tcBorders>
              <w:top w:val="single" w:sz="4" w:space="0" w:color="auto"/>
              <w:left w:val="single" w:sz="4" w:space="0" w:color="auto"/>
              <w:bottom w:val="single" w:sz="4" w:space="0" w:color="auto"/>
              <w:right w:val="single" w:sz="4" w:space="0" w:color="auto"/>
            </w:tcBorders>
            <w:hideMark/>
          </w:tcPr>
          <w:p w:rsidR="0046122A" w:rsidRPr="008B105E" w14:paraId="3C1FF6A2" w14:textId="77777777">
            <w:pPr>
              <w:rPr>
                <w:rFonts w:ascii="Calibri" w:hAnsi="Calibri" w:cs="Calibri"/>
              </w:rPr>
            </w:pPr>
            <w:r w:rsidRPr="008B105E">
              <w:rPr>
                <w:rFonts w:ascii="Calibri" w:hAnsi="Calibri" w:cs="Calibri"/>
              </w:rPr>
              <w:t>EPA-HQ-OPPT-2018-0611</w:t>
            </w:r>
          </w:p>
        </w:tc>
      </w:tr>
      <w:tr w14:paraId="11FC7906" w14:textId="77777777" w:rsidTr="0046122A">
        <w:tblPrEx>
          <w:tblW w:w="0" w:type="auto"/>
          <w:tblLook w:val="04A0"/>
        </w:tblPrEx>
        <w:tc>
          <w:tcPr>
            <w:tcW w:w="2605" w:type="dxa"/>
            <w:tcBorders>
              <w:top w:val="single" w:sz="4" w:space="0" w:color="auto"/>
              <w:left w:val="single" w:sz="4" w:space="0" w:color="auto"/>
              <w:bottom w:val="single" w:sz="4" w:space="0" w:color="auto"/>
              <w:right w:val="single" w:sz="4" w:space="0" w:color="auto"/>
            </w:tcBorders>
            <w:hideMark/>
          </w:tcPr>
          <w:p w:rsidR="0046122A" w:rsidRPr="008B105E" w14:paraId="52C3B657" w14:textId="77777777">
            <w:pPr>
              <w:jc w:val="right"/>
              <w:rPr>
                <w:rFonts w:ascii="Calibri" w:hAnsi="Calibri" w:cs="Calibri"/>
                <w:b/>
                <w:bCs/>
              </w:rPr>
            </w:pPr>
            <w:r w:rsidRPr="008B105E">
              <w:rPr>
                <w:rFonts w:ascii="Calibri" w:hAnsi="Calibri" w:cs="Calibri"/>
                <w:b/>
                <w:bCs/>
              </w:rPr>
              <w:t>EPA Form Numbers:</w:t>
            </w:r>
          </w:p>
        </w:tc>
        <w:tc>
          <w:tcPr>
            <w:tcW w:w="7033" w:type="dxa"/>
            <w:tcBorders>
              <w:top w:val="single" w:sz="4" w:space="0" w:color="auto"/>
              <w:left w:val="single" w:sz="4" w:space="0" w:color="auto"/>
              <w:bottom w:val="single" w:sz="4" w:space="0" w:color="auto"/>
              <w:right w:val="single" w:sz="4" w:space="0" w:color="auto"/>
            </w:tcBorders>
            <w:hideMark/>
          </w:tcPr>
          <w:p w:rsidR="0046122A" w:rsidRPr="008B105E" w14:paraId="39371A65" w14:textId="77777777">
            <w:pPr>
              <w:rPr>
                <w:rFonts w:ascii="Calibri" w:hAnsi="Calibri" w:cs="Calibri"/>
                <w:color w:val="00B050"/>
              </w:rPr>
            </w:pPr>
            <w:r w:rsidRPr="008B105E">
              <w:rPr>
                <w:rFonts w:ascii="Calibri" w:hAnsi="Calibri" w:cs="Calibri"/>
              </w:rPr>
              <w:t>NONE</w:t>
            </w:r>
          </w:p>
        </w:tc>
      </w:tr>
    </w:tbl>
    <w:bookmarkEnd w:id="1"/>
    <w:p w:rsidR="00AD4EFF" w:rsidRPr="002D3306" w:rsidP="002D3306" w14:paraId="7A08DC4C" w14:textId="333D157C">
      <w:pPr>
        <w:pStyle w:val="Heading1"/>
        <w:rPr>
          <w:rFonts w:asciiTheme="minorHAnsi" w:hAnsiTheme="minorHAnsi" w:cstheme="minorHAnsi"/>
          <w:b/>
          <w:bCs/>
          <w:sz w:val="24"/>
          <w:szCs w:val="24"/>
        </w:rPr>
      </w:pPr>
      <w:r w:rsidRPr="002D3306">
        <w:rPr>
          <w:rFonts w:asciiTheme="minorHAnsi" w:hAnsiTheme="minorHAnsi" w:cstheme="minorHAnsi"/>
          <w:b/>
          <w:bCs/>
          <w:color w:val="auto"/>
          <w:sz w:val="24"/>
          <w:szCs w:val="24"/>
        </w:rPr>
        <w:t>P</w:t>
      </w:r>
      <w:r w:rsidRPr="002D3306" w:rsidR="009D6E6A">
        <w:rPr>
          <w:rFonts w:asciiTheme="minorHAnsi" w:hAnsiTheme="minorHAnsi" w:cstheme="minorHAnsi"/>
          <w:b/>
          <w:bCs/>
          <w:color w:val="auto"/>
          <w:sz w:val="24"/>
          <w:szCs w:val="24"/>
        </w:rPr>
        <w:t>art</w:t>
      </w:r>
      <w:r w:rsidRPr="002D3306">
        <w:rPr>
          <w:rFonts w:asciiTheme="minorHAnsi" w:hAnsiTheme="minorHAnsi" w:cstheme="minorHAnsi"/>
          <w:b/>
          <w:bCs/>
          <w:color w:val="auto"/>
          <w:sz w:val="24"/>
          <w:szCs w:val="24"/>
        </w:rPr>
        <w:t xml:space="preserve"> </w:t>
      </w:r>
      <w:r w:rsidRPr="002D3306">
        <w:rPr>
          <w:rFonts w:asciiTheme="minorHAnsi" w:hAnsiTheme="minorHAnsi" w:cstheme="minorHAnsi"/>
          <w:b/>
          <w:bCs/>
          <w:color w:val="auto"/>
          <w:sz w:val="24"/>
          <w:szCs w:val="24"/>
        </w:rPr>
        <w:t>B.</w:t>
      </w:r>
      <w:r w:rsidRPr="002D3306">
        <w:rPr>
          <w:rFonts w:asciiTheme="minorHAnsi" w:hAnsiTheme="minorHAnsi" w:cstheme="minorHAnsi"/>
          <w:b/>
          <w:bCs/>
          <w:color w:val="auto"/>
          <w:sz w:val="24"/>
          <w:szCs w:val="24"/>
        </w:rPr>
        <w:tab/>
      </w:r>
      <w:bookmarkStart w:id="2" w:name="_Hlk178146487"/>
      <w:r w:rsidRPr="002D3306">
        <w:rPr>
          <w:rFonts w:asciiTheme="minorHAnsi" w:hAnsiTheme="minorHAnsi" w:cstheme="minorHAnsi"/>
          <w:b/>
          <w:bCs/>
          <w:color w:val="auto"/>
          <w:sz w:val="24"/>
          <w:szCs w:val="24"/>
        </w:rPr>
        <w:t>STATISTICAL METHODS</w:t>
      </w:r>
      <w:bookmarkEnd w:id="2"/>
    </w:p>
    <w:p w:rsidR="00AD4EFF" w:rsidRPr="008B105E" w:rsidP="00AD4EFF" w14:paraId="7A08DC4D" w14:textId="77777777">
      <w:pPr>
        <w:rPr>
          <w:rFonts w:ascii="Calibri" w:hAnsi="Calibri" w:cs="Calibri"/>
          <w:b/>
        </w:rPr>
      </w:pPr>
    </w:p>
    <w:p w:rsidR="00AD4EFF" w:rsidRPr="008B105E" w:rsidP="002D3306" w14:paraId="7A08DC4E" w14:textId="68919BA0">
      <w:pPr>
        <w:pStyle w:val="Heading2"/>
      </w:pPr>
      <w:r w:rsidRPr="002D3306">
        <w:rPr>
          <w:rFonts w:ascii="Arial Bold" w:hAnsi="Arial Bold" w:cs="Arial"/>
        </w:rPr>
        <w:t>1.</w:t>
      </w:r>
      <w:r>
        <w:t xml:space="preserve"> </w:t>
      </w:r>
      <w:r w:rsidRPr="008B105E">
        <w:t>Universe and Respondent Selection</w:t>
      </w:r>
    </w:p>
    <w:p w:rsidR="00AD4EFF" w:rsidRPr="008B105E" w:rsidP="00AD4EFF" w14:paraId="7A08DC4F" w14:textId="77777777">
      <w:pPr>
        <w:pStyle w:val="ListParagraph"/>
        <w:spacing w:line="240" w:lineRule="auto"/>
        <w:ind w:left="360"/>
        <w:rPr>
          <w:rFonts w:ascii="Calibri" w:hAnsi="Calibri" w:cs="Calibri"/>
          <w:b/>
          <w:sz w:val="24"/>
          <w:szCs w:val="24"/>
        </w:rPr>
      </w:pPr>
    </w:p>
    <w:p w:rsidR="00AD4EFF" w:rsidRPr="008B105E" w:rsidP="00BD1149" w14:paraId="7A08DC50" w14:textId="76A4D910">
      <w:pPr>
        <w:pStyle w:val="ListParagraph"/>
        <w:spacing w:line="240" w:lineRule="auto"/>
        <w:ind w:left="0"/>
        <w:rPr>
          <w:rFonts w:ascii="Calibri" w:hAnsi="Calibri" w:cs="Calibri"/>
          <w:sz w:val="24"/>
          <w:szCs w:val="24"/>
        </w:rPr>
      </w:pPr>
      <w:r w:rsidRPr="008B105E">
        <w:rPr>
          <w:rFonts w:ascii="Calibri" w:hAnsi="Calibri" w:cs="Calibri"/>
          <w:sz w:val="24"/>
          <w:szCs w:val="24"/>
        </w:rPr>
        <w:t>Under this generic ICR, EPA will conduct focus groups and structured interviews with</w:t>
      </w:r>
      <w:r w:rsidRPr="008B105E" w:rsidR="00C96F0E">
        <w:rPr>
          <w:rFonts w:ascii="Calibri" w:hAnsi="Calibri" w:cs="Calibri"/>
          <w:sz w:val="24"/>
          <w:szCs w:val="24"/>
        </w:rPr>
        <w:t xml:space="preserve"> </w:t>
      </w:r>
      <w:bookmarkStart w:id="3" w:name="_Hlk31719677"/>
      <w:r w:rsidRPr="008B105E" w:rsidR="00C96F0E">
        <w:rPr>
          <w:rFonts w:ascii="Calibri" w:hAnsi="Calibri" w:cs="Calibri"/>
          <w:sz w:val="24"/>
          <w:szCs w:val="24"/>
        </w:rPr>
        <w:t xml:space="preserve">chemical users, processors, distributors, </w:t>
      </w:r>
      <w:bookmarkStart w:id="4" w:name="_Hlk29901570"/>
      <w:r w:rsidRPr="008B105E" w:rsidR="00C96F0E">
        <w:rPr>
          <w:rFonts w:ascii="Calibri" w:hAnsi="Calibri" w:cs="Calibri"/>
          <w:sz w:val="24"/>
          <w:szCs w:val="24"/>
        </w:rPr>
        <w:t xml:space="preserve">manufacturers (including importers), and recyclers, chemical waste handlers, consumers of chemical-containing products, employees who may be exposed to the chemical evaluated, state and local regulators, non-governmental organizations, industry experts, and knowledgeable members of the public (including potentially exposed or susceptible subpopulations) </w:t>
      </w:r>
      <w:bookmarkEnd w:id="3"/>
      <w:r w:rsidRPr="008B105E" w:rsidR="00C96F0E">
        <w:rPr>
          <w:rFonts w:ascii="Calibri" w:hAnsi="Calibri" w:cs="Calibri"/>
          <w:sz w:val="24"/>
          <w:szCs w:val="24"/>
        </w:rPr>
        <w:t>related to information collection for TSCA chemical risk evaluation and risk management.</w:t>
      </w:r>
      <w:bookmarkEnd w:id="4"/>
      <w:r w:rsidRPr="008B105E" w:rsidR="00C96F0E">
        <w:rPr>
          <w:rFonts w:ascii="Calibri" w:hAnsi="Calibri" w:cs="Calibri"/>
        </w:rPr>
        <w:t xml:space="preserve"> </w:t>
      </w:r>
      <w:r w:rsidRPr="008B105E">
        <w:rPr>
          <w:rFonts w:ascii="Calibri" w:hAnsi="Calibri" w:cs="Calibri"/>
          <w:sz w:val="24"/>
          <w:szCs w:val="24"/>
        </w:rPr>
        <w:t xml:space="preserve"> </w:t>
      </w:r>
      <w:r w:rsidRPr="008B105E">
        <w:rPr>
          <w:rFonts w:ascii="Calibri" w:hAnsi="Calibri" w:cs="Calibri"/>
          <w:sz w:val="24"/>
          <w:szCs w:val="24"/>
        </w:rPr>
        <w:t>Results will not be used to produce statistical descriptions (careful, repeatable measurements</w:t>
      </w:r>
      <w:r w:rsidRPr="008B105E" w:rsidR="00902247">
        <w:rPr>
          <w:rFonts w:ascii="Calibri" w:hAnsi="Calibri" w:cs="Calibri"/>
          <w:sz w:val="24"/>
          <w:szCs w:val="24"/>
        </w:rPr>
        <w:t>)</w:t>
      </w:r>
      <w:r w:rsidRPr="008B105E">
        <w:rPr>
          <w:rFonts w:ascii="Calibri" w:hAnsi="Calibri" w:cs="Calibri"/>
          <w:sz w:val="24"/>
          <w:szCs w:val="24"/>
        </w:rPr>
        <w:t xml:space="preserve">.  The specific sample planned for each individual collection and the method for soliciting participation will be described fully in each collection request.  </w:t>
      </w:r>
    </w:p>
    <w:p w:rsidR="00AD4EFF" w:rsidRPr="008B105E" w:rsidP="00AD4EFF" w14:paraId="7A08DC51" w14:textId="77777777">
      <w:pPr>
        <w:pStyle w:val="ListParagraph"/>
        <w:spacing w:line="240" w:lineRule="auto"/>
        <w:ind w:left="360"/>
        <w:rPr>
          <w:rFonts w:ascii="Calibri" w:hAnsi="Calibri" w:cs="Calibri"/>
          <w:color w:val="FF0000"/>
          <w:sz w:val="24"/>
          <w:szCs w:val="24"/>
        </w:rPr>
      </w:pPr>
    </w:p>
    <w:p w:rsidR="00AD4EFF" w:rsidRPr="008B105E" w:rsidP="00BD1149" w14:paraId="7A08DC52" w14:textId="3D07131E">
      <w:pPr>
        <w:pStyle w:val="ListParagraph"/>
        <w:spacing w:line="240" w:lineRule="auto"/>
        <w:ind w:left="0"/>
        <w:rPr>
          <w:rFonts w:ascii="Calibri" w:hAnsi="Calibri" w:cs="Calibri"/>
          <w:sz w:val="24"/>
          <w:szCs w:val="24"/>
        </w:rPr>
      </w:pPr>
      <w:r w:rsidRPr="008B105E">
        <w:rPr>
          <w:rFonts w:ascii="Calibri" w:hAnsi="Calibri" w:cs="Calibri"/>
          <w:sz w:val="24"/>
          <w:szCs w:val="24"/>
        </w:rPr>
        <w:t>The data provided by interviews and focus groups under this generic ICR will be used to better understand</w:t>
      </w:r>
      <w:r w:rsidRPr="008B105E" w:rsidR="00CB24CF">
        <w:rPr>
          <w:rFonts w:ascii="Calibri" w:hAnsi="Calibri" w:cs="Calibri"/>
          <w:sz w:val="24"/>
          <w:szCs w:val="24"/>
        </w:rPr>
        <w:t xml:space="preserve"> </w:t>
      </w:r>
      <w:r w:rsidRPr="008B105E" w:rsidR="0078130E">
        <w:rPr>
          <w:rFonts w:ascii="Calibri" w:hAnsi="Calibri" w:cs="Calibri"/>
          <w:sz w:val="24"/>
          <w:szCs w:val="24"/>
        </w:rPr>
        <w:t xml:space="preserve">conditions of use (such as manufacturing, import, and processing), consumption, market for, exposure to, and </w:t>
      </w:r>
      <w:r w:rsidRPr="008B105E" w:rsidR="0085042C">
        <w:rPr>
          <w:rFonts w:ascii="Calibri" w:hAnsi="Calibri" w:cs="Calibri"/>
          <w:sz w:val="24"/>
          <w:szCs w:val="24"/>
        </w:rPr>
        <w:t>substitutes for</w:t>
      </w:r>
      <w:r w:rsidRPr="008B105E" w:rsidR="0078130E">
        <w:rPr>
          <w:rFonts w:ascii="Calibri" w:hAnsi="Calibri" w:cs="Calibri"/>
          <w:sz w:val="24"/>
          <w:szCs w:val="24"/>
        </w:rPr>
        <w:t xml:space="preserve"> each chemical evaluated and, if warranted, regulated. </w:t>
      </w:r>
      <w:r w:rsidRPr="008B105E" w:rsidR="000608F2">
        <w:rPr>
          <w:rFonts w:ascii="Calibri" w:hAnsi="Calibri" w:cs="Calibri"/>
          <w:sz w:val="24"/>
          <w:szCs w:val="24"/>
        </w:rPr>
        <w:t xml:space="preserve">This data may also be used to pretest survey instruments used in risk evaluation or risk management under TSCA.  </w:t>
      </w:r>
      <w:r w:rsidRPr="008B105E">
        <w:rPr>
          <w:rFonts w:ascii="Calibri" w:hAnsi="Calibri" w:cs="Calibri"/>
          <w:sz w:val="24"/>
          <w:szCs w:val="24"/>
        </w:rPr>
        <w:t>The accuracy, reliability, and applicability</w:t>
      </w:r>
      <w:r w:rsidRPr="008B105E">
        <w:rPr>
          <w:rFonts w:ascii="Calibri" w:hAnsi="Calibri" w:cs="Calibri"/>
          <w:sz w:val="24"/>
          <w:szCs w:val="24"/>
        </w:rPr>
        <w:t xml:space="preserve"> of the results of these interviews and focus groups will be</w:t>
      </w:r>
      <w:r w:rsidRPr="008B105E">
        <w:rPr>
          <w:rFonts w:ascii="Calibri" w:hAnsi="Calibri" w:cs="Calibri"/>
          <w:sz w:val="24"/>
          <w:szCs w:val="24"/>
        </w:rPr>
        <w:t xml:space="preserve"> adequate for their purpose.</w:t>
      </w:r>
    </w:p>
    <w:p w:rsidR="00580866" w:rsidRPr="008B105E" w:rsidP="00AD4EFF" w14:paraId="789DA37A" w14:textId="435E63A2">
      <w:pPr>
        <w:pStyle w:val="ListParagraph"/>
        <w:spacing w:line="240" w:lineRule="auto"/>
        <w:ind w:left="360"/>
        <w:rPr>
          <w:rFonts w:ascii="Calibri" w:hAnsi="Calibri" w:cs="Calibri"/>
          <w:sz w:val="24"/>
          <w:szCs w:val="24"/>
        </w:rPr>
      </w:pPr>
    </w:p>
    <w:p w:rsidR="00580866" w:rsidRPr="008B105E" w:rsidP="006D4269" w14:paraId="0BF6F858" w14:textId="214F33B7">
      <w:pPr>
        <w:pStyle w:val="BodyText"/>
        <w:ind w:left="360" w:firstLine="0"/>
        <w:rPr>
          <w:rFonts w:ascii="Calibri" w:hAnsi="Calibri" w:cs="Calibri"/>
          <w:sz w:val="24"/>
          <w:szCs w:val="24"/>
        </w:rPr>
      </w:pPr>
      <w:r w:rsidRPr="008B105E">
        <w:rPr>
          <w:rFonts w:ascii="Calibri" w:hAnsi="Calibri" w:cs="Calibri"/>
          <w:sz w:val="24"/>
          <w:szCs w:val="24"/>
        </w:rPr>
        <w:t xml:space="preserve">In general, </w:t>
      </w:r>
      <w:r w:rsidRPr="008B105E" w:rsidR="00C67D97">
        <w:rPr>
          <w:rFonts w:ascii="Calibri" w:hAnsi="Calibri" w:cs="Calibri"/>
          <w:sz w:val="24"/>
          <w:szCs w:val="24"/>
        </w:rPr>
        <w:t>for conditions of us</w:t>
      </w:r>
      <w:r w:rsidRPr="008B105E" w:rsidR="005531E0">
        <w:rPr>
          <w:rFonts w:ascii="Calibri" w:hAnsi="Calibri" w:cs="Calibri"/>
          <w:sz w:val="24"/>
          <w:szCs w:val="24"/>
        </w:rPr>
        <w:t>e</w:t>
      </w:r>
      <w:r w:rsidRPr="008B105E" w:rsidR="00C67D97">
        <w:rPr>
          <w:rFonts w:ascii="Calibri" w:hAnsi="Calibri" w:cs="Calibri"/>
          <w:sz w:val="24"/>
          <w:szCs w:val="24"/>
        </w:rPr>
        <w:t xml:space="preserve"> and exposure</w:t>
      </w:r>
      <w:r w:rsidRPr="008B105E">
        <w:rPr>
          <w:rFonts w:ascii="Calibri" w:hAnsi="Calibri" w:cs="Calibri"/>
          <w:sz w:val="24"/>
          <w:szCs w:val="24"/>
        </w:rPr>
        <w:t xml:space="preserve"> EPA’s primary objectives are to obtain information about:  </w:t>
      </w:r>
    </w:p>
    <w:p w:rsidR="00580866" w:rsidRPr="008B105E" w:rsidP="00580866" w14:paraId="1CA1FB4C" w14:textId="77777777">
      <w:pPr>
        <w:pStyle w:val="BodyText"/>
        <w:numPr>
          <w:ilvl w:val="0"/>
          <w:numId w:val="13"/>
        </w:numPr>
        <w:rPr>
          <w:rFonts w:ascii="Calibri" w:hAnsi="Calibri" w:cs="Calibri"/>
          <w:sz w:val="24"/>
          <w:szCs w:val="24"/>
        </w:rPr>
      </w:pPr>
      <w:r w:rsidRPr="008B105E">
        <w:rPr>
          <w:rFonts w:ascii="Calibri" w:hAnsi="Calibri" w:cs="Calibri"/>
          <w:sz w:val="24"/>
          <w:szCs w:val="24"/>
        </w:rPr>
        <w:t xml:space="preserve">production volume and process information; </w:t>
      </w:r>
    </w:p>
    <w:p w:rsidR="00580866" w:rsidRPr="008B105E" w:rsidP="00580866" w14:paraId="0D325659" w14:textId="77777777">
      <w:pPr>
        <w:pStyle w:val="BodyText"/>
        <w:numPr>
          <w:ilvl w:val="0"/>
          <w:numId w:val="13"/>
        </w:numPr>
        <w:rPr>
          <w:rFonts w:ascii="Calibri" w:hAnsi="Calibri" w:cs="Calibri"/>
          <w:sz w:val="24"/>
          <w:szCs w:val="24"/>
        </w:rPr>
      </w:pPr>
      <w:r w:rsidRPr="008B105E">
        <w:rPr>
          <w:rFonts w:ascii="Calibri" w:hAnsi="Calibri" w:cs="Calibri"/>
          <w:sz w:val="24"/>
          <w:szCs w:val="24"/>
        </w:rPr>
        <w:t>conditions of use;</w:t>
      </w:r>
    </w:p>
    <w:p w:rsidR="00580866" w:rsidRPr="008B105E" w:rsidP="00580866" w14:paraId="5F274F99" w14:textId="77777777">
      <w:pPr>
        <w:pStyle w:val="BodyText"/>
        <w:numPr>
          <w:ilvl w:val="0"/>
          <w:numId w:val="13"/>
        </w:numPr>
        <w:rPr>
          <w:rFonts w:ascii="Calibri" w:hAnsi="Calibri" w:cs="Calibri"/>
          <w:sz w:val="24"/>
          <w:szCs w:val="24"/>
        </w:rPr>
      </w:pPr>
      <w:r w:rsidRPr="008B105E">
        <w:rPr>
          <w:rFonts w:ascii="Calibri" w:hAnsi="Calibri" w:cs="Calibri"/>
          <w:sz w:val="24"/>
          <w:szCs w:val="24"/>
        </w:rPr>
        <w:t xml:space="preserve">site release and transfer information (including disposal); </w:t>
      </w:r>
    </w:p>
    <w:p w:rsidR="00580866" w:rsidRPr="008B105E" w:rsidP="00580866" w14:paraId="0225946D" w14:textId="77777777">
      <w:pPr>
        <w:pStyle w:val="BodyText"/>
        <w:numPr>
          <w:ilvl w:val="0"/>
          <w:numId w:val="13"/>
        </w:numPr>
        <w:rPr>
          <w:rFonts w:ascii="Calibri" w:hAnsi="Calibri" w:cs="Calibri"/>
          <w:sz w:val="24"/>
          <w:szCs w:val="24"/>
        </w:rPr>
      </w:pPr>
      <w:r w:rsidRPr="008B105E">
        <w:rPr>
          <w:rFonts w:ascii="Calibri" w:hAnsi="Calibri" w:cs="Calibri"/>
          <w:sz w:val="24"/>
          <w:szCs w:val="24"/>
        </w:rPr>
        <w:t xml:space="preserve">workplace exposure and practices in place to prevent or reduce worker exposure; </w:t>
      </w:r>
    </w:p>
    <w:p w:rsidR="00580866" w:rsidRPr="008B105E" w:rsidP="00580866" w14:paraId="76BBC607" w14:textId="77777777">
      <w:pPr>
        <w:pStyle w:val="BodyText"/>
        <w:numPr>
          <w:ilvl w:val="0"/>
          <w:numId w:val="13"/>
        </w:numPr>
        <w:rPr>
          <w:rFonts w:ascii="Calibri" w:hAnsi="Calibri" w:cs="Calibri"/>
          <w:sz w:val="24"/>
          <w:szCs w:val="24"/>
        </w:rPr>
      </w:pPr>
      <w:r w:rsidRPr="008B105E">
        <w:rPr>
          <w:rFonts w:ascii="Calibri" w:hAnsi="Calibri" w:cs="Calibri"/>
          <w:sz w:val="24"/>
          <w:szCs w:val="24"/>
        </w:rPr>
        <w:t xml:space="preserve">consumer exposure and practices in place to prevent or reduce consumer exposure (if applicable);  </w:t>
      </w:r>
    </w:p>
    <w:p w:rsidR="00580866" w:rsidRPr="008B105E" w:rsidP="00580866" w14:paraId="1CA8EFBC" w14:textId="77777777">
      <w:pPr>
        <w:pStyle w:val="BodyText"/>
        <w:numPr>
          <w:ilvl w:val="0"/>
          <w:numId w:val="13"/>
        </w:numPr>
        <w:rPr>
          <w:rFonts w:ascii="Calibri" w:hAnsi="Calibri" w:cs="Calibri"/>
          <w:sz w:val="24"/>
          <w:szCs w:val="24"/>
        </w:rPr>
      </w:pPr>
      <w:r w:rsidRPr="008B105E">
        <w:rPr>
          <w:rFonts w:ascii="Calibri" w:hAnsi="Calibri" w:cs="Calibri"/>
          <w:sz w:val="24"/>
          <w:szCs w:val="24"/>
        </w:rPr>
        <w:t xml:space="preserve">environmental exposure; </w:t>
      </w:r>
    </w:p>
    <w:p w:rsidR="00580866" w:rsidRPr="008B105E" w:rsidP="00580866" w14:paraId="1801CD26" w14:textId="77777777">
      <w:pPr>
        <w:pStyle w:val="BodyText"/>
        <w:numPr>
          <w:ilvl w:val="0"/>
          <w:numId w:val="13"/>
        </w:numPr>
        <w:rPr>
          <w:rFonts w:ascii="Calibri" w:hAnsi="Calibri" w:cs="Calibri"/>
          <w:sz w:val="24"/>
          <w:szCs w:val="24"/>
        </w:rPr>
      </w:pPr>
      <w:r w:rsidRPr="008B105E">
        <w:rPr>
          <w:rFonts w:ascii="Calibri" w:hAnsi="Calibri" w:cs="Calibri"/>
          <w:sz w:val="24"/>
          <w:szCs w:val="24"/>
        </w:rPr>
        <w:t xml:space="preserve">potentially exposed or susceptible populations; </w:t>
      </w:r>
    </w:p>
    <w:p w:rsidR="00580866" w:rsidRPr="008B105E" w:rsidP="00580866" w14:paraId="1827FA15" w14:textId="77777777">
      <w:pPr>
        <w:pStyle w:val="BodyText"/>
        <w:numPr>
          <w:ilvl w:val="0"/>
          <w:numId w:val="13"/>
        </w:numPr>
        <w:rPr>
          <w:rFonts w:ascii="Calibri" w:hAnsi="Calibri" w:cs="Calibri"/>
          <w:sz w:val="24"/>
          <w:szCs w:val="24"/>
        </w:rPr>
      </w:pPr>
      <w:r w:rsidRPr="008B105E">
        <w:rPr>
          <w:rFonts w:ascii="Calibri" w:hAnsi="Calibri" w:cs="Calibri"/>
          <w:sz w:val="24"/>
          <w:szCs w:val="24"/>
        </w:rPr>
        <w:t xml:space="preserve">chemical end uses, including products containing the chemical (if applicable); and </w:t>
      </w:r>
    </w:p>
    <w:p w:rsidR="00580866" w:rsidRPr="008B105E" w:rsidP="00580866" w14:paraId="50B1B1D9" w14:textId="77777777">
      <w:pPr>
        <w:pStyle w:val="BodyText"/>
        <w:numPr>
          <w:ilvl w:val="0"/>
          <w:numId w:val="13"/>
        </w:numPr>
        <w:rPr>
          <w:rFonts w:ascii="Calibri" w:hAnsi="Calibri" w:cs="Calibri"/>
          <w:sz w:val="24"/>
          <w:szCs w:val="24"/>
        </w:rPr>
      </w:pPr>
      <w:r w:rsidRPr="008B105E">
        <w:rPr>
          <w:rFonts w:ascii="Calibri" w:hAnsi="Calibri" w:cs="Calibri"/>
          <w:sz w:val="24"/>
          <w:szCs w:val="24"/>
        </w:rPr>
        <w:t xml:space="preserve">other information needed to identify conditions of use or exposures for the subject chemical or chemical category.  </w:t>
      </w:r>
    </w:p>
    <w:p w:rsidR="00580866" w:rsidRPr="008B105E" w:rsidP="00580866" w14:paraId="4C00B0D7" w14:textId="77777777">
      <w:pPr>
        <w:pStyle w:val="BodyText"/>
        <w:ind w:left="720"/>
        <w:rPr>
          <w:rFonts w:ascii="Calibri" w:hAnsi="Calibri" w:cs="Calibri"/>
          <w:sz w:val="24"/>
          <w:szCs w:val="24"/>
        </w:rPr>
      </w:pPr>
    </w:p>
    <w:p w:rsidR="00580866" w:rsidRPr="008B105E" w:rsidP="006D4269" w14:paraId="518D0E3B" w14:textId="7DC61394">
      <w:pPr>
        <w:pStyle w:val="BodyText"/>
        <w:ind w:left="360" w:firstLine="0"/>
        <w:rPr>
          <w:rFonts w:ascii="Calibri" w:hAnsi="Calibri" w:cs="Calibri"/>
          <w:sz w:val="24"/>
          <w:szCs w:val="24"/>
        </w:rPr>
      </w:pPr>
      <w:r w:rsidRPr="008B105E">
        <w:rPr>
          <w:rFonts w:ascii="Calibri" w:hAnsi="Calibri" w:cs="Calibri"/>
          <w:sz w:val="24"/>
          <w:szCs w:val="24"/>
        </w:rPr>
        <w:t xml:space="preserve">For </w:t>
      </w:r>
      <w:r w:rsidRPr="008B105E" w:rsidR="0085042C">
        <w:rPr>
          <w:rFonts w:ascii="Calibri" w:hAnsi="Calibri" w:cs="Calibri"/>
          <w:sz w:val="24"/>
          <w:szCs w:val="24"/>
        </w:rPr>
        <w:t>substitutes</w:t>
      </w:r>
      <w:r w:rsidRPr="008B105E">
        <w:rPr>
          <w:rFonts w:ascii="Calibri" w:hAnsi="Calibri" w:cs="Calibri"/>
          <w:sz w:val="24"/>
          <w:szCs w:val="24"/>
        </w:rPr>
        <w:t xml:space="preserve">, EPA’s primary objectives are to obtain information about:  </w:t>
      </w:r>
    </w:p>
    <w:p w:rsidR="00580866" w:rsidRPr="008B105E" w:rsidP="00580866" w14:paraId="2B67DD61" w14:textId="7ACC0F31">
      <w:pPr>
        <w:pStyle w:val="BodyText"/>
        <w:numPr>
          <w:ilvl w:val="0"/>
          <w:numId w:val="14"/>
        </w:numPr>
        <w:rPr>
          <w:rFonts w:ascii="Calibri" w:hAnsi="Calibri" w:cs="Calibri"/>
          <w:sz w:val="24"/>
          <w:szCs w:val="24"/>
        </w:rPr>
      </w:pPr>
      <w:r w:rsidRPr="008B105E">
        <w:rPr>
          <w:rFonts w:ascii="Calibri" w:hAnsi="Calibri" w:cs="Calibri"/>
          <w:sz w:val="24"/>
          <w:szCs w:val="24"/>
        </w:rPr>
        <w:t xml:space="preserve">chemical and/or process </w:t>
      </w:r>
      <w:r w:rsidRPr="008B105E" w:rsidR="0085042C">
        <w:rPr>
          <w:rFonts w:ascii="Calibri" w:hAnsi="Calibri" w:cs="Calibri"/>
          <w:sz w:val="24"/>
          <w:szCs w:val="24"/>
        </w:rPr>
        <w:t>substitutes</w:t>
      </w:r>
      <w:r w:rsidRPr="008B105E">
        <w:rPr>
          <w:rFonts w:ascii="Calibri" w:hAnsi="Calibri" w:cs="Calibri"/>
          <w:sz w:val="24"/>
          <w:szCs w:val="24"/>
        </w:rPr>
        <w:t xml:space="preserve"> for risk management of a given condition of use of a chemical;</w:t>
      </w:r>
    </w:p>
    <w:p w:rsidR="00580866" w:rsidRPr="008B105E" w:rsidP="00580866" w14:paraId="4AA493F3" w14:textId="32A9D1ED">
      <w:pPr>
        <w:pStyle w:val="BodyText"/>
        <w:numPr>
          <w:ilvl w:val="0"/>
          <w:numId w:val="14"/>
        </w:numPr>
        <w:rPr>
          <w:rFonts w:ascii="Calibri" w:hAnsi="Calibri" w:cs="Calibri"/>
          <w:sz w:val="24"/>
          <w:szCs w:val="24"/>
        </w:rPr>
      </w:pPr>
      <w:r w:rsidRPr="008B105E">
        <w:rPr>
          <w:rFonts w:ascii="Calibri" w:hAnsi="Calibri" w:cs="Calibri"/>
          <w:sz w:val="24"/>
          <w:szCs w:val="24"/>
        </w:rPr>
        <w:t xml:space="preserve">efficacy and performance of </w:t>
      </w:r>
      <w:r w:rsidRPr="008B105E" w:rsidR="0085042C">
        <w:rPr>
          <w:rFonts w:ascii="Calibri" w:hAnsi="Calibri" w:cs="Calibri"/>
          <w:sz w:val="24"/>
          <w:szCs w:val="24"/>
        </w:rPr>
        <w:t>substitutes</w:t>
      </w:r>
      <w:r w:rsidRPr="008B105E">
        <w:rPr>
          <w:rFonts w:ascii="Calibri" w:hAnsi="Calibri" w:cs="Calibri"/>
          <w:sz w:val="24"/>
          <w:szCs w:val="24"/>
        </w:rPr>
        <w:t>;</w:t>
      </w:r>
    </w:p>
    <w:p w:rsidR="00580866" w:rsidRPr="008B105E" w:rsidP="00580866" w14:paraId="26CCB695" w14:textId="21C8B2A5">
      <w:pPr>
        <w:pStyle w:val="BodyText"/>
        <w:numPr>
          <w:ilvl w:val="0"/>
          <w:numId w:val="14"/>
        </w:numPr>
        <w:rPr>
          <w:rFonts w:ascii="Calibri" w:hAnsi="Calibri" w:cs="Calibri"/>
          <w:sz w:val="24"/>
          <w:szCs w:val="24"/>
        </w:rPr>
      </w:pPr>
      <w:r w:rsidRPr="008B105E">
        <w:rPr>
          <w:rFonts w:ascii="Calibri" w:hAnsi="Calibri" w:cs="Calibri"/>
          <w:sz w:val="24"/>
          <w:szCs w:val="24"/>
        </w:rPr>
        <w:t xml:space="preserve">experience and use practices with use of any </w:t>
      </w:r>
      <w:r w:rsidRPr="008B105E" w:rsidR="0085042C">
        <w:rPr>
          <w:rFonts w:ascii="Calibri" w:hAnsi="Calibri" w:cs="Calibri"/>
          <w:sz w:val="24"/>
          <w:szCs w:val="24"/>
        </w:rPr>
        <w:t>substitutes</w:t>
      </w:r>
      <w:r w:rsidRPr="008B105E">
        <w:rPr>
          <w:rFonts w:ascii="Calibri" w:hAnsi="Calibri" w:cs="Calibri"/>
          <w:sz w:val="24"/>
          <w:szCs w:val="24"/>
        </w:rPr>
        <w:t>;</w:t>
      </w:r>
    </w:p>
    <w:p w:rsidR="00580866" w:rsidRPr="008B105E" w:rsidP="00580866" w14:paraId="16853BC9" w14:textId="3FF5DEDE">
      <w:pPr>
        <w:pStyle w:val="BodyText"/>
        <w:numPr>
          <w:ilvl w:val="0"/>
          <w:numId w:val="14"/>
        </w:numPr>
        <w:rPr>
          <w:rFonts w:ascii="Calibri" w:hAnsi="Calibri" w:cs="Calibri"/>
          <w:sz w:val="24"/>
          <w:szCs w:val="24"/>
        </w:rPr>
      </w:pPr>
      <w:r w:rsidRPr="008B105E">
        <w:rPr>
          <w:rFonts w:ascii="Calibri" w:hAnsi="Calibri" w:cs="Calibri"/>
          <w:sz w:val="24"/>
          <w:szCs w:val="24"/>
        </w:rPr>
        <w:t xml:space="preserve">advantages and disadvantages of any </w:t>
      </w:r>
      <w:r w:rsidRPr="008B105E" w:rsidR="0085042C">
        <w:rPr>
          <w:rFonts w:ascii="Calibri" w:hAnsi="Calibri" w:cs="Calibri"/>
          <w:sz w:val="24"/>
          <w:szCs w:val="24"/>
        </w:rPr>
        <w:t>substitute</w:t>
      </w:r>
      <w:r w:rsidRPr="008B105E">
        <w:rPr>
          <w:rFonts w:ascii="Calibri" w:hAnsi="Calibri" w:cs="Calibri"/>
          <w:sz w:val="24"/>
          <w:szCs w:val="24"/>
        </w:rPr>
        <w:t>; and</w:t>
      </w:r>
    </w:p>
    <w:p w:rsidR="00580866" w:rsidRPr="008B105E" w:rsidP="00580866" w14:paraId="105356B4" w14:textId="0F9C7A81">
      <w:pPr>
        <w:pStyle w:val="BodyText"/>
        <w:numPr>
          <w:ilvl w:val="0"/>
          <w:numId w:val="14"/>
        </w:numPr>
        <w:rPr>
          <w:rFonts w:ascii="Calibri" w:hAnsi="Calibri" w:cs="Calibri"/>
          <w:sz w:val="24"/>
          <w:szCs w:val="24"/>
        </w:rPr>
      </w:pPr>
      <w:r w:rsidRPr="008B105E">
        <w:rPr>
          <w:rFonts w:ascii="Calibri" w:hAnsi="Calibri" w:cs="Calibri"/>
          <w:sz w:val="24"/>
          <w:szCs w:val="24"/>
        </w:rPr>
        <w:t xml:space="preserve">other information needed to calculate costs and benefits of various </w:t>
      </w:r>
      <w:r w:rsidRPr="008B105E" w:rsidR="0085042C">
        <w:rPr>
          <w:rFonts w:ascii="Calibri" w:hAnsi="Calibri" w:cs="Calibri"/>
          <w:sz w:val="24"/>
          <w:szCs w:val="24"/>
        </w:rPr>
        <w:t>substitutes</w:t>
      </w:r>
      <w:r w:rsidRPr="008B105E">
        <w:rPr>
          <w:rFonts w:ascii="Calibri" w:hAnsi="Calibri" w:cs="Calibri"/>
          <w:sz w:val="24"/>
          <w:szCs w:val="24"/>
        </w:rPr>
        <w:t>.</w:t>
      </w:r>
    </w:p>
    <w:p w:rsidR="00580866" w:rsidRPr="008B105E" w:rsidP="00B41714" w14:paraId="17211BE4" w14:textId="77777777">
      <w:pPr>
        <w:rPr>
          <w:rFonts w:ascii="Calibri" w:hAnsi="Calibri" w:cs="Calibri"/>
        </w:rPr>
      </w:pPr>
    </w:p>
    <w:p w:rsidR="00F1243D" w:rsidRPr="008B105E" w:rsidP="00461BA6" w14:paraId="77FF7296" w14:textId="7D5F1548">
      <w:pPr>
        <w:rPr>
          <w:rFonts w:ascii="Calibri" w:hAnsi="Calibri" w:cs="Calibri"/>
          <w:bCs/>
          <w:highlight w:val="yellow"/>
        </w:rPr>
      </w:pPr>
      <w:r w:rsidRPr="008B105E">
        <w:rPr>
          <w:rFonts w:ascii="Calibri" w:hAnsi="Calibri" w:cs="Calibri"/>
          <w:bCs/>
        </w:rPr>
        <w:t xml:space="preserve">Participants will be recruited </w:t>
      </w:r>
      <w:r w:rsidRPr="008B105E" w:rsidR="00DD420A">
        <w:rPr>
          <w:rFonts w:ascii="Calibri" w:hAnsi="Calibri" w:cs="Calibri"/>
          <w:bCs/>
        </w:rPr>
        <w:t xml:space="preserve">based on </w:t>
      </w:r>
      <w:r w:rsidRPr="008B105E">
        <w:rPr>
          <w:rFonts w:ascii="Calibri" w:hAnsi="Calibri" w:cs="Calibri"/>
          <w:bCs/>
        </w:rPr>
        <w:t xml:space="preserve">outreach </w:t>
      </w:r>
      <w:r w:rsidRPr="008B105E" w:rsidR="00DD420A">
        <w:rPr>
          <w:rFonts w:ascii="Calibri" w:hAnsi="Calibri" w:cs="Calibri"/>
          <w:bCs/>
        </w:rPr>
        <w:t xml:space="preserve">to stakeholders and information gaps identified in risk evaluation or risk management. </w:t>
      </w:r>
      <w:r w:rsidRPr="008B105E">
        <w:rPr>
          <w:rFonts w:ascii="Calibri" w:hAnsi="Calibri" w:cs="Calibri"/>
          <w:bCs/>
        </w:rPr>
        <w:t>O</w:t>
      </w:r>
      <w:r w:rsidRPr="008B105E">
        <w:rPr>
          <w:rFonts w:ascii="Calibri" w:hAnsi="Calibri" w:cs="Calibri"/>
        </w:rPr>
        <w:t>utreach and recruitment strategies for information collection under this generic ICR will depend on the chemical and affected industries, as well as the type of information we need to elicit and the types of stakeholders who may have relevant experience. EPA will design an outreach strategy to recruit knowledgeable and representative participants in a way that is analogous to how EPA recruits for Small Business Advocacy Review (SBAR) panels, but not limited to small businesses.  This may include efforts like searches of EPA emission databases like the Toxics Release Inventory (TRI) or the National Emissions Inventory (NEI). We may also coordinate with industry trade associations and look at prior interactions with specific industry and non-industry stakeholders (like unions) in TSCA and non-TSCA contexts to identify subjects for interviews and focus groups under this generic ICR. We may also receive suggestions from the Small Business Administration, other parts of the EPA, and other governmental and non-governmental stakeholders.</w:t>
      </w:r>
    </w:p>
    <w:p w:rsidR="00DD420A" w:rsidRPr="008B105E" w:rsidP="00461BA6" w14:paraId="514B7E0A" w14:textId="582F3799">
      <w:pPr>
        <w:rPr>
          <w:rFonts w:ascii="Calibri" w:hAnsi="Calibri" w:cs="Calibri"/>
          <w:bCs/>
          <w:highlight w:val="yellow"/>
        </w:rPr>
      </w:pPr>
    </w:p>
    <w:p w:rsidR="00DD420A" w:rsidRPr="008B105E" w:rsidP="00461BA6" w14:paraId="2674CCFD" w14:textId="470A2434">
      <w:pPr>
        <w:rPr>
          <w:rFonts w:ascii="Calibri" w:hAnsi="Calibri" w:cs="Calibri"/>
          <w:bCs/>
        </w:rPr>
      </w:pPr>
      <w:r w:rsidRPr="008B105E">
        <w:rPr>
          <w:rFonts w:ascii="Calibri" w:hAnsi="Calibri" w:cs="Calibri"/>
          <w:bCs/>
        </w:rPr>
        <w:t xml:space="preserve">EPA determined the likely number of participants by </w:t>
      </w:r>
      <w:r w:rsidRPr="008B105E" w:rsidR="00186D58">
        <w:rPr>
          <w:rFonts w:ascii="Calibri" w:hAnsi="Calibri" w:cs="Calibri"/>
          <w:bCs/>
        </w:rPr>
        <w:t>extrapolating from likely information gaps in future risk evaluations.  EPA believes that the projected burden is sufficient to fill information gaps, but there is significant uncertainty since this is a new information collection.</w:t>
      </w:r>
    </w:p>
    <w:p w:rsidR="00602C3F" w:rsidRPr="008B105E" w:rsidP="00461BA6" w14:paraId="2C93DE14" w14:textId="77777777">
      <w:pPr>
        <w:rPr>
          <w:rFonts w:ascii="Calibri" w:hAnsi="Calibri" w:cs="Calibri"/>
          <w:b/>
          <w:color w:val="FF0000"/>
        </w:rPr>
      </w:pPr>
    </w:p>
    <w:p w:rsidR="00AD4EFF" w:rsidRPr="008B105E" w:rsidP="002D3306" w14:paraId="7A08DC56" w14:textId="083C8B23">
      <w:pPr>
        <w:pStyle w:val="Heading2"/>
      </w:pPr>
      <w:r>
        <w:t xml:space="preserve">2. </w:t>
      </w:r>
      <w:r w:rsidRPr="008B105E">
        <w:t>Procedures for Collecting Information</w:t>
      </w:r>
    </w:p>
    <w:p w:rsidR="00AD4EFF" w:rsidRPr="008B105E" w:rsidP="00AD4EFF" w14:paraId="7A08DC57" w14:textId="77777777">
      <w:pPr>
        <w:pStyle w:val="ListParagraph"/>
        <w:spacing w:line="240" w:lineRule="auto"/>
        <w:ind w:left="360"/>
        <w:rPr>
          <w:rFonts w:ascii="Calibri" w:hAnsi="Calibri" w:cs="Calibri"/>
          <w:b/>
          <w:sz w:val="24"/>
          <w:szCs w:val="24"/>
        </w:rPr>
      </w:pPr>
    </w:p>
    <w:p w:rsidR="00AD4EFF" w:rsidRPr="008B105E" w:rsidP="00BD1149" w14:paraId="7A08DC58" w14:textId="77777777">
      <w:pPr>
        <w:pStyle w:val="ListParagraph"/>
        <w:spacing w:line="240" w:lineRule="auto"/>
        <w:ind w:left="0"/>
        <w:rPr>
          <w:rFonts w:ascii="Calibri" w:hAnsi="Calibri" w:cs="Calibri"/>
          <w:sz w:val="24"/>
          <w:szCs w:val="24"/>
        </w:rPr>
      </w:pPr>
      <w:r w:rsidRPr="008B105E">
        <w:rPr>
          <w:rFonts w:ascii="Calibri" w:hAnsi="Calibri" w:cs="Calibri"/>
          <w:sz w:val="24"/>
          <w:szCs w:val="24"/>
        </w:rPr>
        <w:t>Data collection methods and procedures will vary and the specifics of these will be provided with each collection requ</w:t>
      </w:r>
      <w:r w:rsidRPr="008B105E" w:rsidR="00FA4E58">
        <w:rPr>
          <w:rFonts w:ascii="Calibri" w:hAnsi="Calibri" w:cs="Calibri"/>
          <w:sz w:val="24"/>
          <w:szCs w:val="24"/>
        </w:rPr>
        <w:t xml:space="preserve">est. </w:t>
      </w:r>
    </w:p>
    <w:p w:rsidR="00AD4EFF" w:rsidRPr="008B105E" w:rsidP="00AD4EFF" w14:paraId="7A08DC59" w14:textId="77777777">
      <w:pPr>
        <w:pStyle w:val="ListParagraph"/>
        <w:spacing w:line="240" w:lineRule="auto"/>
        <w:ind w:left="360"/>
        <w:rPr>
          <w:rFonts w:ascii="Calibri" w:hAnsi="Calibri" w:cs="Calibri"/>
          <w:b/>
          <w:color w:val="FF0000"/>
          <w:sz w:val="24"/>
          <w:szCs w:val="24"/>
        </w:rPr>
      </w:pPr>
    </w:p>
    <w:p w:rsidR="00AD4EFF" w:rsidRPr="008B105E" w:rsidP="002D3306" w14:paraId="7A08DC5A" w14:textId="1E309C6D">
      <w:pPr>
        <w:pStyle w:val="Heading2"/>
      </w:pPr>
      <w:r>
        <w:t xml:space="preserve">2. </w:t>
      </w:r>
      <w:r w:rsidRPr="008B105E">
        <w:t>Methods to Maximize Response</w:t>
      </w:r>
    </w:p>
    <w:p w:rsidR="00AD4EFF" w:rsidRPr="008B105E" w:rsidP="00AD4EFF" w14:paraId="7A08DC5B" w14:textId="77777777">
      <w:pPr>
        <w:pStyle w:val="ListParagraph"/>
        <w:spacing w:line="240" w:lineRule="auto"/>
        <w:ind w:left="360"/>
        <w:rPr>
          <w:rFonts w:ascii="Calibri" w:hAnsi="Calibri" w:cs="Calibri"/>
          <w:sz w:val="24"/>
          <w:szCs w:val="24"/>
        </w:rPr>
      </w:pPr>
    </w:p>
    <w:p w:rsidR="00AD4EFF" w:rsidRPr="008B105E" w:rsidP="00BD1149" w14:paraId="7A08DC5C" w14:textId="7A3EA6C8">
      <w:pPr>
        <w:pStyle w:val="ListParagraph"/>
        <w:spacing w:line="240" w:lineRule="auto"/>
        <w:ind w:left="0"/>
        <w:rPr>
          <w:rFonts w:ascii="Calibri" w:hAnsi="Calibri" w:cs="Calibri"/>
          <w:b/>
          <w:sz w:val="24"/>
          <w:szCs w:val="24"/>
        </w:rPr>
      </w:pPr>
      <w:r w:rsidRPr="008B105E">
        <w:rPr>
          <w:rFonts w:ascii="Calibri" w:hAnsi="Calibri" w:cs="Calibri"/>
          <w:sz w:val="24"/>
          <w:szCs w:val="24"/>
        </w:rPr>
        <w:t>Information collected under this generic clearan</w:t>
      </w:r>
      <w:r w:rsidRPr="008B105E" w:rsidR="00FA4E58">
        <w:rPr>
          <w:rFonts w:ascii="Calibri" w:hAnsi="Calibri" w:cs="Calibri"/>
          <w:sz w:val="24"/>
          <w:szCs w:val="24"/>
        </w:rPr>
        <w:t xml:space="preserve">ce will yield data about </w:t>
      </w:r>
      <w:r w:rsidRPr="008B105E" w:rsidR="00376D6E">
        <w:rPr>
          <w:rFonts w:ascii="Calibri" w:hAnsi="Calibri" w:cs="Calibri"/>
          <w:sz w:val="24"/>
          <w:szCs w:val="24"/>
        </w:rPr>
        <w:t>conditions of use</w:t>
      </w:r>
      <w:r w:rsidRPr="008B105E" w:rsidR="00170618">
        <w:rPr>
          <w:rFonts w:ascii="Calibri" w:hAnsi="Calibri" w:cs="Calibri"/>
          <w:sz w:val="24"/>
          <w:szCs w:val="24"/>
        </w:rPr>
        <w:t>,</w:t>
      </w:r>
      <w:r w:rsidRPr="008B105E" w:rsidR="00376D6E">
        <w:rPr>
          <w:rFonts w:ascii="Calibri" w:hAnsi="Calibri" w:cs="Calibri"/>
          <w:sz w:val="24"/>
          <w:szCs w:val="24"/>
        </w:rPr>
        <w:t xml:space="preserve"> </w:t>
      </w:r>
      <w:r w:rsidRPr="008B105E" w:rsidR="00FA4E58">
        <w:rPr>
          <w:rFonts w:ascii="Calibri" w:hAnsi="Calibri" w:cs="Calibri"/>
          <w:sz w:val="24"/>
          <w:szCs w:val="24"/>
        </w:rPr>
        <w:t>exposure</w:t>
      </w:r>
      <w:r w:rsidRPr="008B105E" w:rsidR="00170618">
        <w:rPr>
          <w:rFonts w:ascii="Calibri" w:hAnsi="Calibri" w:cs="Calibri"/>
          <w:sz w:val="24"/>
          <w:szCs w:val="24"/>
        </w:rPr>
        <w:t>,</w:t>
      </w:r>
      <w:r w:rsidRPr="008B105E" w:rsidR="00FA4E58">
        <w:rPr>
          <w:rFonts w:ascii="Calibri" w:hAnsi="Calibri" w:cs="Calibri"/>
          <w:sz w:val="24"/>
          <w:szCs w:val="24"/>
        </w:rPr>
        <w:t xml:space="preserve"> and alternatives to </w:t>
      </w:r>
      <w:r w:rsidRPr="008B105E" w:rsidR="003956DB">
        <w:rPr>
          <w:rFonts w:ascii="Calibri" w:hAnsi="Calibri" w:cs="Calibri"/>
          <w:sz w:val="24"/>
          <w:szCs w:val="24"/>
        </w:rPr>
        <w:t xml:space="preserve">certain chemicals </w:t>
      </w:r>
      <w:r w:rsidRPr="008B105E" w:rsidR="00170618">
        <w:rPr>
          <w:rFonts w:ascii="Calibri" w:hAnsi="Calibri" w:cs="Calibri"/>
          <w:sz w:val="24"/>
          <w:szCs w:val="24"/>
        </w:rPr>
        <w:t xml:space="preserve">expected to require </w:t>
      </w:r>
      <w:r w:rsidRPr="008B105E" w:rsidR="003956DB">
        <w:rPr>
          <w:rFonts w:ascii="Calibri" w:hAnsi="Calibri" w:cs="Calibri"/>
          <w:sz w:val="24"/>
          <w:szCs w:val="24"/>
        </w:rPr>
        <w:t xml:space="preserve">risk management. </w:t>
      </w:r>
      <w:r w:rsidRPr="008B105E" w:rsidR="00FA4E58">
        <w:rPr>
          <w:rFonts w:ascii="Calibri" w:hAnsi="Calibri" w:cs="Calibri"/>
          <w:sz w:val="24"/>
          <w:szCs w:val="24"/>
        </w:rPr>
        <w:t>EPA will work with the universe of respondent</w:t>
      </w:r>
      <w:r w:rsidRPr="008B105E" w:rsidR="00891508">
        <w:rPr>
          <w:rFonts w:ascii="Calibri" w:hAnsi="Calibri" w:cs="Calibri"/>
          <w:sz w:val="24"/>
          <w:szCs w:val="24"/>
        </w:rPr>
        <w:t xml:space="preserve">s to maximize response </w:t>
      </w:r>
      <w:r w:rsidRPr="008B105E" w:rsidR="00FA4E58">
        <w:rPr>
          <w:rFonts w:ascii="Calibri" w:hAnsi="Calibri" w:cs="Calibri"/>
          <w:sz w:val="24"/>
          <w:szCs w:val="24"/>
        </w:rPr>
        <w:t>to gain valuable data.</w:t>
      </w:r>
    </w:p>
    <w:p w:rsidR="00AD4EFF" w:rsidRPr="008B105E" w:rsidP="00AD4EFF" w14:paraId="7A08DC5D" w14:textId="77777777">
      <w:pPr>
        <w:pStyle w:val="ListParagraph"/>
        <w:spacing w:line="240" w:lineRule="auto"/>
        <w:ind w:left="360"/>
        <w:rPr>
          <w:rFonts w:ascii="Calibri" w:hAnsi="Calibri" w:cs="Calibri"/>
          <w:b/>
          <w:sz w:val="24"/>
          <w:szCs w:val="24"/>
        </w:rPr>
      </w:pPr>
    </w:p>
    <w:p w:rsidR="00AD4EFF" w:rsidRPr="008B105E" w:rsidP="002D3306" w14:paraId="7A08DC5E" w14:textId="615CD058">
      <w:pPr>
        <w:pStyle w:val="Heading2"/>
      </w:pPr>
      <w:r>
        <w:t xml:space="preserve">3. </w:t>
      </w:r>
      <w:r w:rsidRPr="008B105E">
        <w:t>Testing of Procedures</w:t>
      </w:r>
    </w:p>
    <w:p w:rsidR="00AD4EFF" w:rsidRPr="008B105E" w:rsidP="00AD4EFF" w14:paraId="7A08DC5F" w14:textId="77777777">
      <w:pPr>
        <w:pStyle w:val="ListParagraph"/>
        <w:spacing w:line="240" w:lineRule="auto"/>
        <w:ind w:left="360"/>
        <w:rPr>
          <w:rFonts w:ascii="Calibri" w:hAnsi="Calibri" w:cs="Calibri"/>
          <w:b/>
          <w:sz w:val="24"/>
          <w:szCs w:val="24"/>
        </w:rPr>
      </w:pPr>
      <w:r w:rsidRPr="008B105E">
        <w:rPr>
          <w:rFonts w:ascii="Calibri" w:hAnsi="Calibri" w:cs="Calibri"/>
          <w:b/>
          <w:sz w:val="24"/>
          <w:szCs w:val="24"/>
        </w:rPr>
        <w:t xml:space="preserve"> </w:t>
      </w:r>
    </w:p>
    <w:p w:rsidR="00AD4EFF" w:rsidRPr="008B105E" w:rsidP="00BD1149" w14:paraId="7A08DC60" w14:textId="0FA5BD49">
      <w:pPr>
        <w:pStyle w:val="ListParagraph"/>
        <w:spacing w:line="240" w:lineRule="auto"/>
        <w:ind w:left="0"/>
        <w:rPr>
          <w:rFonts w:ascii="Calibri" w:hAnsi="Calibri" w:cs="Calibri"/>
          <w:b/>
          <w:sz w:val="24"/>
          <w:szCs w:val="24"/>
        </w:rPr>
      </w:pPr>
      <w:r w:rsidRPr="008B105E">
        <w:rPr>
          <w:rFonts w:ascii="Calibri" w:hAnsi="Calibri" w:cs="Calibri"/>
          <w:sz w:val="24"/>
          <w:szCs w:val="24"/>
        </w:rPr>
        <w:t xml:space="preserve">Pretesting may be done with internal staff, a limited number of external colleagues, and/or customers who are familiar with the </w:t>
      </w:r>
      <w:r w:rsidRPr="008B105E" w:rsidR="00CB24CF">
        <w:rPr>
          <w:rFonts w:ascii="Calibri" w:hAnsi="Calibri" w:cs="Calibri"/>
          <w:sz w:val="24"/>
          <w:szCs w:val="24"/>
        </w:rPr>
        <w:t xml:space="preserve">chemicals, </w:t>
      </w:r>
      <w:r w:rsidRPr="008B105E" w:rsidR="00376D6E">
        <w:rPr>
          <w:rFonts w:ascii="Calibri" w:hAnsi="Calibri" w:cs="Calibri"/>
          <w:sz w:val="24"/>
          <w:szCs w:val="24"/>
        </w:rPr>
        <w:t xml:space="preserve">conditions of </w:t>
      </w:r>
      <w:r w:rsidRPr="008B105E" w:rsidR="00CB24CF">
        <w:rPr>
          <w:rFonts w:ascii="Calibri" w:hAnsi="Calibri" w:cs="Calibri"/>
          <w:sz w:val="24"/>
          <w:szCs w:val="24"/>
        </w:rPr>
        <w:t>use</w:t>
      </w:r>
      <w:r w:rsidRPr="008B105E" w:rsidR="00376D6E">
        <w:rPr>
          <w:rFonts w:ascii="Calibri" w:hAnsi="Calibri" w:cs="Calibri"/>
          <w:sz w:val="24"/>
          <w:szCs w:val="24"/>
        </w:rPr>
        <w:t>,</w:t>
      </w:r>
      <w:r w:rsidRPr="008B105E" w:rsidR="00CB24CF">
        <w:rPr>
          <w:rFonts w:ascii="Calibri" w:hAnsi="Calibri" w:cs="Calibri"/>
          <w:sz w:val="24"/>
          <w:szCs w:val="24"/>
        </w:rPr>
        <w:t xml:space="preserve"> </w:t>
      </w:r>
      <w:r w:rsidRPr="008B105E" w:rsidR="00FA4E58">
        <w:rPr>
          <w:rFonts w:ascii="Calibri" w:hAnsi="Calibri" w:cs="Calibri"/>
          <w:sz w:val="24"/>
          <w:szCs w:val="24"/>
        </w:rPr>
        <w:t>products</w:t>
      </w:r>
      <w:r w:rsidRPr="008B105E" w:rsidR="00376D6E">
        <w:rPr>
          <w:rFonts w:ascii="Calibri" w:hAnsi="Calibri" w:cs="Calibri"/>
          <w:sz w:val="24"/>
          <w:szCs w:val="24"/>
        </w:rPr>
        <w:t xml:space="preserve"> and articles, as well with those familiar with the stakeholders</w:t>
      </w:r>
      <w:r w:rsidRPr="008B105E" w:rsidR="009D77A8">
        <w:rPr>
          <w:rFonts w:ascii="Calibri" w:hAnsi="Calibri" w:cs="Calibri"/>
          <w:sz w:val="24"/>
          <w:szCs w:val="24"/>
        </w:rPr>
        <w:t>.</w:t>
      </w:r>
      <w:r w:rsidRPr="008B105E" w:rsidR="00FA4E58">
        <w:rPr>
          <w:rFonts w:ascii="Calibri" w:hAnsi="Calibri" w:cs="Calibri"/>
          <w:sz w:val="24"/>
          <w:szCs w:val="24"/>
        </w:rPr>
        <w:t xml:space="preserve"> </w:t>
      </w:r>
    </w:p>
    <w:p w:rsidR="00AD4EFF" w:rsidRPr="008B105E" w:rsidP="00AD4EFF" w14:paraId="7A08DC61" w14:textId="77777777">
      <w:pPr>
        <w:pStyle w:val="ListParagraph"/>
        <w:spacing w:line="240" w:lineRule="auto"/>
        <w:ind w:left="360"/>
        <w:rPr>
          <w:rFonts w:ascii="Calibri" w:hAnsi="Calibri" w:cs="Calibri"/>
          <w:b/>
          <w:sz w:val="24"/>
          <w:szCs w:val="24"/>
        </w:rPr>
      </w:pPr>
    </w:p>
    <w:p w:rsidR="00AD4EFF" w:rsidRPr="002D3306" w:rsidP="002D3306" w14:paraId="7A08DC62" w14:textId="433291B1">
      <w:pPr>
        <w:pStyle w:val="Heading2"/>
      </w:pPr>
      <w:r w:rsidRPr="002D3306">
        <w:t xml:space="preserve">4. </w:t>
      </w:r>
      <w:r w:rsidRPr="002D3306">
        <w:t>Contacts for Statistical Aspects and Data Collection</w:t>
      </w:r>
    </w:p>
    <w:p w:rsidR="00AD4EFF" w:rsidRPr="008B105E" w:rsidP="00AD4EFF" w14:paraId="7A08DC63" w14:textId="77777777">
      <w:pPr>
        <w:pStyle w:val="ListParagraph"/>
        <w:spacing w:line="240" w:lineRule="auto"/>
        <w:ind w:left="360"/>
        <w:rPr>
          <w:rFonts w:ascii="Calibri" w:hAnsi="Calibri" w:cs="Calibri"/>
          <w:b/>
          <w:sz w:val="24"/>
          <w:szCs w:val="24"/>
        </w:rPr>
      </w:pPr>
    </w:p>
    <w:p w:rsidR="00AD4EFF" w:rsidRPr="008B105E" w:rsidP="00BD1149" w14:paraId="7A08DC67" w14:textId="43C05B8C">
      <w:pPr>
        <w:pStyle w:val="ListParagraph"/>
        <w:spacing w:line="240" w:lineRule="auto"/>
        <w:ind w:left="0"/>
        <w:rPr>
          <w:rFonts w:ascii="Calibri" w:hAnsi="Calibri" w:cs="Calibri"/>
          <w:sz w:val="24"/>
          <w:szCs w:val="24"/>
        </w:rPr>
      </w:pPr>
      <w:r w:rsidRPr="008B105E">
        <w:rPr>
          <w:rFonts w:ascii="Calibri" w:hAnsi="Calibri" w:cs="Calibri"/>
          <w:sz w:val="24"/>
          <w:szCs w:val="24"/>
        </w:rPr>
        <w:t>The data collected under this generic clearance will be adequate for its purpose and will not be used to produce statistical descriptions</w:t>
      </w:r>
      <w:r w:rsidRPr="008B105E" w:rsidR="00461BA6">
        <w:rPr>
          <w:rFonts w:ascii="Calibri" w:hAnsi="Calibri" w:cs="Calibri"/>
          <w:sz w:val="24"/>
          <w:szCs w:val="24"/>
        </w:rPr>
        <w:t xml:space="preserve">. </w:t>
      </w:r>
      <w:r w:rsidRPr="008B105E" w:rsidR="009D77A8">
        <w:rPr>
          <w:rFonts w:ascii="Calibri" w:hAnsi="Calibri" w:cs="Calibri"/>
          <w:sz w:val="24"/>
          <w:szCs w:val="24"/>
        </w:rPr>
        <w:t>Instead, the data collected will be used to better understand the conditions of use evaluated</w:t>
      </w:r>
      <w:r w:rsidRPr="008B105E" w:rsidR="00170618">
        <w:rPr>
          <w:rFonts w:ascii="Calibri" w:hAnsi="Calibri" w:cs="Calibri"/>
          <w:sz w:val="24"/>
          <w:szCs w:val="24"/>
        </w:rPr>
        <w:t>, associated exposures,</w:t>
      </w:r>
      <w:r w:rsidRPr="008B105E" w:rsidR="009D77A8">
        <w:rPr>
          <w:rFonts w:ascii="Calibri" w:hAnsi="Calibri" w:cs="Calibri"/>
          <w:sz w:val="24"/>
          <w:szCs w:val="24"/>
        </w:rPr>
        <w:t xml:space="preserve"> or the alternatives to </w:t>
      </w:r>
      <w:r w:rsidRPr="008B105E" w:rsidR="00170618">
        <w:rPr>
          <w:rFonts w:ascii="Calibri" w:hAnsi="Calibri" w:cs="Calibri"/>
          <w:sz w:val="24"/>
          <w:szCs w:val="24"/>
        </w:rPr>
        <w:t xml:space="preserve">chemicals </w:t>
      </w:r>
      <w:r w:rsidRPr="008B105E" w:rsidR="009D77A8">
        <w:rPr>
          <w:rFonts w:ascii="Calibri" w:hAnsi="Calibri" w:cs="Calibri"/>
          <w:sz w:val="24"/>
          <w:szCs w:val="24"/>
        </w:rPr>
        <w:t xml:space="preserve">that present unreasonable risks in a risk evaluation </w:t>
      </w:r>
      <w:r w:rsidRPr="008B105E" w:rsidR="00170618">
        <w:rPr>
          <w:rFonts w:ascii="Calibri" w:hAnsi="Calibri" w:cs="Calibri"/>
          <w:sz w:val="24"/>
          <w:szCs w:val="24"/>
        </w:rPr>
        <w:t xml:space="preserve">and are expected to be the subject of risk management action </w:t>
      </w:r>
      <w:r w:rsidRPr="008B105E" w:rsidR="009D77A8">
        <w:rPr>
          <w:rFonts w:ascii="Calibri" w:hAnsi="Calibri" w:cs="Calibri"/>
          <w:sz w:val="24"/>
          <w:szCs w:val="24"/>
        </w:rPr>
        <w:t xml:space="preserve">under TSCA. </w:t>
      </w:r>
      <w:bookmarkStart w:id="5" w:name="_Hlk523389227"/>
      <w:r w:rsidRPr="008B105E" w:rsidR="00A96334">
        <w:rPr>
          <w:rFonts w:ascii="Calibri" w:hAnsi="Calibri" w:cs="Calibri"/>
          <w:sz w:val="24"/>
          <w:szCs w:val="24"/>
        </w:rPr>
        <w:t>D</w:t>
      </w:r>
      <w:r w:rsidRPr="008B105E" w:rsidR="009D77A8">
        <w:rPr>
          <w:rFonts w:ascii="Calibri" w:hAnsi="Calibri" w:cs="Calibri"/>
          <w:sz w:val="24"/>
          <w:szCs w:val="24"/>
        </w:rPr>
        <w:t xml:space="preserve">ata collected under this generic clearance may be used </w:t>
      </w:r>
      <w:r w:rsidRPr="008B105E" w:rsidR="003956DB">
        <w:rPr>
          <w:rFonts w:ascii="Calibri" w:hAnsi="Calibri" w:cs="Calibri"/>
          <w:sz w:val="24"/>
          <w:szCs w:val="24"/>
        </w:rPr>
        <w:t xml:space="preserve">in several ways during the risk evaluation and risk management processes, including establishing </w:t>
      </w:r>
      <w:r w:rsidRPr="008B105E" w:rsidR="009D77A8">
        <w:rPr>
          <w:rFonts w:ascii="Calibri" w:hAnsi="Calibri" w:cs="Calibri"/>
          <w:sz w:val="24"/>
          <w:szCs w:val="24"/>
        </w:rPr>
        <w:t>generic scenarios</w:t>
      </w:r>
      <w:r w:rsidRPr="008B105E" w:rsidR="003956DB">
        <w:rPr>
          <w:rFonts w:ascii="Calibri" w:hAnsi="Calibri" w:cs="Calibri"/>
          <w:sz w:val="24"/>
          <w:szCs w:val="24"/>
        </w:rPr>
        <w:t xml:space="preserve">, </w:t>
      </w:r>
      <w:r w:rsidRPr="008B105E" w:rsidR="009D77A8">
        <w:rPr>
          <w:rFonts w:ascii="Calibri" w:hAnsi="Calibri" w:cs="Calibri"/>
          <w:sz w:val="24"/>
          <w:szCs w:val="24"/>
        </w:rPr>
        <w:t>develop</w:t>
      </w:r>
      <w:r w:rsidRPr="008B105E" w:rsidR="003956DB">
        <w:rPr>
          <w:rFonts w:ascii="Calibri" w:hAnsi="Calibri" w:cs="Calibri"/>
          <w:sz w:val="24"/>
          <w:szCs w:val="24"/>
        </w:rPr>
        <w:t>ing</w:t>
      </w:r>
      <w:r w:rsidRPr="008B105E" w:rsidR="009D77A8">
        <w:rPr>
          <w:rFonts w:ascii="Calibri" w:hAnsi="Calibri" w:cs="Calibri"/>
          <w:sz w:val="24"/>
          <w:szCs w:val="24"/>
        </w:rPr>
        <w:t xml:space="preserve"> models of various conditions of use of chemicals evaluated under TSCA or their alternatives</w:t>
      </w:r>
      <w:r w:rsidRPr="008B105E" w:rsidR="003956DB">
        <w:rPr>
          <w:rFonts w:ascii="Calibri" w:hAnsi="Calibri" w:cs="Calibri"/>
          <w:sz w:val="24"/>
          <w:szCs w:val="24"/>
        </w:rPr>
        <w:t xml:space="preserve">, and providing important context for publicly available information or other information already available to EPA. </w:t>
      </w:r>
      <w:bookmarkEnd w:id="5"/>
    </w:p>
    <w:sectPr w:rsidSect="00AD4EFF">
      <w:pgSz w:w="12240" w:h="15840" w:code="1"/>
      <w:pgMar w:top="1440" w:right="1800" w:bottom="907"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1D14EC"/>
    <w:multiLevelType w:val="hybridMultilevel"/>
    <w:tmpl w:val="2CDC43E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6CE2083"/>
    <w:multiLevelType w:val="hybridMultilevel"/>
    <w:tmpl w:val="F7F63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853ED0"/>
    <w:multiLevelType w:val="hybridMultilevel"/>
    <w:tmpl w:val="C39842F6"/>
    <w:lvl w:ilvl="0">
      <w:start w:val="4"/>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FB82045"/>
    <w:multiLevelType w:val="hybridMultilevel"/>
    <w:tmpl w:val="780252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10D6AEF"/>
    <w:multiLevelType w:val="hybridMultilevel"/>
    <w:tmpl w:val="1DA820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2EA7E52"/>
    <w:multiLevelType w:val="hybridMultilevel"/>
    <w:tmpl w:val="B26A27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9F92B40"/>
    <w:multiLevelType w:val="hybridMultilevel"/>
    <w:tmpl w:val="D9FC32F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0656D49"/>
    <w:multiLevelType w:val="hybridMultilevel"/>
    <w:tmpl w:val="E6028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A6762E"/>
    <w:multiLevelType w:val="hybridMultilevel"/>
    <w:tmpl w:val="2DF67BA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7A04EFA"/>
    <w:multiLevelType w:val="hybridMultilevel"/>
    <w:tmpl w:val="3326C76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F44492C"/>
    <w:multiLevelType w:val="hybridMultilevel"/>
    <w:tmpl w:val="B70E4B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E560295"/>
    <w:multiLevelType w:val="hybridMultilevel"/>
    <w:tmpl w:val="833C1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2627177">
    <w:abstractNumId w:val="3"/>
  </w:num>
  <w:num w:numId="2" w16cid:durableId="1675572899">
    <w:abstractNumId w:val="2"/>
  </w:num>
  <w:num w:numId="3" w16cid:durableId="445271648">
    <w:abstractNumId w:val="0"/>
  </w:num>
  <w:num w:numId="4" w16cid:durableId="1669867159">
    <w:abstractNumId w:val="7"/>
  </w:num>
  <w:num w:numId="5" w16cid:durableId="1126966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5327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391578">
    <w:abstractNumId w:val="10"/>
  </w:num>
  <w:num w:numId="8" w16cid:durableId="605619968">
    <w:abstractNumId w:val="6"/>
  </w:num>
  <w:num w:numId="9" w16cid:durableId="370344341">
    <w:abstractNumId w:val="11"/>
  </w:num>
  <w:num w:numId="10" w16cid:durableId="1738284352">
    <w:abstractNumId w:val="5"/>
  </w:num>
  <w:num w:numId="11" w16cid:durableId="1855459414">
    <w:abstractNumId w:val="9"/>
  </w:num>
  <w:num w:numId="12" w16cid:durableId="1608735176">
    <w:abstractNumId w:val="4"/>
  </w:num>
  <w:num w:numId="13" w16cid:durableId="981351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333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64168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0F"/>
    <w:rsid w:val="00005D40"/>
    <w:rsid w:val="00011E5E"/>
    <w:rsid w:val="00020673"/>
    <w:rsid w:val="000313C2"/>
    <w:rsid w:val="000608F2"/>
    <w:rsid w:val="000C6CBC"/>
    <w:rsid w:val="000D7146"/>
    <w:rsid w:val="000E0BFC"/>
    <w:rsid w:val="001247F3"/>
    <w:rsid w:val="00161C9A"/>
    <w:rsid w:val="00170227"/>
    <w:rsid w:val="00170618"/>
    <w:rsid w:val="00186D58"/>
    <w:rsid w:val="001925DB"/>
    <w:rsid w:val="001D56BE"/>
    <w:rsid w:val="0020551B"/>
    <w:rsid w:val="00281010"/>
    <w:rsid w:val="002D3306"/>
    <w:rsid w:val="00312444"/>
    <w:rsid w:val="00323058"/>
    <w:rsid w:val="00327E76"/>
    <w:rsid w:val="00376D6E"/>
    <w:rsid w:val="003956DB"/>
    <w:rsid w:val="003C38A0"/>
    <w:rsid w:val="003C5C88"/>
    <w:rsid w:val="003C636B"/>
    <w:rsid w:val="003C7B27"/>
    <w:rsid w:val="003C7F09"/>
    <w:rsid w:val="003E52B9"/>
    <w:rsid w:val="00420CA0"/>
    <w:rsid w:val="0046122A"/>
    <w:rsid w:val="00461BA6"/>
    <w:rsid w:val="004B6F99"/>
    <w:rsid w:val="004F784A"/>
    <w:rsid w:val="005531E0"/>
    <w:rsid w:val="00553D37"/>
    <w:rsid w:val="00563175"/>
    <w:rsid w:val="00580866"/>
    <w:rsid w:val="00582F40"/>
    <w:rsid w:val="00597777"/>
    <w:rsid w:val="005E0245"/>
    <w:rsid w:val="00602C3F"/>
    <w:rsid w:val="0063714D"/>
    <w:rsid w:val="00661788"/>
    <w:rsid w:val="00692ABA"/>
    <w:rsid w:val="006939D7"/>
    <w:rsid w:val="006B3235"/>
    <w:rsid w:val="006C4C08"/>
    <w:rsid w:val="006D4269"/>
    <w:rsid w:val="00710C23"/>
    <w:rsid w:val="0071569C"/>
    <w:rsid w:val="0078130E"/>
    <w:rsid w:val="007A6803"/>
    <w:rsid w:val="00814920"/>
    <w:rsid w:val="00845A9D"/>
    <w:rsid w:val="0085042C"/>
    <w:rsid w:val="00850757"/>
    <w:rsid w:val="00891508"/>
    <w:rsid w:val="008A4EDA"/>
    <w:rsid w:val="008B105E"/>
    <w:rsid w:val="00902247"/>
    <w:rsid w:val="00960488"/>
    <w:rsid w:val="0096090F"/>
    <w:rsid w:val="009D6E6A"/>
    <w:rsid w:val="009D77A8"/>
    <w:rsid w:val="009F7E4E"/>
    <w:rsid w:val="00A240B2"/>
    <w:rsid w:val="00A4375B"/>
    <w:rsid w:val="00A6602D"/>
    <w:rsid w:val="00A96334"/>
    <w:rsid w:val="00AC2495"/>
    <w:rsid w:val="00AD4EFF"/>
    <w:rsid w:val="00AD764A"/>
    <w:rsid w:val="00AF08BA"/>
    <w:rsid w:val="00B30785"/>
    <w:rsid w:val="00B41714"/>
    <w:rsid w:val="00B57155"/>
    <w:rsid w:val="00BA6A97"/>
    <w:rsid w:val="00BD1149"/>
    <w:rsid w:val="00C209C6"/>
    <w:rsid w:val="00C26775"/>
    <w:rsid w:val="00C67D97"/>
    <w:rsid w:val="00C854CE"/>
    <w:rsid w:val="00C96F0E"/>
    <w:rsid w:val="00CB24CF"/>
    <w:rsid w:val="00CB69E7"/>
    <w:rsid w:val="00CD5F3D"/>
    <w:rsid w:val="00D062C2"/>
    <w:rsid w:val="00D20206"/>
    <w:rsid w:val="00D24561"/>
    <w:rsid w:val="00D63D5D"/>
    <w:rsid w:val="00D67A4F"/>
    <w:rsid w:val="00D8584B"/>
    <w:rsid w:val="00DA528A"/>
    <w:rsid w:val="00DD420A"/>
    <w:rsid w:val="00E47102"/>
    <w:rsid w:val="00E528F8"/>
    <w:rsid w:val="00E956B3"/>
    <w:rsid w:val="00EF663E"/>
    <w:rsid w:val="00F1243D"/>
    <w:rsid w:val="00F25CE4"/>
    <w:rsid w:val="00F34136"/>
    <w:rsid w:val="00F67061"/>
    <w:rsid w:val="00F96240"/>
    <w:rsid w:val="00FA4E58"/>
    <w:rsid w:val="00FB0840"/>
    <w:rsid w:val="00FC51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08DC49"/>
  <w15:chartTrackingRefBased/>
  <w15:docId w15:val="{892B2A27-AE89-4DBE-9463-3476A124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609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09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autoRedefine/>
    <w:qFormat/>
    <w:rsid w:val="002D3306"/>
    <w:pPr>
      <w:spacing w:before="0"/>
      <w:outlineLvl w:val="1"/>
    </w:pPr>
    <w:rPr>
      <w:rFonts w:eastAsia="Times New Roman" w:asciiTheme="minorHAnsi" w:hAnsiTheme="minorHAnsi" w:cstheme="minorHAnsi"/>
      <w:b/>
      <w:bCs/>
      <w:color w:val="auto"/>
      <w:kern w:val="28"/>
      <w:sz w:val="24"/>
      <w:szCs w:val="20"/>
    </w:rPr>
  </w:style>
  <w:style w:type="paragraph" w:styleId="Heading3">
    <w:name w:val="heading 3"/>
    <w:basedOn w:val="Normal"/>
    <w:next w:val="Normal"/>
    <w:link w:val="Heading3Char"/>
    <w:uiPriority w:val="9"/>
    <w:semiHidden/>
    <w:unhideWhenUsed/>
    <w:qFormat/>
    <w:rsid w:val="0096090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link w:val="Heading4Char"/>
    <w:autoRedefine/>
    <w:qFormat/>
    <w:rsid w:val="0096090F"/>
    <w:pPr>
      <w:tabs>
        <w:tab w:val="num" w:pos="720"/>
        <w:tab w:val="left" w:pos="1152"/>
      </w:tabs>
      <w:spacing w:before="0"/>
      <w:ind w:left="720" w:hanging="720"/>
      <w:outlineLvl w:val="3"/>
    </w:pPr>
    <w:rPr>
      <w:rFonts w:ascii="Times New Roman" w:hAnsi="Times New Roman" w:eastAsiaTheme="minorHAnsi" w:cs="Times New Roman"/>
      <w:b/>
      <w:bCs/>
      <w:color w:val="auto"/>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3306"/>
    <w:rPr>
      <w:rFonts w:eastAsia="Times New Roman" w:cstheme="minorHAnsi"/>
      <w:b/>
      <w:bCs/>
      <w:kern w:val="28"/>
      <w:sz w:val="24"/>
      <w:szCs w:val="20"/>
    </w:rPr>
  </w:style>
  <w:style w:type="character" w:customStyle="1" w:styleId="Heading4Char">
    <w:name w:val="Heading 4 Char"/>
    <w:basedOn w:val="DefaultParagraphFont"/>
    <w:link w:val="Heading4"/>
    <w:rsid w:val="0096090F"/>
    <w:rPr>
      <w:rFonts w:ascii="Times New Roman" w:hAnsi="Times New Roman" w:cs="Times New Roman"/>
      <w:b/>
      <w:bCs/>
      <w:kern w:val="28"/>
      <w:sz w:val="20"/>
      <w:szCs w:val="20"/>
    </w:rPr>
  </w:style>
  <w:style w:type="paragraph" w:styleId="BodyText">
    <w:name w:val="Body Text"/>
    <w:basedOn w:val="Normal"/>
    <w:link w:val="BodyTextChar"/>
    <w:qFormat/>
    <w:rsid w:val="0096090F"/>
    <w:pPr>
      <w:tabs>
        <w:tab w:val="left" w:pos="720"/>
        <w:tab w:val="left" w:pos="1080"/>
        <w:tab w:val="left" w:pos="1440"/>
        <w:tab w:val="left" w:pos="1800"/>
      </w:tabs>
      <w:ind w:firstLine="720"/>
    </w:pPr>
    <w:rPr>
      <w:sz w:val="22"/>
      <w:szCs w:val="20"/>
    </w:rPr>
  </w:style>
  <w:style w:type="character" w:customStyle="1" w:styleId="BodyTextChar">
    <w:name w:val="Body Text Char"/>
    <w:basedOn w:val="DefaultParagraphFont"/>
    <w:link w:val="BodyText"/>
    <w:rsid w:val="0096090F"/>
    <w:rPr>
      <w:rFonts w:ascii="Times New Roman" w:eastAsia="Times New Roman" w:hAnsi="Times New Roman" w:cs="Times New Roman"/>
      <w:szCs w:val="20"/>
    </w:rPr>
  </w:style>
  <w:style w:type="table" w:styleId="TableGrid">
    <w:name w:val="Table Grid"/>
    <w:basedOn w:val="TableNormal"/>
    <w:rsid w:val="009609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90F"/>
    <w:pPr>
      <w:spacing w:line="264" w:lineRule="auto"/>
      <w:ind w:left="720"/>
      <w:contextualSpacing/>
    </w:pPr>
    <w:rPr>
      <w:rFonts w:eastAsiaTheme="minorHAnsi"/>
      <w:sz w:val="22"/>
      <w:szCs w:val="20"/>
    </w:rPr>
  </w:style>
  <w:style w:type="paragraph" w:customStyle="1" w:styleId="FMLAText">
    <w:name w:val="FMLA Text"/>
    <w:basedOn w:val="BodyText"/>
    <w:rsid w:val="0096090F"/>
    <w:pPr>
      <w:spacing w:after="120"/>
    </w:pPr>
    <w:rPr>
      <w:sz w:val="24"/>
    </w:rPr>
  </w:style>
  <w:style w:type="paragraph" w:customStyle="1" w:styleId="referencelist">
    <w:name w:val="reference list"/>
    <w:basedOn w:val="Normal"/>
    <w:qFormat/>
    <w:rsid w:val="0096090F"/>
    <w:pPr>
      <w:spacing w:before="120" w:after="120"/>
      <w:ind w:left="720" w:right="720" w:hanging="720"/>
    </w:pPr>
    <w:rPr>
      <w:sz w:val="22"/>
      <w:szCs w:val="20"/>
    </w:rPr>
  </w:style>
  <w:style w:type="paragraph" w:customStyle="1" w:styleId="TableText">
    <w:name w:val="Table Text"/>
    <w:basedOn w:val="Normal"/>
    <w:link w:val="TableTextChar"/>
    <w:qFormat/>
    <w:rsid w:val="0096090F"/>
    <w:pPr>
      <w:keepNext/>
      <w:keepLines/>
    </w:pPr>
    <w:rPr>
      <w:sz w:val="18"/>
      <w:szCs w:val="20"/>
    </w:rPr>
  </w:style>
  <w:style w:type="character" w:customStyle="1" w:styleId="TableTextChar">
    <w:name w:val="Table Text Char"/>
    <w:link w:val="TableText"/>
    <w:rsid w:val="0096090F"/>
    <w:rPr>
      <w:rFonts w:ascii="Times New Roman" w:eastAsia="Times New Roman" w:hAnsi="Times New Roman" w:cs="Times New Roman"/>
      <w:sz w:val="18"/>
      <w:szCs w:val="20"/>
    </w:rPr>
  </w:style>
  <w:style w:type="paragraph" w:customStyle="1" w:styleId="TableTitle">
    <w:name w:val="Table Title"/>
    <w:basedOn w:val="Normal"/>
    <w:next w:val="Normal"/>
    <w:link w:val="TableTitleChar"/>
    <w:qFormat/>
    <w:rsid w:val="0096090F"/>
    <w:pPr>
      <w:keepNext/>
      <w:keepLines/>
      <w:spacing w:line="264" w:lineRule="auto"/>
    </w:pPr>
    <w:rPr>
      <w:rFonts w:ascii="Arial Bold" w:hAnsi="Arial Bold"/>
      <w:sz w:val="20"/>
      <w:szCs w:val="22"/>
    </w:rPr>
  </w:style>
  <w:style w:type="character" w:customStyle="1" w:styleId="TableTitleChar">
    <w:name w:val="Table Title Char"/>
    <w:link w:val="TableTitle"/>
    <w:rsid w:val="0096090F"/>
    <w:rPr>
      <w:rFonts w:ascii="Arial Bold" w:eastAsia="Times New Roman" w:hAnsi="Arial Bold" w:cs="Times New Roman"/>
      <w:sz w:val="20"/>
    </w:rPr>
  </w:style>
  <w:style w:type="paragraph" w:customStyle="1" w:styleId="ICRHeading2">
    <w:name w:val="ICR Heading 2"/>
    <w:basedOn w:val="Normal"/>
    <w:link w:val="ICRHeading2Char"/>
    <w:qFormat/>
    <w:rsid w:val="0096090F"/>
    <w:rPr>
      <w:b/>
      <w:bCs/>
      <w:sz w:val="22"/>
    </w:rPr>
  </w:style>
  <w:style w:type="paragraph" w:customStyle="1" w:styleId="ICRHeading1">
    <w:name w:val="ICR Heading 1"/>
    <w:basedOn w:val="Normal"/>
    <w:link w:val="ICRHeading1Char"/>
    <w:qFormat/>
    <w:rsid w:val="0096090F"/>
    <w:rPr>
      <w:b/>
      <w:bCs/>
      <w:sz w:val="22"/>
    </w:rPr>
  </w:style>
  <w:style w:type="character" w:customStyle="1" w:styleId="ICRHeading2Char">
    <w:name w:val="ICR Heading 2 Char"/>
    <w:basedOn w:val="DefaultParagraphFont"/>
    <w:link w:val="ICRHeading2"/>
    <w:rsid w:val="0096090F"/>
    <w:rPr>
      <w:rFonts w:ascii="Times New Roman" w:eastAsia="Times New Roman" w:hAnsi="Times New Roman" w:cs="Times New Roman"/>
      <w:b/>
      <w:bCs/>
      <w:szCs w:val="24"/>
    </w:rPr>
  </w:style>
  <w:style w:type="paragraph" w:customStyle="1" w:styleId="ICRTableText">
    <w:name w:val="ICR Table Text"/>
    <w:basedOn w:val="TableText"/>
    <w:link w:val="ICRTableTextChar"/>
    <w:qFormat/>
    <w:rsid w:val="0096090F"/>
    <w:pPr>
      <w:jc w:val="center"/>
    </w:pPr>
  </w:style>
  <w:style w:type="character" w:customStyle="1" w:styleId="ICRHeading1Char">
    <w:name w:val="ICR Heading 1 Char"/>
    <w:basedOn w:val="DefaultParagraphFont"/>
    <w:link w:val="ICRHeading1"/>
    <w:rsid w:val="0096090F"/>
    <w:rPr>
      <w:rFonts w:ascii="Times New Roman" w:eastAsia="Times New Roman" w:hAnsi="Times New Roman" w:cs="Times New Roman"/>
      <w:b/>
      <w:bCs/>
      <w:szCs w:val="24"/>
    </w:rPr>
  </w:style>
  <w:style w:type="paragraph" w:customStyle="1" w:styleId="ICRHeading3">
    <w:name w:val="ICR Heading 3"/>
    <w:basedOn w:val="Heading4"/>
    <w:link w:val="ICRHeading3Char"/>
    <w:qFormat/>
    <w:rsid w:val="0096090F"/>
    <w:rPr>
      <w:szCs w:val="24"/>
    </w:rPr>
  </w:style>
  <w:style w:type="character" w:customStyle="1" w:styleId="ICRTableTextChar">
    <w:name w:val="ICR Table Text Char"/>
    <w:basedOn w:val="TableTextChar"/>
    <w:link w:val="ICRTableText"/>
    <w:rsid w:val="0096090F"/>
    <w:rPr>
      <w:rFonts w:ascii="Times New Roman" w:eastAsia="Times New Roman" w:hAnsi="Times New Roman" w:cs="Times New Roman"/>
      <w:sz w:val="18"/>
      <w:szCs w:val="20"/>
    </w:rPr>
  </w:style>
  <w:style w:type="character" w:styleId="Emphasis">
    <w:name w:val="Emphasis"/>
    <w:basedOn w:val="DefaultParagraphFont"/>
    <w:uiPriority w:val="20"/>
    <w:qFormat/>
    <w:rsid w:val="0096090F"/>
    <w:rPr>
      <w:i/>
      <w:iCs/>
    </w:rPr>
  </w:style>
  <w:style w:type="character" w:customStyle="1" w:styleId="ICRHeading3Char">
    <w:name w:val="ICR Heading 3 Char"/>
    <w:basedOn w:val="Heading4Char"/>
    <w:link w:val="ICRHeading3"/>
    <w:rsid w:val="0096090F"/>
    <w:rPr>
      <w:rFonts w:ascii="Times New Roman" w:hAnsi="Times New Roman" w:cs="Times New Roman"/>
      <w:b/>
      <w:bCs/>
      <w:kern w:val="28"/>
      <w:sz w:val="20"/>
      <w:szCs w:val="24"/>
    </w:rPr>
  </w:style>
  <w:style w:type="character" w:customStyle="1" w:styleId="Heading1Char">
    <w:name w:val="Heading 1 Char"/>
    <w:basedOn w:val="DefaultParagraphFont"/>
    <w:link w:val="Heading1"/>
    <w:uiPriority w:val="9"/>
    <w:rsid w:val="009609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090F"/>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unhideWhenUsed/>
    <w:rsid w:val="00AD4EFF"/>
    <w:pPr>
      <w:spacing w:after="120"/>
      <w:ind w:left="360"/>
    </w:pPr>
    <w:rPr>
      <w:sz w:val="16"/>
      <w:szCs w:val="16"/>
    </w:rPr>
  </w:style>
  <w:style w:type="character" w:customStyle="1" w:styleId="BodyTextIndent3Char">
    <w:name w:val="Body Text Indent 3 Char"/>
    <w:basedOn w:val="DefaultParagraphFont"/>
    <w:link w:val="BodyTextIndent3"/>
    <w:uiPriority w:val="99"/>
    <w:rsid w:val="00AD4EFF"/>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CB24CF"/>
    <w:rPr>
      <w:sz w:val="16"/>
      <w:szCs w:val="16"/>
    </w:rPr>
  </w:style>
  <w:style w:type="paragraph" w:styleId="CommentText">
    <w:name w:val="annotation text"/>
    <w:basedOn w:val="Normal"/>
    <w:link w:val="CommentTextChar"/>
    <w:uiPriority w:val="99"/>
    <w:semiHidden/>
    <w:unhideWhenUsed/>
    <w:rsid w:val="00CB24CF"/>
    <w:rPr>
      <w:sz w:val="20"/>
      <w:szCs w:val="20"/>
    </w:rPr>
  </w:style>
  <w:style w:type="character" w:customStyle="1" w:styleId="CommentTextChar">
    <w:name w:val="Comment Text Char"/>
    <w:basedOn w:val="DefaultParagraphFont"/>
    <w:link w:val="CommentText"/>
    <w:uiPriority w:val="99"/>
    <w:semiHidden/>
    <w:rsid w:val="00CB24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24CF"/>
    <w:rPr>
      <w:b/>
      <w:bCs/>
    </w:rPr>
  </w:style>
  <w:style w:type="character" w:customStyle="1" w:styleId="CommentSubjectChar">
    <w:name w:val="Comment Subject Char"/>
    <w:basedOn w:val="CommentTextChar"/>
    <w:link w:val="CommentSubject"/>
    <w:uiPriority w:val="99"/>
    <w:semiHidden/>
    <w:rsid w:val="00CB24C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2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4CF"/>
    <w:rPr>
      <w:rFonts w:ascii="Segoe UI" w:eastAsia="Times New Roman" w:hAnsi="Segoe UI" w:cs="Segoe UI"/>
      <w:sz w:val="18"/>
      <w:szCs w:val="18"/>
    </w:rPr>
  </w:style>
  <w:style w:type="paragraph" w:styleId="Header">
    <w:name w:val="header"/>
    <w:basedOn w:val="Normal"/>
    <w:link w:val="HeaderChar"/>
    <w:uiPriority w:val="99"/>
    <w:unhideWhenUsed/>
    <w:rsid w:val="0046122A"/>
    <w:pPr>
      <w:tabs>
        <w:tab w:val="center" w:pos="4680"/>
        <w:tab w:val="right" w:pos="9360"/>
      </w:tabs>
    </w:pPr>
  </w:style>
  <w:style w:type="character" w:customStyle="1" w:styleId="HeaderChar">
    <w:name w:val="Header Char"/>
    <w:basedOn w:val="DefaultParagraphFont"/>
    <w:link w:val="Header"/>
    <w:uiPriority w:val="99"/>
    <w:rsid w:val="004612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122A"/>
    <w:pPr>
      <w:tabs>
        <w:tab w:val="center" w:pos="4680"/>
        <w:tab w:val="right" w:pos="9360"/>
      </w:tabs>
    </w:pPr>
  </w:style>
  <w:style w:type="character" w:customStyle="1" w:styleId="FooterChar">
    <w:name w:val="Footer Char"/>
    <w:basedOn w:val="DefaultParagraphFont"/>
    <w:link w:val="Footer"/>
    <w:uiPriority w:val="99"/>
    <w:rsid w:val="004612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FRN_x0020_List_x0020_Item_x0020_ID xmlns="118f882f-1e32-4cf2-ad69-9de43d57f4c6">4963</FRN_x0020_List_x0020_Item_x0020_ID>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F40D3-A561-4C03-8405-B3DD0966A317}">
  <ds:schemaRefs>
    <ds:schemaRef ds:uri="http://www.w3.org/XML/1998/namespace"/>
    <ds:schemaRef ds:uri="http://schemas.microsoft.com/sharepoint.v3"/>
    <ds:schemaRef ds:uri="http://purl.org/dc/terms/"/>
    <ds:schemaRef ds:uri="http://purl.org/dc/elements/1.1/"/>
    <ds:schemaRef ds:uri="http://purl.org/dc/dcmitype/"/>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a5d1ca4e-0a3f-4119-b619-e20b93ebd1aa"/>
    <ds:schemaRef ds:uri="118f882f-1e32-4cf2-ad69-9de43d57f4c6"/>
    <ds:schemaRef ds:uri="4ffa91fb-a0ff-4ac5-b2db-65c790d184a4"/>
    <ds:schemaRef ds:uri="http://schemas.microsoft.com/office/2006/metadata/properties"/>
  </ds:schemaRefs>
</ds:datastoreItem>
</file>

<file path=customXml/itemProps2.xml><?xml version="1.0" encoding="utf-8"?>
<ds:datastoreItem xmlns:ds="http://schemas.openxmlformats.org/officeDocument/2006/customXml" ds:itemID="{00E21F6F-1388-4DAB-92B2-9AB6CA042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DC870-721C-43A5-BD9E-BFCE6566F779}">
  <ds:schemaRefs>
    <ds:schemaRef ds:uri="Microsoft.SharePoint.Taxonomy.ContentTypeSync"/>
  </ds:schemaRefs>
</ds:datastoreItem>
</file>

<file path=customXml/itemProps4.xml><?xml version="1.0" encoding="utf-8"?>
<ds:datastoreItem xmlns:ds="http://schemas.openxmlformats.org/officeDocument/2006/customXml" ds:itemID="{FB5CF007-7414-48BB-A92F-C6A9442A8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Albert</dc:creator>
  <cp:lastModifiedBy>Siu, Carolyn</cp:lastModifiedBy>
  <cp:revision>6</cp:revision>
  <cp:lastPrinted>2019-06-21T18:00:00Z</cp:lastPrinted>
  <dcterms:created xsi:type="dcterms:W3CDTF">2024-04-22T18:35:00Z</dcterms:created>
  <dcterms:modified xsi:type="dcterms:W3CDTF">2024-11-13T16:49:00Z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