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436FDF" w:rsidP="00F746AE" w14:paraId="4D6BF7FB" w14:textId="77777777">
      <w:pPr>
        <w:pStyle w:val="Title"/>
        <w:ind w:left="-90"/>
        <w:rPr>
          <w:rFonts w:ascii="Times New Roman" w:hAnsi="Times New Roman"/>
          <w:u w:val="none"/>
        </w:rPr>
      </w:pPr>
      <w:r w:rsidRPr="00436FDF">
        <w:rPr>
          <w:rFonts w:ascii="Times New Roman" w:hAnsi="Times New Roman"/>
          <w:u w:val="none"/>
        </w:rPr>
        <w:t>Department of Transportation</w:t>
      </w:r>
    </w:p>
    <w:p w:rsidR="00731933" w:rsidRPr="00436FDF" w:rsidP="00F746AE" w14:paraId="4C47CDAC" w14:textId="19FD052B">
      <w:pPr>
        <w:pStyle w:val="Title"/>
        <w:ind w:left="-90"/>
        <w:rPr>
          <w:rFonts w:ascii="Times New Roman" w:hAnsi="Times New Roman"/>
          <w:u w:val="none"/>
        </w:rPr>
      </w:pPr>
      <w:r w:rsidRPr="00436FDF">
        <w:rPr>
          <w:rFonts w:ascii="Times New Roman" w:hAnsi="Times New Roman"/>
          <w:u w:val="none"/>
        </w:rPr>
        <w:t>Maritime Administration</w:t>
      </w:r>
    </w:p>
    <w:p w:rsidR="00731933" w:rsidRPr="00436FDF" w:rsidP="00F746AE" w14:paraId="7EA37081" w14:textId="0A175A02">
      <w:pPr>
        <w:pStyle w:val="Title"/>
        <w:ind w:left="-90"/>
        <w:rPr>
          <w:rFonts w:ascii="Times New Roman" w:hAnsi="Times New Roman"/>
          <w:u w:val="none"/>
        </w:rPr>
      </w:pPr>
      <w:r w:rsidRPr="00436FDF">
        <w:rPr>
          <w:rFonts w:ascii="Times New Roman" w:hAnsi="Times New Roman"/>
          <w:u w:val="none"/>
        </w:rPr>
        <w:t>Information Collection Request (ICR)</w:t>
      </w:r>
    </w:p>
    <w:p w:rsidR="00731933" w:rsidRPr="00436FDF" w:rsidP="00F746AE" w14:paraId="78E3C408" w14:textId="3A5A7857">
      <w:pPr>
        <w:pStyle w:val="Title"/>
        <w:ind w:left="-90"/>
        <w:rPr>
          <w:rFonts w:ascii="Times New Roman" w:hAnsi="Times New Roman"/>
          <w:u w:val="none"/>
        </w:rPr>
      </w:pPr>
      <w:r w:rsidRPr="00436FDF">
        <w:rPr>
          <w:rFonts w:ascii="Times New Roman" w:hAnsi="Times New Roman"/>
          <w:u w:val="none"/>
        </w:rPr>
        <w:t>2133-0541</w:t>
      </w:r>
    </w:p>
    <w:p w:rsidR="00731933" w:rsidRPr="00436FDF" w:rsidP="00731933" w14:paraId="0239A0D7" w14:textId="77777777">
      <w:pPr>
        <w:pStyle w:val="Title"/>
        <w:ind w:left="-90"/>
        <w:rPr>
          <w:rFonts w:ascii="Times New Roman" w:hAnsi="Times New Roman"/>
          <w:bCs w:val="0"/>
          <w:u w:val="none"/>
        </w:rPr>
      </w:pPr>
      <w:r w:rsidRPr="00436FDF">
        <w:rPr>
          <w:rFonts w:ascii="Times New Roman" w:hAnsi="Times New Roman"/>
          <w:bCs w:val="0"/>
          <w:u w:val="none"/>
        </w:rPr>
        <w:t>United States Marine Highway Program</w:t>
      </w:r>
    </w:p>
    <w:p w:rsidR="006951D1" w:rsidRPr="00E2637E" w:rsidP="00436FDF" w14:paraId="4215486D" w14:textId="77777777">
      <w:pPr>
        <w:pStyle w:val="Title"/>
        <w:jc w:val="left"/>
        <w:rPr>
          <w:rFonts w:ascii="Times New Roman" w:hAnsi="Times New Roman"/>
          <w:sz w:val="28"/>
          <w:szCs w:val="28"/>
          <w:u w:val="none"/>
        </w:rPr>
      </w:pPr>
    </w:p>
    <w:p w:rsidR="0004749E" w:rsidRPr="00436FDF" w:rsidP="00F746AE" w14:paraId="45885B2F" w14:textId="77777777">
      <w:pPr>
        <w:pStyle w:val="Title"/>
        <w:ind w:left="-90"/>
        <w:rPr>
          <w:rFonts w:ascii="Times New Roman" w:hAnsi="Times New Roman"/>
          <w:bCs w:val="0"/>
          <w:u w:val="none"/>
        </w:rPr>
      </w:pPr>
      <w:r w:rsidRPr="00436FDF">
        <w:rPr>
          <w:rFonts w:ascii="Times New Roman" w:hAnsi="Times New Roman"/>
          <w:bCs w:val="0"/>
          <w:u w:val="none"/>
        </w:rPr>
        <w:t>SUPPORTING STATEMENT</w:t>
      </w:r>
    </w:p>
    <w:p w:rsidR="0004749E" w:rsidRPr="00E2637E" w:rsidP="00F746AE" w14:paraId="0CBF9259" w14:textId="77777777">
      <w:pPr>
        <w:ind w:left="-90"/>
        <w:rPr>
          <w:rFonts w:ascii="Times New Roman" w:hAnsi="Times New Roman"/>
          <w:b/>
          <w:bCs/>
          <w:sz w:val="24"/>
          <w:szCs w:val="24"/>
        </w:rPr>
      </w:pPr>
    </w:p>
    <w:p w:rsidR="0004749E" w:rsidRPr="00436FDF" w:rsidP="00F746AE" w14:paraId="2C5E1AED" w14:textId="77777777">
      <w:pPr>
        <w:pStyle w:val="Subtitle"/>
        <w:ind w:left="-90"/>
        <w:rPr>
          <w:rFonts w:ascii="Times New Roman" w:hAnsi="Times New Roman"/>
          <w:u w:val="none"/>
        </w:rPr>
      </w:pPr>
      <w:r w:rsidRPr="00436FDF">
        <w:rPr>
          <w:rFonts w:ascii="Times New Roman" w:hAnsi="Times New Roman"/>
          <w:u w:val="none"/>
        </w:rPr>
        <w:t>INTRODUCTION</w:t>
      </w:r>
    </w:p>
    <w:p w:rsidR="0004749E" w:rsidRPr="00E2637E" w:rsidP="00F746AE" w14:paraId="313BD196" w14:textId="77777777">
      <w:pPr>
        <w:ind w:left="-90"/>
        <w:rPr>
          <w:rFonts w:ascii="Times New Roman" w:hAnsi="Times New Roman"/>
          <w:b/>
          <w:bCs/>
          <w:sz w:val="24"/>
          <w:szCs w:val="24"/>
        </w:rPr>
      </w:pPr>
    </w:p>
    <w:p w:rsidR="001777C4" w:rsidRPr="00E2637E" w:rsidP="001777C4" w14:paraId="7A79480A" w14:textId="25424AD8">
      <w:pPr>
        <w:ind w:left="-90"/>
        <w:rPr>
          <w:rFonts w:ascii="Times New Roman" w:hAnsi="Times New Roman"/>
          <w:sz w:val="24"/>
          <w:szCs w:val="24"/>
        </w:rPr>
      </w:pPr>
      <w:r w:rsidRPr="00E2637E">
        <w:rPr>
          <w:rFonts w:ascii="Times New Roman" w:hAnsi="Times New Roman"/>
          <w:sz w:val="24"/>
          <w:szCs w:val="24"/>
        </w:rPr>
        <w:t xml:space="preserve">This </w:t>
      </w:r>
      <w:r w:rsidR="009405F3">
        <w:rPr>
          <w:rFonts w:ascii="Times New Roman" w:hAnsi="Times New Roman"/>
          <w:sz w:val="24"/>
          <w:szCs w:val="24"/>
        </w:rPr>
        <w:t xml:space="preserve">submission </w:t>
      </w:r>
      <w:r w:rsidRPr="00E2637E">
        <w:rPr>
          <w:rFonts w:ascii="Times New Roman" w:hAnsi="Times New Roman"/>
          <w:sz w:val="24"/>
          <w:szCs w:val="24"/>
        </w:rPr>
        <w:t xml:space="preserve">is to request </w:t>
      </w:r>
      <w:r w:rsidR="009405F3">
        <w:rPr>
          <w:rFonts w:ascii="Times New Roman" w:hAnsi="Times New Roman"/>
          <w:sz w:val="24"/>
          <w:szCs w:val="24"/>
        </w:rPr>
        <w:t xml:space="preserve">a three-year approval from </w:t>
      </w:r>
      <w:r w:rsidRPr="00E2637E">
        <w:rPr>
          <w:rFonts w:ascii="Times New Roman" w:hAnsi="Times New Roman"/>
          <w:sz w:val="24"/>
          <w:szCs w:val="24"/>
        </w:rPr>
        <w:t xml:space="preserve">the Office of Management and Budget (OMB) </w:t>
      </w:r>
      <w:r w:rsidR="009405F3">
        <w:rPr>
          <w:rFonts w:ascii="Times New Roman" w:hAnsi="Times New Roman"/>
          <w:sz w:val="24"/>
          <w:szCs w:val="24"/>
        </w:rPr>
        <w:t>for the</w:t>
      </w:r>
      <w:r w:rsidRPr="00E2637E" w:rsidR="006951D1">
        <w:rPr>
          <w:rFonts w:ascii="Times New Roman" w:hAnsi="Times New Roman"/>
          <w:sz w:val="24"/>
          <w:szCs w:val="24"/>
        </w:rPr>
        <w:t xml:space="preserve"> </w:t>
      </w:r>
      <w:r w:rsidRPr="00E2637E">
        <w:rPr>
          <w:rFonts w:ascii="Times New Roman" w:hAnsi="Times New Roman"/>
          <w:sz w:val="24"/>
          <w:szCs w:val="24"/>
        </w:rPr>
        <w:t>information collection entitled</w:t>
      </w:r>
      <w:r w:rsidR="009405F3">
        <w:rPr>
          <w:rFonts w:ascii="Times New Roman" w:hAnsi="Times New Roman"/>
          <w:sz w:val="24"/>
          <w:szCs w:val="24"/>
        </w:rPr>
        <w:t xml:space="preserve"> OMB 2133-0541 (</w:t>
      </w:r>
      <w:r w:rsidRPr="00E2637E" w:rsidR="00D90573">
        <w:rPr>
          <w:rFonts w:ascii="Times New Roman" w:hAnsi="Times New Roman"/>
          <w:sz w:val="24"/>
          <w:szCs w:val="24"/>
        </w:rPr>
        <w:t>United States Marine Highway Program</w:t>
      </w:r>
      <w:r w:rsidR="009405F3">
        <w:rPr>
          <w:rFonts w:ascii="Times New Roman" w:hAnsi="Times New Roman"/>
          <w:sz w:val="24"/>
          <w:szCs w:val="24"/>
        </w:rPr>
        <w:t xml:space="preserve"> (USMHP)</w:t>
      </w:r>
      <w:r w:rsidR="00515B96">
        <w:rPr>
          <w:rFonts w:ascii="Times New Roman" w:hAnsi="Times New Roman"/>
          <w:sz w:val="24"/>
          <w:szCs w:val="24"/>
        </w:rPr>
        <w:t>)</w:t>
      </w:r>
      <w:r w:rsidR="00E437A4">
        <w:rPr>
          <w:rFonts w:ascii="Times New Roman" w:hAnsi="Times New Roman"/>
          <w:sz w:val="24"/>
          <w:szCs w:val="24"/>
        </w:rPr>
        <w:t xml:space="preserve"> </w:t>
      </w:r>
      <w:bookmarkStart w:id="0" w:name="_Hlk190175743"/>
      <w:r w:rsidRPr="00E437A4" w:rsidR="00E437A4">
        <w:rPr>
          <w:rFonts w:ascii="Times New Roman" w:hAnsi="Times New Roman"/>
          <w:sz w:val="24"/>
          <w:szCs w:val="24"/>
        </w:rPr>
        <w:t>(also known as America’s Marine Highway Program)</w:t>
      </w:r>
      <w:bookmarkEnd w:id="0"/>
      <w:r w:rsidR="009405F3">
        <w:rPr>
          <w:rFonts w:ascii="Times New Roman" w:hAnsi="Times New Roman"/>
          <w:sz w:val="24"/>
          <w:szCs w:val="24"/>
        </w:rPr>
        <w:t xml:space="preserve">, which was </w:t>
      </w:r>
      <w:r w:rsidR="00D55A77">
        <w:rPr>
          <w:rFonts w:ascii="Times New Roman" w:hAnsi="Times New Roman"/>
          <w:sz w:val="24"/>
          <w:szCs w:val="24"/>
        </w:rPr>
        <w:t xml:space="preserve">initially </w:t>
      </w:r>
      <w:r w:rsidR="009405F3">
        <w:rPr>
          <w:rFonts w:ascii="Times New Roman" w:hAnsi="Times New Roman"/>
          <w:sz w:val="24"/>
          <w:szCs w:val="24"/>
        </w:rPr>
        <w:t xml:space="preserve">discontinued on August 28, 2023, due to the elimination of the project designation </w:t>
      </w:r>
      <w:r w:rsidR="00B33F01">
        <w:rPr>
          <w:rFonts w:ascii="Times New Roman" w:hAnsi="Times New Roman"/>
          <w:sz w:val="24"/>
          <w:szCs w:val="24"/>
        </w:rPr>
        <w:t xml:space="preserve">application </w:t>
      </w:r>
      <w:r w:rsidR="009405F3">
        <w:rPr>
          <w:rFonts w:ascii="Times New Roman" w:hAnsi="Times New Roman"/>
          <w:sz w:val="24"/>
          <w:szCs w:val="24"/>
        </w:rPr>
        <w:t xml:space="preserve">for </w:t>
      </w:r>
      <w:r w:rsidR="00D55A77">
        <w:rPr>
          <w:rFonts w:ascii="Times New Roman" w:hAnsi="Times New Roman"/>
          <w:sz w:val="24"/>
          <w:szCs w:val="24"/>
        </w:rPr>
        <w:t>this program from the</w:t>
      </w:r>
      <w:r w:rsidRPr="00E2637E" w:rsidR="00D77ABD">
        <w:rPr>
          <w:rFonts w:ascii="Times New Roman" w:hAnsi="Times New Roman"/>
          <w:sz w:val="24"/>
          <w:szCs w:val="24"/>
        </w:rPr>
        <w:t xml:space="preserve"> </w:t>
      </w:r>
      <w:r w:rsidRPr="00D55A77" w:rsidR="00D55A77">
        <w:rPr>
          <w:rFonts w:ascii="Times New Roman" w:hAnsi="Times New Roman"/>
          <w:sz w:val="24"/>
          <w:szCs w:val="24"/>
        </w:rPr>
        <w:t>James M. Inhofe National Defense Authorization Act for Fiscal Year 2023 (Pub. L. 117-263, December 23, 2022)</w:t>
      </w:r>
      <w:r w:rsidR="00D55A77">
        <w:rPr>
          <w:rFonts w:ascii="Times New Roman" w:hAnsi="Times New Roman"/>
          <w:sz w:val="24"/>
          <w:szCs w:val="24"/>
        </w:rPr>
        <w:t xml:space="preserve">. However, in order to facilitate the operation of the </w:t>
      </w:r>
      <w:r w:rsidRPr="00E2637E" w:rsidR="00D90573">
        <w:rPr>
          <w:rFonts w:ascii="Times New Roman" w:hAnsi="Times New Roman"/>
          <w:sz w:val="24"/>
          <w:szCs w:val="24"/>
        </w:rPr>
        <w:t>United States Marine Highway Program</w:t>
      </w:r>
      <w:r w:rsidR="00B33F01">
        <w:rPr>
          <w:rFonts w:ascii="Times New Roman" w:hAnsi="Times New Roman"/>
          <w:sz w:val="24"/>
          <w:szCs w:val="24"/>
        </w:rPr>
        <w:t xml:space="preserve"> Grant Program (the Program)</w:t>
      </w:r>
      <w:r w:rsidR="00D55A77">
        <w:rPr>
          <w:rFonts w:ascii="Times New Roman" w:hAnsi="Times New Roman"/>
          <w:sz w:val="24"/>
          <w:szCs w:val="24"/>
        </w:rPr>
        <w:t xml:space="preserve">, which </w:t>
      </w:r>
      <w:r w:rsidRPr="00E2637E" w:rsidR="00AF3923">
        <w:rPr>
          <w:rFonts w:ascii="Times New Roman" w:hAnsi="Times New Roman"/>
          <w:sz w:val="24"/>
          <w:szCs w:val="24"/>
        </w:rPr>
        <w:t>provides fund</w:t>
      </w:r>
      <w:r w:rsidR="00B33F01">
        <w:rPr>
          <w:rFonts w:ascii="Times New Roman" w:hAnsi="Times New Roman"/>
          <w:sz w:val="24"/>
          <w:szCs w:val="24"/>
        </w:rPr>
        <w:t xml:space="preserve">ing </w:t>
      </w:r>
      <w:r w:rsidRPr="00B33F01" w:rsidR="00B33F01">
        <w:rPr>
          <w:rFonts w:ascii="Times New Roman" w:hAnsi="Times New Roman"/>
          <w:sz w:val="24"/>
          <w:szCs w:val="24"/>
        </w:rPr>
        <w:t>to develop, expand, or promote marine highway transportation or shipper use of marine highway transportation on waterways designated as Marine Highway Route</w:t>
      </w:r>
      <w:r w:rsidR="00B33F01">
        <w:rPr>
          <w:rFonts w:ascii="Times New Roman" w:hAnsi="Times New Roman"/>
          <w:sz w:val="24"/>
          <w:szCs w:val="24"/>
        </w:rPr>
        <w:t xml:space="preserve">, </w:t>
      </w:r>
      <w:r w:rsidR="00DC46D9">
        <w:rPr>
          <w:rFonts w:ascii="Times New Roman" w:hAnsi="Times New Roman"/>
          <w:sz w:val="24"/>
          <w:szCs w:val="24"/>
        </w:rPr>
        <w:t>and</w:t>
      </w:r>
      <w:r w:rsidR="00BC4B2E">
        <w:rPr>
          <w:rFonts w:ascii="Times New Roman" w:hAnsi="Times New Roman"/>
          <w:sz w:val="24"/>
          <w:szCs w:val="24"/>
        </w:rPr>
        <w:t xml:space="preserve"> is codified at 46</w:t>
      </w:r>
      <w:r w:rsidR="00B33F01">
        <w:rPr>
          <w:rFonts w:ascii="Times New Roman" w:hAnsi="Times New Roman"/>
          <w:sz w:val="24"/>
          <w:szCs w:val="24"/>
        </w:rPr>
        <w:t xml:space="preserve"> United States Code</w:t>
      </w:r>
      <w:r w:rsidR="00BC4B2E">
        <w:rPr>
          <w:rFonts w:ascii="Times New Roman" w:hAnsi="Times New Roman"/>
          <w:sz w:val="24"/>
          <w:szCs w:val="24"/>
        </w:rPr>
        <w:t xml:space="preserve"> </w:t>
      </w:r>
      <w:r w:rsidR="00B33F01">
        <w:rPr>
          <w:rFonts w:ascii="Times New Roman" w:hAnsi="Times New Roman"/>
          <w:sz w:val="24"/>
          <w:szCs w:val="24"/>
        </w:rPr>
        <w:t>(</w:t>
      </w:r>
      <w:r w:rsidR="00BC4B2E">
        <w:rPr>
          <w:rFonts w:ascii="Times New Roman" w:hAnsi="Times New Roman"/>
          <w:sz w:val="24"/>
          <w:szCs w:val="24"/>
        </w:rPr>
        <w:t>U.S.C.</w:t>
      </w:r>
      <w:r w:rsidR="00B33F01">
        <w:rPr>
          <w:rFonts w:ascii="Times New Roman" w:hAnsi="Times New Roman"/>
          <w:sz w:val="24"/>
          <w:szCs w:val="24"/>
        </w:rPr>
        <w:t>)</w:t>
      </w:r>
      <w:r w:rsidR="00BC4B2E">
        <w:rPr>
          <w:rFonts w:ascii="Times New Roman" w:hAnsi="Times New Roman"/>
          <w:sz w:val="24"/>
          <w:szCs w:val="24"/>
        </w:rPr>
        <w:t xml:space="preserve"> 55601</w:t>
      </w:r>
      <w:r w:rsidR="00B33F01">
        <w:rPr>
          <w:rFonts w:ascii="Times New Roman" w:hAnsi="Times New Roman"/>
          <w:sz w:val="24"/>
          <w:szCs w:val="24"/>
        </w:rPr>
        <w:t xml:space="preserve">, this collection is being submitted as a </w:t>
      </w:r>
      <w:r w:rsidRPr="00436FDF" w:rsidR="00B33F01">
        <w:rPr>
          <w:rFonts w:ascii="Times New Roman" w:hAnsi="Times New Roman"/>
          <w:i/>
          <w:iCs/>
          <w:sz w:val="24"/>
          <w:szCs w:val="24"/>
        </w:rPr>
        <w:t>reinstatement without change of a previously approved collection</w:t>
      </w:r>
      <w:r w:rsidR="00B33F01">
        <w:rPr>
          <w:rFonts w:ascii="Times New Roman" w:hAnsi="Times New Roman"/>
          <w:sz w:val="24"/>
          <w:szCs w:val="24"/>
        </w:rPr>
        <w:t xml:space="preserve">. </w:t>
      </w:r>
      <w:r w:rsidRPr="00E2637E" w:rsidR="00AF3923">
        <w:rPr>
          <w:rFonts w:ascii="Times New Roman" w:hAnsi="Times New Roman"/>
          <w:sz w:val="24"/>
          <w:szCs w:val="24"/>
        </w:rPr>
        <w:t xml:space="preserve">  </w:t>
      </w:r>
    </w:p>
    <w:p w:rsidR="001777C4" w:rsidRPr="00E2637E" w:rsidP="001777C4" w14:paraId="02B222CD" w14:textId="77777777">
      <w:pPr>
        <w:ind w:left="-90"/>
        <w:rPr>
          <w:rFonts w:ascii="Times New Roman" w:hAnsi="Times New Roman"/>
          <w:sz w:val="24"/>
          <w:szCs w:val="24"/>
        </w:rPr>
      </w:pPr>
    </w:p>
    <w:p w:rsidR="008F623D" w:rsidP="004D3476" w14:paraId="07ED55D1" w14:textId="2220D303">
      <w:pPr>
        <w:ind w:left="-90"/>
        <w:rPr>
          <w:rFonts w:ascii="Times New Roman" w:hAnsi="Times New Roman"/>
          <w:sz w:val="24"/>
          <w:szCs w:val="24"/>
        </w:rPr>
      </w:pPr>
      <w:bookmarkStart w:id="1" w:name="_Hlk82427621"/>
      <w:r>
        <w:rPr>
          <w:rFonts w:ascii="Times New Roman" w:hAnsi="Times New Roman"/>
          <w:sz w:val="24"/>
          <w:szCs w:val="24"/>
        </w:rPr>
        <w:t>The Department of Transportation (t</w:t>
      </w:r>
      <w:r w:rsidRPr="00E2637E" w:rsidR="00AF3923">
        <w:rPr>
          <w:rFonts w:ascii="Times New Roman" w:hAnsi="Times New Roman"/>
          <w:sz w:val="24"/>
          <w:szCs w:val="24"/>
        </w:rPr>
        <w:t>he Department</w:t>
      </w:r>
      <w:r>
        <w:rPr>
          <w:rFonts w:ascii="Times New Roman" w:hAnsi="Times New Roman"/>
          <w:sz w:val="24"/>
          <w:szCs w:val="24"/>
        </w:rPr>
        <w:t>)</w:t>
      </w:r>
      <w:r w:rsidRPr="00E2637E" w:rsidR="00AF3923">
        <w:rPr>
          <w:rFonts w:ascii="Times New Roman" w:hAnsi="Times New Roman"/>
          <w:sz w:val="24"/>
          <w:szCs w:val="24"/>
        </w:rPr>
        <w:t xml:space="preserve"> may provide financial assistance, including grants, to </w:t>
      </w:r>
      <w:bookmarkStart w:id="2" w:name="_Hlk169097623"/>
      <w:r w:rsidRPr="00E2637E" w:rsidR="001777C4">
        <w:rPr>
          <w:rFonts w:ascii="Times New Roman" w:hAnsi="Times New Roman"/>
          <w:sz w:val="24"/>
          <w:szCs w:val="24"/>
        </w:rPr>
        <w:t>states, political subdivision</w:t>
      </w:r>
      <w:r w:rsidR="00BC4B2E">
        <w:rPr>
          <w:rFonts w:ascii="Times New Roman" w:hAnsi="Times New Roman"/>
          <w:sz w:val="24"/>
          <w:szCs w:val="24"/>
        </w:rPr>
        <w:t>s</w:t>
      </w:r>
      <w:r w:rsidRPr="00E2637E" w:rsidR="001777C4">
        <w:rPr>
          <w:rFonts w:ascii="Times New Roman" w:hAnsi="Times New Roman"/>
          <w:sz w:val="24"/>
          <w:szCs w:val="24"/>
        </w:rPr>
        <w:t xml:space="preserve"> of a State or a local government, metropolitan planning organizations, port authorities,</w:t>
      </w:r>
      <w:r w:rsidR="004D3476">
        <w:rPr>
          <w:rFonts w:ascii="Times New Roman" w:hAnsi="Times New Roman"/>
          <w:sz w:val="24"/>
          <w:szCs w:val="24"/>
        </w:rPr>
        <w:t xml:space="preserve"> or</w:t>
      </w:r>
      <w:r w:rsidRPr="00E2637E" w:rsidR="001777C4">
        <w:rPr>
          <w:rFonts w:ascii="Times New Roman" w:hAnsi="Times New Roman"/>
          <w:sz w:val="24"/>
          <w:szCs w:val="24"/>
        </w:rPr>
        <w:t xml:space="preserve"> Tribal government</w:t>
      </w:r>
      <w:r w:rsidR="00BC4B2E">
        <w:rPr>
          <w:rFonts w:ascii="Times New Roman" w:hAnsi="Times New Roman"/>
          <w:sz w:val="24"/>
          <w:szCs w:val="24"/>
        </w:rPr>
        <w:t>s</w:t>
      </w:r>
      <w:r w:rsidR="004D3476">
        <w:rPr>
          <w:rFonts w:ascii="Times New Roman" w:hAnsi="Times New Roman"/>
          <w:sz w:val="24"/>
          <w:szCs w:val="24"/>
        </w:rPr>
        <w:t>. Assistance may also be provided to</w:t>
      </w:r>
      <w:r w:rsidRPr="00E2637E" w:rsidR="001777C4">
        <w:rPr>
          <w:rFonts w:ascii="Times New Roman" w:hAnsi="Times New Roman"/>
          <w:sz w:val="24"/>
          <w:szCs w:val="24"/>
        </w:rPr>
        <w:t xml:space="preserve"> private sector operator</w:t>
      </w:r>
      <w:r w:rsidR="00BC4B2E">
        <w:rPr>
          <w:rFonts w:ascii="Times New Roman" w:hAnsi="Times New Roman"/>
          <w:sz w:val="24"/>
          <w:szCs w:val="24"/>
        </w:rPr>
        <w:t>s</w:t>
      </w:r>
      <w:r w:rsidRPr="00E2637E" w:rsidR="001777C4">
        <w:rPr>
          <w:rFonts w:ascii="Times New Roman" w:hAnsi="Times New Roman"/>
          <w:sz w:val="24"/>
          <w:szCs w:val="24"/>
        </w:rPr>
        <w:t xml:space="preserve"> of marine highway services or private sector owners of facilities, including an Alaska Native Corporation, with an endorsement letter from the current Marine Highway Route Sponsor.</w:t>
      </w:r>
      <w:bookmarkEnd w:id="2"/>
      <w:r w:rsidRPr="00E2637E" w:rsidR="001777C4">
        <w:rPr>
          <w:rFonts w:ascii="Times New Roman" w:hAnsi="Times New Roman"/>
          <w:sz w:val="24"/>
          <w:szCs w:val="24"/>
        </w:rPr>
        <w:t xml:space="preserve">  </w:t>
      </w:r>
      <w:bookmarkEnd w:id="1"/>
      <w:r w:rsidRPr="00E2637E" w:rsidR="00AF3923">
        <w:rPr>
          <w:rFonts w:ascii="Times New Roman" w:hAnsi="Times New Roman"/>
          <w:sz w:val="24"/>
          <w:szCs w:val="24"/>
        </w:rPr>
        <w:t>The Program</w:t>
      </w:r>
      <w:r w:rsidR="00BC4B2E">
        <w:rPr>
          <w:rFonts w:ascii="Times New Roman" w:hAnsi="Times New Roman"/>
          <w:sz w:val="24"/>
          <w:szCs w:val="24"/>
        </w:rPr>
        <w:t>’s</w:t>
      </w:r>
      <w:r w:rsidRPr="00E2637E" w:rsidR="00AF3923">
        <w:rPr>
          <w:rFonts w:ascii="Times New Roman" w:hAnsi="Times New Roman"/>
          <w:sz w:val="24"/>
          <w:szCs w:val="24"/>
        </w:rPr>
        <w:t xml:space="preserve"> </w:t>
      </w:r>
      <w:r w:rsidR="00BC4B2E">
        <w:rPr>
          <w:rFonts w:ascii="Times New Roman" w:hAnsi="Times New Roman"/>
          <w:sz w:val="24"/>
          <w:szCs w:val="24"/>
        </w:rPr>
        <w:t xml:space="preserve">statute requires the Secretary to publish a </w:t>
      </w:r>
      <w:r w:rsidRPr="00E2637E" w:rsidR="00AF3923">
        <w:rPr>
          <w:rFonts w:ascii="Times New Roman" w:hAnsi="Times New Roman"/>
          <w:sz w:val="24"/>
          <w:szCs w:val="24"/>
        </w:rPr>
        <w:t xml:space="preserve">Notice of Funding Opportunity (NOFO) </w:t>
      </w:r>
      <w:r w:rsidR="00BC4B2E">
        <w:rPr>
          <w:rFonts w:ascii="Times New Roman" w:hAnsi="Times New Roman"/>
          <w:sz w:val="24"/>
          <w:szCs w:val="24"/>
        </w:rPr>
        <w:t xml:space="preserve">not more than 60 days after the enactment of the appropriations act. </w:t>
      </w:r>
      <w:r w:rsidR="00C32624">
        <w:rPr>
          <w:rFonts w:ascii="Times New Roman" w:hAnsi="Times New Roman"/>
          <w:sz w:val="24"/>
          <w:szCs w:val="24"/>
        </w:rPr>
        <w:t xml:space="preserve"> </w:t>
      </w:r>
      <w:r w:rsidRPr="00E2637E" w:rsidR="00E2308B">
        <w:rPr>
          <w:rFonts w:ascii="Times New Roman" w:hAnsi="Times New Roman"/>
          <w:sz w:val="24"/>
          <w:szCs w:val="24"/>
        </w:rPr>
        <w:t xml:space="preserve">The information to be collected </w:t>
      </w:r>
      <w:r>
        <w:rPr>
          <w:rFonts w:ascii="Times New Roman" w:hAnsi="Times New Roman"/>
          <w:sz w:val="24"/>
          <w:szCs w:val="24"/>
        </w:rPr>
        <w:t xml:space="preserve">for </w:t>
      </w:r>
      <w:r w:rsidR="00BC4B2E">
        <w:rPr>
          <w:rFonts w:ascii="Times New Roman" w:hAnsi="Times New Roman"/>
          <w:sz w:val="24"/>
          <w:szCs w:val="24"/>
        </w:rPr>
        <w:t xml:space="preserve">the NOFO </w:t>
      </w:r>
      <w:r w:rsidRPr="00E2637E" w:rsidR="00E2308B">
        <w:rPr>
          <w:rFonts w:ascii="Times New Roman" w:hAnsi="Times New Roman"/>
          <w:sz w:val="24"/>
          <w:szCs w:val="24"/>
        </w:rPr>
        <w:t xml:space="preserve">are applications for grants to be used </w:t>
      </w:r>
      <w:r w:rsidR="00D32F7B">
        <w:rPr>
          <w:rFonts w:ascii="Times New Roman" w:hAnsi="Times New Roman"/>
          <w:sz w:val="24"/>
          <w:szCs w:val="24"/>
        </w:rPr>
        <w:t>f</w:t>
      </w:r>
      <w:r w:rsidRPr="00E2637E" w:rsidR="00D32F7B">
        <w:rPr>
          <w:rFonts w:ascii="Times New Roman" w:hAnsi="Times New Roman"/>
          <w:sz w:val="24"/>
          <w:szCs w:val="24"/>
        </w:rPr>
        <w:t>o</w:t>
      </w:r>
      <w:r w:rsidR="00D32F7B">
        <w:rPr>
          <w:rFonts w:ascii="Times New Roman" w:hAnsi="Times New Roman"/>
          <w:sz w:val="24"/>
          <w:szCs w:val="24"/>
        </w:rPr>
        <w:t>r</w:t>
      </w:r>
      <w:r w:rsidRPr="00E2637E" w:rsidR="00D32F7B">
        <w:rPr>
          <w:rFonts w:ascii="Times New Roman" w:hAnsi="Times New Roman"/>
          <w:sz w:val="24"/>
          <w:szCs w:val="24"/>
        </w:rPr>
        <w:t xml:space="preserve"> </w:t>
      </w:r>
      <w:r w:rsidRPr="00D32F7B" w:rsidR="00D32F7B">
        <w:rPr>
          <w:rFonts w:ascii="Times New Roman" w:hAnsi="Times New Roman"/>
          <w:sz w:val="24"/>
          <w:szCs w:val="24"/>
        </w:rPr>
        <w:t>Projects or components of Projects that</w:t>
      </w:r>
      <w:r w:rsidR="004D3476">
        <w:rPr>
          <w:rFonts w:ascii="Times New Roman" w:hAnsi="Times New Roman"/>
          <w:sz w:val="24"/>
          <w:szCs w:val="24"/>
        </w:rPr>
        <w:t>:</w:t>
      </w:r>
      <w:r w:rsidRPr="00D32F7B" w:rsidR="00D32F7B">
        <w:rPr>
          <w:rFonts w:ascii="Times New Roman" w:hAnsi="Times New Roman"/>
          <w:sz w:val="24"/>
          <w:szCs w:val="24"/>
        </w:rPr>
        <w:t xml:space="preserve"> 1) provide a coordinated and capable alternative to landside transportation; mitigate or relieve landside congestion; promote marine highway transportation; or use vessels documented under </w:t>
      </w:r>
      <w:r w:rsidR="00D32F7B">
        <w:rPr>
          <w:rFonts w:ascii="Times New Roman" w:hAnsi="Times New Roman"/>
          <w:sz w:val="24"/>
          <w:szCs w:val="24"/>
        </w:rPr>
        <w:t xml:space="preserve">46 U.S.C. </w:t>
      </w:r>
      <w:r w:rsidRPr="00D32F7B" w:rsidR="00D32F7B">
        <w:rPr>
          <w:rFonts w:ascii="Times New Roman" w:hAnsi="Times New Roman"/>
          <w:sz w:val="24"/>
          <w:szCs w:val="24"/>
        </w:rPr>
        <w:t xml:space="preserve">Chapter 121; and 2) develop, expand, or promote Marine Highway Transportation or shipper use of Marine Highway Transportation.  </w:t>
      </w:r>
      <w:bookmarkStart w:id="3" w:name="_Hlk82427981"/>
    </w:p>
    <w:p w:rsidR="008F623D" w:rsidP="001777C4" w14:paraId="2A87266B" w14:textId="77777777">
      <w:pPr>
        <w:ind w:left="-90"/>
        <w:rPr>
          <w:rFonts w:ascii="Times New Roman" w:hAnsi="Times New Roman"/>
          <w:sz w:val="24"/>
          <w:szCs w:val="24"/>
        </w:rPr>
      </w:pPr>
    </w:p>
    <w:p w:rsidR="00AF3923" w:rsidP="001777C4" w14:paraId="2D28F689" w14:textId="48C0D82C">
      <w:pPr>
        <w:ind w:left="-90"/>
        <w:rPr>
          <w:rFonts w:ascii="Times New Roman" w:hAnsi="Times New Roman" w:eastAsiaTheme="minorHAnsi"/>
          <w:sz w:val="24"/>
          <w:szCs w:val="24"/>
        </w:rPr>
      </w:pPr>
      <w:r w:rsidRPr="00E2637E">
        <w:rPr>
          <w:rFonts w:ascii="Times New Roman" w:hAnsi="Times New Roman" w:eastAsiaTheme="minorHAnsi"/>
          <w:sz w:val="24"/>
          <w:szCs w:val="24"/>
        </w:rPr>
        <w:t xml:space="preserve">Each applicant is required to provide </w:t>
      </w:r>
      <w:r w:rsidRPr="00E2637E" w:rsidR="00892E09">
        <w:rPr>
          <w:rFonts w:ascii="Times New Roman" w:hAnsi="Times New Roman" w:eastAsiaTheme="minorHAnsi"/>
          <w:sz w:val="24"/>
          <w:szCs w:val="24"/>
        </w:rPr>
        <w:t>a</w:t>
      </w:r>
      <w:r w:rsidR="001909C5">
        <w:rPr>
          <w:rFonts w:ascii="Times New Roman" w:hAnsi="Times New Roman" w:eastAsiaTheme="minorHAnsi"/>
          <w:sz w:val="24"/>
          <w:szCs w:val="24"/>
        </w:rPr>
        <w:t xml:space="preserve"> Standard Form (</w:t>
      </w:r>
      <w:r w:rsidRPr="00E2637E" w:rsidR="00892E09">
        <w:rPr>
          <w:rFonts w:ascii="Times New Roman" w:hAnsi="Times New Roman" w:eastAsiaTheme="minorHAnsi"/>
          <w:sz w:val="24"/>
          <w:szCs w:val="24"/>
        </w:rPr>
        <w:t>SF</w:t>
      </w:r>
      <w:r w:rsidR="001909C5">
        <w:rPr>
          <w:rFonts w:ascii="Times New Roman" w:hAnsi="Times New Roman" w:eastAsiaTheme="minorHAnsi"/>
          <w:sz w:val="24"/>
          <w:szCs w:val="24"/>
        </w:rPr>
        <w:t>)</w:t>
      </w:r>
      <w:r w:rsidRPr="00E2637E" w:rsidR="00892E09">
        <w:rPr>
          <w:rFonts w:ascii="Times New Roman" w:hAnsi="Times New Roman" w:eastAsiaTheme="minorHAnsi"/>
          <w:sz w:val="24"/>
          <w:szCs w:val="24"/>
        </w:rPr>
        <w:t xml:space="preserve"> 424 form along with </w:t>
      </w:r>
      <w:r w:rsidRPr="00E2637E">
        <w:rPr>
          <w:rFonts w:ascii="Times New Roman" w:hAnsi="Times New Roman" w:eastAsiaTheme="minorHAnsi"/>
          <w:sz w:val="24"/>
          <w:szCs w:val="24"/>
        </w:rPr>
        <w:t xml:space="preserve">a project narrative to address the program requirements and assist in evaluating relevant information. </w:t>
      </w:r>
      <w:r w:rsidR="00C32624">
        <w:rPr>
          <w:rFonts w:ascii="Times New Roman" w:hAnsi="Times New Roman" w:eastAsiaTheme="minorHAnsi"/>
          <w:sz w:val="24"/>
          <w:szCs w:val="24"/>
        </w:rPr>
        <w:t xml:space="preserve"> </w:t>
      </w:r>
      <w:r w:rsidRPr="00E2637E">
        <w:rPr>
          <w:rFonts w:ascii="Times New Roman" w:hAnsi="Times New Roman" w:eastAsiaTheme="minorHAnsi"/>
          <w:sz w:val="24"/>
          <w:szCs w:val="24"/>
        </w:rPr>
        <w:t xml:space="preserve">The project narrative should include the information necessary for the Department to determine </w:t>
      </w:r>
      <w:r w:rsidR="004D3476">
        <w:rPr>
          <w:rFonts w:ascii="Times New Roman" w:hAnsi="Times New Roman" w:eastAsiaTheme="minorHAnsi"/>
          <w:sz w:val="24"/>
          <w:szCs w:val="24"/>
        </w:rPr>
        <w:t>if it</w:t>
      </w:r>
      <w:r w:rsidRPr="00E2637E">
        <w:rPr>
          <w:rFonts w:ascii="Times New Roman" w:hAnsi="Times New Roman" w:eastAsiaTheme="minorHAnsi"/>
          <w:sz w:val="24"/>
          <w:szCs w:val="24"/>
        </w:rPr>
        <w:t xml:space="preserve"> satisfies </w:t>
      </w:r>
      <w:r w:rsidR="004D3476">
        <w:rPr>
          <w:rFonts w:ascii="Times New Roman" w:hAnsi="Times New Roman" w:eastAsiaTheme="minorHAnsi"/>
          <w:sz w:val="24"/>
          <w:szCs w:val="24"/>
        </w:rPr>
        <w:t xml:space="preserve">program </w:t>
      </w:r>
      <w:r w:rsidRPr="00E2637E">
        <w:rPr>
          <w:rFonts w:ascii="Times New Roman" w:hAnsi="Times New Roman" w:eastAsiaTheme="minorHAnsi"/>
          <w:sz w:val="24"/>
          <w:szCs w:val="24"/>
        </w:rPr>
        <w:t xml:space="preserve">requirements and to assess the selection criteria.  To the extent practicable, applicants should provide supporting data and documentation.  Responding to the proposed new collection is required to obtain and/or retain benefits. </w:t>
      </w:r>
      <w:bookmarkEnd w:id="3"/>
      <w:r w:rsidRPr="00E2637E">
        <w:rPr>
          <w:rFonts w:ascii="Times New Roman" w:hAnsi="Times New Roman" w:eastAsiaTheme="minorHAnsi"/>
          <w:sz w:val="24"/>
          <w:szCs w:val="24"/>
        </w:rPr>
        <w:t xml:space="preserve"> </w:t>
      </w:r>
    </w:p>
    <w:p w:rsidR="001822E0" w:rsidP="001777C4" w14:paraId="5BC8EA7C" w14:textId="45D87169">
      <w:pPr>
        <w:ind w:left="-90"/>
        <w:rPr>
          <w:rFonts w:ascii="Times New Roman" w:hAnsi="Times New Roman" w:eastAsiaTheme="minorHAnsi"/>
          <w:sz w:val="24"/>
          <w:szCs w:val="24"/>
        </w:rPr>
      </w:pPr>
    </w:p>
    <w:p w:rsidR="001822E0" w:rsidRPr="00E2637E" w:rsidP="001777C4" w14:paraId="1B83A53C" w14:textId="1D7EB373">
      <w:pPr>
        <w:ind w:left="-90"/>
        <w:rPr>
          <w:rFonts w:ascii="Times New Roman" w:hAnsi="Times New Roman" w:eastAsiaTheme="minorHAnsi"/>
          <w:sz w:val="24"/>
          <w:szCs w:val="24"/>
        </w:rPr>
      </w:pPr>
      <w:r w:rsidRPr="00CB6F99">
        <w:rPr>
          <w:rFonts w:ascii="Times New Roman" w:hAnsi="Times New Roman" w:eastAsiaTheme="minorHAnsi"/>
          <w:sz w:val="24"/>
          <w:szCs w:val="24"/>
        </w:rPr>
        <w:t xml:space="preserve">If </w:t>
      </w:r>
      <w:r w:rsidRPr="00CB6F99" w:rsidR="008F623D">
        <w:rPr>
          <w:rFonts w:ascii="Times New Roman" w:hAnsi="Times New Roman" w:eastAsiaTheme="minorHAnsi"/>
          <w:sz w:val="24"/>
          <w:szCs w:val="24"/>
        </w:rPr>
        <w:t xml:space="preserve">an applicant is </w:t>
      </w:r>
      <w:r w:rsidRPr="00CB6F99">
        <w:rPr>
          <w:rFonts w:ascii="Times New Roman" w:hAnsi="Times New Roman" w:eastAsiaTheme="minorHAnsi"/>
          <w:sz w:val="24"/>
          <w:szCs w:val="24"/>
        </w:rPr>
        <w:t xml:space="preserve">selected for a grant award, the applicant will be required to </w:t>
      </w:r>
      <w:r w:rsidRPr="00CB6F99">
        <w:rPr>
          <w:rFonts w:ascii="Times New Roman" w:hAnsi="Times New Roman" w:eastAsiaTheme="minorHAnsi"/>
          <w:sz w:val="24"/>
          <w:szCs w:val="24"/>
        </w:rPr>
        <w:t>complete a grant agreemen</w:t>
      </w:r>
      <w:r w:rsidRPr="00CB6F99">
        <w:rPr>
          <w:rFonts w:ascii="Times New Roman" w:hAnsi="Times New Roman" w:eastAsiaTheme="minorHAnsi"/>
          <w:sz w:val="24"/>
          <w:szCs w:val="24"/>
        </w:rPr>
        <w:t>t</w:t>
      </w:r>
      <w:r w:rsidRPr="00CB6F99" w:rsidR="004C21E8">
        <w:rPr>
          <w:rFonts w:ascii="Times New Roman" w:hAnsi="Times New Roman" w:eastAsiaTheme="minorHAnsi"/>
          <w:sz w:val="24"/>
          <w:szCs w:val="24"/>
        </w:rPr>
        <w:t xml:space="preserve"> </w:t>
      </w:r>
      <w:r w:rsidRPr="00CB6F99" w:rsidR="008F623D">
        <w:rPr>
          <w:rFonts w:ascii="Times New Roman" w:hAnsi="Times New Roman" w:eastAsiaTheme="minorHAnsi"/>
          <w:sz w:val="24"/>
          <w:szCs w:val="24"/>
        </w:rPr>
        <w:t xml:space="preserve">with the Maritime Administration (MARAD) </w:t>
      </w:r>
      <w:r w:rsidRPr="00CB6F99" w:rsidR="004C21E8">
        <w:rPr>
          <w:rFonts w:ascii="Times New Roman" w:hAnsi="Times New Roman" w:eastAsiaTheme="minorHAnsi"/>
          <w:sz w:val="24"/>
          <w:szCs w:val="24"/>
        </w:rPr>
        <w:t xml:space="preserve">and </w:t>
      </w:r>
      <w:r w:rsidRPr="00CB6F99" w:rsidR="00443885">
        <w:rPr>
          <w:rFonts w:ascii="Times New Roman" w:hAnsi="Times New Roman" w:eastAsiaTheme="minorHAnsi"/>
          <w:sz w:val="24"/>
          <w:szCs w:val="24"/>
        </w:rPr>
        <w:t xml:space="preserve">provide </w:t>
      </w:r>
      <w:r w:rsidRPr="00CB6F99">
        <w:rPr>
          <w:rFonts w:ascii="Times New Roman" w:hAnsi="Times New Roman" w:eastAsiaTheme="minorHAnsi"/>
          <w:sz w:val="24"/>
          <w:szCs w:val="24"/>
        </w:rPr>
        <w:t xml:space="preserve">quarterly </w:t>
      </w:r>
      <w:r w:rsidRPr="00CB6F99" w:rsidR="003C1CE0">
        <w:rPr>
          <w:rFonts w:ascii="Times New Roman" w:hAnsi="Times New Roman" w:eastAsiaTheme="minorHAnsi"/>
          <w:sz w:val="24"/>
          <w:szCs w:val="24"/>
        </w:rPr>
        <w:t xml:space="preserve">reports </w:t>
      </w:r>
      <w:r w:rsidRPr="00CB6F99" w:rsidR="00443885">
        <w:rPr>
          <w:rFonts w:ascii="Times New Roman" w:hAnsi="Times New Roman" w:eastAsiaTheme="minorHAnsi"/>
          <w:sz w:val="24"/>
          <w:szCs w:val="24"/>
        </w:rPr>
        <w:t>on the progress of the grant</w:t>
      </w:r>
      <w:r w:rsidRPr="00CB6F99" w:rsidR="003C1CE0">
        <w:rPr>
          <w:rFonts w:ascii="Times New Roman" w:hAnsi="Times New Roman" w:eastAsiaTheme="minorHAnsi"/>
          <w:sz w:val="24"/>
          <w:szCs w:val="24"/>
        </w:rPr>
        <w:t xml:space="preserve"> until the </w:t>
      </w:r>
      <w:r w:rsidRPr="00CB6F99" w:rsidR="00627D25">
        <w:rPr>
          <w:rFonts w:ascii="Times New Roman" w:hAnsi="Times New Roman" w:eastAsiaTheme="minorHAnsi"/>
          <w:sz w:val="24"/>
          <w:szCs w:val="24"/>
        </w:rPr>
        <w:t>project</w:t>
      </w:r>
      <w:r w:rsidRPr="00CB6F99" w:rsidR="003C1CE0">
        <w:rPr>
          <w:rFonts w:ascii="Times New Roman" w:hAnsi="Times New Roman" w:eastAsiaTheme="minorHAnsi"/>
          <w:sz w:val="24"/>
          <w:szCs w:val="24"/>
        </w:rPr>
        <w:t xml:space="preserve"> is completed.  The grant recipient will t</w:t>
      </w:r>
      <w:r w:rsidRPr="00CB6F99" w:rsidR="00443885">
        <w:rPr>
          <w:rFonts w:ascii="Times New Roman" w:hAnsi="Times New Roman" w:eastAsiaTheme="minorHAnsi"/>
          <w:sz w:val="24"/>
          <w:szCs w:val="24"/>
        </w:rPr>
        <w:t xml:space="preserve">hen </w:t>
      </w:r>
      <w:r w:rsidRPr="00CB6F99" w:rsidR="003C1CE0">
        <w:rPr>
          <w:rFonts w:ascii="Times New Roman" w:hAnsi="Times New Roman" w:eastAsiaTheme="minorHAnsi"/>
          <w:sz w:val="24"/>
          <w:szCs w:val="24"/>
        </w:rPr>
        <w:t xml:space="preserve">be required to report </w:t>
      </w:r>
      <w:r w:rsidRPr="00CB6F99">
        <w:rPr>
          <w:rFonts w:ascii="Times New Roman" w:hAnsi="Times New Roman" w:eastAsiaTheme="minorHAnsi"/>
          <w:sz w:val="24"/>
          <w:szCs w:val="24"/>
        </w:rPr>
        <w:t>on</w:t>
      </w:r>
      <w:r w:rsidRPr="00CB6F99" w:rsidR="00443885">
        <w:rPr>
          <w:rFonts w:ascii="Times New Roman" w:hAnsi="Times New Roman" w:eastAsiaTheme="minorHAnsi"/>
          <w:sz w:val="24"/>
          <w:szCs w:val="24"/>
        </w:rPr>
        <w:t xml:space="preserve"> </w:t>
      </w:r>
      <w:r w:rsidRPr="00CB6F99">
        <w:rPr>
          <w:rFonts w:ascii="Times New Roman" w:hAnsi="Times New Roman" w:eastAsiaTheme="minorHAnsi"/>
          <w:sz w:val="24"/>
          <w:szCs w:val="24"/>
        </w:rPr>
        <w:t>specific performance measures</w:t>
      </w:r>
      <w:r w:rsidRPr="00CB6F99" w:rsidR="003C1CE0">
        <w:rPr>
          <w:rFonts w:ascii="Times New Roman" w:hAnsi="Times New Roman" w:eastAsiaTheme="minorHAnsi"/>
          <w:sz w:val="24"/>
          <w:szCs w:val="24"/>
        </w:rPr>
        <w:t xml:space="preserve"> </w:t>
      </w:r>
      <w:r w:rsidRPr="00CB6F99" w:rsidR="00627D25">
        <w:rPr>
          <w:rFonts w:ascii="Times New Roman" w:hAnsi="Times New Roman" w:eastAsiaTheme="minorHAnsi"/>
          <w:sz w:val="24"/>
          <w:szCs w:val="24"/>
        </w:rPr>
        <w:t xml:space="preserve">after the project is </w:t>
      </w:r>
      <w:r w:rsidRPr="00CB6F99" w:rsidR="003C1CE0">
        <w:rPr>
          <w:rFonts w:ascii="Times New Roman" w:hAnsi="Times New Roman" w:eastAsiaTheme="minorHAnsi"/>
          <w:sz w:val="24"/>
          <w:szCs w:val="24"/>
        </w:rPr>
        <w:t>substantially complete for a period of three years</w:t>
      </w:r>
      <w:r w:rsidRPr="00CB6F99">
        <w:rPr>
          <w:rFonts w:ascii="Times New Roman" w:hAnsi="Times New Roman" w:eastAsiaTheme="minorHAnsi"/>
          <w:sz w:val="24"/>
          <w:szCs w:val="24"/>
        </w:rPr>
        <w:t>. These reports are required to be submitted</w:t>
      </w:r>
      <w:r w:rsidRPr="00CB6F99" w:rsidR="00443885">
        <w:rPr>
          <w:rFonts w:ascii="Times New Roman" w:hAnsi="Times New Roman" w:eastAsiaTheme="minorHAnsi"/>
          <w:sz w:val="24"/>
          <w:szCs w:val="24"/>
        </w:rPr>
        <w:t xml:space="preserve"> </w:t>
      </w:r>
      <w:r w:rsidRPr="00CB6F99" w:rsidR="004C21E8">
        <w:rPr>
          <w:rFonts w:ascii="Times New Roman" w:hAnsi="Times New Roman" w:eastAsiaTheme="minorHAnsi"/>
          <w:sz w:val="24"/>
          <w:szCs w:val="24"/>
        </w:rPr>
        <w:t xml:space="preserve">to the Program Office electronically </w:t>
      </w:r>
      <w:r w:rsidRPr="00CB6F99" w:rsidR="00443885">
        <w:rPr>
          <w:rFonts w:ascii="Times New Roman" w:hAnsi="Times New Roman" w:eastAsiaTheme="minorHAnsi"/>
          <w:sz w:val="24"/>
          <w:szCs w:val="24"/>
        </w:rPr>
        <w:t>at</w:t>
      </w:r>
      <w:r w:rsidRPr="00CB6F99">
        <w:rPr>
          <w:rFonts w:ascii="Times New Roman" w:hAnsi="Times New Roman" w:eastAsiaTheme="minorHAnsi"/>
          <w:sz w:val="24"/>
          <w:szCs w:val="24"/>
        </w:rPr>
        <w:t xml:space="preserve"> the end of each quarterly period</w:t>
      </w:r>
      <w:r w:rsidRPr="00CB6F99" w:rsidR="003C1CE0">
        <w:rPr>
          <w:rFonts w:ascii="Times New Roman" w:hAnsi="Times New Roman" w:eastAsiaTheme="minorHAnsi"/>
          <w:sz w:val="24"/>
          <w:szCs w:val="24"/>
        </w:rPr>
        <w:t>.</w:t>
      </w:r>
    </w:p>
    <w:p w:rsidR="00AF3923" w:rsidRPr="00E2637E" w:rsidP="00AF3923" w14:paraId="1786A3D0" w14:textId="77777777">
      <w:pPr>
        <w:widowControl/>
        <w:autoSpaceDE/>
        <w:autoSpaceDN/>
        <w:adjustRightInd/>
        <w:rPr>
          <w:rFonts w:ascii="Times New Roman" w:hAnsi="Times New Roman"/>
          <w:sz w:val="24"/>
          <w:szCs w:val="24"/>
        </w:rPr>
      </w:pPr>
    </w:p>
    <w:p w:rsidR="0004749E" w:rsidRPr="00436FDF" w:rsidP="00436FDF" w14:paraId="722AAFBF" w14:textId="34099770">
      <w:pPr>
        <w:pStyle w:val="ListParagraph"/>
        <w:numPr>
          <w:ilvl w:val="0"/>
          <w:numId w:val="46"/>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hanging="450"/>
        <w:rPr>
          <w:b/>
          <w:bCs/>
        </w:rPr>
      </w:pPr>
      <w:r w:rsidRPr="00436FDF">
        <w:rPr>
          <w:b/>
          <w:bCs/>
        </w:rPr>
        <w:t>JUSTIFICATION</w:t>
      </w:r>
    </w:p>
    <w:p w:rsidR="0004749E" w:rsidRPr="00E2637E" w:rsidP="00F746AE" w14:paraId="6AA523E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rPr>
      </w:pPr>
    </w:p>
    <w:p w:rsidR="0004749E" w:rsidRPr="00C32624" w:rsidP="00436FDF" w14:paraId="5C5F35F3" w14:textId="68EBCA64">
      <w:pPr>
        <w:pStyle w:val="ListParagraph"/>
        <w:numPr>
          <w:ilvl w:val="0"/>
          <w:numId w:val="47"/>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rPr>
      </w:pPr>
      <w:r w:rsidRPr="00436FDF">
        <w:rPr>
          <w:b/>
        </w:rPr>
        <w:t xml:space="preserve">Circumstances </w:t>
      </w:r>
      <w:r w:rsidRPr="00436FDF" w:rsidR="00C32624">
        <w:rPr>
          <w:b/>
        </w:rPr>
        <w:t>M</w:t>
      </w:r>
      <w:r w:rsidRPr="00436FDF">
        <w:rPr>
          <w:b/>
        </w:rPr>
        <w:t>ak</w:t>
      </w:r>
      <w:r w:rsidRPr="00436FDF" w:rsidR="00C32624">
        <w:rPr>
          <w:b/>
        </w:rPr>
        <w:t>ing the</w:t>
      </w:r>
      <w:r w:rsidRPr="00436FDF">
        <w:rPr>
          <w:b/>
        </w:rPr>
        <w:t xml:space="preserve"> </w:t>
      </w:r>
      <w:r w:rsidRPr="00436FDF" w:rsidR="00C32624">
        <w:rPr>
          <w:b/>
        </w:rPr>
        <w:t xml:space="preserve">Collection </w:t>
      </w:r>
      <w:r w:rsidRPr="00436FDF" w:rsidR="003E19F0">
        <w:rPr>
          <w:b/>
        </w:rPr>
        <w:t>of Information</w:t>
      </w:r>
      <w:r w:rsidRPr="00436FDF" w:rsidR="00C32624">
        <w:rPr>
          <w:b/>
        </w:rPr>
        <w:t xml:space="preserve"> Necessary</w:t>
      </w:r>
      <w:r w:rsidRPr="00C32624" w:rsidR="00470720">
        <w:rPr>
          <w:b/>
        </w:rPr>
        <w:t xml:space="preserve">  </w:t>
      </w:r>
    </w:p>
    <w:p w:rsidR="005607FC" w:rsidRPr="00E2637E" w:rsidP="00436FDF" w14:paraId="43A564CE" w14:textId="3BE0C960">
      <w:pPr>
        <w:ind w:left="288"/>
        <w:rPr>
          <w:rFonts w:ascii="Times New Roman" w:hAnsi="Times New Roman"/>
          <w:sz w:val="24"/>
          <w:szCs w:val="24"/>
        </w:rPr>
      </w:pPr>
      <w:r w:rsidRPr="00E2637E">
        <w:rPr>
          <w:rFonts w:ascii="Times New Roman" w:hAnsi="Times New Roman"/>
          <w:sz w:val="24"/>
        </w:rPr>
        <w:br/>
      </w:r>
      <w:r w:rsidR="004C21E8">
        <w:rPr>
          <w:rFonts w:ascii="Times New Roman" w:hAnsi="Times New Roman"/>
          <w:sz w:val="24"/>
          <w:szCs w:val="24"/>
        </w:rPr>
        <w:t>When funding is appropriated for the</w:t>
      </w:r>
      <w:r w:rsidR="00C32624">
        <w:rPr>
          <w:rFonts w:ascii="Times New Roman" w:hAnsi="Times New Roman"/>
          <w:sz w:val="24"/>
          <w:szCs w:val="24"/>
        </w:rPr>
        <w:t xml:space="preserve"> </w:t>
      </w:r>
      <w:r w:rsidR="004C21E8">
        <w:rPr>
          <w:rFonts w:ascii="Times New Roman" w:hAnsi="Times New Roman"/>
          <w:sz w:val="24"/>
          <w:szCs w:val="24"/>
        </w:rPr>
        <w:t xml:space="preserve">Program, the Department will </w:t>
      </w:r>
      <w:r w:rsidRPr="00E2637E" w:rsidR="00D96A71">
        <w:rPr>
          <w:rFonts w:ascii="Times New Roman" w:hAnsi="Times New Roman"/>
          <w:sz w:val="24"/>
          <w:szCs w:val="24"/>
        </w:rPr>
        <w:t xml:space="preserve">make discretionary grants to </w:t>
      </w:r>
      <w:r w:rsidRPr="00E2637E" w:rsidR="005B2F47">
        <w:rPr>
          <w:rFonts w:ascii="Times New Roman" w:hAnsi="Times New Roman"/>
          <w:sz w:val="24"/>
          <w:szCs w:val="24"/>
        </w:rPr>
        <w:t>develop, expand, or promote marine highway transportation or shipper use of marine highway transportation on waterways designated as Marine Highway Routes</w:t>
      </w:r>
      <w:r w:rsidRPr="00E2637E" w:rsidR="00D96A71">
        <w:rPr>
          <w:rFonts w:ascii="Times New Roman" w:hAnsi="Times New Roman"/>
          <w:sz w:val="24"/>
          <w:szCs w:val="24"/>
        </w:rPr>
        <w:t xml:space="preserve">. </w:t>
      </w:r>
      <w:r w:rsidR="00C32624">
        <w:rPr>
          <w:rFonts w:ascii="Times New Roman" w:hAnsi="Times New Roman"/>
          <w:sz w:val="24"/>
          <w:szCs w:val="24"/>
        </w:rPr>
        <w:t xml:space="preserve"> </w:t>
      </w:r>
      <w:r w:rsidRPr="00E2637E">
        <w:rPr>
          <w:rFonts w:ascii="Times New Roman" w:hAnsi="Times New Roman"/>
          <w:sz w:val="24"/>
          <w:szCs w:val="24"/>
        </w:rPr>
        <w:t xml:space="preserve">The Program </w:t>
      </w:r>
      <w:r w:rsidRPr="00E2637E" w:rsidR="005B2F47">
        <w:rPr>
          <w:rFonts w:ascii="Times New Roman" w:hAnsi="Times New Roman"/>
          <w:sz w:val="24"/>
          <w:szCs w:val="24"/>
        </w:rPr>
        <w:t>will</w:t>
      </w:r>
      <w:r w:rsidRPr="00E2637E">
        <w:rPr>
          <w:rFonts w:ascii="Times New Roman" w:hAnsi="Times New Roman"/>
          <w:sz w:val="24"/>
          <w:szCs w:val="24"/>
        </w:rPr>
        <w:t xml:space="preserve"> accept applications to make grants</w:t>
      </w:r>
      <w:r w:rsidRPr="00E2637E" w:rsidR="005B2F47">
        <w:rPr>
          <w:rFonts w:ascii="Times New Roman" w:hAnsi="Times New Roman"/>
          <w:sz w:val="24"/>
          <w:szCs w:val="24"/>
        </w:rPr>
        <w:t xml:space="preserve"> and </w:t>
      </w:r>
      <w:r w:rsidR="00627D25">
        <w:rPr>
          <w:rFonts w:ascii="Times New Roman" w:hAnsi="Times New Roman"/>
          <w:sz w:val="24"/>
          <w:szCs w:val="24"/>
        </w:rPr>
        <w:t xml:space="preserve">will </w:t>
      </w:r>
      <w:r w:rsidRPr="00E2637E" w:rsidR="005B2F47">
        <w:rPr>
          <w:rFonts w:ascii="Times New Roman" w:hAnsi="Times New Roman"/>
          <w:sz w:val="24"/>
          <w:szCs w:val="24"/>
        </w:rPr>
        <w:t xml:space="preserve">review the </w:t>
      </w:r>
      <w:r w:rsidRPr="00E2637E">
        <w:rPr>
          <w:rFonts w:ascii="Times New Roman" w:hAnsi="Times New Roman"/>
          <w:sz w:val="24"/>
          <w:szCs w:val="24"/>
        </w:rPr>
        <w:t>applications to determine if they meet the criteria for selection as grant recipients.</w:t>
      </w:r>
    </w:p>
    <w:p w:rsidR="005607FC" w:rsidRPr="00E2637E" w:rsidP="00436FDF" w14:paraId="659C050F" w14:textId="2D7B020B">
      <w:pPr>
        <w:ind w:left="288"/>
        <w:rPr>
          <w:rFonts w:ascii="Times New Roman" w:hAnsi="Times New Roman"/>
          <w:sz w:val="24"/>
          <w:szCs w:val="24"/>
        </w:rPr>
      </w:pPr>
    </w:p>
    <w:p w:rsidR="005607FC" w:rsidRPr="00E2637E" w:rsidP="00436FDF" w14:paraId="495C0B15" w14:textId="28E67013">
      <w:pPr>
        <w:ind w:left="288"/>
        <w:rPr>
          <w:rFonts w:ascii="Times New Roman" w:hAnsi="Times New Roman"/>
          <w:sz w:val="24"/>
          <w:szCs w:val="24"/>
        </w:rPr>
      </w:pPr>
      <w:r w:rsidRPr="00E2637E">
        <w:rPr>
          <w:rFonts w:ascii="Times New Roman" w:hAnsi="Times New Roman"/>
          <w:sz w:val="24"/>
          <w:szCs w:val="24"/>
        </w:rPr>
        <w:t xml:space="preserve">The </w:t>
      </w:r>
      <w:r w:rsidRPr="00E2637E" w:rsidR="00D90573">
        <w:rPr>
          <w:rFonts w:ascii="Times New Roman" w:hAnsi="Times New Roman"/>
          <w:sz w:val="24"/>
          <w:szCs w:val="24"/>
        </w:rPr>
        <w:t>United States Marine Highway Program</w:t>
      </w:r>
      <w:r w:rsidRPr="00E2637E">
        <w:rPr>
          <w:rFonts w:ascii="Times New Roman" w:hAnsi="Times New Roman"/>
          <w:sz w:val="24"/>
          <w:szCs w:val="24"/>
        </w:rPr>
        <w:t xml:space="preserve"> </w:t>
      </w:r>
      <w:r w:rsidR="00627D25">
        <w:rPr>
          <w:rFonts w:ascii="Times New Roman" w:hAnsi="Times New Roman"/>
          <w:sz w:val="24"/>
          <w:szCs w:val="24"/>
        </w:rPr>
        <w:t>is codified at</w:t>
      </w:r>
      <w:r w:rsidRPr="00E2637E">
        <w:rPr>
          <w:rFonts w:ascii="Times New Roman" w:hAnsi="Times New Roman"/>
          <w:sz w:val="24"/>
          <w:szCs w:val="24"/>
        </w:rPr>
        <w:t xml:space="preserve"> 46 U.S.C. 5</w:t>
      </w:r>
      <w:r w:rsidRPr="00E2637E" w:rsidR="00D33A64">
        <w:rPr>
          <w:rFonts w:ascii="Times New Roman" w:hAnsi="Times New Roman"/>
          <w:sz w:val="24"/>
          <w:szCs w:val="24"/>
        </w:rPr>
        <w:t>5</w:t>
      </w:r>
      <w:r w:rsidRPr="00E2637E" w:rsidR="00D90573">
        <w:rPr>
          <w:rFonts w:ascii="Times New Roman" w:hAnsi="Times New Roman"/>
          <w:sz w:val="24"/>
          <w:szCs w:val="24"/>
        </w:rPr>
        <w:t>601</w:t>
      </w:r>
      <w:r w:rsidRPr="00E2637E">
        <w:rPr>
          <w:rFonts w:ascii="Times New Roman" w:hAnsi="Times New Roman"/>
          <w:sz w:val="24"/>
          <w:szCs w:val="24"/>
        </w:rPr>
        <w:t xml:space="preserve">.  The statute authorizes the Department of Transportation (“Department” or “DOT”) to establish a </w:t>
      </w:r>
      <w:r w:rsidRPr="00E2637E" w:rsidR="00D90573">
        <w:rPr>
          <w:rFonts w:ascii="Times New Roman" w:hAnsi="Times New Roman"/>
          <w:sz w:val="24"/>
          <w:szCs w:val="24"/>
        </w:rPr>
        <w:t>United States Marine Highway Program</w:t>
      </w:r>
      <w:r w:rsidRPr="00E2637E">
        <w:rPr>
          <w:rFonts w:ascii="Times New Roman" w:hAnsi="Times New Roman"/>
          <w:sz w:val="24"/>
          <w:szCs w:val="24"/>
        </w:rPr>
        <w:t xml:space="preserve"> </w:t>
      </w:r>
      <w:r w:rsidR="00C32624">
        <w:rPr>
          <w:rFonts w:ascii="Times New Roman" w:hAnsi="Times New Roman"/>
          <w:sz w:val="24"/>
          <w:szCs w:val="24"/>
        </w:rPr>
        <w:t xml:space="preserve">(the Program) </w:t>
      </w:r>
      <w:r w:rsidRPr="00E2637E" w:rsidR="00D33A64">
        <w:rPr>
          <w:rFonts w:ascii="Times New Roman" w:hAnsi="Times New Roman"/>
          <w:sz w:val="24"/>
          <w:szCs w:val="24"/>
        </w:rPr>
        <w:t>to d</w:t>
      </w:r>
      <w:r w:rsidRPr="00E2637E" w:rsidR="005B2F47">
        <w:rPr>
          <w:rFonts w:ascii="Times New Roman" w:hAnsi="Times New Roman"/>
          <w:sz w:val="24"/>
          <w:szCs w:val="24"/>
        </w:rPr>
        <w:t>esignate Marine Highway Routes and to fund services serving those Routes</w:t>
      </w:r>
      <w:r w:rsidRPr="00E2637E">
        <w:rPr>
          <w:rFonts w:ascii="Times New Roman" w:hAnsi="Times New Roman"/>
          <w:sz w:val="24"/>
          <w:szCs w:val="24"/>
        </w:rPr>
        <w:t xml:space="preserve">.  </w:t>
      </w:r>
    </w:p>
    <w:p w:rsidR="005607FC" w:rsidRPr="00E2637E" w:rsidP="00436FDF" w14:paraId="6B220CDA" w14:textId="77777777">
      <w:pPr>
        <w:ind w:left="288"/>
        <w:rPr>
          <w:rFonts w:ascii="Times New Roman" w:hAnsi="Times New Roman"/>
          <w:sz w:val="24"/>
          <w:szCs w:val="24"/>
        </w:rPr>
      </w:pPr>
    </w:p>
    <w:p w:rsidR="005607FC" w:rsidRPr="00E2637E" w:rsidP="00436FDF" w14:paraId="1453FA70" w14:textId="399A37D3">
      <w:pPr>
        <w:ind w:left="288"/>
        <w:rPr>
          <w:rFonts w:ascii="Times New Roman" w:hAnsi="Times New Roman"/>
          <w:sz w:val="24"/>
          <w:szCs w:val="24"/>
        </w:rPr>
      </w:pPr>
      <w:r w:rsidRPr="00E2637E">
        <w:rPr>
          <w:rFonts w:ascii="Times New Roman" w:hAnsi="Times New Roman"/>
          <w:sz w:val="24"/>
          <w:szCs w:val="24"/>
        </w:rPr>
        <w:t xml:space="preserve">Through </w:t>
      </w:r>
      <w:r w:rsidR="00ED03C5">
        <w:rPr>
          <w:rFonts w:ascii="Times New Roman" w:hAnsi="Times New Roman"/>
          <w:sz w:val="24"/>
          <w:szCs w:val="24"/>
        </w:rPr>
        <w:t>the Program</w:t>
      </w:r>
      <w:r w:rsidRPr="00E2637E">
        <w:rPr>
          <w:rFonts w:ascii="Times New Roman" w:hAnsi="Times New Roman"/>
          <w:sz w:val="24"/>
          <w:szCs w:val="24"/>
        </w:rPr>
        <w:t xml:space="preserve">, the Department seeks </w:t>
      </w:r>
      <w:r w:rsidR="00FF14E2">
        <w:rPr>
          <w:rFonts w:ascii="Times New Roman" w:hAnsi="Times New Roman"/>
          <w:sz w:val="24"/>
          <w:szCs w:val="24"/>
        </w:rPr>
        <w:t xml:space="preserve">to </w:t>
      </w:r>
      <w:r w:rsidRPr="009731C2" w:rsidR="009731C2">
        <w:rPr>
          <w:rFonts w:ascii="Times New Roman" w:hAnsi="Times New Roman"/>
          <w:sz w:val="24"/>
          <w:szCs w:val="24"/>
        </w:rPr>
        <w:t>make grants to eligible entities to implement a marine highway transportation project or a component of such a project that develops, expands, or promotes</w:t>
      </w:r>
      <w:r w:rsidR="009731C2">
        <w:rPr>
          <w:rFonts w:ascii="Times New Roman" w:hAnsi="Times New Roman"/>
          <w:sz w:val="24"/>
          <w:szCs w:val="24"/>
        </w:rPr>
        <w:t xml:space="preserve"> </w:t>
      </w:r>
      <w:r w:rsidRPr="009731C2" w:rsidR="009731C2">
        <w:rPr>
          <w:rFonts w:ascii="Times New Roman" w:hAnsi="Times New Roman"/>
          <w:sz w:val="24"/>
          <w:szCs w:val="24"/>
        </w:rPr>
        <w:t>marine highway transportation</w:t>
      </w:r>
      <w:r w:rsidR="009731C2">
        <w:rPr>
          <w:rFonts w:ascii="Times New Roman" w:hAnsi="Times New Roman"/>
          <w:sz w:val="24"/>
          <w:szCs w:val="24"/>
        </w:rPr>
        <w:t xml:space="preserve"> and </w:t>
      </w:r>
      <w:r w:rsidRPr="009731C2" w:rsidR="009731C2">
        <w:rPr>
          <w:rFonts w:ascii="Times New Roman" w:hAnsi="Times New Roman"/>
          <w:sz w:val="24"/>
          <w:szCs w:val="24"/>
        </w:rPr>
        <w:t>shipper use of marine highway transportation.</w:t>
      </w:r>
      <w:r w:rsidR="009731C2">
        <w:rPr>
          <w:rFonts w:ascii="Times New Roman" w:hAnsi="Times New Roman"/>
          <w:sz w:val="24"/>
          <w:szCs w:val="24"/>
        </w:rPr>
        <w:t xml:space="preserve">  The Department also seeks to</w:t>
      </w:r>
      <w:r w:rsidRPr="009731C2" w:rsidR="009731C2">
        <w:rPr>
          <w:rFonts w:ascii="Times New Roman" w:hAnsi="Times New Roman"/>
          <w:sz w:val="24"/>
          <w:szCs w:val="24"/>
        </w:rPr>
        <w:t xml:space="preserve"> fund Projects that advance the Departmental priorities of safety, equity, climate and sustainability, and workforce development, job quality and wealth creation</w:t>
      </w:r>
      <w:r w:rsidR="009731C2">
        <w:rPr>
          <w:rFonts w:ascii="Times New Roman" w:hAnsi="Times New Roman"/>
          <w:sz w:val="24"/>
          <w:szCs w:val="24"/>
        </w:rPr>
        <w:t>.</w:t>
      </w:r>
    </w:p>
    <w:p w:rsidR="00D96A71" w:rsidRPr="00E2637E" w:rsidP="00436FDF" w14:paraId="293B32B3" w14:textId="77777777">
      <w:pPr>
        <w:ind w:left="288"/>
        <w:rPr>
          <w:rFonts w:ascii="Times New Roman" w:hAnsi="Times New Roman"/>
          <w:sz w:val="24"/>
          <w:szCs w:val="24"/>
        </w:rPr>
      </w:pPr>
    </w:p>
    <w:p w:rsidR="00FF14E2" w:rsidP="00436FDF" w14:paraId="36DCA3C2" w14:textId="196B425A">
      <w:pPr>
        <w:ind w:left="288"/>
        <w:rPr>
          <w:rStyle w:val="A9"/>
          <w:rFonts w:ascii="Times New Roman" w:hAnsi="Times New Roman" w:cs="Times New Roman"/>
          <w:bCs/>
          <w:color w:val="auto"/>
          <w:sz w:val="24"/>
          <w:szCs w:val="24"/>
        </w:rPr>
      </w:pPr>
      <w:r w:rsidRPr="00E2637E">
        <w:rPr>
          <w:rStyle w:val="A9"/>
          <w:rFonts w:ascii="Times New Roman" w:hAnsi="Times New Roman" w:cs="Times New Roman"/>
          <w:bCs/>
          <w:color w:val="auto"/>
          <w:sz w:val="24"/>
          <w:szCs w:val="24"/>
        </w:rPr>
        <w:t xml:space="preserve">This Program supports the Department of Transportation </w:t>
      </w:r>
      <w:r w:rsidRPr="00E2637E" w:rsidR="00CC54AD">
        <w:rPr>
          <w:rStyle w:val="A9"/>
          <w:rFonts w:ascii="Times New Roman" w:hAnsi="Times New Roman" w:cs="Times New Roman"/>
          <w:bCs/>
          <w:color w:val="auto"/>
          <w:sz w:val="24"/>
          <w:szCs w:val="24"/>
        </w:rPr>
        <w:t xml:space="preserve">(DOT) </w:t>
      </w:r>
      <w:r w:rsidRPr="00E2637E">
        <w:rPr>
          <w:rStyle w:val="A9"/>
          <w:rFonts w:ascii="Times New Roman" w:hAnsi="Times New Roman" w:cs="Times New Roman"/>
          <w:bCs/>
          <w:color w:val="auto"/>
          <w:sz w:val="24"/>
          <w:szCs w:val="24"/>
        </w:rPr>
        <w:t xml:space="preserve">strategic goal of </w:t>
      </w:r>
      <w:r>
        <w:rPr>
          <w:rStyle w:val="A9"/>
          <w:rFonts w:ascii="Times New Roman" w:hAnsi="Times New Roman" w:cs="Times New Roman"/>
          <w:bCs/>
          <w:color w:val="auto"/>
          <w:sz w:val="24"/>
          <w:szCs w:val="24"/>
        </w:rPr>
        <w:t>“</w:t>
      </w:r>
      <w:r w:rsidRPr="00FF14E2">
        <w:rPr>
          <w:rStyle w:val="A9"/>
          <w:rFonts w:ascii="Times New Roman" w:hAnsi="Times New Roman" w:cs="Times New Roman"/>
          <w:bCs/>
          <w:color w:val="auto"/>
          <w:sz w:val="24"/>
          <w:szCs w:val="24"/>
        </w:rPr>
        <w:t>Economic Strength and Global Competitiveness</w:t>
      </w:r>
      <w:r>
        <w:rPr>
          <w:rStyle w:val="A9"/>
          <w:rFonts w:ascii="Times New Roman" w:hAnsi="Times New Roman" w:cs="Times New Roman"/>
          <w:bCs/>
          <w:color w:val="auto"/>
          <w:sz w:val="24"/>
          <w:szCs w:val="24"/>
        </w:rPr>
        <w:t>” to g</w:t>
      </w:r>
      <w:r w:rsidRPr="00FF14E2">
        <w:rPr>
          <w:rStyle w:val="A9"/>
          <w:rFonts w:ascii="Times New Roman" w:hAnsi="Times New Roman" w:cs="Times New Roman"/>
          <w:bCs/>
          <w:color w:val="auto"/>
          <w:sz w:val="24"/>
          <w:szCs w:val="24"/>
        </w:rPr>
        <w:t>row an inclusive and sustainable economy</w:t>
      </w:r>
      <w:r>
        <w:rPr>
          <w:rStyle w:val="A9"/>
          <w:rFonts w:ascii="Times New Roman" w:hAnsi="Times New Roman" w:cs="Times New Roman"/>
          <w:bCs/>
          <w:color w:val="auto"/>
          <w:sz w:val="24"/>
          <w:szCs w:val="24"/>
        </w:rPr>
        <w:t>, i</w:t>
      </w:r>
      <w:r w:rsidRPr="00FF14E2">
        <w:rPr>
          <w:rStyle w:val="A9"/>
          <w:rFonts w:ascii="Times New Roman" w:hAnsi="Times New Roman" w:cs="Times New Roman"/>
          <w:bCs/>
          <w:color w:val="auto"/>
          <w:sz w:val="24"/>
          <w:szCs w:val="24"/>
        </w:rPr>
        <w:t>nvest in our transportation system to provide American workers and businesses reliable and efficient access to resources, markets, and good-paying jobs.</w:t>
      </w:r>
      <w:r>
        <w:rPr>
          <w:rStyle w:val="A9"/>
          <w:rFonts w:ascii="Times New Roman" w:hAnsi="Times New Roman" w:cs="Times New Roman"/>
          <w:bCs/>
          <w:color w:val="auto"/>
          <w:sz w:val="24"/>
          <w:szCs w:val="24"/>
        </w:rPr>
        <w:t xml:space="preserve">  The Program also aligns with MARAD</w:t>
      </w:r>
      <w:r w:rsidR="00744CF0">
        <w:rPr>
          <w:rStyle w:val="A9"/>
          <w:rFonts w:ascii="Times New Roman" w:hAnsi="Times New Roman" w:cs="Times New Roman"/>
          <w:bCs/>
          <w:color w:val="auto"/>
          <w:sz w:val="24"/>
          <w:szCs w:val="24"/>
        </w:rPr>
        <w:t>’s</w:t>
      </w:r>
      <w:r>
        <w:rPr>
          <w:rStyle w:val="A9"/>
          <w:rFonts w:ascii="Times New Roman" w:hAnsi="Times New Roman" w:cs="Times New Roman"/>
          <w:bCs/>
          <w:color w:val="auto"/>
          <w:sz w:val="24"/>
          <w:szCs w:val="24"/>
        </w:rPr>
        <w:t xml:space="preserve"> goal to imp</w:t>
      </w:r>
      <w:r w:rsidRPr="00FF14E2">
        <w:rPr>
          <w:rStyle w:val="A9"/>
          <w:rFonts w:ascii="Times New Roman" w:hAnsi="Times New Roman" w:cs="Times New Roman"/>
          <w:bCs/>
          <w:color w:val="auto"/>
          <w:sz w:val="24"/>
          <w:szCs w:val="24"/>
        </w:rPr>
        <w:t>rov</w:t>
      </w:r>
      <w:r>
        <w:rPr>
          <w:rStyle w:val="A9"/>
          <w:rFonts w:ascii="Times New Roman" w:hAnsi="Times New Roman" w:cs="Times New Roman"/>
          <w:bCs/>
          <w:color w:val="auto"/>
          <w:sz w:val="24"/>
          <w:szCs w:val="24"/>
        </w:rPr>
        <w:t>e</w:t>
      </w:r>
      <w:r w:rsidRPr="00FF14E2">
        <w:rPr>
          <w:rStyle w:val="A9"/>
          <w:rFonts w:ascii="Times New Roman" w:hAnsi="Times New Roman" w:cs="Times New Roman"/>
          <w:bCs/>
          <w:color w:val="auto"/>
          <w:sz w:val="24"/>
          <w:szCs w:val="24"/>
        </w:rPr>
        <w:t xml:space="preserve"> and expand waterborne transportation</w:t>
      </w:r>
      <w:r w:rsidR="00744CF0">
        <w:rPr>
          <w:rStyle w:val="A9"/>
          <w:rFonts w:ascii="Times New Roman" w:hAnsi="Times New Roman" w:cs="Times New Roman"/>
          <w:bCs/>
          <w:color w:val="auto"/>
          <w:sz w:val="24"/>
          <w:szCs w:val="24"/>
        </w:rPr>
        <w:t xml:space="preserve"> and</w:t>
      </w:r>
      <w:r w:rsidRPr="00FF14E2">
        <w:rPr>
          <w:rStyle w:val="A9"/>
          <w:rFonts w:ascii="Times New Roman" w:hAnsi="Times New Roman" w:cs="Times New Roman"/>
          <w:bCs/>
          <w:color w:val="auto"/>
          <w:sz w:val="24"/>
          <w:szCs w:val="24"/>
        </w:rPr>
        <w:t xml:space="preserve"> to reduce landside congestion and increase mobility throughout the domestic transportation system.</w:t>
      </w:r>
    </w:p>
    <w:p w:rsidR="00FF14E2" w:rsidP="00FF14E2" w14:paraId="35C9DF6D" w14:textId="6163111B">
      <w:pPr>
        <w:ind w:left="-90"/>
        <w:rPr>
          <w:rStyle w:val="A9"/>
          <w:rFonts w:ascii="Times New Roman" w:hAnsi="Times New Roman" w:cs="Times New Roman"/>
          <w:bCs/>
          <w:color w:val="auto"/>
          <w:sz w:val="24"/>
          <w:szCs w:val="24"/>
        </w:rPr>
      </w:pPr>
    </w:p>
    <w:p w:rsidR="00470720" w:rsidRPr="00436FDF" w:rsidP="00436FDF" w14:paraId="3B6A4C81" w14:textId="345B19AA">
      <w:pPr>
        <w:pStyle w:val="ListParagraph"/>
        <w:numPr>
          <w:ilvl w:val="0"/>
          <w:numId w:val="47"/>
        </w:numPr>
        <w:rPr>
          <w:b/>
        </w:rPr>
      </w:pPr>
      <w:r w:rsidRPr="00436FDF">
        <w:rPr>
          <w:b/>
        </w:rPr>
        <w:t>P</w:t>
      </w:r>
      <w:r w:rsidRPr="00436FDF" w:rsidR="0004749E">
        <w:rPr>
          <w:b/>
        </w:rPr>
        <w:t>urpose</w:t>
      </w:r>
      <w:r w:rsidRPr="00436FDF">
        <w:rPr>
          <w:b/>
        </w:rPr>
        <w:t xml:space="preserve"> and Use of</w:t>
      </w:r>
      <w:r w:rsidRPr="00436FDF" w:rsidR="0004749E">
        <w:rPr>
          <w:b/>
        </w:rPr>
        <w:t xml:space="preserve"> the </w:t>
      </w:r>
      <w:r w:rsidRPr="00436FDF">
        <w:rPr>
          <w:b/>
        </w:rPr>
        <w:t>Information Collection</w:t>
      </w:r>
      <w:r w:rsidRPr="00436FDF">
        <w:rPr>
          <w:b/>
        </w:rPr>
        <w:t xml:space="preserve"> </w:t>
      </w:r>
      <w:r w:rsidRPr="00436FDF" w:rsidR="009D4F72">
        <w:rPr>
          <w:b/>
        </w:rPr>
        <w:t xml:space="preserve"> </w:t>
      </w:r>
    </w:p>
    <w:p w:rsidR="00E33FDA" w:rsidRPr="00E2637E" w:rsidP="00F746AE" w14:paraId="7805CD9F" w14:textId="77777777">
      <w:pPr>
        <w:ind w:left="-90"/>
        <w:rPr>
          <w:rFonts w:ascii="Times New Roman" w:hAnsi="Times New Roman"/>
          <w:b/>
          <w:sz w:val="24"/>
          <w:szCs w:val="24"/>
        </w:rPr>
      </w:pPr>
    </w:p>
    <w:p w:rsidR="00EE6A24" w:rsidRPr="00E2637E" w:rsidP="00436FDF" w14:paraId="11AE4806" w14:textId="2931E39B">
      <w:pPr>
        <w:ind w:left="288"/>
        <w:rPr>
          <w:rFonts w:ascii="Times New Roman" w:hAnsi="Times New Roman"/>
          <w:sz w:val="24"/>
          <w:szCs w:val="24"/>
        </w:rPr>
      </w:pPr>
      <w:r w:rsidRPr="00E2637E">
        <w:rPr>
          <w:rFonts w:ascii="Times New Roman" w:hAnsi="Times New Roman"/>
          <w:sz w:val="24"/>
          <w:szCs w:val="24"/>
        </w:rPr>
        <w:t xml:space="preserve">The </w:t>
      </w:r>
      <w:r w:rsidRPr="00E2637E" w:rsidR="00D90573">
        <w:rPr>
          <w:rFonts w:ascii="Times New Roman" w:hAnsi="Times New Roman"/>
          <w:sz w:val="24"/>
          <w:szCs w:val="24"/>
        </w:rPr>
        <w:t>Program</w:t>
      </w:r>
      <w:r w:rsidRPr="00E2637E">
        <w:rPr>
          <w:rFonts w:ascii="Times New Roman" w:hAnsi="Times New Roman"/>
          <w:sz w:val="24"/>
          <w:szCs w:val="24"/>
        </w:rPr>
        <w:t xml:space="preserve"> was established </w:t>
      </w:r>
      <w:r w:rsidRPr="00E2637E" w:rsidR="005607FC">
        <w:rPr>
          <w:rFonts w:ascii="Times New Roman" w:hAnsi="Times New Roman"/>
          <w:sz w:val="24"/>
          <w:szCs w:val="24"/>
        </w:rPr>
        <w:t xml:space="preserve">to provide grants for the development of </w:t>
      </w:r>
      <w:r w:rsidRPr="00E2637E" w:rsidR="005B2F47">
        <w:rPr>
          <w:rFonts w:ascii="Times New Roman" w:hAnsi="Times New Roman"/>
          <w:sz w:val="24"/>
          <w:szCs w:val="24"/>
        </w:rPr>
        <w:t>domestic maritime services</w:t>
      </w:r>
      <w:r w:rsidRPr="00E2637E" w:rsidR="005607FC">
        <w:rPr>
          <w:rFonts w:ascii="Times New Roman" w:hAnsi="Times New Roman"/>
          <w:sz w:val="24"/>
          <w:szCs w:val="24"/>
        </w:rPr>
        <w:t xml:space="preserve">.  </w:t>
      </w:r>
      <w:r w:rsidRPr="00E2637E">
        <w:rPr>
          <w:rFonts w:ascii="Times New Roman" w:hAnsi="Times New Roman"/>
          <w:sz w:val="24"/>
          <w:szCs w:val="24"/>
        </w:rPr>
        <w:t xml:space="preserve">To carry out a project under this program, the Department may provide financial assistance, including grants </w:t>
      </w:r>
      <w:r w:rsidRPr="00E2637E" w:rsidR="005B2F47">
        <w:rPr>
          <w:rFonts w:ascii="Times New Roman" w:hAnsi="Times New Roman"/>
          <w:sz w:val="24"/>
          <w:szCs w:val="24"/>
        </w:rPr>
        <w:t>to states, political subdivision</w:t>
      </w:r>
      <w:r w:rsidR="00627D25">
        <w:rPr>
          <w:rFonts w:ascii="Times New Roman" w:hAnsi="Times New Roman"/>
          <w:sz w:val="24"/>
          <w:szCs w:val="24"/>
        </w:rPr>
        <w:t>s</w:t>
      </w:r>
      <w:r w:rsidRPr="00E2637E" w:rsidR="005B2F47">
        <w:rPr>
          <w:rFonts w:ascii="Times New Roman" w:hAnsi="Times New Roman"/>
          <w:sz w:val="24"/>
          <w:szCs w:val="24"/>
        </w:rPr>
        <w:t xml:space="preserve"> of a State or a local government, metropolitan planning organizations, port authorities, Tribal government</w:t>
      </w:r>
      <w:r w:rsidR="00627D25">
        <w:rPr>
          <w:rFonts w:ascii="Times New Roman" w:hAnsi="Times New Roman"/>
          <w:sz w:val="24"/>
          <w:szCs w:val="24"/>
        </w:rPr>
        <w:t>s</w:t>
      </w:r>
      <w:r w:rsidRPr="00E2637E" w:rsidR="005B2F47">
        <w:rPr>
          <w:rFonts w:ascii="Times New Roman" w:hAnsi="Times New Roman"/>
          <w:sz w:val="24"/>
          <w:szCs w:val="24"/>
        </w:rPr>
        <w:t>, or private sector operator</w:t>
      </w:r>
      <w:r w:rsidR="00627D25">
        <w:rPr>
          <w:rFonts w:ascii="Times New Roman" w:hAnsi="Times New Roman"/>
          <w:sz w:val="24"/>
          <w:szCs w:val="24"/>
        </w:rPr>
        <w:t>s</w:t>
      </w:r>
      <w:r w:rsidRPr="00E2637E" w:rsidR="005B2F47">
        <w:rPr>
          <w:rFonts w:ascii="Times New Roman" w:hAnsi="Times New Roman"/>
          <w:sz w:val="24"/>
          <w:szCs w:val="24"/>
        </w:rPr>
        <w:t xml:space="preserve"> of marine highway services or private sector owners of facilities, including an Alaska Native Corporation, with an endorsement letter from the current Marine Highway Route Sponsor.  </w:t>
      </w:r>
    </w:p>
    <w:p w:rsidR="006E2D98" w:rsidRPr="00E2637E" w:rsidP="00F746AE" w14:paraId="660DBA03" w14:textId="77777777">
      <w:pPr>
        <w:ind w:left="-90"/>
        <w:rPr>
          <w:rFonts w:ascii="Times New Roman" w:hAnsi="Times New Roman"/>
          <w:color w:val="333333"/>
          <w:sz w:val="24"/>
          <w:szCs w:val="24"/>
        </w:rPr>
      </w:pPr>
    </w:p>
    <w:p w:rsidR="00E33FDA" w:rsidRPr="00E2637E" w:rsidP="00436FDF" w14:paraId="37A5E8E5" w14:textId="5386BC02">
      <w:pPr>
        <w:ind w:left="288"/>
        <w:rPr>
          <w:rFonts w:ascii="Times New Roman" w:hAnsi="Times New Roman"/>
          <w:sz w:val="24"/>
          <w:szCs w:val="24"/>
        </w:rPr>
      </w:pPr>
      <w:r w:rsidRPr="00E2637E">
        <w:rPr>
          <w:rFonts w:ascii="Times New Roman" w:hAnsi="Times New Roman"/>
          <w:color w:val="333333"/>
          <w:sz w:val="24"/>
          <w:szCs w:val="24"/>
        </w:rPr>
        <w:t xml:space="preserve">The Department requests applications that seek funds </w:t>
      </w:r>
      <w:r w:rsidRPr="00E2637E" w:rsidR="005B2F47">
        <w:rPr>
          <w:rFonts w:ascii="Times New Roman" w:hAnsi="Times New Roman"/>
          <w:color w:val="333333"/>
          <w:sz w:val="24"/>
          <w:szCs w:val="24"/>
        </w:rPr>
        <w:t xml:space="preserve">to expand or create marine highway services on domestic waterways designated by the Secretary as Marine Highway Routes.  </w:t>
      </w:r>
      <w:r w:rsidRPr="00E2637E" w:rsidR="006E2D98">
        <w:rPr>
          <w:rFonts w:ascii="Times New Roman" w:hAnsi="Times New Roman"/>
          <w:sz w:val="24"/>
          <w:szCs w:val="24"/>
        </w:rPr>
        <w:t>T</w:t>
      </w:r>
      <w:r w:rsidRPr="00E2637E">
        <w:rPr>
          <w:rFonts w:ascii="Times New Roman" w:hAnsi="Times New Roman"/>
          <w:sz w:val="24"/>
          <w:szCs w:val="24"/>
        </w:rPr>
        <w:t xml:space="preserve">he Department </w:t>
      </w:r>
      <w:r w:rsidRPr="00E2637E">
        <w:rPr>
          <w:rFonts w:ascii="Times New Roman" w:hAnsi="Times New Roman"/>
          <w:sz w:val="24"/>
          <w:szCs w:val="24"/>
        </w:rPr>
        <w:t xml:space="preserve">reviews applications to determine if they meet criteria for potential grant awards for projects </w:t>
      </w:r>
      <w:r w:rsidRPr="00E2637E" w:rsidR="00BD6311">
        <w:rPr>
          <w:rFonts w:ascii="Times New Roman" w:hAnsi="Times New Roman"/>
          <w:sz w:val="24"/>
          <w:szCs w:val="24"/>
        </w:rPr>
        <w:t>that</w:t>
      </w:r>
      <w:r w:rsidRPr="00E2637E">
        <w:rPr>
          <w:rFonts w:ascii="Times New Roman" w:hAnsi="Times New Roman"/>
          <w:sz w:val="24"/>
          <w:szCs w:val="24"/>
        </w:rPr>
        <w:t xml:space="preserve"> advance</w:t>
      </w:r>
      <w:r w:rsidRPr="00E2637E" w:rsidR="006E2D98">
        <w:rPr>
          <w:rFonts w:ascii="Times New Roman" w:hAnsi="Times New Roman"/>
          <w:sz w:val="24"/>
          <w:szCs w:val="24"/>
        </w:rPr>
        <w:t xml:space="preserve"> </w:t>
      </w:r>
      <w:r w:rsidRPr="00E2637E">
        <w:rPr>
          <w:rFonts w:ascii="Times New Roman" w:hAnsi="Times New Roman"/>
          <w:sz w:val="24"/>
          <w:szCs w:val="24"/>
        </w:rPr>
        <w:t>outcomes</w:t>
      </w:r>
      <w:r w:rsidRPr="00E2637E" w:rsidR="00952034">
        <w:rPr>
          <w:rFonts w:ascii="Times New Roman" w:hAnsi="Times New Roman"/>
          <w:sz w:val="24"/>
          <w:szCs w:val="24"/>
        </w:rPr>
        <w:t xml:space="preserve"> that support stated goals</w:t>
      </w:r>
      <w:r w:rsidRPr="00E2637E">
        <w:rPr>
          <w:rFonts w:ascii="Times New Roman" w:hAnsi="Times New Roman"/>
          <w:sz w:val="24"/>
          <w:szCs w:val="24"/>
        </w:rPr>
        <w:t xml:space="preserve">. </w:t>
      </w:r>
    </w:p>
    <w:p w:rsidR="006E2D98" w:rsidRPr="00E2637E" w:rsidP="00F746AE" w14:paraId="72E470EE" w14:textId="77777777">
      <w:pPr>
        <w:ind w:left="-90"/>
        <w:rPr>
          <w:rFonts w:ascii="Times New Roman" w:hAnsi="Times New Roman"/>
          <w:sz w:val="24"/>
          <w:szCs w:val="24"/>
        </w:rPr>
      </w:pPr>
    </w:p>
    <w:p w:rsidR="006E2D98" w:rsidP="00436FDF" w14:paraId="40CD4F33" w14:textId="2DFEA40B">
      <w:pPr>
        <w:ind w:left="288"/>
        <w:rPr>
          <w:rFonts w:ascii="Times New Roman" w:hAnsi="Times New Roman"/>
          <w:sz w:val="24"/>
          <w:szCs w:val="24"/>
        </w:rPr>
      </w:pPr>
      <w:r w:rsidRPr="00E2637E">
        <w:rPr>
          <w:rFonts w:ascii="Times New Roman" w:hAnsi="Times New Roman"/>
          <w:sz w:val="24"/>
          <w:szCs w:val="24"/>
        </w:rPr>
        <w:t xml:space="preserve">The Program </w:t>
      </w:r>
      <w:r w:rsidRPr="00E2637E" w:rsidR="00BD6311">
        <w:rPr>
          <w:rFonts w:ascii="Times New Roman" w:hAnsi="Times New Roman"/>
          <w:sz w:val="24"/>
          <w:szCs w:val="24"/>
        </w:rPr>
        <w:t>seeks applications to provide financial assistance, including grants</w:t>
      </w:r>
      <w:r w:rsidR="001909C5">
        <w:rPr>
          <w:rFonts w:ascii="Times New Roman" w:hAnsi="Times New Roman"/>
          <w:sz w:val="24"/>
          <w:szCs w:val="24"/>
        </w:rPr>
        <w:t xml:space="preserve"> </w:t>
      </w:r>
      <w:r w:rsidRPr="00E2637E" w:rsidR="00BD6311">
        <w:rPr>
          <w:rFonts w:ascii="Times New Roman" w:hAnsi="Times New Roman"/>
          <w:sz w:val="24"/>
          <w:szCs w:val="24"/>
        </w:rPr>
        <w:t xml:space="preserve">to </w:t>
      </w:r>
      <w:r w:rsidRPr="00E2637E" w:rsidR="001C10F3">
        <w:rPr>
          <w:rFonts w:ascii="Times New Roman" w:hAnsi="Times New Roman"/>
          <w:sz w:val="24"/>
          <w:szCs w:val="24"/>
        </w:rPr>
        <w:t>states, political subdivision</w:t>
      </w:r>
      <w:r w:rsidR="00627D25">
        <w:rPr>
          <w:rFonts w:ascii="Times New Roman" w:hAnsi="Times New Roman"/>
          <w:sz w:val="24"/>
          <w:szCs w:val="24"/>
        </w:rPr>
        <w:t>s</w:t>
      </w:r>
      <w:r w:rsidRPr="00E2637E" w:rsidR="001C10F3">
        <w:rPr>
          <w:rFonts w:ascii="Times New Roman" w:hAnsi="Times New Roman"/>
          <w:sz w:val="24"/>
          <w:szCs w:val="24"/>
        </w:rPr>
        <w:t xml:space="preserve"> of a State or a local government, metropolitan planning organizations, port authorities, Tribal government</w:t>
      </w:r>
      <w:r w:rsidR="00627D25">
        <w:rPr>
          <w:rFonts w:ascii="Times New Roman" w:hAnsi="Times New Roman"/>
          <w:sz w:val="24"/>
          <w:szCs w:val="24"/>
        </w:rPr>
        <w:t>s</w:t>
      </w:r>
      <w:r w:rsidRPr="00E2637E" w:rsidR="001C10F3">
        <w:rPr>
          <w:rFonts w:ascii="Times New Roman" w:hAnsi="Times New Roman"/>
          <w:sz w:val="24"/>
          <w:szCs w:val="24"/>
        </w:rPr>
        <w:t>, or private sector operator</w:t>
      </w:r>
      <w:r w:rsidR="00627D25">
        <w:rPr>
          <w:rFonts w:ascii="Times New Roman" w:hAnsi="Times New Roman"/>
          <w:sz w:val="24"/>
          <w:szCs w:val="24"/>
        </w:rPr>
        <w:t>s</w:t>
      </w:r>
      <w:r w:rsidRPr="00E2637E" w:rsidR="001C10F3">
        <w:rPr>
          <w:rFonts w:ascii="Times New Roman" w:hAnsi="Times New Roman"/>
          <w:sz w:val="24"/>
          <w:szCs w:val="24"/>
        </w:rPr>
        <w:t xml:space="preserve"> of marine highway services or private sector owners of facilities, including an Alaska Native Corporation for Projects or </w:t>
      </w:r>
      <w:r w:rsidRPr="00E2637E" w:rsidR="001C10F3">
        <w:rPr>
          <w:rFonts w:ascii="Times New Roman" w:hAnsi="Times New Roman"/>
          <w:sz w:val="24"/>
          <w:szCs w:val="24"/>
        </w:rPr>
        <w:t xml:space="preserve">components of Projects that 1) </w:t>
      </w:r>
      <w:bookmarkStart w:id="4" w:name="_Hlk169097772"/>
      <w:r w:rsidRPr="00E2637E" w:rsidR="001C10F3">
        <w:rPr>
          <w:rFonts w:ascii="Times New Roman" w:hAnsi="Times New Roman"/>
          <w:sz w:val="24"/>
          <w:szCs w:val="24"/>
        </w:rPr>
        <w:t xml:space="preserve">provide a coordinated and capable alternative to landside transportation; mitigate or relieve landside congestion; promote Marine Highway Transportation; or use vessels documented under 46 U.S.C. chapter 121; and 2) develop, expand, or promote Marine Highway Transportation or shipper use of Marine Highway Transportation. </w:t>
      </w:r>
      <w:r w:rsidRPr="00E2637E">
        <w:rPr>
          <w:rFonts w:ascii="Times New Roman" w:hAnsi="Times New Roman"/>
          <w:sz w:val="24"/>
          <w:szCs w:val="24"/>
        </w:rPr>
        <w:t xml:space="preserve"> </w:t>
      </w:r>
      <w:bookmarkEnd w:id="4"/>
      <w:r w:rsidRPr="00E2637E">
        <w:rPr>
          <w:rFonts w:ascii="Times New Roman" w:hAnsi="Times New Roman"/>
          <w:sz w:val="24"/>
          <w:szCs w:val="24"/>
        </w:rPr>
        <w:t xml:space="preserve">Accordingly, the Department expects to award at least one project that advances each of the aforementioned project outcomes, but a project does not need to address one or more of these outcomes to be awarded. </w:t>
      </w:r>
    </w:p>
    <w:p w:rsidR="001822E0" w:rsidP="00436FDF" w14:paraId="7DDA81BC" w14:textId="42AFF92A">
      <w:pPr>
        <w:ind w:left="288"/>
        <w:rPr>
          <w:rFonts w:ascii="Times New Roman" w:hAnsi="Times New Roman"/>
          <w:sz w:val="24"/>
          <w:szCs w:val="24"/>
        </w:rPr>
      </w:pPr>
    </w:p>
    <w:p w:rsidR="001822E0" w:rsidRPr="00E2637E" w:rsidP="00436FDF" w14:paraId="73F6A170" w14:textId="20AFDB83">
      <w:pPr>
        <w:ind w:left="288"/>
        <w:rPr>
          <w:rFonts w:ascii="Times New Roman" w:hAnsi="Times New Roman"/>
          <w:sz w:val="24"/>
          <w:szCs w:val="24"/>
        </w:rPr>
      </w:pPr>
      <w:bookmarkStart w:id="5" w:name="_Hlk170210672"/>
      <w:r w:rsidRPr="00CB6F99">
        <w:rPr>
          <w:rFonts w:ascii="Times New Roman" w:hAnsi="Times New Roman"/>
          <w:sz w:val="24"/>
          <w:szCs w:val="24"/>
        </w:rPr>
        <w:t xml:space="preserve">The Program will require </w:t>
      </w:r>
      <w:r w:rsidRPr="00CB6F99" w:rsidR="003C1CE0">
        <w:rPr>
          <w:rFonts w:ascii="Times New Roman" w:hAnsi="Times New Roman"/>
          <w:sz w:val="24"/>
          <w:szCs w:val="24"/>
        </w:rPr>
        <w:t xml:space="preserve">progress reports </w:t>
      </w:r>
      <w:r w:rsidRPr="00CB6F99">
        <w:rPr>
          <w:rFonts w:ascii="Times New Roman" w:hAnsi="Times New Roman"/>
          <w:sz w:val="24"/>
          <w:szCs w:val="24"/>
        </w:rPr>
        <w:t>from applicants that have a</w:t>
      </w:r>
      <w:r w:rsidRPr="00CB6F99" w:rsidR="003C1CE0">
        <w:rPr>
          <w:rFonts w:ascii="Times New Roman" w:hAnsi="Times New Roman"/>
          <w:sz w:val="24"/>
          <w:szCs w:val="24"/>
        </w:rPr>
        <w:t>n executed</w:t>
      </w:r>
      <w:r w:rsidRPr="00CB6F99">
        <w:rPr>
          <w:rFonts w:ascii="Times New Roman" w:hAnsi="Times New Roman"/>
          <w:sz w:val="24"/>
          <w:szCs w:val="24"/>
        </w:rPr>
        <w:t xml:space="preserve"> grant agreement</w:t>
      </w:r>
      <w:r w:rsidRPr="00CB6F99" w:rsidR="00DD455F">
        <w:rPr>
          <w:rFonts w:ascii="Times New Roman" w:hAnsi="Times New Roman"/>
          <w:sz w:val="24"/>
          <w:szCs w:val="24"/>
        </w:rPr>
        <w:t xml:space="preserve"> until the project is complete</w:t>
      </w:r>
      <w:r w:rsidRPr="00CB6F99">
        <w:rPr>
          <w:rFonts w:ascii="Times New Roman" w:hAnsi="Times New Roman"/>
          <w:sz w:val="24"/>
          <w:szCs w:val="24"/>
        </w:rPr>
        <w:t>.  The</w:t>
      </w:r>
      <w:r w:rsidRPr="00CB6F99" w:rsidR="003C1CE0">
        <w:rPr>
          <w:rFonts w:ascii="Times New Roman" w:hAnsi="Times New Roman"/>
          <w:sz w:val="24"/>
          <w:szCs w:val="24"/>
        </w:rPr>
        <w:t xml:space="preserve"> progress reports will inform the Program on the status of the steps required to </w:t>
      </w:r>
      <w:r w:rsidRPr="00CB6F99" w:rsidR="00DD455F">
        <w:rPr>
          <w:rFonts w:ascii="Times New Roman" w:hAnsi="Times New Roman"/>
          <w:sz w:val="24"/>
          <w:szCs w:val="24"/>
        </w:rPr>
        <w:t>complete the project</w:t>
      </w:r>
      <w:r w:rsidRPr="00CB6F99" w:rsidR="003C1CE0">
        <w:rPr>
          <w:rFonts w:ascii="Times New Roman" w:hAnsi="Times New Roman"/>
          <w:sz w:val="24"/>
          <w:szCs w:val="24"/>
        </w:rPr>
        <w:t xml:space="preserve">.  Once </w:t>
      </w:r>
      <w:r w:rsidRPr="00CB6F99" w:rsidR="00DD455F">
        <w:rPr>
          <w:rFonts w:ascii="Times New Roman" w:hAnsi="Times New Roman"/>
          <w:sz w:val="24"/>
          <w:szCs w:val="24"/>
        </w:rPr>
        <w:t>a project is complete</w:t>
      </w:r>
      <w:r w:rsidRPr="00CB6F99" w:rsidR="003C1CE0">
        <w:rPr>
          <w:rFonts w:ascii="Times New Roman" w:hAnsi="Times New Roman"/>
          <w:sz w:val="24"/>
          <w:szCs w:val="24"/>
        </w:rPr>
        <w:t>, the grantee will report on performanc</w:t>
      </w:r>
      <w:r w:rsidRPr="00CB6F99">
        <w:rPr>
          <w:rFonts w:ascii="Times New Roman" w:hAnsi="Times New Roman"/>
          <w:sz w:val="24"/>
          <w:szCs w:val="24"/>
        </w:rPr>
        <w:t xml:space="preserve">e measures </w:t>
      </w:r>
      <w:r w:rsidRPr="00CB6F99" w:rsidR="003C1CE0">
        <w:rPr>
          <w:rFonts w:ascii="Times New Roman" w:hAnsi="Times New Roman"/>
          <w:sz w:val="24"/>
          <w:szCs w:val="24"/>
        </w:rPr>
        <w:t>showing the</w:t>
      </w:r>
      <w:r w:rsidRPr="00CB6F99">
        <w:rPr>
          <w:rFonts w:ascii="Times New Roman" w:hAnsi="Times New Roman"/>
          <w:sz w:val="24"/>
          <w:szCs w:val="24"/>
        </w:rPr>
        <w:t xml:space="preserve"> public benefits accrued from these grant awards.</w:t>
      </w:r>
    </w:p>
    <w:bookmarkEnd w:id="5"/>
    <w:p w:rsidR="006E2D98" w:rsidRPr="00E2637E" w:rsidP="00F746AE" w14:paraId="1F64315E" w14:textId="77777777">
      <w:pPr>
        <w:ind w:left="-90"/>
        <w:rPr>
          <w:rFonts w:ascii="Times New Roman" w:hAnsi="Times New Roman"/>
          <w:sz w:val="24"/>
          <w:szCs w:val="24"/>
        </w:rPr>
      </w:pPr>
    </w:p>
    <w:p w:rsidR="00470720" w:rsidRPr="00436FDF" w:rsidP="00436FDF" w14:paraId="61C6B4D2" w14:textId="262392CD">
      <w:pPr>
        <w:pStyle w:val="ListParagraph"/>
        <w:numPr>
          <w:ilvl w:val="0"/>
          <w:numId w:val="47"/>
        </w:numPr>
        <w:rPr>
          <w:b/>
        </w:rPr>
      </w:pPr>
      <w:r w:rsidRPr="00436FDF">
        <w:rPr>
          <w:b/>
        </w:rPr>
        <w:t>Automation or Use of I</w:t>
      </w:r>
      <w:r w:rsidRPr="00436FDF" w:rsidR="0004749E">
        <w:rPr>
          <w:b/>
        </w:rPr>
        <w:t xml:space="preserve">nformation </w:t>
      </w:r>
      <w:r w:rsidRPr="00436FDF">
        <w:rPr>
          <w:b/>
        </w:rPr>
        <w:t>Technology</w:t>
      </w:r>
      <w:r w:rsidRPr="00ED03C5">
        <w:rPr>
          <w:b/>
        </w:rPr>
        <w:t xml:space="preserve"> </w:t>
      </w:r>
      <w:r w:rsidRPr="00ED03C5" w:rsidR="009D4F72">
        <w:rPr>
          <w:b/>
        </w:rPr>
        <w:t xml:space="preserve"> </w:t>
      </w:r>
    </w:p>
    <w:p w:rsidR="00EE6A24" w:rsidRPr="00E2637E" w:rsidP="00F746AE" w14:paraId="1F13B5A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szCs w:val="20"/>
        </w:rPr>
      </w:pPr>
    </w:p>
    <w:p w:rsidR="00EE6A24" w:rsidRPr="00E2637E" w:rsidP="00436FDF" w14:paraId="522DA26F" w14:textId="1073A73A">
      <w:pPr>
        <w:ind w:left="288"/>
        <w:rPr>
          <w:rFonts w:ascii="Times New Roman" w:hAnsi="Times New Roman"/>
          <w:sz w:val="24"/>
          <w:szCs w:val="24"/>
        </w:rPr>
      </w:pPr>
      <w:r w:rsidRPr="00E2637E">
        <w:rPr>
          <w:rFonts w:ascii="Times New Roman" w:hAnsi="Times New Roman"/>
          <w:sz w:val="24"/>
          <w:szCs w:val="24"/>
        </w:rPr>
        <w:t>The Program</w:t>
      </w:r>
      <w:r w:rsidR="00627D25">
        <w:rPr>
          <w:rFonts w:ascii="Times New Roman" w:hAnsi="Times New Roman"/>
          <w:sz w:val="24"/>
          <w:szCs w:val="24"/>
        </w:rPr>
        <w:t>’s</w:t>
      </w:r>
      <w:r w:rsidRPr="00E2637E">
        <w:rPr>
          <w:rFonts w:ascii="Times New Roman" w:hAnsi="Times New Roman"/>
          <w:sz w:val="24"/>
          <w:szCs w:val="24"/>
        </w:rPr>
        <w:t xml:space="preserve"> Notice of Funding Opportunity (NOFO) calls for applications to be submitted through Grants.gov. </w:t>
      </w:r>
      <w:r w:rsidR="00ED03C5">
        <w:rPr>
          <w:rFonts w:ascii="Times New Roman" w:hAnsi="Times New Roman"/>
          <w:sz w:val="24"/>
          <w:szCs w:val="24"/>
        </w:rPr>
        <w:t xml:space="preserve"> All </w:t>
      </w:r>
      <w:r w:rsidRPr="00E2637E">
        <w:rPr>
          <w:rFonts w:ascii="Times New Roman" w:hAnsi="Times New Roman"/>
          <w:sz w:val="24"/>
          <w:szCs w:val="24"/>
        </w:rPr>
        <w:t>submission</w:t>
      </w:r>
      <w:r w:rsidR="00627D25">
        <w:rPr>
          <w:rFonts w:ascii="Times New Roman" w:hAnsi="Times New Roman"/>
          <w:sz w:val="24"/>
          <w:szCs w:val="24"/>
        </w:rPr>
        <w:t>s</w:t>
      </w:r>
      <w:r w:rsidRPr="00E2637E">
        <w:rPr>
          <w:rFonts w:ascii="Times New Roman" w:hAnsi="Times New Roman"/>
          <w:sz w:val="24"/>
          <w:szCs w:val="24"/>
        </w:rPr>
        <w:t xml:space="preserve"> will be done electronically.  The Department will host webinars and provide technical assistance to applicants prior to the application deadline</w:t>
      </w:r>
      <w:r w:rsidR="00ED03C5">
        <w:rPr>
          <w:rFonts w:ascii="Times New Roman" w:hAnsi="Times New Roman"/>
          <w:sz w:val="24"/>
          <w:szCs w:val="24"/>
        </w:rPr>
        <w:t xml:space="preserve"> in order</w:t>
      </w:r>
      <w:r w:rsidRPr="00E2637E">
        <w:rPr>
          <w:rFonts w:ascii="Times New Roman" w:hAnsi="Times New Roman"/>
          <w:sz w:val="24"/>
          <w:szCs w:val="24"/>
        </w:rPr>
        <w:t xml:space="preserve"> to address questions about the Program.</w:t>
      </w:r>
      <w:r w:rsidR="001822E0">
        <w:rPr>
          <w:rFonts w:ascii="Times New Roman" w:hAnsi="Times New Roman"/>
          <w:sz w:val="24"/>
          <w:szCs w:val="24"/>
        </w:rPr>
        <w:t xml:space="preserve">  Successful applicants </w:t>
      </w:r>
      <w:r w:rsidR="00BF048A">
        <w:rPr>
          <w:rFonts w:ascii="Times New Roman" w:hAnsi="Times New Roman"/>
          <w:sz w:val="24"/>
          <w:szCs w:val="24"/>
        </w:rPr>
        <w:t xml:space="preserve">who </w:t>
      </w:r>
      <w:r w:rsidR="001822E0">
        <w:rPr>
          <w:rFonts w:ascii="Times New Roman" w:hAnsi="Times New Roman"/>
          <w:sz w:val="24"/>
          <w:szCs w:val="24"/>
        </w:rPr>
        <w:t xml:space="preserve">have signed grant agreements must report quarterly </w:t>
      </w:r>
      <w:r w:rsidR="00E772D6">
        <w:rPr>
          <w:rFonts w:ascii="Times New Roman" w:hAnsi="Times New Roman"/>
          <w:sz w:val="24"/>
          <w:szCs w:val="24"/>
        </w:rPr>
        <w:t xml:space="preserve">on project progress and </w:t>
      </w:r>
      <w:r w:rsidR="001822E0">
        <w:rPr>
          <w:rFonts w:ascii="Times New Roman" w:hAnsi="Times New Roman"/>
          <w:sz w:val="24"/>
          <w:szCs w:val="24"/>
        </w:rPr>
        <w:t>on the metrics required by the Program Office.</w:t>
      </w:r>
    </w:p>
    <w:p w:rsidR="00EE6A24" w:rsidRPr="00E2637E" w:rsidP="00F746AE" w14:paraId="3BBD6E7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rPr>
      </w:pPr>
    </w:p>
    <w:p w:rsidR="0004749E" w:rsidRPr="00ED03C5" w:rsidP="00436FDF" w14:paraId="6D42B107" w14:textId="77348340">
      <w:pPr>
        <w:pStyle w:val="BodyText3"/>
        <w:numPr>
          <w:ilvl w:val="0"/>
          <w:numId w:val="4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436FDF">
        <w:rPr>
          <w:rFonts w:ascii="Times New Roman" w:hAnsi="Times New Roman"/>
          <w:b/>
          <w:color w:val="auto"/>
          <w:szCs w:val="20"/>
        </w:rPr>
        <w:t xml:space="preserve">Efforts to </w:t>
      </w:r>
      <w:r w:rsidRPr="00436FDF" w:rsidR="00ED03C5">
        <w:rPr>
          <w:rFonts w:ascii="Times New Roman" w:hAnsi="Times New Roman"/>
          <w:b/>
          <w:color w:val="auto"/>
          <w:szCs w:val="20"/>
        </w:rPr>
        <w:t>Identify Duplication</w:t>
      </w:r>
      <w:r w:rsidRPr="00436FDF" w:rsidR="00470720">
        <w:rPr>
          <w:rFonts w:ascii="Times New Roman" w:hAnsi="Times New Roman"/>
          <w:b/>
          <w:color w:val="auto"/>
          <w:szCs w:val="20"/>
        </w:rPr>
        <w:t xml:space="preserve"> </w:t>
      </w:r>
      <w:r w:rsidRPr="00ED03C5" w:rsidR="00470720">
        <w:rPr>
          <w:rFonts w:ascii="Times New Roman" w:hAnsi="Times New Roman"/>
          <w:b/>
          <w:color w:val="auto"/>
          <w:szCs w:val="20"/>
        </w:rPr>
        <w:t xml:space="preserve"> </w:t>
      </w:r>
    </w:p>
    <w:p w:rsidR="000A4E85" w:rsidRPr="00E2637E" w:rsidP="00F746AE" w14:paraId="5581E53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p>
    <w:p w:rsidR="000879E6" w:rsidRPr="00E2637E" w:rsidP="00436FDF" w14:paraId="328E3A6D" w14:textId="1C6B134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bCs/>
          <w:color w:val="auto"/>
          <w:szCs w:val="20"/>
        </w:rPr>
      </w:pPr>
      <w:r w:rsidRPr="00E2637E">
        <w:rPr>
          <w:rFonts w:ascii="Times New Roman" w:hAnsi="Times New Roman"/>
          <w:bCs/>
          <w:color w:val="auto"/>
          <w:szCs w:val="20"/>
        </w:rPr>
        <w:t>There is no duplication of effort required by potential applicants.</w:t>
      </w:r>
    </w:p>
    <w:p w:rsidR="0004749E" w:rsidRPr="00E2637E" w:rsidP="00F746AE" w14:paraId="15643C32" w14:textId="77777777">
      <w:pPr>
        <w:ind w:left="-90"/>
        <w:rPr>
          <w:rFonts w:ascii="Times New Roman" w:hAnsi="Times New Roman"/>
          <w:sz w:val="24"/>
        </w:rPr>
      </w:pPr>
    </w:p>
    <w:p w:rsidR="00470720" w:rsidRPr="00436FDF" w:rsidP="00436FDF" w14:paraId="4166006A" w14:textId="7DCCCE16">
      <w:pPr>
        <w:pStyle w:val="ListParagraph"/>
        <w:numPr>
          <w:ilvl w:val="0"/>
          <w:numId w:val="47"/>
        </w:numPr>
        <w:rPr>
          <w:b/>
        </w:rPr>
      </w:pPr>
      <w:r w:rsidRPr="00436FDF">
        <w:rPr>
          <w:b/>
        </w:rPr>
        <w:t>Impact on S</w:t>
      </w:r>
      <w:r w:rsidRPr="00436FDF" w:rsidR="0004749E">
        <w:rPr>
          <w:b/>
        </w:rPr>
        <w:t xml:space="preserve">mall </w:t>
      </w:r>
      <w:r w:rsidRPr="00436FDF">
        <w:rPr>
          <w:b/>
        </w:rPr>
        <w:t>Businesses or Other Small Entities</w:t>
      </w:r>
      <w:r w:rsidRPr="001127AE">
        <w:rPr>
          <w:b/>
        </w:rPr>
        <w:t xml:space="preserve">  </w:t>
      </w:r>
      <w:r w:rsidRPr="00436FDF" w:rsidR="008F2CDB">
        <w:rPr>
          <w:b/>
        </w:rPr>
        <w:br/>
      </w:r>
    </w:p>
    <w:p w:rsidR="00037AEF" w:rsidRPr="00E2637E" w:rsidP="00436FDF" w14:paraId="678B6843" w14:textId="350B0DBD">
      <w:pPr>
        <w:ind w:left="288"/>
        <w:rPr>
          <w:rFonts w:ascii="Times New Roman" w:hAnsi="Times New Roman"/>
          <w:sz w:val="24"/>
          <w:szCs w:val="24"/>
        </w:rPr>
      </w:pPr>
      <w:r w:rsidRPr="00E2637E">
        <w:rPr>
          <w:rFonts w:ascii="Times New Roman" w:hAnsi="Times New Roman"/>
          <w:bCs/>
          <w:sz w:val="24"/>
          <w:szCs w:val="24"/>
        </w:rPr>
        <w:t xml:space="preserve">The Program seeks the minimum needed information from an applicant to meet statutory </w:t>
      </w:r>
      <w:r w:rsidR="00E772D6">
        <w:rPr>
          <w:rFonts w:ascii="Times New Roman" w:hAnsi="Times New Roman"/>
          <w:bCs/>
          <w:sz w:val="24"/>
          <w:szCs w:val="24"/>
        </w:rPr>
        <w:t xml:space="preserve">and policy </w:t>
      </w:r>
      <w:r w:rsidRPr="00E2637E">
        <w:rPr>
          <w:rFonts w:ascii="Times New Roman" w:hAnsi="Times New Roman"/>
          <w:bCs/>
          <w:sz w:val="24"/>
          <w:szCs w:val="24"/>
        </w:rPr>
        <w:t>requirements for determination of grant eligibility and funding.</w:t>
      </w:r>
      <w:r w:rsidR="001127AE">
        <w:rPr>
          <w:rFonts w:ascii="Times New Roman" w:hAnsi="Times New Roman"/>
          <w:bCs/>
          <w:sz w:val="24"/>
          <w:szCs w:val="24"/>
        </w:rPr>
        <w:t xml:space="preserve"> This collection has minimal impact on small business and other small entities.</w:t>
      </w:r>
    </w:p>
    <w:p w:rsidR="0004749E" w:rsidRPr="00E2637E" w:rsidP="00F746AE" w14:paraId="5CB41498" w14:textId="77777777">
      <w:pPr>
        <w:ind w:left="-90"/>
        <w:rPr>
          <w:rFonts w:ascii="Times New Roman" w:hAnsi="Times New Roman"/>
          <w:sz w:val="24"/>
        </w:rPr>
      </w:pPr>
    </w:p>
    <w:p w:rsidR="00470720" w:rsidRPr="001127AE" w:rsidP="00436FDF" w14:paraId="0386E750" w14:textId="6DF7AA92">
      <w:pPr>
        <w:pStyle w:val="ListParagraph"/>
        <w:numPr>
          <w:ilvl w:val="0"/>
          <w:numId w:val="47"/>
        </w:numPr>
        <w:rPr>
          <w:b/>
        </w:rPr>
      </w:pPr>
      <w:r w:rsidRPr="00436FDF">
        <w:rPr>
          <w:b/>
        </w:rPr>
        <w:t xml:space="preserve">Impact of </w:t>
      </w:r>
      <w:r w:rsidRPr="00436FDF" w:rsidR="001127AE">
        <w:rPr>
          <w:b/>
        </w:rPr>
        <w:t>Not Conducting or L</w:t>
      </w:r>
      <w:r w:rsidRPr="00436FDF">
        <w:rPr>
          <w:b/>
        </w:rPr>
        <w:t xml:space="preserve">ess </w:t>
      </w:r>
      <w:r w:rsidRPr="00436FDF" w:rsidR="001127AE">
        <w:rPr>
          <w:b/>
        </w:rPr>
        <w:t xml:space="preserve">Frequent Collection </w:t>
      </w:r>
      <w:r w:rsidRPr="00436FDF">
        <w:rPr>
          <w:b/>
        </w:rPr>
        <w:t xml:space="preserve">of </w:t>
      </w:r>
      <w:r w:rsidRPr="00436FDF" w:rsidR="001127AE">
        <w:rPr>
          <w:b/>
        </w:rPr>
        <w:t>Information</w:t>
      </w:r>
      <w:r w:rsidRPr="001127AE">
        <w:rPr>
          <w:b/>
        </w:rPr>
        <w:t>.</w:t>
      </w:r>
      <w:r w:rsidRPr="001127AE">
        <w:rPr>
          <w:b/>
        </w:rPr>
        <w:t xml:space="preserve"> </w:t>
      </w:r>
    </w:p>
    <w:p w:rsidR="00ED14D5" w:rsidRPr="00E2637E" w:rsidP="00F746AE" w14:paraId="258C7F02" w14:textId="77777777">
      <w:pPr>
        <w:ind w:left="-90"/>
        <w:rPr>
          <w:rFonts w:ascii="Times New Roman" w:hAnsi="Times New Roman"/>
          <w:sz w:val="24"/>
          <w:szCs w:val="24"/>
        </w:rPr>
      </w:pPr>
    </w:p>
    <w:p w:rsidR="001C10F3" w:rsidRPr="00E2637E" w:rsidP="00436FDF" w14:paraId="1183D140" w14:textId="51579AD9">
      <w:pPr>
        <w:ind w:left="288"/>
        <w:rPr>
          <w:rFonts w:ascii="Times New Roman" w:hAnsi="Times New Roman"/>
          <w:sz w:val="24"/>
          <w:szCs w:val="24"/>
        </w:rPr>
      </w:pPr>
      <w:r w:rsidRPr="00E2637E">
        <w:rPr>
          <w:rFonts w:ascii="Times New Roman" w:hAnsi="Times New Roman"/>
          <w:sz w:val="24"/>
          <w:szCs w:val="24"/>
        </w:rPr>
        <w:t xml:space="preserve">Through </w:t>
      </w:r>
      <w:r w:rsidRPr="00E2637E" w:rsidR="00127538">
        <w:rPr>
          <w:rFonts w:ascii="Times New Roman" w:hAnsi="Times New Roman"/>
          <w:sz w:val="24"/>
          <w:szCs w:val="24"/>
        </w:rPr>
        <w:t>t</w:t>
      </w:r>
      <w:r w:rsidR="00127538">
        <w:rPr>
          <w:rFonts w:ascii="Times New Roman" w:hAnsi="Times New Roman"/>
          <w:sz w:val="24"/>
          <w:szCs w:val="24"/>
        </w:rPr>
        <w:t>he</w:t>
      </w:r>
      <w:r w:rsidRPr="00E2637E" w:rsidR="00127538">
        <w:rPr>
          <w:rFonts w:ascii="Times New Roman" w:hAnsi="Times New Roman"/>
          <w:sz w:val="24"/>
          <w:szCs w:val="24"/>
        </w:rPr>
        <w:t xml:space="preserve"> </w:t>
      </w:r>
      <w:r w:rsidR="00E772D6">
        <w:rPr>
          <w:rFonts w:ascii="Times New Roman" w:hAnsi="Times New Roman"/>
          <w:sz w:val="24"/>
          <w:szCs w:val="24"/>
        </w:rPr>
        <w:t>P</w:t>
      </w:r>
      <w:r w:rsidRPr="00E2637E">
        <w:rPr>
          <w:rFonts w:ascii="Times New Roman" w:hAnsi="Times New Roman"/>
          <w:sz w:val="24"/>
          <w:szCs w:val="24"/>
        </w:rPr>
        <w:t xml:space="preserve">rogram, the Department seeks </w:t>
      </w:r>
      <w:r w:rsidRPr="00E2637E" w:rsidR="000879E6">
        <w:rPr>
          <w:rFonts w:ascii="Times New Roman" w:hAnsi="Times New Roman"/>
          <w:sz w:val="24"/>
          <w:szCs w:val="24"/>
        </w:rPr>
        <w:t>information</w:t>
      </w:r>
      <w:r w:rsidR="00E772D6">
        <w:rPr>
          <w:rFonts w:ascii="Times New Roman" w:hAnsi="Times New Roman"/>
          <w:sz w:val="24"/>
          <w:szCs w:val="24"/>
        </w:rPr>
        <w:t xml:space="preserve"> on projects </w:t>
      </w:r>
      <w:r w:rsidRPr="00E2637E">
        <w:rPr>
          <w:rFonts w:ascii="Times New Roman" w:hAnsi="Times New Roman"/>
          <w:sz w:val="24"/>
          <w:szCs w:val="24"/>
        </w:rPr>
        <w:t>that will</w:t>
      </w:r>
      <w:r w:rsidR="00BF048A">
        <w:rPr>
          <w:rFonts w:ascii="Times New Roman" w:hAnsi="Times New Roman"/>
          <w:sz w:val="24"/>
          <w:szCs w:val="24"/>
        </w:rPr>
        <w:t>: 1)</w:t>
      </w:r>
      <w:r w:rsidRPr="00E2637E">
        <w:rPr>
          <w:rFonts w:ascii="Times New Roman" w:hAnsi="Times New Roman"/>
          <w:sz w:val="24"/>
          <w:szCs w:val="24"/>
        </w:rPr>
        <w:t xml:space="preserve"> </w:t>
      </w:r>
      <w:r w:rsidRPr="00E2637E">
        <w:rPr>
          <w:rFonts w:ascii="Times New Roman" w:hAnsi="Times New Roman"/>
          <w:sz w:val="24"/>
          <w:szCs w:val="24"/>
        </w:rPr>
        <w:t xml:space="preserve">provide a coordinated and capable alternative to landside transportation; mitigate or relieve landside congestion; promote Marine Highway Transportation; or use vessels documented under 46 U.S.C. chapter 121; and 2) develop, expand, or promote Marine Highway Transportation or shipper use of Marine Highway Transportation.  </w:t>
      </w:r>
    </w:p>
    <w:p w:rsidR="001C10F3" w:rsidRPr="00E2637E" w:rsidP="00436FDF" w14:paraId="41BC1B3C" w14:textId="77777777">
      <w:pPr>
        <w:ind w:left="288"/>
        <w:rPr>
          <w:rFonts w:ascii="Times New Roman" w:hAnsi="Times New Roman"/>
          <w:sz w:val="24"/>
          <w:szCs w:val="24"/>
        </w:rPr>
      </w:pPr>
    </w:p>
    <w:p w:rsidR="00C322B9" w:rsidRPr="00E2637E" w:rsidP="00436FDF" w14:paraId="3C0A34B1" w14:textId="4C46D5AD">
      <w:pPr>
        <w:ind w:left="288"/>
        <w:rPr>
          <w:rFonts w:ascii="Times New Roman" w:hAnsi="Times New Roman"/>
          <w:sz w:val="24"/>
          <w:szCs w:val="24"/>
        </w:rPr>
      </w:pPr>
      <w:r w:rsidRPr="00E2637E">
        <w:rPr>
          <w:rFonts w:ascii="Times New Roman" w:hAnsi="Times New Roman"/>
          <w:sz w:val="24"/>
          <w:szCs w:val="24"/>
        </w:rPr>
        <w:t xml:space="preserve">If this collection is not allowed, </w:t>
      </w:r>
      <w:r w:rsidRPr="00E2637E" w:rsidR="001C10F3">
        <w:rPr>
          <w:rFonts w:ascii="Times New Roman" w:hAnsi="Times New Roman"/>
          <w:sz w:val="24"/>
          <w:szCs w:val="24"/>
        </w:rPr>
        <w:t xml:space="preserve">existing and potential maritime services on the </w:t>
      </w:r>
      <w:r w:rsidRPr="00E2637E" w:rsidR="00896C44">
        <w:rPr>
          <w:rFonts w:ascii="Times New Roman" w:hAnsi="Times New Roman"/>
          <w:sz w:val="24"/>
          <w:szCs w:val="24"/>
        </w:rPr>
        <w:t>nation’s</w:t>
      </w:r>
      <w:r w:rsidRPr="00E2637E" w:rsidR="001C10F3">
        <w:rPr>
          <w:rFonts w:ascii="Times New Roman" w:hAnsi="Times New Roman"/>
          <w:sz w:val="24"/>
          <w:szCs w:val="24"/>
        </w:rPr>
        <w:t xml:space="preserve"> waterways will not grow or develop.  The Program provides public benefits by removing trucks from the nation’s roadways, resulting in road damage mitigation, reduced emissions, and reduced congestion.  </w:t>
      </w:r>
      <w:r w:rsidRPr="00E2637E" w:rsidR="00472E87">
        <w:rPr>
          <w:rFonts w:ascii="Times New Roman" w:hAnsi="Times New Roman"/>
          <w:sz w:val="24"/>
          <w:szCs w:val="24"/>
        </w:rPr>
        <w:t>If not allowed</w:t>
      </w:r>
      <w:r w:rsidRPr="00E2637E">
        <w:rPr>
          <w:rFonts w:ascii="Times New Roman" w:hAnsi="Times New Roman"/>
          <w:sz w:val="24"/>
          <w:szCs w:val="24"/>
        </w:rPr>
        <w:t xml:space="preserve">, </w:t>
      </w:r>
      <w:r w:rsidRPr="00E2637E" w:rsidR="001C10F3">
        <w:rPr>
          <w:rFonts w:ascii="Times New Roman" w:hAnsi="Times New Roman"/>
          <w:sz w:val="24"/>
          <w:szCs w:val="24"/>
        </w:rPr>
        <w:t>road congestions</w:t>
      </w:r>
      <w:r w:rsidRPr="00E2637E" w:rsidR="00896C44">
        <w:rPr>
          <w:rFonts w:ascii="Times New Roman" w:hAnsi="Times New Roman"/>
          <w:sz w:val="24"/>
          <w:szCs w:val="24"/>
        </w:rPr>
        <w:t xml:space="preserve"> and emissions will both increase as there will not be a viable maritime option to move freight domestically.  </w:t>
      </w:r>
      <w:r w:rsidRPr="00E2637E">
        <w:rPr>
          <w:rFonts w:ascii="Times New Roman" w:hAnsi="Times New Roman"/>
          <w:sz w:val="24"/>
          <w:szCs w:val="24"/>
        </w:rPr>
        <w:t xml:space="preserve">If not allowed, applications cannot be submitted for possible funding under this </w:t>
      </w:r>
      <w:r w:rsidR="00E772D6">
        <w:rPr>
          <w:rFonts w:ascii="Times New Roman" w:hAnsi="Times New Roman"/>
          <w:sz w:val="24"/>
          <w:szCs w:val="24"/>
        </w:rPr>
        <w:t>P</w:t>
      </w:r>
      <w:r w:rsidRPr="00E2637E">
        <w:rPr>
          <w:rFonts w:ascii="Times New Roman" w:hAnsi="Times New Roman"/>
          <w:sz w:val="24"/>
          <w:szCs w:val="24"/>
        </w:rPr>
        <w:t>rogram</w:t>
      </w:r>
      <w:r w:rsidR="001822E0">
        <w:rPr>
          <w:rFonts w:ascii="Times New Roman" w:hAnsi="Times New Roman"/>
          <w:sz w:val="24"/>
          <w:szCs w:val="24"/>
        </w:rPr>
        <w:t xml:space="preserve">.  Grant recipients would also be unable to provide </w:t>
      </w:r>
      <w:r w:rsidR="000C2131">
        <w:rPr>
          <w:rFonts w:ascii="Times New Roman" w:hAnsi="Times New Roman"/>
          <w:sz w:val="24"/>
          <w:szCs w:val="24"/>
        </w:rPr>
        <w:t xml:space="preserve">grant progress reports or quarterly </w:t>
      </w:r>
      <w:r w:rsidR="001822E0">
        <w:rPr>
          <w:rFonts w:ascii="Times New Roman" w:hAnsi="Times New Roman"/>
          <w:sz w:val="24"/>
          <w:szCs w:val="24"/>
        </w:rPr>
        <w:t>grant performance measures.</w:t>
      </w:r>
    </w:p>
    <w:p w:rsidR="00CC54AD" w:rsidRPr="00E2637E" w:rsidP="00F746AE" w14:paraId="15271C40" w14:textId="6E943022">
      <w:pPr>
        <w:ind w:left="-90"/>
        <w:rPr>
          <w:rFonts w:ascii="Times New Roman" w:hAnsi="Times New Roman"/>
          <w:sz w:val="24"/>
          <w:szCs w:val="24"/>
        </w:rPr>
      </w:pPr>
    </w:p>
    <w:p w:rsidR="000879E6" w:rsidP="00694F34" w14:paraId="219DC208" w14:textId="3F3C9D31">
      <w:pPr>
        <w:pStyle w:val="ListParagraph"/>
        <w:numPr>
          <w:ilvl w:val="0"/>
          <w:numId w:val="47"/>
        </w:numPr>
        <w:rPr>
          <w:b/>
        </w:rPr>
      </w:pPr>
      <w:r w:rsidRPr="00436FDF">
        <w:rPr>
          <w:b/>
        </w:rPr>
        <w:t xml:space="preserve">Special </w:t>
      </w:r>
      <w:r w:rsidRPr="00436FDF" w:rsidR="00127538">
        <w:rPr>
          <w:b/>
        </w:rPr>
        <w:t>Circumstances Relating to the Guidelines 5 CFR 1320.5</w:t>
      </w:r>
      <w:r w:rsidRPr="00127538" w:rsidR="00470720">
        <w:rPr>
          <w:b/>
        </w:rPr>
        <w:t xml:space="preserve">  </w:t>
      </w:r>
    </w:p>
    <w:p w:rsidR="00127538" w:rsidP="00694F34" w14:paraId="41E8618C" w14:textId="77777777">
      <w:pPr>
        <w:ind w:left="288"/>
        <w:rPr>
          <w:b/>
        </w:rPr>
      </w:pPr>
    </w:p>
    <w:p w:rsidR="00127538" w:rsidP="00694F34" w14:paraId="362092D5" w14:textId="13672F41">
      <w:pPr>
        <w:pStyle w:val="ListParagraph"/>
        <w:ind w:left="288"/>
      </w:pPr>
      <w:r w:rsidRPr="00E2637E">
        <w:t>Under this collection</w:t>
      </w:r>
      <w:r>
        <w:t xml:space="preserve">, an applicant </w:t>
      </w:r>
      <w:r w:rsidR="00BF048A">
        <w:t>will</w:t>
      </w:r>
      <w:r>
        <w:t xml:space="preserve"> be required to submit</w:t>
      </w:r>
      <w:r w:rsidRPr="00E2637E">
        <w:t xml:space="preserve"> </w:t>
      </w:r>
      <w:r>
        <w:t>a</w:t>
      </w:r>
      <w:r w:rsidRPr="00E2637E">
        <w:t xml:space="preserve"> </w:t>
      </w:r>
      <w:r>
        <w:t>grant application</w:t>
      </w:r>
      <w:r w:rsidRPr="00E2637E">
        <w:t xml:space="preserve"> electronically.</w:t>
      </w:r>
      <w:r>
        <w:t xml:space="preserve"> If the applicant is awarded a grant, MARAD</w:t>
      </w:r>
      <w:r w:rsidRPr="00744CF0">
        <w:t xml:space="preserve"> will </w:t>
      </w:r>
      <w:r>
        <w:t>negotiate a grant agreement with the recipient. When a grant agreement is executed, the recipient is required to provide</w:t>
      </w:r>
      <w:r w:rsidRPr="00744CF0">
        <w:t xml:space="preserve"> </w:t>
      </w:r>
      <w:r>
        <w:t xml:space="preserve">quarterly </w:t>
      </w:r>
      <w:r w:rsidRPr="00744CF0">
        <w:t xml:space="preserve">progress reports until the project is complete. </w:t>
      </w:r>
      <w:r>
        <w:t>When</w:t>
      </w:r>
      <w:r w:rsidRPr="00744CF0">
        <w:t xml:space="preserve"> a project is complete, the </w:t>
      </w:r>
      <w:r>
        <w:t>recipient</w:t>
      </w:r>
      <w:r w:rsidRPr="00744CF0">
        <w:t xml:space="preserve"> will report on </w:t>
      </w:r>
      <w:r>
        <w:t xml:space="preserve">quarterly </w:t>
      </w:r>
      <w:r w:rsidRPr="00744CF0">
        <w:t>performance measures showing the public benefits accrued from these grant awards.</w:t>
      </w:r>
    </w:p>
    <w:p w:rsidR="00127538" w:rsidP="00694F34" w14:paraId="6F843F1B" w14:textId="77777777">
      <w:pPr>
        <w:pStyle w:val="ListParagraph"/>
        <w:ind w:left="288"/>
      </w:pPr>
    </w:p>
    <w:p w:rsidR="00127538" w:rsidRPr="00436FDF" w:rsidP="00436FDF" w14:paraId="0E5CAB57" w14:textId="29672342">
      <w:pPr>
        <w:tabs>
          <w:tab w:val="left" w:pos="360"/>
        </w:tabs>
        <w:ind w:left="288"/>
        <w:rPr>
          <w:iCs/>
          <w:color w:val="000000"/>
        </w:rPr>
      </w:pPr>
      <w:r w:rsidRPr="00694F34">
        <w:rPr>
          <w:rFonts w:ascii="Times New Roman" w:hAnsi="Times New Roman"/>
          <w:bCs/>
          <w:sz w:val="24"/>
          <w:szCs w:val="24"/>
        </w:rPr>
        <w:t xml:space="preserve">All information </w:t>
      </w:r>
      <w:r w:rsidRPr="00436FDF">
        <w:rPr>
          <w:rFonts w:ascii="Times New Roman" w:hAnsi="Times New Roman"/>
          <w:iCs/>
          <w:color w:val="000000"/>
          <w:sz w:val="24"/>
          <w:szCs w:val="24"/>
        </w:rPr>
        <w:t xml:space="preserve">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why the information you are submitting is CBI.  DOT will protect confidential information complying with these requirements to the extent required under applicable law.  If </w:t>
      </w:r>
      <w:r w:rsidR="00BF048A">
        <w:rPr>
          <w:rFonts w:ascii="Times New Roman" w:hAnsi="Times New Roman"/>
          <w:iCs/>
          <w:color w:val="000000"/>
          <w:sz w:val="24"/>
          <w:szCs w:val="24"/>
        </w:rPr>
        <w:t xml:space="preserve"> </w:t>
      </w:r>
      <w:r w:rsidRPr="00436FDF">
        <w:rPr>
          <w:rFonts w:ascii="Times New Roman" w:hAnsi="Times New Roman"/>
          <w:iCs/>
          <w:color w:val="000000"/>
          <w:sz w:val="24"/>
          <w:szCs w:val="24"/>
        </w:rPr>
        <w:t>DOT receives a Freedom of Information Act (FOIA) request for the information that the applicant has marked in accordance with this section, DOT will follow the procedures described in its FOIA regulations at 49</w:t>
      </w:r>
      <w:r w:rsidR="00556747">
        <w:rPr>
          <w:rFonts w:ascii="Times New Roman" w:hAnsi="Times New Roman"/>
          <w:iCs/>
          <w:color w:val="000000"/>
          <w:sz w:val="24"/>
          <w:szCs w:val="24"/>
        </w:rPr>
        <w:t xml:space="preserve"> Code of Federal Regulations (</w:t>
      </w:r>
      <w:r w:rsidRPr="00436FDF">
        <w:rPr>
          <w:rFonts w:ascii="Times New Roman" w:hAnsi="Times New Roman"/>
          <w:iCs/>
          <w:color w:val="000000"/>
          <w:sz w:val="24"/>
          <w:szCs w:val="24"/>
        </w:rPr>
        <w:t>C.F.R.</w:t>
      </w:r>
      <w:r w:rsidR="00556747">
        <w:rPr>
          <w:rFonts w:ascii="Times New Roman" w:hAnsi="Times New Roman"/>
          <w:iCs/>
          <w:color w:val="000000"/>
          <w:sz w:val="24"/>
          <w:szCs w:val="24"/>
        </w:rPr>
        <w:t>)</w:t>
      </w:r>
      <w:r w:rsidRPr="00436FDF">
        <w:rPr>
          <w:rFonts w:ascii="Times New Roman" w:hAnsi="Times New Roman"/>
          <w:iCs/>
          <w:color w:val="000000"/>
          <w:sz w:val="24"/>
          <w:szCs w:val="24"/>
        </w:rPr>
        <w:t xml:space="preserve"> </w:t>
      </w:r>
      <w:r w:rsidR="00556747">
        <w:rPr>
          <w:rFonts w:ascii="Times New Roman" w:hAnsi="Times New Roman"/>
          <w:iCs/>
          <w:color w:val="000000"/>
          <w:sz w:val="24"/>
          <w:szCs w:val="24"/>
        </w:rPr>
        <w:t>Section (</w:t>
      </w:r>
      <w:r w:rsidRPr="00436FDF">
        <w:rPr>
          <w:rFonts w:ascii="Times New Roman" w:hAnsi="Times New Roman"/>
          <w:iCs/>
          <w:color w:val="000000"/>
          <w:sz w:val="24"/>
          <w:szCs w:val="24"/>
        </w:rPr>
        <w:t>§</w:t>
      </w:r>
      <w:r w:rsidR="00556747">
        <w:rPr>
          <w:rFonts w:ascii="Times New Roman" w:hAnsi="Times New Roman"/>
          <w:iCs/>
          <w:color w:val="000000"/>
          <w:sz w:val="24"/>
          <w:szCs w:val="24"/>
        </w:rPr>
        <w:t>)</w:t>
      </w:r>
      <w:r w:rsidRPr="00436FDF">
        <w:rPr>
          <w:rFonts w:ascii="Times New Roman" w:hAnsi="Times New Roman"/>
          <w:iCs/>
          <w:color w:val="000000"/>
          <w:sz w:val="24"/>
          <w:szCs w:val="24"/>
        </w:rPr>
        <w:t xml:space="preserve"> 7.29.  Only information that is in the separate document, marked in accordance with this section, and ultimately determined to be confidential under § 7.29 will be exempt from disclosure under FOIA.</w:t>
      </w:r>
    </w:p>
    <w:p w:rsidR="00127538" w:rsidRPr="00E2637E" w:rsidP="00436FDF" w14:paraId="3C2A9EB1" w14:textId="77777777"/>
    <w:p w:rsidR="00127538" w:rsidRPr="00127538" w:rsidP="00436FDF" w14:paraId="74D9754F" w14:textId="486789BE">
      <w:pPr>
        <w:ind w:left="288"/>
        <w:rPr>
          <w:rFonts w:ascii="Times New Roman" w:hAnsi="Times New Roman"/>
          <w:bCs/>
          <w:sz w:val="24"/>
          <w:szCs w:val="24"/>
        </w:rPr>
      </w:pPr>
      <w:r w:rsidRPr="00436FDF">
        <w:rPr>
          <w:rFonts w:ascii="Times New Roman" w:hAnsi="Times New Roman"/>
          <w:bCs/>
          <w:sz w:val="24"/>
          <w:szCs w:val="24"/>
        </w:rPr>
        <w:t xml:space="preserve">There are no special circumstances that would cause this collection to be conducted in a different manner including but not limited to those listed below: </w:t>
      </w:r>
    </w:p>
    <w:p w:rsidR="00B91F89" w:rsidRPr="00E2637E" w:rsidP="00C322B9" w14:paraId="48EB4C0B" w14:textId="77777777">
      <w:pPr>
        <w:ind w:left="-90"/>
        <w:rPr>
          <w:rFonts w:ascii="Times New Roman" w:hAnsi="Times New Roman"/>
          <w:sz w:val="24"/>
          <w:szCs w:val="24"/>
        </w:rPr>
      </w:pPr>
    </w:p>
    <w:p w:rsidR="00127538" w:rsidRPr="00C94597" w:rsidP="00127538" w14:paraId="447C912C"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Requiring respondents to report information to MARAD more often than quarterly;</w:t>
      </w:r>
    </w:p>
    <w:p w:rsidR="00127538" w:rsidRPr="00C94597" w:rsidP="00127538" w14:paraId="79DA1F0C"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Requiring respondents to prepare a written response in fewer than 30 days after receipt of a collection instrument;</w:t>
      </w:r>
    </w:p>
    <w:p w:rsidR="00127538" w:rsidRPr="00C94597" w:rsidP="00127538" w14:paraId="3FE5F5F0"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Requiring respondents to submit more than one original copy of any document;</w:t>
      </w:r>
    </w:p>
    <w:p w:rsidR="00127538" w:rsidRPr="00C94597" w:rsidP="00127538" w14:paraId="7418C549"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Requiring respondents to retain records, other than health, medical, government contract, grant-in-aid, or tax records for more than three years;</w:t>
      </w:r>
    </w:p>
    <w:p w:rsidR="00127538" w:rsidRPr="00C94597" w:rsidP="00127538" w14:paraId="75557E33"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Requiring the use of any statistical data that is not designed to produce valid and reliable results that can be generalized to the universe of study;</w:t>
      </w:r>
    </w:p>
    <w:p w:rsidR="00127538" w:rsidRPr="00C94597" w:rsidP="00127538" w14:paraId="6BD74DF4"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Requiring the use of a statistical data classification that has not been reviewed and approved by OMB;</w:t>
      </w:r>
    </w:p>
    <w:p w:rsidR="00127538" w:rsidRPr="00C94597" w:rsidP="00127538" w14:paraId="3DD68B58" w14:textId="77777777">
      <w:pPr>
        <w:numPr>
          <w:ilvl w:val="0"/>
          <w:numId w:val="44"/>
        </w:numPr>
        <w:contextualSpacing/>
        <w:rPr>
          <w:rFonts w:ascii="Times New Roman" w:hAnsi="Times New Roman"/>
          <w:bCs/>
          <w:sz w:val="24"/>
          <w:szCs w:val="24"/>
        </w:rPr>
      </w:pPr>
      <w:r>
        <w:rPr>
          <w:rFonts w:ascii="Times New Roman" w:hAnsi="Times New Roman"/>
          <w:bCs/>
          <w:sz w:val="24"/>
          <w:szCs w:val="24"/>
        </w:rPr>
        <w:t>Requiring any</w:t>
      </w:r>
      <w:r w:rsidRPr="00C94597">
        <w:rPr>
          <w:rFonts w:ascii="Times New Roman" w:hAnsi="Times New Roman"/>
          <w:bCs/>
          <w:sz w:val="24"/>
          <w:szCs w:val="24"/>
        </w:rPr>
        <w:t xml:space="preserve"> pledge of confidentiality</w:t>
      </w:r>
      <w:r>
        <w:rPr>
          <w:rFonts w:ascii="Times New Roman" w:hAnsi="Times New Roman"/>
          <w:bCs/>
          <w:sz w:val="24"/>
          <w:szCs w:val="24"/>
        </w:rPr>
        <w:t xml:space="preserve">; </w:t>
      </w:r>
      <w:r w:rsidRPr="00C94597">
        <w:rPr>
          <w:rFonts w:ascii="Times New Roman" w:hAnsi="Times New Roman"/>
          <w:bCs/>
          <w:sz w:val="24"/>
          <w:szCs w:val="24"/>
        </w:rPr>
        <w:t xml:space="preserve">or </w:t>
      </w:r>
    </w:p>
    <w:p w:rsidR="00127538" w:rsidRPr="00C94597" w:rsidP="00127538" w14:paraId="6AAC72A0" w14:textId="77777777">
      <w:pPr>
        <w:numPr>
          <w:ilvl w:val="0"/>
          <w:numId w:val="44"/>
        </w:numPr>
        <w:contextualSpacing/>
        <w:rPr>
          <w:rFonts w:ascii="Times New Roman" w:hAnsi="Times New Roman"/>
          <w:bCs/>
          <w:sz w:val="24"/>
          <w:szCs w:val="24"/>
        </w:rPr>
      </w:pPr>
      <w:r w:rsidRPr="00C94597">
        <w:rPr>
          <w:rFonts w:ascii="Times New Roman" w:hAnsi="Times New Roman"/>
          <w:bCs/>
          <w:sz w:val="24"/>
          <w:szCs w:val="24"/>
        </w:rPr>
        <w:t xml:space="preserve">Requiring respondents to submit </w:t>
      </w:r>
      <w:r>
        <w:rPr>
          <w:rFonts w:ascii="Times New Roman" w:hAnsi="Times New Roman"/>
          <w:bCs/>
          <w:sz w:val="24"/>
          <w:szCs w:val="24"/>
        </w:rPr>
        <w:t xml:space="preserve">any </w:t>
      </w:r>
      <w:r w:rsidRPr="00C94597">
        <w:rPr>
          <w:rFonts w:ascii="Times New Roman" w:hAnsi="Times New Roman"/>
          <w:bCs/>
          <w:sz w:val="24"/>
          <w:szCs w:val="24"/>
        </w:rPr>
        <w:t>proprietary</w:t>
      </w:r>
      <w:r>
        <w:rPr>
          <w:rFonts w:ascii="Times New Roman" w:hAnsi="Times New Roman"/>
          <w:bCs/>
          <w:sz w:val="24"/>
          <w:szCs w:val="24"/>
        </w:rPr>
        <w:t xml:space="preserve"> or</w:t>
      </w:r>
      <w:r w:rsidRPr="00C94597">
        <w:rPr>
          <w:rFonts w:ascii="Times New Roman" w:hAnsi="Times New Roman"/>
          <w:bCs/>
          <w:sz w:val="24"/>
          <w:szCs w:val="24"/>
        </w:rPr>
        <w:t xml:space="preserve"> trade secret</w:t>
      </w:r>
      <w:r>
        <w:rPr>
          <w:rFonts w:ascii="Times New Roman" w:hAnsi="Times New Roman"/>
          <w:bCs/>
          <w:sz w:val="24"/>
          <w:szCs w:val="24"/>
        </w:rPr>
        <w:t>s</w:t>
      </w:r>
      <w:r w:rsidRPr="00C94597">
        <w:rPr>
          <w:rFonts w:ascii="Times New Roman" w:hAnsi="Times New Roman"/>
          <w:bCs/>
          <w:sz w:val="24"/>
          <w:szCs w:val="24"/>
        </w:rPr>
        <w:t>.</w:t>
      </w:r>
    </w:p>
    <w:p w:rsidR="007D6B0A" w:rsidRPr="00E2637E" w:rsidP="00436FDF" w14:paraId="48DC1C84" w14:textId="3DAF0BCD">
      <w:pPr>
        <w:pStyle w:val="ListParagraph"/>
        <w:tabs>
          <w:tab w:val="left" w:pos="360"/>
        </w:tabs>
        <w:ind w:left="630"/>
        <w:rPr>
          <w:bCs/>
        </w:rPr>
      </w:pPr>
      <w:r w:rsidRPr="00E2637E">
        <w:rPr>
          <w:bCs/>
        </w:rPr>
        <w:t xml:space="preserve">  </w:t>
      </w:r>
    </w:p>
    <w:p w:rsidR="001031C5" w:rsidP="00436FDF" w14:paraId="51FF8AC5" w14:textId="100E08A6">
      <w:pPr>
        <w:pStyle w:val="ListParagraph"/>
        <w:numPr>
          <w:ilvl w:val="0"/>
          <w:numId w:val="47"/>
        </w:numPr>
        <w:rPr>
          <w:b/>
        </w:rPr>
      </w:pPr>
      <w:r w:rsidRPr="00436FDF">
        <w:rPr>
          <w:b/>
        </w:rPr>
        <w:t>Public Comments in Response to the Federal Register Notice and Outside Consultation</w:t>
      </w:r>
      <w:r w:rsidRPr="00556747" w:rsidR="00470720">
        <w:rPr>
          <w:b/>
        </w:rPr>
        <w:t xml:space="preserve">  </w:t>
      </w:r>
    </w:p>
    <w:p w:rsidR="00114015" w:rsidP="00114015" w14:paraId="6EE6D4A4" w14:textId="77777777">
      <w:pPr>
        <w:rPr>
          <w:b/>
        </w:rPr>
      </w:pPr>
    </w:p>
    <w:p w:rsidR="00A74186" w:rsidP="00AE1681" w14:paraId="1D490FAC" w14:textId="13385DF8">
      <w:pPr>
        <w:ind w:left="270"/>
        <w:rPr>
          <w:rFonts w:ascii="Times New Roman" w:hAnsi="Times New Roman"/>
          <w:sz w:val="24"/>
          <w:szCs w:val="24"/>
        </w:rPr>
      </w:pPr>
      <w:bookmarkStart w:id="6" w:name="_Hlk189489180"/>
      <w:r>
        <w:rPr>
          <w:rFonts w:ascii="Times New Roman" w:hAnsi="Times New Roman"/>
          <w:sz w:val="24"/>
          <w:szCs w:val="24"/>
        </w:rPr>
        <w:t xml:space="preserve">MARAD published a </w:t>
      </w:r>
      <w:r w:rsidRPr="00A74186" w:rsidR="00C72A99">
        <w:rPr>
          <w:rFonts w:ascii="Times New Roman" w:hAnsi="Times New Roman"/>
          <w:sz w:val="24"/>
          <w:szCs w:val="24"/>
        </w:rPr>
        <w:t>60</w:t>
      </w:r>
      <w:r>
        <w:rPr>
          <w:rFonts w:ascii="Times New Roman" w:hAnsi="Times New Roman"/>
          <w:sz w:val="24"/>
          <w:szCs w:val="24"/>
        </w:rPr>
        <w:t xml:space="preserve">-day notice and request for comments on this information collection in the Federal Register (FR </w:t>
      </w:r>
      <w:r w:rsidR="007345D2">
        <w:rPr>
          <w:rFonts w:ascii="Times New Roman" w:hAnsi="Times New Roman"/>
          <w:sz w:val="24"/>
          <w:szCs w:val="24"/>
        </w:rPr>
        <w:t>97167</w:t>
      </w:r>
      <w:r w:rsidRPr="00A74186" w:rsidR="007345D2">
        <w:rPr>
          <w:rFonts w:ascii="Times New Roman" w:hAnsi="Times New Roman"/>
          <w:sz w:val="24"/>
          <w:szCs w:val="24"/>
        </w:rPr>
        <w:t>, Vol.</w:t>
      </w:r>
      <w:r w:rsidRPr="00A74186" w:rsidR="00C72A99">
        <w:rPr>
          <w:rFonts w:ascii="Times New Roman" w:hAnsi="Times New Roman"/>
          <w:sz w:val="24"/>
          <w:szCs w:val="24"/>
        </w:rPr>
        <w:t xml:space="preserve"> 89</w:t>
      </w:r>
      <w:r w:rsidRPr="00A74186">
        <w:rPr>
          <w:rFonts w:ascii="Times New Roman" w:hAnsi="Times New Roman"/>
          <w:sz w:val="24"/>
          <w:szCs w:val="24"/>
        </w:rPr>
        <w:t xml:space="preserve">, No. </w:t>
      </w:r>
      <w:r w:rsidRPr="00A74186" w:rsidR="00C72A99">
        <w:rPr>
          <w:rFonts w:ascii="Times New Roman" w:hAnsi="Times New Roman"/>
          <w:sz w:val="24"/>
          <w:szCs w:val="24"/>
        </w:rPr>
        <w:t>235</w:t>
      </w:r>
      <w:r w:rsidRPr="00A74186">
        <w:rPr>
          <w:rFonts w:ascii="Times New Roman" w:hAnsi="Times New Roman"/>
          <w:sz w:val="24"/>
          <w:szCs w:val="24"/>
        </w:rPr>
        <w:t xml:space="preserve">) on </w:t>
      </w:r>
      <w:r w:rsidRPr="00A74186" w:rsidR="00C72A99">
        <w:rPr>
          <w:rFonts w:ascii="Times New Roman" w:hAnsi="Times New Roman"/>
          <w:sz w:val="24"/>
          <w:szCs w:val="24"/>
        </w:rPr>
        <w:t>Friday, December</w:t>
      </w:r>
      <w:r w:rsidRPr="00A74186">
        <w:rPr>
          <w:rFonts w:ascii="Times New Roman" w:hAnsi="Times New Roman"/>
          <w:sz w:val="24"/>
          <w:szCs w:val="24"/>
        </w:rPr>
        <w:t xml:space="preserve"> </w:t>
      </w:r>
      <w:r w:rsidRPr="00A74186" w:rsidR="00C72A99">
        <w:rPr>
          <w:rFonts w:ascii="Times New Roman" w:hAnsi="Times New Roman"/>
          <w:sz w:val="24"/>
          <w:szCs w:val="24"/>
        </w:rPr>
        <w:t>6</w:t>
      </w:r>
      <w:r w:rsidRPr="00A74186">
        <w:rPr>
          <w:rFonts w:ascii="Times New Roman" w:hAnsi="Times New Roman"/>
          <w:sz w:val="24"/>
          <w:szCs w:val="24"/>
        </w:rPr>
        <w:t xml:space="preserve">, </w:t>
      </w:r>
      <w:r w:rsidRPr="00A74186" w:rsidR="00C72A99">
        <w:rPr>
          <w:rFonts w:ascii="Times New Roman" w:hAnsi="Times New Roman"/>
          <w:sz w:val="24"/>
          <w:szCs w:val="24"/>
        </w:rPr>
        <w:t>2024</w:t>
      </w:r>
      <w:bookmarkEnd w:id="6"/>
      <w:r>
        <w:rPr>
          <w:rFonts w:ascii="Times New Roman" w:hAnsi="Times New Roman"/>
          <w:sz w:val="24"/>
          <w:szCs w:val="24"/>
        </w:rPr>
        <w:t xml:space="preserve">, indicating comments should be submitted on or before </w:t>
      </w:r>
      <w:r w:rsidRPr="003B6FC6" w:rsidR="00C72A99">
        <w:rPr>
          <w:rFonts w:ascii="Times New Roman" w:hAnsi="Times New Roman"/>
          <w:sz w:val="24"/>
          <w:szCs w:val="24"/>
        </w:rPr>
        <w:t>February 4, 2025</w:t>
      </w:r>
      <w:r>
        <w:rPr>
          <w:rFonts w:ascii="Times New Roman" w:hAnsi="Times New Roman"/>
          <w:sz w:val="24"/>
          <w:szCs w:val="24"/>
        </w:rPr>
        <w:t xml:space="preserve">.  </w:t>
      </w:r>
      <w:r w:rsidRPr="003B6FC6">
        <w:rPr>
          <w:rFonts w:ascii="Times New Roman" w:hAnsi="Times New Roman"/>
          <w:sz w:val="24"/>
          <w:szCs w:val="24"/>
        </w:rPr>
        <w:t>No comments were received</w:t>
      </w:r>
      <w:r w:rsidRPr="003B6FC6" w:rsidR="00C72A99">
        <w:rPr>
          <w:rFonts w:ascii="Times New Roman" w:hAnsi="Times New Roman"/>
          <w:sz w:val="24"/>
          <w:szCs w:val="24"/>
        </w:rPr>
        <w:t>.</w:t>
      </w:r>
      <w:r>
        <w:rPr>
          <w:rFonts w:ascii="Times New Roman" w:hAnsi="Times New Roman"/>
          <w:sz w:val="24"/>
          <w:szCs w:val="24"/>
        </w:rPr>
        <w:t xml:space="preserve">  A 30-day notice will now be published in the Federal Register to solicit public comments.</w:t>
      </w:r>
    </w:p>
    <w:p w:rsidR="007D6B0A" w:rsidRPr="003B6FC6" w:rsidP="00AE1681" w14:paraId="0DD9B4AC" w14:textId="16EAF581">
      <w:pPr>
        <w:widowControl/>
        <w:ind w:left="270"/>
        <w:rPr>
          <w:rFonts w:ascii="Times New Roman" w:eastAsia="Calibri" w:hAnsi="Times New Roman"/>
          <w:sz w:val="24"/>
          <w:szCs w:val="24"/>
        </w:rPr>
      </w:pPr>
    </w:p>
    <w:p w:rsidR="00556747" w:rsidP="00AE1681" w14:paraId="7F58EB85" w14:textId="09BB01D1">
      <w:pPr>
        <w:widowControl/>
        <w:ind w:left="270"/>
        <w:rPr>
          <w:rFonts w:ascii="Times New Roman" w:eastAsia="Calibri" w:hAnsi="Times New Roman"/>
          <w:sz w:val="24"/>
          <w:szCs w:val="24"/>
        </w:rPr>
      </w:pPr>
    </w:p>
    <w:p w:rsidR="00556747" w:rsidRPr="003E19F0" w:rsidP="00AE1681" w14:paraId="14EAED8A" w14:textId="3CA4D5E0">
      <w:pPr>
        <w:widowControl/>
        <w:ind w:left="270"/>
        <w:rPr>
          <w:rFonts w:ascii="Times New Roman" w:eastAsia="Calibri" w:hAnsi="Times New Roman"/>
          <w:sz w:val="24"/>
          <w:szCs w:val="24"/>
        </w:rPr>
      </w:pPr>
      <w:r w:rsidRPr="003E19F0">
        <w:rPr>
          <w:rFonts w:ascii="Times New Roman" w:eastAsia="Calibri" w:hAnsi="Times New Roman"/>
          <w:sz w:val="24"/>
          <w:szCs w:val="24"/>
        </w:rPr>
        <w:t>MARAD Consulted with</w:t>
      </w:r>
      <w:r w:rsidR="00436FDF">
        <w:rPr>
          <w:rFonts w:ascii="Times New Roman" w:eastAsia="Calibri" w:hAnsi="Times New Roman"/>
          <w:sz w:val="24"/>
          <w:szCs w:val="24"/>
        </w:rPr>
        <w:t xml:space="preserve"> </w:t>
      </w:r>
      <w:r w:rsidRPr="003E19F0" w:rsidR="00436FDF">
        <w:rPr>
          <w:rFonts w:ascii="Times New Roman" w:hAnsi="Times New Roman"/>
          <w:sz w:val="24"/>
          <w:szCs w:val="24"/>
        </w:rPr>
        <w:t xml:space="preserve">approximately two hundred fifty current or potential stakeholders through webinars, in person meetings and via MARAD Gateway Directors.  The objective of this engagement is to reduce the burden of applying for US Marine Highway Program grant funding both in terms of time expended and possible costs if outside expertise is engaged.  A sample of webinar material can be found at: </w:t>
      </w:r>
      <w:hyperlink r:id="rId6" w:history="1">
        <w:r w:rsidRPr="003E19F0" w:rsidR="00436FDF">
          <w:rPr>
            <w:rStyle w:val="Hyperlink"/>
            <w:rFonts w:ascii="Times New Roman" w:hAnsi="Times New Roman"/>
            <w:sz w:val="24"/>
            <w:szCs w:val="24"/>
          </w:rPr>
          <w:t>2024 U.S Marine Highway Program Grant Program Webinars | MARAD</w:t>
        </w:r>
      </w:hyperlink>
      <w:r w:rsidR="003E19F0">
        <w:rPr>
          <w:rFonts w:ascii="Times New Roman" w:hAnsi="Times New Roman"/>
          <w:sz w:val="24"/>
          <w:szCs w:val="24"/>
        </w:rPr>
        <w:t>.</w:t>
      </w:r>
    </w:p>
    <w:p w:rsidR="0082332C" w:rsidRPr="00E2637E" w:rsidP="0082332C" w14:paraId="73F4EDB1" w14:textId="77777777">
      <w:pPr>
        <w:widowControl/>
        <w:rPr>
          <w:rFonts w:ascii="Times New Roman" w:eastAsia="Calibri" w:hAnsi="Times New Roman"/>
          <w:sz w:val="22"/>
          <w:szCs w:val="22"/>
        </w:rPr>
      </w:pPr>
    </w:p>
    <w:p w:rsidR="00470720" w:rsidRPr="00436FDF" w:rsidP="00436FDF" w14:paraId="164F9CE2" w14:textId="5EE3B2CD">
      <w:pPr>
        <w:pStyle w:val="ListParagraph"/>
        <w:numPr>
          <w:ilvl w:val="0"/>
          <w:numId w:val="47"/>
        </w:numPr>
        <w:rPr>
          <w:b/>
        </w:rPr>
      </w:pPr>
      <w:r w:rsidRPr="00436FDF">
        <w:rPr>
          <w:b/>
        </w:rPr>
        <w:t xml:space="preserve">Explanation of Any </w:t>
      </w:r>
      <w:r w:rsidRPr="00436FDF" w:rsidR="0004749E">
        <w:rPr>
          <w:b/>
        </w:rPr>
        <w:t xml:space="preserve">Payments or </w:t>
      </w:r>
      <w:r w:rsidRPr="00436FDF">
        <w:rPr>
          <w:b/>
        </w:rPr>
        <w:t xml:space="preserve">Gifts </w:t>
      </w:r>
      <w:r w:rsidRPr="00436FDF" w:rsidR="0004749E">
        <w:rPr>
          <w:b/>
        </w:rPr>
        <w:t xml:space="preserve">to </w:t>
      </w:r>
      <w:r w:rsidRPr="00436FDF">
        <w:rPr>
          <w:b/>
        </w:rPr>
        <w:t>Respondents</w:t>
      </w:r>
      <w:r w:rsidRPr="00556747">
        <w:rPr>
          <w:b/>
        </w:rPr>
        <w:t xml:space="preserve"> </w:t>
      </w:r>
      <w:r w:rsidRPr="00556747" w:rsidR="008F2CDB">
        <w:rPr>
          <w:b/>
        </w:rPr>
        <w:br/>
      </w:r>
    </w:p>
    <w:p w:rsidR="002A769A" w:rsidRPr="00E2637E" w:rsidP="00436FDF" w14:paraId="07424E11" w14:textId="5C7E8713">
      <w:pPr>
        <w:ind w:left="-90" w:firstLine="378"/>
        <w:rPr>
          <w:rFonts w:ascii="Times New Roman" w:hAnsi="Times New Roman"/>
          <w:sz w:val="24"/>
          <w:szCs w:val="24"/>
        </w:rPr>
      </w:pPr>
      <w:r>
        <w:rPr>
          <w:rFonts w:ascii="Times New Roman" w:hAnsi="Times New Roman"/>
          <w:sz w:val="24"/>
          <w:szCs w:val="24"/>
        </w:rPr>
        <w:t xml:space="preserve">There are no payments or gifts provided </w:t>
      </w:r>
      <w:r w:rsidRPr="00E2637E">
        <w:rPr>
          <w:rFonts w:ascii="Times New Roman" w:hAnsi="Times New Roman"/>
          <w:sz w:val="24"/>
          <w:szCs w:val="24"/>
        </w:rPr>
        <w:t>to respondents.</w:t>
      </w:r>
    </w:p>
    <w:p w:rsidR="0004749E" w:rsidRPr="00E2637E" w:rsidP="00F746AE" w14:paraId="15B98BFD" w14:textId="77777777">
      <w:pPr>
        <w:ind w:left="-90"/>
        <w:rPr>
          <w:rFonts w:ascii="Times New Roman" w:hAnsi="Times New Roman"/>
          <w:sz w:val="24"/>
        </w:rPr>
      </w:pPr>
    </w:p>
    <w:p w:rsidR="00BA1F02" w:rsidRPr="00436FDF" w:rsidP="00436FDF" w14:paraId="24AB0242" w14:textId="021944DA">
      <w:pPr>
        <w:pStyle w:val="ListParagraph"/>
        <w:numPr>
          <w:ilvl w:val="0"/>
          <w:numId w:val="47"/>
        </w:numPr>
        <w:rPr>
          <w:b/>
        </w:rPr>
      </w:pPr>
      <w:r w:rsidRPr="00436FDF">
        <w:rPr>
          <w:b/>
        </w:rPr>
        <w:t xml:space="preserve">Assurance of </w:t>
      </w:r>
      <w:r w:rsidRPr="00436FDF" w:rsidR="00556747">
        <w:rPr>
          <w:b/>
        </w:rPr>
        <w:t>Confidentiality and Protection of Privacy</w:t>
      </w:r>
    </w:p>
    <w:p w:rsidR="00F64171" w:rsidRPr="00E2637E" w:rsidP="00707438" w14:paraId="4124FC1A" w14:textId="77777777">
      <w:pPr>
        <w:ind w:left="-90"/>
        <w:rPr>
          <w:rFonts w:ascii="Times New Roman" w:hAnsi="Times New Roman"/>
        </w:rPr>
      </w:pPr>
    </w:p>
    <w:p w:rsidR="00F64171" w:rsidRPr="00E2637E" w:rsidP="00436FDF" w14:paraId="42E835B5" w14:textId="1E250048">
      <w:pPr>
        <w:ind w:left="288"/>
        <w:rPr>
          <w:rFonts w:ascii="Times New Roman" w:hAnsi="Times New Roman"/>
          <w:iCs/>
          <w:color w:val="000000"/>
          <w:sz w:val="24"/>
          <w:szCs w:val="24"/>
        </w:rPr>
      </w:pPr>
      <w:r w:rsidRPr="00E2637E">
        <w:rPr>
          <w:rFonts w:ascii="Times New Roman" w:hAnsi="Times New Roman"/>
          <w:iCs/>
          <w:color w:val="000000"/>
          <w:sz w:val="24"/>
          <w:szCs w:val="24"/>
        </w:rPr>
        <w:t xml:space="preserve">DOT will protect confidential information </w:t>
      </w:r>
      <w:r w:rsidR="00BF048A">
        <w:rPr>
          <w:rFonts w:ascii="Times New Roman" w:hAnsi="Times New Roman"/>
          <w:iCs/>
          <w:color w:val="000000"/>
          <w:sz w:val="24"/>
          <w:szCs w:val="24"/>
        </w:rPr>
        <w:t xml:space="preserve">and </w:t>
      </w:r>
      <w:r w:rsidRPr="00E2637E">
        <w:rPr>
          <w:rFonts w:ascii="Times New Roman" w:hAnsi="Times New Roman"/>
          <w:iCs/>
          <w:color w:val="000000"/>
          <w:sz w:val="24"/>
          <w:szCs w:val="24"/>
        </w:rPr>
        <w:t>comply</w:t>
      </w:r>
      <w:r w:rsidR="00C54164">
        <w:rPr>
          <w:rFonts w:ascii="Times New Roman" w:hAnsi="Times New Roman"/>
          <w:iCs/>
          <w:color w:val="000000"/>
          <w:sz w:val="24"/>
          <w:szCs w:val="24"/>
        </w:rPr>
        <w:t xml:space="preserve"> </w:t>
      </w:r>
      <w:r w:rsidRPr="00E2637E">
        <w:rPr>
          <w:rFonts w:ascii="Times New Roman" w:hAnsi="Times New Roman"/>
          <w:iCs/>
          <w:color w:val="000000"/>
          <w:sz w:val="24"/>
          <w:szCs w:val="24"/>
        </w:rPr>
        <w:t>with</w:t>
      </w:r>
      <w:r w:rsidR="00BF048A">
        <w:rPr>
          <w:rFonts w:ascii="Times New Roman" w:hAnsi="Times New Roman"/>
          <w:iCs/>
          <w:color w:val="000000"/>
          <w:sz w:val="24"/>
          <w:szCs w:val="24"/>
        </w:rPr>
        <w:t xml:space="preserve"> privacy</w:t>
      </w:r>
      <w:r w:rsidRPr="00E2637E">
        <w:rPr>
          <w:rFonts w:ascii="Times New Roman" w:hAnsi="Times New Roman"/>
          <w:iCs/>
          <w:color w:val="000000"/>
          <w:sz w:val="24"/>
          <w:szCs w:val="24"/>
        </w:rPr>
        <w:t xml:space="preserve"> requirements to the extent required under applicable law.  If DOT receives a Freedom of Information Act (FOIA) request for the information that the applicant has marked in accordance with this section, DOT will follow the procedures described in its FOIA regulations at 49 C.F.R. § 7.29.  Only information that is in the separate document, marked in accordance with this section, and ultimately determined to be confidential under § 7.29 will be exempt from disclosure under FOIA.</w:t>
      </w:r>
    </w:p>
    <w:p w:rsidR="00F64171" w:rsidRPr="00E2637E" w:rsidP="00F746AE" w14:paraId="6161266F" w14:textId="77777777">
      <w:pPr>
        <w:ind w:left="-90"/>
        <w:rPr>
          <w:rFonts w:ascii="Times New Roman" w:hAnsi="Times New Roman"/>
          <w:iCs/>
          <w:color w:val="000000"/>
          <w:sz w:val="24"/>
          <w:szCs w:val="24"/>
        </w:rPr>
      </w:pPr>
    </w:p>
    <w:p w:rsidR="00424089" w:rsidRPr="008F41F2" w:rsidP="00436FDF" w14:paraId="42C2A32D" w14:textId="4058D142">
      <w:pPr>
        <w:pStyle w:val="ListParagraph"/>
        <w:numPr>
          <w:ilvl w:val="0"/>
          <w:numId w:val="47"/>
        </w:numPr>
        <w:rPr>
          <w:b/>
        </w:rPr>
      </w:pPr>
      <w:r w:rsidRPr="00436FDF">
        <w:rPr>
          <w:b/>
        </w:rPr>
        <w:t xml:space="preserve">Justification for </w:t>
      </w:r>
      <w:r w:rsidRPr="00436FDF" w:rsidR="008F41F2">
        <w:rPr>
          <w:b/>
        </w:rPr>
        <w:t>S</w:t>
      </w:r>
      <w:r w:rsidRPr="00436FDF">
        <w:rPr>
          <w:b/>
        </w:rPr>
        <w:t xml:space="preserve">ensitive </w:t>
      </w:r>
      <w:r w:rsidRPr="00436FDF" w:rsidR="008F41F2">
        <w:rPr>
          <w:b/>
        </w:rPr>
        <w:t>Questions</w:t>
      </w:r>
      <w:r w:rsidRPr="00436FDF" w:rsidR="00470720">
        <w:rPr>
          <w:b/>
        </w:rPr>
        <w:t xml:space="preserve">  </w:t>
      </w:r>
    </w:p>
    <w:p w:rsidR="00424089" w:rsidRPr="00E2637E" w:rsidP="00424089" w14:paraId="1178924E" w14:textId="77777777">
      <w:pPr>
        <w:ind w:left="-90"/>
        <w:rPr>
          <w:rFonts w:ascii="Times New Roman" w:hAnsi="Times New Roman"/>
          <w:sz w:val="24"/>
          <w:szCs w:val="24"/>
        </w:rPr>
      </w:pPr>
    </w:p>
    <w:p w:rsidR="00424089" w:rsidRPr="00E2637E" w:rsidP="00436FDF" w14:paraId="650AB734" w14:textId="2A60AC04">
      <w:pPr>
        <w:ind w:left="-90" w:firstLine="378"/>
        <w:rPr>
          <w:rFonts w:ascii="Times New Roman" w:hAnsi="Times New Roman"/>
          <w:b/>
          <w:sz w:val="24"/>
          <w:szCs w:val="24"/>
        </w:rPr>
      </w:pPr>
      <w:r>
        <w:rPr>
          <w:rFonts w:ascii="Times New Roman" w:hAnsi="Times New Roman"/>
          <w:sz w:val="24"/>
          <w:szCs w:val="24"/>
        </w:rPr>
        <w:t xml:space="preserve">There are no questions of a </w:t>
      </w:r>
      <w:r w:rsidRPr="00E2637E">
        <w:rPr>
          <w:rFonts w:ascii="Times New Roman" w:hAnsi="Times New Roman"/>
          <w:sz w:val="24"/>
          <w:szCs w:val="24"/>
        </w:rPr>
        <w:t>sensitive nature.</w:t>
      </w:r>
    </w:p>
    <w:p w:rsidR="00470720" w:rsidRPr="00E2637E" w:rsidP="00F746AE" w14:paraId="670C6DAD" w14:textId="16841238">
      <w:pPr>
        <w:ind w:left="-90"/>
        <w:rPr>
          <w:rFonts w:ascii="Times New Roman" w:hAnsi="Times New Roman"/>
        </w:rPr>
      </w:pPr>
    </w:p>
    <w:p w:rsidR="00470720" w:rsidP="00694F34" w14:paraId="62D881A1" w14:textId="47BDC312">
      <w:pPr>
        <w:pStyle w:val="ListParagraph"/>
        <w:numPr>
          <w:ilvl w:val="0"/>
          <w:numId w:val="47"/>
        </w:numPr>
        <w:rPr>
          <w:b/>
        </w:rPr>
      </w:pPr>
      <w:r w:rsidRPr="00436FDF">
        <w:rPr>
          <w:b/>
        </w:rPr>
        <w:t>Estimate of</w:t>
      </w:r>
      <w:r w:rsidRPr="00436FDF" w:rsidR="008F41F2">
        <w:rPr>
          <w:b/>
        </w:rPr>
        <w:t xml:space="preserve"> Annualized</w:t>
      </w:r>
      <w:r w:rsidRPr="00436FDF">
        <w:rPr>
          <w:b/>
        </w:rPr>
        <w:t xml:space="preserve"> </w:t>
      </w:r>
      <w:r w:rsidRPr="00436FDF" w:rsidR="008F41F2">
        <w:rPr>
          <w:b/>
        </w:rPr>
        <w:t>Burden Hours and Cost</w:t>
      </w:r>
      <w:r w:rsidRPr="00436FDF">
        <w:rPr>
          <w:b/>
        </w:rPr>
        <w:t xml:space="preserve">  </w:t>
      </w:r>
    </w:p>
    <w:p w:rsidR="008F41F2" w:rsidP="00436FDF" w14:paraId="66958998" w14:textId="77777777">
      <w:pPr>
        <w:pStyle w:val="ListParagraph"/>
        <w:ind w:left="648"/>
        <w:rPr>
          <w:b/>
        </w:rPr>
      </w:pPr>
    </w:p>
    <w:p w:rsidR="008F41F2" w:rsidRPr="00436FDF" w:rsidP="00436FDF" w14:paraId="6D5465A4" w14:textId="727B94E4">
      <w:pPr>
        <w:pStyle w:val="ListParagraph"/>
        <w:numPr>
          <w:ilvl w:val="0"/>
          <w:numId w:val="49"/>
        </w:numPr>
        <w:rPr>
          <w:b/>
        </w:rPr>
      </w:pPr>
      <w:r>
        <w:rPr>
          <w:b/>
        </w:rPr>
        <w:t>Estimated Annualized Burden Hours</w:t>
      </w:r>
    </w:p>
    <w:p w:rsidR="00470720" w:rsidRPr="00E2637E" w:rsidP="00F746AE" w14:paraId="26F1DA07" w14:textId="77777777">
      <w:pPr>
        <w:ind w:left="-90"/>
        <w:rPr>
          <w:rFonts w:ascii="Times New Roman" w:hAnsi="Times New Roman"/>
          <w:b/>
          <w:sz w:val="24"/>
          <w:szCs w:val="24"/>
        </w:rPr>
      </w:pPr>
    </w:p>
    <w:p w:rsidR="00C54164" w:rsidP="00436FDF" w14:paraId="6B81FEEF" w14:textId="77777777">
      <w:pPr>
        <w:pStyle w:val="Title"/>
        <w:ind w:left="360"/>
        <w:jc w:val="left"/>
        <w:rPr>
          <w:rFonts w:ascii="Times New Roman" w:hAnsi="Times New Roman"/>
          <w:b w:val="0"/>
          <w:u w:val="none"/>
        </w:rPr>
      </w:pPr>
      <w:r w:rsidRPr="00E2637E">
        <w:rPr>
          <w:rFonts w:ascii="Times New Roman" w:hAnsi="Times New Roman"/>
          <w:b w:val="0"/>
          <w:u w:val="none"/>
        </w:rPr>
        <w:t xml:space="preserve">It is estimated that MARAD will receive 25 applications </w:t>
      </w:r>
      <w:r w:rsidR="00DC46D9">
        <w:rPr>
          <w:rFonts w:ascii="Times New Roman" w:hAnsi="Times New Roman"/>
          <w:b w:val="0"/>
          <w:u w:val="none"/>
        </w:rPr>
        <w:t xml:space="preserve">annually </w:t>
      </w:r>
      <w:r w:rsidRPr="00E2637E">
        <w:rPr>
          <w:rFonts w:ascii="Times New Roman" w:hAnsi="Times New Roman"/>
          <w:b w:val="0"/>
          <w:u w:val="none"/>
        </w:rPr>
        <w:t xml:space="preserve">for the </w:t>
      </w:r>
      <w:r w:rsidRPr="00E2637E" w:rsidR="00D90573">
        <w:rPr>
          <w:rFonts w:ascii="Times New Roman" w:hAnsi="Times New Roman"/>
          <w:b w:val="0"/>
          <w:u w:val="none"/>
        </w:rPr>
        <w:t xml:space="preserve">United States Marine Highway </w:t>
      </w:r>
      <w:r w:rsidR="00DC46D9">
        <w:rPr>
          <w:rFonts w:ascii="Times New Roman" w:hAnsi="Times New Roman"/>
          <w:b w:val="0"/>
          <w:u w:val="none"/>
        </w:rPr>
        <w:t xml:space="preserve">Grant </w:t>
      </w:r>
      <w:r w:rsidRPr="00E2637E" w:rsidR="00D90573">
        <w:rPr>
          <w:rFonts w:ascii="Times New Roman" w:hAnsi="Times New Roman"/>
          <w:b w:val="0"/>
          <w:u w:val="none"/>
        </w:rPr>
        <w:t>Program</w:t>
      </w:r>
      <w:r w:rsidRPr="00E2637E">
        <w:rPr>
          <w:rFonts w:ascii="Times New Roman" w:hAnsi="Times New Roman"/>
          <w:b w:val="0"/>
          <w:u w:val="none"/>
        </w:rPr>
        <w:t xml:space="preserve">.  </w:t>
      </w:r>
      <w:r w:rsidR="00C84BAA">
        <w:rPr>
          <w:rFonts w:ascii="Times New Roman" w:hAnsi="Times New Roman"/>
          <w:b w:val="0"/>
          <w:u w:val="none"/>
        </w:rPr>
        <w:t>This estimate is based on existing grant program records.</w:t>
      </w:r>
      <w:r w:rsidRPr="00E2637E">
        <w:rPr>
          <w:rFonts w:ascii="Times New Roman" w:hAnsi="Times New Roman"/>
          <w:b w:val="0"/>
          <w:u w:val="none"/>
        </w:rPr>
        <w:t xml:space="preserve"> </w:t>
      </w:r>
      <w:r w:rsidR="00FF79CC">
        <w:rPr>
          <w:rFonts w:ascii="Times New Roman" w:hAnsi="Times New Roman"/>
          <w:b w:val="0"/>
          <w:u w:val="none"/>
        </w:rPr>
        <w:t>Each applicant will take a combined</w:t>
      </w:r>
      <w:r w:rsidRPr="00E2637E">
        <w:rPr>
          <w:rFonts w:ascii="Times New Roman" w:hAnsi="Times New Roman"/>
          <w:b w:val="0"/>
          <w:u w:val="none"/>
        </w:rPr>
        <w:t xml:space="preserve"> 60 hours </w:t>
      </w:r>
      <w:r w:rsidR="007A093A">
        <w:rPr>
          <w:rFonts w:ascii="Times New Roman" w:hAnsi="Times New Roman"/>
          <w:b w:val="0"/>
          <w:u w:val="none"/>
        </w:rPr>
        <w:t xml:space="preserve">to complete all task related to this application process </w:t>
      </w:r>
    </w:p>
    <w:p w:rsidR="00C84BAA" w:rsidP="00436FDF" w14:paraId="397C846B" w14:textId="6F9DF38E">
      <w:pPr>
        <w:pStyle w:val="Title"/>
        <w:ind w:left="360"/>
        <w:jc w:val="left"/>
        <w:rPr>
          <w:rFonts w:ascii="Times New Roman" w:hAnsi="Times New Roman"/>
          <w:b w:val="0"/>
          <w:u w:val="none"/>
        </w:rPr>
      </w:pPr>
      <w:r>
        <w:rPr>
          <w:rFonts w:ascii="Times New Roman" w:hAnsi="Times New Roman"/>
          <w:b w:val="0"/>
          <w:u w:val="none"/>
        </w:rPr>
        <w:t xml:space="preserve">(i.e., </w:t>
      </w:r>
      <w:r w:rsidRPr="00E2637E" w:rsidR="00993BD1">
        <w:rPr>
          <w:rFonts w:ascii="Times New Roman" w:hAnsi="Times New Roman"/>
          <w:b w:val="0"/>
          <w:u w:val="none"/>
        </w:rPr>
        <w:t>project review (</w:t>
      </w:r>
      <w:r w:rsidRPr="00E2637E" w:rsidR="00896C44">
        <w:rPr>
          <w:rFonts w:ascii="Times New Roman" w:hAnsi="Times New Roman"/>
          <w:b w:val="0"/>
          <w:u w:val="none"/>
        </w:rPr>
        <w:t>1</w:t>
      </w:r>
      <w:r w:rsidRPr="00E2637E" w:rsidR="00993BD1">
        <w:rPr>
          <w:rFonts w:ascii="Times New Roman" w:hAnsi="Times New Roman"/>
          <w:b w:val="0"/>
          <w:u w:val="none"/>
        </w:rPr>
        <w:t>0 hours), proposal writing (</w:t>
      </w:r>
      <w:r w:rsidRPr="00E2637E" w:rsidR="00896C44">
        <w:rPr>
          <w:rFonts w:ascii="Times New Roman" w:hAnsi="Times New Roman"/>
          <w:b w:val="0"/>
          <w:u w:val="none"/>
        </w:rPr>
        <w:t>4</w:t>
      </w:r>
      <w:r w:rsidRPr="00E2637E" w:rsidR="00993BD1">
        <w:rPr>
          <w:rFonts w:ascii="Times New Roman" w:hAnsi="Times New Roman"/>
          <w:b w:val="0"/>
          <w:u w:val="none"/>
        </w:rPr>
        <w:t>0 hours), proposal editing (</w:t>
      </w:r>
      <w:r w:rsidRPr="00E2637E" w:rsidR="00896C44">
        <w:rPr>
          <w:rFonts w:ascii="Times New Roman" w:hAnsi="Times New Roman"/>
          <w:b w:val="0"/>
          <w:u w:val="none"/>
        </w:rPr>
        <w:t>8</w:t>
      </w:r>
      <w:r w:rsidRPr="00E2637E" w:rsidR="00993BD1">
        <w:rPr>
          <w:rFonts w:ascii="Times New Roman" w:hAnsi="Times New Roman"/>
          <w:b w:val="0"/>
          <w:u w:val="none"/>
        </w:rPr>
        <w:t xml:space="preserve"> hours), and </w:t>
      </w:r>
      <w:r w:rsidR="00C54164">
        <w:rPr>
          <w:rFonts w:ascii="Times New Roman" w:hAnsi="Times New Roman"/>
          <w:b w:val="0"/>
          <w:u w:val="none"/>
        </w:rPr>
        <w:t xml:space="preserve">an online </w:t>
      </w:r>
      <w:r w:rsidRPr="00E2637E" w:rsidR="00993BD1">
        <w:rPr>
          <w:rFonts w:ascii="Times New Roman" w:hAnsi="Times New Roman"/>
          <w:b w:val="0"/>
          <w:u w:val="none"/>
        </w:rPr>
        <w:t>application submission via grants.gov</w:t>
      </w:r>
      <w:r w:rsidR="00C54164">
        <w:rPr>
          <w:rFonts w:ascii="Times New Roman" w:hAnsi="Times New Roman"/>
          <w:b w:val="0"/>
          <w:u w:val="none"/>
        </w:rPr>
        <w:t>,</w:t>
      </w:r>
      <w:r w:rsidRPr="00E2637E" w:rsidR="00993BD1">
        <w:rPr>
          <w:rFonts w:ascii="Times New Roman" w:hAnsi="Times New Roman"/>
          <w:b w:val="0"/>
          <w:u w:val="none"/>
        </w:rPr>
        <w:t xml:space="preserve"> </w:t>
      </w:r>
      <w:r>
        <w:rPr>
          <w:rFonts w:ascii="Times New Roman" w:hAnsi="Times New Roman"/>
          <w:b w:val="0"/>
          <w:u w:val="none"/>
        </w:rPr>
        <w:t xml:space="preserve">which includes the completion of form SF 424 (1 hour) and the completion of the narrative and cover page </w:t>
      </w:r>
      <w:r w:rsidRPr="00E2637E" w:rsidR="00993BD1">
        <w:rPr>
          <w:rFonts w:ascii="Times New Roman" w:hAnsi="Times New Roman"/>
          <w:b w:val="0"/>
          <w:u w:val="none"/>
        </w:rPr>
        <w:t>(</w:t>
      </w:r>
      <w:r>
        <w:rPr>
          <w:rFonts w:ascii="Times New Roman" w:hAnsi="Times New Roman"/>
          <w:b w:val="0"/>
          <w:u w:val="none"/>
        </w:rPr>
        <w:t>1</w:t>
      </w:r>
      <w:r w:rsidRPr="00E2637E" w:rsidR="00993BD1">
        <w:rPr>
          <w:rFonts w:ascii="Times New Roman" w:hAnsi="Times New Roman"/>
          <w:b w:val="0"/>
          <w:u w:val="none"/>
        </w:rPr>
        <w:t xml:space="preserve"> hours). </w:t>
      </w:r>
      <w:r>
        <w:rPr>
          <w:rFonts w:ascii="Times New Roman" w:hAnsi="Times New Roman"/>
          <w:b w:val="0"/>
          <w:u w:val="none"/>
        </w:rPr>
        <w:t xml:space="preserve"> Additionally, e</w:t>
      </w:r>
      <w:r w:rsidR="0034449B">
        <w:rPr>
          <w:rFonts w:ascii="Times New Roman" w:hAnsi="Times New Roman"/>
          <w:b w:val="0"/>
          <w:u w:val="none"/>
        </w:rPr>
        <w:t>ach g</w:t>
      </w:r>
      <w:r w:rsidR="003C1CE0">
        <w:rPr>
          <w:rFonts w:ascii="Times New Roman" w:hAnsi="Times New Roman"/>
          <w:b w:val="0"/>
          <w:u w:val="none"/>
        </w:rPr>
        <w:t xml:space="preserve">rantee will </w:t>
      </w:r>
      <w:r>
        <w:rPr>
          <w:rFonts w:ascii="Times New Roman" w:hAnsi="Times New Roman"/>
          <w:b w:val="0"/>
          <w:u w:val="none"/>
        </w:rPr>
        <w:t xml:space="preserve"> take two hours to prepare and submit </w:t>
      </w:r>
      <w:r w:rsidR="003C1CE0">
        <w:rPr>
          <w:rFonts w:ascii="Times New Roman" w:hAnsi="Times New Roman"/>
          <w:b w:val="0"/>
          <w:u w:val="none"/>
        </w:rPr>
        <w:t>quarterly reporting of grant progress and performance measures (2 hours)</w:t>
      </w:r>
      <w:r w:rsidR="0034449B">
        <w:rPr>
          <w:rFonts w:ascii="Times New Roman" w:hAnsi="Times New Roman"/>
          <w:b w:val="0"/>
          <w:u w:val="none"/>
        </w:rPr>
        <w:t>. Therefore the total combined annualized burden hours for this collection are 1,700, which can be calculated as shown in the table below:</w:t>
      </w:r>
    </w:p>
    <w:p w:rsidR="001A6520" w:rsidP="00436FDF" w14:paraId="71480214" w14:textId="77777777">
      <w:pPr>
        <w:pStyle w:val="Title"/>
        <w:ind w:left="360"/>
        <w:jc w:val="left"/>
        <w:rPr>
          <w:rFonts w:ascii="Times New Roman" w:hAnsi="Times New Roman"/>
          <w:b w:val="0"/>
          <w:u w:val="none"/>
        </w:rPr>
      </w:pPr>
    </w:p>
    <w:p w:rsidR="001A6520" w:rsidP="00436FDF" w14:paraId="57690E86" w14:textId="77777777">
      <w:pPr>
        <w:pStyle w:val="Title"/>
        <w:ind w:left="360"/>
        <w:jc w:val="left"/>
        <w:rPr>
          <w:rFonts w:ascii="Times New Roman" w:hAnsi="Times New Roman"/>
          <w:b w:val="0"/>
          <w:u w:val="none"/>
        </w:rPr>
      </w:pPr>
    </w:p>
    <w:p w:rsidR="001A6520" w:rsidP="00436FDF" w14:paraId="306675D4" w14:textId="77777777">
      <w:pPr>
        <w:pStyle w:val="Title"/>
        <w:ind w:left="360"/>
        <w:jc w:val="left"/>
        <w:rPr>
          <w:rFonts w:ascii="Times New Roman" w:hAnsi="Times New Roman"/>
          <w:b w:val="0"/>
          <w:u w:val="none"/>
        </w:rPr>
      </w:pPr>
    </w:p>
    <w:p w:rsidR="001A6520" w:rsidP="00436FDF" w14:paraId="42A205A5" w14:textId="77777777">
      <w:pPr>
        <w:pStyle w:val="Title"/>
        <w:ind w:left="360"/>
        <w:jc w:val="left"/>
        <w:rPr>
          <w:rFonts w:ascii="Times New Roman" w:hAnsi="Times New Roman"/>
          <w:b w:val="0"/>
          <w:u w:val="none"/>
        </w:rPr>
      </w:pPr>
    </w:p>
    <w:p w:rsidR="001A6520" w:rsidP="00436FDF" w14:paraId="061500BB" w14:textId="77777777">
      <w:pPr>
        <w:pStyle w:val="Title"/>
        <w:ind w:left="360"/>
        <w:jc w:val="left"/>
        <w:rPr>
          <w:rFonts w:ascii="Times New Roman" w:hAnsi="Times New Roman"/>
          <w:b w:val="0"/>
          <w:u w:val="none"/>
        </w:rPr>
      </w:pPr>
    </w:p>
    <w:p w:rsidR="001A6520" w:rsidP="00436FDF" w14:paraId="200F1578" w14:textId="77777777">
      <w:pPr>
        <w:pStyle w:val="Title"/>
        <w:ind w:left="360"/>
        <w:jc w:val="left"/>
        <w:rPr>
          <w:rFonts w:ascii="Times New Roman" w:hAnsi="Times New Roman"/>
          <w:b w:val="0"/>
          <w:u w:val="none"/>
        </w:rPr>
      </w:pPr>
    </w:p>
    <w:p w:rsidR="001A6520" w:rsidRPr="00E2637E" w:rsidP="00436FDF" w14:paraId="18B56027" w14:textId="77777777">
      <w:pPr>
        <w:pStyle w:val="Title"/>
        <w:ind w:left="360"/>
        <w:jc w:val="left"/>
        <w:rPr>
          <w:rFonts w:ascii="Times New Roman" w:hAnsi="Times New Roman"/>
          <w:b w:val="0"/>
          <w:u w:val="none"/>
        </w:rPr>
      </w:pPr>
    </w:p>
    <w:p w:rsidR="0034449B" w:rsidRPr="00E2637E" w:rsidP="00436FDF" w14:paraId="01BD112D" w14:textId="77777777">
      <w:pPr>
        <w:pStyle w:val="Title"/>
        <w:ind w:left="360"/>
        <w:jc w:val="left"/>
        <w:rPr>
          <w:rFonts w:ascii="Times New Roman" w:hAnsi="Times New Roman"/>
        </w:rPr>
      </w:pPr>
    </w:p>
    <w:tbl>
      <w:tblPr>
        <w:tblW w:w="11520" w:type="dxa"/>
        <w:tblInd w:w="-730" w:type="dxa"/>
        <w:tblLook w:val="04A0"/>
      </w:tblPr>
      <w:tblGrid>
        <w:gridCol w:w="2914"/>
        <w:gridCol w:w="1436"/>
        <w:gridCol w:w="527"/>
        <w:gridCol w:w="1349"/>
        <w:gridCol w:w="509"/>
        <w:gridCol w:w="1200"/>
        <w:gridCol w:w="560"/>
        <w:gridCol w:w="1089"/>
        <w:gridCol w:w="586"/>
        <w:gridCol w:w="1350"/>
      </w:tblGrid>
      <w:tr w14:paraId="1ECD0E4F" w14:textId="77777777" w:rsidTr="00212D28">
        <w:tblPrEx>
          <w:tblW w:w="11520" w:type="dxa"/>
          <w:tblInd w:w="-730" w:type="dxa"/>
          <w:tblLook w:val="04A0"/>
        </w:tblPrEx>
        <w:trPr>
          <w:trHeight w:val="994"/>
        </w:trPr>
        <w:tc>
          <w:tcPr>
            <w:tcW w:w="2914" w:type="dxa"/>
            <w:tcBorders>
              <w:top w:val="single" w:sz="8" w:space="0" w:color="auto"/>
              <w:left w:val="single" w:sz="8" w:space="0" w:color="auto"/>
              <w:bottom w:val="single" w:sz="8" w:space="0" w:color="auto"/>
              <w:right w:val="single" w:sz="8" w:space="0" w:color="auto"/>
            </w:tcBorders>
            <w:shd w:val="clear" w:color="000000" w:fill="D0CECE"/>
            <w:vAlign w:val="center"/>
            <w:hideMark/>
          </w:tcPr>
          <w:p w:rsidR="0034449B" w:rsidRPr="005A6431" w:rsidP="0034449B" w14:paraId="194436E0" w14:textId="77777777">
            <w:pPr>
              <w:widowControl/>
              <w:autoSpaceDE/>
              <w:autoSpaceDN/>
              <w:adjustRightInd/>
              <w:jc w:val="center"/>
              <w:rPr>
                <w:rFonts w:ascii="Times New Roman" w:hAnsi="Times New Roman"/>
                <w:b/>
                <w:bCs/>
                <w:color w:val="000000"/>
              </w:rPr>
            </w:pPr>
            <w:bookmarkStart w:id="7" w:name="_Hlk180581731"/>
            <w:r w:rsidRPr="005A6431">
              <w:rPr>
                <w:rFonts w:ascii="Times New Roman" w:hAnsi="Times New Roman"/>
                <w:b/>
                <w:bCs/>
                <w:color w:val="000000"/>
              </w:rPr>
              <w:t>Form Name/ Type of Action</w:t>
            </w:r>
          </w:p>
        </w:tc>
        <w:tc>
          <w:tcPr>
            <w:tcW w:w="1436" w:type="dxa"/>
            <w:tcBorders>
              <w:top w:val="single" w:sz="8" w:space="0" w:color="auto"/>
              <w:left w:val="nil"/>
              <w:bottom w:val="nil"/>
              <w:right w:val="single" w:sz="8" w:space="0" w:color="auto"/>
            </w:tcBorders>
            <w:shd w:val="clear" w:color="000000" w:fill="D0CECE"/>
            <w:vAlign w:val="center"/>
            <w:hideMark/>
          </w:tcPr>
          <w:p w:rsidR="0034449B" w:rsidRPr="005A6431" w:rsidP="0034449B" w14:paraId="68F9E984"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Total Respondents</w:t>
            </w:r>
          </w:p>
        </w:tc>
        <w:tc>
          <w:tcPr>
            <w:tcW w:w="527" w:type="dxa"/>
            <w:tcBorders>
              <w:top w:val="single" w:sz="8" w:space="0" w:color="auto"/>
              <w:left w:val="nil"/>
              <w:bottom w:val="nil"/>
              <w:right w:val="single" w:sz="8" w:space="0" w:color="auto"/>
            </w:tcBorders>
            <w:shd w:val="clear" w:color="000000" w:fill="D0CECE"/>
            <w:vAlign w:val="center"/>
            <w:hideMark/>
          </w:tcPr>
          <w:p w:rsidR="0034449B" w:rsidRPr="005A6431" w:rsidP="0034449B" w14:paraId="56806B5B" w14:textId="77777777">
            <w:pPr>
              <w:widowControl/>
              <w:autoSpaceDE/>
              <w:autoSpaceDN/>
              <w:adjustRightInd/>
              <w:rPr>
                <w:rFonts w:ascii="Times New Roman" w:hAnsi="Times New Roman"/>
                <w:color w:val="000000"/>
              </w:rPr>
            </w:pPr>
            <w:r w:rsidRPr="005A6431">
              <w:rPr>
                <w:rFonts w:ascii="Times New Roman" w:hAnsi="Times New Roman"/>
                <w:color w:val="000000"/>
              </w:rPr>
              <w:t> </w:t>
            </w:r>
          </w:p>
        </w:tc>
        <w:tc>
          <w:tcPr>
            <w:tcW w:w="1349" w:type="dxa"/>
            <w:tcBorders>
              <w:top w:val="single" w:sz="8" w:space="0" w:color="auto"/>
              <w:left w:val="nil"/>
              <w:bottom w:val="single" w:sz="8" w:space="0" w:color="auto"/>
              <w:right w:val="single" w:sz="8" w:space="0" w:color="auto"/>
            </w:tcBorders>
            <w:shd w:val="clear" w:color="000000" w:fill="D0CECE"/>
            <w:vAlign w:val="center"/>
            <w:hideMark/>
          </w:tcPr>
          <w:p w:rsidR="0034449B" w:rsidRPr="005A6431" w:rsidP="0034449B" w14:paraId="17A36C4F"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Total Responses per Respondent</w:t>
            </w:r>
          </w:p>
        </w:tc>
        <w:tc>
          <w:tcPr>
            <w:tcW w:w="509" w:type="dxa"/>
            <w:tcBorders>
              <w:top w:val="single" w:sz="8" w:space="0" w:color="auto"/>
              <w:left w:val="nil"/>
              <w:bottom w:val="nil"/>
              <w:right w:val="single" w:sz="8" w:space="0" w:color="auto"/>
            </w:tcBorders>
            <w:shd w:val="clear" w:color="000000" w:fill="D0CECE"/>
            <w:vAlign w:val="center"/>
            <w:hideMark/>
          </w:tcPr>
          <w:p w:rsidR="0034449B" w:rsidRPr="005A6431" w:rsidP="0034449B" w14:paraId="737EDBE7" w14:textId="77777777">
            <w:pPr>
              <w:widowControl/>
              <w:autoSpaceDE/>
              <w:autoSpaceDN/>
              <w:adjustRightInd/>
              <w:rPr>
                <w:rFonts w:ascii="Times New Roman" w:hAnsi="Times New Roman"/>
                <w:color w:val="000000"/>
              </w:rPr>
            </w:pPr>
            <w:r w:rsidRPr="005A6431">
              <w:rPr>
                <w:rFonts w:ascii="Times New Roman" w:hAnsi="Times New Roman"/>
                <w:color w:val="000000"/>
              </w:rPr>
              <w:t> </w:t>
            </w:r>
          </w:p>
        </w:tc>
        <w:tc>
          <w:tcPr>
            <w:tcW w:w="1200" w:type="dxa"/>
            <w:tcBorders>
              <w:top w:val="single" w:sz="8" w:space="0" w:color="auto"/>
              <w:left w:val="nil"/>
              <w:bottom w:val="single" w:sz="4" w:space="0" w:color="auto"/>
              <w:right w:val="nil"/>
            </w:tcBorders>
            <w:shd w:val="clear" w:color="000000" w:fill="D0CECE"/>
            <w:vAlign w:val="center"/>
            <w:hideMark/>
          </w:tcPr>
          <w:p w:rsidR="0034449B" w:rsidRPr="005A6431" w:rsidP="0034449B" w14:paraId="64C71883"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Total Responses</w:t>
            </w:r>
          </w:p>
        </w:tc>
        <w:tc>
          <w:tcPr>
            <w:tcW w:w="560" w:type="dxa"/>
            <w:tcBorders>
              <w:top w:val="single" w:sz="8" w:space="0" w:color="auto"/>
              <w:left w:val="single" w:sz="8" w:space="0" w:color="auto"/>
              <w:bottom w:val="single" w:sz="8" w:space="0" w:color="auto"/>
              <w:right w:val="single" w:sz="8" w:space="0" w:color="auto"/>
            </w:tcBorders>
            <w:shd w:val="clear" w:color="000000" w:fill="D0CECE"/>
            <w:vAlign w:val="center"/>
            <w:hideMark/>
          </w:tcPr>
          <w:p w:rsidR="0034449B" w:rsidRPr="005A6431" w:rsidP="0034449B" w14:paraId="45045380"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 </w:t>
            </w:r>
          </w:p>
        </w:tc>
        <w:tc>
          <w:tcPr>
            <w:tcW w:w="1089" w:type="dxa"/>
            <w:tcBorders>
              <w:top w:val="single" w:sz="8" w:space="0" w:color="auto"/>
              <w:left w:val="nil"/>
              <w:bottom w:val="single" w:sz="8" w:space="0" w:color="auto"/>
              <w:right w:val="single" w:sz="8" w:space="0" w:color="auto"/>
            </w:tcBorders>
            <w:shd w:val="clear" w:color="000000" w:fill="D0CECE"/>
            <w:vAlign w:val="center"/>
            <w:hideMark/>
          </w:tcPr>
          <w:p w:rsidR="0034449B" w:rsidRPr="005A6431" w:rsidP="0034449B" w14:paraId="52041D48"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Time Taken to Respond (Hours)</w:t>
            </w:r>
          </w:p>
        </w:tc>
        <w:tc>
          <w:tcPr>
            <w:tcW w:w="586" w:type="dxa"/>
            <w:tcBorders>
              <w:top w:val="single" w:sz="8" w:space="0" w:color="auto"/>
              <w:left w:val="nil"/>
              <w:bottom w:val="single" w:sz="8" w:space="0" w:color="auto"/>
              <w:right w:val="single" w:sz="8" w:space="0" w:color="auto"/>
            </w:tcBorders>
            <w:shd w:val="clear" w:color="000000" w:fill="D0CECE"/>
            <w:vAlign w:val="center"/>
            <w:hideMark/>
          </w:tcPr>
          <w:p w:rsidR="0034449B" w:rsidRPr="005A6431" w:rsidP="0034449B" w14:paraId="02E42D73"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 </w:t>
            </w:r>
          </w:p>
        </w:tc>
        <w:tc>
          <w:tcPr>
            <w:tcW w:w="1350" w:type="dxa"/>
            <w:tcBorders>
              <w:top w:val="single" w:sz="8" w:space="0" w:color="auto"/>
              <w:left w:val="nil"/>
              <w:bottom w:val="single" w:sz="8" w:space="0" w:color="auto"/>
              <w:right w:val="single" w:sz="8" w:space="0" w:color="auto"/>
            </w:tcBorders>
            <w:shd w:val="clear" w:color="000000" w:fill="D0CECE"/>
            <w:vAlign w:val="center"/>
            <w:hideMark/>
          </w:tcPr>
          <w:p w:rsidR="0034449B" w:rsidRPr="005A6431" w:rsidP="0034449B" w14:paraId="06B04389"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Total Annualized Burden Hours</w:t>
            </w:r>
          </w:p>
        </w:tc>
      </w:tr>
      <w:tr w14:paraId="45688137" w14:textId="77777777" w:rsidTr="00B91066">
        <w:tblPrEx>
          <w:tblW w:w="11520" w:type="dxa"/>
          <w:tblInd w:w="-730" w:type="dxa"/>
          <w:tblLook w:val="04A0"/>
        </w:tblPrEx>
        <w:trPr>
          <w:trHeight w:val="304"/>
        </w:trPr>
        <w:tc>
          <w:tcPr>
            <w:tcW w:w="2914" w:type="dxa"/>
            <w:tcBorders>
              <w:top w:val="nil"/>
              <w:left w:val="single" w:sz="8" w:space="0" w:color="auto"/>
              <w:bottom w:val="single" w:sz="8" w:space="0" w:color="auto"/>
              <w:right w:val="nil"/>
            </w:tcBorders>
            <w:shd w:val="clear" w:color="auto" w:fill="auto"/>
            <w:vAlign w:val="center"/>
            <w:hideMark/>
          </w:tcPr>
          <w:p w:rsidR="00212D28" w:rsidRPr="005A6431" w:rsidP="0034449B" w14:paraId="45C04CCA"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Project Review</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2D28" w:rsidRPr="005A6431" w:rsidP="006B214D" w14:paraId="7D4ECC6A" w14:textId="6AA92068">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2D28" w:rsidRPr="005A6431" w:rsidP="0034449B" w14:paraId="5304FDBC"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49" w:type="dxa"/>
            <w:tcBorders>
              <w:top w:val="nil"/>
              <w:left w:val="nil"/>
              <w:bottom w:val="single" w:sz="8" w:space="0" w:color="000000"/>
              <w:right w:val="nil"/>
            </w:tcBorders>
            <w:shd w:val="clear" w:color="auto" w:fill="auto"/>
            <w:vAlign w:val="center"/>
            <w:hideMark/>
          </w:tcPr>
          <w:p w:rsidR="00212D28" w:rsidRPr="005A6431" w:rsidP="00B91066" w14:paraId="0186FFA0" w14:textId="5E61609F">
            <w:pPr>
              <w:widowControl/>
              <w:autoSpaceDE/>
              <w:autoSpaceDN/>
              <w:adjustRightInd/>
              <w:jc w:val="center"/>
              <w:rPr>
                <w:rFonts w:ascii="Times New Roman" w:hAnsi="Times New Roman"/>
                <w:color w:val="000000"/>
              </w:rPr>
            </w:pPr>
            <w:r w:rsidRPr="005A6431">
              <w:rPr>
                <w:rFonts w:ascii="Times New Roman" w:hAnsi="Times New Roman"/>
                <w:color w:val="000000"/>
              </w:rPr>
              <w:t>1</w:t>
            </w:r>
          </w:p>
        </w:tc>
        <w:tc>
          <w:tcPr>
            <w:tcW w:w="5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2D28" w:rsidRPr="005A6431" w:rsidP="0034449B" w14:paraId="4249CAA4"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p w:rsidR="00212D28" w:rsidRPr="005A6431" w:rsidP="0034449B" w14:paraId="03311D34" w14:textId="77777777">
            <w:pPr>
              <w:widowControl/>
              <w:autoSpaceDE/>
              <w:autoSpaceDN/>
              <w:adjustRightInd/>
              <w:jc w:val="center"/>
              <w:rPr>
                <w:rFonts w:ascii="Times New Roman" w:hAnsi="Times New Roman"/>
                <w:color w:val="000000"/>
              </w:rPr>
            </w:pPr>
          </w:p>
          <w:p w:rsidR="00212D28" w:rsidRPr="005A6431" w:rsidP="0034449B" w14:paraId="0D9E6F5B" w14:textId="77777777">
            <w:pPr>
              <w:widowControl/>
              <w:autoSpaceDE/>
              <w:autoSpaceDN/>
              <w:adjustRightInd/>
              <w:jc w:val="center"/>
              <w:rPr>
                <w:rFonts w:ascii="Times New Roman" w:hAnsi="Times New Roman"/>
                <w:color w:val="000000"/>
              </w:rPr>
            </w:pPr>
          </w:p>
          <w:p w:rsidR="00212D28" w:rsidRPr="005A6431" w:rsidP="00436FDF" w14:paraId="330946F0" w14:textId="04CB1846">
            <w:pPr>
              <w:widowControl/>
              <w:autoSpaceDE/>
              <w:autoSpaceDN/>
              <w:adjustRightInd/>
              <w:rPr>
                <w:rFonts w:ascii="Times New Roman" w:hAnsi="Times New Roman"/>
                <w:color w:val="000000"/>
              </w:rPr>
            </w:pPr>
            <w:r w:rsidRPr="005A6431">
              <w:rPr>
                <w:rFonts w:ascii="Times New Roman" w:hAnsi="Times New Roman"/>
                <w:color w:val="000000"/>
              </w:rPr>
              <w:t>*</w:t>
            </w:r>
          </w:p>
        </w:tc>
        <w:tc>
          <w:tcPr>
            <w:tcW w:w="1200" w:type="dxa"/>
            <w:tcBorders>
              <w:top w:val="single" w:sz="4" w:space="0" w:color="auto"/>
              <w:left w:val="nil"/>
              <w:bottom w:val="single" w:sz="4" w:space="0" w:color="auto"/>
              <w:right w:val="single" w:sz="4" w:space="0" w:color="auto"/>
            </w:tcBorders>
            <w:shd w:val="clear" w:color="auto" w:fill="auto"/>
            <w:hideMark/>
          </w:tcPr>
          <w:p w:rsidR="00212D28" w:rsidRPr="005A6431" w:rsidP="00B91066" w14:paraId="05F3264E" w14:textId="4C79B932">
            <w:pPr>
              <w:widowControl/>
              <w:autoSpaceDE/>
              <w:autoSpaceDN/>
              <w:adjustRightInd/>
              <w:rPr>
                <w:rFonts w:ascii="Times New Roman" w:hAnsi="Times New Roman"/>
                <w:color w:val="000000"/>
              </w:rPr>
            </w:pPr>
            <w:r>
              <w:rPr>
                <w:rFonts w:ascii="Times New Roman" w:hAnsi="Times New Roman"/>
                <w:color w:val="000000"/>
              </w:rPr>
              <w:t xml:space="preserve">        </w:t>
            </w:r>
            <w:r w:rsidRPr="005A6431">
              <w:rPr>
                <w:rFonts w:ascii="Times New Roman" w:hAnsi="Times New Roman"/>
                <w:color w:val="000000"/>
              </w:rPr>
              <w:t>25</w:t>
            </w:r>
          </w:p>
        </w:tc>
        <w:tc>
          <w:tcPr>
            <w:tcW w:w="560" w:type="dxa"/>
            <w:tcBorders>
              <w:top w:val="nil"/>
              <w:left w:val="single" w:sz="4" w:space="0" w:color="auto"/>
              <w:bottom w:val="nil"/>
              <w:right w:val="single" w:sz="8" w:space="0" w:color="auto"/>
            </w:tcBorders>
            <w:shd w:val="clear" w:color="auto" w:fill="auto"/>
            <w:vAlign w:val="center"/>
            <w:hideMark/>
          </w:tcPr>
          <w:p w:rsidR="00212D28" w:rsidRPr="005A6431" w:rsidP="0034449B" w14:paraId="5C113764"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auto" w:fill="auto"/>
            <w:vAlign w:val="center"/>
            <w:hideMark/>
          </w:tcPr>
          <w:p w:rsidR="00212D28" w:rsidRPr="005A6431" w:rsidP="0034449B" w14:paraId="1B86F09A"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10</w:t>
            </w:r>
          </w:p>
        </w:tc>
        <w:tc>
          <w:tcPr>
            <w:tcW w:w="586" w:type="dxa"/>
            <w:tcBorders>
              <w:top w:val="nil"/>
              <w:left w:val="nil"/>
              <w:bottom w:val="nil"/>
              <w:right w:val="single" w:sz="8" w:space="0" w:color="auto"/>
            </w:tcBorders>
            <w:shd w:val="clear" w:color="auto" w:fill="auto"/>
            <w:vAlign w:val="center"/>
            <w:hideMark/>
          </w:tcPr>
          <w:p w:rsidR="00212D28" w:rsidRPr="005A6431" w:rsidP="0034449B" w14:paraId="22C90A1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212D28" w:rsidRPr="005A6431" w:rsidP="0034449B" w14:paraId="15947BB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250</w:t>
            </w:r>
          </w:p>
        </w:tc>
      </w:tr>
      <w:tr w14:paraId="00BC8888" w14:textId="77777777" w:rsidTr="00E857B9">
        <w:tblPrEx>
          <w:tblW w:w="11520" w:type="dxa"/>
          <w:tblInd w:w="-730" w:type="dxa"/>
          <w:tblLook w:val="04A0"/>
        </w:tblPrEx>
        <w:trPr>
          <w:trHeight w:val="304"/>
        </w:trPr>
        <w:tc>
          <w:tcPr>
            <w:tcW w:w="2914" w:type="dxa"/>
            <w:tcBorders>
              <w:top w:val="nil"/>
              <w:left w:val="single" w:sz="8" w:space="0" w:color="auto"/>
              <w:bottom w:val="single" w:sz="8" w:space="0" w:color="auto"/>
              <w:right w:val="nil"/>
            </w:tcBorders>
            <w:shd w:val="clear" w:color="auto" w:fill="auto"/>
            <w:vAlign w:val="center"/>
            <w:hideMark/>
          </w:tcPr>
          <w:p w:rsidR="00212D28" w:rsidRPr="005A6431" w:rsidP="0034449B" w14:paraId="38A47333"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Proposal Writing </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17E43CD4"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29FE4791" w14:textId="77777777">
            <w:pPr>
              <w:widowControl/>
              <w:autoSpaceDE/>
              <w:autoSpaceDN/>
              <w:adjustRightInd/>
              <w:rPr>
                <w:rFonts w:ascii="Times New Roman" w:hAnsi="Times New Roman"/>
                <w:color w:val="000000"/>
              </w:rPr>
            </w:pPr>
          </w:p>
        </w:tc>
        <w:tc>
          <w:tcPr>
            <w:tcW w:w="1349" w:type="dxa"/>
            <w:tcBorders>
              <w:top w:val="nil"/>
              <w:left w:val="nil"/>
              <w:bottom w:val="single" w:sz="8" w:space="0" w:color="000000"/>
              <w:right w:val="nil"/>
            </w:tcBorders>
            <w:shd w:val="clear" w:color="auto" w:fill="auto"/>
            <w:vAlign w:val="center"/>
            <w:hideMark/>
          </w:tcPr>
          <w:p w:rsidR="00212D28" w:rsidRPr="005A6431" w:rsidP="0034449B" w14:paraId="1B0C4225" w14:textId="2930369A">
            <w:pPr>
              <w:widowControl/>
              <w:autoSpaceDE/>
              <w:autoSpaceDN/>
              <w:adjustRightInd/>
              <w:rPr>
                <w:rFonts w:ascii="Times New Roman" w:hAnsi="Times New Roman"/>
                <w:color w:val="000000"/>
              </w:rPr>
            </w:pPr>
            <w:r>
              <w:rPr>
                <w:rFonts w:ascii="Times New Roman" w:hAnsi="Times New Roman"/>
                <w:color w:val="000000"/>
              </w:rPr>
              <w:t xml:space="preserve">          1</w:t>
            </w:r>
          </w:p>
        </w:tc>
        <w:tc>
          <w:tcPr>
            <w:tcW w:w="509"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40524F52" w14:textId="77777777">
            <w:pPr>
              <w:widowControl/>
              <w:autoSpaceDE/>
              <w:autoSpaceDN/>
              <w:adjustRightInd/>
              <w:rPr>
                <w:rFonts w:ascii="Times New Roman" w:hAnsi="Times New Roman"/>
                <w:color w:val="000000"/>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12D28" w:rsidRPr="005A6431" w:rsidP="00212D28" w14:paraId="30B9DA60" w14:textId="28BA460E">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c>
          <w:tcPr>
            <w:tcW w:w="560" w:type="dxa"/>
            <w:tcBorders>
              <w:top w:val="nil"/>
              <w:left w:val="single" w:sz="4" w:space="0" w:color="auto"/>
              <w:bottom w:val="nil"/>
              <w:right w:val="single" w:sz="8" w:space="0" w:color="auto"/>
            </w:tcBorders>
            <w:shd w:val="clear" w:color="auto" w:fill="auto"/>
            <w:vAlign w:val="center"/>
            <w:hideMark/>
          </w:tcPr>
          <w:p w:rsidR="00212D28" w:rsidRPr="005A6431" w:rsidP="0034449B" w14:paraId="64FB69B1"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auto" w:fill="auto"/>
            <w:vAlign w:val="center"/>
            <w:hideMark/>
          </w:tcPr>
          <w:p w:rsidR="00212D28" w:rsidRPr="005A6431" w:rsidP="0034449B" w14:paraId="1C129CD2"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40</w:t>
            </w:r>
          </w:p>
        </w:tc>
        <w:tc>
          <w:tcPr>
            <w:tcW w:w="586" w:type="dxa"/>
            <w:tcBorders>
              <w:top w:val="nil"/>
              <w:left w:val="nil"/>
              <w:bottom w:val="nil"/>
              <w:right w:val="single" w:sz="8" w:space="0" w:color="auto"/>
            </w:tcBorders>
            <w:shd w:val="clear" w:color="auto" w:fill="auto"/>
            <w:vAlign w:val="center"/>
            <w:hideMark/>
          </w:tcPr>
          <w:p w:rsidR="00212D28" w:rsidRPr="005A6431" w:rsidP="0034449B" w14:paraId="1116DEE3"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212D28" w:rsidRPr="005A6431" w:rsidP="0034449B" w14:paraId="35715F97"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1,000</w:t>
            </w:r>
          </w:p>
        </w:tc>
      </w:tr>
      <w:tr w14:paraId="56FC3A14" w14:textId="77777777" w:rsidTr="00E857B9">
        <w:tblPrEx>
          <w:tblW w:w="11520" w:type="dxa"/>
          <w:tblInd w:w="-730" w:type="dxa"/>
          <w:tblLook w:val="04A0"/>
        </w:tblPrEx>
        <w:trPr>
          <w:trHeight w:val="304"/>
        </w:trPr>
        <w:tc>
          <w:tcPr>
            <w:tcW w:w="2914" w:type="dxa"/>
            <w:tcBorders>
              <w:top w:val="nil"/>
              <w:left w:val="single" w:sz="8" w:space="0" w:color="auto"/>
              <w:bottom w:val="single" w:sz="8" w:space="0" w:color="auto"/>
              <w:right w:val="nil"/>
            </w:tcBorders>
            <w:shd w:val="clear" w:color="auto" w:fill="auto"/>
            <w:vAlign w:val="center"/>
            <w:hideMark/>
          </w:tcPr>
          <w:p w:rsidR="00212D28" w:rsidRPr="005A6431" w:rsidP="0034449B" w14:paraId="440E55B1"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Proposal Editing </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74FA3DC4"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3F207992" w14:textId="77777777">
            <w:pPr>
              <w:widowControl/>
              <w:autoSpaceDE/>
              <w:autoSpaceDN/>
              <w:adjustRightInd/>
              <w:rPr>
                <w:rFonts w:ascii="Times New Roman" w:hAnsi="Times New Roman"/>
                <w:color w:val="000000"/>
              </w:rPr>
            </w:pPr>
          </w:p>
        </w:tc>
        <w:tc>
          <w:tcPr>
            <w:tcW w:w="1349" w:type="dxa"/>
            <w:tcBorders>
              <w:top w:val="nil"/>
              <w:left w:val="nil"/>
              <w:bottom w:val="single" w:sz="8" w:space="0" w:color="000000"/>
              <w:right w:val="nil"/>
            </w:tcBorders>
            <w:shd w:val="clear" w:color="auto" w:fill="auto"/>
            <w:vAlign w:val="center"/>
            <w:hideMark/>
          </w:tcPr>
          <w:p w:rsidR="00212D28" w:rsidRPr="005A6431" w:rsidP="0034449B" w14:paraId="5BE4A922" w14:textId="55162F4E">
            <w:pPr>
              <w:widowControl/>
              <w:autoSpaceDE/>
              <w:autoSpaceDN/>
              <w:adjustRightInd/>
              <w:rPr>
                <w:rFonts w:ascii="Times New Roman" w:hAnsi="Times New Roman"/>
                <w:color w:val="000000"/>
              </w:rPr>
            </w:pPr>
            <w:r>
              <w:rPr>
                <w:rFonts w:ascii="Times New Roman" w:hAnsi="Times New Roman"/>
                <w:color w:val="000000"/>
              </w:rPr>
              <w:t xml:space="preserve">          1</w:t>
            </w:r>
          </w:p>
        </w:tc>
        <w:tc>
          <w:tcPr>
            <w:tcW w:w="509"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6E39680C" w14:textId="77777777">
            <w:pPr>
              <w:widowControl/>
              <w:autoSpaceDE/>
              <w:autoSpaceDN/>
              <w:adjustRightInd/>
              <w:rPr>
                <w:rFonts w:ascii="Times New Roman" w:hAnsi="Times New Roman"/>
                <w:color w:val="000000"/>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12D28" w:rsidRPr="005A6431" w:rsidP="00212D28" w14:paraId="2B598760" w14:textId="0D1E4CC6">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c>
          <w:tcPr>
            <w:tcW w:w="560" w:type="dxa"/>
            <w:tcBorders>
              <w:top w:val="nil"/>
              <w:left w:val="single" w:sz="4" w:space="0" w:color="auto"/>
              <w:bottom w:val="nil"/>
              <w:right w:val="single" w:sz="8" w:space="0" w:color="auto"/>
            </w:tcBorders>
            <w:shd w:val="clear" w:color="auto" w:fill="auto"/>
            <w:vAlign w:val="center"/>
            <w:hideMark/>
          </w:tcPr>
          <w:p w:rsidR="00212D28" w:rsidRPr="005A6431" w:rsidP="0034449B" w14:paraId="24AB40D3"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auto" w:fill="auto"/>
            <w:vAlign w:val="center"/>
            <w:hideMark/>
          </w:tcPr>
          <w:p w:rsidR="00212D28" w:rsidRPr="005A6431" w:rsidP="0034449B" w14:paraId="58E2950D"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8</w:t>
            </w:r>
          </w:p>
        </w:tc>
        <w:tc>
          <w:tcPr>
            <w:tcW w:w="586" w:type="dxa"/>
            <w:tcBorders>
              <w:top w:val="nil"/>
              <w:left w:val="nil"/>
              <w:bottom w:val="nil"/>
              <w:right w:val="single" w:sz="8" w:space="0" w:color="auto"/>
            </w:tcBorders>
            <w:shd w:val="clear" w:color="auto" w:fill="auto"/>
            <w:vAlign w:val="center"/>
            <w:hideMark/>
          </w:tcPr>
          <w:p w:rsidR="00212D28" w:rsidRPr="005A6431" w:rsidP="00436FDF" w14:paraId="077CE89F" w14:textId="5C41ED9F">
            <w:pPr>
              <w:widowControl/>
              <w:autoSpaceDE/>
              <w:autoSpaceDN/>
              <w:adjustRightInd/>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212D28" w:rsidRPr="005A6431" w:rsidP="0034449B" w14:paraId="5DF4C78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200</w:t>
            </w:r>
          </w:p>
        </w:tc>
      </w:tr>
      <w:tr w14:paraId="7E36EC9B" w14:textId="77777777" w:rsidTr="00E857B9">
        <w:tblPrEx>
          <w:tblW w:w="11520" w:type="dxa"/>
          <w:tblInd w:w="-730" w:type="dxa"/>
          <w:tblLook w:val="04A0"/>
        </w:tblPrEx>
        <w:trPr>
          <w:trHeight w:val="448"/>
        </w:trPr>
        <w:tc>
          <w:tcPr>
            <w:tcW w:w="2914" w:type="dxa"/>
            <w:tcBorders>
              <w:top w:val="nil"/>
              <w:left w:val="single" w:sz="8" w:space="0" w:color="auto"/>
              <w:bottom w:val="single" w:sz="8" w:space="0" w:color="auto"/>
              <w:right w:val="nil"/>
            </w:tcBorders>
            <w:shd w:val="clear" w:color="000000" w:fill="D0CECE"/>
            <w:vAlign w:val="center"/>
            <w:hideMark/>
          </w:tcPr>
          <w:p w:rsidR="00212D28" w:rsidRPr="005A6431" w:rsidP="00F24DF2" w14:paraId="4939B208" w14:textId="0AD2B46B">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ONLINE APPLICATION </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456FAAE8"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67FC637D" w14:textId="77777777">
            <w:pPr>
              <w:widowControl/>
              <w:autoSpaceDE/>
              <w:autoSpaceDN/>
              <w:adjustRightInd/>
              <w:rPr>
                <w:rFonts w:ascii="Times New Roman" w:hAnsi="Times New Roman"/>
                <w:color w:val="000000"/>
              </w:rPr>
            </w:pPr>
          </w:p>
        </w:tc>
        <w:tc>
          <w:tcPr>
            <w:tcW w:w="1349" w:type="dxa"/>
            <w:tcBorders>
              <w:top w:val="nil"/>
              <w:left w:val="nil"/>
              <w:bottom w:val="single" w:sz="8" w:space="0" w:color="000000"/>
              <w:right w:val="nil"/>
            </w:tcBorders>
            <w:shd w:val="clear" w:color="auto" w:fill="D0CECE" w:themeFill="background2" w:themeFillShade="E6"/>
            <w:vAlign w:val="center"/>
            <w:hideMark/>
          </w:tcPr>
          <w:p w:rsidR="00212D28" w:rsidRPr="005A6431" w:rsidP="0034449B" w14:paraId="5881B11D" w14:textId="77777777">
            <w:pPr>
              <w:widowControl/>
              <w:autoSpaceDE/>
              <w:autoSpaceDN/>
              <w:adjustRightInd/>
              <w:rPr>
                <w:rFonts w:ascii="Times New Roman" w:hAnsi="Times New Roman"/>
                <w:color w:val="000000"/>
              </w:rPr>
            </w:pPr>
          </w:p>
        </w:tc>
        <w:tc>
          <w:tcPr>
            <w:tcW w:w="509"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0274854C" w14:textId="77777777">
            <w:pPr>
              <w:widowControl/>
              <w:autoSpaceDE/>
              <w:autoSpaceDN/>
              <w:adjustRightInd/>
              <w:rPr>
                <w:rFonts w:ascii="Times New Roman" w:hAnsi="Times New Roman"/>
                <w:color w:val="000000"/>
              </w:rPr>
            </w:pPr>
          </w:p>
        </w:tc>
        <w:tc>
          <w:tcPr>
            <w:tcW w:w="120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212D28" w:rsidRPr="005A6431" w:rsidP="0034449B" w14:paraId="4B2A6D54" w14:textId="3CD91F12">
            <w:pPr>
              <w:widowControl/>
              <w:autoSpaceDE/>
              <w:autoSpaceDN/>
              <w:adjustRightInd/>
              <w:rPr>
                <w:rFonts w:ascii="Times New Roman" w:hAnsi="Times New Roman"/>
                <w:color w:val="000000"/>
              </w:rPr>
            </w:pPr>
          </w:p>
        </w:tc>
        <w:tc>
          <w:tcPr>
            <w:tcW w:w="560" w:type="dxa"/>
            <w:tcBorders>
              <w:top w:val="nil"/>
              <w:left w:val="single" w:sz="4" w:space="0" w:color="auto"/>
              <w:bottom w:val="nil"/>
              <w:right w:val="single" w:sz="8" w:space="0" w:color="auto"/>
            </w:tcBorders>
            <w:shd w:val="clear" w:color="auto" w:fill="auto"/>
            <w:vAlign w:val="center"/>
            <w:hideMark/>
          </w:tcPr>
          <w:p w:rsidR="00212D28" w:rsidRPr="005A6431" w:rsidP="0034449B" w14:paraId="20B367C6" w14:textId="77777777">
            <w:pPr>
              <w:widowControl/>
              <w:autoSpaceDE/>
              <w:autoSpaceDN/>
              <w:adjustRightInd/>
              <w:jc w:val="center"/>
              <w:rPr>
                <w:rFonts w:ascii="Times New Roman" w:hAnsi="Times New Roman"/>
                <w:color w:val="000000"/>
              </w:rPr>
            </w:pPr>
          </w:p>
          <w:p w:rsidR="00212D28" w:rsidRPr="005A6431" w:rsidP="0034449B" w14:paraId="3A087061" w14:textId="77777777">
            <w:pPr>
              <w:widowControl/>
              <w:autoSpaceDE/>
              <w:autoSpaceDN/>
              <w:adjustRightInd/>
              <w:jc w:val="center"/>
              <w:rPr>
                <w:rFonts w:ascii="Times New Roman" w:hAnsi="Times New Roman"/>
                <w:color w:val="000000"/>
              </w:rPr>
            </w:pPr>
          </w:p>
          <w:p w:rsidR="00212D28" w:rsidRPr="005A6431" w:rsidP="00436FDF" w14:paraId="35B11C9D" w14:textId="4BE5B0A0">
            <w:pPr>
              <w:widowControl/>
              <w:autoSpaceDE/>
              <w:autoSpaceDN/>
              <w:adjustRightInd/>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000000" w:fill="D0CECE"/>
            <w:vAlign w:val="center"/>
            <w:hideMark/>
          </w:tcPr>
          <w:p w:rsidR="00212D28" w:rsidRPr="005A6431" w:rsidP="0034449B" w14:paraId="66A38F7F"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586" w:type="dxa"/>
            <w:tcBorders>
              <w:top w:val="nil"/>
              <w:left w:val="nil"/>
              <w:bottom w:val="nil"/>
              <w:right w:val="single" w:sz="8" w:space="0" w:color="auto"/>
            </w:tcBorders>
            <w:shd w:val="clear" w:color="auto" w:fill="auto"/>
            <w:vAlign w:val="center"/>
            <w:hideMark/>
          </w:tcPr>
          <w:p w:rsidR="00212D28" w:rsidRPr="005A6431" w:rsidP="0034449B" w14:paraId="2BC4DA86" w14:textId="1807BE84">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D0CECE"/>
            <w:vAlign w:val="center"/>
            <w:hideMark/>
          </w:tcPr>
          <w:p w:rsidR="00212D28" w:rsidRPr="005A6431" w:rsidP="0034449B" w14:paraId="3A0002EC"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r>
      <w:tr w14:paraId="6C2D166B" w14:textId="77777777" w:rsidTr="00E857B9">
        <w:tblPrEx>
          <w:tblW w:w="11520" w:type="dxa"/>
          <w:tblInd w:w="-730" w:type="dxa"/>
          <w:tblLook w:val="04A0"/>
        </w:tblPrEx>
        <w:trPr>
          <w:trHeight w:val="304"/>
        </w:trPr>
        <w:tc>
          <w:tcPr>
            <w:tcW w:w="2914" w:type="dxa"/>
            <w:tcBorders>
              <w:top w:val="nil"/>
              <w:left w:val="single" w:sz="8" w:space="0" w:color="auto"/>
              <w:bottom w:val="single" w:sz="8" w:space="0" w:color="auto"/>
              <w:right w:val="nil"/>
            </w:tcBorders>
            <w:shd w:val="clear" w:color="auto" w:fill="auto"/>
            <w:vAlign w:val="center"/>
            <w:hideMark/>
          </w:tcPr>
          <w:p w:rsidR="00212D28" w:rsidRPr="005A6431" w:rsidP="0034449B" w14:paraId="2D85E37D"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Form SF 424 </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0475061C"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18780F88" w14:textId="77777777">
            <w:pPr>
              <w:widowControl/>
              <w:autoSpaceDE/>
              <w:autoSpaceDN/>
              <w:adjustRightInd/>
              <w:rPr>
                <w:rFonts w:ascii="Times New Roman" w:hAnsi="Times New Roman"/>
                <w:color w:val="000000"/>
              </w:rPr>
            </w:pPr>
          </w:p>
        </w:tc>
        <w:tc>
          <w:tcPr>
            <w:tcW w:w="1349" w:type="dxa"/>
            <w:tcBorders>
              <w:top w:val="nil"/>
              <w:left w:val="nil"/>
              <w:bottom w:val="single" w:sz="8" w:space="0" w:color="000000"/>
              <w:right w:val="nil"/>
            </w:tcBorders>
            <w:shd w:val="clear" w:color="auto" w:fill="auto"/>
            <w:vAlign w:val="center"/>
            <w:hideMark/>
          </w:tcPr>
          <w:p w:rsidR="00212D28" w:rsidRPr="005A6431" w:rsidP="0034449B" w14:paraId="50F88017" w14:textId="18089AE0">
            <w:pPr>
              <w:widowControl/>
              <w:autoSpaceDE/>
              <w:autoSpaceDN/>
              <w:adjustRightInd/>
              <w:rPr>
                <w:rFonts w:ascii="Times New Roman" w:hAnsi="Times New Roman"/>
                <w:color w:val="000000"/>
              </w:rPr>
            </w:pPr>
            <w:r>
              <w:rPr>
                <w:rFonts w:ascii="Times New Roman" w:hAnsi="Times New Roman"/>
                <w:color w:val="000000"/>
              </w:rPr>
              <w:t xml:space="preserve">           1</w:t>
            </w:r>
          </w:p>
        </w:tc>
        <w:tc>
          <w:tcPr>
            <w:tcW w:w="509"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6856C839" w14:textId="77777777">
            <w:pPr>
              <w:widowControl/>
              <w:autoSpaceDE/>
              <w:autoSpaceDN/>
              <w:adjustRightInd/>
              <w:rPr>
                <w:rFonts w:ascii="Times New Roman" w:hAnsi="Times New Roman"/>
                <w:color w:val="000000"/>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12D28" w:rsidRPr="005A6431" w:rsidP="00212D28" w14:paraId="644C12B0" w14:textId="752C400C">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c>
          <w:tcPr>
            <w:tcW w:w="560" w:type="dxa"/>
            <w:tcBorders>
              <w:top w:val="nil"/>
              <w:left w:val="single" w:sz="4" w:space="0" w:color="auto"/>
              <w:bottom w:val="nil"/>
              <w:right w:val="single" w:sz="8" w:space="0" w:color="auto"/>
            </w:tcBorders>
            <w:shd w:val="clear" w:color="auto" w:fill="auto"/>
            <w:vAlign w:val="center"/>
            <w:hideMark/>
          </w:tcPr>
          <w:p w:rsidR="00212D28" w:rsidRPr="005A6431" w:rsidP="0034449B" w14:paraId="5575DDED"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auto" w:fill="auto"/>
            <w:vAlign w:val="center"/>
            <w:hideMark/>
          </w:tcPr>
          <w:p w:rsidR="00212D28" w:rsidRPr="005A6431" w:rsidP="0034449B" w14:paraId="25CFADD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w:t>
            </w:r>
          </w:p>
        </w:tc>
        <w:tc>
          <w:tcPr>
            <w:tcW w:w="586" w:type="dxa"/>
            <w:tcBorders>
              <w:top w:val="nil"/>
              <w:left w:val="nil"/>
              <w:bottom w:val="nil"/>
              <w:right w:val="single" w:sz="8" w:space="0" w:color="auto"/>
            </w:tcBorders>
            <w:shd w:val="clear" w:color="auto" w:fill="auto"/>
            <w:vAlign w:val="center"/>
            <w:hideMark/>
          </w:tcPr>
          <w:p w:rsidR="00212D28" w:rsidRPr="005A6431" w:rsidP="0034449B" w14:paraId="2B4C8AF7"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212D28" w:rsidRPr="005A6431" w:rsidP="0034449B" w14:paraId="327BDD41"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r>
      <w:tr w14:paraId="1A566A8E" w14:textId="77777777" w:rsidTr="00E857B9">
        <w:tblPrEx>
          <w:tblW w:w="11520" w:type="dxa"/>
          <w:tblInd w:w="-730" w:type="dxa"/>
          <w:tblLook w:val="04A0"/>
        </w:tblPrEx>
        <w:trPr>
          <w:trHeight w:val="403"/>
        </w:trPr>
        <w:tc>
          <w:tcPr>
            <w:tcW w:w="2914" w:type="dxa"/>
            <w:tcBorders>
              <w:top w:val="nil"/>
              <w:left w:val="single" w:sz="8" w:space="0" w:color="auto"/>
              <w:bottom w:val="single" w:sz="8" w:space="0" w:color="auto"/>
              <w:right w:val="nil"/>
            </w:tcBorders>
            <w:shd w:val="clear" w:color="auto" w:fill="auto"/>
            <w:vAlign w:val="center"/>
            <w:hideMark/>
          </w:tcPr>
          <w:p w:rsidR="00212D28" w:rsidRPr="005A6431" w:rsidP="0034449B" w14:paraId="42D38E9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Narrative &amp; Cover Page  </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4911CC96"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4AE263E5" w14:textId="77777777">
            <w:pPr>
              <w:widowControl/>
              <w:autoSpaceDE/>
              <w:autoSpaceDN/>
              <w:adjustRightInd/>
              <w:rPr>
                <w:rFonts w:ascii="Times New Roman" w:hAnsi="Times New Roman"/>
                <w:color w:val="000000"/>
              </w:rPr>
            </w:pPr>
          </w:p>
        </w:tc>
        <w:tc>
          <w:tcPr>
            <w:tcW w:w="1349" w:type="dxa"/>
            <w:tcBorders>
              <w:top w:val="nil"/>
              <w:left w:val="nil"/>
              <w:bottom w:val="single" w:sz="8" w:space="0" w:color="000000"/>
              <w:right w:val="nil"/>
            </w:tcBorders>
            <w:shd w:val="clear" w:color="auto" w:fill="auto"/>
            <w:vAlign w:val="center"/>
            <w:hideMark/>
          </w:tcPr>
          <w:p w:rsidR="00212D28" w:rsidRPr="005A6431" w:rsidP="0034449B" w14:paraId="6A1F1404" w14:textId="4CBEC4DD">
            <w:pPr>
              <w:widowControl/>
              <w:autoSpaceDE/>
              <w:autoSpaceDN/>
              <w:adjustRightInd/>
              <w:rPr>
                <w:rFonts w:ascii="Times New Roman" w:hAnsi="Times New Roman"/>
                <w:color w:val="000000"/>
              </w:rPr>
            </w:pPr>
            <w:r>
              <w:rPr>
                <w:rFonts w:ascii="Times New Roman" w:hAnsi="Times New Roman"/>
                <w:color w:val="000000"/>
              </w:rPr>
              <w:t xml:space="preserve">           1</w:t>
            </w:r>
          </w:p>
        </w:tc>
        <w:tc>
          <w:tcPr>
            <w:tcW w:w="509" w:type="dxa"/>
            <w:vMerge/>
            <w:tcBorders>
              <w:top w:val="single" w:sz="4" w:space="0" w:color="auto"/>
              <w:left w:val="single" w:sz="4" w:space="0" w:color="auto"/>
              <w:bottom w:val="single" w:sz="4" w:space="0" w:color="000000"/>
              <w:right w:val="single" w:sz="4" w:space="0" w:color="auto"/>
            </w:tcBorders>
            <w:vAlign w:val="center"/>
            <w:hideMark/>
          </w:tcPr>
          <w:p w:rsidR="00212D28" w:rsidRPr="005A6431" w:rsidP="0034449B" w14:paraId="454FD6C3" w14:textId="77777777">
            <w:pPr>
              <w:widowControl/>
              <w:autoSpaceDE/>
              <w:autoSpaceDN/>
              <w:adjustRightInd/>
              <w:rPr>
                <w:rFonts w:ascii="Times New Roman" w:hAnsi="Times New Roman"/>
                <w:color w:val="000000"/>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12D28" w:rsidRPr="005A6431" w:rsidP="00212D28" w14:paraId="22EED39A" w14:textId="0B3EF3DB">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c>
          <w:tcPr>
            <w:tcW w:w="560" w:type="dxa"/>
            <w:tcBorders>
              <w:top w:val="nil"/>
              <w:left w:val="single" w:sz="4" w:space="0" w:color="auto"/>
              <w:bottom w:val="single" w:sz="8" w:space="0" w:color="auto"/>
              <w:right w:val="single" w:sz="8" w:space="0" w:color="auto"/>
            </w:tcBorders>
            <w:shd w:val="clear" w:color="auto" w:fill="auto"/>
            <w:vAlign w:val="center"/>
            <w:hideMark/>
          </w:tcPr>
          <w:p w:rsidR="00212D28" w:rsidRPr="005A6431" w:rsidP="0034449B" w14:paraId="3F388FD7" w14:textId="656D3F21">
            <w:pPr>
              <w:widowControl/>
              <w:autoSpaceDE/>
              <w:autoSpaceDN/>
              <w:adjustRightInd/>
              <w:rPr>
                <w:rFonts w:ascii="Times New Roman" w:hAnsi="Times New Roman"/>
                <w:color w:val="000000"/>
              </w:rPr>
            </w:pPr>
            <w:r w:rsidRPr="005A6431">
              <w:rPr>
                <w:rFonts w:ascii="Times New Roman" w:hAnsi="Times New Roman"/>
                <w:color w:val="000000"/>
              </w:rPr>
              <w:t xml:space="preserve"> </w:t>
            </w:r>
          </w:p>
        </w:tc>
        <w:tc>
          <w:tcPr>
            <w:tcW w:w="1089" w:type="dxa"/>
            <w:tcBorders>
              <w:top w:val="nil"/>
              <w:left w:val="nil"/>
              <w:bottom w:val="single" w:sz="8" w:space="0" w:color="auto"/>
              <w:right w:val="single" w:sz="8" w:space="0" w:color="auto"/>
            </w:tcBorders>
            <w:shd w:val="clear" w:color="auto" w:fill="auto"/>
            <w:vAlign w:val="center"/>
            <w:hideMark/>
          </w:tcPr>
          <w:p w:rsidR="00212D28" w:rsidRPr="005A6431" w:rsidP="0034449B" w14:paraId="77F2FD39"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w:t>
            </w:r>
          </w:p>
        </w:tc>
        <w:tc>
          <w:tcPr>
            <w:tcW w:w="586" w:type="dxa"/>
            <w:tcBorders>
              <w:top w:val="nil"/>
              <w:left w:val="nil"/>
              <w:bottom w:val="single" w:sz="8" w:space="0" w:color="auto"/>
              <w:right w:val="single" w:sz="8" w:space="0" w:color="auto"/>
            </w:tcBorders>
            <w:shd w:val="clear" w:color="auto" w:fill="auto"/>
            <w:hideMark/>
          </w:tcPr>
          <w:p w:rsidR="00212D28" w:rsidRPr="005A6431" w:rsidP="00F24DF2" w14:paraId="3FE976E8" w14:textId="57B15AD1">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vAlign w:val="center"/>
            <w:hideMark/>
          </w:tcPr>
          <w:p w:rsidR="00212D28" w:rsidRPr="005A6431" w:rsidP="0034449B" w14:paraId="7A837E37"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25</w:t>
            </w:r>
          </w:p>
        </w:tc>
      </w:tr>
      <w:tr w14:paraId="5FE0C788" w14:textId="77777777" w:rsidTr="005A6431">
        <w:tblPrEx>
          <w:tblW w:w="11520" w:type="dxa"/>
          <w:tblInd w:w="-730" w:type="dxa"/>
          <w:tblLook w:val="04A0"/>
        </w:tblPrEx>
        <w:trPr>
          <w:trHeight w:val="250"/>
        </w:trPr>
        <w:tc>
          <w:tcPr>
            <w:tcW w:w="2914" w:type="dxa"/>
            <w:tcBorders>
              <w:top w:val="nil"/>
              <w:left w:val="single" w:sz="8" w:space="0" w:color="auto"/>
              <w:bottom w:val="single" w:sz="8" w:space="0" w:color="auto"/>
              <w:right w:val="nil"/>
            </w:tcBorders>
            <w:shd w:val="clear" w:color="000000" w:fill="D0CECE"/>
            <w:vAlign w:val="center"/>
            <w:hideMark/>
          </w:tcPr>
          <w:p w:rsidR="0034449B" w:rsidRPr="005A6431" w:rsidP="0034449B" w14:paraId="5F88794D"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PERFORMANCE REPORTS</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34449B" w:rsidRPr="005A6431" w:rsidP="0034449B" w14:paraId="11A265A1"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34449B" w:rsidRPr="005A6431" w:rsidP="0034449B" w14:paraId="1E217F1F" w14:textId="77777777">
            <w:pPr>
              <w:widowControl/>
              <w:autoSpaceDE/>
              <w:autoSpaceDN/>
              <w:adjustRightInd/>
              <w:rPr>
                <w:rFonts w:ascii="Times New Roman" w:hAnsi="Times New Roman"/>
                <w:color w:val="000000"/>
              </w:rPr>
            </w:pPr>
          </w:p>
        </w:tc>
        <w:tc>
          <w:tcPr>
            <w:tcW w:w="1349" w:type="dxa"/>
            <w:tcBorders>
              <w:top w:val="nil"/>
              <w:left w:val="nil"/>
              <w:bottom w:val="single" w:sz="8" w:space="0" w:color="auto"/>
              <w:right w:val="single" w:sz="8" w:space="0" w:color="auto"/>
            </w:tcBorders>
            <w:shd w:val="clear" w:color="000000" w:fill="D0CECE"/>
            <w:vAlign w:val="center"/>
            <w:hideMark/>
          </w:tcPr>
          <w:p w:rsidR="0034449B" w:rsidRPr="005A6431" w:rsidP="0034449B" w14:paraId="0616937E"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509" w:type="dxa"/>
            <w:tcBorders>
              <w:top w:val="nil"/>
              <w:left w:val="nil"/>
              <w:bottom w:val="nil"/>
              <w:right w:val="single" w:sz="8" w:space="0" w:color="auto"/>
            </w:tcBorders>
            <w:shd w:val="clear" w:color="auto" w:fill="auto"/>
            <w:vAlign w:val="center"/>
            <w:hideMark/>
          </w:tcPr>
          <w:p w:rsidR="0034449B" w:rsidRPr="005A6431" w:rsidP="0034449B" w14:paraId="2B250A56"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200" w:type="dxa"/>
            <w:tcBorders>
              <w:top w:val="single" w:sz="4" w:space="0" w:color="auto"/>
              <w:left w:val="nil"/>
              <w:bottom w:val="single" w:sz="8" w:space="0" w:color="auto"/>
              <w:right w:val="single" w:sz="8" w:space="0" w:color="auto"/>
            </w:tcBorders>
            <w:shd w:val="clear" w:color="000000" w:fill="D0CECE"/>
            <w:vAlign w:val="center"/>
            <w:hideMark/>
          </w:tcPr>
          <w:p w:rsidR="0034449B" w:rsidRPr="005A6431" w:rsidP="00212D28" w14:paraId="470A5C9C" w14:textId="713D4259">
            <w:pPr>
              <w:widowControl/>
              <w:autoSpaceDE/>
              <w:autoSpaceDN/>
              <w:adjustRightInd/>
              <w:jc w:val="center"/>
              <w:rPr>
                <w:rFonts w:ascii="Times New Roman" w:hAnsi="Times New Roman"/>
                <w:color w:val="000000"/>
              </w:rPr>
            </w:pPr>
          </w:p>
        </w:tc>
        <w:tc>
          <w:tcPr>
            <w:tcW w:w="560" w:type="dxa"/>
            <w:tcBorders>
              <w:top w:val="nil"/>
              <w:left w:val="nil"/>
              <w:bottom w:val="single" w:sz="8" w:space="0" w:color="auto"/>
              <w:right w:val="single" w:sz="8" w:space="0" w:color="auto"/>
            </w:tcBorders>
            <w:shd w:val="clear" w:color="auto" w:fill="auto"/>
            <w:vAlign w:val="center"/>
            <w:hideMark/>
          </w:tcPr>
          <w:p w:rsidR="0034449B" w:rsidRPr="005A6431" w:rsidP="0034449B" w14:paraId="738F9E91" w14:textId="77777777">
            <w:pPr>
              <w:widowControl/>
              <w:autoSpaceDE/>
              <w:autoSpaceDN/>
              <w:adjustRightInd/>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000000" w:fill="D0CECE"/>
            <w:vAlign w:val="center"/>
            <w:hideMark/>
          </w:tcPr>
          <w:p w:rsidR="0034449B" w:rsidRPr="005A6431" w:rsidP="0034449B" w14:paraId="67C30EF8"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586" w:type="dxa"/>
            <w:tcBorders>
              <w:top w:val="nil"/>
              <w:left w:val="nil"/>
              <w:bottom w:val="single" w:sz="8" w:space="0" w:color="auto"/>
              <w:right w:val="single" w:sz="8" w:space="0" w:color="auto"/>
            </w:tcBorders>
            <w:shd w:val="clear" w:color="auto" w:fill="auto"/>
            <w:vAlign w:val="center"/>
            <w:hideMark/>
          </w:tcPr>
          <w:p w:rsidR="0034449B" w:rsidRPr="005A6431" w:rsidP="0034449B" w14:paraId="41222852"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D0CECE"/>
            <w:vAlign w:val="center"/>
            <w:hideMark/>
          </w:tcPr>
          <w:p w:rsidR="0034449B" w:rsidRPr="005A6431" w:rsidP="0034449B" w14:paraId="56719EAA"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r>
      <w:tr w14:paraId="44D4044D" w14:textId="77777777" w:rsidTr="00436FDF">
        <w:tblPrEx>
          <w:tblW w:w="11520" w:type="dxa"/>
          <w:tblInd w:w="-730" w:type="dxa"/>
          <w:tblLook w:val="04A0"/>
        </w:tblPrEx>
        <w:trPr>
          <w:trHeight w:val="304"/>
        </w:trPr>
        <w:tc>
          <w:tcPr>
            <w:tcW w:w="2914" w:type="dxa"/>
            <w:tcBorders>
              <w:top w:val="nil"/>
              <w:left w:val="single" w:sz="8" w:space="0" w:color="auto"/>
              <w:bottom w:val="single" w:sz="8" w:space="0" w:color="auto"/>
              <w:right w:val="nil"/>
            </w:tcBorders>
            <w:shd w:val="clear" w:color="auto" w:fill="auto"/>
            <w:vAlign w:val="center"/>
            <w:hideMark/>
          </w:tcPr>
          <w:p w:rsidR="0034449B" w:rsidRPr="005A6431" w:rsidP="0034449B" w14:paraId="4D539C33"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Quarterly Reports</w:t>
            </w: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34449B" w:rsidRPr="005A6431" w:rsidP="0034449B" w14:paraId="1B9C2AAB" w14:textId="77777777">
            <w:pPr>
              <w:widowControl/>
              <w:autoSpaceDE/>
              <w:autoSpaceDN/>
              <w:adjustRightInd/>
              <w:rPr>
                <w:rFonts w:ascii="Times New Roman" w:hAnsi="Times New Roman"/>
                <w:color w:val="000000"/>
              </w:rPr>
            </w:pPr>
          </w:p>
        </w:tc>
        <w:tc>
          <w:tcPr>
            <w:tcW w:w="527" w:type="dxa"/>
            <w:vMerge/>
            <w:tcBorders>
              <w:top w:val="single" w:sz="4" w:space="0" w:color="auto"/>
              <w:left w:val="single" w:sz="4" w:space="0" w:color="auto"/>
              <w:bottom w:val="single" w:sz="4" w:space="0" w:color="000000"/>
              <w:right w:val="single" w:sz="4" w:space="0" w:color="auto"/>
            </w:tcBorders>
            <w:vAlign w:val="center"/>
            <w:hideMark/>
          </w:tcPr>
          <w:p w:rsidR="0034449B" w:rsidRPr="005A6431" w:rsidP="0034449B" w14:paraId="511DA94D" w14:textId="77777777">
            <w:pPr>
              <w:widowControl/>
              <w:autoSpaceDE/>
              <w:autoSpaceDN/>
              <w:adjustRightInd/>
              <w:rPr>
                <w:rFonts w:ascii="Times New Roman" w:hAnsi="Times New Roman"/>
                <w:color w:val="000000"/>
              </w:rPr>
            </w:pPr>
          </w:p>
        </w:tc>
        <w:tc>
          <w:tcPr>
            <w:tcW w:w="1349" w:type="dxa"/>
            <w:tcBorders>
              <w:top w:val="nil"/>
              <w:left w:val="nil"/>
              <w:bottom w:val="single" w:sz="8" w:space="0" w:color="auto"/>
              <w:right w:val="single" w:sz="8" w:space="0" w:color="auto"/>
            </w:tcBorders>
            <w:shd w:val="clear" w:color="auto" w:fill="auto"/>
            <w:vAlign w:val="center"/>
            <w:hideMark/>
          </w:tcPr>
          <w:p w:rsidR="0034449B" w:rsidRPr="005A6431" w:rsidP="0034449B" w14:paraId="79F4DE3D"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4</w:t>
            </w:r>
          </w:p>
        </w:tc>
        <w:tc>
          <w:tcPr>
            <w:tcW w:w="509" w:type="dxa"/>
            <w:tcBorders>
              <w:top w:val="nil"/>
              <w:left w:val="nil"/>
              <w:bottom w:val="nil"/>
              <w:right w:val="single" w:sz="8" w:space="0" w:color="auto"/>
            </w:tcBorders>
            <w:shd w:val="clear" w:color="auto" w:fill="auto"/>
            <w:vAlign w:val="center"/>
            <w:hideMark/>
          </w:tcPr>
          <w:p w:rsidR="0034449B" w:rsidRPr="005A6431" w:rsidP="0034449B" w14:paraId="41FEC03F"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34449B" w:rsidRPr="005A6431" w:rsidP="0034449B" w14:paraId="652214EA"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100</w:t>
            </w:r>
          </w:p>
        </w:tc>
        <w:tc>
          <w:tcPr>
            <w:tcW w:w="560" w:type="dxa"/>
            <w:tcBorders>
              <w:top w:val="nil"/>
              <w:left w:val="nil"/>
              <w:bottom w:val="single" w:sz="8" w:space="0" w:color="auto"/>
              <w:right w:val="single" w:sz="8" w:space="0" w:color="auto"/>
            </w:tcBorders>
            <w:shd w:val="clear" w:color="auto" w:fill="auto"/>
            <w:vAlign w:val="center"/>
            <w:hideMark/>
          </w:tcPr>
          <w:p w:rsidR="0034449B" w:rsidRPr="005A6431" w:rsidP="0034449B" w14:paraId="678941A7" w14:textId="77777777">
            <w:pPr>
              <w:widowControl/>
              <w:autoSpaceDE/>
              <w:autoSpaceDN/>
              <w:adjustRightInd/>
              <w:rPr>
                <w:rFonts w:ascii="Times New Roman" w:hAnsi="Times New Roman"/>
                <w:color w:val="000000"/>
              </w:rPr>
            </w:pPr>
            <w:r w:rsidRPr="005A6431">
              <w:rPr>
                <w:rFonts w:ascii="Times New Roman" w:hAnsi="Times New Roman"/>
                <w:color w:val="000000"/>
              </w:rPr>
              <w:t> </w:t>
            </w:r>
          </w:p>
        </w:tc>
        <w:tc>
          <w:tcPr>
            <w:tcW w:w="1089" w:type="dxa"/>
            <w:tcBorders>
              <w:top w:val="nil"/>
              <w:left w:val="nil"/>
              <w:bottom w:val="single" w:sz="8" w:space="0" w:color="auto"/>
              <w:right w:val="single" w:sz="8" w:space="0" w:color="auto"/>
            </w:tcBorders>
            <w:shd w:val="clear" w:color="auto" w:fill="auto"/>
            <w:vAlign w:val="center"/>
            <w:hideMark/>
          </w:tcPr>
          <w:p w:rsidR="0034449B" w:rsidRPr="005A6431" w:rsidP="0034449B" w14:paraId="17A88C0C"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2</w:t>
            </w:r>
          </w:p>
        </w:tc>
        <w:tc>
          <w:tcPr>
            <w:tcW w:w="586" w:type="dxa"/>
            <w:tcBorders>
              <w:top w:val="nil"/>
              <w:left w:val="nil"/>
              <w:bottom w:val="single" w:sz="8" w:space="0" w:color="auto"/>
              <w:right w:val="single" w:sz="8" w:space="0" w:color="auto"/>
            </w:tcBorders>
            <w:shd w:val="clear" w:color="auto" w:fill="auto"/>
            <w:vAlign w:val="center"/>
            <w:hideMark/>
          </w:tcPr>
          <w:p w:rsidR="0034449B" w:rsidRPr="005A6431" w:rsidP="0034449B" w14:paraId="38115CCF"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34449B" w:rsidRPr="005A6431" w:rsidP="0034449B" w14:paraId="0D2250BC"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200</w:t>
            </w:r>
          </w:p>
        </w:tc>
      </w:tr>
      <w:tr w14:paraId="11EFA903" w14:textId="77777777" w:rsidTr="00436FDF">
        <w:tblPrEx>
          <w:tblW w:w="11520" w:type="dxa"/>
          <w:tblInd w:w="-730" w:type="dxa"/>
          <w:tblLook w:val="04A0"/>
        </w:tblPrEx>
        <w:trPr>
          <w:trHeight w:val="304"/>
        </w:trPr>
        <w:tc>
          <w:tcPr>
            <w:tcW w:w="2914" w:type="dxa"/>
            <w:tcBorders>
              <w:top w:val="nil"/>
              <w:left w:val="single" w:sz="8" w:space="0" w:color="auto"/>
              <w:bottom w:val="single" w:sz="8" w:space="0" w:color="auto"/>
              <w:right w:val="single" w:sz="8" w:space="0" w:color="auto"/>
            </w:tcBorders>
            <w:shd w:val="clear" w:color="000000" w:fill="D0CECE"/>
            <w:vAlign w:val="center"/>
            <w:hideMark/>
          </w:tcPr>
          <w:p w:rsidR="0034449B" w:rsidRPr="005A6431" w:rsidP="0034449B" w14:paraId="6285496A"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TOTAL</w:t>
            </w:r>
          </w:p>
        </w:tc>
        <w:tc>
          <w:tcPr>
            <w:tcW w:w="1436" w:type="dxa"/>
            <w:tcBorders>
              <w:top w:val="nil"/>
              <w:left w:val="nil"/>
              <w:bottom w:val="single" w:sz="8" w:space="0" w:color="auto"/>
              <w:right w:val="single" w:sz="8" w:space="0" w:color="auto"/>
            </w:tcBorders>
            <w:shd w:val="clear" w:color="auto" w:fill="auto"/>
            <w:vAlign w:val="center"/>
            <w:hideMark/>
          </w:tcPr>
          <w:p w:rsidR="0034449B" w:rsidRPr="005A6431" w:rsidP="0034449B" w14:paraId="2E5E5248"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25</w:t>
            </w:r>
          </w:p>
        </w:tc>
        <w:tc>
          <w:tcPr>
            <w:tcW w:w="527" w:type="dxa"/>
            <w:tcBorders>
              <w:top w:val="nil"/>
              <w:left w:val="nil"/>
              <w:bottom w:val="single" w:sz="8" w:space="0" w:color="auto"/>
              <w:right w:val="single" w:sz="8" w:space="0" w:color="auto"/>
            </w:tcBorders>
            <w:shd w:val="clear" w:color="auto" w:fill="auto"/>
            <w:vAlign w:val="center"/>
            <w:hideMark/>
          </w:tcPr>
          <w:p w:rsidR="0034449B" w:rsidRPr="005A6431" w:rsidP="0034449B" w14:paraId="738767C6"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 </w:t>
            </w:r>
          </w:p>
        </w:tc>
        <w:tc>
          <w:tcPr>
            <w:tcW w:w="1349" w:type="dxa"/>
            <w:tcBorders>
              <w:top w:val="nil"/>
              <w:left w:val="nil"/>
              <w:bottom w:val="single" w:sz="8" w:space="0" w:color="auto"/>
              <w:right w:val="single" w:sz="8" w:space="0" w:color="auto"/>
            </w:tcBorders>
            <w:shd w:val="clear" w:color="auto" w:fill="auto"/>
            <w:vAlign w:val="center"/>
            <w:hideMark/>
          </w:tcPr>
          <w:p w:rsidR="0034449B" w:rsidRPr="005A6431" w:rsidP="0034449B" w14:paraId="2CA50C0B" w14:textId="21897F61">
            <w:pPr>
              <w:widowControl/>
              <w:autoSpaceDE/>
              <w:autoSpaceDN/>
              <w:adjustRightInd/>
              <w:jc w:val="center"/>
              <w:rPr>
                <w:rFonts w:ascii="Times New Roman" w:hAnsi="Times New Roman"/>
                <w:b/>
                <w:bCs/>
                <w:color w:val="000000"/>
              </w:rPr>
            </w:pPr>
            <w:r>
              <w:rPr>
                <w:rFonts w:ascii="Times New Roman" w:hAnsi="Times New Roman"/>
                <w:b/>
                <w:bCs/>
                <w:color w:val="000000"/>
              </w:rPr>
              <w:t>9</w:t>
            </w:r>
          </w:p>
        </w:tc>
        <w:tc>
          <w:tcPr>
            <w:tcW w:w="509" w:type="dxa"/>
            <w:tcBorders>
              <w:top w:val="single" w:sz="8" w:space="0" w:color="auto"/>
              <w:left w:val="nil"/>
              <w:bottom w:val="single" w:sz="8" w:space="0" w:color="auto"/>
              <w:right w:val="single" w:sz="8" w:space="0" w:color="auto"/>
            </w:tcBorders>
            <w:shd w:val="clear" w:color="auto" w:fill="auto"/>
            <w:vAlign w:val="center"/>
            <w:hideMark/>
          </w:tcPr>
          <w:p w:rsidR="0034449B" w:rsidRPr="005A6431" w:rsidP="0034449B" w14:paraId="52CBD83D"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34449B" w:rsidRPr="005A6431" w:rsidP="0034449B" w14:paraId="7133789E" w14:textId="6C50C25C">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225</w:t>
            </w:r>
          </w:p>
        </w:tc>
        <w:tc>
          <w:tcPr>
            <w:tcW w:w="560" w:type="dxa"/>
            <w:tcBorders>
              <w:top w:val="nil"/>
              <w:left w:val="nil"/>
              <w:bottom w:val="single" w:sz="8" w:space="0" w:color="auto"/>
              <w:right w:val="single" w:sz="8" w:space="0" w:color="auto"/>
            </w:tcBorders>
            <w:shd w:val="clear" w:color="auto" w:fill="auto"/>
            <w:vAlign w:val="center"/>
            <w:hideMark/>
          </w:tcPr>
          <w:p w:rsidR="0034449B" w:rsidRPr="005A6431" w:rsidP="0034449B" w14:paraId="5EA74B25"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 </w:t>
            </w:r>
          </w:p>
        </w:tc>
        <w:tc>
          <w:tcPr>
            <w:tcW w:w="1089" w:type="dxa"/>
            <w:tcBorders>
              <w:top w:val="nil"/>
              <w:left w:val="nil"/>
              <w:bottom w:val="single" w:sz="8" w:space="0" w:color="auto"/>
              <w:right w:val="single" w:sz="8" w:space="0" w:color="auto"/>
            </w:tcBorders>
            <w:shd w:val="clear" w:color="auto" w:fill="auto"/>
            <w:vAlign w:val="center"/>
            <w:hideMark/>
          </w:tcPr>
          <w:p w:rsidR="0034449B" w:rsidRPr="005A6431" w:rsidP="0034449B" w14:paraId="52FAAD1F"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62</w:t>
            </w:r>
          </w:p>
        </w:tc>
        <w:tc>
          <w:tcPr>
            <w:tcW w:w="586" w:type="dxa"/>
            <w:tcBorders>
              <w:top w:val="nil"/>
              <w:left w:val="nil"/>
              <w:bottom w:val="single" w:sz="8" w:space="0" w:color="auto"/>
              <w:right w:val="single" w:sz="8" w:space="0" w:color="auto"/>
            </w:tcBorders>
            <w:shd w:val="clear" w:color="auto" w:fill="auto"/>
            <w:vAlign w:val="center"/>
            <w:hideMark/>
          </w:tcPr>
          <w:p w:rsidR="0034449B" w:rsidRPr="005A6431" w:rsidP="0034449B" w14:paraId="75D06091"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34449B" w:rsidRPr="005A6431" w:rsidP="0034449B" w14:paraId="56158081"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1,700</w:t>
            </w:r>
          </w:p>
        </w:tc>
      </w:tr>
      <w:bookmarkEnd w:id="7"/>
    </w:tbl>
    <w:p w:rsidR="003613D1" w:rsidP="00AE1681" w14:paraId="24A5C905" w14:textId="77777777">
      <w:pPr>
        <w:pStyle w:val="ListParagraph"/>
        <w:rPr>
          <w:b/>
          <w:bCs/>
        </w:rPr>
      </w:pPr>
    </w:p>
    <w:p w:rsidR="002427FD" w:rsidP="00AE1681" w14:paraId="358B1DA8" w14:textId="70C3DA97">
      <w:pPr>
        <w:pStyle w:val="ListParagraph"/>
        <w:numPr>
          <w:ilvl w:val="0"/>
          <w:numId w:val="49"/>
        </w:numPr>
        <w:ind w:hanging="450"/>
        <w:rPr>
          <w:b/>
          <w:bCs/>
        </w:rPr>
      </w:pPr>
      <w:r w:rsidRPr="00436FDF">
        <w:rPr>
          <w:b/>
          <w:bCs/>
        </w:rPr>
        <w:t xml:space="preserve">Estimated Annualized Burden Costs </w:t>
      </w:r>
    </w:p>
    <w:p w:rsidR="009C7A8E" w:rsidP="00B3374C" w14:paraId="511F205B" w14:textId="77777777">
      <w:pPr>
        <w:rPr>
          <w:b/>
          <w:bCs/>
        </w:rPr>
      </w:pPr>
    </w:p>
    <w:p w:rsidR="009C7A8E" w:rsidP="009C7A8E" w14:paraId="373823AA" w14:textId="7371C6ED">
      <w:pPr>
        <w:ind w:left="288"/>
        <w:rPr>
          <w:rFonts w:ascii="Times New Roman" w:hAnsi="Times New Roman"/>
          <w:sz w:val="24"/>
          <w:szCs w:val="24"/>
        </w:rPr>
      </w:pPr>
      <w:r>
        <w:rPr>
          <w:rFonts w:ascii="Times New Roman" w:hAnsi="Times New Roman"/>
          <w:iCs/>
          <w:sz w:val="24"/>
          <w:szCs w:val="24"/>
        </w:rPr>
        <w:t>The Bureau of Labor and Statistics (BLS)</w:t>
      </w:r>
      <w:r>
        <w:rPr>
          <w:rStyle w:val="FootnoteReference"/>
          <w:rFonts w:ascii="Times New Roman" w:hAnsi="Times New Roman"/>
          <w:iCs/>
          <w:sz w:val="24"/>
          <w:szCs w:val="24"/>
        </w:rPr>
        <w:footnoteReference w:id="2"/>
      </w:r>
      <w:r>
        <w:rPr>
          <w:rFonts w:ascii="Times New Roman" w:hAnsi="Times New Roman"/>
          <w:iCs/>
          <w:sz w:val="24"/>
          <w:szCs w:val="24"/>
        </w:rPr>
        <w:t xml:space="preserve"> estimates that the average hourly wage rates for the following professionals who perform a variety of tasks (i.e. prepare the grant application, the grant agreement, progress reporting, and performance reporting) are as follows: </w:t>
      </w:r>
      <w:r w:rsidRPr="009A0B09">
        <w:rPr>
          <w:rFonts w:ascii="Times New Roman" w:hAnsi="Times New Roman"/>
          <w:iCs/>
          <w:sz w:val="24"/>
          <w:szCs w:val="24"/>
        </w:rPr>
        <w:t>General and Operation Manager (11-1021)</w:t>
      </w:r>
      <w:r>
        <w:rPr>
          <w:rFonts w:ascii="Times New Roman" w:hAnsi="Times New Roman"/>
          <w:iCs/>
          <w:sz w:val="24"/>
          <w:szCs w:val="24"/>
        </w:rPr>
        <w:t xml:space="preserve"> is $62.18, </w:t>
      </w:r>
      <w:r w:rsidRPr="009A0B09">
        <w:rPr>
          <w:rFonts w:ascii="Times New Roman" w:hAnsi="Times New Roman"/>
          <w:sz w:val="24"/>
          <w:szCs w:val="24"/>
        </w:rPr>
        <w:t xml:space="preserve"> </w:t>
      </w:r>
      <w:r w:rsidRPr="009A0B09">
        <w:rPr>
          <w:rFonts w:ascii="Times New Roman" w:hAnsi="Times New Roman"/>
          <w:sz w:val="24"/>
          <w:szCs w:val="24"/>
        </w:rPr>
        <w:t>Executive Secretaries and Executive Administrative  Assistants (43-6011</w:t>
      </w:r>
      <w:r w:rsidR="0015069F">
        <w:rPr>
          <w:rFonts w:ascii="Times New Roman" w:hAnsi="Times New Roman"/>
          <w:sz w:val="24"/>
          <w:szCs w:val="24"/>
        </w:rPr>
        <w:t>)</w:t>
      </w:r>
      <w:r w:rsidRPr="009A0B09">
        <w:rPr>
          <w:rFonts w:ascii="Times New Roman" w:hAnsi="Times New Roman"/>
          <w:sz w:val="24"/>
          <w:szCs w:val="24"/>
        </w:rPr>
        <w:t xml:space="preserve"> </w:t>
      </w:r>
      <w:r>
        <w:rPr>
          <w:rFonts w:ascii="Times New Roman" w:hAnsi="Times New Roman"/>
          <w:sz w:val="24"/>
          <w:szCs w:val="24"/>
        </w:rPr>
        <w:t xml:space="preserve">is $ 35.42, and </w:t>
      </w:r>
      <w:r w:rsidRPr="009A0B09">
        <w:rPr>
          <w:rFonts w:ascii="Times New Roman" w:hAnsi="Times New Roman"/>
          <w:sz w:val="24"/>
          <w:szCs w:val="24"/>
        </w:rPr>
        <w:t xml:space="preserve">Secretaries and Administrative Assistants </w:t>
      </w:r>
      <w:bookmarkStart w:id="8" w:name="_Hlk180576450"/>
      <w:r w:rsidRPr="009A0B09">
        <w:rPr>
          <w:rFonts w:ascii="Times New Roman" w:hAnsi="Times New Roman"/>
          <w:sz w:val="24"/>
          <w:szCs w:val="24"/>
        </w:rPr>
        <w:t>(43-60</w:t>
      </w:r>
      <w:r w:rsidR="0015069F">
        <w:rPr>
          <w:rFonts w:ascii="Times New Roman" w:hAnsi="Times New Roman"/>
          <w:sz w:val="24"/>
          <w:szCs w:val="24"/>
        </w:rPr>
        <w:t>14</w:t>
      </w:r>
      <w:r>
        <w:rPr>
          <w:rFonts w:ascii="Times New Roman" w:hAnsi="Times New Roman"/>
          <w:sz w:val="24"/>
          <w:szCs w:val="24"/>
        </w:rPr>
        <w:t xml:space="preserve">) </w:t>
      </w:r>
      <w:bookmarkEnd w:id="8"/>
      <w:r>
        <w:rPr>
          <w:rFonts w:ascii="Times New Roman" w:hAnsi="Times New Roman"/>
          <w:sz w:val="24"/>
          <w:szCs w:val="24"/>
        </w:rPr>
        <w:t xml:space="preserve">is $ </w:t>
      </w:r>
      <w:r w:rsidR="0015069F">
        <w:rPr>
          <w:rFonts w:ascii="Times New Roman" w:hAnsi="Times New Roman"/>
          <w:sz w:val="24"/>
          <w:szCs w:val="24"/>
        </w:rPr>
        <w:t>21.87</w:t>
      </w:r>
      <w:r>
        <w:rPr>
          <w:rFonts w:ascii="Times New Roman" w:hAnsi="Times New Roman"/>
          <w:sz w:val="24"/>
          <w:szCs w:val="24"/>
        </w:rPr>
        <w:t>.</w:t>
      </w:r>
    </w:p>
    <w:p w:rsidR="0015069F" w:rsidP="00B3374C" w14:paraId="38AF5FB3" w14:textId="77777777">
      <w:pPr>
        <w:ind w:left="360"/>
        <w:rPr>
          <w:b/>
          <w:bCs/>
        </w:rPr>
      </w:pPr>
    </w:p>
    <w:p w:rsidR="005A6431" w:rsidP="005A6431" w14:paraId="26E00070" w14:textId="5958679A">
      <w:pPr>
        <w:ind w:left="270"/>
        <w:rPr>
          <w:rFonts w:ascii="Times New Roman" w:hAnsi="Times New Roman"/>
          <w:sz w:val="24"/>
          <w:szCs w:val="24"/>
        </w:rPr>
      </w:pPr>
      <w:r>
        <w:rPr>
          <w:rFonts w:ascii="Times New Roman" w:hAnsi="Times New Roman"/>
          <w:iCs/>
          <w:sz w:val="24"/>
          <w:szCs w:val="24"/>
        </w:rPr>
        <w:t>When combined the total compensation rate of 29%</w:t>
      </w:r>
      <w:r>
        <w:rPr>
          <w:rStyle w:val="FootnoteReference"/>
          <w:rFonts w:ascii="Times New Roman" w:hAnsi="Times New Roman"/>
          <w:iCs/>
          <w:sz w:val="24"/>
          <w:szCs w:val="24"/>
        </w:rPr>
        <w:footnoteReference w:id="3"/>
      </w:r>
      <w:r>
        <w:rPr>
          <w:rFonts w:ascii="Times New Roman" w:hAnsi="Times New Roman"/>
          <w:iCs/>
          <w:sz w:val="24"/>
          <w:szCs w:val="24"/>
        </w:rPr>
        <w:t xml:space="preserve">, the annualized hourly rate for each professional is as follows: </w:t>
      </w:r>
      <w:r w:rsidRPr="009A0B09">
        <w:rPr>
          <w:rFonts w:ascii="Times New Roman" w:hAnsi="Times New Roman"/>
          <w:iCs/>
          <w:sz w:val="24"/>
          <w:szCs w:val="24"/>
        </w:rPr>
        <w:t>General and Operation Manager  (11-1021) is</w:t>
      </w:r>
      <w:r>
        <w:rPr>
          <w:rFonts w:ascii="Times New Roman" w:hAnsi="Times New Roman"/>
          <w:iCs/>
          <w:sz w:val="24"/>
          <w:szCs w:val="24"/>
        </w:rPr>
        <w:t xml:space="preserve"> $ 80.21</w:t>
      </w:r>
      <w:r w:rsidRPr="009A0B09">
        <w:rPr>
          <w:rFonts w:ascii="Times New Roman" w:hAnsi="Times New Roman"/>
          <w:iCs/>
          <w:sz w:val="24"/>
          <w:szCs w:val="24"/>
        </w:rPr>
        <w:t>, Executive Secretaries and Executive Administrative Assistants (43-6011</w:t>
      </w:r>
      <w:r>
        <w:rPr>
          <w:rFonts w:ascii="Times New Roman" w:hAnsi="Times New Roman"/>
          <w:iCs/>
          <w:sz w:val="24"/>
          <w:szCs w:val="24"/>
        </w:rPr>
        <w:t>)</w:t>
      </w:r>
      <w:r w:rsidRPr="009A0B09">
        <w:rPr>
          <w:rFonts w:ascii="Times New Roman" w:hAnsi="Times New Roman"/>
          <w:iCs/>
          <w:sz w:val="24"/>
          <w:szCs w:val="24"/>
        </w:rPr>
        <w:t xml:space="preserve"> is</w:t>
      </w:r>
      <w:r>
        <w:rPr>
          <w:rFonts w:ascii="Times New Roman" w:hAnsi="Times New Roman"/>
          <w:iCs/>
          <w:sz w:val="24"/>
          <w:szCs w:val="24"/>
        </w:rPr>
        <w:t xml:space="preserve"> $46.98</w:t>
      </w:r>
      <w:r w:rsidRPr="009A0B09">
        <w:rPr>
          <w:rFonts w:ascii="Times New Roman" w:hAnsi="Times New Roman"/>
          <w:iCs/>
          <w:sz w:val="24"/>
          <w:szCs w:val="24"/>
        </w:rPr>
        <w:t xml:space="preserve"> and Secretaries and Administrative Assistants</w:t>
      </w:r>
      <w:r>
        <w:rPr>
          <w:rFonts w:ascii="Times New Roman" w:hAnsi="Times New Roman"/>
          <w:iCs/>
          <w:sz w:val="24"/>
          <w:szCs w:val="24"/>
        </w:rPr>
        <w:t xml:space="preserve"> </w:t>
      </w:r>
      <w:r w:rsidRPr="009A0B09">
        <w:rPr>
          <w:rFonts w:ascii="Times New Roman" w:hAnsi="Times New Roman"/>
          <w:sz w:val="24"/>
          <w:szCs w:val="24"/>
        </w:rPr>
        <w:t>(43-60</w:t>
      </w:r>
      <w:r>
        <w:rPr>
          <w:rFonts w:ascii="Times New Roman" w:hAnsi="Times New Roman"/>
          <w:sz w:val="24"/>
          <w:szCs w:val="24"/>
        </w:rPr>
        <w:t xml:space="preserve">14) is $ 28.21. Therefore, the total annualized cost burden for all professionals associated with preparing and submitting </w:t>
      </w:r>
      <w:r w:rsidR="001820CC">
        <w:rPr>
          <w:rFonts w:ascii="Times New Roman" w:hAnsi="Times New Roman"/>
          <w:sz w:val="24"/>
          <w:szCs w:val="24"/>
        </w:rPr>
        <w:t>data</w:t>
      </w:r>
      <w:r>
        <w:rPr>
          <w:rFonts w:ascii="Times New Roman" w:hAnsi="Times New Roman"/>
          <w:sz w:val="24"/>
          <w:szCs w:val="24"/>
        </w:rPr>
        <w:t xml:space="preserve"> for this collection is </w:t>
      </w:r>
      <w:r w:rsidR="001820CC">
        <w:rPr>
          <w:rFonts w:ascii="Times New Roman" w:hAnsi="Times New Roman"/>
          <w:sz w:val="24"/>
          <w:szCs w:val="24"/>
        </w:rPr>
        <w:t xml:space="preserve">$ </w:t>
      </w:r>
      <w:r>
        <w:rPr>
          <w:rFonts w:ascii="Times New Roman" w:hAnsi="Times New Roman"/>
          <w:sz w:val="24"/>
          <w:szCs w:val="24"/>
        </w:rPr>
        <w:t>87,329.51,</w:t>
      </w:r>
      <w:r>
        <w:rPr>
          <w:rFonts w:ascii="Times New Roman" w:hAnsi="Times New Roman"/>
          <w:sz w:val="24"/>
          <w:szCs w:val="24"/>
        </w:rPr>
        <w:t xml:space="preserve"> which can be calculated as shown in the table below</w:t>
      </w:r>
      <w:r>
        <w:rPr>
          <w:rFonts w:ascii="Times New Roman" w:hAnsi="Times New Roman"/>
          <w:sz w:val="24"/>
          <w:szCs w:val="24"/>
        </w:rPr>
        <w:t>:</w:t>
      </w:r>
    </w:p>
    <w:p w:rsidR="001820CC" w:rsidP="00AE1681" w14:paraId="11DDC4D1" w14:textId="77777777">
      <w:pPr>
        <w:rPr>
          <w:rFonts w:ascii="Times New Roman" w:hAnsi="Times New Roman"/>
          <w:sz w:val="24"/>
          <w:szCs w:val="24"/>
        </w:rPr>
      </w:pPr>
    </w:p>
    <w:tbl>
      <w:tblPr>
        <w:tblW w:w="11372" w:type="dxa"/>
        <w:tblInd w:w="-635" w:type="dxa"/>
        <w:tblLook w:val="04A0"/>
      </w:tblPr>
      <w:tblGrid>
        <w:gridCol w:w="2778"/>
        <w:gridCol w:w="1440"/>
        <w:gridCol w:w="1620"/>
        <w:gridCol w:w="1231"/>
        <w:gridCol w:w="1573"/>
        <w:gridCol w:w="1348"/>
        <w:gridCol w:w="1382"/>
      </w:tblGrid>
      <w:tr w14:paraId="033BA8E2" w14:textId="77777777" w:rsidTr="00AE1681">
        <w:tblPrEx>
          <w:tblW w:w="11372" w:type="dxa"/>
          <w:tblInd w:w="-635" w:type="dxa"/>
          <w:tblLook w:val="04A0"/>
        </w:tblPrEx>
        <w:trPr>
          <w:trHeight w:val="989"/>
        </w:trPr>
        <w:tc>
          <w:tcPr>
            <w:tcW w:w="27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20CC" w:rsidRPr="00AE1681" w:rsidP="001820CC" w14:paraId="46BF8B26"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 xml:space="preserve">Title and Code of  Respondents </w:t>
            </w:r>
          </w:p>
        </w:tc>
        <w:tc>
          <w:tcPr>
            <w:tcW w:w="14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820CC" w:rsidRPr="00AE1681" w:rsidP="001820CC" w14:paraId="3D4A1309"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 xml:space="preserve">Hourly Wage </w:t>
            </w:r>
          </w:p>
        </w:tc>
        <w:tc>
          <w:tcPr>
            <w:tcW w:w="162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820CC" w:rsidRPr="00AE1681" w:rsidP="001820CC" w14:paraId="5DC91F21"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 xml:space="preserve">Compensation Rate of 29% </w:t>
            </w:r>
          </w:p>
        </w:tc>
        <w:tc>
          <w:tcPr>
            <w:tcW w:w="123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820CC" w:rsidRPr="00AE1681" w:rsidP="001820CC" w14:paraId="07BC0D2F"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 xml:space="preserve"> Number of Employees </w:t>
            </w:r>
          </w:p>
        </w:tc>
        <w:tc>
          <w:tcPr>
            <w:tcW w:w="157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820CC" w:rsidRPr="00AE1681" w:rsidP="001820CC" w14:paraId="54526F88"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Total Compensation Rate for Each Respondent</w:t>
            </w:r>
          </w:p>
        </w:tc>
        <w:tc>
          <w:tcPr>
            <w:tcW w:w="134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820CC" w:rsidRPr="00AE1681" w:rsidP="001820CC" w14:paraId="798D9BBB"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Total Annualized Burden Hours</w:t>
            </w:r>
          </w:p>
        </w:tc>
        <w:tc>
          <w:tcPr>
            <w:tcW w:w="138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820CC" w:rsidRPr="00AE1681" w:rsidP="001820CC" w14:paraId="489C4148" w14:textId="77777777">
            <w:pPr>
              <w:widowControl/>
              <w:autoSpaceDE/>
              <w:autoSpaceDN/>
              <w:adjustRightInd/>
              <w:rPr>
                <w:rFonts w:ascii="Times New Roman" w:hAnsi="Times New Roman"/>
                <w:b/>
                <w:bCs/>
                <w:color w:val="000000"/>
              </w:rPr>
            </w:pPr>
            <w:r w:rsidRPr="00AE1681">
              <w:rPr>
                <w:rFonts w:ascii="Times New Roman" w:hAnsi="Times New Roman"/>
                <w:b/>
                <w:bCs/>
                <w:color w:val="000000"/>
              </w:rPr>
              <w:t xml:space="preserve">Total Annualized Cost Burden </w:t>
            </w:r>
          </w:p>
        </w:tc>
      </w:tr>
      <w:tr w14:paraId="584120A7" w14:textId="77777777" w:rsidTr="00436FDF">
        <w:tblPrEx>
          <w:tblW w:w="11372" w:type="dxa"/>
          <w:tblInd w:w="-635" w:type="dxa"/>
          <w:tblLook w:val="04A0"/>
        </w:tblPrEx>
        <w:trPr>
          <w:trHeight w:val="5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1820CC" w:rsidRPr="005A6431" w:rsidP="00436FDF" w14:paraId="50AD5F12"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General and Operations Manager  (11-1021)</w:t>
            </w:r>
          </w:p>
        </w:tc>
        <w:tc>
          <w:tcPr>
            <w:tcW w:w="1440"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26250B55" w14:textId="6CAF0878">
            <w:pPr>
              <w:widowControl/>
              <w:autoSpaceDE/>
              <w:autoSpaceDN/>
              <w:adjustRightInd/>
              <w:jc w:val="center"/>
              <w:rPr>
                <w:rFonts w:ascii="Times New Roman" w:hAnsi="Times New Roman"/>
                <w:color w:val="000000"/>
              </w:rPr>
            </w:pPr>
            <w:r w:rsidRPr="005A6431">
              <w:rPr>
                <w:rFonts w:ascii="Times New Roman" w:hAnsi="Times New Roman"/>
                <w:color w:val="000000"/>
              </w:rPr>
              <w:t>$        62.18</w:t>
            </w:r>
          </w:p>
        </w:tc>
        <w:tc>
          <w:tcPr>
            <w:tcW w:w="1620"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763094E4" w14:textId="14FB3B2C">
            <w:pPr>
              <w:widowControl/>
              <w:autoSpaceDE/>
              <w:autoSpaceDN/>
              <w:adjustRightInd/>
              <w:jc w:val="center"/>
              <w:rPr>
                <w:rFonts w:ascii="Times New Roman" w:hAnsi="Times New Roman"/>
                <w:color w:val="000000"/>
              </w:rPr>
            </w:pPr>
            <w:r w:rsidRPr="005A6431">
              <w:rPr>
                <w:rFonts w:ascii="Times New Roman" w:hAnsi="Times New Roman"/>
                <w:color w:val="000000"/>
              </w:rPr>
              <w:t>$   80.21</w:t>
            </w:r>
          </w:p>
        </w:tc>
        <w:tc>
          <w:tcPr>
            <w:tcW w:w="1231" w:type="dxa"/>
            <w:tcBorders>
              <w:top w:val="nil"/>
              <w:left w:val="nil"/>
              <w:bottom w:val="single" w:sz="4" w:space="0" w:color="auto"/>
              <w:right w:val="single" w:sz="4" w:space="0" w:color="auto"/>
            </w:tcBorders>
            <w:shd w:val="clear" w:color="auto" w:fill="auto"/>
            <w:noWrap/>
            <w:vAlign w:val="center"/>
            <w:hideMark/>
          </w:tcPr>
          <w:p w:rsidR="001820CC" w:rsidRPr="005A6431" w:rsidP="003B470F" w14:paraId="40CCE6F0"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w:t>
            </w:r>
          </w:p>
        </w:tc>
        <w:tc>
          <w:tcPr>
            <w:tcW w:w="1573"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0FC465A0" w14:textId="48DC1DFA">
            <w:pPr>
              <w:widowControl/>
              <w:autoSpaceDE/>
              <w:autoSpaceDN/>
              <w:adjustRightInd/>
              <w:jc w:val="center"/>
              <w:rPr>
                <w:rFonts w:ascii="Times New Roman" w:hAnsi="Times New Roman"/>
                <w:color w:val="000000"/>
              </w:rPr>
            </w:pPr>
            <w:r w:rsidRPr="005A6431">
              <w:rPr>
                <w:rFonts w:ascii="Times New Roman" w:hAnsi="Times New Roman"/>
                <w:color w:val="000000"/>
              </w:rPr>
              <w:t>$    80.21</w:t>
            </w:r>
          </w:p>
        </w:tc>
        <w:tc>
          <w:tcPr>
            <w:tcW w:w="1348" w:type="dxa"/>
            <w:tcBorders>
              <w:top w:val="nil"/>
              <w:left w:val="nil"/>
              <w:bottom w:val="single" w:sz="4" w:space="0" w:color="auto"/>
              <w:right w:val="single" w:sz="4" w:space="0" w:color="auto"/>
            </w:tcBorders>
            <w:shd w:val="clear" w:color="auto" w:fill="auto"/>
            <w:noWrap/>
            <w:vAlign w:val="center"/>
            <w:hideMark/>
          </w:tcPr>
          <w:p w:rsidR="001820CC" w:rsidRPr="005A6431" w:rsidP="003B470F" w14:paraId="7C7B55D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566.67</w:t>
            </w:r>
          </w:p>
        </w:tc>
        <w:tc>
          <w:tcPr>
            <w:tcW w:w="1382"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2298BAC0" w14:textId="4D01E025">
            <w:pPr>
              <w:widowControl/>
              <w:autoSpaceDE/>
              <w:autoSpaceDN/>
              <w:adjustRightInd/>
              <w:jc w:val="center"/>
              <w:rPr>
                <w:rFonts w:ascii="Times New Roman" w:hAnsi="Times New Roman"/>
                <w:color w:val="000000"/>
              </w:rPr>
            </w:pPr>
            <w:r w:rsidRPr="005A6431">
              <w:rPr>
                <w:rFonts w:ascii="Times New Roman" w:hAnsi="Times New Roman"/>
                <w:color w:val="000000"/>
              </w:rPr>
              <w:t>$ 45,452.60</w:t>
            </w:r>
          </w:p>
        </w:tc>
      </w:tr>
      <w:tr w14:paraId="755E7E14" w14:textId="77777777" w:rsidTr="00436FDF">
        <w:tblPrEx>
          <w:tblW w:w="11372" w:type="dxa"/>
          <w:tblInd w:w="-635" w:type="dxa"/>
          <w:tblLook w:val="04A0"/>
        </w:tblPrEx>
        <w:trPr>
          <w:trHeight w:val="5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1820CC" w:rsidRPr="005A6431" w:rsidP="00436FDF" w14:paraId="558E9CC1"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Executive Administrative Assistant (43-6011)</w:t>
            </w:r>
          </w:p>
        </w:tc>
        <w:tc>
          <w:tcPr>
            <w:tcW w:w="1440"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5B207C24" w14:textId="24D3CA5F">
            <w:pPr>
              <w:widowControl/>
              <w:autoSpaceDE/>
              <w:autoSpaceDN/>
              <w:adjustRightInd/>
              <w:jc w:val="center"/>
              <w:rPr>
                <w:rFonts w:ascii="Times New Roman" w:hAnsi="Times New Roman"/>
                <w:color w:val="000000"/>
              </w:rPr>
            </w:pPr>
            <w:r w:rsidRPr="005A6431">
              <w:rPr>
                <w:rFonts w:ascii="Times New Roman" w:hAnsi="Times New Roman"/>
                <w:color w:val="000000"/>
              </w:rPr>
              <w:t>$        35.42</w:t>
            </w:r>
          </w:p>
        </w:tc>
        <w:tc>
          <w:tcPr>
            <w:tcW w:w="1620"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08475DBA" w14:textId="755349DB">
            <w:pPr>
              <w:widowControl/>
              <w:autoSpaceDE/>
              <w:autoSpaceDN/>
              <w:adjustRightInd/>
              <w:jc w:val="center"/>
              <w:rPr>
                <w:rFonts w:ascii="Times New Roman" w:hAnsi="Times New Roman"/>
                <w:color w:val="000000"/>
              </w:rPr>
            </w:pPr>
            <w:r w:rsidRPr="005A6431">
              <w:rPr>
                <w:rFonts w:ascii="Times New Roman" w:hAnsi="Times New Roman"/>
                <w:color w:val="000000"/>
              </w:rPr>
              <w:t>$    46.98</w:t>
            </w:r>
          </w:p>
        </w:tc>
        <w:tc>
          <w:tcPr>
            <w:tcW w:w="1231" w:type="dxa"/>
            <w:tcBorders>
              <w:top w:val="nil"/>
              <w:left w:val="nil"/>
              <w:bottom w:val="single" w:sz="4" w:space="0" w:color="auto"/>
              <w:right w:val="single" w:sz="4" w:space="0" w:color="auto"/>
            </w:tcBorders>
            <w:shd w:val="clear" w:color="auto" w:fill="auto"/>
            <w:noWrap/>
            <w:vAlign w:val="center"/>
            <w:hideMark/>
          </w:tcPr>
          <w:p w:rsidR="001820CC" w:rsidRPr="005A6431" w:rsidP="003B470F" w14:paraId="34E36A95"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w:t>
            </w:r>
          </w:p>
        </w:tc>
        <w:tc>
          <w:tcPr>
            <w:tcW w:w="1573"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137CB0F2" w14:textId="597D4FD4">
            <w:pPr>
              <w:widowControl/>
              <w:autoSpaceDE/>
              <w:autoSpaceDN/>
              <w:adjustRightInd/>
              <w:jc w:val="center"/>
              <w:rPr>
                <w:rFonts w:ascii="Times New Roman" w:hAnsi="Times New Roman"/>
                <w:color w:val="000000"/>
              </w:rPr>
            </w:pPr>
            <w:r w:rsidRPr="005A6431">
              <w:rPr>
                <w:rFonts w:ascii="Times New Roman" w:hAnsi="Times New Roman"/>
                <w:color w:val="000000"/>
              </w:rPr>
              <w:t>$     46.98</w:t>
            </w:r>
          </w:p>
        </w:tc>
        <w:tc>
          <w:tcPr>
            <w:tcW w:w="1348" w:type="dxa"/>
            <w:tcBorders>
              <w:top w:val="nil"/>
              <w:left w:val="nil"/>
              <w:bottom w:val="single" w:sz="4" w:space="0" w:color="auto"/>
              <w:right w:val="single" w:sz="4" w:space="0" w:color="auto"/>
            </w:tcBorders>
            <w:shd w:val="clear" w:color="auto" w:fill="auto"/>
            <w:noWrap/>
            <w:vAlign w:val="center"/>
            <w:hideMark/>
          </w:tcPr>
          <w:p w:rsidR="001820CC" w:rsidRPr="005A6431" w:rsidP="003B470F" w14:paraId="319CED16"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566.67</w:t>
            </w:r>
          </w:p>
        </w:tc>
        <w:tc>
          <w:tcPr>
            <w:tcW w:w="1382"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6C402F2B" w14:textId="3035B6C9">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 </w:t>
            </w:r>
            <w:r w:rsidRPr="005A6431" w:rsidR="005A6431">
              <w:rPr>
                <w:rFonts w:ascii="Times New Roman" w:hAnsi="Times New Roman"/>
                <w:color w:val="000000"/>
              </w:rPr>
              <w:t>25,291.15</w:t>
            </w:r>
          </w:p>
        </w:tc>
      </w:tr>
      <w:tr w14:paraId="6E64F865" w14:textId="77777777" w:rsidTr="00436FDF">
        <w:tblPrEx>
          <w:tblW w:w="11372" w:type="dxa"/>
          <w:tblInd w:w="-635" w:type="dxa"/>
          <w:tblLook w:val="04A0"/>
        </w:tblPrEx>
        <w:trPr>
          <w:trHeight w:val="29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1820CC" w:rsidRPr="005A6431" w:rsidP="00436FDF" w14:paraId="4517B00A"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Administrative Assistant (43-6014)</w:t>
            </w:r>
          </w:p>
        </w:tc>
        <w:tc>
          <w:tcPr>
            <w:tcW w:w="1440"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38C94354" w14:textId="0010B025">
            <w:pPr>
              <w:widowControl/>
              <w:autoSpaceDE/>
              <w:autoSpaceDN/>
              <w:adjustRightInd/>
              <w:jc w:val="center"/>
              <w:rPr>
                <w:rFonts w:ascii="Times New Roman" w:hAnsi="Times New Roman"/>
                <w:color w:val="000000"/>
              </w:rPr>
            </w:pPr>
            <w:r w:rsidRPr="005A6431">
              <w:rPr>
                <w:rFonts w:ascii="Times New Roman" w:hAnsi="Times New Roman"/>
                <w:color w:val="000000"/>
              </w:rPr>
              <w:t>$        21.87</w:t>
            </w:r>
          </w:p>
        </w:tc>
        <w:tc>
          <w:tcPr>
            <w:tcW w:w="1620"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1C28C33C" w14:textId="0B34991D">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    </w:t>
            </w:r>
            <w:r w:rsidRPr="005A6431" w:rsidR="005061EE">
              <w:rPr>
                <w:rFonts w:ascii="Times New Roman" w:hAnsi="Times New Roman"/>
                <w:color w:val="000000"/>
              </w:rPr>
              <w:t>28.21</w:t>
            </w:r>
          </w:p>
        </w:tc>
        <w:tc>
          <w:tcPr>
            <w:tcW w:w="1231" w:type="dxa"/>
            <w:tcBorders>
              <w:top w:val="nil"/>
              <w:left w:val="nil"/>
              <w:bottom w:val="single" w:sz="4" w:space="0" w:color="auto"/>
              <w:right w:val="single" w:sz="4" w:space="0" w:color="auto"/>
            </w:tcBorders>
            <w:shd w:val="clear" w:color="auto" w:fill="auto"/>
            <w:noWrap/>
            <w:vAlign w:val="center"/>
            <w:hideMark/>
          </w:tcPr>
          <w:p w:rsidR="001820CC" w:rsidRPr="005A6431" w:rsidP="003B470F" w14:paraId="62D6A6D7" w14:textId="77777777">
            <w:pPr>
              <w:widowControl/>
              <w:autoSpaceDE/>
              <w:autoSpaceDN/>
              <w:adjustRightInd/>
              <w:jc w:val="center"/>
              <w:rPr>
                <w:rFonts w:ascii="Times New Roman" w:hAnsi="Times New Roman"/>
                <w:color w:val="000000"/>
              </w:rPr>
            </w:pPr>
            <w:r w:rsidRPr="005A6431">
              <w:rPr>
                <w:rFonts w:ascii="Times New Roman" w:hAnsi="Times New Roman"/>
                <w:color w:val="000000"/>
              </w:rPr>
              <w:t>1</w:t>
            </w:r>
          </w:p>
        </w:tc>
        <w:tc>
          <w:tcPr>
            <w:tcW w:w="1573" w:type="dxa"/>
            <w:tcBorders>
              <w:top w:val="nil"/>
              <w:left w:val="nil"/>
              <w:bottom w:val="single" w:sz="4" w:space="0" w:color="auto"/>
              <w:right w:val="single" w:sz="4" w:space="0" w:color="auto"/>
            </w:tcBorders>
            <w:shd w:val="clear" w:color="auto" w:fill="auto"/>
            <w:noWrap/>
            <w:vAlign w:val="center"/>
            <w:hideMark/>
          </w:tcPr>
          <w:p w:rsidR="001820CC" w:rsidRPr="005A6431" w:rsidP="00436FDF" w14:paraId="5FCB8256" w14:textId="20EFA173">
            <w:pPr>
              <w:widowControl/>
              <w:autoSpaceDE/>
              <w:autoSpaceDN/>
              <w:adjustRightInd/>
              <w:jc w:val="center"/>
              <w:rPr>
                <w:rFonts w:ascii="Times New Roman" w:hAnsi="Times New Roman"/>
                <w:color w:val="000000"/>
              </w:rPr>
            </w:pPr>
            <w:r w:rsidRPr="005A6431">
              <w:rPr>
                <w:rFonts w:ascii="Times New Roman" w:hAnsi="Times New Roman"/>
                <w:color w:val="000000"/>
              </w:rPr>
              <w:t xml:space="preserve">$     </w:t>
            </w:r>
            <w:r w:rsidRPr="005A6431" w:rsidR="005A6431">
              <w:rPr>
                <w:rFonts w:ascii="Times New Roman" w:hAnsi="Times New Roman"/>
                <w:color w:val="000000"/>
              </w:rPr>
              <w:t>2</w:t>
            </w:r>
            <w:r w:rsidRPr="005A6431">
              <w:rPr>
                <w:rFonts w:ascii="Times New Roman" w:hAnsi="Times New Roman"/>
                <w:color w:val="000000"/>
              </w:rPr>
              <w:t>8.21</w:t>
            </w:r>
          </w:p>
        </w:tc>
        <w:tc>
          <w:tcPr>
            <w:tcW w:w="1348" w:type="dxa"/>
            <w:tcBorders>
              <w:top w:val="nil"/>
              <w:left w:val="nil"/>
              <w:bottom w:val="single" w:sz="4" w:space="0" w:color="auto"/>
              <w:right w:val="single" w:sz="4" w:space="0" w:color="auto"/>
            </w:tcBorders>
            <w:shd w:val="clear" w:color="auto" w:fill="auto"/>
            <w:noWrap/>
            <w:vAlign w:val="center"/>
            <w:hideMark/>
          </w:tcPr>
          <w:p w:rsidR="001820CC" w:rsidRPr="005A6431" w:rsidP="003B470F" w14:paraId="1D53FD3A" w14:textId="19A20C69">
            <w:pPr>
              <w:widowControl/>
              <w:autoSpaceDE/>
              <w:autoSpaceDN/>
              <w:adjustRightInd/>
              <w:jc w:val="center"/>
              <w:rPr>
                <w:rFonts w:ascii="Times New Roman" w:hAnsi="Times New Roman"/>
                <w:color w:val="000000"/>
              </w:rPr>
            </w:pPr>
            <w:r w:rsidRPr="005A6431">
              <w:rPr>
                <w:rFonts w:ascii="Times New Roman" w:hAnsi="Times New Roman"/>
                <w:color w:val="000000"/>
              </w:rPr>
              <w:t>566.67</w:t>
            </w:r>
          </w:p>
        </w:tc>
        <w:tc>
          <w:tcPr>
            <w:tcW w:w="1382" w:type="dxa"/>
            <w:tcBorders>
              <w:top w:val="nil"/>
              <w:left w:val="nil"/>
              <w:bottom w:val="single" w:sz="4" w:space="0" w:color="auto"/>
              <w:right w:val="single" w:sz="4" w:space="0" w:color="auto"/>
            </w:tcBorders>
            <w:shd w:val="clear" w:color="auto" w:fill="auto"/>
            <w:noWrap/>
            <w:vAlign w:val="center"/>
            <w:hideMark/>
          </w:tcPr>
          <w:p w:rsidR="001820CC" w:rsidRPr="005A6431" w:rsidP="00C54164" w14:paraId="3A2667B2" w14:textId="3E8A16E0">
            <w:pPr>
              <w:widowControl/>
              <w:autoSpaceDE/>
              <w:autoSpaceDN/>
              <w:adjustRightInd/>
              <w:rPr>
                <w:rFonts w:ascii="Times New Roman" w:hAnsi="Times New Roman"/>
                <w:color w:val="000000"/>
              </w:rPr>
            </w:pPr>
            <w:r>
              <w:rPr>
                <w:rFonts w:ascii="Times New Roman" w:hAnsi="Times New Roman"/>
                <w:color w:val="000000"/>
              </w:rPr>
              <w:t xml:space="preserve">   $ </w:t>
            </w:r>
            <w:r w:rsidRPr="005A6431" w:rsidR="005A6431">
              <w:rPr>
                <w:rFonts w:ascii="Times New Roman" w:hAnsi="Times New Roman"/>
                <w:color w:val="000000"/>
              </w:rPr>
              <w:t>15,985.76</w:t>
            </w:r>
          </w:p>
        </w:tc>
      </w:tr>
      <w:tr w14:paraId="24E299BF" w14:textId="77777777" w:rsidTr="00436FDF">
        <w:tblPrEx>
          <w:tblW w:w="11372" w:type="dxa"/>
          <w:tblInd w:w="-635" w:type="dxa"/>
          <w:tblLook w:val="04A0"/>
        </w:tblPrEx>
        <w:trPr>
          <w:trHeight w:val="290"/>
        </w:trPr>
        <w:tc>
          <w:tcPr>
            <w:tcW w:w="8642" w:type="dxa"/>
            <w:gridSpan w:val="5"/>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1820CC" w:rsidRPr="005A6431" w:rsidP="001820CC" w14:paraId="329A27A3" w14:textId="77777777">
            <w:pPr>
              <w:widowControl/>
              <w:autoSpaceDE/>
              <w:autoSpaceDN/>
              <w:adjustRightInd/>
              <w:jc w:val="center"/>
              <w:rPr>
                <w:rFonts w:ascii="Times New Roman" w:hAnsi="Times New Roman"/>
                <w:b/>
                <w:bCs/>
                <w:color w:val="000000"/>
              </w:rPr>
            </w:pPr>
            <w:r w:rsidRPr="005A6431">
              <w:rPr>
                <w:rFonts w:ascii="Times New Roman" w:hAnsi="Times New Roman"/>
                <w:b/>
                <w:bCs/>
                <w:color w:val="000000"/>
              </w:rPr>
              <w:t>TOTAL</w:t>
            </w:r>
          </w:p>
        </w:tc>
        <w:tc>
          <w:tcPr>
            <w:tcW w:w="1348" w:type="dxa"/>
            <w:tcBorders>
              <w:top w:val="nil"/>
              <w:left w:val="nil"/>
              <w:bottom w:val="single" w:sz="4" w:space="0" w:color="auto"/>
              <w:right w:val="single" w:sz="4" w:space="0" w:color="auto"/>
            </w:tcBorders>
            <w:shd w:val="clear" w:color="auto" w:fill="auto"/>
            <w:noWrap/>
            <w:vAlign w:val="bottom"/>
            <w:hideMark/>
          </w:tcPr>
          <w:p w:rsidR="001820CC" w:rsidRPr="005A6431" w:rsidP="001820CC" w14:paraId="5EEF7640" w14:textId="32E86124">
            <w:pPr>
              <w:widowControl/>
              <w:autoSpaceDE/>
              <w:autoSpaceDN/>
              <w:adjustRightInd/>
              <w:jc w:val="center"/>
              <w:rPr>
                <w:rFonts w:ascii="Times New Roman" w:hAnsi="Times New Roman"/>
                <w:color w:val="000000"/>
              </w:rPr>
            </w:pPr>
            <w:r w:rsidRPr="005A6431">
              <w:rPr>
                <w:rFonts w:ascii="Times New Roman" w:hAnsi="Times New Roman"/>
                <w:color w:val="000000"/>
              </w:rPr>
              <w:t>1</w:t>
            </w:r>
            <w:r w:rsidR="00B91066">
              <w:rPr>
                <w:rFonts w:ascii="Times New Roman" w:hAnsi="Times New Roman"/>
                <w:color w:val="000000"/>
              </w:rPr>
              <w:t>,</w:t>
            </w:r>
            <w:r w:rsidRPr="005A6431">
              <w:rPr>
                <w:rFonts w:ascii="Times New Roman" w:hAnsi="Times New Roman"/>
                <w:color w:val="000000"/>
              </w:rPr>
              <w:t>700.01</w:t>
            </w:r>
          </w:p>
        </w:tc>
        <w:tc>
          <w:tcPr>
            <w:tcW w:w="1382" w:type="dxa"/>
            <w:tcBorders>
              <w:top w:val="nil"/>
              <w:left w:val="nil"/>
              <w:bottom w:val="single" w:sz="4" w:space="0" w:color="auto"/>
              <w:right w:val="single" w:sz="4" w:space="0" w:color="auto"/>
            </w:tcBorders>
            <w:shd w:val="clear" w:color="auto" w:fill="auto"/>
            <w:noWrap/>
            <w:vAlign w:val="bottom"/>
            <w:hideMark/>
          </w:tcPr>
          <w:p w:rsidR="001820CC" w:rsidRPr="005A6431" w:rsidP="001820CC" w14:paraId="23984D85" w14:textId="78A3AAB1">
            <w:pPr>
              <w:widowControl/>
              <w:autoSpaceDE/>
              <w:autoSpaceDN/>
              <w:adjustRightInd/>
              <w:rPr>
                <w:rFonts w:ascii="Times New Roman" w:hAnsi="Times New Roman"/>
                <w:color w:val="000000"/>
              </w:rPr>
            </w:pPr>
            <w:r w:rsidRPr="005A6431">
              <w:rPr>
                <w:rFonts w:ascii="Times New Roman" w:hAnsi="Times New Roman"/>
                <w:color w:val="000000"/>
              </w:rPr>
              <w:t xml:space="preserve"> $</w:t>
            </w:r>
            <w:r w:rsidRPr="005A6431" w:rsidR="006B214D">
              <w:rPr>
                <w:rFonts w:ascii="Times New Roman" w:hAnsi="Times New Roman"/>
                <w:color w:val="000000"/>
              </w:rPr>
              <w:t xml:space="preserve"> </w:t>
            </w:r>
            <w:r w:rsidRPr="005A6431" w:rsidR="005A6431">
              <w:rPr>
                <w:rFonts w:ascii="Times New Roman" w:hAnsi="Times New Roman"/>
                <w:color w:val="000000"/>
              </w:rPr>
              <w:t>87,329.51</w:t>
            </w:r>
            <w:r w:rsidRPr="005A6431">
              <w:rPr>
                <w:rFonts w:ascii="Times New Roman" w:hAnsi="Times New Roman"/>
                <w:color w:val="000000"/>
              </w:rPr>
              <w:t xml:space="preserve"> </w:t>
            </w:r>
          </w:p>
        </w:tc>
      </w:tr>
    </w:tbl>
    <w:p w:rsidR="001820CC" w:rsidP="00694F34" w14:paraId="39DD8107" w14:textId="77777777">
      <w:pPr>
        <w:ind w:left="360"/>
        <w:rPr>
          <w:rFonts w:ascii="Times New Roman" w:hAnsi="Times New Roman"/>
          <w:sz w:val="24"/>
          <w:szCs w:val="24"/>
        </w:rPr>
      </w:pPr>
    </w:p>
    <w:p w:rsidR="00105F8E" w:rsidRPr="008F41F2" w:rsidP="00436FDF" w14:paraId="03D0562F" w14:textId="3AF11B5E">
      <w:pPr>
        <w:pStyle w:val="ListParagraph"/>
        <w:numPr>
          <w:ilvl w:val="0"/>
          <w:numId w:val="47"/>
        </w:numPr>
        <w:rPr>
          <w:b/>
        </w:rPr>
      </w:pPr>
      <w:r w:rsidRPr="00436FDF">
        <w:rPr>
          <w:b/>
        </w:rPr>
        <w:t xml:space="preserve">Estimate of </w:t>
      </w:r>
      <w:r w:rsidRPr="00436FDF" w:rsidR="008F41F2">
        <w:rPr>
          <w:b/>
        </w:rPr>
        <w:t>T</w:t>
      </w:r>
      <w:r w:rsidRPr="00436FDF">
        <w:rPr>
          <w:b/>
        </w:rPr>
        <w:t xml:space="preserve">otal </w:t>
      </w:r>
      <w:r w:rsidRPr="00436FDF" w:rsidR="008F41F2">
        <w:rPr>
          <w:b/>
        </w:rPr>
        <w:t xml:space="preserve">Annual Cost Burden </w:t>
      </w:r>
      <w:r w:rsidRPr="00436FDF">
        <w:rPr>
          <w:b/>
        </w:rPr>
        <w:t xml:space="preserve">to </w:t>
      </w:r>
      <w:r w:rsidRPr="00436FDF" w:rsidR="008F41F2">
        <w:rPr>
          <w:b/>
        </w:rPr>
        <w:t>R</w:t>
      </w:r>
      <w:r w:rsidRPr="00436FDF">
        <w:rPr>
          <w:b/>
        </w:rPr>
        <w:t>espondents</w:t>
      </w:r>
      <w:r w:rsidRPr="00436FDF" w:rsidR="008F41F2">
        <w:rPr>
          <w:b/>
        </w:rPr>
        <w:t xml:space="preserve"> and/or Record Keeper</w:t>
      </w:r>
      <w:r w:rsidRPr="008F41F2" w:rsidR="008F41F2">
        <w:rPr>
          <w:b/>
        </w:rPr>
        <w:t xml:space="preserve">  </w:t>
      </w:r>
    </w:p>
    <w:p w:rsidR="00F53FB7" w:rsidP="00707438" w14:paraId="6A86FCFF" w14:textId="3935EA0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firstLine="60"/>
        <w:rPr>
          <w:rFonts w:ascii="Times New Roman" w:hAnsi="Times New Roman"/>
          <w:color w:val="auto"/>
          <w:szCs w:val="20"/>
        </w:rPr>
      </w:pPr>
    </w:p>
    <w:p w:rsidR="001031C5" w:rsidP="00694F34" w14:paraId="661E6BEC" w14:textId="24F54394">
      <w:pPr>
        <w:ind w:left="288"/>
        <w:rPr>
          <w:rFonts w:ascii="Times New Roman" w:hAnsi="Times New Roman"/>
          <w:sz w:val="24"/>
          <w:szCs w:val="24"/>
        </w:rPr>
      </w:pPr>
      <w:r w:rsidRPr="00436FDF">
        <w:rPr>
          <w:rFonts w:ascii="Times New Roman" w:hAnsi="Times New Roman"/>
          <w:sz w:val="24"/>
          <w:szCs w:val="24"/>
        </w:rPr>
        <w:t xml:space="preserve">There </w:t>
      </w:r>
      <w:r w:rsidR="00372E15">
        <w:rPr>
          <w:rFonts w:ascii="Times New Roman" w:hAnsi="Times New Roman"/>
          <w:sz w:val="24"/>
          <w:szCs w:val="24"/>
        </w:rPr>
        <w:t>are</w:t>
      </w:r>
      <w:r w:rsidRPr="00436FDF">
        <w:rPr>
          <w:rFonts w:ascii="Times New Roman" w:hAnsi="Times New Roman"/>
          <w:sz w:val="24"/>
          <w:szCs w:val="24"/>
        </w:rPr>
        <w:t xml:space="preserve"> no capital</w:t>
      </w:r>
      <w:r w:rsidRPr="00436FDF" w:rsidR="00894546">
        <w:rPr>
          <w:rFonts w:ascii="Times New Roman" w:hAnsi="Times New Roman"/>
          <w:sz w:val="24"/>
          <w:szCs w:val="24"/>
        </w:rPr>
        <w:t xml:space="preserve">, start-up, </w:t>
      </w:r>
      <w:r w:rsidRPr="00436FDF" w:rsidR="00D04504">
        <w:rPr>
          <w:rFonts w:ascii="Times New Roman" w:hAnsi="Times New Roman"/>
          <w:sz w:val="24"/>
          <w:szCs w:val="24"/>
        </w:rPr>
        <w:t>operation,</w:t>
      </w:r>
      <w:r w:rsidRPr="00436FDF" w:rsidR="00894546">
        <w:rPr>
          <w:rFonts w:ascii="Times New Roman" w:hAnsi="Times New Roman"/>
          <w:sz w:val="24"/>
          <w:szCs w:val="24"/>
        </w:rPr>
        <w:t xml:space="preserve"> or </w:t>
      </w:r>
      <w:r w:rsidRPr="00436FDF">
        <w:rPr>
          <w:rFonts w:ascii="Times New Roman" w:hAnsi="Times New Roman"/>
          <w:sz w:val="24"/>
          <w:szCs w:val="24"/>
        </w:rPr>
        <w:t>maintenance cost</w:t>
      </w:r>
      <w:r w:rsidRPr="00436FDF" w:rsidR="00894546">
        <w:rPr>
          <w:rFonts w:ascii="Times New Roman" w:hAnsi="Times New Roman"/>
          <w:sz w:val="24"/>
          <w:szCs w:val="24"/>
        </w:rPr>
        <w:t xml:space="preserve"> associated with this collection</w:t>
      </w:r>
      <w:r w:rsidRPr="00436FDF">
        <w:rPr>
          <w:rFonts w:ascii="Times New Roman" w:hAnsi="Times New Roman"/>
          <w:sz w:val="24"/>
          <w:szCs w:val="24"/>
        </w:rPr>
        <w:t>.</w:t>
      </w:r>
    </w:p>
    <w:p w:rsidR="00894546" w:rsidP="00694F34" w14:paraId="2998AD34" w14:textId="77777777">
      <w:pPr>
        <w:ind w:left="288"/>
        <w:rPr>
          <w:rFonts w:ascii="Times New Roman" w:hAnsi="Times New Roman"/>
          <w:sz w:val="24"/>
          <w:szCs w:val="24"/>
        </w:rPr>
      </w:pPr>
    </w:p>
    <w:p w:rsidR="00894546" w:rsidRPr="00894546" w:rsidP="00894546" w14:paraId="68B6A4EB" w14:textId="45AF0082">
      <w:pPr>
        <w:pStyle w:val="ListParagraph"/>
        <w:numPr>
          <w:ilvl w:val="0"/>
          <w:numId w:val="47"/>
        </w:numPr>
        <w:rPr>
          <w:b/>
        </w:rPr>
      </w:pPr>
      <w:r w:rsidRPr="00436FDF">
        <w:rPr>
          <w:b/>
        </w:rPr>
        <w:t>Estimate of Federal Government Costs</w:t>
      </w:r>
      <w:r w:rsidRPr="00894546">
        <w:rPr>
          <w:b/>
        </w:rPr>
        <w:t xml:space="preserve">  </w:t>
      </w:r>
    </w:p>
    <w:p w:rsidR="003B470F" w:rsidRPr="00436FDF" w:rsidP="00C54164" w14:paraId="5C4C29D1" w14:textId="77777777">
      <w:pPr>
        <w:rPr>
          <w:b/>
        </w:rPr>
      </w:pPr>
    </w:p>
    <w:p w:rsidR="003B470F" w:rsidP="003B470F" w14:paraId="67430246" w14:textId="0C1111CD">
      <w:pPr>
        <w:ind w:left="288"/>
        <w:rPr>
          <w:rFonts w:ascii="Times New Roman" w:hAnsi="Times New Roman"/>
          <w:iCs/>
          <w:sz w:val="24"/>
          <w:szCs w:val="24"/>
        </w:rPr>
      </w:pPr>
      <w:r w:rsidRPr="003B470F">
        <w:rPr>
          <w:rFonts w:ascii="Times New Roman" w:hAnsi="Times New Roman"/>
          <w:iCs/>
          <w:sz w:val="24"/>
          <w:szCs w:val="24"/>
        </w:rPr>
        <w:t>According to the Office of Personnel Management (OPM)</w:t>
      </w:r>
      <w:r>
        <w:rPr>
          <w:rFonts w:ascii="Times New Roman" w:hAnsi="Times New Roman"/>
          <w:iCs/>
          <w:sz w:val="24"/>
          <w:szCs w:val="24"/>
          <w:vertAlign w:val="superscript"/>
        </w:rPr>
        <w:footnoteReference w:id="4"/>
      </w:r>
      <w:r w:rsidRPr="003B470F">
        <w:rPr>
          <w:rFonts w:ascii="Times New Roman" w:hAnsi="Times New Roman"/>
          <w:iCs/>
          <w:sz w:val="24"/>
          <w:szCs w:val="24"/>
        </w:rPr>
        <w:t xml:space="preserve"> the hourly wages for the following Federal Employees to complete program related tasks for</w:t>
      </w:r>
      <w:r>
        <w:rPr>
          <w:rFonts w:ascii="Times New Roman" w:hAnsi="Times New Roman"/>
          <w:iCs/>
          <w:sz w:val="24"/>
          <w:szCs w:val="24"/>
        </w:rPr>
        <w:t xml:space="preserve"> USMPH Grant Program are as follows: </w:t>
      </w:r>
      <w:r w:rsidRPr="003B470F">
        <w:rPr>
          <w:rFonts w:ascii="Times New Roman" w:hAnsi="Times New Roman"/>
          <w:iCs/>
          <w:sz w:val="24"/>
          <w:szCs w:val="24"/>
        </w:rPr>
        <w:t>GS 14 (Step 5):Develop, review and post notice of funding opportunity</w:t>
      </w:r>
      <w:r w:rsidR="001277E5">
        <w:rPr>
          <w:rFonts w:ascii="Times New Roman" w:hAnsi="Times New Roman"/>
          <w:iCs/>
          <w:sz w:val="24"/>
          <w:szCs w:val="24"/>
        </w:rPr>
        <w:t xml:space="preserve"> is $ 75.70</w:t>
      </w:r>
      <w:r>
        <w:rPr>
          <w:rFonts w:ascii="Times New Roman" w:hAnsi="Times New Roman"/>
          <w:iCs/>
          <w:sz w:val="24"/>
          <w:szCs w:val="24"/>
        </w:rPr>
        <w:t xml:space="preserve">, </w:t>
      </w:r>
      <w:r w:rsidRPr="003B470F">
        <w:rPr>
          <w:rFonts w:ascii="Times New Roman" w:hAnsi="Times New Roman"/>
          <w:iCs/>
          <w:sz w:val="24"/>
          <w:szCs w:val="24"/>
        </w:rPr>
        <w:t>GS 13 (Step 5): Receive/Sort/Review applications</w:t>
      </w:r>
      <w:r w:rsidR="001277E5">
        <w:rPr>
          <w:rFonts w:ascii="Times New Roman" w:hAnsi="Times New Roman"/>
          <w:iCs/>
          <w:sz w:val="24"/>
          <w:szCs w:val="24"/>
        </w:rPr>
        <w:t xml:space="preserve"> is $ 64.06 </w:t>
      </w:r>
      <w:r>
        <w:rPr>
          <w:rFonts w:ascii="Times New Roman" w:hAnsi="Times New Roman"/>
          <w:iCs/>
          <w:sz w:val="24"/>
          <w:szCs w:val="24"/>
        </w:rPr>
        <w:t xml:space="preserve">, </w:t>
      </w:r>
      <w:r w:rsidRPr="003B470F">
        <w:rPr>
          <w:rFonts w:ascii="Times New Roman" w:hAnsi="Times New Roman"/>
          <w:iCs/>
          <w:sz w:val="24"/>
          <w:szCs w:val="24"/>
        </w:rPr>
        <w:t>GS 15 (Step 5): Prepare, review, post list of awards</w:t>
      </w:r>
      <w:r w:rsidR="001277E5">
        <w:rPr>
          <w:rFonts w:ascii="Times New Roman" w:hAnsi="Times New Roman"/>
          <w:iCs/>
          <w:sz w:val="24"/>
          <w:szCs w:val="24"/>
        </w:rPr>
        <w:t xml:space="preserve"> is $ 89.04</w:t>
      </w:r>
      <w:r>
        <w:rPr>
          <w:rFonts w:ascii="Times New Roman" w:hAnsi="Times New Roman"/>
          <w:iCs/>
          <w:sz w:val="24"/>
          <w:szCs w:val="24"/>
        </w:rPr>
        <w:t xml:space="preserve">, </w:t>
      </w:r>
      <w:r w:rsidRPr="003B470F">
        <w:rPr>
          <w:rFonts w:ascii="Times New Roman" w:hAnsi="Times New Roman"/>
          <w:iCs/>
          <w:sz w:val="24"/>
          <w:szCs w:val="24"/>
        </w:rPr>
        <w:t>GS 13 (Step 5): Negotiate scope, schedule, and budget for all agreements</w:t>
      </w:r>
      <w:r w:rsidR="001277E5">
        <w:rPr>
          <w:rFonts w:ascii="Times New Roman" w:hAnsi="Times New Roman"/>
          <w:iCs/>
          <w:sz w:val="24"/>
          <w:szCs w:val="24"/>
        </w:rPr>
        <w:t xml:space="preserve"> is $ 64.06</w:t>
      </w:r>
      <w:r>
        <w:rPr>
          <w:rFonts w:ascii="Times New Roman" w:hAnsi="Times New Roman"/>
          <w:iCs/>
          <w:sz w:val="24"/>
          <w:szCs w:val="24"/>
        </w:rPr>
        <w:t xml:space="preserve">, </w:t>
      </w:r>
      <w:r w:rsidRPr="003B470F">
        <w:rPr>
          <w:rFonts w:ascii="Times New Roman" w:hAnsi="Times New Roman"/>
          <w:iCs/>
          <w:sz w:val="24"/>
          <w:szCs w:val="24"/>
        </w:rPr>
        <w:t>GS 13 (Step 5): Receive, sort, and review progress and performance reports</w:t>
      </w:r>
      <w:r w:rsidR="001277E5">
        <w:rPr>
          <w:rFonts w:ascii="Times New Roman" w:hAnsi="Times New Roman"/>
          <w:iCs/>
          <w:sz w:val="24"/>
          <w:szCs w:val="24"/>
        </w:rPr>
        <w:t xml:space="preserve"> is $ 64.06.</w:t>
      </w:r>
    </w:p>
    <w:p w:rsidR="001277E5" w:rsidP="003B470F" w14:paraId="192C3819" w14:textId="7BC9DC7E">
      <w:pPr>
        <w:ind w:left="288"/>
        <w:rPr>
          <w:rFonts w:ascii="Times New Roman" w:hAnsi="Times New Roman"/>
          <w:iCs/>
          <w:sz w:val="24"/>
          <w:szCs w:val="24"/>
        </w:rPr>
      </w:pPr>
      <w:bookmarkStart w:id="11" w:name="_Hlk177476088"/>
      <w:r w:rsidRPr="001277E5">
        <w:rPr>
          <w:rFonts w:ascii="Times New Roman" w:hAnsi="Times New Roman"/>
          <w:iCs/>
          <w:sz w:val="24"/>
          <w:szCs w:val="24"/>
        </w:rPr>
        <w:t>When combined with the Federal Employee Compensation rate of 31%</w:t>
      </w:r>
      <w:r>
        <w:rPr>
          <w:rFonts w:ascii="Times New Roman" w:hAnsi="Times New Roman"/>
          <w:iCs/>
          <w:sz w:val="24"/>
          <w:szCs w:val="24"/>
          <w:vertAlign w:val="superscript"/>
        </w:rPr>
        <w:footnoteReference w:id="5"/>
      </w:r>
      <w:r w:rsidRPr="001277E5">
        <w:rPr>
          <w:rFonts w:ascii="Times New Roman" w:hAnsi="Times New Roman"/>
          <w:iCs/>
          <w:sz w:val="24"/>
          <w:szCs w:val="24"/>
        </w:rPr>
        <w:t>, the total hourly wage rates are as follows:</w:t>
      </w:r>
      <w:bookmarkEnd w:id="11"/>
      <w:r>
        <w:rPr>
          <w:rFonts w:ascii="Times New Roman" w:hAnsi="Times New Roman"/>
          <w:iCs/>
          <w:sz w:val="24"/>
          <w:szCs w:val="24"/>
        </w:rPr>
        <w:t xml:space="preserve"> GS 14 (Step 5) is $ </w:t>
      </w:r>
      <w:r w:rsidR="00DE697E">
        <w:rPr>
          <w:rFonts w:ascii="Times New Roman" w:hAnsi="Times New Roman"/>
          <w:iCs/>
          <w:sz w:val="24"/>
          <w:szCs w:val="24"/>
        </w:rPr>
        <w:t>99.17</w:t>
      </w:r>
      <w:r>
        <w:rPr>
          <w:rFonts w:ascii="Times New Roman" w:hAnsi="Times New Roman"/>
          <w:iCs/>
          <w:sz w:val="24"/>
          <w:szCs w:val="24"/>
        </w:rPr>
        <w:t xml:space="preserve">, GS 13 (Step 5) is </w:t>
      </w:r>
      <w:r w:rsidR="00C54164">
        <w:rPr>
          <w:rFonts w:ascii="Times New Roman" w:hAnsi="Times New Roman"/>
          <w:iCs/>
          <w:sz w:val="24"/>
          <w:szCs w:val="24"/>
        </w:rPr>
        <w:t xml:space="preserve">$ </w:t>
      </w:r>
      <w:r w:rsidR="00DE697E">
        <w:rPr>
          <w:rFonts w:ascii="Times New Roman" w:hAnsi="Times New Roman"/>
          <w:iCs/>
          <w:sz w:val="24"/>
          <w:szCs w:val="24"/>
        </w:rPr>
        <w:t>83.92</w:t>
      </w:r>
      <w:r>
        <w:rPr>
          <w:rFonts w:ascii="Times New Roman" w:hAnsi="Times New Roman"/>
          <w:iCs/>
          <w:sz w:val="24"/>
          <w:szCs w:val="24"/>
        </w:rPr>
        <w:t xml:space="preserve">,  and GS 15 (Step </w:t>
      </w:r>
      <w:r w:rsidR="00E613CC">
        <w:rPr>
          <w:rFonts w:ascii="Times New Roman" w:hAnsi="Times New Roman"/>
          <w:iCs/>
          <w:sz w:val="24"/>
          <w:szCs w:val="24"/>
        </w:rPr>
        <w:t>5) is $</w:t>
      </w:r>
      <w:r w:rsidR="00C54164">
        <w:rPr>
          <w:rFonts w:ascii="Times New Roman" w:hAnsi="Times New Roman"/>
          <w:iCs/>
          <w:sz w:val="24"/>
          <w:szCs w:val="24"/>
        </w:rPr>
        <w:t>116.64</w:t>
      </w:r>
      <w:r w:rsidR="00E613CC">
        <w:rPr>
          <w:rFonts w:ascii="Times New Roman" w:hAnsi="Times New Roman"/>
          <w:iCs/>
          <w:sz w:val="24"/>
          <w:szCs w:val="24"/>
        </w:rPr>
        <w:t>. Therefore</w:t>
      </w:r>
      <w:r w:rsidR="00C54164">
        <w:rPr>
          <w:rFonts w:ascii="Times New Roman" w:hAnsi="Times New Roman"/>
          <w:iCs/>
          <w:sz w:val="24"/>
          <w:szCs w:val="24"/>
        </w:rPr>
        <w:t>,</w:t>
      </w:r>
      <w:r w:rsidR="00E613CC">
        <w:rPr>
          <w:rFonts w:ascii="Times New Roman" w:hAnsi="Times New Roman"/>
          <w:iCs/>
          <w:sz w:val="24"/>
          <w:szCs w:val="24"/>
        </w:rPr>
        <w:t xml:space="preserve"> the total combined Federal Government wages for all tasks associated with this grant program is $ </w:t>
      </w:r>
      <w:r w:rsidRPr="00436FDF" w:rsidR="00E613CC">
        <w:rPr>
          <w:rFonts w:ascii="Times New Roman" w:hAnsi="Times New Roman"/>
          <w:color w:val="000000"/>
          <w:sz w:val="22"/>
          <w:szCs w:val="22"/>
        </w:rPr>
        <w:t>2,</w:t>
      </w:r>
      <w:r w:rsidR="00DE697E">
        <w:rPr>
          <w:rFonts w:ascii="Times New Roman" w:hAnsi="Times New Roman"/>
          <w:color w:val="000000"/>
          <w:sz w:val="22"/>
          <w:szCs w:val="22"/>
        </w:rPr>
        <w:t>616,790.16.</w:t>
      </w:r>
    </w:p>
    <w:p w:rsidR="00E613CC" w:rsidP="003B470F" w14:paraId="2ABC3119" w14:textId="77777777">
      <w:pPr>
        <w:ind w:left="288"/>
        <w:rPr>
          <w:rFonts w:ascii="Times New Roman" w:hAnsi="Times New Roman"/>
          <w:iCs/>
          <w:sz w:val="24"/>
          <w:szCs w:val="24"/>
        </w:rPr>
      </w:pPr>
    </w:p>
    <w:tbl>
      <w:tblPr>
        <w:tblW w:w="11534" w:type="dxa"/>
        <w:tblInd w:w="-635" w:type="dxa"/>
        <w:tblLook w:val="04A0"/>
      </w:tblPr>
      <w:tblGrid>
        <w:gridCol w:w="2561"/>
        <w:gridCol w:w="1420"/>
        <w:gridCol w:w="1859"/>
        <w:gridCol w:w="1153"/>
        <w:gridCol w:w="1417"/>
        <w:gridCol w:w="1350"/>
        <w:gridCol w:w="1774"/>
      </w:tblGrid>
      <w:tr w14:paraId="4A147D55" w14:textId="77777777" w:rsidTr="00436FDF">
        <w:tblPrEx>
          <w:tblW w:w="11534" w:type="dxa"/>
          <w:tblInd w:w="-635" w:type="dxa"/>
          <w:tblLook w:val="04A0"/>
        </w:tblPrEx>
        <w:trPr>
          <w:trHeight w:val="1062"/>
        </w:trPr>
        <w:tc>
          <w:tcPr>
            <w:tcW w:w="256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613CC" w:rsidRPr="00E613CC" w:rsidP="00436FDF" w14:paraId="579F4480"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FTE Grade and Step &amp; CRF Program Related  Task</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E613CC" w:rsidRPr="00E613CC" w:rsidP="00E613CC" w14:paraId="1413CC27"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Hourly Wage</w:t>
            </w:r>
          </w:p>
        </w:tc>
        <w:tc>
          <w:tcPr>
            <w:tcW w:w="1859" w:type="dxa"/>
            <w:tcBorders>
              <w:top w:val="single" w:sz="4" w:space="0" w:color="auto"/>
              <w:left w:val="nil"/>
              <w:bottom w:val="single" w:sz="4" w:space="0" w:color="auto"/>
              <w:right w:val="single" w:sz="4" w:space="0" w:color="auto"/>
            </w:tcBorders>
            <w:shd w:val="clear" w:color="000000" w:fill="D9D9D9"/>
            <w:vAlign w:val="center"/>
            <w:hideMark/>
          </w:tcPr>
          <w:p w:rsidR="00E613CC" w:rsidP="00E613CC" w14:paraId="1C3F08F3"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 xml:space="preserve">Average Hourly Wage Rate with </w:t>
            </w:r>
          </w:p>
          <w:p w:rsidR="00E613CC" w:rsidRPr="00E613CC" w:rsidP="00E613CC" w14:paraId="568BABFD" w14:textId="1DCB5315">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 xml:space="preserve">31% Compensation   </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rsidR="00E613CC" w:rsidRPr="00E613CC" w:rsidP="00E613CC" w14:paraId="4751EF1D"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 xml:space="preserve">Total Employees </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E613CC" w:rsidRPr="00E613CC" w:rsidP="00E613CC" w14:paraId="2D4EFC16"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Total Time for Per application  (Hours)</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rsidR="00E613CC" w:rsidRPr="00E613CC" w:rsidP="00E613CC" w14:paraId="4A299595"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 xml:space="preserve">Total Applications/ Agreements/ Reports   </w:t>
            </w:r>
          </w:p>
        </w:tc>
        <w:tc>
          <w:tcPr>
            <w:tcW w:w="1774" w:type="dxa"/>
            <w:tcBorders>
              <w:top w:val="single" w:sz="4" w:space="0" w:color="auto"/>
              <w:left w:val="nil"/>
              <w:bottom w:val="single" w:sz="4" w:space="0" w:color="auto"/>
              <w:right w:val="single" w:sz="4" w:space="0" w:color="auto"/>
            </w:tcBorders>
            <w:shd w:val="clear" w:color="000000" w:fill="D9D9D9"/>
            <w:vAlign w:val="center"/>
            <w:hideMark/>
          </w:tcPr>
          <w:p w:rsidR="00E613CC" w:rsidRPr="00E613CC" w:rsidP="00E613CC" w14:paraId="385C5ACF" w14:textId="77777777">
            <w:pPr>
              <w:widowControl/>
              <w:autoSpaceDE/>
              <w:autoSpaceDN/>
              <w:adjustRightInd/>
              <w:jc w:val="center"/>
              <w:rPr>
                <w:rFonts w:ascii="Times New Roman" w:hAnsi="Times New Roman"/>
                <w:b/>
                <w:bCs/>
                <w:color w:val="000000"/>
              </w:rPr>
            </w:pPr>
            <w:r w:rsidRPr="00E613CC">
              <w:rPr>
                <w:rFonts w:ascii="Times New Roman" w:hAnsi="Times New Roman"/>
                <w:b/>
                <w:bCs/>
                <w:color w:val="000000"/>
              </w:rPr>
              <w:t xml:space="preserve">Total Federal Government Wages   </w:t>
            </w:r>
          </w:p>
        </w:tc>
      </w:tr>
      <w:tr w14:paraId="7A6456F5" w14:textId="77777777" w:rsidTr="00436FDF">
        <w:tblPrEx>
          <w:tblW w:w="11534" w:type="dxa"/>
          <w:tblInd w:w="-635" w:type="dxa"/>
          <w:tblLook w:val="04A0"/>
        </w:tblPrEx>
        <w:trPr>
          <w:trHeight w:val="526"/>
        </w:trPr>
        <w:tc>
          <w:tcPr>
            <w:tcW w:w="2561" w:type="dxa"/>
            <w:tcBorders>
              <w:top w:val="nil"/>
              <w:left w:val="single" w:sz="4" w:space="0" w:color="auto"/>
              <w:bottom w:val="single" w:sz="4" w:space="0" w:color="auto"/>
              <w:right w:val="single" w:sz="4" w:space="0" w:color="auto"/>
            </w:tcBorders>
            <w:shd w:val="clear" w:color="auto" w:fill="auto"/>
            <w:hideMark/>
          </w:tcPr>
          <w:p w:rsidR="00E613CC" w:rsidRPr="009546B9" w:rsidP="00FA0072" w14:paraId="0F190052" w14:textId="77777777">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GS 14 (Step 5):Develop, review and post notice of funding opportunity</w:t>
            </w:r>
          </w:p>
        </w:tc>
        <w:tc>
          <w:tcPr>
            <w:tcW w:w="1420" w:type="dxa"/>
            <w:tcBorders>
              <w:top w:val="nil"/>
              <w:left w:val="nil"/>
              <w:bottom w:val="single" w:sz="4" w:space="0" w:color="auto"/>
              <w:right w:val="single" w:sz="4" w:space="0" w:color="auto"/>
            </w:tcBorders>
            <w:shd w:val="clear" w:color="auto" w:fill="auto"/>
            <w:vAlign w:val="center"/>
            <w:hideMark/>
          </w:tcPr>
          <w:p w:rsidR="00E613CC" w:rsidRPr="009546B9" w:rsidP="00E613CC" w14:paraId="4D2E067B" w14:textId="2232E26E">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75.70 </w:t>
            </w:r>
          </w:p>
        </w:tc>
        <w:tc>
          <w:tcPr>
            <w:tcW w:w="1859" w:type="dxa"/>
            <w:tcBorders>
              <w:top w:val="nil"/>
              <w:left w:val="nil"/>
              <w:bottom w:val="single" w:sz="4" w:space="0" w:color="auto"/>
              <w:right w:val="single" w:sz="4" w:space="0" w:color="auto"/>
            </w:tcBorders>
            <w:shd w:val="clear" w:color="auto" w:fill="auto"/>
            <w:vAlign w:val="center"/>
            <w:hideMark/>
          </w:tcPr>
          <w:p w:rsidR="00E613CC" w:rsidRPr="009546B9" w:rsidP="00E613CC" w14:paraId="79BB7B77" w14:textId="5908F79D">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 xml:space="preserve">$    </w:t>
            </w:r>
            <w:r w:rsidR="00372E15">
              <w:rPr>
                <w:rFonts w:ascii="Times New Roman" w:hAnsi="Times New Roman"/>
                <w:color w:val="000000"/>
                <w:sz w:val="22"/>
                <w:szCs w:val="22"/>
              </w:rPr>
              <w:t>99.17</w:t>
            </w:r>
          </w:p>
        </w:tc>
        <w:tc>
          <w:tcPr>
            <w:tcW w:w="1153" w:type="dxa"/>
            <w:tcBorders>
              <w:top w:val="nil"/>
              <w:left w:val="nil"/>
              <w:bottom w:val="single" w:sz="4" w:space="0" w:color="auto"/>
              <w:right w:val="single" w:sz="4" w:space="0" w:color="auto"/>
            </w:tcBorders>
            <w:shd w:val="clear" w:color="auto" w:fill="auto"/>
            <w:vAlign w:val="center"/>
            <w:hideMark/>
          </w:tcPr>
          <w:p w:rsidR="00E613CC" w:rsidRPr="009546B9" w:rsidP="00E613CC" w14:paraId="287C7BD1"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hideMark/>
          </w:tcPr>
          <w:p w:rsidR="00E613CC" w:rsidRPr="009546B9" w:rsidP="00E613CC" w14:paraId="4AA6D6DE"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200</w:t>
            </w:r>
          </w:p>
        </w:tc>
        <w:tc>
          <w:tcPr>
            <w:tcW w:w="1350" w:type="dxa"/>
            <w:tcBorders>
              <w:top w:val="nil"/>
              <w:left w:val="nil"/>
              <w:bottom w:val="single" w:sz="4" w:space="0" w:color="auto"/>
              <w:right w:val="single" w:sz="4" w:space="0" w:color="auto"/>
            </w:tcBorders>
            <w:shd w:val="clear" w:color="auto" w:fill="auto"/>
            <w:vAlign w:val="center"/>
            <w:hideMark/>
          </w:tcPr>
          <w:p w:rsidR="00E613CC" w:rsidRPr="009546B9" w:rsidP="00E613CC" w14:paraId="7D8DE999"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25</w:t>
            </w:r>
          </w:p>
        </w:tc>
        <w:tc>
          <w:tcPr>
            <w:tcW w:w="1774" w:type="dxa"/>
            <w:tcBorders>
              <w:top w:val="nil"/>
              <w:left w:val="nil"/>
              <w:bottom w:val="single" w:sz="4" w:space="0" w:color="auto"/>
              <w:right w:val="single" w:sz="4" w:space="0" w:color="auto"/>
            </w:tcBorders>
            <w:shd w:val="clear" w:color="auto" w:fill="auto"/>
            <w:vAlign w:val="center"/>
            <w:hideMark/>
          </w:tcPr>
          <w:p w:rsidR="00E613CC" w:rsidRPr="009546B9" w:rsidP="00E613CC" w14:paraId="48478273" w14:textId="1BB016AB">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49</w:t>
            </w:r>
            <w:r w:rsidR="00372E15">
              <w:rPr>
                <w:rFonts w:ascii="Times New Roman" w:hAnsi="Times New Roman"/>
                <w:color w:val="000000"/>
                <w:sz w:val="22"/>
                <w:szCs w:val="22"/>
              </w:rPr>
              <w:t>5</w:t>
            </w:r>
            <w:r w:rsidRPr="009546B9">
              <w:rPr>
                <w:rFonts w:ascii="Times New Roman" w:hAnsi="Times New Roman"/>
                <w:color w:val="000000"/>
                <w:sz w:val="22"/>
                <w:szCs w:val="22"/>
              </w:rPr>
              <w:t>,</w:t>
            </w:r>
            <w:r w:rsidR="00372E15">
              <w:rPr>
                <w:rFonts w:ascii="Times New Roman" w:hAnsi="Times New Roman"/>
                <w:color w:val="000000"/>
                <w:sz w:val="22"/>
                <w:szCs w:val="22"/>
              </w:rPr>
              <w:t>8</w:t>
            </w:r>
            <w:r w:rsidRPr="009546B9">
              <w:rPr>
                <w:rFonts w:ascii="Times New Roman" w:hAnsi="Times New Roman"/>
                <w:color w:val="000000"/>
                <w:sz w:val="22"/>
                <w:szCs w:val="22"/>
              </w:rPr>
              <w:t xml:space="preserve">50.00 </w:t>
            </w:r>
          </w:p>
        </w:tc>
      </w:tr>
      <w:tr w14:paraId="763261E2" w14:textId="77777777" w:rsidTr="00436FDF">
        <w:tblPrEx>
          <w:tblW w:w="11534" w:type="dxa"/>
          <w:tblInd w:w="-635" w:type="dxa"/>
          <w:tblLook w:val="04A0"/>
        </w:tblPrEx>
        <w:trPr>
          <w:trHeight w:val="526"/>
        </w:trPr>
        <w:tc>
          <w:tcPr>
            <w:tcW w:w="2561" w:type="dxa"/>
            <w:tcBorders>
              <w:top w:val="nil"/>
              <w:left w:val="single" w:sz="4" w:space="0" w:color="auto"/>
              <w:bottom w:val="single" w:sz="4" w:space="0" w:color="auto"/>
              <w:right w:val="single" w:sz="4" w:space="0" w:color="auto"/>
            </w:tcBorders>
            <w:shd w:val="clear" w:color="auto" w:fill="auto"/>
            <w:hideMark/>
          </w:tcPr>
          <w:p w:rsidR="00E613CC" w:rsidRPr="009546B9" w:rsidP="00FA0072" w14:paraId="7668E565" w14:textId="77777777">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GS 13 (Step 5): Receive/Sort/Review applications</w:t>
            </w:r>
          </w:p>
        </w:tc>
        <w:tc>
          <w:tcPr>
            <w:tcW w:w="1420" w:type="dxa"/>
            <w:tcBorders>
              <w:top w:val="nil"/>
              <w:left w:val="nil"/>
              <w:bottom w:val="single" w:sz="4" w:space="0" w:color="auto"/>
              <w:right w:val="single" w:sz="4" w:space="0" w:color="auto"/>
            </w:tcBorders>
            <w:shd w:val="clear" w:color="auto" w:fill="auto"/>
            <w:vAlign w:val="center"/>
            <w:hideMark/>
          </w:tcPr>
          <w:p w:rsidR="00E613CC" w:rsidRPr="009546B9" w:rsidP="00E613CC" w14:paraId="31353F37" w14:textId="0E7CCBD7">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64.06 </w:t>
            </w:r>
          </w:p>
        </w:tc>
        <w:tc>
          <w:tcPr>
            <w:tcW w:w="1859" w:type="dxa"/>
            <w:tcBorders>
              <w:top w:val="nil"/>
              <w:left w:val="nil"/>
              <w:bottom w:val="single" w:sz="4" w:space="0" w:color="auto"/>
              <w:right w:val="single" w:sz="4" w:space="0" w:color="auto"/>
            </w:tcBorders>
            <w:shd w:val="clear" w:color="auto" w:fill="auto"/>
            <w:vAlign w:val="center"/>
            <w:hideMark/>
          </w:tcPr>
          <w:p w:rsidR="00E613CC" w:rsidRPr="009546B9" w:rsidP="00436FDF" w14:paraId="62C6EDA1" w14:textId="64A316A6">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    83.92</w:t>
            </w:r>
          </w:p>
        </w:tc>
        <w:tc>
          <w:tcPr>
            <w:tcW w:w="1153" w:type="dxa"/>
            <w:tcBorders>
              <w:top w:val="nil"/>
              <w:left w:val="nil"/>
              <w:bottom w:val="single" w:sz="4" w:space="0" w:color="auto"/>
              <w:right w:val="single" w:sz="4" w:space="0" w:color="auto"/>
            </w:tcBorders>
            <w:shd w:val="clear" w:color="auto" w:fill="auto"/>
            <w:vAlign w:val="center"/>
            <w:hideMark/>
          </w:tcPr>
          <w:p w:rsidR="00E613CC" w:rsidRPr="009546B9" w:rsidP="00E613CC" w14:paraId="049732BA"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hideMark/>
          </w:tcPr>
          <w:p w:rsidR="00E613CC" w:rsidRPr="009546B9" w:rsidP="00E613CC" w14:paraId="3781B900"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200</w:t>
            </w:r>
          </w:p>
        </w:tc>
        <w:tc>
          <w:tcPr>
            <w:tcW w:w="1350" w:type="dxa"/>
            <w:tcBorders>
              <w:top w:val="nil"/>
              <w:left w:val="nil"/>
              <w:bottom w:val="single" w:sz="4" w:space="0" w:color="auto"/>
              <w:right w:val="single" w:sz="4" w:space="0" w:color="auto"/>
            </w:tcBorders>
            <w:shd w:val="clear" w:color="auto" w:fill="auto"/>
            <w:vAlign w:val="center"/>
            <w:hideMark/>
          </w:tcPr>
          <w:p w:rsidR="00E613CC" w:rsidRPr="009546B9" w:rsidP="00E613CC" w14:paraId="06A30E05"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25</w:t>
            </w:r>
          </w:p>
        </w:tc>
        <w:tc>
          <w:tcPr>
            <w:tcW w:w="1774" w:type="dxa"/>
            <w:tcBorders>
              <w:top w:val="nil"/>
              <w:left w:val="nil"/>
              <w:bottom w:val="single" w:sz="4" w:space="0" w:color="auto"/>
              <w:right w:val="single" w:sz="4" w:space="0" w:color="auto"/>
            </w:tcBorders>
            <w:shd w:val="clear" w:color="auto" w:fill="auto"/>
            <w:vAlign w:val="center"/>
            <w:hideMark/>
          </w:tcPr>
          <w:p w:rsidR="00E613CC" w:rsidRPr="009546B9" w:rsidP="00E613CC" w14:paraId="385D8133" w14:textId="0F7113E2">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$ 2,098,000.00 </w:t>
            </w:r>
          </w:p>
        </w:tc>
      </w:tr>
      <w:tr w14:paraId="05AF36E4" w14:textId="77777777" w:rsidTr="00436FDF">
        <w:tblPrEx>
          <w:tblW w:w="11534" w:type="dxa"/>
          <w:tblInd w:w="-635" w:type="dxa"/>
          <w:tblLook w:val="04A0"/>
        </w:tblPrEx>
        <w:trPr>
          <w:trHeight w:val="526"/>
        </w:trPr>
        <w:tc>
          <w:tcPr>
            <w:tcW w:w="2561" w:type="dxa"/>
            <w:tcBorders>
              <w:top w:val="nil"/>
              <w:left w:val="single" w:sz="4" w:space="0" w:color="auto"/>
              <w:bottom w:val="single" w:sz="4" w:space="0" w:color="auto"/>
              <w:right w:val="single" w:sz="4" w:space="0" w:color="auto"/>
            </w:tcBorders>
            <w:shd w:val="clear" w:color="auto" w:fill="auto"/>
            <w:hideMark/>
          </w:tcPr>
          <w:p w:rsidR="00E613CC" w:rsidRPr="009546B9" w:rsidP="00FA0072" w14:paraId="05E20B93" w14:textId="77777777">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GS 15 (Step 5):  Prepare, review, post list of awards</w:t>
            </w:r>
          </w:p>
        </w:tc>
        <w:tc>
          <w:tcPr>
            <w:tcW w:w="1420" w:type="dxa"/>
            <w:tcBorders>
              <w:top w:val="nil"/>
              <w:left w:val="nil"/>
              <w:bottom w:val="single" w:sz="4" w:space="0" w:color="auto"/>
              <w:right w:val="single" w:sz="4" w:space="0" w:color="auto"/>
            </w:tcBorders>
            <w:shd w:val="clear" w:color="auto" w:fill="auto"/>
            <w:vAlign w:val="center"/>
            <w:hideMark/>
          </w:tcPr>
          <w:p w:rsidR="00E613CC" w:rsidRPr="009546B9" w:rsidP="00E613CC" w14:paraId="4BE2AC3E" w14:textId="22E693EE">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89.04 </w:t>
            </w:r>
          </w:p>
        </w:tc>
        <w:tc>
          <w:tcPr>
            <w:tcW w:w="1859" w:type="dxa"/>
            <w:tcBorders>
              <w:top w:val="nil"/>
              <w:left w:val="nil"/>
              <w:bottom w:val="single" w:sz="4" w:space="0" w:color="auto"/>
              <w:right w:val="single" w:sz="4" w:space="0" w:color="auto"/>
            </w:tcBorders>
            <w:shd w:val="clear" w:color="auto" w:fill="auto"/>
            <w:vAlign w:val="center"/>
            <w:hideMark/>
          </w:tcPr>
          <w:p w:rsidR="00E613CC" w:rsidRPr="009546B9" w:rsidP="00436FDF" w14:paraId="51F695F2" w14:textId="67652CD6">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   116.64</w:t>
            </w:r>
          </w:p>
        </w:tc>
        <w:tc>
          <w:tcPr>
            <w:tcW w:w="1153" w:type="dxa"/>
            <w:tcBorders>
              <w:top w:val="nil"/>
              <w:left w:val="nil"/>
              <w:bottom w:val="single" w:sz="4" w:space="0" w:color="auto"/>
              <w:right w:val="single" w:sz="4" w:space="0" w:color="auto"/>
            </w:tcBorders>
            <w:shd w:val="clear" w:color="auto" w:fill="auto"/>
            <w:vAlign w:val="center"/>
            <w:hideMark/>
          </w:tcPr>
          <w:p w:rsidR="00E613CC" w:rsidRPr="009546B9" w:rsidP="00E613CC" w14:paraId="7BE3536E"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hideMark/>
          </w:tcPr>
          <w:p w:rsidR="00E613CC" w:rsidRPr="009546B9" w:rsidP="00E613CC" w14:paraId="5B04A017"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24</w:t>
            </w:r>
          </w:p>
        </w:tc>
        <w:tc>
          <w:tcPr>
            <w:tcW w:w="1350" w:type="dxa"/>
            <w:tcBorders>
              <w:top w:val="nil"/>
              <w:left w:val="nil"/>
              <w:bottom w:val="single" w:sz="4" w:space="0" w:color="auto"/>
              <w:right w:val="single" w:sz="4" w:space="0" w:color="auto"/>
            </w:tcBorders>
            <w:shd w:val="clear" w:color="auto" w:fill="auto"/>
            <w:vAlign w:val="center"/>
            <w:hideMark/>
          </w:tcPr>
          <w:p w:rsidR="00E613CC" w:rsidRPr="009546B9" w:rsidP="00E613CC" w14:paraId="5B7E7961"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1</w:t>
            </w:r>
          </w:p>
        </w:tc>
        <w:tc>
          <w:tcPr>
            <w:tcW w:w="1774" w:type="dxa"/>
            <w:tcBorders>
              <w:top w:val="nil"/>
              <w:left w:val="nil"/>
              <w:bottom w:val="single" w:sz="4" w:space="0" w:color="auto"/>
              <w:right w:val="single" w:sz="4" w:space="0" w:color="auto"/>
            </w:tcBorders>
            <w:shd w:val="clear" w:color="auto" w:fill="auto"/>
            <w:vAlign w:val="center"/>
            <w:hideMark/>
          </w:tcPr>
          <w:p w:rsidR="00E613CC" w:rsidRPr="009546B9" w:rsidP="00E613CC" w14:paraId="1E037514" w14:textId="0ECBA449">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2,799.36 </w:t>
            </w:r>
          </w:p>
        </w:tc>
      </w:tr>
      <w:tr w14:paraId="44C10C85" w14:textId="77777777" w:rsidTr="00436FDF">
        <w:tblPrEx>
          <w:tblW w:w="11534" w:type="dxa"/>
          <w:tblInd w:w="-635" w:type="dxa"/>
          <w:tblLook w:val="04A0"/>
        </w:tblPrEx>
        <w:trPr>
          <w:trHeight w:val="586"/>
        </w:trPr>
        <w:tc>
          <w:tcPr>
            <w:tcW w:w="2561" w:type="dxa"/>
            <w:tcBorders>
              <w:top w:val="nil"/>
              <w:left w:val="single" w:sz="4" w:space="0" w:color="auto"/>
              <w:bottom w:val="single" w:sz="4" w:space="0" w:color="auto"/>
              <w:right w:val="single" w:sz="4" w:space="0" w:color="auto"/>
            </w:tcBorders>
            <w:shd w:val="clear" w:color="auto" w:fill="auto"/>
            <w:hideMark/>
          </w:tcPr>
          <w:p w:rsidR="00E613CC" w:rsidRPr="009546B9" w:rsidP="00FA0072" w14:paraId="2DD98C44" w14:textId="77777777">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GS 13 (Step 5): Negotiate scope, schedule, and budget for all grant agreements</w:t>
            </w:r>
          </w:p>
        </w:tc>
        <w:tc>
          <w:tcPr>
            <w:tcW w:w="1420" w:type="dxa"/>
            <w:tcBorders>
              <w:top w:val="nil"/>
              <w:left w:val="nil"/>
              <w:bottom w:val="single" w:sz="4" w:space="0" w:color="auto"/>
              <w:right w:val="single" w:sz="4" w:space="0" w:color="auto"/>
            </w:tcBorders>
            <w:shd w:val="clear" w:color="auto" w:fill="auto"/>
            <w:vAlign w:val="center"/>
            <w:hideMark/>
          </w:tcPr>
          <w:p w:rsidR="00E613CC" w:rsidRPr="009546B9" w:rsidP="00E613CC" w14:paraId="0DE6D277" w14:textId="3CC2377C">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64.06 </w:t>
            </w:r>
          </w:p>
        </w:tc>
        <w:tc>
          <w:tcPr>
            <w:tcW w:w="1859" w:type="dxa"/>
            <w:tcBorders>
              <w:top w:val="nil"/>
              <w:left w:val="nil"/>
              <w:bottom w:val="single" w:sz="4" w:space="0" w:color="auto"/>
              <w:right w:val="single" w:sz="4" w:space="0" w:color="auto"/>
            </w:tcBorders>
            <w:shd w:val="clear" w:color="auto" w:fill="auto"/>
            <w:vAlign w:val="center"/>
            <w:hideMark/>
          </w:tcPr>
          <w:p w:rsidR="00E613CC" w:rsidRPr="009546B9" w:rsidP="00436FDF" w14:paraId="6B24D6D3" w14:textId="59E8C94C">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    83.92</w:t>
            </w:r>
          </w:p>
        </w:tc>
        <w:tc>
          <w:tcPr>
            <w:tcW w:w="1153" w:type="dxa"/>
            <w:tcBorders>
              <w:top w:val="nil"/>
              <w:left w:val="nil"/>
              <w:bottom w:val="single" w:sz="4" w:space="0" w:color="auto"/>
              <w:right w:val="single" w:sz="4" w:space="0" w:color="auto"/>
            </w:tcBorders>
            <w:shd w:val="clear" w:color="auto" w:fill="auto"/>
            <w:vAlign w:val="center"/>
            <w:hideMark/>
          </w:tcPr>
          <w:p w:rsidR="00E613CC" w:rsidRPr="009546B9" w:rsidP="00E613CC" w14:paraId="7F52544F"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hideMark/>
          </w:tcPr>
          <w:p w:rsidR="00E613CC" w:rsidRPr="009546B9" w:rsidP="00E613CC" w14:paraId="14795E0D"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40</w:t>
            </w:r>
          </w:p>
        </w:tc>
        <w:tc>
          <w:tcPr>
            <w:tcW w:w="1350" w:type="dxa"/>
            <w:tcBorders>
              <w:top w:val="nil"/>
              <w:left w:val="nil"/>
              <w:bottom w:val="single" w:sz="4" w:space="0" w:color="auto"/>
              <w:right w:val="single" w:sz="4" w:space="0" w:color="auto"/>
            </w:tcBorders>
            <w:shd w:val="clear" w:color="auto" w:fill="auto"/>
            <w:vAlign w:val="center"/>
            <w:hideMark/>
          </w:tcPr>
          <w:p w:rsidR="00E613CC" w:rsidRPr="009546B9" w:rsidP="00E613CC" w14:paraId="0F19DC3D"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5</w:t>
            </w:r>
          </w:p>
        </w:tc>
        <w:tc>
          <w:tcPr>
            <w:tcW w:w="1774" w:type="dxa"/>
            <w:tcBorders>
              <w:top w:val="nil"/>
              <w:left w:val="nil"/>
              <w:bottom w:val="single" w:sz="4" w:space="0" w:color="auto"/>
              <w:right w:val="single" w:sz="4" w:space="0" w:color="auto"/>
            </w:tcBorders>
            <w:shd w:val="clear" w:color="auto" w:fill="auto"/>
            <w:vAlign w:val="center"/>
            <w:hideMark/>
          </w:tcPr>
          <w:p w:rsidR="00E613CC" w:rsidRPr="009546B9" w:rsidP="00E613CC" w14:paraId="6E22B685" w14:textId="25E353BA">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16,784.00 </w:t>
            </w:r>
          </w:p>
        </w:tc>
      </w:tr>
      <w:tr w14:paraId="4E5088FE" w14:textId="77777777" w:rsidTr="00436FDF">
        <w:tblPrEx>
          <w:tblW w:w="11534" w:type="dxa"/>
          <w:tblInd w:w="-635" w:type="dxa"/>
          <w:tblLook w:val="04A0"/>
        </w:tblPrEx>
        <w:trPr>
          <w:trHeight w:val="839"/>
        </w:trPr>
        <w:tc>
          <w:tcPr>
            <w:tcW w:w="2561" w:type="dxa"/>
            <w:tcBorders>
              <w:top w:val="nil"/>
              <w:left w:val="single" w:sz="4" w:space="0" w:color="auto"/>
              <w:bottom w:val="single" w:sz="4" w:space="0" w:color="auto"/>
              <w:right w:val="single" w:sz="4" w:space="0" w:color="auto"/>
            </w:tcBorders>
            <w:shd w:val="clear" w:color="auto" w:fill="auto"/>
            <w:hideMark/>
          </w:tcPr>
          <w:p w:rsidR="00E613CC" w:rsidRPr="009546B9" w:rsidP="00FA0072" w14:paraId="3D0A1C10" w14:textId="39CB8074">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GS 13 (Step 5): Receive, sort, and review progress and performance reports</w:t>
            </w:r>
          </w:p>
        </w:tc>
        <w:tc>
          <w:tcPr>
            <w:tcW w:w="1420" w:type="dxa"/>
            <w:tcBorders>
              <w:top w:val="nil"/>
              <w:left w:val="nil"/>
              <w:bottom w:val="single" w:sz="4" w:space="0" w:color="auto"/>
              <w:right w:val="single" w:sz="4" w:space="0" w:color="auto"/>
            </w:tcBorders>
            <w:shd w:val="clear" w:color="auto" w:fill="auto"/>
            <w:vAlign w:val="center"/>
            <w:hideMark/>
          </w:tcPr>
          <w:p w:rsidR="00E613CC" w:rsidRPr="009546B9" w:rsidP="00E613CC" w14:paraId="47E3722C" w14:textId="58F33C43">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64.06 </w:t>
            </w:r>
          </w:p>
        </w:tc>
        <w:tc>
          <w:tcPr>
            <w:tcW w:w="1859" w:type="dxa"/>
            <w:tcBorders>
              <w:top w:val="nil"/>
              <w:left w:val="nil"/>
              <w:bottom w:val="single" w:sz="4" w:space="0" w:color="auto"/>
              <w:right w:val="single" w:sz="4" w:space="0" w:color="auto"/>
            </w:tcBorders>
            <w:shd w:val="clear" w:color="auto" w:fill="auto"/>
            <w:vAlign w:val="center"/>
            <w:hideMark/>
          </w:tcPr>
          <w:p w:rsidR="00E613CC" w:rsidRPr="009546B9" w:rsidP="00436FDF" w14:paraId="7B9FCC16" w14:textId="7B805544">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     83.92</w:t>
            </w:r>
          </w:p>
        </w:tc>
        <w:tc>
          <w:tcPr>
            <w:tcW w:w="1153" w:type="dxa"/>
            <w:tcBorders>
              <w:top w:val="nil"/>
              <w:left w:val="nil"/>
              <w:bottom w:val="single" w:sz="4" w:space="0" w:color="auto"/>
              <w:right w:val="single" w:sz="4" w:space="0" w:color="auto"/>
            </w:tcBorders>
            <w:shd w:val="clear" w:color="auto" w:fill="auto"/>
            <w:vAlign w:val="center"/>
            <w:hideMark/>
          </w:tcPr>
          <w:p w:rsidR="00E613CC" w:rsidRPr="009546B9" w:rsidP="00E613CC" w14:paraId="3C655A7C"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hideMark/>
          </w:tcPr>
          <w:p w:rsidR="00E613CC" w:rsidRPr="009546B9" w:rsidP="00E613CC" w14:paraId="174D0F81"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w:t>
            </w:r>
          </w:p>
        </w:tc>
        <w:tc>
          <w:tcPr>
            <w:tcW w:w="1350" w:type="dxa"/>
            <w:tcBorders>
              <w:top w:val="nil"/>
              <w:left w:val="nil"/>
              <w:bottom w:val="single" w:sz="4" w:space="0" w:color="auto"/>
              <w:right w:val="single" w:sz="4" w:space="0" w:color="auto"/>
            </w:tcBorders>
            <w:shd w:val="clear" w:color="auto" w:fill="auto"/>
            <w:vAlign w:val="center"/>
            <w:hideMark/>
          </w:tcPr>
          <w:p w:rsidR="00E613CC" w:rsidRPr="009546B9" w:rsidP="00E613CC" w14:paraId="02589425" w14:textId="77777777">
            <w:pPr>
              <w:widowControl/>
              <w:autoSpaceDE/>
              <w:autoSpaceDN/>
              <w:adjustRightInd/>
              <w:jc w:val="center"/>
              <w:rPr>
                <w:rFonts w:ascii="Times New Roman" w:hAnsi="Times New Roman"/>
                <w:color w:val="000000"/>
                <w:sz w:val="22"/>
                <w:szCs w:val="22"/>
              </w:rPr>
            </w:pPr>
            <w:r w:rsidRPr="009546B9">
              <w:rPr>
                <w:rFonts w:ascii="Times New Roman" w:hAnsi="Times New Roman"/>
                <w:color w:val="000000"/>
                <w:sz w:val="22"/>
                <w:szCs w:val="22"/>
              </w:rPr>
              <w:t>20</w:t>
            </w:r>
          </w:p>
        </w:tc>
        <w:tc>
          <w:tcPr>
            <w:tcW w:w="1774" w:type="dxa"/>
            <w:tcBorders>
              <w:top w:val="nil"/>
              <w:left w:val="nil"/>
              <w:bottom w:val="single" w:sz="4" w:space="0" w:color="auto"/>
              <w:right w:val="single" w:sz="4" w:space="0" w:color="auto"/>
            </w:tcBorders>
            <w:shd w:val="clear" w:color="auto" w:fill="auto"/>
            <w:vAlign w:val="center"/>
            <w:hideMark/>
          </w:tcPr>
          <w:p w:rsidR="00E613CC" w:rsidRPr="009546B9" w:rsidP="00E613CC" w14:paraId="1B37FF79" w14:textId="010F8DB0">
            <w:pPr>
              <w:widowControl/>
              <w:autoSpaceDE/>
              <w:autoSpaceDN/>
              <w:adjustRightInd/>
              <w:rPr>
                <w:rFonts w:ascii="Times New Roman" w:hAnsi="Times New Roman"/>
                <w:color w:val="000000"/>
                <w:sz w:val="22"/>
                <w:szCs w:val="22"/>
              </w:rPr>
            </w:pPr>
            <w:r w:rsidRPr="009546B9">
              <w:rPr>
                <w:rFonts w:ascii="Times New Roman" w:hAnsi="Times New Roman"/>
                <w:color w:val="000000"/>
                <w:sz w:val="22"/>
                <w:szCs w:val="22"/>
              </w:rPr>
              <w:t xml:space="preserve"> $        3,356.80 </w:t>
            </w:r>
          </w:p>
        </w:tc>
      </w:tr>
      <w:tr w14:paraId="4AA58704" w14:textId="77777777" w:rsidTr="00436FDF">
        <w:tblPrEx>
          <w:tblW w:w="11534" w:type="dxa"/>
          <w:tblInd w:w="-635" w:type="dxa"/>
          <w:tblLook w:val="04A0"/>
        </w:tblPrEx>
        <w:trPr>
          <w:trHeight w:val="292"/>
        </w:trPr>
        <w:tc>
          <w:tcPr>
            <w:tcW w:w="9760" w:type="dxa"/>
            <w:gridSpan w:val="6"/>
            <w:tcBorders>
              <w:top w:val="single" w:sz="4" w:space="0" w:color="auto"/>
              <w:left w:val="single" w:sz="4" w:space="0" w:color="auto"/>
              <w:bottom w:val="single" w:sz="4" w:space="0" w:color="auto"/>
              <w:right w:val="single" w:sz="4" w:space="0" w:color="000000"/>
            </w:tcBorders>
            <w:shd w:val="clear" w:color="000000" w:fill="D0CECE"/>
            <w:hideMark/>
          </w:tcPr>
          <w:p w:rsidR="00E613CC" w:rsidRPr="009546B9" w:rsidP="00E613CC" w14:paraId="02A4666C" w14:textId="77777777">
            <w:pPr>
              <w:widowControl/>
              <w:autoSpaceDE/>
              <w:autoSpaceDN/>
              <w:adjustRightInd/>
              <w:jc w:val="center"/>
              <w:rPr>
                <w:rFonts w:ascii="Times New Roman" w:hAnsi="Times New Roman"/>
                <w:b/>
                <w:bCs/>
                <w:color w:val="000000"/>
                <w:sz w:val="22"/>
                <w:szCs w:val="22"/>
              </w:rPr>
            </w:pPr>
            <w:r w:rsidRPr="009546B9">
              <w:rPr>
                <w:rFonts w:ascii="Times New Roman" w:hAnsi="Times New Roman"/>
                <w:b/>
                <w:bCs/>
                <w:color w:val="000000"/>
                <w:sz w:val="22"/>
                <w:szCs w:val="22"/>
              </w:rPr>
              <w:t>TOTAL COMBINED FEDERAL WAGES</w:t>
            </w:r>
          </w:p>
        </w:tc>
        <w:tc>
          <w:tcPr>
            <w:tcW w:w="1774" w:type="dxa"/>
            <w:tcBorders>
              <w:top w:val="nil"/>
              <w:left w:val="nil"/>
              <w:bottom w:val="single" w:sz="4" w:space="0" w:color="auto"/>
              <w:right w:val="single" w:sz="4" w:space="0" w:color="auto"/>
            </w:tcBorders>
            <w:shd w:val="clear" w:color="auto" w:fill="auto"/>
            <w:noWrap/>
            <w:vAlign w:val="bottom"/>
            <w:hideMark/>
          </w:tcPr>
          <w:p w:rsidR="00E613CC" w:rsidRPr="009546B9" w:rsidP="00E613CC" w14:paraId="77F9F128" w14:textId="7A29DE3A">
            <w:pPr>
              <w:widowControl/>
              <w:autoSpaceDE/>
              <w:autoSpaceDN/>
              <w:adjustRightInd/>
              <w:rPr>
                <w:rFonts w:ascii="Times New Roman" w:hAnsi="Times New Roman"/>
                <w:b/>
                <w:bCs/>
                <w:color w:val="000000"/>
                <w:sz w:val="22"/>
                <w:szCs w:val="22"/>
              </w:rPr>
            </w:pPr>
            <w:r w:rsidRPr="009546B9">
              <w:rPr>
                <w:rFonts w:ascii="Times New Roman" w:hAnsi="Times New Roman"/>
                <w:b/>
                <w:bCs/>
                <w:color w:val="000000"/>
                <w:sz w:val="22"/>
                <w:szCs w:val="22"/>
              </w:rPr>
              <w:t xml:space="preserve"> </w:t>
            </w:r>
            <w:bookmarkStart w:id="12" w:name="_Hlk180583587"/>
            <w:r w:rsidRPr="009546B9">
              <w:rPr>
                <w:rFonts w:ascii="Times New Roman" w:hAnsi="Times New Roman"/>
                <w:b/>
                <w:bCs/>
                <w:color w:val="000000"/>
                <w:sz w:val="22"/>
                <w:szCs w:val="22"/>
              </w:rPr>
              <w:t xml:space="preserve">$ </w:t>
            </w:r>
            <w:r w:rsidR="00DE697E">
              <w:rPr>
                <w:rFonts w:ascii="Times New Roman" w:hAnsi="Times New Roman"/>
                <w:b/>
                <w:bCs/>
                <w:color w:val="000000"/>
                <w:sz w:val="22"/>
                <w:szCs w:val="22"/>
              </w:rPr>
              <w:t>2,616,790.16</w:t>
            </w:r>
            <w:r w:rsidRPr="009546B9">
              <w:rPr>
                <w:rFonts w:ascii="Times New Roman" w:hAnsi="Times New Roman"/>
                <w:b/>
                <w:bCs/>
                <w:color w:val="000000"/>
                <w:sz w:val="22"/>
                <w:szCs w:val="22"/>
              </w:rPr>
              <w:t xml:space="preserve"> </w:t>
            </w:r>
            <w:bookmarkEnd w:id="12"/>
          </w:p>
        </w:tc>
      </w:tr>
    </w:tbl>
    <w:p w:rsidR="00E613CC" w:rsidRPr="009546B9" w:rsidP="003B470F" w14:paraId="18BA17B6" w14:textId="77777777">
      <w:pPr>
        <w:ind w:left="288"/>
        <w:rPr>
          <w:rFonts w:ascii="Times New Roman" w:hAnsi="Times New Roman"/>
          <w:iCs/>
          <w:sz w:val="22"/>
          <w:szCs w:val="22"/>
        </w:rPr>
      </w:pPr>
    </w:p>
    <w:p w:rsidR="00105F8E" w:rsidRPr="00436FDF" w:rsidP="00436FDF" w14:paraId="3A5A6AD2" w14:textId="13565A60">
      <w:pPr>
        <w:pStyle w:val="ListParagraph"/>
        <w:numPr>
          <w:ilvl w:val="0"/>
          <w:numId w:val="47"/>
        </w:numPr>
        <w:rPr>
          <w:b/>
        </w:rPr>
      </w:pPr>
      <w:r w:rsidRPr="00436FDF">
        <w:rPr>
          <w:b/>
        </w:rPr>
        <w:t xml:space="preserve">Explanation of </w:t>
      </w:r>
      <w:r w:rsidRPr="00436FDF" w:rsidR="00894546">
        <w:rPr>
          <w:b/>
        </w:rPr>
        <w:t xml:space="preserve">Program Changes </w:t>
      </w:r>
      <w:r w:rsidRPr="00436FDF">
        <w:rPr>
          <w:b/>
        </w:rPr>
        <w:t xml:space="preserve">or </w:t>
      </w:r>
      <w:r w:rsidRPr="00436FDF" w:rsidR="00894546">
        <w:rPr>
          <w:b/>
        </w:rPr>
        <w:t>Adjustments</w:t>
      </w:r>
      <w:r w:rsidRPr="00894546">
        <w:rPr>
          <w:b/>
        </w:rPr>
        <w:t xml:space="preserve"> </w:t>
      </w:r>
      <w:r w:rsidRPr="00894546" w:rsidR="009D4F72">
        <w:rPr>
          <w:b/>
        </w:rPr>
        <w:t xml:space="preserve"> </w:t>
      </w:r>
    </w:p>
    <w:p w:rsidR="00894546" w:rsidRPr="00E2637E" w:rsidP="00436FDF" w14:paraId="14C538AE" w14:textId="31A4A8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szCs w:val="20"/>
        </w:rPr>
      </w:pPr>
      <w:r w:rsidRPr="00E2637E">
        <w:rPr>
          <w:rFonts w:ascii="Times New Roman" w:hAnsi="Times New Roman"/>
          <w:color w:val="auto"/>
          <w:szCs w:val="20"/>
        </w:rPr>
        <w:br/>
      </w:r>
      <w:r>
        <w:rPr>
          <w:rFonts w:ascii="Times New Roman" w:hAnsi="Times New Roman"/>
          <w:color w:val="auto"/>
          <w:szCs w:val="20"/>
        </w:rPr>
        <w:t>After the</w:t>
      </w:r>
      <w:r w:rsidRPr="00894546">
        <w:rPr>
          <w:rFonts w:ascii="Times New Roman" w:hAnsi="Times New Roman"/>
          <w:color w:val="auto"/>
          <w:sz w:val="20"/>
          <w:szCs w:val="20"/>
        </w:rPr>
        <w:t xml:space="preserve"> </w:t>
      </w:r>
      <w:r w:rsidRPr="00894546">
        <w:rPr>
          <w:rFonts w:ascii="Times New Roman" w:hAnsi="Times New Roman"/>
          <w:color w:val="auto"/>
          <w:szCs w:val="20"/>
        </w:rPr>
        <w:t xml:space="preserve">Project Designation application phase for </w:t>
      </w:r>
      <w:r>
        <w:rPr>
          <w:rFonts w:ascii="Times New Roman" w:hAnsi="Times New Roman"/>
          <w:color w:val="auto"/>
          <w:szCs w:val="20"/>
        </w:rPr>
        <w:t xml:space="preserve">the </w:t>
      </w:r>
      <w:r w:rsidRPr="00894546">
        <w:rPr>
          <w:rFonts w:ascii="Times New Roman" w:hAnsi="Times New Roman"/>
          <w:color w:val="auto"/>
          <w:szCs w:val="20"/>
        </w:rPr>
        <w:t>United States Marine Highway grants</w:t>
      </w:r>
      <w:r>
        <w:rPr>
          <w:rFonts w:ascii="Times New Roman" w:hAnsi="Times New Roman"/>
          <w:color w:val="auto"/>
          <w:szCs w:val="20"/>
        </w:rPr>
        <w:t xml:space="preserve"> were removed from </w:t>
      </w:r>
      <w:r w:rsidRPr="00E2637E" w:rsidR="00490503">
        <w:rPr>
          <w:rFonts w:ascii="Times New Roman" w:hAnsi="Times New Roman"/>
          <w:color w:val="auto"/>
          <w:szCs w:val="20"/>
        </w:rPr>
        <w:t xml:space="preserve">James M. Inhofe National Defense Authorization Act (NDAA) for Fiscal Year 2023 (Pub. L. 117-263, December 23, 2022) </w:t>
      </w:r>
      <w:r>
        <w:rPr>
          <w:rFonts w:ascii="Times New Roman" w:hAnsi="Times New Roman"/>
          <w:color w:val="auto"/>
          <w:szCs w:val="20"/>
        </w:rPr>
        <w:t xml:space="preserve">this collection was </w:t>
      </w:r>
      <w:r w:rsidR="00DE697E">
        <w:rPr>
          <w:rFonts w:ascii="Times New Roman" w:hAnsi="Times New Roman"/>
          <w:color w:val="auto"/>
          <w:szCs w:val="20"/>
        </w:rPr>
        <w:t>discontinued,</w:t>
      </w:r>
      <w:r>
        <w:rPr>
          <w:rFonts w:ascii="Times New Roman" w:hAnsi="Times New Roman"/>
          <w:color w:val="auto"/>
          <w:szCs w:val="20"/>
        </w:rPr>
        <w:t xml:space="preserve"> and the public burden was eliminated.  However, since this collection is also associated with the USMHP Grant Program, both the collection and the associated public burden are being </w:t>
      </w:r>
      <w:r>
        <w:rPr>
          <w:rFonts w:ascii="Times New Roman" w:hAnsi="Times New Roman"/>
          <w:color w:val="auto"/>
          <w:szCs w:val="20"/>
        </w:rPr>
        <w:t>reinstated to facilitate program</w:t>
      </w:r>
      <w:r w:rsidR="00694F34">
        <w:rPr>
          <w:rFonts w:ascii="Times New Roman" w:hAnsi="Times New Roman"/>
          <w:color w:val="auto"/>
          <w:szCs w:val="20"/>
        </w:rPr>
        <w:t xml:space="preserve"> operation</w:t>
      </w:r>
      <w:r>
        <w:rPr>
          <w:rFonts w:ascii="Times New Roman" w:hAnsi="Times New Roman"/>
          <w:color w:val="auto"/>
          <w:szCs w:val="20"/>
        </w:rPr>
        <w:t xml:space="preserve">. </w:t>
      </w:r>
    </w:p>
    <w:p w:rsidR="00521B6C" w:rsidRPr="00E2637E" w:rsidP="00436FDF" w14:paraId="34D0709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bCs/>
        </w:rPr>
      </w:pPr>
    </w:p>
    <w:p w:rsidR="00105F8E" w:rsidRPr="00894546" w:rsidP="00436FDF" w14:paraId="3B7BED54" w14:textId="45260EF7">
      <w:pPr>
        <w:pStyle w:val="ListParagraph"/>
        <w:numPr>
          <w:ilvl w:val="0"/>
          <w:numId w:val="47"/>
        </w:numPr>
        <w:rPr>
          <w:b/>
        </w:rPr>
      </w:pPr>
      <w:r w:rsidRPr="00436FDF">
        <w:rPr>
          <w:b/>
        </w:rPr>
        <w:t xml:space="preserve">Publication of </w:t>
      </w:r>
      <w:r w:rsidRPr="00436FDF" w:rsidR="00894546">
        <w:rPr>
          <w:b/>
        </w:rPr>
        <w:t>D</w:t>
      </w:r>
      <w:r w:rsidRPr="00436FDF">
        <w:rPr>
          <w:b/>
        </w:rPr>
        <w:t xml:space="preserve">ata </w:t>
      </w:r>
      <w:r w:rsidRPr="00436FDF" w:rsidR="00894546">
        <w:rPr>
          <w:b/>
        </w:rPr>
        <w:t>Collection</w:t>
      </w:r>
      <w:r w:rsidRPr="00894546">
        <w:rPr>
          <w:b/>
        </w:rPr>
        <w:t xml:space="preserve"> </w:t>
      </w:r>
      <w:r w:rsidRPr="00894546" w:rsidR="008D34A3">
        <w:rPr>
          <w:b/>
        </w:rPr>
        <w:t xml:space="preserve"> </w:t>
      </w:r>
    </w:p>
    <w:p w:rsidR="00EB0F8A" w:rsidRPr="00E2637E" w:rsidP="00F746AE" w14:paraId="1C4C8A4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p>
    <w:p w:rsidR="00EB0F8A" w:rsidP="00694F34" w14:paraId="3F60B82E" w14:textId="6018FBE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r>
        <w:rPr>
          <w:rFonts w:ascii="Times New Roman" w:hAnsi="Times New Roman"/>
          <w:color w:val="auto"/>
        </w:rPr>
        <w:t>No data from this collection will be published</w:t>
      </w:r>
      <w:r w:rsidR="00694F34">
        <w:rPr>
          <w:rFonts w:ascii="Times New Roman" w:hAnsi="Times New Roman"/>
          <w:color w:val="auto"/>
        </w:rPr>
        <w:t>.</w:t>
      </w:r>
    </w:p>
    <w:p w:rsidR="00694F34" w:rsidRPr="00436FDF" w:rsidP="00436FDF" w14:paraId="25259E5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b/>
          <w:color w:val="auto"/>
        </w:rPr>
      </w:pPr>
    </w:p>
    <w:p w:rsidR="0004749E" w:rsidRPr="00436FDF" w:rsidP="00436FDF" w14:paraId="7C868B02" w14:textId="1DFF9BBD">
      <w:pPr>
        <w:pStyle w:val="BodyText3"/>
        <w:numPr>
          <w:ilvl w:val="0"/>
          <w:numId w:val="4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szCs w:val="20"/>
        </w:rPr>
      </w:pPr>
      <w:r w:rsidRPr="00436FDF">
        <w:rPr>
          <w:rFonts w:ascii="Times New Roman" w:hAnsi="Times New Roman"/>
          <w:b/>
          <w:color w:val="auto"/>
          <w:szCs w:val="20"/>
        </w:rPr>
        <w:t xml:space="preserve"> </w:t>
      </w:r>
      <w:r w:rsidRPr="00436FDF" w:rsidR="00694F34">
        <w:rPr>
          <w:rFonts w:ascii="Times New Roman" w:hAnsi="Times New Roman"/>
          <w:b/>
          <w:color w:val="auto"/>
          <w:szCs w:val="20"/>
        </w:rPr>
        <w:t>D</w:t>
      </w:r>
      <w:r w:rsidRPr="00436FDF">
        <w:rPr>
          <w:rFonts w:ascii="Times New Roman" w:hAnsi="Times New Roman"/>
          <w:b/>
          <w:color w:val="auto"/>
          <w:szCs w:val="20"/>
        </w:rPr>
        <w:t>isplay</w:t>
      </w:r>
      <w:r w:rsidRPr="00436FDF" w:rsidR="00694F34">
        <w:rPr>
          <w:rFonts w:ascii="Times New Roman" w:hAnsi="Times New Roman"/>
          <w:b/>
          <w:color w:val="auto"/>
          <w:szCs w:val="20"/>
        </w:rPr>
        <w:t xml:space="preserve"> of </w:t>
      </w:r>
      <w:r w:rsidRPr="00436FDF">
        <w:rPr>
          <w:rFonts w:ascii="Times New Roman" w:hAnsi="Times New Roman"/>
          <w:b/>
          <w:color w:val="auto"/>
          <w:szCs w:val="20"/>
        </w:rPr>
        <w:t>the</w:t>
      </w:r>
      <w:r w:rsidRPr="00436FDF" w:rsidR="00694F34">
        <w:rPr>
          <w:rFonts w:ascii="Times New Roman" w:hAnsi="Times New Roman"/>
          <w:b/>
          <w:color w:val="auto"/>
          <w:szCs w:val="20"/>
        </w:rPr>
        <w:t xml:space="preserve"> OMB</w:t>
      </w:r>
      <w:r w:rsidRPr="00436FDF">
        <w:rPr>
          <w:rFonts w:ascii="Times New Roman" w:hAnsi="Times New Roman"/>
          <w:b/>
          <w:color w:val="auto"/>
          <w:szCs w:val="20"/>
        </w:rPr>
        <w:t xml:space="preserve"> </w:t>
      </w:r>
      <w:r w:rsidRPr="00436FDF" w:rsidR="00694F34">
        <w:rPr>
          <w:rFonts w:ascii="Times New Roman" w:hAnsi="Times New Roman"/>
          <w:b/>
          <w:color w:val="auto"/>
          <w:szCs w:val="20"/>
        </w:rPr>
        <w:t>Expiration Date</w:t>
      </w:r>
    </w:p>
    <w:p w:rsidR="00105F8E" w:rsidRPr="00E2637E" w:rsidP="00F746AE" w14:paraId="508FC4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p>
    <w:p w:rsidR="00EB0F8A" w:rsidP="00694F34" w14:paraId="367E276B" w14:textId="4173E773">
      <w:pPr>
        <w:ind w:left="288"/>
        <w:rPr>
          <w:rFonts w:ascii="Times New Roman" w:hAnsi="Times New Roman"/>
          <w:bCs/>
          <w:sz w:val="24"/>
          <w:szCs w:val="24"/>
        </w:rPr>
      </w:pPr>
      <w:r>
        <w:rPr>
          <w:rFonts w:ascii="Times New Roman" w:hAnsi="Times New Roman"/>
          <w:bCs/>
          <w:sz w:val="24"/>
          <w:szCs w:val="24"/>
        </w:rPr>
        <w:t>MARAD is not seeking approval to avoid displaying the OMB expiration date</w:t>
      </w:r>
      <w:r w:rsidRPr="00E2637E" w:rsidR="008C159E">
        <w:rPr>
          <w:rFonts w:ascii="Times New Roman" w:hAnsi="Times New Roman"/>
          <w:bCs/>
          <w:sz w:val="24"/>
          <w:szCs w:val="24"/>
        </w:rPr>
        <w:t xml:space="preserve">. </w:t>
      </w:r>
    </w:p>
    <w:p w:rsidR="00694F34" w:rsidRPr="00E2637E" w:rsidP="00436FDF" w14:paraId="090050BB" w14:textId="77777777">
      <w:pPr>
        <w:ind w:left="288"/>
        <w:rPr>
          <w:rFonts w:ascii="Times New Roman" w:hAnsi="Times New Roman"/>
          <w:bCs/>
          <w:sz w:val="24"/>
          <w:szCs w:val="24"/>
        </w:rPr>
      </w:pPr>
    </w:p>
    <w:p w:rsidR="00694F34" w:rsidRPr="000C5261" w:rsidP="00436FDF" w14:paraId="6A488E8A" w14:textId="1F38D4E0">
      <w:pPr>
        <w:pStyle w:val="ListParagraph"/>
        <w:numPr>
          <w:ilvl w:val="0"/>
          <w:numId w:val="47"/>
        </w:numPr>
        <w:rPr>
          <w:b/>
        </w:rPr>
      </w:pPr>
      <w:r w:rsidRPr="00436FDF">
        <w:rPr>
          <w:b/>
        </w:rPr>
        <w:t>Exceptions to the Certification Statement</w:t>
      </w:r>
      <w:r w:rsidRPr="000C5261">
        <w:rPr>
          <w:b/>
        </w:rPr>
        <w:t xml:space="preserve"> </w:t>
      </w:r>
    </w:p>
    <w:p w:rsidR="00694F34" w:rsidRPr="000C5261" w:rsidP="00694F34" w14:paraId="374557B4" w14:textId="77777777"/>
    <w:p w:rsidR="008C159E" w:rsidRPr="00436FDF" w:rsidP="00436FDF" w14:paraId="442663FC" w14:textId="23D2515A">
      <w:pPr>
        <w:ind w:left="270"/>
        <w:rPr>
          <w:rFonts w:ascii="Times New Roman" w:hAnsi="Times New Roman"/>
          <w:bCs/>
          <w:szCs w:val="24"/>
        </w:rPr>
      </w:pPr>
      <w:r w:rsidRPr="00436FDF">
        <w:rPr>
          <w:rFonts w:ascii="Times New Roman" w:hAnsi="Times New Roman"/>
          <w:sz w:val="24"/>
          <w:szCs w:val="24"/>
        </w:rPr>
        <w:t xml:space="preserve">There are no </w:t>
      </w:r>
      <w:r w:rsidRPr="00436FDF">
        <w:rPr>
          <w:rFonts w:ascii="Times New Roman" w:hAnsi="Times New Roman"/>
          <w:bCs/>
          <w:sz w:val="24"/>
          <w:szCs w:val="24"/>
        </w:rPr>
        <w:t>exceptions to the certification statement.</w:t>
      </w:r>
    </w:p>
    <w:p w:rsidR="0036274A" w:rsidRPr="000E0C8C" w14:paraId="19CF8E50" w14:textId="77777777">
      <w:pPr>
        <w:pStyle w:val="NormalWeb"/>
        <w:ind w:left="-90"/>
        <w:rPr>
          <w:rFonts w:ascii="Times New Roman" w:hAnsi="Times New Roman" w:cs="Times New Roman"/>
          <w:bCs/>
        </w:rPr>
      </w:pPr>
    </w:p>
    <w:sectPr w:rsidSect="00436FDF">
      <w:footerReference w:type="default" r:id="rId7"/>
      <w:footnotePr>
        <w:numRestart w:val="eachSect"/>
      </w:footnotePr>
      <w:endnotePr>
        <w:numFmt w:val="decimal"/>
      </w:endnotePr>
      <w:pgSz w:w="12240" w:h="15840" w:code="1"/>
      <w:pgMar w:top="1296" w:right="1440" w:bottom="1152"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628A758B"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031C5">
      <w:rPr>
        <w:rStyle w:val="PageNumber"/>
        <w:noProof/>
      </w:rPr>
      <w:t>10</w:t>
    </w:r>
    <w:r>
      <w:rPr>
        <w:rStyle w:val="PageNumber"/>
      </w:rPr>
      <w:fldChar w:fldCharType="end"/>
    </w:r>
  </w:p>
  <w:p w:rsidR="006C714E" w14:paraId="74CC3C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3D5C" w14:paraId="3FA3BAF3" w14:textId="77777777">
      <w:r>
        <w:separator/>
      </w:r>
    </w:p>
  </w:footnote>
  <w:footnote w:type="continuationSeparator" w:id="1">
    <w:p w:rsidR="00193D5C" w14:paraId="6B3E5F70" w14:textId="77777777">
      <w:r>
        <w:continuationSeparator/>
      </w:r>
    </w:p>
  </w:footnote>
  <w:footnote w:id="2">
    <w:p w:rsidR="009C7A8E" w:rsidRPr="0002645D" w:rsidP="009C7A8E" w14:paraId="7FBCF6AA" w14:textId="7D3FBC25">
      <w:pPr>
        <w:pStyle w:val="FootnoteText"/>
      </w:pPr>
      <w:r w:rsidRPr="0002645D">
        <w:rPr>
          <w:rStyle w:val="FootnoteReference"/>
        </w:rPr>
        <w:footnoteRef/>
      </w:r>
      <w:r w:rsidRPr="0002645D">
        <w:t xml:space="preserve"> The hourly wage estimate is taken from current BLS tables: </w:t>
      </w:r>
      <w:hyperlink r:id="rId1" w:history="1">
        <w:r w:rsidRPr="0002645D">
          <w:rPr>
            <w:rStyle w:val="Hyperlink"/>
          </w:rPr>
          <w:t>https://www.bls.gov/oes/current/oes_nat.htm</w:t>
        </w:r>
      </w:hyperlink>
      <w:r w:rsidR="0015069F">
        <w:t xml:space="preserve"> and </w:t>
      </w:r>
      <w:hyperlink r:id="rId2" w:history="1">
        <w:r w:rsidRPr="00BB37BE" w:rsidR="006B214D">
          <w:rPr>
            <w:rStyle w:val="Hyperlink"/>
          </w:rPr>
          <w:t>https://www.bls.gov/oes/current/oes436014.htm</w:t>
        </w:r>
      </w:hyperlink>
      <w:r w:rsidR="006B214D">
        <w:t xml:space="preserve"> </w:t>
      </w:r>
    </w:p>
  </w:footnote>
  <w:footnote w:id="3">
    <w:p w:rsidR="0015069F" w:rsidP="0015069F" w14:paraId="53EB0325" w14:textId="77777777">
      <w:pPr>
        <w:pStyle w:val="FootnoteText"/>
      </w:pPr>
      <w:r w:rsidRPr="0002645D">
        <w:rPr>
          <w:rStyle w:val="FootnoteReference"/>
        </w:rPr>
        <w:footnoteRef/>
      </w:r>
      <w:r w:rsidRPr="0002645D">
        <w:t xml:space="preserve"> </w:t>
      </w:r>
      <w:bookmarkStart w:id="9" w:name="_Hlk164072686"/>
      <w:r w:rsidRPr="0002645D">
        <w:t>Per BLS Employee Compensation Memo, the total compensation rate for the private sector is 29%,  :</w:t>
      </w:r>
      <w:hyperlink r:id="rId3" w:history="1">
        <w:r w:rsidRPr="0002645D">
          <w:rPr>
            <w:rStyle w:val="Hyperlink"/>
          </w:rPr>
          <w:t>https://www.bls.gov/news.release/pdf/ecec.pdf</w:t>
        </w:r>
      </w:hyperlink>
      <w:bookmarkEnd w:id="9"/>
    </w:p>
  </w:footnote>
  <w:footnote w:id="4">
    <w:p w:rsidR="003B470F" w:rsidP="003B470F" w14:paraId="67A6E33C" w14:textId="77777777">
      <w:pPr>
        <w:pStyle w:val="FootnoteText"/>
      </w:pPr>
      <w:r>
        <w:rPr>
          <w:rStyle w:val="FootnoteReference"/>
        </w:rPr>
        <w:footnoteRef/>
      </w:r>
      <w:r>
        <w:t xml:space="preserve"> </w:t>
      </w:r>
      <w:bookmarkStart w:id="10" w:name="_Hlk177475278"/>
      <w:r>
        <w:t>OPM 2024 wage tables for W</w:t>
      </w:r>
      <w:r w:rsidRPr="00707438">
        <w:t>ashington-</w:t>
      </w:r>
      <w:r>
        <w:t>B</w:t>
      </w:r>
      <w:r w:rsidRPr="00707438">
        <w:t>altimore-</w:t>
      </w:r>
      <w:r>
        <w:t>A</w:t>
      </w:r>
      <w:r w:rsidRPr="00707438">
        <w:t xml:space="preserve">rlington, </w:t>
      </w:r>
      <w:r w:rsidRPr="00B219FA">
        <w:t>DC-MD-VA-WV-PA</w:t>
      </w:r>
      <w:r>
        <w:t xml:space="preserve"> is as follows:  </w:t>
      </w:r>
      <w:bookmarkEnd w:id="10"/>
      <w:hyperlink r:id="rId4" w:history="1">
        <w:r w:rsidRPr="004C3F40">
          <w:rPr>
            <w:rStyle w:val="Hyperlink"/>
          </w:rPr>
          <w:t>https://www.opm.gov/policy-data-oversight/pay-leave/salaries-wages/salary-tables/pdf/2024/DCB_h.pdf</w:t>
        </w:r>
      </w:hyperlink>
      <w:r>
        <w:t xml:space="preserve"> </w:t>
      </w:r>
    </w:p>
  </w:footnote>
  <w:footnote w:id="5">
    <w:p w:rsidR="001277E5" w:rsidP="001277E5" w14:paraId="34789CA4" w14:textId="77777777">
      <w:pPr>
        <w:pStyle w:val="FootnoteText"/>
      </w:pPr>
      <w:r>
        <w:rPr>
          <w:rStyle w:val="FootnoteReference"/>
        </w:rPr>
        <w:footnoteRef/>
      </w:r>
      <w:r>
        <w:t xml:space="preserve"> </w:t>
      </w:r>
      <w:r w:rsidRPr="007C21F2">
        <w:t xml:space="preserve">Per BLS Employee Compensation Memo, the total compensation rate for the </w:t>
      </w:r>
      <w:r>
        <w:t xml:space="preserve">Federal Government </w:t>
      </w:r>
      <w:r w:rsidRPr="007C21F2">
        <w:t xml:space="preserve"> is </w:t>
      </w:r>
      <w:r>
        <w:t>31</w:t>
      </w:r>
      <w:r w:rsidRPr="007C21F2">
        <w:t>%,  :</w:t>
      </w:r>
      <w:hyperlink r:id="rId3" w:history="1">
        <w:r w:rsidRPr="007C21F2">
          <w:rPr>
            <w:rStyle w:val="Hyperlink"/>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A020FF"/>
    <w:multiLevelType w:val="hybridMultilevel"/>
    <w:tmpl w:val="124C5F08"/>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F361D8"/>
    <w:multiLevelType w:val="hybridMultilevel"/>
    <w:tmpl w:val="C4E2A5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F10677"/>
    <w:multiLevelType w:val="hybridMultilevel"/>
    <w:tmpl w:val="6AFCDDA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C66289"/>
    <w:multiLevelType w:val="hybridMultilevel"/>
    <w:tmpl w:val="F7867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E40471"/>
    <w:multiLevelType w:val="hybridMultilevel"/>
    <w:tmpl w:val="2F16B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A455A27"/>
    <w:multiLevelType w:val="hybridMultilevel"/>
    <w:tmpl w:val="703AF3B2"/>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E034EF"/>
    <w:multiLevelType w:val="hybridMultilevel"/>
    <w:tmpl w:val="1D10590E"/>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34E44381"/>
    <w:multiLevelType w:val="hybridMultilevel"/>
    <w:tmpl w:val="8F5EA4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E65290"/>
    <w:multiLevelType w:val="hybridMultilevel"/>
    <w:tmpl w:val="5A2471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0D1C23"/>
    <w:multiLevelType w:val="hybridMultilevel"/>
    <w:tmpl w:val="ACE66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DE3842"/>
    <w:multiLevelType w:val="hybridMultilevel"/>
    <w:tmpl w:val="145EA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0E2CF9"/>
    <w:multiLevelType w:val="hybridMultilevel"/>
    <w:tmpl w:val="5084626C"/>
    <w:lvl w:ilvl="0">
      <w:start w:val="1"/>
      <w:numFmt w:val="lowerLetter"/>
      <w:lvlText w:val="(%1)"/>
      <w:lvlJc w:val="left"/>
      <w:pPr>
        <w:ind w:left="3780" w:hanging="360"/>
      </w:pPr>
      <w:rPr>
        <w:rFonts w:hint="default"/>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9">
    <w:nsid w:val="4B0D74F1"/>
    <w:multiLevelType w:val="hybridMultilevel"/>
    <w:tmpl w:val="A04633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A864B4"/>
    <w:multiLevelType w:val="hybridMultilevel"/>
    <w:tmpl w:val="52E0DAB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C85E1A"/>
    <w:multiLevelType w:val="hybridMultilevel"/>
    <w:tmpl w:val="9A424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FBD2F03"/>
    <w:multiLevelType w:val="hybridMultilevel"/>
    <w:tmpl w:val="E52EAE6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02523E1"/>
    <w:multiLevelType w:val="hybridMultilevel"/>
    <w:tmpl w:val="37BC8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4A6511"/>
    <w:multiLevelType w:val="hybridMultilevel"/>
    <w:tmpl w:val="0DD65048"/>
    <w:lvl w:ilvl="0">
      <w:start w:val="1"/>
      <w:numFmt w:val="decimal"/>
      <w:lvlText w:val="%1."/>
      <w:lvlJc w:val="left"/>
      <w:pPr>
        <w:ind w:left="648" w:hanging="360"/>
      </w:pPr>
      <w:rPr>
        <w:rFonts w:hint="default"/>
        <w:b/>
        <w:bCs/>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27">
    <w:nsid w:val="677360E5"/>
    <w:multiLevelType w:val="hybridMultilevel"/>
    <w:tmpl w:val="190674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B4617A2"/>
    <w:multiLevelType w:val="hybridMultilevel"/>
    <w:tmpl w:val="B1F204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F14213"/>
    <w:multiLevelType w:val="hybridMultilevel"/>
    <w:tmpl w:val="F0D237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C6E1010"/>
    <w:multiLevelType w:val="hybridMultilevel"/>
    <w:tmpl w:val="EDC66A06"/>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6D0354EA"/>
    <w:multiLevelType w:val="hybridMultilevel"/>
    <w:tmpl w:val="AF722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F3236F"/>
    <w:multiLevelType w:val="hybridMultilevel"/>
    <w:tmpl w:val="F20EC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EF73745"/>
    <w:multiLevelType w:val="hybridMultilevel"/>
    <w:tmpl w:val="6742D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B67DF0"/>
    <w:multiLevelType w:val="hybridMultilevel"/>
    <w:tmpl w:val="B9D47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5E5FED"/>
    <w:multiLevelType w:val="hybridMultilevel"/>
    <w:tmpl w:val="C4E2A5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416350"/>
    <w:multiLevelType w:val="hybridMultilevel"/>
    <w:tmpl w:val="9294B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8">
    <w:nsid w:val="7D783C5D"/>
    <w:multiLevelType w:val="hybridMultilevel"/>
    <w:tmpl w:val="0BF06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F05E48"/>
    <w:multiLevelType w:val="hybridMultilevel"/>
    <w:tmpl w:val="90408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84699256">
    <w:abstractNumId w:val="2"/>
  </w:num>
  <w:num w:numId="2" w16cid:durableId="2026596125">
    <w:abstractNumId w:val="8"/>
  </w:num>
  <w:num w:numId="3" w16cid:durableId="2029982515">
    <w:abstractNumId w:val="9"/>
  </w:num>
  <w:num w:numId="4" w16cid:durableId="297498555">
    <w:abstractNumId w:val="28"/>
  </w:num>
  <w:num w:numId="5" w16cid:durableId="512261675">
    <w:abstractNumId w:val="23"/>
  </w:num>
  <w:num w:numId="6" w16cid:durableId="1916011570">
    <w:abstractNumId w:val="10"/>
  </w:num>
  <w:num w:numId="7" w16cid:durableId="280579429">
    <w:abstractNumId w:val="22"/>
  </w:num>
  <w:num w:numId="8" w16cid:durableId="1436441123">
    <w:abstractNumId w:val="14"/>
  </w:num>
  <w:num w:numId="9" w16cid:durableId="348914195">
    <w:abstractNumId w:val="7"/>
  </w:num>
  <w:num w:numId="10" w16cid:durableId="1441028708">
    <w:abstractNumId w:val="4"/>
  </w:num>
  <w:num w:numId="11" w16cid:durableId="1204637054">
    <w:abstractNumId w:val="13"/>
  </w:num>
  <w:num w:numId="12" w16cid:durableId="746073794">
    <w:abstractNumId w:val="3"/>
  </w:num>
  <w:num w:numId="13" w16cid:durableId="528183955">
    <w:abstractNumId w:val="19"/>
  </w:num>
  <w:num w:numId="14" w16cid:durableId="1386835115">
    <w:abstractNumId w:val="27"/>
  </w:num>
  <w:num w:numId="15" w16cid:durableId="1740135243">
    <w:abstractNumId w:val="11"/>
  </w:num>
  <w:num w:numId="16" w16cid:durableId="482939997">
    <w:abstractNumId w:val="11"/>
    <w:lvlOverride w:ilvl="0">
      <w:startOverride w:val="1"/>
    </w:lvlOverride>
  </w:num>
  <w:num w:numId="17" w16cid:durableId="1019044396">
    <w:abstractNumId w:val="20"/>
  </w:num>
  <w:num w:numId="18" w16cid:durableId="1562446773">
    <w:abstractNumId w:val="11"/>
    <w:lvlOverride w:ilvl="0">
      <w:startOverride w:val="1"/>
    </w:lvlOverride>
  </w:num>
  <w:num w:numId="19" w16cid:durableId="1473327578">
    <w:abstractNumId w:val="20"/>
    <w:lvlOverride w:ilvl="0">
      <w:startOverride w:val="1"/>
    </w:lvlOverride>
  </w:num>
  <w:num w:numId="20" w16cid:durableId="903610658">
    <w:abstractNumId w:val="20"/>
    <w:lvlOverride w:ilvl="0">
      <w:startOverride w:val="1"/>
    </w:lvlOverride>
  </w:num>
  <w:num w:numId="21" w16cid:durableId="1681085326">
    <w:abstractNumId w:val="20"/>
    <w:lvlOverride w:ilvl="0">
      <w:startOverride w:val="1"/>
    </w:lvlOverride>
  </w:num>
  <w:num w:numId="22" w16cid:durableId="734933473">
    <w:abstractNumId w:val="11"/>
    <w:lvlOverride w:ilvl="0">
      <w:startOverride w:val="1"/>
    </w:lvlOverride>
  </w:num>
  <w:num w:numId="23" w16cid:durableId="925726052">
    <w:abstractNumId w:val="11"/>
    <w:lvlOverride w:ilvl="0">
      <w:startOverride w:val="1"/>
    </w:lvlOverride>
  </w:num>
  <w:num w:numId="24" w16cid:durableId="583295981">
    <w:abstractNumId w:val="20"/>
    <w:lvlOverride w:ilvl="0">
      <w:startOverride w:val="1"/>
    </w:lvlOverride>
  </w:num>
  <w:num w:numId="25" w16cid:durableId="213394459">
    <w:abstractNumId w:val="11"/>
    <w:lvlOverride w:ilvl="0">
      <w:startOverride w:val="1"/>
    </w:lvlOverride>
  </w:num>
  <w:num w:numId="26" w16cid:durableId="2055495219">
    <w:abstractNumId w:val="36"/>
  </w:num>
  <w:num w:numId="27" w16cid:durableId="1447046598">
    <w:abstractNumId w:val="1"/>
  </w:num>
  <w:num w:numId="28" w16cid:durableId="1768576444">
    <w:abstractNumId w:val="38"/>
  </w:num>
  <w:num w:numId="29" w16cid:durableId="1601640469">
    <w:abstractNumId w:val="25"/>
  </w:num>
  <w:num w:numId="30" w16cid:durableId="71509092">
    <w:abstractNumId w:val="37"/>
  </w:num>
  <w:num w:numId="31" w16cid:durableId="2058897825">
    <w:abstractNumId w:val="35"/>
  </w:num>
  <w:num w:numId="32" w16cid:durableId="2011791190">
    <w:abstractNumId w:val="17"/>
  </w:num>
  <w:num w:numId="33" w16cid:durableId="1492477191">
    <w:abstractNumId w:val="21"/>
  </w:num>
  <w:num w:numId="34" w16cid:durableId="154692681">
    <w:abstractNumId w:val="29"/>
  </w:num>
  <w:num w:numId="35" w16cid:durableId="1998607009">
    <w:abstractNumId w:val="39"/>
  </w:num>
  <w:num w:numId="36" w16cid:durableId="1438018612">
    <w:abstractNumId w:val="0"/>
  </w:num>
  <w:num w:numId="37" w16cid:durableId="45233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1310913">
    <w:abstractNumId w:val="15"/>
  </w:num>
  <w:num w:numId="39" w16cid:durableId="397677838">
    <w:abstractNumId w:val="34"/>
  </w:num>
  <w:num w:numId="40" w16cid:durableId="1050497407">
    <w:abstractNumId w:val="32"/>
  </w:num>
  <w:num w:numId="41" w16cid:durableId="398940512">
    <w:abstractNumId w:val="6"/>
  </w:num>
  <w:num w:numId="42" w16cid:durableId="1894000887">
    <w:abstractNumId w:val="18"/>
  </w:num>
  <w:num w:numId="43" w16cid:durableId="33771344">
    <w:abstractNumId w:val="31"/>
  </w:num>
  <w:num w:numId="44" w16cid:durableId="1326086634">
    <w:abstractNumId w:val="12"/>
  </w:num>
  <w:num w:numId="45" w16cid:durableId="1164013421">
    <w:abstractNumId w:val="16"/>
  </w:num>
  <w:num w:numId="46" w16cid:durableId="2068844553">
    <w:abstractNumId w:val="24"/>
  </w:num>
  <w:num w:numId="47" w16cid:durableId="324088307">
    <w:abstractNumId w:val="26"/>
  </w:num>
  <w:num w:numId="48" w16cid:durableId="1595477837">
    <w:abstractNumId w:val="5"/>
  </w:num>
  <w:num w:numId="49" w16cid:durableId="4400331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characterSpacingControl w:val="doNotCompress"/>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77C5"/>
    <w:rsid w:val="0002645D"/>
    <w:rsid w:val="00033353"/>
    <w:rsid w:val="00037AEF"/>
    <w:rsid w:val="000414E2"/>
    <w:rsid w:val="00043893"/>
    <w:rsid w:val="0004749E"/>
    <w:rsid w:val="00051AEE"/>
    <w:rsid w:val="00062490"/>
    <w:rsid w:val="000654DE"/>
    <w:rsid w:val="0006757C"/>
    <w:rsid w:val="0008270D"/>
    <w:rsid w:val="00082B43"/>
    <w:rsid w:val="000863CD"/>
    <w:rsid w:val="000879E6"/>
    <w:rsid w:val="00091BEF"/>
    <w:rsid w:val="000A4E85"/>
    <w:rsid w:val="000B5669"/>
    <w:rsid w:val="000C2131"/>
    <w:rsid w:val="000C5261"/>
    <w:rsid w:val="000E0C8C"/>
    <w:rsid w:val="001031C5"/>
    <w:rsid w:val="00103851"/>
    <w:rsid w:val="00105343"/>
    <w:rsid w:val="00105F8E"/>
    <w:rsid w:val="001119F3"/>
    <w:rsid w:val="001127AE"/>
    <w:rsid w:val="00114015"/>
    <w:rsid w:val="00127538"/>
    <w:rsid w:val="001277E5"/>
    <w:rsid w:val="00137B13"/>
    <w:rsid w:val="0014173E"/>
    <w:rsid w:val="0015069F"/>
    <w:rsid w:val="0015642C"/>
    <w:rsid w:val="001631D4"/>
    <w:rsid w:val="001777C4"/>
    <w:rsid w:val="00177AD8"/>
    <w:rsid w:val="001820CC"/>
    <w:rsid w:val="001822E0"/>
    <w:rsid w:val="001909C5"/>
    <w:rsid w:val="00193D5C"/>
    <w:rsid w:val="0019560B"/>
    <w:rsid w:val="001A00D1"/>
    <w:rsid w:val="001A46BD"/>
    <w:rsid w:val="001A6520"/>
    <w:rsid w:val="001A6FF8"/>
    <w:rsid w:val="001B6AF9"/>
    <w:rsid w:val="001C10F3"/>
    <w:rsid w:val="001C6DCB"/>
    <w:rsid w:val="001D76ED"/>
    <w:rsid w:val="001E2D43"/>
    <w:rsid w:val="001E429C"/>
    <w:rsid w:val="001F34CE"/>
    <w:rsid w:val="00205E84"/>
    <w:rsid w:val="00206E3B"/>
    <w:rsid w:val="00211B66"/>
    <w:rsid w:val="00212D28"/>
    <w:rsid w:val="002427FD"/>
    <w:rsid w:val="00243C68"/>
    <w:rsid w:val="00251230"/>
    <w:rsid w:val="00251A8C"/>
    <w:rsid w:val="00282B4C"/>
    <w:rsid w:val="00283612"/>
    <w:rsid w:val="00285CDE"/>
    <w:rsid w:val="00294E2C"/>
    <w:rsid w:val="002A015A"/>
    <w:rsid w:val="002A769A"/>
    <w:rsid w:val="002B1384"/>
    <w:rsid w:val="002B242B"/>
    <w:rsid w:val="00301A9E"/>
    <w:rsid w:val="003145A8"/>
    <w:rsid w:val="00317926"/>
    <w:rsid w:val="003326D0"/>
    <w:rsid w:val="0033338A"/>
    <w:rsid w:val="003362FA"/>
    <w:rsid w:val="00336436"/>
    <w:rsid w:val="0033680B"/>
    <w:rsid w:val="00337AAC"/>
    <w:rsid w:val="0034449B"/>
    <w:rsid w:val="0035468F"/>
    <w:rsid w:val="00360B8B"/>
    <w:rsid w:val="003613D1"/>
    <w:rsid w:val="0036274A"/>
    <w:rsid w:val="00372C53"/>
    <w:rsid w:val="00372E15"/>
    <w:rsid w:val="00381624"/>
    <w:rsid w:val="00395513"/>
    <w:rsid w:val="003A30D4"/>
    <w:rsid w:val="003B395C"/>
    <w:rsid w:val="003B470F"/>
    <w:rsid w:val="003B5717"/>
    <w:rsid w:val="003B6FC6"/>
    <w:rsid w:val="003C061A"/>
    <w:rsid w:val="003C1CE0"/>
    <w:rsid w:val="003C52E8"/>
    <w:rsid w:val="003C571E"/>
    <w:rsid w:val="003C62B3"/>
    <w:rsid w:val="003E066D"/>
    <w:rsid w:val="003E19F0"/>
    <w:rsid w:val="003E6748"/>
    <w:rsid w:val="00405616"/>
    <w:rsid w:val="00415351"/>
    <w:rsid w:val="00416ABA"/>
    <w:rsid w:val="00424089"/>
    <w:rsid w:val="0042461E"/>
    <w:rsid w:val="00436FDF"/>
    <w:rsid w:val="00437225"/>
    <w:rsid w:val="00443885"/>
    <w:rsid w:val="00466A6D"/>
    <w:rsid w:val="00470720"/>
    <w:rsid w:val="00472E87"/>
    <w:rsid w:val="00490503"/>
    <w:rsid w:val="00495806"/>
    <w:rsid w:val="004971AA"/>
    <w:rsid w:val="004A0E42"/>
    <w:rsid w:val="004A1E79"/>
    <w:rsid w:val="004A3297"/>
    <w:rsid w:val="004A3712"/>
    <w:rsid w:val="004A4189"/>
    <w:rsid w:val="004A7769"/>
    <w:rsid w:val="004C21E8"/>
    <w:rsid w:val="004C24A2"/>
    <w:rsid w:val="004C3F40"/>
    <w:rsid w:val="004D3476"/>
    <w:rsid w:val="004F081E"/>
    <w:rsid w:val="00501D6B"/>
    <w:rsid w:val="00501EFE"/>
    <w:rsid w:val="0050236D"/>
    <w:rsid w:val="005061EE"/>
    <w:rsid w:val="00507B16"/>
    <w:rsid w:val="00515B96"/>
    <w:rsid w:val="00521B6C"/>
    <w:rsid w:val="005222E2"/>
    <w:rsid w:val="00525C79"/>
    <w:rsid w:val="00534470"/>
    <w:rsid w:val="00544B20"/>
    <w:rsid w:val="005472D9"/>
    <w:rsid w:val="00550EA7"/>
    <w:rsid w:val="00556747"/>
    <w:rsid w:val="005607FC"/>
    <w:rsid w:val="0056616C"/>
    <w:rsid w:val="00574728"/>
    <w:rsid w:val="0057531E"/>
    <w:rsid w:val="00582880"/>
    <w:rsid w:val="005918E0"/>
    <w:rsid w:val="005A6431"/>
    <w:rsid w:val="005B2F47"/>
    <w:rsid w:val="005B3380"/>
    <w:rsid w:val="005C071B"/>
    <w:rsid w:val="005D3A98"/>
    <w:rsid w:val="005E229B"/>
    <w:rsid w:val="005F7E3B"/>
    <w:rsid w:val="006035D1"/>
    <w:rsid w:val="006221B9"/>
    <w:rsid w:val="00626697"/>
    <w:rsid w:val="00627D25"/>
    <w:rsid w:val="006338BF"/>
    <w:rsid w:val="0064044F"/>
    <w:rsid w:val="006571EE"/>
    <w:rsid w:val="006628A3"/>
    <w:rsid w:val="00666ABE"/>
    <w:rsid w:val="00667711"/>
    <w:rsid w:val="006749E5"/>
    <w:rsid w:val="0069293B"/>
    <w:rsid w:val="006941E3"/>
    <w:rsid w:val="00694F34"/>
    <w:rsid w:val="006951D1"/>
    <w:rsid w:val="0069732F"/>
    <w:rsid w:val="006A7E90"/>
    <w:rsid w:val="006B214D"/>
    <w:rsid w:val="006B2FC4"/>
    <w:rsid w:val="006C1A1F"/>
    <w:rsid w:val="006C714E"/>
    <w:rsid w:val="006D2B6A"/>
    <w:rsid w:val="006D72BE"/>
    <w:rsid w:val="006E0380"/>
    <w:rsid w:val="006E092C"/>
    <w:rsid w:val="006E21F9"/>
    <w:rsid w:val="006E2D98"/>
    <w:rsid w:val="006E7DB6"/>
    <w:rsid w:val="006F1B4C"/>
    <w:rsid w:val="006F223C"/>
    <w:rsid w:val="007029CA"/>
    <w:rsid w:val="007045EE"/>
    <w:rsid w:val="00704695"/>
    <w:rsid w:val="00707438"/>
    <w:rsid w:val="00731933"/>
    <w:rsid w:val="007333BC"/>
    <w:rsid w:val="007345D2"/>
    <w:rsid w:val="007349AD"/>
    <w:rsid w:val="00735803"/>
    <w:rsid w:val="00744CF0"/>
    <w:rsid w:val="00752B94"/>
    <w:rsid w:val="00755274"/>
    <w:rsid w:val="00764FFF"/>
    <w:rsid w:val="00774C18"/>
    <w:rsid w:val="00782A99"/>
    <w:rsid w:val="0078392C"/>
    <w:rsid w:val="007A093A"/>
    <w:rsid w:val="007A3E5D"/>
    <w:rsid w:val="007A4AD8"/>
    <w:rsid w:val="007C21F2"/>
    <w:rsid w:val="007C7DF1"/>
    <w:rsid w:val="007D6B0A"/>
    <w:rsid w:val="007E4638"/>
    <w:rsid w:val="007E50E0"/>
    <w:rsid w:val="0080323F"/>
    <w:rsid w:val="00816BC9"/>
    <w:rsid w:val="0082332C"/>
    <w:rsid w:val="00830F5D"/>
    <w:rsid w:val="008313CD"/>
    <w:rsid w:val="008370D3"/>
    <w:rsid w:val="00841D30"/>
    <w:rsid w:val="008421B4"/>
    <w:rsid w:val="00843D43"/>
    <w:rsid w:val="00852542"/>
    <w:rsid w:val="00854D5A"/>
    <w:rsid w:val="00884DA4"/>
    <w:rsid w:val="00892E09"/>
    <w:rsid w:val="00894546"/>
    <w:rsid w:val="00896C44"/>
    <w:rsid w:val="008B4EBC"/>
    <w:rsid w:val="008C159E"/>
    <w:rsid w:val="008C4CAE"/>
    <w:rsid w:val="008D34A3"/>
    <w:rsid w:val="008D6E78"/>
    <w:rsid w:val="008E0D07"/>
    <w:rsid w:val="008E5A1B"/>
    <w:rsid w:val="008F2CDB"/>
    <w:rsid w:val="008F41F2"/>
    <w:rsid w:val="008F623D"/>
    <w:rsid w:val="008F6E83"/>
    <w:rsid w:val="00902DFA"/>
    <w:rsid w:val="009222D2"/>
    <w:rsid w:val="00934156"/>
    <w:rsid w:val="00937974"/>
    <w:rsid w:val="009405F3"/>
    <w:rsid w:val="00943892"/>
    <w:rsid w:val="009474B1"/>
    <w:rsid w:val="00952034"/>
    <w:rsid w:val="009546B9"/>
    <w:rsid w:val="00961B06"/>
    <w:rsid w:val="009731C2"/>
    <w:rsid w:val="00973337"/>
    <w:rsid w:val="00973E31"/>
    <w:rsid w:val="009757CE"/>
    <w:rsid w:val="00980688"/>
    <w:rsid w:val="00983634"/>
    <w:rsid w:val="0098412A"/>
    <w:rsid w:val="009877EF"/>
    <w:rsid w:val="009923B1"/>
    <w:rsid w:val="009924FB"/>
    <w:rsid w:val="00993BD1"/>
    <w:rsid w:val="009A0A8E"/>
    <w:rsid w:val="009A0B09"/>
    <w:rsid w:val="009B40FB"/>
    <w:rsid w:val="009C5E28"/>
    <w:rsid w:val="009C7A8E"/>
    <w:rsid w:val="009D2D5E"/>
    <w:rsid w:val="009D4F72"/>
    <w:rsid w:val="009D651F"/>
    <w:rsid w:val="009E5F8F"/>
    <w:rsid w:val="009F56A8"/>
    <w:rsid w:val="00A10CFB"/>
    <w:rsid w:val="00A1402B"/>
    <w:rsid w:val="00A1469C"/>
    <w:rsid w:val="00A14960"/>
    <w:rsid w:val="00A41B19"/>
    <w:rsid w:val="00A450B0"/>
    <w:rsid w:val="00A60F51"/>
    <w:rsid w:val="00A72E59"/>
    <w:rsid w:val="00A74186"/>
    <w:rsid w:val="00AA3388"/>
    <w:rsid w:val="00AA5BB7"/>
    <w:rsid w:val="00AA7558"/>
    <w:rsid w:val="00AB0C42"/>
    <w:rsid w:val="00AB4779"/>
    <w:rsid w:val="00AB5E4D"/>
    <w:rsid w:val="00AC18F4"/>
    <w:rsid w:val="00AC1DC2"/>
    <w:rsid w:val="00AC61F1"/>
    <w:rsid w:val="00AC7B99"/>
    <w:rsid w:val="00AC7F26"/>
    <w:rsid w:val="00AD1492"/>
    <w:rsid w:val="00AD66D6"/>
    <w:rsid w:val="00AE1681"/>
    <w:rsid w:val="00AF3923"/>
    <w:rsid w:val="00AF411E"/>
    <w:rsid w:val="00B04747"/>
    <w:rsid w:val="00B17E48"/>
    <w:rsid w:val="00B219FA"/>
    <w:rsid w:val="00B22478"/>
    <w:rsid w:val="00B3374C"/>
    <w:rsid w:val="00B33F01"/>
    <w:rsid w:val="00B36721"/>
    <w:rsid w:val="00B446B7"/>
    <w:rsid w:val="00B50918"/>
    <w:rsid w:val="00B515E2"/>
    <w:rsid w:val="00B5576A"/>
    <w:rsid w:val="00B560FE"/>
    <w:rsid w:val="00B67929"/>
    <w:rsid w:val="00B721E1"/>
    <w:rsid w:val="00B72E6D"/>
    <w:rsid w:val="00B836B8"/>
    <w:rsid w:val="00B85C5D"/>
    <w:rsid w:val="00B91066"/>
    <w:rsid w:val="00B91F89"/>
    <w:rsid w:val="00BA1F02"/>
    <w:rsid w:val="00BB37BE"/>
    <w:rsid w:val="00BC4B2E"/>
    <w:rsid w:val="00BC6D81"/>
    <w:rsid w:val="00BD6311"/>
    <w:rsid w:val="00BF048A"/>
    <w:rsid w:val="00C040AD"/>
    <w:rsid w:val="00C042BE"/>
    <w:rsid w:val="00C0570F"/>
    <w:rsid w:val="00C13925"/>
    <w:rsid w:val="00C26837"/>
    <w:rsid w:val="00C322B9"/>
    <w:rsid w:val="00C32624"/>
    <w:rsid w:val="00C408B8"/>
    <w:rsid w:val="00C43D4E"/>
    <w:rsid w:val="00C45173"/>
    <w:rsid w:val="00C54164"/>
    <w:rsid w:val="00C566E3"/>
    <w:rsid w:val="00C72A99"/>
    <w:rsid w:val="00C81576"/>
    <w:rsid w:val="00C820D7"/>
    <w:rsid w:val="00C83B36"/>
    <w:rsid w:val="00C84BAA"/>
    <w:rsid w:val="00C94597"/>
    <w:rsid w:val="00CB6F99"/>
    <w:rsid w:val="00CC0533"/>
    <w:rsid w:val="00CC54AD"/>
    <w:rsid w:val="00CD0018"/>
    <w:rsid w:val="00CD7543"/>
    <w:rsid w:val="00CE1135"/>
    <w:rsid w:val="00CF534D"/>
    <w:rsid w:val="00D0223C"/>
    <w:rsid w:val="00D04504"/>
    <w:rsid w:val="00D0466B"/>
    <w:rsid w:val="00D140B3"/>
    <w:rsid w:val="00D255D6"/>
    <w:rsid w:val="00D317C4"/>
    <w:rsid w:val="00D32F7B"/>
    <w:rsid w:val="00D339E6"/>
    <w:rsid w:val="00D33A64"/>
    <w:rsid w:val="00D554FD"/>
    <w:rsid w:val="00D55A77"/>
    <w:rsid w:val="00D718B9"/>
    <w:rsid w:val="00D77ABD"/>
    <w:rsid w:val="00D77CB2"/>
    <w:rsid w:val="00D90573"/>
    <w:rsid w:val="00D96A71"/>
    <w:rsid w:val="00DA3E2B"/>
    <w:rsid w:val="00DA42FE"/>
    <w:rsid w:val="00DA6A16"/>
    <w:rsid w:val="00DC0FF5"/>
    <w:rsid w:val="00DC46D9"/>
    <w:rsid w:val="00DD455F"/>
    <w:rsid w:val="00DE697E"/>
    <w:rsid w:val="00E05540"/>
    <w:rsid w:val="00E058F0"/>
    <w:rsid w:val="00E2308B"/>
    <w:rsid w:val="00E2637E"/>
    <w:rsid w:val="00E338F1"/>
    <w:rsid w:val="00E33FDA"/>
    <w:rsid w:val="00E437A4"/>
    <w:rsid w:val="00E560F8"/>
    <w:rsid w:val="00E56196"/>
    <w:rsid w:val="00E613CC"/>
    <w:rsid w:val="00E71C79"/>
    <w:rsid w:val="00E72A83"/>
    <w:rsid w:val="00E772D6"/>
    <w:rsid w:val="00E857B9"/>
    <w:rsid w:val="00EB0F8A"/>
    <w:rsid w:val="00EC1C62"/>
    <w:rsid w:val="00EC7900"/>
    <w:rsid w:val="00EC7EBC"/>
    <w:rsid w:val="00ED03C5"/>
    <w:rsid w:val="00ED14D5"/>
    <w:rsid w:val="00EE6A24"/>
    <w:rsid w:val="00F054D2"/>
    <w:rsid w:val="00F2051E"/>
    <w:rsid w:val="00F21B6A"/>
    <w:rsid w:val="00F24DF2"/>
    <w:rsid w:val="00F2733A"/>
    <w:rsid w:val="00F36F04"/>
    <w:rsid w:val="00F428EB"/>
    <w:rsid w:val="00F43CAD"/>
    <w:rsid w:val="00F53FB7"/>
    <w:rsid w:val="00F64171"/>
    <w:rsid w:val="00F746AE"/>
    <w:rsid w:val="00F843C5"/>
    <w:rsid w:val="00F92057"/>
    <w:rsid w:val="00F97139"/>
    <w:rsid w:val="00FA0072"/>
    <w:rsid w:val="00FA153C"/>
    <w:rsid w:val="00FA3D7D"/>
    <w:rsid w:val="00FB3582"/>
    <w:rsid w:val="00FC3EFB"/>
    <w:rsid w:val="00FC77BF"/>
    <w:rsid w:val="00FD0BF9"/>
    <w:rsid w:val="00FF12E0"/>
    <w:rsid w:val="00FF14E2"/>
    <w:rsid w:val="00FF79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8F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B66"/>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aliases w:val="SubHeading 1"/>
    <w:basedOn w:val="Normal"/>
    <w:next w:val="Normal"/>
    <w:link w:val="Heading2Char"/>
    <w:uiPriority w:val="9"/>
    <w:unhideWhenUsed/>
    <w:qFormat/>
    <w:rsid w:val="005B3380"/>
    <w:pPr>
      <w:keepNext/>
      <w:spacing w:before="240" w:after="60"/>
      <w:outlineLvl w:val="1"/>
    </w:pPr>
    <w:rPr>
      <w:rFonts w:ascii="Calibri Light" w:hAnsi="Calibri Light"/>
      <w:b/>
      <w:bCs/>
      <w:i/>
      <w:iCs/>
      <w:sz w:val="28"/>
      <w:szCs w:val="28"/>
    </w:rPr>
  </w:style>
  <w:style w:type="paragraph" w:styleId="Heading3">
    <w:name w:val="heading 3"/>
    <w:aliases w:val="Subheading 2"/>
    <w:basedOn w:val="Normal"/>
    <w:next w:val="Normal"/>
    <w:link w:val="Heading3Char"/>
    <w:uiPriority w:val="9"/>
    <w:unhideWhenUsed/>
    <w:qFormat/>
    <w:rsid w:val="005B338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character" w:customStyle="1" w:styleId="Heading2Char">
    <w:name w:val="Heading 2 Char"/>
    <w:aliases w:val="SubHeading 1 Char"/>
    <w:link w:val="Heading2"/>
    <w:uiPriority w:val="9"/>
    <w:rsid w:val="005B3380"/>
    <w:rPr>
      <w:rFonts w:ascii="Calibri Light" w:eastAsia="Times New Roman" w:hAnsi="Calibri Light" w:cs="Times New Roman"/>
      <w:b/>
      <w:bCs/>
      <w:i/>
      <w:iCs/>
      <w:sz w:val="28"/>
      <w:szCs w:val="28"/>
    </w:rPr>
  </w:style>
  <w:style w:type="character" w:customStyle="1" w:styleId="Heading3Char">
    <w:name w:val="Heading 3 Char"/>
    <w:aliases w:val="Subheading 2 Char"/>
    <w:link w:val="Heading3"/>
    <w:uiPriority w:val="9"/>
    <w:rsid w:val="005B3380"/>
    <w:rPr>
      <w:rFonts w:ascii="Calibri Light" w:eastAsia="Times New Roman" w:hAnsi="Calibri Light" w:cs="Times New Roman"/>
      <w:b/>
      <w:bCs/>
      <w:sz w:val="26"/>
      <w:szCs w:val="26"/>
    </w:rPr>
  </w:style>
  <w:style w:type="character" w:customStyle="1" w:styleId="Heading1Char">
    <w:name w:val="Heading 1 Char"/>
    <w:link w:val="Heading1"/>
    <w:uiPriority w:val="9"/>
    <w:rsid w:val="005B3380"/>
    <w:rPr>
      <w:rFonts w:ascii="Letter Gothic 12cpi" w:hAnsi="Letter Gothic 12cpi"/>
      <w:sz w:val="24"/>
      <w:szCs w:val="24"/>
    </w:rPr>
  </w:style>
  <w:style w:type="paragraph" w:styleId="FootnoteText">
    <w:name w:val="footnote text"/>
    <w:basedOn w:val="Normal"/>
    <w:link w:val="FootnoteTextChar"/>
    <w:uiPriority w:val="99"/>
    <w:unhideWhenUsed/>
    <w:rsid w:val="005B3380"/>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5B3380"/>
  </w:style>
  <w:style w:type="character" w:styleId="FootnoteReference">
    <w:name w:val="footnote reference"/>
    <w:uiPriority w:val="99"/>
    <w:unhideWhenUsed/>
    <w:rsid w:val="005B3380"/>
    <w:rPr>
      <w:vertAlign w:val="superscript"/>
    </w:rPr>
  </w:style>
  <w:style w:type="paragraph" w:styleId="ListParagraph">
    <w:name w:val="List Paragraph"/>
    <w:basedOn w:val="Normal"/>
    <w:uiPriority w:val="34"/>
    <w:qFormat/>
    <w:rsid w:val="005B3380"/>
    <w:pPr>
      <w:widowControl/>
      <w:autoSpaceDE/>
      <w:autoSpaceDN/>
      <w:adjustRightInd/>
      <w:ind w:left="720"/>
      <w:contextualSpacing/>
    </w:pPr>
    <w:rPr>
      <w:rFonts w:ascii="Times New Roman" w:hAnsi="Times New Roman"/>
      <w:sz w:val="24"/>
      <w:szCs w:val="24"/>
    </w:rPr>
  </w:style>
  <w:style w:type="paragraph" w:styleId="BalloonText">
    <w:name w:val="Balloon Text"/>
    <w:basedOn w:val="Normal"/>
    <w:link w:val="BalloonTextChar"/>
    <w:uiPriority w:val="99"/>
    <w:rsid w:val="005B3380"/>
    <w:pPr>
      <w:widowControl/>
      <w:autoSpaceDE/>
      <w:autoSpaceDN/>
      <w:adjustRightInd/>
    </w:pPr>
    <w:rPr>
      <w:rFonts w:ascii="Tahoma" w:hAnsi="Tahoma" w:cs="Tahoma"/>
      <w:sz w:val="16"/>
      <w:szCs w:val="16"/>
    </w:rPr>
  </w:style>
  <w:style w:type="character" w:customStyle="1" w:styleId="BalloonTextChar">
    <w:name w:val="Balloon Text Char"/>
    <w:link w:val="BalloonText"/>
    <w:uiPriority w:val="99"/>
    <w:rsid w:val="005B3380"/>
    <w:rPr>
      <w:rFonts w:ascii="Tahoma" w:hAnsi="Tahoma" w:cs="Tahoma"/>
      <w:sz w:val="16"/>
      <w:szCs w:val="16"/>
    </w:rPr>
  </w:style>
  <w:style w:type="character" w:styleId="CommentReference">
    <w:name w:val="annotation reference"/>
    <w:uiPriority w:val="99"/>
    <w:unhideWhenUsed/>
    <w:rsid w:val="005B3380"/>
    <w:rPr>
      <w:sz w:val="16"/>
      <w:szCs w:val="16"/>
    </w:rPr>
  </w:style>
  <w:style w:type="paragraph" w:styleId="CommentText">
    <w:name w:val="annotation text"/>
    <w:basedOn w:val="Normal"/>
    <w:link w:val="CommentTextChar"/>
    <w:uiPriority w:val="99"/>
    <w:unhideWhenUsed/>
    <w:rsid w:val="005B3380"/>
    <w:pPr>
      <w:widowControl/>
      <w:autoSpaceDE/>
      <w:autoSpaceDN/>
      <w:adjustRightInd/>
    </w:pPr>
    <w:rPr>
      <w:rFonts w:ascii="Times New Roman" w:hAnsi="Times New Roman"/>
    </w:rPr>
  </w:style>
  <w:style w:type="character" w:customStyle="1" w:styleId="CommentTextChar">
    <w:name w:val="Comment Text Char"/>
    <w:basedOn w:val="DefaultParagraphFont"/>
    <w:link w:val="CommentText"/>
    <w:uiPriority w:val="99"/>
    <w:rsid w:val="005B3380"/>
  </w:style>
  <w:style w:type="paragraph" w:styleId="CommentSubject">
    <w:name w:val="annotation subject"/>
    <w:basedOn w:val="CommentText"/>
    <w:next w:val="CommentText"/>
    <w:link w:val="CommentSubjectChar"/>
    <w:uiPriority w:val="99"/>
    <w:unhideWhenUsed/>
    <w:rsid w:val="005B3380"/>
    <w:rPr>
      <w:b/>
      <w:bCs/>
    </w:rPr>
  </w:style>
  <w:style w:type="character" w:customStyle="1" w:styleId="CommentSubjectChar">
    <w:name w:val="Comment Subject Char"/>
    <w:link w:val="CommentSubject"/>
    <w:uiPriority w:val="99"/>
    <w:rsid w:val="005B3380"/>
    <w:rPr>
      <w:b/>
      <w:bCs/>
    </w:rPr>
  </w:style>
  <w:style w:type="character" w:customStyle="1" w:styleId="HeaderChar">
    <w:name w:val="Header Char"/>
    <w:link w:val="Header"/>
    <w:uiPriority w:val="99"/>
    <w:rsid w:val="005B3380"/>
    <w:rPr>
      <w:rFonts w:ascii="Letter Gothic 12cpi" w:hAnsi="Letter Gothic 12cpi"/>
    </w:rPr>
  </w:style>
  <w:style w:type="character" w:customStyle="1" w:styleId="FooterChar">
    <w:name w:val="Footer Char"/>
    <w:link w:val="Footer"/>
    <w:uiPriority w:val="99"/>
    <w:rsid w:val="005B3380"/>
    <w:rPr>
      <w:rFonts w:ascii="Letter Gothic 12cpi" w:hAnsi="Letter Gothic 12cpi"/>
    </w:rPr>
  </w:style>
  <w:style w:type="character" w:styleId="Mention">
    <w:name w:val="Mention"/>
    <w:uiPriority w:val="99"/>
    <w:semiHidden/>
    <w:unhideWhenUsed/>
    <w:rsid w:val="005B3380"/>
    <w:rPr>
      <w:color w:val="2B579A"/>
      <w:shd w:val="clear" w:color="auto" w:fill="E6E6E6"/>
    </w:rPr>
  </w:style>
  <w:style w:type="paragraph" w:styleId="Revision">
    <w:name w:val="Revision"/>
    <w:hidden/>
    <w:uiPriority w:val="99"/>
    <w:semiHidden/>
    <w:rsid w:val="005B3380"/>
    <w:rPr>
      <w:sz w:val="24"/>
      <w:szCs w:val="24"/>
    </w:rPr>
  </w:style>
  <w:style w:type="table" w:styleId="TableGrid">
    <w:name w:val="Table Grid"/>
    <w:basedOn w:val="TableNormal"/>
    <w:uiPriority w:val="59"/>
    <w:rsid w:val="005B338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38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FDA"/>
    <w:pPr>
      <w:autoSpaceDE w:val="0"/>
      <w:autoSpaceDN w:val="0"/>
      <w:adjustRightInd w:val="0"/>
    </w:pPr>
    <w:rPr>
      <w:rFonts w:ascii="Univers 45 Light" w:hAnsi="Univers 45 Light" w:cs="Univers 45 Light"/>
      <w:color w:val="000000"/>
      <w:sz w:val="24"/>
      <w:szCs w:val="24"/>
    </w:rPr>
  </w:style>
  <w:style w:type="paragraph" w:customStyle="1" w:styleId="Pa18">
    <w:name w:val="Pa18"/>
    <w:basedOn w:val="Default"/>
    <w:next w:val="Default"/>
    <w:uiPriority w:val="99"/>
    <w:rsid w:val="00E33FDA"/>
    <w:pPr>
      <w:spacing w:line="241" w:lineRule="atLeast"/>
    </w:pPr>
    <w:rPr>
      <w:rFonts w:cs="Times New Roman"/>
      <w:color w:val="auto"/>
    </w:rPr>
  </w:style>
  <w:style w:type="character" w:customStyle="1" w:styleId="A9">
    <w:name w:val="A9"/>
    <w:uiPriority w:val="99"/>
    <w:rsid w:val="00E33FDA"/>
    <w:rPr>
      <w:rFonts w:cs="Univers 45 Light"/>
      <w:color w:val="211D1E"/>
      <w:sz w:val="19"/>
      <w:szCs w:val="19"/>
    </w:rPr>
  </w:style>
  <w:style w:type="character" w:customStyle="1" w:styleId="A14">
    <w:name w:val="A14"/>
    <w:uiPriority w:val="99"/>
    <w:rsid w:val="00E33FDA"/>
    <w:rPr>
      <w:rFonts w:ascii="Univers 47 CondensedLight" w:hAnsi="Univers 47 CondensedLight" w:cs="Univers 47 CondensedLight"/>
      <w:color w:val="C3562A"/>
      <w:sz w:val="23"/>
      <w:szCs w:val="23"/>
    </w:rPr>
  </w:style>
  <w:style w:type="character" w:styleId="UnresolvedMention">
    <w:name w:val="Unresolved Mention"/>
    <w:uiPriority w:val="99"/>
    <w:semiHidden/>
    <w:unhideWhenUsed/>
    <w:rsid w:val="00043893"/>
    <w:rPr>
      <w:color w:val="808080"/>
      <w:shd w:val="clear" w:color="auto" w:fill="E6E6E6"/>
    </w:rPr>
  </w:style>
  <w:style w:type="character" w:customStyle="1" w:styleId="breakword">
    <w:name w:val="breakword"/>
    <w:rsid w:val="00FB3582"/>
  </w:style>
  <w:style w:type="character" w:styleId="FollowedHyperlink">
    <w:name w:val="FollowedHyperlink"/>
    <w:basedOn w:val="DefaultParagraphFont"/>
    <w:rsid w:val="0098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aritime.dot.gov/grants-finances/2024-us-marine-highway-program-grant-program-webinar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oes/current/oes436014.htm" TargetMode="External" /><Relationship Id="rId3" Type="http://schemas.openxmlformats.org/officeDocument/2006/relationships/hyperlink" Target="https://www.bls.gov/news.release/pdf/ecec.pdf"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A6A4-B9F9-4C37-B18F-CA5421FA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2025-02-11T21:28:00Z</dcterms:created>
  <dcterms:modified xsi:type="dcterms:W3CDTF">2025-02-18T19:03:00Z</dcterms:modified>
</cp:coreProperties>
</file>