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1342" w:rsidRPr="00031342" w:rsidP="00031342" w14:paraId="317320D2" w14:textId="77777777">
      <w:pPr>
        <w:rPr>
          <w:rFonts w:ascii="Times New Roman" w:hAnsi="Times New Roman"/>
          <w:b/>
          <w:bCs/>
          <w:sz w:val="18"/>
          <w:szCs w:val="18"/>
        </w:rPr>
      </w:pPr>
      <w:r w:rsidRPr="00031342">
        <w:rPr>
          <w:rFonts w:ascii="Times New Roman" w:hAnsi="Times New Roman"/>
          <w:b/>
          <w:bCs/>
          <w:sz w:val="18"/>
          <w:szCs w:val="18"/>
        </w:rPr>
        <w:t xml:space="preserve">Public Reporting Burden. </w:t>
      </w:r>
      <w:r w:rsidRPr="00031342">
        <w:rPr>
          <w:rFonts w:ascii="Times New Roman" w:hAnsi="Times New Roman"/>
          <w:bCs/>
          <w:sz w:val="18"/>
          <w:szCs w:val="18"/>
        </w:rPr>
        <w:t>The 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451 7th St SW, Room 8210, Washington, DC 20410–5000. Do not send completed forms to this address. This agency may not conduct or sponsor, and a person is not required to respond to, a collection of information unless the collection displays a valid OMB control number. HUD collects this information to determine whether an applicant’s or participant’s unreimbursed expenses for long-term care insurance must be deducted from the family’s income according to 24 C.F.R. § 5.611(a)(3)(i), which establishes a threshold of 10 percent of annual income for the mandatory deduction of unreimbursed health and medical care expenses of any elderly or disabled family. HUD uses this information to assist in managing certain HUD properties, to protect the Government’s financial interest, and to verify the accuracy of the information furnished. This information is considered non-sensitive and does not require special protection.</w:t>
      </w:r>
    </w:p>
    <w:p w:rsidR="002D6277" w:rsidRPr="005F2958" w:rsidP="002D6277" w14:paraId="3E891970" w14:textId="6584DFDE">
      <w:pPr>
        <w:pStyle w:val="Exhibittitle"/>
        <w:rPr>
          <w:rFonts w:ascii="Times New Roman" w:hAnsi="Times New Roman"/>
        </w:rPr>
      </w:pPr>
      <w:r>
        <w:rPr>
          <w:rFonts w:ascii="Times New Roman" w:hAnsi="Times New Roman"/>
        </w:rPr>
        <w:t>Exhibit 5-4:</w:t>
      </w:r>
      <w:r w:rsidR="00F41EA3">
        <w:rPr>
          <w:rFonts w:ascii="Times New Roman" w:hAnsi="Times New Roman"/>
        </w:rPr>
        <w:t xml:space="preserve"> </w:t>
      </w:r>
      <w:r w:rsidRPr="005F2958">
        <w:rPr>
          <w:rFonts w:ascii="Times New Roman" w:hAnsi="Times New Roman"/>
        </w:rPr>
        <w:t>Certification for Qualified Long-Term Care Insurance Expenses</w:t>
      </w:r>
    </w:p>
    <w:p w:rsidR="002D6277" w:rsidRPr="005F2958" w:rsidP="00F41EA3" w14:paraId="53E03297" w14:textId="2F96E017">
      <w:pPr>
        <w:spacing w:before="240" w:line="480" w:lineRule="auto"/>
        <w:rPr>
          <w:rFonts w:ascii="Times New Roman" w:hAnsi="Times New Roman"/>
          <w:sz w:val="24"/>
        </w:rPr>
      </w:pPr>
      <w:r w:rsidRPr="005F2958">
        <w:rPr>
          <w:rFonts w:ascii="Times New Roman" w:hAnsi="Times New Roman"/>
          <w:sz w:val="24"/>
        </w:rPr>
        <w:t>I certify that the long-term care insurance policy for which I pay premiums, (insert policy provider name) ____________________________________, policy number ______________ meets the following conditions.</w:t>
      </w:r>
    </w:p>
    <w:p w:rsidR="002D6277" w:rsidRPr="005F2958" w:rsidP="002D6277" w14:paraId="5B01BC4C" w14:textId="77777777">
      <w:pPr>
        <w:numPr>
          <w:ilvl w:val="3"/>
          <w:numId w:val="1"/>
        </w:numPr>
        <w:tabs>
          <w:tab w:val="num" w:pos="720"/>
          <w:tab w:val="clear" w:pos="2160"/>
        </w:tabs>
        <w:ind w:left="720"/>
        <w:rPr>
          <w:rFonts w:ascii="Times New Roman" w:hAnsi="Times New Roman"/>
          <w:sz w:val="24"/>
        </w:rPr>
      </w:pPr>
      <w:r w:rsidRPr="005F2958">
        <w:rPr>
          <w:rFonts w:ascii="Times New Roman" w:hAnsi="Times New Roman"/>
          <w:sz w:val="24"/>
        </w:rPr>
        <w:t xml:space="preserve">It is guaranteed </w:t>
      </w:r>
      <w:r w:rsidRPr="005F2958">
        <w:rPr>
          <w:rFonts w:ascii="Times New Roman" w:hAnsi="Times New Roman"/>
          <w:sz w:val="24"/>
        </w:rPr>
        <w:t>renewable;</w:t>
      </w:r>
    </w:p>
    <w:p w:rsidR="002D6277" w:rsidRPr="005F2958" w:rsidP="002D6277" w14:paraId="6CA18999" w14:textId="77777777">
      <w:pPr>
        <w:numPr>
          <w:ilvl w:val="3"/>
          <w:numId w:val="1"/>
        </w:numPr>
        <w:tabs>
          <w:tab w:val="num" w:pos="720"/>
          <w:tab w:val="clear" w:pos="2160"/>
        </w:tabs>
        <w:ind w:left="720"/>
        <w:rPr>
          <w:rFonts w:ascii="Times New Roman" w:hAnsi="Times New Roman"/>
          <w:sz w:val="24"/>
        </w:rPr>
      </w:pPr>
      <w:r w:rsidRPr="005F2958">
        <w:rPr>
          <w:rFonts w:ascii="Times New Roman" w:hAnsi="Times New Roman"/>
          <w:sz w:val="24"/>
        </w:rPr>
        <w:t xml:space="preserve">It does not provide a cash surrender value which can be paid, assigned, pledged, or </w:t>
      </w:r>
      <w:r w:rsidRPr="005F2958">
        <w:rPr>
          <w:rFonts w:ascii="Times New Roman" w:hAnsi="Times New Roman"/>
          <w:sz w:val="24"/>
        </w:rPr>
        <w:t>borrowed;</w:t>
      </w:r>
    </w:p>
    <w:p w:rsidR="002D6277" w:rsidRPr="005F2958" w:rsidP="002D6277" w14:paraId="0C289232" w14:textId="77777777">
      <w:pPr>
        <w:numPr>
          <w:ilvl w:val="3"/>
          <w:numId w:val="1"/>
        </w:numPr>
        <w:tabs>
          <w:tab w:val="num" w:pos="720"/>
          <w:tab w:val="clear" w:pos="2160"/>
        </w:tabs>
        <w:ind w:left="720"/>
        <w:rPr>
          <w:rFonts w:ascii="Times New Roman" w:hAnsi="Times New Roman"/>
          <w:sz w:val="24"/>
        </w:rPr>
      </w:pPr>
      <w:r w:rsidRPr="005F2958">
        <w:rPr>
          <w:rFonts w:ascii="Times New Roman" w:hAnsi="Times New Roman"/>
          <w:sz w:val="24"/>
        </w:rPr>
        <w:t>It provides that refunds (other than refunds on the death of the insured or complete surrender or cancellation of the contract) and dividends under the contract may be used only to reduce future premiums or increase future benefits; and,</w:t>
      </w:r>
    </w:p>
    <w:p w:rsidR="002D6277" w:rsidRPr="005F2958" w:rsidP="002D6277" w14:paraId="0B7D32F4" w14:textId="77777777">
      <w:pPr>
        <w:numPr>
          <w:ilvl w:val="3"/>
          <w:numId w:val="1"/>
        </w:numPr>
        <w:tabs>
          <w:tab w:val="num" w:pos="720"/>
          <w:tab w:val="clear" w:pos="2160"/>
        </w:tabs>
        <w:ind w:left="720"/>
        <w:rPr>
          <w:rFonts w:ascii="Times New Roman" w:hAnsi="Times New Roman"/>
          <w:sz w:val="24"/>
        </w:rPr>
      </w:pPr>
      <w:r w:rsidRPr="005F2958">
        <w:rPr>
          <w:rFonts w:ascii="Times New Roman" w:hAnsi="Times New Roman"/>
          <w:sz w:val="24"/>
        </w:rPr>
        <w:t>It does not pay or reimburse expenses incurred for services or items that would be reimbursed under Medicare (except where Medicare is a secondary payer or the contract makes per diem or other periodic payments without regard to expenses).</w:t>
      </w:r>
    </w:p>
    <w:p w:rsidR="002D6277" w:rsidRPr="005F2958" w:rsidP="00F41EA3" w14:paraId="0BA47953" w14:textId="77777777">
      <w:pPr>
        <w:tabs>
          <w:tab w:val="left" w:pos="5760"/>
        </w:tabs>
        <w:spacing w:before="360" w:after="360"/>
        <w:ind w:left="5040"/>
        <w:rPr>
          <w:rFonts w:ascii="Times New Roman" w:hAnsi="Times New Roman"/>
          <w:sz w:val="24"/>
        </w:rPr>
      </w:pP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br/>
      </w:r>
      <w:r w:rsidRPr="005F2958">
        <w:rPr>
          <w:rFonts w:ascii="Times New Roman" w:hAnsi="Times New Roman"/>
          <w:sz w:val="24"/>
        </w:rPr>
        <w:t>Name (print)</w:t>
      </w:r>
    </w:p>
    <w:p w:rsidR="002D6277" w:rsidRPr="005F2958" w:rsidP="00F41EA3" w14:paraId="3FCF2E48" w14:textId="77777777">
      <w:pPr>
        <w:tabs>
          <w:tab w:val="left" w:pos="5760"/>
        </w:tabs>
        <w:spacing w:before="360" w:after="360"/>
        <w:ind w:left="5040"/>
        <w:rPr>
          <w:rFonts w:ascii="Times New Roman" w:hAnsi="Times New Roman"/>
          <w:sz w:val="24"/>
        </w:rPr>
      </w:pP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rPr>
        <w:br/>
        <w:t>Name (sign)</w:t>
      </w:r>
    </w:p>
    <w:p w:rsidR="00FF5D44" w:rsidP="00F41EA3" w14:paraId="573A4AAF" w14:textId="0871A1B8">
      <w:pPr>
        <w:tabs>
          <w:tab w:val="left" w:pos="5760"/>
        </w:tabs>
        <w:spacing w:before="360" w:after="360"/>
        <w:ind w:left="5040"/>
        <w:rPr>
          <w:rFonts w:ascii="Times New Roman" w:hAnsi="Times New Roman"/>
          <w:sz w:val="24"/>
        </w:rPr>
      </w:pP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Pr="005F2958">
        <w:rPr>
          <w:rFonts w:ascii="Times New Roman" w:hAnsi="Times New Roman"/>
          <w:sz w:val="24"/>
          <w:u w:val="single"/>
        </w:rPr>
        <w:tab/>
      </w:r>
      <w:r w:rsidR="00F41EA3">
        <w:rPr>
          <w:rFonts w:ascii="Times New Roman" w:hAnsi="Times New Roman"/>
          <w:sz w:val="24"/>
          <w:u w:val="single"/>
        </w:rPr>
        <w:br/>
      </w:r>
      <w:r w:rsidRPr="005F2958">
        <w:rPr>
          <w:rFonts w:ascii="Times New Roman" w:hAnsi="Times New Roman"/>
          <w:sz w:val="24"/>
        </w:rPr>
        <w:t>Unit Number</w:t>
      </w:r>
    </w:p>
    <w:p w:rsidR="00752219" w:rsidRPr="005F2958" w:rsidP="00F41EA3" w14:paraId="54B91864" w14:textId="7C32C127">
      <w:pPr>
        <w:pStyle w:val="Default"/>
        <w:rPr>
          <w:rFonts w:ascii="Times New Roman" w:hAnsi="Times New Roman"/>
        </w:rPr>
      </w:pPr>
    </w:p>
    <w:sectPr w:rsidSect="00F41EA3">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C9E" w:rsidRPr="00A156A3" w:rsidP="00A156A3" w14:paraId="67159BF0" w14:textId="5570E880">
    <w:pPr>
      <w:pStyle w:val="Footer"/>
      <w:spacing w:after="0"/>
      <w:jc w:val="right"/>
      <w:rPr>
        <w:sz w:val="16"/>
        <w:szCs w:val="16"/>
      </w:rPr>
    </w:pPr>
    <w:r w:rsidRPr="00A156A3">
      <w:rPr>
        <w:sz w:val="16"/>
        <w:szCs w:val="16"/>
      </w:rPr>
      <w:t>HUD</w:t>
    </w:r>
    <w:r w:rsidRPr="00031342" w:rsidR="00031342">
      <w:rPr>
        <w:sz w:val="16"/>
        <w:szCs w:val="16"/>
      </w:rPr>
      <w:t xml:space="preserve"> </w:t>
    </w:r>
    <w:r w:rsidRPr="00A156A3" w:rsidR="00031342">
      <w:rPr>
        <w:sz w:val="16"/>
        <w:szCs w:val="16"/>
      </w:rPr>
      <w:t>form</w:t>
    </w:r>
    <w:r w:rsidRPr="00A156A3">
      <w:rPr>
        <w:sz w:val="16"/>
        <w:szCs w:val="16"/>
      </w:rPr>
      <w:t>-90101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6"/>
      <w:gridCol w:w="3117"/>
      <w:gridCol w:w="3117"/>
    </w:tblGrid>
    <w:tr w14:paraId="64134185" w14:textId="77777777" w:rsidTr="00EC4A6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6" w:type="dxa"/>
        </w:tcPr>
        <w:p w:rsidR="00F41EA3" w:rsidRPr="00540AF3" w:rsidP="00F41EA3" w14:paraId="790A914B" w14:textId="60A9AA83">
          <w:pPr>
            <w:pStyle w:val="Header"/>
            <w:rPr>
              <w:rFonts w:cs="Arial"/>
              <w:b/>
              <w:bCs/>
              <w:sz w:val="20"/>
              <w:szCs w:val="20"/>
            </w:rPr>
          </w:pPr>
          <w:r>
            <w:rPr>
              <w:rFonts w:cs="Arial"/>
              <w:b/>
              <w:bCs/>
              <w:sz w:val="20"/>
              <w:szCs w:val="20"/>
            </w:rPr>
            <w:t>Certification of Long-Term Care Insurance</w:t>
          </w:r>
        </w:p>
      </w:tc>
      <w:tc>
        <w:tcPr>
          <w:tcW w:w="3117" w:type="dxa"/>
        </w:tcPr>
        <w:p w:rsidR="00F41EA3" w:rsidRPr="00173E96" w:rsidP="00F41EA3" w14:paraId="6FF54473" w14:textId="26475843">
          <w:pPr>
            <w:pStyle w:val="Header"/>
            <w:jc w:val="center"/>
            <w:rPr>
              <w:rFonts w:cs="Arial"/>
            </w:rPr>
          </w:pPr>
          <w:r w:rsidRPr="00173E96">
            <w:rPr>
              <w:rFonts w:cs="Arial"/>
              <w:b/>
              <w:bCs/>
              <w:sz w:val="20"/>
              <w:szCs w:val="20"/>
            </w:rPr>
            <w:t>U.S. Department of Housing and Urban Development</w:t>
          </w:r>
          <w:r>
            <w:rPr>
              <w:rFonts w:cs="Arial"/>
              <w:b/>
              <w:bCs/>
              <w:sz w:val="20"/>
              <w:szCs w:val="20"/>
            </w:rPr>
            <w:br/>
          </w:r>
          <w:r w:rsidRPr="00173E96">
            <w:rPr>
              <w:rFonts w:cs="Arial"/>
              <w:sz w:val="16"/>
              <w:szCs w:val="16"/>
            </w:rPr>
            <w:t>Office of Housing</w:t>
          </w:r>
          <w:r>
            <w:rPr>
              <w:rFonts w:cs="Arial"/>
              <w:sz w:val="16"/>
              <w:szCs w:val="16"/>
            </w:rPr>
            <w:br/>
          </w:r>
          <w:r w:rsidRPr="00173E96">
            <w:rPr>
              <w:rFonts w:cs="Arial"/>
              <w:sz w:val="16"/>
              <w:szCs w:val="16"/>
            </w:rPr>
            <w:t>Federal Housing Commissioner</w:t>
          </w:r>
        </w:p>
      </w:tc>
      <w:tc>
        <w:tcPr>
          <w:tcW w:w="3117" w:type="dxa"/>
        </w:tcPr>
        <w:p w:rsidR="00F41EA3" w:rsidRPr="00173E96" w:rsidP="00F41EA3" w14:paraId="2404B7FE" w14:textId="37C03ED6">
          <w:pPr>
            <w:pStyle w:val="Header"/>
            <w:jc w:val="right"/>
            <w:rPr>
              <w:rFonts w:cs="Arial"/>
            </w:rPr>
          </w:pPr>
          <w:r w:rsidRPr="00173E96">
            <w:rPr>
              <w:rFonts w:cs="Arial"/>
              <w:sz w:val="12"/>
              <w:szCs w:val="12"/>
            </w:rPr>
            <w:t>OMB Approval No. 2502–0204</w:t>
          </w:r>
          <w:r>
            <w:rPr>
              <w:rFonts w:cs="Arial"/>
              <w:sz w:val="12"/>
              <w:szCs w:val="12"/>
            </w:rPr>
            <w:br/>
          </w:r>
          <w:r w:rsidRPr="00173E96">
            <w:rPr>
              <w:rFonts w:cs="Arial"/>
              <w:sz w:val="12"/>
              <w:szCs w:val="12"/>
            </w:rPr>
            <w:t>(Exp. xx/xx/</w:t>
          </w:r>
          <w:r w:rsidRPr="00173E96">
            <w:rPr>
              <w:rFonts w:cs="Arial"/>
              <w:sz w:val="12"/>
              <w:szCs w:val="12"/>
            </w:rPr>
            <w:t>xxxx</w:t>
          </w:r>
          <w:r w:rsidRPr="00173E96">
            <w:rPr>
              <w:rFonts w:cs="Arial"/>
              <w:sz w:val="12"/>
              <w:szCs w:val="12"/>
            </w:rPr>
            <w:t>)</w:t>
          </w:r>
        </w:p>
      </w:tc>
    </w:tr>
  </w:tbl>
  <w:p w:rsidR="003A3C9E" w:rsidRPr="00F41EA3" w:rsidP="00F41EA3" w14:paraId="32AF668C"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63C56BD"/>
    <w:multiLevelType w:val="multilevel"/>
    <w:tmpl w:val="0A084DD4"/>
    <w:lvl w:ilvl="0">
      <w:start w:val="1"/>
      <w:numFmt w:val="bullet"/>
      <w:lvlText w:val=""/>
      <w:lvlJc w:val="left"/>
      <w:pPr>
        <w:tabs>
          <w:tab w:val="num" w:pos="2520"/>
        </w:tabs>
        <w:ind w:left="2520" w:hanging="360"/>
      </w:pPr>
      <w:rPr>
        <w:rFonts w:ascii="Symbol" w:hAnsi="Symbol" w:hint="default"/>
      </w:rPr>
    </w:lvl>
    <w:lvl w:ilvl="1">
      <w:start w:val="1"/>
      <w:numFmt w:val="decimal"/>
      <w:lvlText w:val="5.%2"/>
      <w:lvlJc w:val="left"/>
      <w:pPr>
        <w:tabs>
          <w:tab w:val="num" w:pos="2160"/>
        </w:tabs>
        <w:ind w:left="2880" w:hanging="720"/>
      </w:pPr>
      <w:rPr>
        <w:rFonts w:ascii="Arial" w:hAnsi="Arial" w:hint="default"/>
        <w:b/>
        <w:sz w:val="22"/>
      </w:rPr>
    </w:lvl>
    <w:lvl w:ilvl="2">
      <w:start w:val="1"/>
      <w:numFmt w:val="upperLetter"/>
      <w:lvlText w:val="%3."/>
      <w:lvlJc w:val="left"/>
      <w:pPr>
        <w:tabs>
          <w:tab w:val="num" w:pos="2160"/>
        </w:tabs>
        <w:ind w:left="3600" w:hanging="720"/>
      </w:pPr>
      <w:rPr>
        <w:rFonts w:ascii="Arial" w:hAnsi="Arial" w:hint="default"/>
        <w:sz w:val="22"/>
      </w:rPr>
    </w:lvl>
    <w:lvl w:ilvl="3">
      <w:start w:val="1"/>
      <w:numFmt w:val="decimal"/>
      <w:lvlText w:val="%4."/>
      <w:lvlJc w:val="left"/>
      <w:pPr>
        <w:tabs>
          <w:tab w:val="num" w:pos="2160"/>
        </w:tabs>
        <w:ind w:left="4320" w:hanging="720"/>
      </w:pPr>
      <w:rPr>
        <w:rFonts w:ascii="Arial" w:hAnsi="Arial" w:hint="default"/>
        <w:sz w:val="22"/>
      </w:rPr>
    </w:lvl>
    <w:lvl w:ilvl="4">
      <w:start w:val="1"/>
      <w:numFmt w:val="lowerLetter"/>
      <w:lvlText w:val="%5."/>
      <w:lvlJc w:val="left"/>
      <w:pPr>
        <w:tabs>
          <w:tab w:val="num" w:pos="2160"/>
        </w:tabs>
        <w:ind w:left="5040" w:hanging="720"/>
      </w:pPr>
      <w:rPr>
        <w:rFonts w:hint="default"/>
      </w:rPr>
    </w:lvl>
    <w:lvl w:ilvl="5">
      <w:start w:val="1"/>
      <w:numFmt w:val="decimal"/>
      <w:lvlText w:val="(%6)"/>
      <w:lvlJc w:val="left"/>
      <w:pPr>
        <w:tabs>
          <w:tab w:val="num" w:pos="2160"/>
        </w:tabs>
        <w:ind w:left="5760" w:hanging="720"/>
      </w:pPr>
      <w:rPr>
        <w:rFonts w:hint="default"/>
      </w:rPr>
    </w:lvl>
    <w:lvl w:ilvl="6">
      <w:start w:val="0"/>
      <w:numFmt w:val="none"/>
      <w:lvlJc w:val="left"/>
      <w:pPr>
        <w:tabs>
          <w:tab w:val="num" w:pos="2160"/>
        </w:tabs>
        <w:ind w:left="2160"/>
      </w:pPr>
      <w:rPr>
        <w:rFonts w:hint="default"/>
      </w:rPr>
    </w:lvl>
    <w:lvl w:ilvl="7">
      <w:start w:val="0"/>
      <w:numFmt w:val="none"/>
      <w:lvlJc w:val="left"/>
      <w:pPr>
        <w:tabs>
          <w:tab w:val="num" w:pos="2160"/>
        </w:tabs>
        <w:ind w:left="2160"/>
      </w:pPr>
      <w:rPr>
        <w:rFonts w:hint="default"/>
      </w:rPr>
    </w:lvl>
    <w:lvl w:ilvl="8">
      <w:start w:val="0"/>
      <w:numFmt w:val="none"/>
      <w:lvlJc w:val="left"/>
      <w:pPr>
        <w:tabs>
          <w:tab w:val="num" w:pos="2160"/>
        </w:tabs>
        <w:ind w:left="2160"/>
      </w:pPr>
      <w:rPr>
        <w:rFonts w:hint="default"/>
      </w:rPr>
    </w:lvl>
  </w:abstractNum>
  <w:num w:numId="1" w16cid:durableId="112959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77"/>
    <w:rsid w:val="00031342"/>
    <w:rsid w:val="001311F3"/>
    <w:rsid w:val="001400A4"/>
    <w:rsid w:val="00173E96"/>
    <w:rsid w:val="00226078"/>
    <w:rsid w:val="002D6277"/>
    <w:rsid w:val="003A3C9E"/>
    <w:rsid w:val="00414C41"/>
    <w:rsid w:val="00540AF3"/>
    <w:rsid w:val="005F2958"/>
    <w:rsid w:val="00601BEE"/>
    <w:rsid w:val="006B68FF"/>
    <w:rsid w:val="00741D95"/>
    <w:rsid w:val="00752219"/>
    <w:rsid w:val="008F7D87"/>
    <w:rsid w:val="009B76CF"/>
    <w:rsid w:val="00A156A3"/>
    <w:rsid w:val="00A263B1"/>
    <w:rsid w:val="00AA655A"/>
    <w:rsid w:val="00B03528"/>
    <w:rsid w:val="00BE0F99"/>
    <w:rsid w:val="00C4027F"/>
    <w:rsid w:val="00D00F97"/>
    <w:rsid w:val="00D33ABA"/>
    <w:rsid w:val="00DA59FC"/>
    <w:rsid w:val="00E3597B"/>
    <w:rsid w:val="00E611EB"/>
    <w:rsid w:val="00F41EA3"/>
    <w:rsid w:val="00F664A4"/>
    <w:rsid w:val="00F744C5"/>
    <w:rsid w:val="00FD1539"/>
    <w:rsid w:val="00FD650F"/>
    <w:rsid w:val="00FF5D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803B89"/>
  <w15:chartTrackingRefBased/>
  <w15:docId w15:val="{7CB1A8AF-A043-4C2A-908A-C31EBD5E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277"/>
    <w:pPr>
      <w:spacing w:after="24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overflowPunct w:val="0"/>
      <w:autoSpaceDE w:val="0"/>
      <w:autoSpaceDN w:val="0"/>
      <w:adjustRightInd w:val="0"/>
      <w:spacing w:before="120"/>
      <w:textAlignment w:val="baseline"/>
    </w:pPr>
    <w:rPr>
      <w:b/>
      <w:i/>
      <w:szCs w:val="20"/>
    </w:rPr>
  </w:style>
  <w:style w:type="paragraph" w:styleId="TOC2">
    <w:name w:val="toc 2"/>
    <w:basedOn w:val="Normal"/>
    <w:next w:val="Normal"/>
    <w:semiHidden/>
    <w:pPr>
      <w:tabs>
        <w:tab w:val="right" w:leader="dot" w:pos="9360"/>
      </w:tabs>
      <w:overflowPunct w:val="0"/>
      <w:autoSpaceDE w:val="0"/>
      <w:autoSpaceDN w:val="0"/>
      <w:adjustRightInd w:val="0"/>
      <w:spacing w:before="120"/>
      <w:ind w:left="240"/>
      <w:textAlignment w:val="baseline"/>
    </w:pPr>
    <w:rPr>
      <w:b/>
      <w:szCs w:val="20"/>
    </w:rPr>
  </w:style>
  <w:style w:type="paragraph" w:styleId="TOC3">
    <w:name w:val="toc 3"/>
    <w:basedOn w:val="Normal"/>
    <w:next w:val="Normal"/>
    <w:autoRedefine/>
    <w:semiHidden/>
    <w:pPr>
      <w:tabs>
        <w:tab w:val="right" w:leader="dot" w:pos="9360"/>
      </w:tabs>
      <w:overflowPunct w:val="0"/>
      <w:autoSpaceDE w:val="0"/>
      <w:autoSpaceDN w:val="0"/>
      <w:adjustRightInd w:val="0"/>
      <w:ind w:left="480"/>
      <w:textAlignment w:val="baseline"/>
    </w:pPr>
    <w:rPr>
      <w:sz w:val="20"/>
      <w:szCs w:val="20"/>
    </w:rPr>
  </w:style>
  <w:style w:type="paragraph" w:styleId="TOC4">
    <w:name w:val="toc 4"/>
    <w:basedOn w:val="Normal"/>
    <w:next w:val="Normal"/>
    <w:autoRedefine/>
    <w:semiHidden/>
    <w:pPr>
      <w:tabs>
        <w:tab w:val="left" w:pos="1440"/>
        <w:tab w:val="left" w:pos="1680"/>
        <w:tab w:val="right" w:leader="dot" w:pos="9350"/>
      </w:tabs>
      <w:ind w:left="720"/>
      <w:jc w:val="right"/>
    </w:pPr>
    <w:rPr>
      <w:rFonts w:cs="Arial"/>
      <w:noProof/>
      <w:szCs w:val="22"/>
    </w:rPr>
  </w:style>
  <w:style w:type="paragraph" w:customStyle="1" w:styleId="Exhibittitle">
    <w:name w:val="Exhibit title"/>
    <w:basedOn w:val="Normal"/>
    <w:rsid w:val="002D6277"/>
    <w:pPr>
      <w:spacing w:before="120"/>
      <w:jc w:val="center"/>
    </w:pPr>
    <w:rPr>
      <w:b/>
      <w:sz w:val="24"/>
    </w:rPr>
  </w:style>
  <w:style w:type="paragraph" w:styleId="Header">
    <w:name w:val="header"/>
    <w:basedOn w:val="Normal"/>
    <w:link w:val="HeaderChar"/>
    <w:uiPriority w:val="99"/>
    <w:rsid w:val="005F2958"/>
    <w:pPr>
      <w:tabs>
        <w:tab w:val="center" w:pos="4320"/>
        <w:tab w:val="right" w:pos="8640"/>
      </w:tabs>
    </w:pPr>
  </w:style>
  <w:style w:type="paragraph" w:styleId="Footer">
    <w:name w:val="footer"/>
    <w:basedOn w:val="Normal"/>
    <w:rsid w:val="005F2958"/>
    <w:pPr>
      <w:tabs>
        <w:tab w:val="center" w:pos="4320"/>
        <w:tab w:val="right" w:pos="8640"/>
      </w:tabs>
    </w:pPr>
  </w:style>
  <w:style w:type="paragraph" w:customStyle="1" w:styleId="Default">
    <w:name w:val="Default"/>
    <w:rsid w:val="005F2958"/>
    <w:pPr>
      <w:widowControl w:val="0"/>
      <w:autoSpaceDE w:val="0"/>
      <w:autoSpaceDN w:val="0"/>
      <w:adjustRightInd w:val="0"/>
    </w:pPr>
    <w:rPr>
      <w:rFonts w:ascii="Helvetica" w:hAnsi="Helvetica" w:cs="Helvetica"/>
      <w:color w:val="000000"/>
      <w:sz w:val="24"/>
      <w:szCs w:val="24"/>
    </w:rPr>
  </w:style>
  <w:style w:type="table" w:styleId="TableGrid">
    <w:name w:val="Table Grid"/>
    <w:basedOn w:val="TableNormal"/>
    <w:uiPriority w:val="39"/>
    <w:rsid w:val="005F2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41EA3"/>
    <w:rPr>
      <w:rFonts w:ascii="Arial" w:hAnsi="Arial"/>
      <w:sz w:val="22"/>
      <w:szCs w:val="24"/>
    </w:rPr>
  </w:style>
  <w:style w:type="character" w:styleId="CommentReference">
    <w:name w:val="annotation reference"/>
    <w:basedOn w:val="DefaultParagraphFont"/>
    <w:rsid w:val="00DA59FC"/>
    <w:rPr>
      <w:sz w:val="16"/>
      <w:szCs w:val="16"/>
    </w:rPr>
  </w:style>
  <w:style w:type="paragraph" w:styleId="CommentText">
    <w:name w:val="annotation text"/>
    <w:basedOn w:val="Normal"/>
    <w:link w:val="CommentTextChar"/>
    <w:rsid w:val="00DA59FC"/>
    <w:rPr>
      <w:sz w:val="20"/>
      <w:szCs w:val="20"/>
    </w:rPr>
  </w:style>
  <w:style w:type="character" w:customStyle="1" w:styleId="CommentTextChar">
    <w:name w:val="Comment Text Char"/>
    <w:basedOn w:val="DefaultParagraphFont"/>
    <w:link w:val="CommentText"/>
    <w:rsid w:val="00DA59FC"/>
    <w:rPr>
      <w:rFonts w:ascii="Arial" w:hAnsi="Arial"/>
    </w:rPr>
  </w:style>
  <w:style w:type="paragraph" w:styleId="CommentSubject">
    <w:name w:val="annotation subject"/>
    <w:basedOn w:val="CommentText"/>
    <w:next w:val="CommentText"/>
    <w:link w:val="CommentSubjectChar"/>
    <w:rsid w:val="00DA59FC"/>
    <w:rPr>
      <w:b/>
      <w:bCs/>
    </w:rPr>
  </w:style>
  <w:style w:type="character" w:customStyle="1" w:styleId="CommentSubjectChar">
    <w:name w:val="Comment Subject Char"/>
    <w:basedOn w:val="CommentTextChar"/>
    <w:link w:val="CommentSubject"/>
    <w:rsid w:val="00DA59F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58F21E71-A41B-4130-B30A-2BDCDA0E7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2635A-0160-4B7B-8136-FE7950B8A4CF}">
  <ds:schemaRefs>
    <ds:schemaRef ds:uri="http://schemas.microsoft.com/sharepoint/v3/contenttype/forms"/>
  </ds:schemaRefs>
</ds:datastoreItem>
</file>

<file path=customXml/itemProps3.xml><?xml version="1.0" encoding="utf-8"?>
<ds:datastoreItem xmlns:ds="http://schemas.openxmlformats.org/officeDocument/2006/customXml" ds:itemID="{2E02FCE7-3520-4716-8FD9-C5B9AA947AAD}">
  <ds:schemaRefs>
    <ds:schemaRef ds:uri="http://schemas.microsoft.com/office/2006/documentManagement/types"/>
    <ds:schemaRef ds:uri="http://schemas.openxmlformats.org/package/2006/metadata/core-properties"/>
    <ds:schemaRef ds:uri="http://purl.org/dc/dcmitype/"/>
    <ds:schemaRef ds:uri="63e89d99-af07-464c-9e54-50629787706c"/>
    <ds:schemaRef ds:uri="http://purl.org/dc/elements/1.1/"/>
    <ds:schemaRef ds:uri="http://schemas.microsoft.com/office/2006/metadata/properties"/>
    <ds:schemaRef ds:uri="http://schemas.microsoft.com/office/infopath/2007/PartnerControls"/>
    <ds:schemaRef ds:uri="3d74413c-f335-4219-9f7a-311bf97f069a"/>
    <ds:schemaRef ds:uri="http://www.w3.org/XML/1998/namespace"/>
    <ds:schemaRef ds:uri="http://purl.org/dc/terms/"/>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Exhibit 5-4:  **Sample ** Certification for Qualified Long-Term Care Insurance Expenses</vt:lpstr>
    </vt:vector>
  </TitlesOfParts>
  <Company>Housing and Urban Development</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5-4:  **Sample ** Certification for Qualified Long-Term Care Insurance Expenses</dc:title>
  <dc:creator>H05232</dc:creator>
  <cp:lastModifiedBy>Guido, Anna P</cp:lastModifiedBy>
  <cp:revision>2</cp:revision>
  <dcterms:created xsi:type="dcterms:W3CDTF">2025-09-08T20:17:00Z</dcterms:created>
  <dcterms:modified xsi:type="dcterms:W3CDTF">2025-09-08T20:17:00Z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NewReviewCycle">
    <vt:lpwstr/>
  </property>
</Properties>
</file>