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3A85" w14:paraId="13B8B28D" w14:textId="77777777">
      <w:pPr>
        <w:pStyle w:val="Heading1"/>
        <w:spacing w:before="80"/>
        <w:ind w:left="1756" w:right="2351" w:hanging="125"/>
      </w:pPr>
      <w:bookmarkStart w:id="0" w:name="Supporting_Statement_for_Collection_of_I"/>
      <w:bookmarkEnd w:id="0"/>
      <w:r>
        <w:t>Supporting</w:t>
      </w:r>
      <w:r>
        <w:rPr>
          <w:spacing w:val="-8"/>
        </w:rPr>
        <w:t xml:space="preserve"> </w:t>
      </w:r>
      <w:r>
        <w:t>Statement</w:t>
      </w:r>
      <w:r>
        <w:rPr>
          <w:spacing w:val="-9"/>
        </w:rPr>
        <w:t xml:space="preserve"> </w:t>
      </w:r>
      <w:r>
        <w:t>for</w:t>
      </w:r>
      <w:r>
        <w:rPr>
          <w:spacing w:val="-8"/>
        </w:rPr>
        <w:t xml:space="preserve"> </w:t>
      </w:r>
      <w:r>
        <w:t>Collection</w:t>
      </w:r>
      <w:r>
        <w:rPr>
          <w:spacing w:val="-8"/>
        </w:rPr>
        <w:t xml:space="preserve"> </w:t>
      </w:r>
      <w:r>
        <w:t>of</w:t>
      </w:r>
      <w:r>
        <w:rPr>
          <w:spacing w:val="-7"/>
        </w:rPr>
        <w:t xml:space="preserve"> </w:t>
      </w:r>
      <w:r>
        <w:t>Information Follow-up Activities for Product-Related Injuries</w:t>
      </w:r>
    </w:p>
    <w:p w:rsidR="00D53A85" w14:paraId="2FA674F6" w14:textId="77777777">
      <w:pPr>
        <w:pStyle w:val="ListParagraph"/>
        <w:numPr>
          <w:ilvl w:val="0"/>
          <w:numId w:val="3"/>
        </w:numPr>
        <w:tabs>
          <w:tab w:val="left" w:pos="382"/>
        </w:tabs>
        <w:spacing w:before="279"/>
        <w:ind w:left="382" w:hanging="262"/>
        <w:rPr>
          <w:b/>
          <w:sz w:val="24"/>
        </w:rPr>
      </w:pPr>
      <w:r>
        <w:rPr>
          <w:b/>
          <w:spacing w:val="-2"/>
          <w:sz w:val="24"/>
        </w:rPr>
        <w:t>Justification</w:t>
      </w:r>
    </w:p>
    <w:p w:rsidR="00D53A85" w14:paraId="1FE1BB84" w14:textId="77777777">
      <w:pPr>
        <w:pStyle w:val="BodyText"/>
        <w:spacing w:before="1"/>
        <w:ind w:left="0"/>
        <w:rPr>
          <w:b/>
        </w:rPr>
      </w:pPr>
    </w:p>
    <w:p w:rsidR="00D53A85" w14:paraId="31E368A2" w14:textId="77777777">
      <w:pPr>
        <w:pStyle w:val="Heading2"/>
        <w:numPr>
          <w:ilvl w:val="1"/>
          <w:numId w:val="3"/>
        </w:numPr>
        <w:tabs>
          <w:tab w:val="left" w:pos="364"/>
        </w:tabs>
        <w:spacing w:before="1"/>
        <w:ind w:right="1416" w:firstLine="0"/>
      </w:pPr>
      <w:bookmarkStart w:id="1" w:name="1._Information_to_be_collected_and_circu"/>
      <w:bookmarkEnd w:id="1"/>
      <w:r>
        <w:t>Information</w:t>
      </w:r>
      <w:r>
        <w:rPr>
          <w:spacing w:val="-7"/>
        </w:rPr>
        <w:t xml:space="preserve"> </w:t>
      </w:r>
      <w:r>
        <w:t>to</w:t>
      </w:r>
      <w:r>
        <w:rPr>
          <w:spacing w:val="-6"/>
        </w:rPr>
        <w:t xml:space="preserve"> </w:t>
      </w:r>
      <w:r>
        <w:t>be</w:t>
      </w:r>
      <w:r>
        <w:rPr>
          <w:spacing w:val="-6"/>
        </w:rPr>
        <w:t xml:space="preserve"> </w:t>
      </w:r>
      <w:r>
        <w:t>collected</w:t>
      </w:r>
      <w:r>
        <w:rPr>
          <w:spacing w:val="-6"/>
        </w:rPr>
        <w:t xml:space="preserve"> </w:t>
      </w:r>
      <w:r>
        <w:t>and</w:t>
      </w:r>
      <w:r>
        <w:rPr>
          <w:spacing w:val="-6"/>
        </w:rPr>
        <w:t xml:space="preserve"> </w:t>
      </w:r>
      <w:r>
        <w:t>circumstances</w:t>
      </w:r>
      <w:r>
        <w:rPr>
          <w:spacing w:val="-7"/>
        </w:rPr>
        <w:t xml:space="preserve"> </w:t>
      </w:r>
      <w:r>
        <w:t>that</w:t>
      </w:r>
      <w:r>
        <w:rPr>
          <w:spacing w:val="-9"/>
        </w:rPr>
        <w:t xml:space="preserve"> </w:t>
      </w:r>
      <w:r>
        <w:t>make</w:t>
      </w:r>
      <w:r>
        <w:rPr>
          <w:spacing w:val="-6"/>
        </w:rPr>
        <w:t xml:space="preserve"> </w:t>
      </w:r>
      <w:r>
        <w:t>the</w:t>
      </w:r>
      <w:r>
        <w:rPr>
          <w:spacing w:val="-6"/>
        </w:rPr>
        <w:t xml:space="preserve"> </w:t>
      </w:r>
      <w:r>
        <w:t>collection</w:t>
      </w:r>
      <w:r>
        <w:rPr>
          <w:spacing w:val="-31"/>
        </w:rPr>
        <w:t xml:space="preserve"> </w:t>
      </w:r>
      <w:r>
        <w:t>of information necessary</w:t>
      </w:r>
    </w:p>
    <w:p w:rsidR="00D53A85" w14:paraId="7C31D2BC" w14:textId="77777777">
      <w:pPr>
        <w:pStyle w:val="BodyText"/>
        <w:ind w:left="0"/>
        <w:rPr>
          <w:b/>
          <w:i/>
        </w:rPr>
      </w:pPr>
    </w:p>
    <w:p w:rsidR="00D53A85" w14:paraId="1E6E65DE" w14:textId="77777777">
      <w:pPr>
        <w:pStyle w:val="BodyText"/>
        <w:ind w:right="827"/>
      </w:pPr>
      <w:r>
        <w:t>Section 5(a) of the Consumer Product Safety Act (CPSA)(15 U.S.C. § 2054(a)) requires the Commission to collect information related to the cause and prevention of</w:t>
      </w:r>
      <w:r>
        <w:rPr>
          <w:spacing w:val="-1"/>
        </w:rPr>
        <w:t xml:space="preserve"> </w:t>
      </w:r>
      <w:r>
        <w:t>death, injury, and</w:t>
      </w:r>
      <w:r>
        <w:rPr>
          <w:spacing w:val="-2"/>
        </w:rPr>
        <w:t xml:space="preserve"> </w:t>
      </w:r>
      <w:r>
        <w:t>illness associated</w:t>
      </w:r>
      <w:r>
        <w:rPr>
          <w:spacing w:val="-2"/>
        </w:rPr>
        <w:t xml:space="preserve"> </w:t>
      </w:r>
      <w:r>
        <w:t>with</w:t>
      </w:r>
      <w:r>
        <w:rPr>
          <w:spacing w:val="-1"/>
        </w:rPr>
        <w:t xml:space="preserve"> </w:t>
      </w:r>
      <w:r>
        <w:t>consumer</w:t>
      </w:r>
      <w:r>
        <w:rPr>
          <w:spacing w:val="-1"/>
        </w:rPr>
        <w:t xml:space="preserve"> </w:t>
      </w:r>
      <w:r>
        <w:t>products. CPSC</w:t>
      </w:r>
      <w:r>
        <w:rPr>
          <w:spacing w:val="-1"/>
        </w:rPr>
        <w:t xml:space="preserve"> </w:t>
      </w:r>
      <w:r>
        <w:t>staff</w:t>
      </w:r>
      <w:r>
        <w:rPr>
          <w:spacing w:val="-1"/>
        </w:rPr>
        <w:t xml:space="preserve"> </w:t>
      </w:r>
      <w:r>
        <w:t>conducts continuing studies and investigations of deaths, injuries, diseases, other health impairments, and economic losses resulting from incidents involving consumer products.</w:t>
      </w:r>
      <w:r>
        <w:rPr>
          <w:spacing w:val="-3"/>
        </w:rPr>
        <w:t xml:space="preserve"> </w:t>
      </w:r>
      <w:r>
        <w:t>CPSC</w:t>
      </w:r>
      <w:r>
        <w:rPr>
          <w:spacing w:val="-5"/>
        </w:rPr>
        <w:t xml:space="preserve"> </w:t>
      </w:r>
      <w:r>
        <w:t>staff</w:t>
      </w:r>
      <w:r>
        <w:rPr>
          <w:spacing w:val="-5"/>
        </w:rPr>
        <w:t xml:space="preserve"> </w:t>
      </w:r>
      <w:r>
        <w:t>obtains</w:t>
      </w:r>
      <w:r>
        <w:rPr>
          <w:spacing w:val="-4"/>
        </w:rPr>
        <w:t xml:space="preserve"> </w:t>
      </w:r>
      <w:r>
        <w:t>information</w:t>
      </w:r>
      <w:r>
        <w:rPr>
          <w:spacing w:val="-4"/>
        </w:rPr>
        <w:t xml:space="preserve"> </w:t>
      </w:r>
      <w:r>
        <w:t>about</w:t>
      </w:r>
      <w:r>
        <w:rPr>
          <w:spacing w:val="-7"/>
        </w:rPr>
        <w:t xml:space="preserve"> </w:t>
      </w:r>
      <w:r>
        <w:t>product-related</w:t>
      </w:r>
      <w:r>
        <w:rPr>
          <w:spacing w:val="-3"/>
        </w:rPr>
        <w:t xml:space="preserve"> </w:t>
      </w:r>
      <w:r>
        <w:t>deaths,</w:t>
      </w:r>
      <w:r>
        <w:rPr>
          <w:spacing w:val="-3"/>
        </w:rPr>
        <w:t xml:space="preserve"> </w:t>
      </w:r>
      <w:r>
        <w:t>injuries,</w:t>
      </w:r>
      <w:r>
        <w:rPr>
          <w:spacing w:val="-3"/>
        </w:rPr>
        <w:t xml:space="preserve"> </w:t>
      </w:r>
      <w:r>
        <w:t>and illnesses from a variety of sources, including news outlets, death certificates, consumer complaints, and medical facilities.</w:t>
      </w:r>
    </w:p>
    <w:p w:rsidR="00D53A85" w14:paraId="0C46BAF6" w14:textId="77777777">
      <w:pPr>
        <w:pStyle w:val="BodyText"/>
        <w:ind w:left="0"/>
      </w:pPr>
    </w:p>
    <w:p w:rsidR="00D53A85" w14:paraId="107F2385" w14:textId="77777777">
      <w:pPr>
        <w:pStyle w:val="BodyText"/>
        <w:ind w:left="119" w:right="814"/>
      </w:pPr>
      <w:r>
        <w:t>CPSC staff also operates the National Electronic Injury Surveillance System (NEISS), which</w:t>
      </w:r>
      <w:r>
        <w:rPr>
          <w:spacing w:val="-4"/>
        </w:rPr>
        <w:t xml:space="preserve"> </w:t>
      </w:r>
      <w:r>
        <w:t>provides</w:t>
      </w:r>
      <w:r>
        <w:rPr>
          <w:spacing w:val="-3"/>
        </w:rPr>
        <w:t xml:space="preserve"> </w:t>
      </w:r>
      <w:r>
        <w:t>timely</w:t>
      </w:r>
      <w:r>
        <w:rPr>
          <w:spacing w:val="-2"/>
        </w:rPr>
        <w:t xml:space="preserve"> </w:t>
      </w:r>
      <w:r>
        <w:t>data</w:t>
      </w:r>
      <w:r>
        <w:rPr>
          <w:spacing w:val="-3"/>
        </w:rPr>
        <w:t xml:space="preserve"> </w:t>
      </w:r>
      <w:r>
        <w:t>on</w:t>
      </w:r>
      <w:r>
        <w:rPr>
          <w:spacing w:val="-3"/>
        </w:rPr>
        <w:t xml:space="preserve"> </w:t>
      </w:r>
      <w:r>
        <w:t>consumer</w:t>
      </w:r>
      <w:r>
        <w:rPr>
          <w:spacing w:val="-4"/>
        </w:rPr>
        <w:t xml:space="preserve"> </w:t>
      </w:r>
      <w:r>
        <w:t>product-related</w:t>
      </w:r>
      <w:r>
        <w:rPr>
          <w:spacing w:val="-5"/>
        </w:rPr>
        <w:t xml:space="preserve"> </w:t>
      </w:r>
      <w:r>
        <w:t>injuries</w:t>
      </w:r>
      <w:r>
        <w:rPr>
          <w:spacing w:val="-3"/>
        </w:rPr>
        <w:t xml:space="preserve"> </w:t>
      </w:r>
      <w:r>
        <w:t>treated</w:t>
      </w:r>
      <w:r>
        <w:rPr>
          <w:spacing w:val="-5"/>
        </w:rPr>
        <w:t xml:space="preserve"> </w:t>
      </w:r>
      <w:r>
        <w:t>in</w:t>
      </w:r>
      <w:r>
        <w:rPr>
          <w:spacing w:val="-3"/>
        </w:rPr>
        <w:t xml:space="preserve"> </w:t>
      </w:r>
      <w:r>
        <w:t>hospital emergency departments in the United States. CPSC staff also uses the NEISS system to collect information on childhood poisonings in accordance with the Poison Prevention Packaging Act of 1970.</w:t>
      </w:r>
    </w:p>
    <w:p w:rsidR="00D53A85" w14:paraId="788268F9" w14:textId="503FAAD9">
      <w:pPr>
        <w:pStyle w:val="BodyText"/>
        <w:spacing w:before="280"/>
        <w:ind w:left="119" w:right="933"/>
      </w:pPr>
      <w:r>
        <w:t>From these sources, the CPSC staff selects cases</w:t>
      </w:r>
      <w:r>
        <w:rPr>
          <w:spacing w:val="-2"/>
        </w:rPr>
        <w:t xml:space="preserve"> </w:t>
      </w:r>
      <w:r>
        <w:t>of interest for further investigation by contacting persons who witnessed or were injured in incidents involving consumer products. These investigations are conducted on-site (face-to-face), by telephone, or by the Internet. On-site investigations are usually made in cases where</w:t>
      </w:r>
      <w:r>
        <w:rPr>
          <w:spacing w:val="-3"/>
        </w:rPr>
        <w:t xml:space="preserve"> </w:t>
      </w:r>
      <w:r>
        <w:t>the</w:t>
      </w:r>
      <w:r>
        <w:rPr>
          <w:spacing w:val="-3"/>
        </w:rPr>
        <w:t xml:space="preserve"> </w:t>
      </w:r>
      <w:r>
        <w:t>CPSC</w:t>
      </w:r>
      <w:r>
        <w:rPr>
          <w:spacing w:val="-4"/>
        </w:rPr>
        <w:t xml:space="preserve"> </w:t>
      </w:r>
      <w:r>
        <w:t>staff</w:t>
      </w:r>
      <w:r>
        <w:rPr>
          <w:spacing w:val="-4"/>
        </w:rPr>
        <w:t xml:space="preserve"> </w:t>
      </w:r>
      <w:r>
        <w:t>need</w:t>
      </w:r>
      <w:r w:rsidR="008B41EF">
        <w:t>s</w:t>
      </w:r>
      <w:r>
        <w:rPr>
          <w:spacing w:val="-5"/>
        </w:rPr>
        <w:t xml:space="preserve"> </w:t>
      </w:r>
      <w:r>
        <w:t>photographs</w:t>
      </w:r>
      <w:r>
        <w:rPr>
          <w:spacing w:val="-3"/>
        </w:rPr>
        <w:t xml:space="preserve"> </w:t>
      </w:r>
      <w:r>
        <w:t>of</w:t>
      </w:r>
      <w:r>
        <w:rPr>
          <w:spacing w:val="-4"/>
        </w:rPr>
        <w:t xml:space="preserve"> </w:t>
      </w:r>
      <w:r>
        <w:t>the</w:t>
      </w:r>
      <w:r>
        <w:rPr>
          <w:spacing w:val="-3"/>
        </w:rPr>
        <w:t xml:space="preserve"> </w:t>
      </w:r>
      <w:r>
        <w:t>incident</w:t>
      </w:r>
      <w:r>
        <w:rPr>
          <w:spacing w:val="-3"/>
        </w:rPr>
        <w:t xml:space="preserve"> </w:t>
      </w:r>
      <w:r>
        <w:t>site,</w:t>
      </w:r>
      <w:r>
        <w:rPr>
          <w:spacing w:val="-5"/>
        </w:rPr>
        <w:t xml:space="preserve"> </w:t>
      </w:r>
      <w:r>
        <w:t>the</w:t>
      </w:r>
      <w:r>
        <w:rPr>
          <w:spacing w:val="-3"/>
        </w:rPr>
        <w:t xml:space="preserve"> </w:t>
      </w:r>
      <w:r>
        <w:t>product</w:t>
      </w:r>
      <w:r>
        <w:rPr>
          <w:spacing w:val="-3"/>
        </w:rPr>
        <w:t xml:space="preserve"> </w:t>
      </w:r>
      <w:r>
        <w:t>involved,</w:t>
      </w:r>
      <w:r>
        <w:rPr>
          <w:spacing w:val="-2"/>
        </w:rPr>
        <w:t xml:space="preserve"> </w:t>
      </w:r>
      <w:r>
        <w:t>or detailed information about the incident. This information can come from face-to- face interviews with persons who were injured or who witnessed the incident, as well as via contact with state and local officials, including police, coroners and fire investigators, and others with knowledge of the incident.</w:t>
      </w:r>
    </w:p>
    <w:p w:rsidR="00D53A85" w14:paraId="3E02197C" w14:textId="77777777">
      <w:pPr>
        <w:pStyle w:val="BodyText"/>
        <w:spacing w:before="2"/>
        <w:ind w:left="0"/>
      </w:pPr>
    </w:p>
    <w:p w:rsidR="00D53A85" w14:paraId="71987BCA" w14:textId="2EBF92A7">
      <w:pPr>
        <w:pStyle w:val="BodyText"/>
        <w:ind w:left="119" w:right="878"/>
      </w:pPr>
      <w:r>
        <w:t>Through Interagency Agreements, the CPSC staff also use</w:t>
      </w:r>
      <w:r w:rsidR="00404256">
        <w:t>s</w:t>
      </w:r>
      <w:r>
        <w:t xml:space="preserve"> the NEISS system to collect information on injuries for the Centers for Disease Control and Prevention (NEISS All Injury Program (NEISS-AIP)). In addition to the standard data variables collected</w:t>
      </w:r>
      <w:r>
        <w:rPr>
          <w:spacing w:val="-6"/>
        </w:rPr>
        <w:t xml:space="preserve"> </w:t>
      </w:r>
      <w:r>
        <w:t>on</w:t>
      </w:r>
      <w:r>
        <w:rPr>
          <w:spacing w:val="-4"/>
        </w:rPr>
        <w:t xml:space="preserve"> </w:t>
      </w:r>
      <w:r>
        <w:t>all</w:t>
      </w:r>
      <w:r>
        <w:rPr>
          <w:spacing w:val="-5"/>
        </w:rPr>
        <w:t xml:space="preserve"> </w:t>
      </w:r>
      <w:r>
        <w:t>NEISS</w:t>
      </w:r>
      <w:r>
        <w:rPr>
          <w:spacing w:val="-4"/>
        </w:rPr>
        <w:t xml:space="preserve"> </w:t>
      </w:r>
      <w:r>
        <w:t>injuries,</w:t>
      </w:r>
      <w:r>
        <w:rPr>
          <w:spacing w:val="-3"/>
        </w:rPr>
        <w:t xml:space="preserve"> </w:t>
      </w:r>
      <w:r>
        <w:t>the</w:t>
      </w:r>
      <w:r>
        <w:rPr>
          <w:spacing w:val="-4"/>
        </w:rPr>
        <w:t xml:space="preserve"> </w:t>
      </w:r>
      <w:r>
        <w:t>NEISS-AIP</w:t>
      </w:r>
      <w:r>
        <w:rPr>
          <w:spacing w:val="-4"/>
        </w:rPr>
        <w:t xml:space="preserve"> </w:t>
      </w:r>
      <w:r>
        <w:t>collects</w:t>
      </w:r>
      <w:r>
        <w:rPr>
          <w:spacing w:val="-4"/>
        </w:rPr>
        <w:t xml:space="preserve"> </w:t>
      </w:r>
      <w:r>
        <w:t>additional</w:t>
      </w:r>
      <w:r>
        <w:rPr>
          <w:spacing w:val="-5"/>
        </w:rPr>
        <w:t xml:space="preserve"> </w:t>
      </w:r>
      <w:r>
        <w:t>variables</w:t>
      </w:r>
      <w:r>
        <w:rPr>
          <w:spacing w:val="-4"/>
        </w:rPr>
        <w:t xml:space="preserve"> </w:t>
      </w:r>
      <w:r>
        <w:t>on</w:t>
      </w:r>
      <w:r>
        <w:rPr>
          <w:spacing w:val="-4"/>
        </w:rPr>
        <w:t xml:space="preserve"> </w:t>
      </w:r>
      <w:r>
        <w:t>several studies for CDC (Firearm-Related Injuries, Adverse Drug Events, Assaults, and Self- Inflicted Violence) and one study on non-crash motor vehicle-related injuries for the National Highway and Transportation Safety Administration (NHTSA).</w:t>
      </w:r>
    </w:p>
    <w:p w:rsidR="00D53A85" w14:paraId="01D1FB1C" w14:textId="77777777">
      <w:pPr>
        <w:pStyle w:val="Heading2"/>
        <w:numPr>
          <w:ilvl w:val="1"/>
          <w:numId w:val="3"/>
        </w:numPr>
        <w:tabs>
          <w:tab w:val="left" w:pos="364"/>
        </w:tabs>
        <w:spacing w:before="281"/>
        <w:ind w:left="364" w:hanging="249"/>
      </w:pPr>
      <w:bookmarkStart w:id="2" w:name="2._Use_and_sharing_of_collected_informat"/>
      <w:bookmarkEnd w:id="2"/>
      <w:r>
        <w:t>Use</w:t>
      </w:r>
      <w:r>
        <w:rPr>
          <w:spacing w:val="-2"/>
        </w:rPr>
        <w:t xml:space="preserve"> </w:t>
      </w:r>
      <w:r>
        <w:t>and</w:t>
      </w:r>
      <w:r>
        <w:rPr>
          <w:spacing w:val="-2"/>
        </w:rPr>
        <w:t xml:space="preserve"> </w:t>
      </w:r>
      <w:r>
        <w:t>sharing</w:t>
      </w:r>
      <w:r>
        <w:rPr>
          <w:spacing w:val="-4"/>
        </w:rPr>
        <w:t xml:space="preserve"> </w:t>
      </w:r>
      <w:r>
        <w:t>of</w:t>
      </w:r>
      <w:r>
        <w:rPr>
          <w:spacing w:val="-3"/>
        </w:rPr>
        <w:t xml:space="preserve"> </w:t>
      </w:r>
      <w:r>
        <w:t>collected</w:t>
      </w:r>
      <w:r>
        <w:rPr>
          <w:spacing w:val="-6"/>
        </w:rPr>
        <w:t xml:space="preserve"> </w:t>
      </w:r>
      <w:r>
        <w:rPr>
          <w:spacing w:val="-2"/>
        </w:rPr>
        <w:t>information</w:t>
      </w:r>
    </w:p>
    <w:p w:rsidR="00D53A85" w14:paraId="6F9B050F" w14:textId="77777777">
      <w:pPr>
        <w:pStyle w:val="BodyText"/>
        <w:spacing w:before="280"/>
        <w:ind w:right="814"/>
      </w:pPr>
      <w:r>
        <w:t>CPSC</w:t>
      </w:r>
      <w:r>
        <w:rPr>
          <w:spacing w:val="-4"/>
        </w:rPr>
        <w:t xml:space="preserve"> </w:t>
      </w:r>
      <w:r>
        <w:t>staff</w:t>
      </w:r>
      <w:r>
        <w:rPr>
          <w:spacing w:val="-4"/>
        </w:rPr>
        <w:t xml:space="preserve"> </w:t>
      </w:r>
      <w:r>
        <w:t>uses</w:t>
      </w:r>
      <w:r>
        <w:rPr>
          <w:spacing w:val="-3"/>
        </w:rPr>
        <w:t xml:space="preserve"> </w:t>
      </w:r>
      <w:r>
        <w:t>the</w:t>
      </w:r>
      <w:r>
        <w:rPr>
          <w:spacing w:val="-3"/>
        </w:rPr>
        <w:t xml:space="preserve"> </w:t>
      </w:r>
      <w:r>
        <w:t>information</w:t>
      </w:r>
      <w:r>
        <w:rPr>
          <w:spacing w:val="-3"/>
        </w:rPr>
        <w:t xml:space="preserve"> </w:t>
      </w:r>
      <w:r>
        <w:t>from</w:t>
      </w:r>
      <w:r>
        <w:rPr>
          <w:spacing w:val="-4"/>
        </w:rPr>
        <w:t xml:space="preserve"> </w:t>
      </w:r>
      <w:r>
        <w:t>this</w:t>
      </w:r>
      <w:r>
        <w:rPr>
          <w:spacing w:val="-3"/>
        </w:rPr>
        <w:t xml:space="preserve"> </w:t>
      </w:r>
      <w:r>
        <w:t>collection</w:t>
      </w:r>
      <w:r>
        <w:rPr>
          <w:spacing w:val="-3"/>
        </w:rPr>
        <w:t xml:space="preserve"> </w:t>
      </w:r>
      <w:r>
        <w:t>to</w:t>
      </w:r>
      <w:r>
        <w:rPr>
          <w:spacing w:val="-4"/>
        </w:rPr>
        <w:t xml:space="preserve"> </w:t>
      </w:r>
      <w:r>
        <w:t>support</w:t>
      </w:r>
      <w:r>
        <w:rPr>
          <w:spacing w:val="-3"/>
        </w:rPr>
        <w:t xml:space="preserve"> </w:t>
      </w:r>
      <w:r>
        <w:t>development</w:t>
      </w:r>
      <w:r>
        <w:rPr>
          <w:spacing w:val="-3"/>
        </w:rPr>
        <w:t xml:space="preserve"> </w:t>
      </w:r>
      <w:r>
        <w:t xml:space="preserve">and improvement of voluntary </w:t>
      </w:r>
      <w:r>
        <w:t>standards;</w:t>
      </w:r>
      <w:r>
        <w:t xml:space="preserve"> proceedings for the development of</w:t>
      </w:r>
    </w:p>
    <w:p w:rsidR="00D53A85" w14:paraId="291E10E1" w14:textId="77777777">
      <w:pPr>
        <w:sectPr>
          <w:footerReference w:type="default" r:id="rId9"/>
          <w:type w:val="continuous"/>
          <w:pgSz w:w="12240" w:h="15840"/>
          <w:pgMar w:top="1360" w:right="960" w:bottom="1260" w:left="1680" w:header="0" w:footer="1063" w:gutter="0"/>
          <w:pgNumType w:start="1"/>
          <w:cols w:space="720"/>
        </w:sectPr>
      </w:pPr>
    </w:p>
    <w:p w:rsidR="00D53A85" w14:paraId="017A5F09" w14:textId="77777777">
      <w:pPr>
        <w:pStyle w:val="BodyText"/>
        <w:spacing w:before="80"/>
        <w:ind w:right="814"/>
      </w:pPr>
      <w:r>
        <w:t>mandatory standards and regulations; information and education campaigns; and administrative and judicial proceedings for enforcement of the statutes, standards, and</w:t>
      </w:r>
      <w:r>
        <w:rPr>
          <w:spacing w:val="-5"/>
        </w:rPr>
        <w:t xml:space="preserve"> </w:t>
      </w:r>
      <w:r>
        <w:t>regulations</w:t>
      </w:r>
      <w:r>
        <w:rPr>
          <w:spacing w:val="-3"/>
        </w:rPr>
        <w:t xml:space="preserve"> </w:t>
      </w:r>
      <w:r>
        <w:t>administered</w:t>
      </w:r>
      <w:r>
        <w:rPr>
          <w:spacing w:val="-5"/>
        </w:rPr>
        <w:t xml:space="preserve"> </w:t>
      </w:r>
      <w:r>
        <w:t>by</w:t>
      </w:r>
      <w:r>
        <w:rPr>
          <w:spacing w:val="-4"/>
        </w:rPr>
        <w:t xml:space="preserve"> </w:t>
      </w:r>
      <w:r>
        <w:t>the</w:t>
      </w:r>
      <w:r>
        <w:rPr>
          <w:spacing w:val="-3"/>
        </w:rPr>
        <w:t xml:space="preserve"> </w:t>
      </w:r>
      <w:r>
        <w:t>agency.</w:t>
      </w:r>
      <w:r>
        <w:rPr>
          <w:spacing w:val="-3"/>
        </w:rPr>
        <w:t xml:space="preserve"> </w:t>
      </w:r>
      <w:r>
        <w:t>The</w:t>
      </w:r>
      <w:r>
        <w:rPr>
          <w:spacing w:val="-3"/>
        </w:rPr>
        <w:t xml:space="preserve"> </w:t>
      </w:r>
      <w:r>
        <w:t>information</w:t>
      </w:r>
      <w:r>
        <w:rPr>
          <w:spacing w:val="-3"/>
        </w:rPr>
        <w:t xml:space="preserve"> </w:t>
      </w:r>
      <w:r>
        <w:t>informs</w:t>
      </w:r>
      <w:r>
        <w:rPr>
          <w:spacing w:val="-3"/>
        </w:rPr>
        <w:t xml:space="preserve"> </w:t>
      </w:r>
      <w:r>
        <w:t>the</w:t>
      </w:r>
      <w:r>
        <w:rPr>
          <w:spacing w:val="-3"/>
        </w:rPr>
        <w:t xml:space="preserve"> </w:t>
      </w:r>
      <w:r>
        <w:t>agency</w:t>
      </w:r>
      <w:r>
        <w:rPr>
          <w:spacing w:val="-4"/>
        </w:rPr>
        <w:t xml:space="preserve"> </w:t>
      </w:r>
      <w:r>
        <w:t>in its</w:t>
      </w:r>
      <w:r>
        <w:rPr>
          <w:spacing w:val="-1"/>
        </w:rPr>
        <w:t xml:space="preserve"> </w:t>
      </w:r>
      <w:r>
        <w:t>efforts</w:t>
      </w:r>
      <w:r>
        <w:rPr>
          <w:spacing w:val="-1"/>
        </w:rPr>
        <w:t xml:space="preserve"> </w:t>
      </w:r>
      <w:r>
        <w:t>to</w:t>
      </w:r>
      <w:r>
        <w:rPr>
          <w:spacing w:val="-2"/>
        </w:rPr>
        <w:t xml:space="preserve"> </w:t>
      </w:r>
      <w:r>
        <w:t>remove</w:t>
      </w:r>
      <w:r>
        <w:rPr>
          <w:spacing w:val="-1"/>
        </w:rPr>
        <w:t xml:space="preserve"> </w:t>
      </w:r>
      <w:r>
        <w:t>unsafe</w:t>
      </w:r>
      <w:r>
        <w:rPr>
          <w:spacing w:val="-1"/>
        </w:rPr>
        <w:t xml:space="preserve"> </w:t>
      </w:r>
      <w:r>
        <w:t>products</w:t>
      </w:r>
      <w:r>
        <w:rPr>
          <w:spacing w:val="-1"/>
        </w:rPr>
        <w:t xml:space="preserve"> </w:t>
      </w:r>
      <w:r>
        <w:t>from</w:t>
      </w:r>
      <w:r>
        <w:rPr>
          <w:spacing w:val="-2"/>
        </w:rPr>
        <w:t xml:space="preserve"> </w:t>
      </w:r>
      <w:r>
        <w:t>channels</w:t>
      </w:r>
      <w:r>
        <w:rPr>
          <w:spacing w:val="-1"/>
        </w:rPr>
        <w:t xml:space="preserve"> </w:t>
      </w:r>
      <w:r>
        <w:t>of</w:t>
      </w:r>
      <w:r>
        <w:rPr>
          <w:spacing w:val="-2"/>
        </w:rPr>
        <w:t xml:space="preserve"> </w:t>
      </w:r>
      <w:r>
        <w:t>distribution</w:t>
      </w:r>
      <w:r>
        <w:rPr>
          <w:spacing w:val="-1"/>
        </w:rPr>
        <w:t xml:space="preserve"> </w:t>
      </w:r>
      <w:r>
        <w:t>and</w:t>
      </w:r>
      <w:r>
        <w:rPr>
          <w:spacing w:val="-3"/>
        </w:rPr>
        <w:t xml:space="preserve"> </w:t>
      </w:r>
      <w:r>
        <w:t xml:space="preserve">consumers' homes, and it provides information to the public about the safety of consumer </w:t>
      </w:r>
      <w:r>
        <w:rPr>
          <w:spacing w:val="-2"/>
        </w:rPr>
        <w:t>products.</w:t>
      </w:r>
    </w:p>
    <w:p w:rsidR="00D53A85" w14:paraId="4E9C80D5" w14:textId="77777777">
      <w:pPr>
        <w:pStyle w:val="BodyText"/>
        <w:spacing w:before="279"/>
        <w:ind w:right="814"/>
      </w:pPr>
      <w:r>
        <w:t>No</w:t>
      </w:r>
      <w:r>
        <w:rPr>
          <w:spacing w:val="-5"/>
        </w:rPr>
        <w:t xml:space="preserve"> </w:t>
      </w:r>
      <w:r>
        <w:t>records</w:t>
      </w:r>
      <w:r>
        <w:rPr>
          <w:spacing w:val="-2"/>
        </w:rPr>
        <w:t xml:space="preserve"> </w:t>
      </w:r>
      <w:r>
        <w:t>released</w:t>
      </w:r>
      <w:r>
        <w:rPr>
          <w:spacing w:val="-6"/>
        </w:rPr>
        <w:t xml:space="preserve"> </w:t>
      </w:r>
      <w:r>
        <w:t>to</w:t>
      </w:r>
      <w:r>
        <w:rPr>
          <w:spacing w:val="-5"/>
        </w:rPr>
        <w:t xml:space="preserve"> </w:t>
      </w:r>
      <w:r>
        <w:t>the</w:t>
      </w:r>
      <w:r>
        <w:rPr>
          <w:spacing w:val="-4"/>
        </w:rPr>
        <w:t xml:space="preserve"> </w:t>
      </w:r>
      <w:r>
        <w:t>public</w:t>
      </w:r>
      <w:r>
        <w:rPr>
          <w:spacing w:val="-5"/>
        </w:rPr>
        <w:t xml:space="preserve"> </w:t>
      </w:r>
      <w:r>
        <w:t>contain</w:t>
      </w:r>
      <w:r>
        <w:rPr>
          <w:spacing w:val="-4"/>
        </w:rPr>
        <w:t xml:space="preserve"> </w:t>
      </w:r>
      <w:r>
        <w:t>personally</w:t>
      </w:r>
      <w:r>
        <w:rPr>
          <w:spacing w:val="-5"/>
        </w:rPr>
        <w:t xml:space="preserve"> </w:t>
      </w:r>
      <w:r>
        <w:t>identifiable</w:t>
      </w:r>
      <w:r>
        <w:rPr>
          <w:spacing w:val="-4"/>
        </w:rPr>
        <w:t xml:space="preserve"> </w:t>
      </w:r>
      <w:r>
        <w:t>information; geographic and personal identifiers have been masked.</w:t>
      </w:r>
    </w:p>
    <w:p w:rsidR="00D53A85" w14:paraId="65075DCB" w14:textId="77777777">
      <w:pPr>
        <w:pStyle w:val="BodyText"/>
        <w:spacing w:before="1"/>
        <w:ind w:left="0"/>
      </w:pPr>
    </w:p>
    <w:p w:rsidR="00D53A85" w14:paraId="66A6280F" w14:textId="77777777">
      <w:pPr>
        <w:pStyle w:val="Heading2"/>
        <w:numPr>
          <w:ilvl w:val="1"/>
          <w:numId w:val="3"/>
        </w:numPr>
        <w:tabs>
          <w:tab w:val="left" w:pos="364"/>
        </w:tabs>
        <w:ind w:left="364" w:hanging="244"/>
      </w:pPr>
      <w:bookmarkStart w:id="3" w:name="3._Use_of_information_technology_(IT)_in"/>
      <w:bookmarkEnd w:id="3"/>
      <w:r>
        <w:t>Use</w:t>
      </w:r>
      <w:r>
        <w:rPr>
          <w:spacing w:val="-5"/>
        </w:rPr>
        <w:t xml:space="preserve"> </w:t>
      </w:r>
      <w:r>
        <w:t>of</w:t>
      </w:r>
      <w:r>
        <w:rPr>
          <w:spacing w:val="-4"/>
        </w:rPr>
        <w:t xml:space="preserve"> </w:t>
      </w:r>
      <w:r>
        <w:t>information</w:t>
      </w:r>
      <w:r>
        <w:rPr>
          <w:spacing w:val="-3"/>
        </w:rPr>
        <w:t xml:space="preserve"> </w:t>
      </w:r>
      <w:r>
        <w:t>technology</w:t>
      </w:r>
      <w:r>
        <w:rPr>
          <w:spacing w:val="-4"/>
        </w:rPr>
        <w:t xml:space="preserve"> </w:t>
      </w:r>
      <w:r>
        <w:t>(IT)</w:t>
      </w:r>
      <w:r>
        <w:rPr>
          <w:spacing w:val="-4"/>
        </w:rPr>
        <w:t xml:space="preserve"> </w:t>
      </w:r>
      <w:r>
        <w:t>in</w:t>
      </w:r>
      <w:r>
        <w:rPr>
          <w:spacing w:val="-2"/>
        </w:rPr>
        <w:t xml:space="preserve"> </w:t>
      </w:r>
      <w:r>
        <w:t>information</w:t>
      </w:r>
      <w:r>
        <w:rPr>
          <w:spacing w:val="-13"/>
        </w:rPr>
        <w:t xml:space="preserve"> </w:t>
      </w:r>
      <w:r>
        <w:rPr>
          <w:spacing w:val="-2"/>
        </w:rPr>
        <w:t>collection</w:t>
      </w:r>
    </w:p>
    <w:p w:rsidR="00D53A85" w14:paraId="0F5BB632" w14:textId="77777777">
      <w:pPr>
        <w:pStyle w:val="BodyText"/>
        <w:spacing w:before="1"/>
        <w:ind w:left="0"/>
        <w:rPr>
          <w:b/>
          <w:i/>
        </w:rPr>
      </w:pPr>
    </w:p>
    <w:p w:rsidR="00D53A85" w14:paraId="4C696179" w14:textId="58C60F33">
      <w:pPr>
        <w:pStyle w:val="BodyText"/>
        <w:ind w:right="912"/>
      </w:pPr>
      <w:r>
        <w:t>All NEISS data are reported electronically, and NEISS respondents directly submit data</w:t>
      </w:r>
      <w:r>
        <w:rPr>
          <w:spacing w:val="-3"/>
        </w:rPr>
        <w:t xml:space="preserve"> </w:t>
      </w:r>
      <w:r>
        <w:t>to</w:t>
      </w:r>
      <w:r>
        <w:rPr>
          <w:spacing w:val="-4"/>
        </w:rPr>
        <w:t xml:space="preserve"> </w:t>
      </w:r>
      <w:r>
        <w:t>CPSC</w:t>
      </w:r>
      <w:r>
        <w:rPr>
          <w:spacing w:val="-4"/>
        </w:rPr>
        <w:t xml:space="preserve"> </w:t>
      </w:r>
      <w:r>
        <w:t>through</w:t>
      </w:r>
      <w:r>
        <w:rPr>
          <w:spacing w:val="-4"/>
        </w:rPr>
        <w:t xml:space="preserve"> </w:t>
      </w:r>
      <w:r>
        <w:t>the</w:t>
      </w:r>
      <w:r>
        <w:rPr>
          <w:spacing w:val="-3"/>
        </w:rPr>
        <w:t xml:space="preserve"> </w:t>
      </w:r>
      <w:r>
        <w:t>Internet</w:t>
      </w:r>
      <w:r>
        <w:rPr>
          <w:spacing w:val="-3"/>
        </w:rPr>
        <w:t xml:space="preserve"> on a CPSC-developed application called WebNEISS.  </w:t>
      </w:r>
      <w:r>
        <w:t>Information</w:t>
      </w:r>
      <w:r>
        <w:rPr>
          <w:spacing w:val="-3"/>
        </w:rPr>
        <w:t xml:space="preserve"> </w:t>
      </w:r>
      <w:r>
        <w:t xml:space="preserve">for follow-up investigations from NEISS and other sources are collected through traditional face-to-face, telephone, or Internet-based interviews with consumers, witnesses, and other knowledgeable parties, such as fire, police, and healthcare </w:t>
      </w:r>
      <w:r>
        <w:rPr>
          <w:spacing w:val="-2"/>
        </w:rPr>
        <w:t>professionals.</w:t>
      </w:r>
    </w:p>
    <w:p w:rsidR="00D53A85" w14:paraId="01CD3979" w14:textId="77777777">
      <w:pPr>
        <w:pStyle w:val="Heading2"/>
        <w:numPr>
          <w:ilvl w:val="1"/>
          <w:numId w:val="3"/>
        </w:numPr>
        <w:tabs>
          <w:tab w:val="left" w:pos="364"/>
        </w:tabs>
        <w:spacing w:before="280"/>
        <w:ind w:left="364" w:hanging="249"/>
      </w:pPr>
      <w:bookmarkStart w:id="4" w:name="4._Efforts_to_identify_duplication"/>
      <w:bookmarkEnd w:id="4"/>
      <w:r>
        <w:t>Efforts</w:t>
      </w:r>
      <w:r>
        <w:rPr>
          <w:spacing w:val="-4"/>
        </w:rPr>
        <w:t xml:space="preserve"> </w:t>
      </w:r>
      <w:r>
        <w:t>to</w:t>
      </w:r>
      <w:r>
        <w:rPr>
          <w:spacing w:val="-4"/>
        </w:rPr>
        <w:t xml:space="preserve"> </w:t>
      </w:r>
      <w:r>
        <w:t>identify</w:t>
      </w:r>
      <w:r>
        <w:rPr>
          <w:spacing w:val="-8"/>
        </w:rPr>
        <w:t xml:space="preserve"> </w:t>
      </w:r>
      <w:r>
        <w:rPr>
          <w:spacing w:val="-2"/>
        </w:rPr>
        <w:t>duplication</w:t>
      </w:r>
    </w:p>
    <w:p w:rsidR="00D53A85" w14:paraId="39229A9E" w14:textId="77777777">
      <w:pPr>
        <w:pStyle w:val="BodyText"/>
        <w:spacing w:before="1"/>
        <w:ind w:left="0"/>
        <w:rPr>
          <w:b/>
          <w:i/>
        </w:rPr>
      </w:pPr>
    </w:p>
    <w:p w:rsidR="00D53A85" w14:paraId="7F927A0F" w14:textId="77777777">
      <w:pPr>
        <w:pStyle w:val="BodyText"/>
        <w:ind w:right="814"/>
      </w:pPr>
      <w:r>
        <w:t>There</w:t>
      </w:r>
      <w:r>
        <w:rPr>
          <w:spacing w:val="-4"/>
        </w:rPr>
        <w:t xml:space="preserve"> </w:t>
      </w:r>
      <w:r>
        <w:t>is</w:t>
      </w:r>
      <w:r>
        <w:rPr>
          <w:spacing w:val="-4"/>
        </w:rPr>
        <w:t xml:space="preserve"> </w:t>
      </w:r>
      <w:r>
        <w:t>no</w:t>
      </w:r>
      <w:r>
        <w:rPr>
          <w:spacing w:val="-5"/>
        </w:rPr>
        <w:t xml:space="preserve"> </w:t>
      </w:r>
      <w:r>
        <w:t>other</w:t>
      </w:r>
      <w:r>
        <w:rPr>
          <w:spacing w:val="-5"/>
        </w:rPr>
        <w:t xml:space="preserve"> </w:t>
      </w:r>
      <w:r>
        <w:t>national</w:t>
      </w:r>
      <w:r>
        <w:rPr>
          <w:spacing w:val="-5"/>
        </w:rPr>
        <w:t xml:space="preserve"> </w:t>
      </w:r>
      <w:r>
        <w:t>surveillance</w:t>
      </w:r>
      <w:r>
        <w:rPr>
          <w:spacing w:val="-4"/>
        </w:rPr>
        <w:t xml:space="preserve"> </w:t>
      </w:r>
      <w:r>
        <w:t>system</w:t>
      </w:r>
      <w:r>
        <w:rPr>
          <w:spacing w:val="-5"/>
        </w:rPr>
        <w:t xml:space="preserve"> </w:t>
      </w:r>
      <w:r>
        <w:t>of</w:t>
      </w:r>
      <w:r>
        <w:rPr>
          <w:spacing w:val="-5"/>
        </w:rPr>
        <w:t xml:space="preserve"> </w:t>
      </w:r>
      <w:r>
        <w:t>product-related</w:t>
      </w:r>
      <w:r>
        <w:rPr>
          <w:spacing w:val="-6"/>
        </w:rPr>
        <w:t xml:space="preserve"> </w:t>
      </w:r>
      <w:r>
        <w:t>injuries,</w:t>
      </w:r>
      <w:r>
        <w:rPr>
          <w:spacing w:val="-3"/>
        </w:rPr>
        <w:t xml:space="preserve"> </w:t>
      </w:r>
      <w:r>
        <w:t>childhood poisonings, and other injuries treated in emergency departments. The detailed information obtained from hospital emergency records about incidents associated with consumer products is not available from any other source.</w:t>
      </w:r>
    </w:p>
    <w:p w:rsidR="00D53A85" w14:paraId="3161A06A" w14:textId="77777777">
      <w:pPr>
        <w:pStyle w:val="BodyText"/>
        <w:ind w:left="0"/>
      </w:pPr>
    </w:p>
    <w:p w:rsidR="00D53A85" w14:paraId="0953CBDE" w14:textId="77777777">
      <w:pPr>
        <w:pStyle w:val="Heading2"/>
        <w:numPr>
          <w:ilvl w:val="1"/>
          <w:numId w:val="3"/>
        </w:numPr>
        <w:tabs>
          <w:tab w:val="left" w:pos="364"/>
        </w:tabs>
        <w:ind w:left="364" w:hanging="244"/>
      </w:pPr>
      <w:bookmarkStart w:id="5" w:name="5._Impact_on_small_business"/>
      <w:bookmarkEnd w:id="5"/>
      <w:r>
        <w:t>Impact</w:t>
      </w:r>
      <w:r>
        <w:rPr>
          <w:spacing w:val="-3"/>
        </w:rPr>
        <w:t xml:space="preserve"> </w:t>
      </w:r>
      <w:r>
        <w:t>on</w:t>
      </w:r>
      <w:r>
        <w:rPr>
          <w:spacing w:val="-2"/>
        </w:rPr>
        <w:t xml:space="preserve"> </w:t>
      </w:r>
      <w:r>
        <w:t>small</w:t>
      </w:r>
      <w:r>
        <w:rPr>
          <w:spacing w:val="-3"/>
        </w:rPr>
        <w:t xml:space="preserve"> </w:t>
      </w:r>
      <w:r>
        <w:rPr>
          <w:spacing w:val="-2"/>
        </w:rPr>
        <w:t>business</w:t>
      </w:r>
    </w:p>
    <w:p w:rsidR="00D53A85" w14:paraId="6EC0B074" w14:textId="77777777">
      <w:pPr>
        <w:pStyle w:val="BodyText"/>
        <w:spacing w:before="280"/>
        <w:ind w:right="814"/>
      </w:pPr>
      <w:r>
        <w:t>This</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is</w:t>
      </w:r>
      <w:r>
        <w:rPr>
          <w:spacing w:val="-3"/>
        </w:rPr>
        <w:t xml:space="preserve"> </w:t>
      </w:r>
      <w:r>
        <w:t>voluntary</w:t>
      </w:r>
      <w:r>
        <w:rPr>
          <w:spacing w:val="-4"/>
        </w:rPr>
        <w:t xml:space="preserve"> </w:t>
      </w:r>
      <w:r>
        <w:t>and</w:t>
      </w:r>
      <w:r>
        <w:rPr>
          <w:spacing w:val="-2"/>
        </w:rPr>
        <w:t xml:space="preserve"> </w:t>
      </w:r>
      <w:r>
        <w:t>does</w:t>
      </w:r>
      <w:r>
        <w:rPr>
          <w:spacing w:val="-3"/>
        </w:rPr>
        <w:t xml:space="preserve"> </w:t>
      </w:r>
      <w:r>
        <w:t>not</w:t>
      </w:r>
      <w:r>
        <w:rPr>
          <w:spacing w:val="-3"/>
        </w:rPr>
        <w:t xml:space="preserve"> </w:t>
      </w:r>
      <w:r>
        <w:t>have</w:t>
      </w:r>
      <w:r>
        <w:rPr>
          <w:spacing w:val="-3"/>
        </w:rPr>
        <w:t xml:space="preserve"> </w:t>
      </w:r>
      <w:r>
        <w:t>a</w:t>
      </w:r>
      <w:r>
        <w:rPr>
          <w:spacing w:val="-3"/>
        </w:rPr>
        <w:t xml:space="preserve"> </w:t>
      </w:r>
      <w:r>
        <w:t>disproportionate impact on small businesses.</w:t>
      </w:r>
    </w:p>
    <w:p w:rsidR="00D53A85" w14:paraId="713E43CE" w14:textId="77777777">
      <w:pPr>
        <w:pStyle w:val="BodyText"/>
        <w:spacing w:before="3"/>
        <w:ind w:left="0"/>
      </w:pPr>
    </w:p>
    <w:p w:rsidR="00D53A85" w14:paraId="7CBC24CD" w14:textId="33A48CE7">
      <w:pPr>
        <w:pStyle w:val="Heading2"/>
        <w:ind w:left="120" w:right="814"/>
      </w:pPr>
      <w:bookmarkStart w:id="6" w:name="6a._Consequences_to_Federal_program_or_p"/>
      <w:bookmarkEnd w:id="6"/>
      <w:r>
        <w:t>6a.</w:t>
      </w:r>
      <w:r>
        <w:rPr>
          <w:spacing w:val="-3"/>
        </w:rPr>
        <w:t xml:space="preserve"> </w:t>
      </w:r>
      <w:r>
        <w:t>Consequences</w:t>
      </w:r>
      <w:r>
        <w:rPr>
          <w:spacing w:val="-5"/>
        </w:rPr>
        <w:t xml:space="preserve"> </w:t>
      </w:r>
      <w:r>
        <w:t>to</w:t>
      </w:r>
      <w:r>
        <w:rPr>
          <w:spacing w:val="-5"/>
        </w:rPr>
        <w:t xml:space="preserve"> </w:t>
      </w:r>
      <w:r>
        <w:t>Federal</w:t>
      </w:r>
      <w:r>
        <w:rPr>
          <w:spacing w:val="-4"/>
        </w:rPr>
        <w:t xml:space="preserve"> </w:t>
      </w:r>
      <w:r>
        <w:t>program</w:t>
      </w:r>
      <w:r>
        <w:rPr>
          <w:spacing w:val="-4"/>
        </w:rPr>
        <w:t xml:space="preserve"> </w:t>
      </w:r>
      <w:r>
        <w:t>or</w:t>
      </w:r>
      <w:r>
        <w:rPr>
          <w:spacing w:val="-4"/>
        </w:rPr>
        <w:t xml:space="preserve"> </w:t>
      </w:r>
      <w:r>
        <w:t>policy</w:t>
      </w:r>
      <w:r>
        <w:rPr>
          <w:spacing w:val="-5"/>
        </w:rPr>
        <w:t xml:space="preserve"> </w:t>
      </w:r>
      <w:r>
        <w:t>activities</w:t>
      </w:r>
      <w:r>
        <w:rPr>
          <w:spacing w:val="-5"/>
        </w:rPr>
        <w:t xml:space="preserve"> </w:t>
      </w:r>
      <w:r>
        <w:t>if</w:t>
      </w:r>
      <w:r>
        <w:rPr>
          <w:spacing w:val="-2"/>
        </w:rPr>
        <w:t xml:space="preserve"> </w:t>
      </w:r>
      <w:r>
        <w:t>collection</w:t>
      </w:r>
      <w:r>
        <w:rPr>
          <w:spacing w:val="-3"/>
        </w:rPr>
        <w:t xml:space="preserve"> </w:t>
      </w:r>
      <w:r>
        <w:t>is</w:t>
      </w:r>
      <w:r>
        <w:rPr>
          <w:spacing w:val="-5"/>
        </w:rPr>
        <w:t xml:space="preserve"> </w:t>
      </w:r>
      <w:r>
        <w:t xml:space="preserve">not </w:t>
      </w:r>
      <w:r w:rsidR="00DC66BE">
        <w:t xml:space="preserve">conducted </w:t>
      </w:r>
      <w:r>
        <w:t>or is conducted less frequently</w:t>
      </w:r>
    </w:p>
    <w:p w:rsidR="00D53A85" w14:paraId="58DCCD20" w14:textId="34C3FEB8">
      <w:pPr>
        <w:pStyle w:val="BodyText"/>
        <w:spacing w:before="280"/>
        <w:ind w:right="814"/>
      </w:pPr>
      <w:r>
        <w:t xml:space="preserve">CPSC </w:t>
      </w:r>
      <w:r w:rsidR="00BE2E67">
        <w:t>has a mandatory statutory obligation to</w:t>
      </w:r>
      <w:r w:rsidR="00D01F25">
        <w:t xml:space="preserve"> “</w:t>
      </w:r>
      <w:r w:rsidRPr="00D01F25" w:rsidR="00D01F25">
        <w:t>maintain an Injury Information Clearinghouse to collect, investigate, analyze, and disseminate injury data, and information, relating to the causes and prevention of death, injury, and illness associated with consumer products</w:t>
      </w:r>
      <w:r w:rsidR="00D01F25">
        <w:t>.” 15 U.S.C. § 2054(a)(1).</w:t>
      </w:r>
      <w:r w:rsidR="00BE2E67">
        <w:t xml:space="preserve"> </w:t>
      </w:r>
      <w:r w:rsidR="644DD39C">
        <w:t>If</w:t>
      </w:r>
      <w:r w:rsidR="644DD39C">
        <w:rPr>
          <w:spacing w:val="-4"/>
        </w:rPr>
        <w:t xml:space="preserve"> </w:t>
      </w:r>
      <w:r w:rsidR="644DD39C">
        <w:t>this</w:t>
      </w:r>
      <w:r w:rsidR="644DD39C">
        <w:rPr>
          <w:spacing w:val="-3"/>
        </w:rPr>
        <w:t xml:space="preserve"> </w:t>
      </w:r>
      <w:r w:rsidR="644DD39C">
        <w:t>information</w:t>
      </w:r>
      <w:r w:rsidR="644DD39C">
        <w:rPr>
          <w:spacing w:val="-3"/>
        </w:rPr>
        <w:t xml:space="preserve"> </w:t>
      </w:r>
      <w:r w:rsidR="644DD39C">
        <w:t>were</w:t>
      </w:r>
      <w:r w:rsidR="644DD39C">
        <w:rPr>
          <w:spacing w:val="-1"/>
        </w:rPr>
        <w:t xml:space="preserve"> </w:t>
      </w:r>
      <w:r w:rsidR="644DD39C">
        <w:t>not</w:t>
      </w:r>
      <w:r w:rsidR="644DD39C">
        <w:rPr>
          <w:spacing w:val="-3"/>
        </w:rPr>
        <w:t xml:space="preserve"> </w:t>
      </w:r>
      <w:r w:rsidR="644DD39C">
        <w:t>collected</w:t>
      </w:r>
      <w:r w:rsidR="644DD39C">
        <w:rPr>
          <w:spacing w:val="-5"/>
        </w:rPr>
        <w:t xml:space="preserve"> </w:t>
      </w:r>
      <w:r w:rsidR="644DD39C">
        <w:t>or</w:t>
      </w:r>
      <w:r w:rsidR="644DD39C">
        <w:rPr>
          <w:spacing w:val="-4"/>
        </w:rPr>
        <w:t xml:space="preserve"> </w:t>
      </w:r>
      <w:r w:rsidR="644DD39C">
        <w:t>were</w:t>
      </w:r>
      <w:r w:rsidR="644DD39C">
        <w:rPr>
          <w:spacing w:val="-3"/>
        </w:rPr>
        <w:t xml:space="preserve"> </w:t>
      </w:r>
      <w:r w:rsidR="644DD39C">
        <w:t>collected</w:t>
      </w:r>
      <w:r w:rsidR="644DD39C">
        <w:rPr>
          <w:spacing w:val="-5"/>
        </w:rPr>
        <w:t xml:space="preserve"> </w:t>
      </w:r>
      <w:r w:rsidR="644DD39C">
        <w:t>less</w:t>
      </w:r>
      <w:r w:rsidR="644DD39C">
        <w:rPr>
          <w:spacing w:val="-3"/>
        </w:rPr>
        <w:t xml:space="preserve"> </w:t>
      </w:r>
      <w:r w:rsidR="644DD39C">
        <w:t>frequently,</w:t>
      </w:r>
      <w:r w:rsidR="644DD39C">
        <w:rPr>
          <w:spacing w:val="-2"/>
        </w:rPr>
        <w:t xml:space="preserve"> </w:t>
      </w:r>
      <w:r w:rsidR="644DD39C">
        <w:t>the</w:t>
      </w:r>
      <w:r w:rsidR="644DD39C">
        <w:rPr>
          <w:spacing w:val="-3"/>
        </w:rPr>
        <w:t xml:space="preserve"> </w:t>
      </w:r>
      <w:r w:rsidR="644DD39C">
        <w:t>CPSC</w:t>
      </w:r>
      <w:r w:rsidR="644DD39C">
        <w:rPr>
          <w:spacing w:val="-4"/>
        </w:rPr>
        <w:t xml:space="preserve"> </w:t>
      </w:r>
      <w:r w:rsidR="644DD39C">
        <w:t>and other agencies that rely on this data would lack timely and detailed information to identify new hazards and support rulemaking proceedings</w:t>
      </w:r>
      <w:r w:rsidRPr="472316AB" w:rsidR="644DD39C">
        <w:rPr>
          <w:b/>
          <w:bCs/>
        </w:rPr>
        <w:t xml:space="preserve">, </w:t>
      </w:r>
      <w:r w:rsidR="644DD39C">
        <w:t>assist in efforts to develop or improve voluntary standards</w:t>
      </w:r>
      <w:r w:rsidR="4EC1E40E">
        <w:t>,</w:t>
      </w:r>
      <w:r w:rsidR="644DD39C">
        <w:t xml:space="preserve"> perform actions to obtain correction of products that present a substantial product hazard, and conduct informational </w:t>
      </w:r>
      <w:r w:rsidR="644DD39C">
        <w:rPr>
          <w:spacing w:val="-2"/>
        </w:rPr>
        <w:t>campaigns.</w:t>
      </w:r>
    </w:p>
    <w:p w:rsidR="00D53A85" w14:paraId="29B619D2" w14:textId="77777777">
      <w:pPr>
        <w:pStyle w:val="Heading2"/>
        <w:spacing w:before="280"/>
        <w:ind w:left="119" w:right="814"/>
      </w:pPr>
      <w:bookmarkStart w:id="7" w:name="6b._Consequences_to_Federal_program_or_p"/>
      <w:bookmarkEnd w:id="7"/>
      <w:r w:rsidRPr="00DA5B15">
        <w:t>6b.</w:t>
      </w:r>
      <w:r w:rsidRPr="00DA5B15">
        <w:rPr>
          <w:spacing w:val="-2"/>
        </w:rPr>
        <w:t xml:space="preserve"> </w:t>
      </w:r>
      <w:r w:rsidRPr="00DA5B15">
        <w:t>Consequences</w:t>
      </w:r>
      <w:r w:rsidRPr="00DA5B15">
        <w:rPr>
          <w:spacing w:val="-4"/>
        </w:rPr>
        <w:t xml:space="preserve"> </w:t>
      </w:r>
      <w:r w:rsidRPr="00DA5B15">
        <w:t>to</w:t>
      </w:r>
      <w:r w:rsidRPr="00DA5B15">
        <w:rPr>
          <w:spacing w:val="-4"/>
        </w:rPr>
        <w:t xml:space="preserve"> </w:t>
      </w:r>
      <w:r w:rsidRPr="00DA5B15">
        <w:t>Federal</w:t>
      </w:r>
      <w:r w:rsidRPr="00DA5B15">
        <w:rPr>
          <w:spacing w:val="-3"/>
        </w:rPr>
        <w:t xml:space="preserve"> </w:t>
      </w:r>
      <w:r w:rsidRPr="00DA5B15">
        <w:t>program</w:t>
      </w:r>
      <w:r w:rsidRPr="00DA5B15">
        <w:rPr>
          <w:spacing w:val="-3"/>
        </w:rPr>
        <w:t xml:space="preserve"> </w:t>
      </w:r>
      <w:r w:rsidRPr="00DA5B15">
        <w:t>or</w:t>
      </w:r>
      <w:r w:rsidRPr="00DA5B15">
        <w:rPr>
          <w:spacing w:val="-3"/>
        </w:rPr>
        <w:t xml:space="preserve"> </w:t>
      </w:r>
      <w:r w:rsidRPr="00DA5B15">
        <w:t>policy</w:t>
      </w:r>
      <w:r w:rsidRPr="00DA5B15">
        <w:rPr>
          <w:spacing w:val="-4"/>
        </w:rPr>
        <w:t xml:space="preserve"> </w:t>
      </w:r>
      <w:r w:rsidRPr="00DA5B15">
        <w:t>activities</w:t>
      </w:r>
      <w:r w:rsidRPr="00DA5B15">
        <w:rPr>
          <w:spacing w:val="-4"/>
        </w:rPr>
        <w:t xml:space="preserve"> </w:t>
      </w:r>
      <w:r w:rsidRPr="00DA5B15">
        <w:t>if</w:t>
      </w:r>
      <w:r w:rsidRPr="00DA5B15">
        <w:rPr>
          <w:spacing w:val="-1"/>
        </w:rPr>
        <w:t xml:space="preserve"> </w:t>
      </w:r>
      <w:r w:rsidRPr="00DA5B15">
        <w:t>collection</w:t>
      </w:r>
      <w:r w:rsidRPr="00DA5B15">
        <w:rPr>
          <w:spacing w:val="-2"/>
        </w:rPr>
        <w:t xml:space="preserve"> </w:t>
      </w:r>
      <w:r w:rsidRPr="00DA5B15">
        <w:t>is</w:t>
      </w:r>
      <w:r w:rsidRPr="00DA5B15">
        <w:rPr>
          <w:spacing w:val="-4"/>
        </w:rPr>
        <w:t xml:space="preserve"> </w:t>
      </w:r>
      <w:r w:rsidRPr="00DA5B15">
        <w:t>not</w:t>
      </w:r>
      <w:r w:rsidRPr="00DA5B15">
        <w:rPr>
          <w:spacing w:val="-4"/>
        </w:rPr>
        <w:t xml:space="preserve"> </w:t>
      </w:r>
      <w:r w:rsidRPr="00DA5B15">
        <w:t>used for statistical estimates</w:t>
      </w:r>
    </w:p>
    <w:p w:rsidR="00D53A85" w14:paraId="4A0954EC" w14:textId="77777777">
      <w:pPr>
        <w:pStyle w:val="BodyText"/>
        <w:ind w:left="0"/>
        <w:rPr>
          <w:b/>
          <w:i/>
        </w:rPr>
      </w:pPr>
    </w:p>
    <w:p w:rsidR="0089145B" w:rsidP="0089145B" w14:paraId="30A01C2F" w14:textId="3E974195">
      <w:pPr>
        <w:pStyle w:val="BodyText"/>
        <w:ind w:right="907"/>
      </w:pPr>
      <w:r>
        <w:t>In September 2019, CPSC contracted with Westat Inc. under CPSC contract 61320619F0134,</w:t>
      </w:r>
      <w:r>
        <w:rPr>
          <w:spacing w:val="-2"/>
        </w:rPr>
        <w:t xml:space="preserve"> </w:t>
      </w:r>
      <w:hyperlink w:anchor="_bookmark0" w:history="1">
        <w:r>
          <w:t>to</w:t>
        </w:r>
      </w:hyperlink>
      <w:r>
        <w:rPr>
          <w:spacing w:val="-4"/>
        </w:rPr>
        <w:t xml:space="preserve"> </w:t>
      </w:r>
      <w:r>
        <w:t>give</w:t>
      </w:r>
      <w:r>
        <w:rPr>
          <w:spacing w:val="-3"/>
        </w:rPr>
        <w:t xml:space="preserve"> </w:t>
      </w:r>
      <w:r>
        <w:t>an</w:t>
      </w:r>
      <w:r>
        <w:rPr>
          <w:spacing w:val="-3"/>
        </w:rPr>
        <w:t xml:space="preserve"> </w:t>
      </w:r>
      <w:r>
        <w:t>independent</w:t>
      </w:r>
      <w:r>
        <w:rPr>
          <w:spacing w:val="-3"/>
        </w:rPr>
        <w:t xml:space="preserve"> </w:t>
      </w:r>
      <w:r>
        <w:t>statistical</w:t>
      </w:r>
      <w:r>
        <w:rPr>
          <w:spacing w:val="-4"/>
        </w:rPr>
        <w:t xml:space="preserve"> </w:t>
      </w:r>
      <w:r>
        <w:t>assessment</w:t>
      </w:r>
      <w:r>
        <w:rPr>
          <w:spacing w:val="-3"/>
        </w:rPr>
        <w:t xml:space="preserve"> </w:t>
      </w:r>
      <w:r>
        <w:t>of</w:t>
      </w:r>
      <w:r>
        <w:rPr>
          <w:spacing w:val="-4"/>
        </w:rPr>
        <w:t xml:space="preserve"> </w:t>
      </w:r>
      <w:r>
        <w:t>the</w:t>
      </w:r>
      <w:r>
        <w:rPr>
          <w:spacing w:val="-5"/>
        </w:rPr>
        <w:t xml:space="preserve"> </w:t>
      </w:r>
      <w:r>
        <w:t>NEISS</w:t>
      </w:r>
      <w:r>
        <w:rPr>
          <w:spacing w:val="-3"/>
        </w:rPr>
        <w:t xml:space="preserve"> </w:t>
      </w:r>
      <w:r>
        <w:t>and</w:t>
      </w:r>
      <w:r>
        <w:rPr>
          <w:spacing w:val="-5"/>
        </w:rPr>
        <w:t xml:space="preserve"> </w:t>
      </w:r>
      <w:r>
        <w:t>the NEISS-AIP samples</w:t>
      </w:r>
      <w:r>
        <w:rPr>
          <w:rStyle w:val="FootnoteReference"/>
        </w:rPr>
        <w:footnoteReference w:id="3"/>
      </w:r>
      <w:r w:rsidR="00D855E7">
        <w:t>.</w:t>
      </w:r>
      <w:r>
        <w:t xml:space="preserve"> The primary focus of this contract was to analyze the pros and cons of keeping, </w:t>
      </w:r>
      <w:hyperlink w:anchor="_bookmark0" w:history="1">
        <w:r>
          <w:t>exp</w:t>
        </w:r>
      </w:hyperlink>
      <w:r>
        <w:t xml:space="preserve">anding, or resampling the current samples of NEISS and NEISS- AIP hospitals. The final Westat recommendation was for a redesign of the NEISS </w:t>
      </w:r>
      <w:r>
        <w:rPr>
          <w:spacing w:val="-2"/>
        </w:rPr>
        <w:t>sample.</w:t>
      </w:r>
    </w:p>
    <w:p w:rsidR="001C4597" w:rsidP="0089145B" w14:paraId="69080F95" w14:textId="5ED18031">
      <w:pPr>
        <w:pStyle w:val="BodyText"/>
        <w:spacing w:before="280"/>
        <w:ind w:right="848"/>
      </w:pPr>
      <w:r>
        <w:t>The current NEISS (and NEISS-AIP) probability sample was drawn in 2021 with recruitment of new NEISS hospitals starting shortly after and continuing</w:t>
      </w:r>
      <w:r w:rsidR="002B412D">
        <w:t xml:space="preserve"> to the  present</w:t>
      </w:r>
      <w:r>
        <w:t xml:space="preserve">.  </w:t>
      </w:r>
      <w:r w:rsidR="004B5F3D">
        <w:t xml:space="preserve">CPSC </w:t>
      </w:r>
      <w:r w:rsidR="0089145B">
        <w:t xml:space="preserve">staff used a resampling method that maximizes the probability of retaining as many of the current NEISS hospitals as possible, while maintaining the statistical integrity of the NEISS. </w:t>
      </w:r>
      <w:r>
        <w:t xml:space="preserve"> </w:t>
      </w:r>
      <w:r w:rsidR="0089145B">
        <w:t>Among eligible hospital emergency departments, some have migrated</w:t>
      </w:r>
      <w:r w:rsidR="0089145B">
        <w:rPr>
          <w:spacing w:val="-5"/>
        </w:rPr>
        <w:t xml:space="preserve"> </w:t>
      </w:r>
      <w:r w:rsidR="0089145B">
        <w:t>from</w:t>
      </w:r>
      <w:r w:rsidR="0089145B">
        <w:rPr>
          <w:spacing w:val="-4"/>
        </w:rPr>
        <w:t xml:space="preserve"> </w:t>
      </w:r>
      <w:r w:rsidR="0089145B">
        <w:t>one</w:t>
      </w:r>
      <w:r w:rsidR="0089145B">
        <w:rPr>
          <w:spacing w:val="-3"/>
        </w:rPr>
        <w:t xml:space="preserve"> </w:t>
      </w:r>
      <w:r w:rsidR="0089145B">
        <w:t>stratum</w:t>
      </w:r>
      <w:r w:rsidR="0089145B">
        <w:rPr>
          <w:spacing w:val="-4"/>
        </w:rPr>
        <w:t xml:space="preserve"> </w:t>
      </w:r>
      <w:r w:rsidR="0089145B">
        <w:t>to</w:t>
      </w:r>
      <w:r w:rsidR="0089145B">
        <w:rPr>
          <w:spacing w:val="-4"/>
        </w:rPr>
        <w:t xml:space="preserve"> </w:t>
      </w:r>
      <w:r w:rsidR="0089145B">
        <w:t>another;</w:t>
      </w:r>
      <w:r w:rsidR="0089145B">
        <w:rPr>
          <w:spacing w:val="-4"/>
        </w:rPr>
        <w:t xml:space="preserve"> </w:t>
      </w:r>
      <w:r w:rsidR="0089145B">
        <w:t>come</w:t>
      </w:r>
      <w:r w:rsidR="0089145B">
        <w:rPr>
          <w:spacing w:val="-3"/>
        </w:rPr>
        <w:t xml:space="preserve"> </w:t>
      </w:r>
      <w:r w:rsidR="0089145B">
        <w:t>into</w:t>
      </w:r>
      <w:r w:rsidR="0089145B">
        <w:rPr>
          <w:spacing w:val="-4"/>
        </w:rPr>
        <w:t xml:space="preserve"> </w:t>
      </w:r>
      <w:r w:rsidR="0089145B">
        <w:t>existence</w:t>
      </w:r>
      <w:r w:rsidR="0089145B">
        <w:rPr>
          <w:spacing w:val="-3"/>
        </w:rPr>
        <w:t xml:space="preserve"> </w:t>
      </w:r>
      <w:r w:rsidR="0089145B">
        <w:t>since</w:t>
      </w:r>
      <w:r w:rsidR="0089145B">
        <w:rPr>
          <w:spacing w:val="-3"/>
        </w:rPr>
        <w:t xml:space="preserve"> </w:t>
      </w:r>
      <w:r w:rsidR="0089145B">
        <w:t>the</w:t>
      </w:r>
      <w:r w:rsidR="0089145B">
        <w:rPr>
          <w:spacing w:val="-3"/>
        </w:rPr>
        <w:t xml:space="preserve"> </w:t>
      </w:r>
      <w:r w:rsidR="0089145B">
        <w:t>last</w:t>
      </w:r>
      <w:r w:rsidR="0089145B">
        <w:rPr>
          <w:spacing w:val="-3"/>
        </w:rPr>
        <w:t xml:space="preserve"> </w:t>
      </w:r>
      <w:r w:rsidR="0089145B">
        <w:t>resampling of the NEISS; or ceased to exist. The method used in resampling the NEI</w:t>
      </w:r>
      <w:hyperlink w:anchor="_bookmark1" w:history="1">
        <w:r w:rsidR="0089145B">
          <w:t>SS</w:t>
        </w:r>
      </w:hyperlink>
      <w:r w:rsidR="0089145B">
        <w:t xml:space="preserve"> is an extension of the Keyfitz procedures for stratified simple random samples</w:t>
      </w:r>
      <w:r>
        <w:rPr>
          <w:rStyle w:val="FootnoteReference"/>
        </w:rPr>
        <w:footnoteReference w:id="4"/>
      </w:r>
      <w:hyperlink w:anchor="_bookmark1" w:history="1">
        <w:r w:rsidR="0089145B">
          <w:t>.</w:t>
        </w:r>
      </w:hyperlink>
      <w:r w:rsidR="0089145B">
        <w:rPr>
          <w:position w:val="6"/>
          <w:sz w:val="16"/>
        </w:rPr>
        <w:t xml:space="preserve"> </w:t>
      </w:r>
      <w:r w:rsidR="0089145B">
        <w:t xml:space="preserve">The advantage of retaining as many of the </w:t>
      </w:r>
      <w:r w:rsidR="002B412D">
        <w:t>old</w:t>
      </w:r>
      <w:r w:rsidR="0089145B">
        <w:t xml:space="preserve"> NEISS hospitals as possible </w:t>
      </w:r>
      <w:hyperlink w:anchor="_bookmark1" w:history="1">
        <w:r w:rsidR="0089145B">
          <w:t>is</w:t>
        </w:r>
      </w:hyperlink>
      <w:r w:rsidR="0089145B">
        <w:t xml:space="preserve"> that the contracting, data collection, and quality-control mechanisms already exist in the hospitals in the </w:t>
      </w:r>
      <w:r w:rsidR="002B412D">
        <w:t>old</w:t>
      </w:r>
      <w:r w:rsidR="0089145B">
        <w:t xml:space="preserve"> sample, and it is a cost-effective procedure. Another advantage is that there is far less disruption in trend analysis. </w:t>
      </w:r>
    </w:p>
    <w:p w:rsidR="001C4597" w:rsidP="0089145B" w14:paraId="05FE53BE" w14:textId="5E3BF144">
      <w:pPr>
        <w:pStyle w:val="BodyText"/>
        <w:spacing w:before="280"/>
        <w:ind w:right="848"/>
      </w:pPr>
      <w:r>
        <w:t xml:space="preserve">Since the NEISS sample was redrawn in 2021 and recruitment started, fifteen new hospitals have joined, seven that were in the old and the new NEISS sample and eight that are in the new NEISS sample only. Eighteen hospitals have dropped off of the NEISS, 8 that chose not </w:t>
      </w:r>
      <w:r w:rsidR="00D522A4">
        <w:t xml:space="preserve">to </w:t>
      </w:r>
      <w:r>
        <w:t xml:space="preserve">continue that are part of the new sample and ten that were no longer part of the new NEISS sample. As of January 1, 2025, there are seventy-seven hospitals participating in the new NEISS sample.  </w:t>
      </w:r>
    </w:p>
    <w:p w:rsidR="00D855E7" w14:paraId="6DE2340B" w14:textId="77777777">
      <w:pPr>
        <w:pStyle w:val="BodyText"/>
        <w:spacing w:before="1"/>
        <w:ind w:right="814"/>
      </w:pPr>
    </w:p>
    <w:p w:rsidR="000E58B1" w:rsidP="007E31F8" w14:paraId="36D2DCBE" w14:textId="1DBADCAC">
      <w:pPr>
        <w:pStyle w:val="BodyText"/>
        <w:ind w:right="960"/>
      </w:pPr>
      <w:r>
        <w:t>One of the advantages of a long-running NEISS sample is</w:t>
      </w:r>
      <w:r>
        <w:rPr>
          <w:spacing w:val="-1"/>
        </w:rPr>
        <w:t xml:space="preserve"> </w:t>
      </w:r>
      <w:r>
        <w:t>the ability to</w:t>
      </w:r>
      <w:r>
        <w:rPr>
          <w:spacing w:val="-1"/>
        </w:rPr>
        <w:t xml:space="preserve"> </w:t>
      </w:r>
      <w:r>
        <w:t>track trends across</w:t>
      </w:r>
      <w:r>
        <w:rPr>
          <w:spacing w:val="-3"/>
        </w:rPr>
        <w:t xml:space="preserve"> </w:t>
      </w:r>
      <w:r>
        <w:t>time.</w:t>
      </w:r>
      <w:r>
        <w:rPr>
          <w:spacing w:val="-2"/>
        </w:rPr>
        <w:t xml:space="preserve"> </w:t>
      </w:r>
      <w:r>
        <w:t>Updating</w:t>
      </w:r>
      <w:r>
        <w:rPr>
          <w:spacing w:val="-5"/>
        </w:rPr>
        <w:t xml:space="preserve"> </w:t>
      </w:r>
      <w:r>
        <w:t>the</w:t>
      </w:r>
      <w:r>
        <w:rPr>
          <w:spacing w:val="-3"/>
        </w:rPr>
        <w:t xml:space="preserve"> </w:t>
      </w:r>
      <w:r>
        <w:t>NEISS</w:t>
      </w:r>
      <w:r>
        <w:rPr>
          <w:spacing w:val="-3"/>
        </w:rPr>
        <w:t xml:space="preserve"> </w:t>
      </w:r>
      <w:r>
        <w:t>sample</w:t>
      </w:r>
      <w:r>
        <w:rPr>
          <w:spacing w:val="-3"/>
        </w:rPr>
        <w:t xml:space="preserve"> </w:t>
      </w:r>
      <w:r>
        <w:t>interfere</w:t>
      </w:r>
      <w:r w:rsidR="001C4597">
        <w:t>s</w:t>
      </w:r>
      <w:r>
        <w:rPr>
          <w:spacing w:val="-3"/>
        </w:rPr>
        <w:t xml:space="preserve"> </w:t>
      </w:r>
      <w:r>
        <w:t>with</w:t>
      </w:r>
      <w:r>
        <w:rPr>
          <w:spacing w:val="-4"/>
        </w:rPr>
        <w:t xml:space="preserve"> </w:t>
      </w:r>
      <w:r>
        <w:t>that</w:t>
      </w:r>
      <w:r>
        <w:rPr>
          <w:spacing w:val="-3"/>
        </w:rPr>
        <w:t xml:space="preserve"> </w:t>
      </w:r>
      <w:r>
        <w:t>analysis.</w:t>
      </w:r>
      <w:r>
        <w:rPr>
          <w:spacing w:val="-2"/>
        </w:rPr>
        <w:t xml:space="preserve"> </w:t>
      </w:r>
      <w:r>
        <w:t>One</w:t>
      </w:r>
      <w:r>
        <w:rPr>
          <w:spacing w:val="-3"/>
        </w:rPr>
        <w:t xml:space="preserve"> </w:t>
      </w:r>
      <w:r>
        <w:t>of</w:t>
      </w:r>
      <w:r>
        <w:rPr>
          <w:spacing w:val="-4"/>
        </w:rPr>
        <w:t xml:space="preserve"> </w:t>
      </w:r>
      <w:r>
        <w:t>the best ways to adjust any time series that crosses</w:t>
      </w:r>
      <w:r>
        <w:rPr>
          <w:spacing w:val="-1"/>
        </w:rPr>
        <w:t xml:space="preserve"> </w:t>
      </w:r>
      <w:r>
        <w:t>over two NEISS samples is to have</w:t>
      </w:r>
      <w:r w:rsidR="001C4597">
        <w:t xml:space="preserve"> </w:t>
      </w:r>
      <w:r>
        <w:t>an</w:t>
      </w:r>
      <w:r>
        <w:rPr>
          <w:spacing w:val="-3"/>
        </w:rPr>
        <w:t xml:space="preserve"> </w:t>
      </w:r>
      <w:r>
        <w:t>overlap</w:t>
      </w:r>
      <w:r>
        <w:rPr>
          <w:spacing w:val="-3"/>
        </w:rPr>
        <w:t xml:space="preserve"> </w:t>
      </w:r>
      <w:r>
        <w:t>or</w:t>
      </w:r>
      <w:r>
        <w:rPr>
          <w:spacing w:val="-4"/>
        </w:rPr>
        <w:t xml:space="preserve"> </w:t>
      </w:r>
      <w:r>
        <w:t>bridge</w:t>
      </w:r>
      <w:r>
        <w:rPr>
          <w:spacing w:val="-3"/>
        </w:rPr>
        <w:t xml:space="preserve"> </w:t>
      </w:r>
      <w:r>
        <w:t>period,</w:t>
      </w:r>
      <w:r>
        <w:rPr>
          <w:spacing w:val="-2"/>
        </w:rPr>
        <w:t xml:space="preserve"> </w:t>
      </w:r>
      <w:r>
        <w:t>during</w:t>
      </w:r>
      <w:r>
        <w:rPr>
          <w:spacing w:val="-2"/>
        </w:rPr>
        <w:t xml:space="preserve"> </w:t>
      </w:r>
      <w:r>
        <w:t>which</w:t>
      </w:r>
      <w:r>
        <w:rPr>
          <w:spacing w:val="-2"/>
        </w:rPr>
        <w:t xml:space="preserve"> </w:t>
      </w:r>
      <w:r>
        <w:t>data</w:t>
      </w:r>
      <w:r>
        <w:rPr>
          <w:spacing w:val="-3"/>
        </w:rPr>
        <w:t xml:space="preserve"> </w:t>
      </w:r>
      <w:r>
        <w:t>are</w:t>
      </w:r>
      <w:r>
        <w:rPr>
          <w:spacing w:val="-3"/>
        </w:rPr>
        <w:t xml:space="preserve"> </w:t>
      </w:r>
      <w:r>
        <w:t>collected</w:t>
      </w:r>
      <w:r>
        <w:rPr>
          <w:spacing w:val="-5"/>
        </w:rPr>
        <w:t xml:space="preserve"> </w:t>
      </w:r>
      <w:r>
        <w:t>from</w:t>
      </w:r>
      <w:r>
        <w:rPr>
          <w:spacing w:val="-4"/>
        </w:rPr>
        <w:t xml:space="preserve"> </w:t>
      </w:r>
      <w:r>
        <w:t>the</w:t>
      </w:r>
      <w:r>
        <w:rPr>
          <w:spacing w:val="-3"/>
        </w:rPr>
        <w:t xml:space="preserve"> </w:t>
      </w:r>
      <w:r>
        <w:t>old</w:t>
      </w:r>
      <w:r>
        <w:rPr>
          <w:spacing w:val="-5"/>
        </w:rPr>
        <w:t xml:space="preserve"> </w:t>
      </w:r>
      <w:r>
        <w:t>and</w:t>
      </w:r>
      <w:r>
        <w:rPr>
          <w:spacing w:val="-5"/>
        </w:rPr>
        <w:t xml:space="preserve"> </w:t>
      </w:r>
      <w:r>
        <w:t xml:space="preserve">the new samples. </w:t>
      </w:r>
      <w:r w:rsidR="004B5F3D">
        <w:t xml:space="preserve">CPSC </w:t>
      </w:r>
      <w:r>
        <w:t xml:space="preserve">staff </w:t>
      </w:r>
      <w:r w:rsidR="00B80764">
        <w:t>c</w:t>
      </w:r>
      <w:r>
        <w:t>onduct</w:t>
      </w:r>
      <w:r w:rsidR="00B80764">
        <w:t>ed</w:t>
      </w:r>
      <w:r>
        <w:t xml:space="preserve"> a 12-month overlap as part of the implementation</w:t>
      </w:r>
      <w:r>
        <w:rPr>
          <w:spacing w:val="-1"/>
        </w:rPr>
        <w:t xml:space="preserve"> </w:t>
      </w:r>
      <w:r>
        <w:t>of</w:t>
      </w:r>
      <w:r>
        <w:rPr>
          <w:spacing w:val="-2"/>
        </w:rPr>
        <w:t xml:space="preserve"> </w:t>
      </w:r>
      <w:r>
        <w:t>the</w:t>
      </w:r>
      <w:r>
        <w:rPr>
          <w:spacing w:val="-3"/>
        </w:rPr>
        <w:t xml:space="preserve"> </w:t>
      </w:r>
      <w:r>
        <w:t>new</w:t>
      </w:r>
      <w:r>
        <w:rPr>
          <w:spacing w:val="-3"/>
        </w:rPr>
        <w:t xml:space="preserve"> </w:t>
      </w:r>
      <w:r>
        <w:t>NEISS</w:t>
      </w:r>
      <w:r>
        <w:rPr>
          <w:spacing w:val="-1"/>
        </w:rPr>
        <w:t xml:space="preserve"> </w:t>
      </w:r>
      <w:r>
        <w:t>sample</w:t>
      </w:r>
      <w:r w:rsidR="00B80764">
        <w:t xml:space="preserve"> during calendar year 2024 when there were seventy-seven hospitals participating in the old NEISS sample and seventy-seven hospitals participating in the new sample. Sixty-nine of the hospitals were in both the old and new NEISS sample. </w:t>
      </w:r>
      <w:r>
        <w:t>Having</w:t>
      </w:r>
      <w:r>
        <w:rPr>
          <w:spacing w:val="-3"/>
        </w:rPr>
        <w:t xml:space="preserve"> </w:t>
      </w:r>
      <w:r>
        <w:t>a</w:t>
      </w:r>
      <w:r>
        <w:rPr>
          <w:spacing w:val="-1"/>
        </w:rPr>
        <w:t xml:space="preserve"> </w:t>
      </w:r>
      <w:r>
        <w:t>full</w:t>
      </w:r>
      <w:r>
        <w:rPr>
          <w:spacing w:val="-2"/>
        </w:rPr>
        <w:t xml:space="preserve"> </w:t>
      </w:r>
      <w:r>
        <w:t>12-month</w:t>
      </w:r>
      <w:r>
        <w:rPr>
          <w:spacing w:val="-2"/>
        </w:rPr>
        <w:t xml:space="preserve"> </w:t>
      </w:r>
      <w:r>
        <w:t>overlap</w:t>
      </w:r>
      <w:r>
        <w:rPr>
          <w:spacing w:val="-1"/>
        </w:rPr>
        <w:t xml:space="preserve"> </w:t>
      </w:r>
      <w:r>
        <w:t xml:space="preserve">period </w:t>
      </w:r>
      <w:r w:rsidR="00FE47B8">
        <w:t xml:space="preserve">better </w:t>
      </w:r>
      <w:r>
        <w:t>accounts for seasonality of some consumer product-related injuries. By comparing estimates calculated from both samples, it is possible to adjust (backcast) old estimates to be consistent with the new sample.</w:t>
      </w:r>
    </w:p>
    <w:p w:rsidR="000E58B1" w:rsidP="00B80764" w14:paraId="526B2A08" w14:textId="0AA5C726">
      <w:pPr>
        <w:pStyle w:val="BodyText"/>
        <w:spacing w:before="279"/>
        <w:ind w:left="119" w:right="912"/>
      </w:pPr>
      <w:r>
        <w:t>Because it takes several years to ramp up NEISS recruitment and get new hospitals to start reporting, the 2022 and 2023 NEISS national estimates are based on the previous NEISS sample design. It was</w:t>
      </w:r>
      <w:r w:rsidR="007C07A5">
        <w:t xml:space="preserve"> </w:t>
      </w:r>
      <w:r>
        <w:t>n</w:t>
      </w:r>
      <w:r w:rsidR="007C07A5">
        <w:t>o</w:t>
      </w:r>
      <w:r>
        <w:t xml:space="preserve">t until 2024 </w:t>
      </w:r>
      <w:r w:rsidR="001D784E">
        <w:t xml:space="preserve">that </w:t>
      </w:r>
      <w:r>
        <w:t xml:space="preserve">the number of hospitals </w:t>
      </w:r>
      <w:r w:rsidR="007E31F8">
        <w:t>participating</w:t>
      </w:r>
      <w:r>
        <w:t xml:space="preserve"> in the new NEISS sample (77) was equal to or surpassed the number of hospitals participating in the old sample (77). </w:t>
      </w:r>
      <w:r>
        <w:t>The national estimates for 202</w:t>
      </w:r>
      <w:r w:rsidR="00B80764">
        <w:t>4</w:t>
      </w:r>
      <w:r>
        <w:t xml:space="preserve"> </w:t>
      </w:r>
      <w:r>
        <w:t>are</w:t>
      </w:r>
      <w:r>
        <w:t xml:space="preserve"> calculated using the new NEISS sample</w:t>
      </w:r>
      <w:r>
        <w:rPr>
          <w:spacing w:val="-3"/>
        </w:rPr>
        <w:t xml:space="preserve"> </w:t>
      </w:r>
      <w:r>
        <w:t>with</w:t>
      </w:r>
      <w:r>
        <w:rPr>
          <w:spacing w:val="-4"/>
        </w:rPr>
        <w:t xml:space="preserve"> </w:t>
      </w:r>
      <w:r>
        <w:t>historical</w:t>
      </w:r>
      <w:r>
        <w:rPr>
          <w:spacing w:val="-4"/>
        </w:rPr>
        <w:t xml:space="preserve"> </w:t>
      </w:r>
      <w:r>
        <w:t>estimates</w:t>
      </w:r>
      <w:r>
        <w:rPr>
          <w:spacing w:val="-3"/>
        </w:rPr>
        <w:t xml:space="preserve"> </w:t>
      </w:r>
      <w:r>
        <w:t>from</w:t>
      </w:r>
      <w:r>
        <w:rPr>
          <w:spacing w:val="-4"/>
        </w:rPr>
        <w:t xml:space="preserve"> </w:t>
      </w:r>
      <w:r>
        <w:t>202</w:t>
      </w:r>
      <w:r w:rsidR="00B80764">
        <w:t>3</w:t>
      </w:r>
      <w:r>
        <w:t>,</w:t>
      </w:r>
      <w:r>
        <w:rPr>
          <w:spacing w:val="-2"/>
        </w:rPr>
        <w:t xml:space="preserve"> </w:t>
      </w:r>
      <w:r>
        <w:t>and</w:t>
      </w:r>
      <w:r>
        <w:rPr>
          <w:spacing w:val="-5"/>
        </w:rPr>
        <w:t xml:space="preserve"> </w:t>
      </w:r>
      <w:r>
        <w:t>prior</w:t>
      </w:r>
      <w:r>
        <w:rPr>
          <w:spacing w:val="-4"/>
        </w:rPr>
        <w:t xml:space="preserve"> </w:t>
      </w:r>
      <w:r>
        <w:t>years</w:t>
      </w:r>
      <w:r>
        <w:rPr>
          <w:spacing w:val="-3"/>
        </w:rPr>
        <w:t xml:space="preserve"> </w:t>
      </w:r>
      <w:r>
        <w:t>“backcast”</w:t>
      </w:r>
      <w:r>
        <w:rPr>
          <w:spacing w:val="-2"/>
        </w:rPr>
        <w:t xml:space="preserve"> </w:t>
      </w:r>
      <w:r>
        <w:t>to</w:t>
      </w:r>
      <w:r>
        <w:rPr>
          <w:spacing w:val="-4"/>
        </w:rPr>
        <w:t xml:space="preserve"> </w:t>
      </w:r>
      <w:r>
        <w:t>adjust</w:t>
      </w:r>
      <w:r>
        <w:rPr>
          <w:spacing w:val="-3"/>
        </w:rPr>
        <w:t xml:space="preserve"> </w:t>
      </w:r>
      <w:r>
        <w:t xml:space="preserve">for the sample update. </w:t>
      </w:r>
    </w:p>
    <w:p w:rsidR="00D53A85" w14:paraId="1C7358FA" w14:textId="77777777">
      <w:pPr>
        <w:pStyle w:val="BodyText"/>
        <w:ind w:left="0"/>
      </w:pPr>
    </w:p>
    <w:p w:rsidR="005F47E9" w:rsidRPr="00895B32" w:rsidP="00895B32" w14:paraId="1D0EAB0B" w14:textId="2F2FEAA3">
      <w:pPr>
        <w:jc w:val="center"/>
        <w:rPr>
          <w:b/>
          <w:bCs/>
        </w:rPr>
      </w:pPr>
      <w:bookmarkStart w:id="8" w:name="New_NEISS_Sample"/>
      <w:bookmarkEnd w:id="8"/>
      <w:r w:rsidRPr="00895B32">
        <w:rPr>
          <w:b/>
          <w:bCs/>
        </w:rPr>
        <w:t>Table 1</w:t>
      </w:r>
    </w:p>
    <w:p w:rsidR="00D53A85" w:rsidRPr="00895B32" w:rsidP="00895B32" w14:paraId="6D27ADCC" w14:textId="1966EFEA">
      <w:pPr>
        <w:jc w:val="center"/>
        <w:rPr>
          <w:b/>
          <w:bCs/>
        </w:rPr>
      </w:pPr>
      <w:r w:rsidRPr="00895B32">
        <w:rPr>
          <w:b/>
          <w:bCs/>
        </w:rPr>
        <w:t>New</w:t>
      </w:r>
      <w:r w:rsidRPr="00895B32">
        <w:rPr>
          <w:b/>
          <w:bCs/>
          <w:spacing w:val="-1"/>
        </w:rPr>
        <w:t xml:space="preserve"> </w:t>
      </w:r>
      <w:r w:rsidRPr="00895B32">
        <w:rPr>
          <w:b/>
          <w:bCs/>
        </w:rPr>
        <w:t>NEISS</w:t>
      </w:r>
      <w:r w:rsidRPr="00895B32">
        <w:rPr>
          <w:b/>
          <w:bCs/>
          <w:spacing w:val="-2"/>
        </w:rPr>
        <w:t xml:space="preserve"> Sample</w:t>
      </w:r>
    </w:p>
    <w:tbl>
      <w:tblPr>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308"/>
        <w:gridCol w:w="1318"/>
        <w:gridCol w:w="1316"/>
        <w:gridCol w:w="1417"/>
      </w:tblGrid>
      <w:tr w14:paraId="59E1F1A7" w14:textId="77777777" w:rsidTr="00B92F2E">
        <w:tblPrEx>
          <w:tblW w:w="0" w:type="auto"/>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7"/>
        </w:trPr>
        <w:tc>
          <w:tcPr>
            <w:tcW w:w="1313" w:type="dxa"/>
          </w:tcPr>
          <w:p w:rsidR="0089145B" w:rsidRPr="0002456B" w14:paraId="2643574F" w14:textId="77777777">
            <w:pPr>
              <w:pStyle w:val="TableParagraph"/>
              <w:spacing w:line="229" w:lineRule="exact"/>
              <w:ind w:left="319"/>
              <w:jc w:val="left"/>
              <w:rPr>
                <w:sz w:val="20"/>
              </w:rPr>
            </w:pPr>
            <w:r w:rsidRPr="0002456B">
              <w:rPr>
                <w:spacing w:val="-2"/>
                <w:sz w:val="20"/>
              </w:rPr>
              <w:t>Stratum</w:t>
            </w:r>
          </w:p>
        </w:tc>
        <w:tc>
          <w:tcPr>
            <w:tcW w:w="1308" w:type="dxa"/>
            <w:shd w:val="clear" w:color="auto" w:fill="D9D9D9"/>
          </w:tcPr>
          <w:p w:rsidR="0089145B" w:rsidRPr="0002456B" w14:paraId="00793045" w14:textId="09025B10">
            <w:pPr>
              <w:pStyle w:val="TableParagraph"/>
              <w:spacing w:line="228" w:lineRule="exact"/>
              <w:ind w:left="21"/>
              <w:rPr>
                <w:sz w:val="20"/>
              </w:rPr>
            </w:pPr>
            <w:r w:rsidRPr="0002456B">
              <w:rPr>
                <w:spacing w:val="-2"/>
                <w:sz w:val="20"/>
              </w:rPr>
              <w:t>202</w:t>
            </w:r>
            <w:r w:rsidR="00B92F2E">
              <w:rPr>
                <w:spacing w:val="-2"/>
                <w:sz w:val="20"/>
              </w:rPr>
              <w:t>1</w:t>
            </w:r>
            <w:r w:rsidRPr="0002456B">
              <w:rPr>
                <w:spacing w:val="-2"/>
                <w:sz w:val="20"/>
              </w:rPr>
              <w:t xml:space="preserve"> NEISS</w:t>
            </w:r>
          </w:p>
          <w:p w:rsidR="0089145B" w:rsidRPr="0002456B" w14:paraId="443D6DE1" w14:textId="49C691C9">
            <w:pPr>
              <w:pStyle w:val="TableParagraph"/>
              <w:spacing w:line="234" w:lineRule="exact"/>
              <w:ind w:left="21" w:right="7"/>
              <w:rPr>
                <w:sz w:val="20"/>
              </w:rPr>
            </w:pPr>
            <w:r w:rsidRPr="0002456B">
              <w:rPr>
                <w:spacing w:val="-2"/>
                <w:sz w:val="20"/>
              </w:rPr>
              <w:t>Design</w:t>
            </w:r>
          </w:p>
        </w:tc>
        <w:tc>
          <w:tcPr>
            <w:tcW w:w="1318" w:type="dxa"/>
          </w:tcPr>
          <w:p w:rsidR="0089145B" w:rsidRPr="0002456B" w14:paraId="03AD2E07" w14:textId="720B2145">
            <w:pPr>
              <w:pStyle w:val="TableParagraph"/>
              <w:spacing w:line="229" w:lineRule="exact"/>
              <w:ind w:left="136"/>
              <w:jc w:val="left"/>
              <w:rPr>
                <w:sz w:val="20"/>
              </w:rPr>
            </w:pPr>
            <w:r w:rsidRPr="0002456B">
              <w:rPr>
                <w:sz w:val="20"/>
              </w:rPr>
              <w:t>2024</w:t>
            </w:r>
            <w:r w:rsidRPr="0002456B">
              <w:rPr>
                <w:spacing w:val="-6"/>
                <w:sz w:val="20"/>
              </w:rPr>
              <w:t xml:space="preserve"> </w:t>
            </w:r>
            <w:r w:rsidRPr="0002456B">
              <w:rPr>
                <w:spacing w:val="-2"/>
                <w:sz w:val="20"/>
              </w:rPr>
              <w:t>NEISS:</w:t>
            </w:r>
          </w:p>
          <w:p w:rsidR="0089145B" w:rsidRPr="0002456B" w14:paraId="25CB86F4" w14:textId="77777777">
            <w:pPr>
              <w:pStyle w:val="TableParagraph"/>
              <w:spacing w:line="240" w:lineRule="auto"/>
              <w:ind w:left="234"/>
              <w:jc w:val="left"/>
              <w:rPr>
                <w:sz w:val="20"/>
              </w:rPr>
            </w:pPr>
            <w:r w:rsidRPr="0002456B">
              <w:rPr>
                <w:spacing w:val="-2"/>
                <w:sz w:val="20"/>
              </w:rPr>
              <w:t>Reporting</w:t>
            </w:r>
          </w:p>
          <w:p w:rsidR="0089145B" w:rsidRPr="0002456B" w14:paraId="0C051244" w14:textId="3B5CBE99">
            <w:pPr>
              <w:pStyle w:val="TableParagraph"/>
              <w:spacing w:before="6" w:line="218" w:lineRule="exact"/>
              <w:ind w:left="208"/>
              <w:jc w:val="left"/>
              <w:rPr>
                <w:sz w:val="20"/>
              </w:rPr>
            </w:pPr>
          </w:p>
        </w:tc>
        <w:tc>
          <w:tcPr>
            <w:tcW w:w="1316" w:type="dxa"/>
          </w:tcPr>
          <w:p w:rsidR="0089145B" w:rsidRPr="0002456B" w14:paraId="399A6317" w14:textId="1E2BB561">
            <w:pPr>
              <w:pStyle w:val="TableParagraph"/>
              <w:spacing w:line="229" w:lineRule="exact"/>
              <w:ind w:left="136"/>
              <w:jc w:val="left"/>
              <w:rPr>
                <w:sz w:val="20"/>
              </w:rPr>
            </w:pPr>
            <w:r w:rsidRPr="0002456B">
              <w:rPr>
                <w:sz w:val="20"/>
              </w:rPr>
              <w:t>1997</w:t>
            </w:r>
            <w:r w:rsidRPr="0002456B">
              <w:rPr>
                <w:spacing w:val="-6"/>
                <w:sz w:val="20"/>
              </w:rPr>
              <w:t xml:space="preserve"> </w:t>
            </w:r>
            <w:r w:rsidRPr="0002456B">
              <w:rPr>
                <w:spacing w:val="-2"/>
                <w:sz w:val="20"/>
              </w:rPr>
              <w:t>NEISS</w:t>
            </w:r>
            <w:r>
              <w:rPr>
                <w:spacing w:val="-2"/>
                <w:sz w:val="20"/>
              </w:rPr>
              <w:t xml:space="preserve"> </w:t>
            </w:r>
            <w:r w:rsidRPr="0002456B">
              <w:rPr>
                <w:spacing w:val="-2"/>
                <w:sz w:val="20"/>
              </w:rPr>
              <w:t>Design</w:t>
            </w:r>
          </w:p>
          <w:p w:rsidR="0089145B" w:rsidRPr="0002456B" w14:paraId="6D09CD2C" w14:textId="19CFA513">
            <w:pPr>
              <w:pStyle w:val="TableParagraph"/>
              <w:spacing w:before="6" w:line="218" w:lineRule="exact"/>
              <w:ind w:left="210"/>
              <w:jc w:val="left"/>
              <w:rPr>
                <w:sz w:val="20"/>
              </w:rPr>
            </w:pPr>
          </w:p>
        </w:tc>
        <w:tc>
          <w:tcPr>
            <w:tcW w:w="1417" w:type="dxa"/>
          </w:tcPr>
          <w:p w:rsidR="0089145B" w:rsidRPr="0073105C" w14:paraId="2C10F491" w14:textId="2F86AB60">
            <w:pPr>
              <w:pStyle w:val="TableParagraph"/>
              <w:spacing w:line="229" w:lineRule="exact"/>
              <w:ind w:left="55" w:right="45"/>
              <w:rPr>
                <w:sz w:val="20"/>
              </w:rPr>
            </w:pPr>
            <w:r w:rsidRPr="0073105C">
              <w:rPr>
                <w:sz w:val="20"/>
              </w:rPr>
              <w:t>2024</w:t>
            </w:r>
            <w:r w:rsidRPr="0073105C">
              <w:rPr>
                <w:spacing w:val="-6"/>
                <w:sz w:val="20"/>
              </w:rPr>
              <w:t xml:space="preserve"> </w:t>
            </w:r>
            <w:r w:rsidRPr="0073105C">
              <w:rPr>
                <w:spacing w:val="-2"/>
                <w:sz w:val="20"/>
              </w:rPr>
              <w:t>NEISS:</w:t>
            </w:r>
          </w:p>
          <w:p w:rsidR="0089145B" w:rsidRPr="0073105C" w14:paraId="3EAC5933" w14:textId="52DCCBD2">
            <w:pPr>
              <w:pStyle w:val="TableParagraph"/>
              <w:spacing w:before="6" w:line="218" w:lineRule="exact"/>
              <w:ind w:left="56" w:right="45"/>
              <w:rPr>
                <w:sz w:val="20"/>
              </w:rPr>
            </w:pPr>
            <w:r w:rsidRPr="0073105C">
              <w:rPr>
                <w:spacing w:val="-2"/>
                <w:sz w:val="20"/>
              </w:rPr>
              <w:t>Reporting</w:t>
            </w:r>
          </w:p>
        </w:tc>
      </w:tr>
      <w:tr w14:paraId="581D6F13" w14:textId="77777777" w:rsidTr="00B92F2E">
        <w:tblPrEx>
          <w:tblW w:w="0" w:type="auto"/>
          <w:tblInd w:w="1445" w:type="dxa"/>
          <w:tblLayout w:type="fixed"/>
          <w:tblCellMar>
            <w:left w:w="0" w:type="dxa"/>
            <w:right w:w="0" w:type="dxa"/>
          </w:tblCellMar>
          <w:tblLook w:val="01E0"/>
        </w:tblPrEx>
        <w:trPr>
          <w:trHeight w:val="227"/>
        </w:trPr>
        <w:tc>
          <w:tcPr>
            <w:tcW w:w="1313" w:type="dxa"/>
          </w:tcPr>
          <w:p w:rsidR="0089145B" w:rsidRPr="0002456B" w14:paraId="4C007A2B" w14:textId="77777777">
            <w:pPr>
              <w:pStyle w:val="TableParagraph"/>
              <w:spacing w:line="208" w:lineRule="exact"/>
              <w:jc w:val="left"/>
              <w:rPr>
                <w:sz w:val="20"/>
              </w:rPr>
            </w:pPr>
            <w:r w:rsidRPr="0002456B">
              <w:rPr>
                <w:spacing w:val="-2"/>
                <w:sz w:val="20"/>
              </w:rPr>
              <w:t>Small</w:t>
            </w:r>
          </w:p>
        </w:tc>
        <w:tc>
          <w:tcPr>
            <w:tcW w:w="1308" w:type="dxa"/>
            <w:shd w:val="clear" w:color="auto" w:fill="D9D9D9"/>
          </w:tcPr>
          <w:p w:rsidR="0089145B" w:rsidRPr="0002456B" w14:paraId="495BB00B" w14:textId="77777777">
            <w:pPr>
              <w:pStyle w:val="TableParagraph"/>
              <w:spacing w:line="208" w:lineRule="exact"/>
              <w:ind w:left="21"/>
              <w:rPr>
                <w:sz w:val="20"/>
              </w:rPr>
            </w:pPr>
            <w:r w:rsidRPr="0002456B">
              <w:rPr>
                <w:spacing w:val="-5"/>
                <w:sz w:val="20"/>
              </w:rPr>
              <w:t>43</w:t>
            </w:r>
          </w:p>
        </w:tc>
        <w:tc>
          <w:tcPr>
            <w:tcW w:w="1318" w:type="dxa"/>
          </w:tcPr>
          <w:p w:rsidR="0089145B" w:rsidRPr="0002456B" w14:paraId="5D7D6977" w14:textId="6B3D2CDC">
            <w:pPr>
              <w:pStyle w:val="TableParagraph"/>
              <w:spacing w:line="208" w:lineRule="exact"/>
              <w:ind w:left="25"/>
              <w:rPr>
                <w:sz w:val="20"/>
              </w:rPr>
            </w:pPr>
            <w:r w:rsidRPr="0002456B">
              <w:rPr>
                <w:spacing w:val="-5"/>
                <w:sz w:val="20"/>
              </w:rPr>
              <w:t>31</w:t>
            </w:r>
          </w:p>
        </w:tc>
        <w:tc>
          <w:tcPr>
            <w:tcW w:w="1316" w:type="dxa"/>
          </w:tcPr>
          <w:p w:rsidR="0089145B" w:rsidRPr="0002456B" w14:paraId="2F43E168" w14:textId="3A4118F7">
            <w:pPr>
              <w:pStyle w:val="TableParagraph"/>
              <w:spacing w:line="208" w:lineRule="exact"/>
              <w:ind w:left="17" w:right="3"/>
              <w:rPr>
                <w:sz w:val="20"/>
              </w:rPr>
            </w:pPr>
            <w:r w:rsidRPr="0002456B">
              <w:rPr>
                <w:spacing w:val="-10"/>
                <w:sz w:val="20"/>
              </w:rPr>
              <w:t>48</w:t>
            </w:r>
          </w:p>
        </w:tc>
        <w:tc>
          <w:tcPr>
            <w:tcW w:w="1417" w:type="dxa"/>
          </w:tcPr>
          <w:p w:rsidR="0089145B" w:rsidRPr="0073105C" w14:paraId="5A2B3131" w14:textId="7C84E2E7">
            <w:pPr>
              <w:pStyle w:val="TableParagraph"/>
              <w:spacing w:line="208" w:lineRule="exact"/>
              <w:ind w:left="58" w:right="45"/>
              <w:rPr>
                <w:sz w:val="20"/>
              </w:rPr>
            </w:pPr>
            <w:r w:rsidRPr="0073105C">
              <w:rPr>
                <w:spacing w:val="-10"/>
                <w:sz w:val="20"/>
              </w:rPr>
              <w:t>33</w:t>
            </w:r>
          </w:p>
        </w:tc>
      </w:tr>
      <w:tr w14:paraId="599EDDF5" w14:textId="77777777" w:rsidTr="00B92F2E">
        <w:tblPrEx>
          <w:tblW w:w="0" w:type="auto"/>
          <w:tblInd w:w="1445" w:type="dxa"/>
          <w:tblLayout w:type="fixed"/>
          <w:tblCellMar>
            <w:left w:w="0" w:type="dxa"/>
            <w:right w:w="0" w:type="dxa"/>
          </w:tblCellMar>
          <w:tblLook w:val="01E0"/>
        </w:tblPrEx>
        <w:trPr>
          <w:trHeight w:val="234"/>
        </w:trPr>
        <w:tc>
          <w:tcPr>
            <w:tcW w:w="1313" w:type="dxa"/>
          </w:tcPr>
          <w:p w:rsidR="0089145B" w:rsidRPr="0002456B" w14:paraId="7C3B0703" w14:textId="77777777">
            <w:pPr>
              <w:pStyle w:val="TableParagraph"/>
              <w:jc w:val="left"/>
              <w:rPr>
                <w:sz w:val="20"/>
              </w:rPr>
            </w:pPr>
            <w:r w:rsidRPr="0002456B">
              <w:rPr>
                <w:spacing w:val="-2"/>
                <w:sz w:val="20"/>
              </w:rPr>
              <w:t>Medium</w:t>
            </w:r>
          </w:p>
        </w:tc>
        <w:tc>
          <w:tcPr>
            <w:tcW w:w="1308" w:type="dxa"/>
            <w:shd w:val="clear" w:color="auto" w:fill="D9D9D9"/>
          </w:tcPr>
          <w:p w:rsidR="0089145B" w:rsidRPr="0002456B" w14:paraId="7F88F97E" w14:textId="77777777">
            <w:pPr>
              <w:pStyle w:val="TableParagraph"/>
              <w:ind w:left="21"/>
              <w:rPr>
                <w:sz w:val="20"/>
              </w:rPr>
            </w:pPr>
            <w:r w:rsidRPr="0002456B">
              <w:rPr>
                <w:spacing w:val="-5"/>
                <w:sz w:val="20"/>
              </w:rPr>
              <w:t>26</w:t>
            </w:r>
          </w:p>
        </w:tc>
        <w:tc>
          <w:tcPr>
            <w:tcW w:w="1318" w:type="dxa"/>
          </w:tcPr>
          <w:p w:rsidR="0089145B" w:rsidRPr="0002456B" w14:paraId="44D85D45" w14:textId="52014598">
            <w:pPr>
              <w:pStyle w:val="TableParagraph"/>
              <w:ind w:left="25"/>
              <w:rPr>
                <w:sz w:val="20"/>
              </w:rPr>
            </w:pPr>
            <w:r w:rsidRPr="0002456B">
              <w:rPr>
                <w:spacing w:val="-5"/>
                <w:sz w:val="20"/>
              </w:rPr>
              <w:t>18</w:t>
            </w:r>
          </w:p>
        </w:tc>
        <w:tc>
          <w:tcPr>
            <w:tcW w:w="1316" w:type="dxa"/>
          </w:tcPr>
          <w:p w:rsidR="0089145B" w:rsidRPr="0002456B" w14:paraId="3B7EFBB4" w14:textId="054778B5">
            <w:pPr>
              <w:pStyle w:val="TableParagraph"/>
              <w:ind w:left="17" w:right="3"/>
              <w:rPr>
                <w:sz w:val="20"/>
              </w:rPr>
            </w:pPr>
            <w:r w:rsidRPr="0002456B">
              <w:rPr>
                <w:spacing w:val="-10"/>
                <w:sz w:val="20"/>
              </w:rPr>
              <w:t>14</w:t>
            </w:r>
          </w:p>
        </w:tc>
        <w:tc>
          <w:tcPr>
            <w:tcW w:w="1417" w:type="dxa"/>
          </w:tcPr>
          <w:p w:rsidR="0089145B" w:rsidRPr="0073105C" w14:paraId="118B07DA" w14:textId="1A27EB12">
            <w:pPr>
              <w:pStyle w:val="TableParagraph"/>
              <w:ind w:left="58" w:right="45"/>
              <w:rPr>
                <w:sz w:val="20"/>
              </w:rPr>
            </w:pPr>
            <w:r w:rsidRPr="0073105C">
              <w:rPr>
                <w:spacing w:val="-10"/>
                <w:sz w:val="20"/>
              </w:rPr>
              <w:t>9</w:t>
            </w:r>
          </w:p>
        </w:tc>
      </w:tr>
      <w:tr w14:paraId="6D8869AC" w14:textId="77777777" w:rsidTr="00B92F2E">
        <w:tblPrEx>
          <w:tblW w:w="0" w:type="auto"/>
          <w:tblInd w:w="1445" w:type="dxa"/>
          <w:tblLayout w:type="fixed"/>
          <w:tblCellMar>
            <w:left w:w="0" w:type="dxa"/>
            <w:right w:w="0" w:type="dxa"/>
          </w:tblCellMar>
          <w:tblLook w:val="01E0"/>
        </w:tblPrEx>
        <w:trPr>
          <w:trHeight w:val="229"/>
        </w:trPr>
        <w:tc>
          <w:tcPr>
            <w:tcW w:w="1313" w:type="dxa"/>
          </w:tcPr>
          <w:p w:rsidR="0089145B" w:rsidRPr="0002456B" w14:paraId="3EB5F68A" w14:textId="77777777">
            <w:pPr>
              <w:pStyle w:val="TableParagraph"/>
              <w:spacing w:line="210" w:lineRule="exact"/>
              <w:jc w:val="left"/>
              <w:rPr>
                <w:sz w:val="20"/>
              </w:rPr>
            </w:pPr>
            <w:r w:rsidRPr="0002456B">
              <w:rPr>
                <w:spacing w:val="-2"/>
                <w:sz w:val="20"/>
              </w:rPr>
              <w:t>Large</w:t>
            </w:r>
          </w:p>
        </w:tc>
        <w:tc>
          <w:tcPr>
            <w:tcW w:w="1308" w:type="dxa"/>
            <w:shd w:val="clear" w:color="auto" w:fill="D9D9D9"/>
          </w:tcPr>
          <w:p w:rsidR="0089145B" w:rsidRPr="0002456B" w14:paraId="65BFF39B" w14:textId="77777777">
            <w:pPr>
              <w:pStyle w:val="TableParagraph"/>
              <w:spacing w:line="210" w:lineRule="exact"/>
              <w:ind w:left="21"/>
              <w:rPr>
                <w:sz w:val="20"/>
              </w:rPr>
            </w:pPr>
            <w:r w:rsidRPr="0002456B">
              <w:rPr>
                <w:spacing w:val="-5"/>
                <w:sz w:val="20"/>
              </w:rPr>
              <w:t>12</w:t>
            </w:r>
          </w:p>
        </w:tc>
        <w:tc>
          <w:tcPr>
            <w:tcW w:w="1318" w:type="dxa"/>
          </w:tcPr>
          <w:p w:rsidR="0089145B" w:rsidRPr="0002456B" w14:paraId="0FF17B98" w14:textId="4CE4F649">
            <w:pPr>
              <w:pStyle w:val="TableParagraph"/>
              <w:spacing w:line="210" w:lineRule="exact"/>
              <w:ind w:left="25"/>
              <w:rPr>
                <w:sz w:val="20"/>
              </w:rPr>
            </w:pPr>
            <w:r w:rsidRPr="0002456B">
              <w:rPr>
                <w:spacing w:val="-5"/>
                <w:sz w:val="20"/>
              </w:rPr>
              <w:t>10</w:t>
            </w:r>
          </w:p>
        </w:tc>
        <w:tc>
          <w:tcPr>
            <w:tcW w:w="1316" w:type="dxa"/>
          </w:tcPr>
          <w:p w:rsidR="0089145B" w:rsidRPr="0002456B" w14:paraId="3E1F3A7B" w14:textId="0129ACB7">
            <w:pPr>
              <w:pStyle w:val="TableParagraph"/>
              <w:spacing w:line="210" w:lineRule="exact"/>
              <w:ind w:left="17" w:right="3"/>
              <w:rPr>
                <w:sz w:val="20"/>
              </w:rPr>
            </w:pPr>
            <w:r w:rsidRPr="0002456B">
              <w:rPr>
                <w:spacing w:val="-10"/>
                <w:sz w:val="20"/>
              </w:rPr>
              <w:t>9</w:t>
            </w:r>
          </w:p>
        </w:tc>
        <w:tc>
          <w:tcPr>
            <w:tcW w:w="1417" w:type="dxa"/>
          </w:tcPr>
          <w:p w:rsidR="0089145B" w:rsidRPr="0073105C" w14:paraId="4F13465E" w14:textId="0561DCFD">
            <w:pPr>
              <w:pStyle w:val="TableParagraph"/>
              <w:spacing w:line="210" w:lineRule="exact"/>
              <w:ind w:left="58" w:right="45"/>
              <w:rPr>
                <w:sz w:val="20"/>
              </w:rPr>
            </w:pPr>
            <w:r w:rsidRPr="0073105C">
              <w:rPr>
                <w:spacing w:val="-10"/>
                <w:sz w:val="20"/>
              </w:rPr>
              <w:t>9</w:t>
            </w:r>
          </w:p>
        </w:tc>
      </w:tr>
      <w:tr w14:paraId="2DD53574" w14:textId="77777777" w:rsidTr="00B92F2E">
        <w:tblPrEx>
          <w:tblW w:w="0" w:type="auto"/>
          <w:tblInd w:w="1445" w:type="dxa"/>
          <w:tblLayout w:type="fixed"/>
          <w:tblCellMar>
            <w:left w:w="0" w:type="dxa"/>
            <w:right w:w="0" w:type="dxa"/>
          </w:tblCellMar>
          <w:tblLook w:val="01E0"/>
        </w:tblPrEx>
        <w:trPr>
          <w:trHeight w:val="234"/>
        </w:trPr>
        <w:tc>
          <w:tcPr>
            <w:tcW w:w="1313" w:type="dxa"/>
          </w:tcPr>
          <w:p w:rsidR="0089145B" w:rsidRPr="0002456B" w14:paraId="254AD1EA" w14:textId="77777777">
            <w:pPr>
              <w:pStyle w:val="TableParagraph"/>
              <w:jc w:val="left"/>
              <w:rPr>
                <w:sz w:val="20"/>
              </w:rPr>
            </w:pPr>
            <w:r w:rsidRPr="0002456B">
              <w:rPr>
                <w:sz w:val="20"/>
              </w:rPr>
              <w:t>Very</w:t>
            </w:r>
            <w:r w:rsidRPr="0002456B">
              <w:rPr>
                <w:spacing w:val="-7"/>
                <w:sz w:val="20"/>
              </w:rPr>
              <w:t xml:space="preserve"> </w:t>
            </w:r>
            <w:r w:rsidRPr="0002456B">
              <w:rPr>
                <w:spacing w:val="-2"/>
                <w:sz w:val="20"/>
              </w:rPr>
              <w:t>Large</w:t>
            </w:r>
          </w:p>
        </w:tc>
        <w:tc>
          <w:tcPr>
            <w:tcW w:w="1308" w:type="dxa"/>
            <w:shd w:val="clear" w:color="auto" w:fill="D9D9D9"/>
          </w:tcPr>
          <w:p w:rsidR="0089145B" w:rsidRPr="0002456B" w14:paraId="4263BD2C" w14:textId="77777777">
            <w:pPr>
              <w:pStyle w:val="TableParagraph"/>
              <w:ind w:left="21"/>
              <w:rPr>
                <w:sz w:val="20"/>
              </w:rPr>
            </w:pPr>
            <w:r w:rsidRPr="0002456B">
              <w:rPr>
                <w:spacing w:val="-5"/>
                <w:sz w:val="20"/>
              </w:rPr>
              <w:t>11</w:t>
            </w:r>
          </w:p>
        </w:tc>
        <w:tc>
          <w:tcPr>
            <w:tcW w:w="1318" w:type="dxa"/>
          </w:tcPr>
          <w:p w:rsidR="0089145B" w:rsidRPr="0002456B" w14:paraId="075D1F8C" w14:textId="60FE810E">
            <w:pPr>
              <w:pStyle w:val="TableParagraph"/>
              <w:ind w:left="25" w:right="2"/>
              <w:rPr>
                <w:sz w:val="20"/>
              </w:rPr>
            </w:pPr>
            <w:r w:rsidRPr="0002456B">
              <w:rPr>
                <w:spacing w:val="-10"/>
                <w:sz w:val="20"/>
              </w:rPr>
              <w:t>10</w:t>
            </w:r>
          </w:p>
        </w:tc>
        <w:tc>
          <w:tcPr>
            <w:tcW w:w="1316" w:type="dxa"/>
          </w:tcPr>
          <w:p w:rsidR="0089145B" w:rsidRPr="0002456B" w14:paraId="1A8FFA2E" w14:textId="625F542E">
            <w:pPr>
              <w:pStyle w:val="TableParagraph"/>
              <w:ind w:left="17" w:right="3"/>
              <w:rPr>
                <w:sz w:val="20"/>
              </w:rPr>
            </w:pPr>
            <w:r w:rsidRPr="0002456B">
              <w:rPr>
                <w:spacing w:val="-10"/>
                <w:sz w:val="20"/>
              </w:rPr>
              <w:t>23</w:t>
            </w:r>
          </w:p>
        </w:tc>
        <w:tc>
          <w:tcPr>
            <w:tcW w:w="1417" w:type="dxa"/>
          </w:tcPr>
          <w:p w:rsidR="0089145B" w:rsidRPr="0073105C" w14:paraId="207D72A8" w14:textId="33FAB8AE">
            <w:pPr>
              <w:pStyle w:val="TableParagraph"/>
              <w:ind w:left="58" w:right="45"/>
              <w:rPr>
                <w:sz w:val="20"/>
              </w:rPr>
            </w:pPr>
            <w:r w:rsidRPr="0073105C">
              <w:rPr>
                <w:spacing w:val="-10"/>
                <w:sz w:val="20"/>
              </w:rPr>
              <w:t>19</w:t>
            </w:r>
          </w:p>
        </w:tc>
      </w:tr>
      <w:tr w14:paraId="20533158" w14:textId="77777777" w:rsidTr="00B92F2E">
        <w:tblPrEx>
          <w:tblW w:w="0" w:type="auto"/>
          <w:tblInd w:w="1445" w:type="dxa"/>
          <w:tblLayout w:type="fixed"/>
          <w:tblCellMar>
            <w:left w:w="0" w:type="dxa"/>
            <w:right w:w="0" w:type="dxa"/>
          </w:tblCellMar>
          <w:tblLook w:val="01E0"/>
        </w:tblPrEx>
        <w:trPr>
          <w:trHeight w:val="234"/>
        </w:trPr>
        <w:tc>
          <w:tcPr>
            <w:tcW w:w="1313" w:type="dxa"/>
          </w:tcPr>
          <w:p w:rsidR="0089145B" w:rsidRPr="0002456B" w14:paraId="67706094" w14:textId="77777777">
            <w:pPr>
              <w:pStyle w:val="TableParagraph"/>
              <w:jc w:val="left"/>
              <w:rPr>
                <w:sz w:val="20"/>
              </w:rPr>
            </w:pPr>
            <w:r w:rsidRPr="0002456B">
              <w:rPr>
                <w:spacing w:val="-2"/>
                <w:sz w:val="20"/>
              </w:rPr>
              <w:t>Children’s</w:t>
            </w:r>
          </w:p>
        </w:tc>
        <w:tc>
          <w:tcPr>
            <w:tcW w:w="1308" w:type="dxa"/>
            <w:shd w:val="clear" w:color="auto" w:fill="D9D9D9"/>
          </w:tcPr>
          <w:p w:rsidR="0089145B" w:rsidRPr="0002456B" w14:paraId="5D360BDE" w14:textId="77777777">
            <w:pPr>
              <w:pStyle w:val="TableParagraph"/>
              <w:ind w:left="21" w:right="7"/>
              <w:rPr>
                <w:sz w:val="20"/>
              </w:rPr>
            </w:pPr>
            <w:r w:rsidRPr="0002456B">
              <w:rPr>
                <w:spacing w:val="-10"/>
                <w:sz w:val="20"/>
              </w:rPr>
              <w:t>8</w:t>
            </w:r>
          </w:p>
        </w:tc>
        <w:tc>
          <w:tcPr>
            <w:tcW w:w="1318" w:type="dxa"/>
          </w:tcPr>
          <w:p w:rsidR="0089145B" w:rsidRPr="0002456B" w14:paraId="7D723862" w14:textId="6FD8EDB3">
            <w:pPr>
              <w:pStyle w:val="TableParagraph"/>
              <w:ind w:left="25" w:right="2"/>
              <w:rPr>
                <w:sz w:val="20"/>
              </w:rPr>
            </w:pPr>
            <w:r w:rsidRPr="0002456B">
              <w:rPr>
                <w:spacing w:val="-10"/>
                <w:sz w:val="20"/>
              </w:rPr>
              <w:t>8</w:t>
            </w:r>
          </w:p>
        </w:tc>
        <w:tc>
          <w:tcPr>
            <w:tcW w:w="1316" w:type="dxa"/>
          </w:tcPr>
          <w:p w:rsidR="0089145B" w:rsidRPr="0002456B" w14:paraId="21EA07A8" w14:textId="13F12ECB">
            <w:pPr>
              <w:pStyle w:val="TableParagraph"/>
              <w:ind w:left="17" w:right="3"/>
              <w:rPr>
                <w:sz w:val="20"/>
              </w:rPr>
            </w:pPr>
            <w:r w:rsidRPr="0002456B">
              <w:rPr>
                <w:spacing w:val="-10"/>
                <w:sz w:val="20"/>
              </w:rPr>
              <w:t>8</w:t>
            </w:r>
          </w:p>
        </w:tc>
        <w:tc>
          <w:tcPr>
            <w:tcW w:w="1417" w:type="dxa"/>
          </w:tcPr>
          <w:p w:rsidR="0089145B" w:rsidRPr="0073105C" w14:paraId="2A347BD8" w14:textId="675F32F8">
            <w:pPr>
              <w:pStyle w:val="TableParagraph"/>
              <w:ind w:left="58" w:right="45"/>
              <w:rPr>
                <w:sz w:val="20"/>
              </w:rPr>
            </w:pPr>
            <w:r w:rsidRPr="0073105C">
              <w:rPr>
                <w:spacing w:val="-10"/>
                <w:sz w:val="20"/>
              </w:rPr>
              <w:t>7</w:t>
            </w:r>
          </w:p>
        </w:tc>
      </w:tr>
      <w:tr w14:paraId="45A90C32" w14:textId="77777777" w:rsidTr="00B92F2E">
        <w:tblPrEx>
          <w:tblW w:w="0" w:type="auto"/>
          <w:tblInd w:w="1445" w:type="dxa"/>
          <w:tblLayout w:type="fixed"/>
          <w:tblCellMar>
            <w:left w:w="0" w:type="dxa"/>
            <w:right w:w="0" w:type="dxa"/>
          </w:tblCellMar>
          <w:tblLook w:val="01E0"/>
        </w:tblPrEx>
        <w:trPr>
          <w:trHeight w:val="232"/>
        </w:trPr>
        <w:tc>
          <w:tcPr>
            <w:tcW w:w="1313" w:type="dxa"/>
          </w:tcPr>
          <w:p w:rsidR="0089145B" w:rsidRPr="0002456B" w14:paraId="3298C846" w14:textId="77777777">
            <w:pPr>
              <w:pStyle w:val="TableParagraph"/>
              <w:spacing w:line="212" w:lineRule="exact"/>
              <w:jc w:val="left"/>
              <w:rPr>
                <w:sz w:val="20"/>
              </w:rPr>
            </w:pPr>
            <w:r w:rsidRPr="0002456B">
              <w:rPr>
                <w:spacing w:val="-2"/>
                <w:sz w:val="20"/>
              </w:rPr>
              <w:t>Total</w:t>
            </w:r>
          </w:p>
        </w:tc>
        <w:tc>
          <w:tcPr>
            <w:tcW w:w="1308" w:type="dxa"/>
            <w:shd w:val="clear" w:color="auto" w:fill="D9D9D9"/>
          </w:tcPr>
          <w:p w:rsidR="0089145B" w:rsidRPr="0002456B" w14:paraId="2A47EDF6" w14:textId="77777777">
            <w:pPr>
              <w:pStyle w:val="TableParagraph"/>
              <w:spacing w:line="212" w:lineRule="exact"/>
              <w:ind w:left="21"/>
              <w:rPr>
                <w:sz w:val="20"/>
              </w:rPr>
            </w:pPr>
            <w:r w:rsidRPr="0002456B">
              <w:rPr>
                <w:spacing w:val="-5"/>
                <w:sz w:val="20"/>
              </w:rPr>
              <w:t>100</w:t>
            </w:r>
          </w:p>
        </w:tc>
        <w:tc>
          <w:tcPr>
            <w:tcW w:w="1318" w:type="dxa"/>
          </w:tcPr>
          <w:p w:rsidR="0089145B" w:rsidRPr="0002456B" w14:paraId="2480C99D" w14:textId="0137754F">
            <w:pPr>
              <w:pStyle w:val="TableParagraph"/>
              <w:spacing w:line="212" w:lineRule="exact"/>
              <w:ind w:left="25"/>
              <w:rPr>
                <w:sz w:val="20"/>
              </w:rPr>
            </w:pPr>
            <w:r w:rsidRPr="0002456B">
              <w:rPr>
                <w:spacing w:val="-5"/>
                <w:sz w:val="20"/>
              </w:rPr>
              <w:t>77</w:t>
            </w:r>
          </w:p>
        </w:tc>
        <w:tc>
          <w:tcPr>
            <w:tcW w:w="1316" w:type="dxa"/>
          </w:tcPr>
          <w:p w:rsidR="0089145B" w:rsidRPr="0002456B" w14:paraId="7BC35E4E" w14:textId="5D874605">
            <w:pPr>
              <w:pStyle w:val="TableParagraph"/>
              <w:spacing w:line="212" w:lineRule="exact"/>
              <w:ind w:left="17"/>
              <w:rPr>
                <w:sz w:val="20"/>
              </w:rPr>
            </w:pPr>
            <w:r w:rsidRPr="0002456B">
              <w:rPr>
                <w:spacing w:val="-5"/>
                <w:sz w:val="20"/>
              </w:rPr>
              <w:t>102</w:t>
            </w:r>
          </w:p>
        </w:tc>
        <w:tc>
          <w:tcPr>
            <w:tcW w:w="1417" w:type="dxa"/>
          </w:tcPr>
          <w:p w:rsidR="0089145B" w:rsidRPr="0073105C" w14:paraId="1105C11D" w14:textId="07F83BA0">
            <w:pPr>
              <w:pStyle w:val="TableParagraph"/>
              <w:spacing w:line="212" w:lineRule="exact"/>
              <w:ind w:left="55" w:right="45"/>
              <w:rPr>
                <w:sz w:val="20"/>
              </w:rPr>
            </w:pPr>
            <w:r>
              <w:rPr>
                <w:spacing w:val="-5"/>
                <w:sz w:val="20"/>
              </w:rPr>
              <w:t>77</w:t>
            </w:r>
          </w:p>
        </w:tc>
      </w:tr>
    </w:tbl>
    <w:p w:rsidR="00D53A85" w14:paraId="0145B009" w14:textId="77777777">
      <w:pPr>
        <w:pStyle w:val="BodyText"/>
        <w:spacing w:before="4"/>
        <w:ind w:left="0"/>
        <w:rPr>
          <w:b/>
        </w:rPr>
      </w:pPr>
    </w:p>
    <w:p w:rsidR="007E31F8" w14:paraId="3C1D9D51" w14:textId="77777777">
      <w:pPr>
        <w:pStyle w:val="BodyText"/>
        <w:spacing w:before="4"/>
        <w:ind w:left="0"/>
        <w:rPr>
          <w:b/>
          <w:i/>
          <w:iCs/>
        </w:rPr>
      </w:pPr>
    </w:p>
    <w:p w:rsidR="00D53A85" w14:paraId="74CEA18F" w14:textId="77777777">
      <w:pPr>
        <w:pStyle w:val="BodyText"/>
        <w:spacing w:before="1"/>
        <w:ind w:left="0"/>
      </w:pPr>
      <w:bookmarkStart w:id="9" w:name="_bookmark0"/>
      <w:bookmarkStart w:id="10" w:name="_bookmark1"/>
      <w:bookmarkEnd w:id="9"/>
      <w:bookmarkEnd w:id="10"/>
    </w:p>
    <w:p w:rsidR="00D53A85" w:rsidRPr="00B914EC" w14:paraId="3618D92B" w14:textId="77777777">
      <w:pPr>
        <w:pStyle w:val="Heading2"/>
        <w:numPr>
          <w:ilvl w:val="0"/>
          <w:numId w:val="2"/>
        </w:numPr>
        <w:tabs>
          <w:tab w:val="left" w:pos="363"/>
        </w:tabs>
        <w:ind w:left="119" w:right="1713" w:firstLine="0"/>
      </w:pPr>
      <w:bookmarkStart w:id="11" w:name="7._Special_circumstances_requiring_respo"/>
      <w:bookmarkEnd w:id="11"/>
      <w:r w:rsidRPr="00B914EC">
        <w:t>Special circumstances requiring respondents to report information more</w:t>
      </w:r>
      <w:r w:rsidRPr="00B914EC">
        <w:rPr>
          <w:spacing w:val="-5"/>
        </w:rPr>
        <w:t xml:space="preserve"> </w:t>
      </w:r>
      <w:r w:rsidRPr="00B914EC">
        <w:t>often</w:t>
      </w:r>
      <w:r w:rsidRPr="00B914EC">
        <w:rPr>
          <w:spacing w:val="-3"/>
        </w:rPr>
        <w:t xml:space="preserve"> </w:t>
      </w:r>
      <w:r w:rsidRPr="00B914EC">
        <w:t>than</w:t>
      </w:r>
      <w:r w:rsidRPr="00B914EC">
        <w:rPr>
          <w:spacing w:val="-3"/>
        </w:rPr>
        <w:t xml:space="preserve"> </w:t>
      </w:r>
      <w:r w:rsidRPr="00B914EC">
        <w:t>quarterly</w:t>
      </w:r>
      <w:r w:rsidRPr="00B914EC">
        <w:rPr>
          <w:spacing w:val="-5"/>
        </w:rPr>
        <w:t xml:space="preserve"> </w:t>
      </w:r>
      <w:r w:rsidRPr="00B914EC">
        <w:t>or</w:t>
      </w:r>
      <w:r w:rsidRPr="00B914EC">
        <w:rPr>
          <w:spacing w:val="-4"/>
        </w:rPr>
        <w:t xml:space="preserve"> </w:t>
      </w:r>
      <w:r w:rsidRPr="00B914EC">
        <w:t>to</w:t>
      </w:r>
      <w:r w:rsidRPr="00B914EC">
        <w:rPr>
          <w:spacing w:val="-5"/>
        </w:rPr>
        <w:t xml:space="preserve"> </w:t>
      </w:r>
      <w:r w:rsidRPr="00B914EC">
        <w:t>prepare</w:t>
      </w:r>
      <w:r w:rsidRPr="00B914EC">
        <w:rPr>
          <w:spacing w:val="-4"/>
        </w:rPr>
        <w:t xml:space="preserve"> </w:t>
      </w:r>
      <w:r w:rsidRPr="00B914EC">
        <w:t>responses</w:t>
      </w:r>
      <w:r w:rsidRPr="00B914EC">
        <w:rPr>
          <w:spacing w:val="-5"/>
        </w:rPr>
        <w:t xml:space="preserve"> </w:t>
      </w:r>
      <w:r w:rsidRPr="00B914EC">
        <w:t>in</w:t>
      </w:r>
      <w:r w:rsidRPr="00B914EC">
        <w:rPr>
          <w:spacing w:val="-3"/>
        </w:rPr>
        <w:t xml:space="preserve"> </w:t>
      </w:r>
      <w:r w:rsidRPr="00B914EC">
        <w:t>fewer</w:t>
      </w:r>
      <w:r w:rsidRPr="00B914EC">
        <w:rPr>
          <w:spacing w:val="-3"/>
        </w:rPr>
        <w:t xml:space="preserve"> </w:t>
      </w:r>
      <w:r w:rsidRPr="00B914EC">
        <w:t>than</w:t>
      </w:r>
      <w:r w:rsidRPr="00B914EC">
        <w:rPr>
          <w:spacing w:val="-3"/>
        </w:rPr>
        <w:t xml:space="preserve"> </w:t>
      </w:r>
      <w:r w:rsidRPr="00B914EC">
        <w:t>30</w:t>
      </w:r>
      <w:r w:rsidRPr="00B914EC">
        <w:rPr>
          <w:spacing w:val="-27"/>
        </w:rPr>
        <w:t xml:space="preserve"> </w:t>
      </w:r>
      <w:r w:rsidRPr="00B914EC">
        <w:t>days</w:t>
      </w:r>
    </w:p>
    <w:p w:rsidR="00D53A85" w:rsidRPr="00B914EC" w14:paraId="725027F3" w14:textId="77777777">
      <w:pPr>
        <w:pStyle w:val="BodyText"/>
        <w:spacing w:before="1"/>
        <w:ind w:left="0"/>
        <w:rPr>
          <w:b/>
          <w:i/>
        </w:rPr>
      </w:pPr>
    </w:p>
    <w:p w:rsidR="00D53A85" w14:paraId="0819939C" w14:textId="2200BE9A">
      <w:pPr>
        <w:pStyle w:val="BodyText"/>
        <w:ind w:left="119" w:right="814"/>
      </w:pPr>
      <w:r w:rsidRPr="00B914EC">
        <w:t>Timely reporting of consumer product-related injuries and childhood poisonings treated</w:t>
      </w:r>
      <w:r w:rsidRPr="00B914EC">
        <w:rPr>
          <w:spacing w:val="-5"/>
        </w:rPr>
        <w:t xml:space="preserve"> </w:t>
      </w:r>
      <w:r w:rsidRPr="00B914EC">
        <w:t>in</w:t>
      </w:r>
      <w:r w:rsidRPr="00B914EC">
        <w:rPr>
          <w:spacing w:val="-3"/>
        </w:rPr>
        <w:t xml:space="preserve"> </w:t>
      </w:r>
      <w:r w:rsidRPr="00B914EC">
        <w:t>emergency</w:t>
      </w:r>
      <w:r w:rsidRPr="00B914EC">
        <w:rPr>
          <w:spacing w:val="-4"/>
        </w:rPr>
        <w:t xml:space="preserve"> </w:t>
      </w:r>
      <w:r w:rsidRPr="00B914EC">
        <w:t>departments</w:t>
      </w:r>
      <w:r w:rsidRPr="00B914EC">
        <w:rPr>
          <w:spacing w:val="-3"/>
        </w:rPr>
        <w:t xml:space="preserve"> </w:t>
      </w:r>
      <w:r w:rsidRPr="00B914EC">
        <w:t>is</w:t>
      </w:r>
      <w:r w:rsidRPr="00B914EC">
        <w:rPr>
          <w:spacing w:val="-3"/>
        </w:rPr>
        <w:t xml:space="preserve"> </w:t>
      </w:r>
      <w:r w:rsidRPr="00B914EC">
        <w:t>necessary</w:t>
      </w:r>
      <w:r w:rsidRPr="00B914EC">
        <w:rPr>
          <w:spacing w:val="-4"/>
        </w:rPr>
        <w:t xml:space="preserve"> </w:t>
      </w:r>
      <w:r w:rsidRPr="00B914EC">
        <w:t>to</w:t>
      </w:r>
      <w:r w:rsidRPr="00B914EC">
        <w:rPr>
          <w:spacing w:val="-4"/>
        </w:rPr>
        <w:t xml:space="preserve"> </w:t>
      </w:r>
      <w:r w:rsidRPr="00B914EC">
        <w:t>identify,</w:t>
      </w:r>
      <w:r w:rsidRPr="00B914EC">
        <w:rPr>
          <w:spacing w:val="-2"/>
        </w:rPr>
        <w:t xml:space="preserve"> </w:t>
      </w:r>
      <w:r w:rsidRPr="00B914EC">
        <w:t>investigate,</w:t>
      </w:r>
      <w:r w:rsidRPr="00B914EC">
        <w:rPr>
          <w:spacing w:val="-2"/>
        </w:rPr>
        <w:t xml:space="preserve"> </w:t>
      </w:r>
      <w:r w:rsidRPr="00B914EC">
        <w:t>and</w:t>
      </w:r>
      <w:r w:rsidRPr="00B914EC">
        <w:rPr>
          <w:spacing w:val="-5"/>
        </w:rPr>
        <w:t xml:space="preserve"> </w:t>
      </w:r>
      <w:r w:rsidRPr="00B914EC">
        <w:t>respond to new or changing hazards. In CY202</w:t>
      </w:r>
      <w:r w:rsidRPr="00527E9F" w:rsidR="3C25C81C">
        <w:t>3</w:t>
      </w:r>
      <w:r w:rsidRPr="00B914EC">
        <w:t xml:space="preserve">, 50% of the NEISS records were received within </w:t>
      </w:r>
      <w:r w:rsidRPr="00B914EC" w:rsidR="3C25C81C">
        <w:t>7</w:t>
      </w:r>
      <w:r w:rsidRPr="00B914EC">
        <w:t xml:space="preserve"> days of treatment and 90% within </w:t>
      </w:r>
      <w:r w:rsidRPr="00B914EC" w:rsidR="3C25C81C">
        <w:t>52</w:t>
      </w:r>
      <w:r w:rsidRPr="00B914EC">
        <w:t xml:space="preserve"> days.</w:t>
      </w:r>
    </w:p>
    <w:p w:rsidR="00111F19" w14:paraId="6EF13567" w14:textId="77777777">
      <w:pPr>
        <w:pStyle w:val="BodyText"/>
        <w:ind w:left="119" w:right="814"/>
      </w:pPr>
    </w:p>
    <w:p w:rsidR="00111F19" w14:paraId="2A77B8E7" w14:textId="51A1C070">
      <w:pPr>
        <w:pStyle w:val="BodyText"/>
        <w:ind w:left="119" w:right="814"/>
      </w:pPr>
      <w:r>
        <w:t xml:space="preserve">The NEISS </w:t>
      </w:r>
      <w:r>
        <w:t xml:space="preserve">currently collects two separate variables for a person’s race and ethnicity.  </w:t>
      </w:r>
      <w:r w:rsidR="008C5EC1">
        <w:t>Ethnicity is collected as a drop</w:t>
      </w:r>
      <w:r>
        <w:t>-</w:t>
      </w:r>
      <w:r w:rsidR="008C5EC1">
        <w:t xml:space="preserve">down variable with Yes/No/Unknown as possible selections. Race </w:t>
      </w:r>
      <w:r>
        <w:t xml:space="preserve">is also collected </w:t>
      </w:r>
      <w:r w:rsidR="00990A5E">
        <w:t xml:space="preserve">in 2023 </w:t>
      </w:r>
      <w:r>
        <w:t>as a drop-down variable with White; Black/African American; Asian; American Indian/Alaska Native; Native Hawaiian/Pacific Islander; Other; and Unknown as possible selections. If ‘Other’ is chosen</w:t>
      </w:r>
      <w:r w:rsidR="0005303D">
        <w:t>,</w:t>
      </w:r>
      <w:r>
        <w:t xml:space="preserve"> a Race Other variable with a free text answer</w:t>
      </w:r>
      <w:r w:rsidR="001F2E70">
        <w:t xml:space="preserve"> is provided</w:t>
      </w:r>
      <w:r>
        <w:t xml:space="preserve">.  </w:t>
      </w:r>
    </w:p>
    <w:p w:rsidR="00C45A88" w14:paraId="0B599B05" w14:textId="77777777">
      <w:pPr>
        <w:pStyle w:val="BodyText"/>
        <w:ind w:left="119" w:right="814"/>
      </w:pPr>
    </w:p>
    <w:p w:rsidR="00895B32" w14:paraId="4201AAD8" w14:textId="6B511860">
      <w:pPr>
        <w:rPr>
          <w:sz w:val="24"/>
          <w:szCs w:val="24"/>
        </w:rPr>
      </w:pPr>
      <w:r>
        <w:br w:type="page"/>
      </w:r>
    </w:p>
    <w:p w:rsidR="00895B32" w:rsidRPr="00895B32" w:rsidP="00895B32" w14:paraId="6618451F" w14:textId="77A6CA3D">
      <w:pPr>
        <w:pStyle w:val="BodyText"/>
        <w:ind w:left="119" w:right="814"/>
        <w:jc w:val="center"/>
        <w:rPr>
          <w:b/>
          <w:bCs/>
        </w:rPr>
      </w:pPr>
      <w:r>
        <w:rPr>
          <w:b/>
          <w:bCs/>
        </w:rPr>
        <w:t xml:space="preserve">WebNEISS Data Entry </w:t>
      </w:r>
      <w:r w:rsidRPr="00895B32">
        <w:rPr>
          <w:b/>
          <w:bCs/>
        </w:rPr>
        <w:t>Screen</w:t>
      </w:r>
    </w:p>
    <w:p w:rsidR="00895B32" w14:paraId="67B4436A" w14:textId="77777777">
      <w:pPr>
        <w:pStyle w:val="BodyText"/>
        <w:ind w:left="119" w:right="814"/>
      </w:pPr>
    </w:p>
    <w:p w:rsidR="00C45A88" w14:paraId="62939DF0" w14:textId="73AE4056">
      <w:pPr>
        <w:pStyle w:val="BodyText"/>
        <w:ind w:left="119" w:right="814"/>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74295</wp:posOffset>
                </wp:positionV>
                <wp:extent cx="600075" cy="180975"/>
                <wp:effectExtent l="0" t="0" r="28575"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0075" cy="1809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5" style="width:47.25pt;height:14.25pt;margin-top:5.85pt;margin-left:368.25pt;mso-wrap-distance-bottom:0;mso-wrap-distance-left:9pt;mso-wrap-distance-right:9pt;mso-wrap-distance-top:0;mso-wrap-style:square;position:absolute;visibility:visible;v-text-anchor:middle;z-index:251659264" fillcolor="#4f81bd" strokecolor="#0a121c" strokeweight="2pt"/>
            </w:pict>
          </mc:Fallback>
        </mc:AlternateContent>
      </w:r>
      <w:r>
        <w:rPr>
          <w:noProof/>
        </w:rPr>
        <w:drawing>
          <wp:inline distT="0" distB="0" distL="0" distR="0">
            <wp:extent cx="6096000" cy="4511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r:link="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6000" cy="4511675"/>
                    </a:xfrm>
                    <a:prstGeom prst="rect">
                      <a:avLst/>
                    </a:prstGeom>
                    <a:noFill/>
                    <a:ln>
                      <a:noFill/>
                    </a:ln>
                  </pic:spPr>
                </pic:pic>
              </a:graphicData>
            </a:graphic>
          </wp:inline>
        </w:drawing>
      </w:r>
    </w:p>
    <w:p w:rsidR="00C45A88" w14:paraId="05077A02" w14:textId="77777777">
      <w:pPr>
        <w:pStyle w:val="BodyText"/>
        <w:ind w:left="119" w:right="814"/>
      </w:pPr>
    </w:p>
    <w:p w:rsidR="00C45A88" w14:paraId="2EEAA6C2" w14:textId="3FD57A5D">
      <w:pPr>
        <w:pStyle w:val="BodyText"/>
        <w:ind w:left="119" w:right="814"/>
      </w:pPr>
      <w:r>
        <w:t>For 2023 NEISS data, the following tables show the distribution of race and ethnicity reported:</w:t>
      </w:r>
    </w:p>
    <w:p w:rsidR="000B7069" w14:paraId="4ED0664B" w14:textId="77777777">
      <w:pPr>
        <w:pStyle w:val="BodyText"/>
        <w:ind w:left="119" w:right="814"/>
      </w:pPr>
    </w:p>
    <w:p w:rsidR="00895B32" w:rsidRPr="00895B32" w:rsidP="00895B32" w14:paraId="09BEFB04" w14:textId="7AA58F10">
      <w:pPr>
        <w:jc w:val="center"/>
        <w:rPr>
          <w:b/>
          <w:bCs/>
        </w:rPr>
      </w:pPr>
      <w:r w:rsidRPr="00895B32">
        <w:rPr>
          <w:b/>
          <w:bCs/>
        </w:rPr>
        <w:t>Table 2</w:t>
      </w:r>
    </w:p>
    <w:p w:rsidR="000B7069" w:rsidRPr="00895B32" w:rsidP="00895B32" w14:paraId="789DC93A" w14:textId="46A8004A">
      <w:pPr>
        <w:jc w:val="center"/>
        <w:rPr>
          <w:b/>
          <w:bCs/>
        </w:rPr>
      </w:pPr>
      <w:r w:rsidRPr="00895B32">
        <w:rPr>
          <w:b/>
          <w:bCs/>
        </w:rPr>
        <w:t>2023 NEISS</w:t>
      </w:r>
      <w:r w:rsidRPr="00895B32">
        <w:rPr>
          <w:b/>
          <w:bCs/>
          <w:spacing w:val="-2"/>
        </w:rPr>
        <w:t xml:space="preserve"> Data</w:t>
      </w:r>
      <w:r w:rsidR="00895B32">
        <w:rPr>
          <w:b/>
          <w:bCs/>
          <w:spacing w:val="-2"/>
        </w:rPr>
        <w:t>: Ethnicity</w:t>
      </w:r>
    </w:p>
    <w:tbl>
      <w:tblPr>
        <w:tblW w:w="0" w:type="auto"/>
        <w:tblInd w:w="3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3"/>
        <w:gridCol w:w="1308"/>
      </w:tblGrid>
      <w:tr w14:paraId="4FCFEB4D" w14:textId="77777777" w:rsidTr="00895B32">
        <w:tblPrEx>
          <w:tblW w:w="0" w:type="auto"/>
          <w:tblInd w:w="3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6"/>
        </w:trPr>
        <w:tc>
          <w:tcPr>
            <w:tcW w:w="1313" w:type="dxa"/>
          </w:tcPr>
          <w:p w:rsidR="000B7069" w:rsidRPr="00DA5B15" w:rsidP="007404DC" w14:paraId="583DA710" w14:textId="0589B25A">
            <w:pPr>
              <w:pStyle w:val="TableParagraph"/>
              <w:spacing w:line="229" w:lineRule="exact"/>
              <w:ind w:left="319"/>
              <w:jc w:val="left"/>
              <w:rPr>
                <w:b/>
                <w:bCs/>
                <w:sz w:val="20"/>
              </w:rPr>
            </w:pPr>
            <w:r w:rsidRPr="00DA5B15">
              <w:rPr>
                <w:b/>
                <w:bCs/>
                <w:spacing w:val="-2"/>
                <w:sz w:val="20"/>
              </w:rPr>
              <w:t>Hispanic?</w:t>
            </w:r>
          </w:p>
        </w:tc>
        <w:tc>
          <w:tcPr>
            <w:tcW w:w="1308" w:type="dxa"/>
            <w:shd w:val="clear" w:color="auto" w:fill="D9D9D9"/>
          </w:tcPr>
          <w:p w:rsidR="000B7069" w:rsidRPr="00DA5B15" w:rsidP="000B7069" w14:paraId="183E6008" w14:textId="39C87078">
            <w:pPr>
              <w:pStyle w:val="TableParagraph"/>
              <w:spacing w:line="228" w:lineRule="exact"/>
              <w:ind w:left="21"/>
              <w:rPr>
                <w:b/>
                <w:bCs/>
                <w:sz w:val="20"/>
              </w:rPr>
            </w:pPr>
            <w:r w:rsidRPr="00DA5B15">
              <w:rPr>
                <w:b/>
                <w:bCs/>
                <w:spacing w:val="-2"/>
                <w:sz w:val="20"/>
              </w:rPr>
              <w:t>Percent</w:t>
            </w:r>
          </w:p>
        </w:tc>
      </w:tr>
      <w:tr w14:paraId="00DC7295" w14:textId="77777777" w:rsidTr="00895B32">
        <w:tblPrEx>
          <w:tblW w:w="0" w:type="auto"/>
          <w:tblInd w:w="3605" w:type="dxa"/>
          <w:tblLayout w:type="fixed"/>
          <w:tblCellMar>
            <w:left w:w="0" w:type="dxa"/>
            <w:right w:w="0" w:type="dxa"/>
          </w:tblCellMar>
          <w:tblLook w:val="01E0"/>
        </w:tblPrEx>
        <w:trPr>
          <w:trHeight w:val="227"/>
        </w:trPr>
        <w:tc>
          <w:tcPr>
            <w:tcW w:w="1313" w:type="dxa"/>
          </w:tcPr>
          <w:p w:rsidR="000B7069" w:rsidRPr="0002456B" w:rsidP="007404DC" w14:paraId="7682C20F" w14:textId="207FD316">
            <w:pPr>
              <w:pStyle w:val="TableParagraph"/>
              <w:spacing w:line="208" w:lineRule="exact"/>
              <w:jc w:val="left"/>
              <w:rPr>
                <w:sz w:val="20"/>
              </w:rPr>
            </w:pPr>
            <w:r>
              <w:rPr>
                <w:spacing w:val="-2"/>
                <w:sz w:val="20"/>
              </w:rPr>
              <w:t>Yes</w:t>
            </w:r>
          </w:p>
        </w:tc>
        <w:tc>
          <w:tcPr>
            <w:tcW w:w="1308" w:type="dxa"/>
            <w:shd w:val="clear" w:color="auto" w:fill="D9D9D9"/>
          </w:tcPr>
          <w:p w:rsidR="000B7069" w:rsidRPr="0002456B" w:rsidP="007404DC" w14:paraId="115BB888" w14:textId="13DEDA29">
            <w:pPr>
              <w:pStyle w:val="TableParagraph"/>
              <w:spacing w:line="208" w:lineRule="exact"/>
              <w:ind w:left="21"/>
              <w:rPr>
                <w:sz w:val="20"/>
              </w:rPr>
            </w:pPr>
            <w:r>
              <w:rPr>
                <w:spacing w:val="-5"/>
                <w:sz w:val="20"/>
              </w:rPr>
              <w:t>12</w:t>
            </w:r>
          </w:p>
        </w:tc>
      </w:tr>
      <w:tr w14:paraId="5A5ED86D" w14:textId="77777777" w:rsidTr="00895B32">
        <w:tblPrEx>
          <w:tblW w:w="0" w:type="auto"/>
          <w:tblInd w:w="3605" w:type="dxa"/>
          <w:tblLayout w:type="fixed"/>
          <w:tblCellMar>
            <w:left w:w="0" w:type="dxa"/>
            <w:right w:w="0" w:type="dxa"/>
          </w:tblCellMar>
          <w:tblLook w:val="01E0"/>
        </w:tblPrEx>
        <w:trPr>
          <w:trHeight w:val="234"/>
        </w:trPr>
        <w:tc>
          <w:tcPr>
            <w:tcW w:w="1313" w:type="dxa"/>
          </w:tcPr>
          <w:p w:rsidR="000B7069" w:rsidRPr="0002456B" w:rsidP="007404DC" w14:paraId="24246CF6" w14:textId="6D38ADE9">
            <w:pPr>
              <w:pStyle w:val="TableParagraph"/>
              <w:jc w:val="left"/>
              <w:rPr>
                <w:sz w:val="20"/>
              </w:rPr>
            </w:pPr>
            <w:r>
              <w:rPr>
                <w:spacing w:val="-2"/>
                <w:sz w:val="20"/>
              </w:rPr>
              <w:t>No</w:t>
            </w:r>
          </w:p>
        </w:tc>
        <w:tc>
          <w:tcPr>
            <w:tcW w:w="1308" w:type="dxa"/>
            <w:shd w:val="clear" w:color="auto" w:fill="D9D9D9"/>
          </w:tcPr>
          <w:p w:rsidR="000B7069" w:rsidRPr="0002456B" w:rsidP="007404DC" w14:paraId="2474E100" w14:textId="4881388A">
            <w:pPr>
              <w:pStyle w:val="TableParagraph"/>
              <w:ind w:left="21"/>
              <w:rPr>
                <w:sz w:val="20"/>
              </w:rPr>
            </w:pPr>
            <w:r>
              <w:rPr>
                <w:spacing w:val="-5"/>
                <w:sz w:val="20"/>
              </w:rPr>
              <w:t>64</w:t>
            </w:r>
          </w:p>
        </w:tc>
      </w:tr>
      <w:tr w14:paraId="60D5AB62" w14:textId="77777777" w:rsidTr="00895B32">
        <w:tblPrEx>
          <w:tblW w:w="0" w:type="auto"/>
          <w:tblInd w:w="3605" w:type="dxa"/>
          <w:tblLayout w:type="fixed"/>
          <w:tblCellMar>
            <w:left w:w="0" w:type="dxa"/>
            <w:right w:w="0" w:type="dxa"/>
          </w:tblCellMar>
          <w:tblLook w:val="01E0"/>
        </w:tblPrEx>
        <w:trPr>
          <w:trHeight w:val="229"/>
        </w:trPr>
        <w:tc>
          <w:tcPr>
            <w:tcW w:w="1313" w:type="dxa"/>
          </w:tcPr>
          <w:p w:rsidR="000B7069" w:rsidRPr="0002456B" w:rsidP="007404DC" w14:paraId="03A1A9EA" w14:textId="66BA187F">
            <w:pPr>
              <w:pStyle w:val="TableParagraph"/>
              <w:spacing w:line="210" w:lineRule="exact"/>
              <w:jc w:val="left"/>
              <w:rPr>
                <w:sz w:val="20"/>
              </w:rPr>
            </w:pPr>
            <w:r>
              <w:rPr>
                <w:spacing w:val="-2"/>
                <w:sz w:val="20"/>
              </w:rPr>
              <w:t>Unknown</w:t>
            </w:r>
          </w:p>
        </w:tc>
        <w:tc>
          <w:tcPr>
            <w:tcW w:w="1308" w:type="dxa"/>
            <w:shd w:val="clear" w:color="auto" w:fill="D9D9D9"/>
          </w:tcPr>
          <w:p w:rsidR="000B7069" w:rsidRPr="0002456B" w:rsidP="007404DC" w14:paraId="6C002117" w14:textId="1DCEDC88">
            <w:pPr>
              <w:pStyle w:val="TableParagraph"/>
              <w:spacing w:line="210" w:lineRule="exact"/>
              <w:ind w:left="21"/>
              <w:rPr>
                <w:sz w:val="20"/>
              </w:rPr>
            </w:pPr>
            <w:r>
              <w:rPr>
                <w:spacing w:val="-5"/>
                <w:sz w:val="20"/>
              </w:rPr>
              <w:t>24</w:t>
            </w:r>
          </w:p>
        </w:tc>
      </w:tr>
    </w:tbl>
    <w:p w:rsidR="00895B32" w:rsidP="00895B32" w14:paraId="71F60546" w14:textId="77777777">
      <w:pPr>
        <w:jc w:val="center"/>
        <w:rPr>
          <w:b/>
          <w:bCs/>
        </w:rPr>
      </w:pPr>
    </w:p>
    <w:p w:rsidR="000B7069" w:rsidRPr="00895B32" w:rsidP="00895B32" w14:paraId="3D2ECD15" w14:textId="2D38AA9D">
      <w:pPr>
        <w:jc w:val="center"/>
        <w:rPr>
          <w:b/>
          <w:bCs/>
        </w:rPr>
      </w:pPr>
      <w:r w:rsidRPr="00895B32">
        <w:rPr>
          <w:b/>
          <w:bCs/>
        </w:rPr>
        <w:t>Table 3</w:t>
      </w:r>
    </w:p>
    <w:p w:rsidR="00895B32" w:rsidRPr="00895B32" w:rsidP="00895B32" w14:paraId="67FB22DA" w14:textId="4782BFD3">
      <w:pPr>
        <w:jc w:val="center"/>
        <w:rPr>
          <w:b/>
          <w:bCs/>
        </w:rPr>
      </w:pPr>
      <w:r w:rsidRPr="00895B32">
        <w:rPr>
          <w:b/>
          <w:bCs/>
        </w:rPr>
        <w:t>2023 NEISS Data: Race</w:t>
      </w:r>
    </w:p>
    <w:tbl>
      <w:tblPr>
        <w:tblW w:w="0" w:type="auto"/>
        <w:tblInd w:w="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0"/>
        <w:gridCol w:w="1080"/>
      </w:tblGrid>
      <w:tr w14:paraId="0567FBEF" w14:textId="77777777" w:rsidTr="00895B32">
        <w:tblPrEx>
          <w:tblW w:w="0" w:type="auto"/>
          <w:tblInd w:w="2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3060" w:type="dxa"/>
          </w:tcPr>
          <w:p w:rsidR="000B7069" w:rsidRPr="00DA5B15" w:rsidP="007404DC" w14:paraId="477E6AC2" w14:textId="75309985">
            <w:pPr>
              <w:pStyle w:val="TableParagraph"/>
              <w:spacing w:line="229" w:lineRule="exact"/>
              <w:ind w:left="319"/>
              <w:jc w:val="left"/>
              <w:rPr>
                <w:b/>
                <w:bCs/>
                <w:sz w:val="20"/>
              </w:rPr>
            </w:pPr>
            <w:r w:rsidRPr="00DA5B15">
              <w:rPr>
                <w:b/>
                <w:bCs/>
                <w:spacing w:val="-2"/>
                <w:sz w:val="20"/>
              </w:rPr>
              <w:t>Race</w:t>
            </w:r>
          </w:p>
        </w:tc>
        <w:tc>
          <w:tcPr>
            <w:tcW w:w="1080" w:type="dxa"/>
            <w:shd w:val="clear" w:color="auto" w:fill="D9D9D9"/>
          </w:tcPr>
          <w:p w:rsidR="000B7069" w:rsidRPr="00DA5B15" w:rsidP="000B7069" w14:paraId="3C44091A" w14:textId="629583AE">
            <w:pPr>
              <w:pStyle w:val="TableParagraph"/>
              <w:spacing w:line="228" w:lineRule="exact"/>
              <w:ind w:left="21"/>
              <w:rPr>
                <w:b/>
                <w:bCs/>
                <w:sz w:val="20"/>
              </w:rPr>
            </w:pPr>
            <w:r w:rsidRPr="00DA5B15">
              <w:rPr>
                <w:b/>
                <w:bCs/>
                <w:spacing w:val="-2"/>
                <w:sz w:val="20"/>
              </w:rPr>
              <w:t>Percent</w:t>
            </w:r>
          </w:p>
        </w:tc>
      </w:tr>
      <w:tr w14:paraId="799395F2" w14:textId="77777777" w:rsidTr="00895B32">
        <w:tblPrEx>
          <w:tblW w:w="0" w:type="auto"/>
          <w:tblInd w:w="2885" w:type="dxa"/>
          <w:tblLayout w:type="fixed"/>
          <w:tblCellMar>
            <w:left w:w="0" w:type="dxa"/>
            <w:right w:w="0" w:type="dxa"/>
          </w:tblCellMar>
          <w:tblLook w:val="01E0"/>
        </w:tblPrEx>
        <w:trPr>
          <w:trHeight w:val="227"/>
        </w:trPr>
        <w:tc>
          <w:tcPr>
            <w:tcW w:w="3060" w:type="dxa"/>
          </w:tcPr>
          <w:p w:rsidR="000B7069" w:rsidRPr="0002456B" w:rsidP="007404DC" w14:paraId="0138C3A3" w14:textId="10DA2D65">
            <w:pPr>
              <w:pStyle w:val="TableParagraph"/>
              <w:spacing w:line="208" w:lineRule="exact"/>
              <w:jc w:val="left"/>
              <w:rPr>
                <w:sz w:val="20"/>
              </w:rPr>
            </w:pPr>
            <w:r>
              <w:rPr>
                <w:spacing w:val="-2"/>
                <w:sz w:val="20"/>
              </w:rPr>
              <w:t>White</w:t>
            </w:r>
          </w:p>
        </w:tc>
        <w:tc>
          <w:tcPr>
            <w:tcW w:w="1080" w:type="dxa"/>
            <w:shd w:val="clear" w:color="auto" w:fill="D9D9D9"/>
          </w:tcPr>
          <w:p w:rsidR="000B7069" w:rsidRPr="0002456B" w:rsidP="007404DC" w14:paraId="79B60673" w14:textId="2B98E772">
            <w:pPr>
              <w:pStyle w:val="TableParagraph"/>
              <w:spacing w:line="208" w:lineRule="exact"/>
              <w:ind w:left="21"/>
              <w:rPr>
                <w:sz w:val="20"/>
              </w:rPr>
            </w:pPr>
            <w:r>
              <w:rPr>
                <w:spacing w:val="-5"/>
                <w:sz w:val="20"/>
              </w:rPr>
              <w:t>52</w:t>
            </w:r>
          </w:p>
        </w:tc>
      </w:tr>
      <w:tr w14:paraId="127F350C" w14:textId="77777777" w:rsidTr="00895B32">
        <w:tblPrEx>
          <w:tblW w:w="0" w:type="auto"/>
          <w:tblInd w:w="2885" w:type="dxa"/>
          <w:tblLayout w:type="fixed"/>
          <w:tblCellMar>
            <w:left w:w="0" w:type="dxa"/>
            <w:right w:w="0" w:type="dxa"/>
          </w:tblCellMar>
          <w:tblLook w:val="01E0"/>
        </w:tblPrEx>
        <w:trPr>
          <w:trHeight w:val="234"/>
        </w:trPr>
        <w:tc>
          <w:tcPr>
            <w:tcW w:w="3060" w:type="dxa"/>
          </w:tcPr>
          <w:p w:rsidR="000B7069" w:rsidRPr="0002456B" w:rsidP="007404DC" w14:paraId="2DEC4BDE" w14:textId="649ECA8A">
            <w:pPr>
              <w:pStyle w:val="TableParagraph"/>
              <w:jc w:val="left"/>
              <w:rPr>
                <w:sz w:val="20"/>
              </w:rPr>
            </w:pPr>
            <w:r>
              <w:rPr>
                <w:spacing w:val="-2"/>
                <w:sz w:val="20"/>
              </w:rPr>
              <w:t>Black/African American</w:t>
            </w:r>
          </w:p>
        </w:tc>
        <w:tc>
          <w:tcPr>
            <w:tcW w:w="1080" w:type="dxa"/>
            <w:shd w:val="clear" w:color="auto" w:fill="D9D9D9"/>
          </w:tcPr>
          <w:p w:rsidR="000B7069" w:rsidRPr="0002456B" w:rsidP="007404DC" w14:paraId="5D274D4D" w14:textId="6DA2FB7C">
            <w:pPr>
              <w:pStyle w:val="TableParagraph"/>
              <w:ind w:left="21"/>
              <w:rPr>
                <w:sz w:val="20"/>
              </w:rPr>
            </w:pPr>
            <w:r>
              <w:rPr>
                <w:spacing w:val="-5"/>
                <w:sz w:val="20"/>
              </w:rPr>
              <w:t>19</w:t>
            </w:r>
          </w:p>
        </w:tc>
      </w:tr>
      <w:tr w14:paraId="396B30C8" w14:textId="77777777" w:rsidTr="00895B32">
        <w:tblPrEx>
          <w:tblW w:w="0" w:type="auto"/>
          <w:tblInd w:w="2885" w:type="dxa"/>
          <w:tblLayout w:type="fixed"/>
          <w:tblCellMar>
            <w:left w:w="0" w:type="dxa"/>
            <w:right w:w="0" w:type="dxa"/>
          </w:tblCellMar>
          <w:tblLook w:val="01E0"/>
        </w:tblPrEx>
        <w:trPr>
          <w:trHeight w:val="229"/>
        </w:trPr>
        <w:tc>
          <w:tcPr>
            <w:tcW w:w="3060" w:type="dxa"/>
          </w:tcPr>
          <w:p w:rsidR="000B7069" w:rsidRPr="0002456B" w:rsidP="007404DC" w14:paraId="3522D9F0" w14:textId="78B0AA80">
            <w:pPr>
              <w:pStyle w:val="TableParagraph"/>
              <w:spacing w:line="210" w:lineRule="exact"/>
              <w:jc w:val="left"/>
              <w:rPr>
                <w:sz w:val="20"/>
              </w:rPr>
            </w:pPr>
            <w:r>
              <w:rPr>
                <w:spacing w:val="-2"/>
                <w:sz w:val="20"/>
              </w:rPr>
              <w:t>Asian</w:t>
            </w:r>
          </w:p>
        </w:tc>
        <w:tc>
          <w:tcPr>
            <w:tcW w:w="1080" w:type="dxa"/>
            <w:shd w:val="clear" w:color="auto" w:fill="D9D9D9"/>
          </w:tcPr>
          <w:p w:rsidR="000B7069" w:rsidRPr="0002456B" w:rsidP="007404DC" w14:paraId="150F9818" w14:textId="60EA33A1">
            <w:pPr>
              <w:pStyle w:val="TableParagraph"/>
              <w:spacing w:line="210" w:lineRule="exact"/>
              <w:ind w:left="21"/>
              <w:rPr>
                <w:sz w:val="20"/>
              </w:rPr>
            </w:pPr>
            <w:r>
              <w:rPr>
                <w:spacing w:val="-5"/>
                <w:sz w:val="20"/>
              </w:rPr>
              <w:t>2</w:t>
            </w:r>
          </w:p>
        </w:tc>
      </w:tr>
      <w:tr w14:paraId="74806907" w14:textId="77777777" w:rsidTr="00895B32">
        <w:tblPrEx>
          <w:tblW w:w="0" w:type="auto"/>
          <w:tblInd w:w="2885" w:type="dxa"/>
          <w:tblLayout w:type="fixed"/>
          <w:tblCellMar>
            <w:left w:w="0" w:type="dxa"/>
            <w:right w:w="0" w:type="dxa"/>
          </w:tblCellMar>
          <w:tblLook w:val="01E0"/>
        </w:tblPrEx>
        <w:trPr>
          <w:trHeight w:val="234"/>
        </w:trPr>
        <w:tc>
          <w:tcPr>
            <w:tcW w:w="3060" w:type="dxa"/>
          </w:tcPr>
          <w:p w:rsidR="000B7069" w:rsidRPr="0002456B" w:rsidP="007404DC" w14:paraId="603B30E3" w14:textId="08BF60AC">
            <w:pPr>
              <w:pStyle w:val="TableParagraph"/>
              <w:jc w:val="left"/>
              <w:rPr>
                <w:sz w:val="20"/>
              </w:rPr>
            </w:pPr>
            <w:r>
              <w:rPr>
                <w:sz w:val="20"/>
              </w:rPr>
              <w:t>American Indian/Alaska Native</w:t>
            </w:r>
          </w:p>
        </w:tc>
        <w:tc>
          <w:tcPr>
            <w:tcW w:w="1080" w:type="dxa"/>
            <w:shd w:val="clear" w:color="auto" w:fill="D9D9D9"/>
          </w:tcPr>
          <w:p w:rsidR="000B7069" w:rsidRPr="0002456B" w:rsidP="007404DC" w14:paraId="59CF5233" w14:textId="642D4767">
            <w:pPr>
              <w:pStyle w:val="TableParagraph"/>
              <w:ind w:left="21"/>
              <w:rPr>
                <w:sz w:val="20"/>
              </w:rPr>
            </w:pPr>
            <w:r>
              <w:rPr>
                <w:spacing w:val="-5"/>
                <w:sz w:val="20"/>
              </w:rPr>
              <w:t>&lt;1</w:t>
            </w:r>
          </w:p>
        </w:tc>
      </w:tr>
      <w:tr w14:paraId="4A10865A" w14:textId="77777777" w:rsidTr="00895B32">
        <w:tblPrEx>
          <w:tblW w:w="0" w:type="auto"/>
          <w:tblInd w:w="2885" w:type="dxa"/>
          <w:tblLayout w:type="fixed"/>
          <w:tblCellMar>
            <w:left w:w="0" w:type="dxa"/>
            <w:right w:w="0" w:type="dxa"/>
          </w:tblCellMar>
          <w:tblLook w:val="01E0"/>
        </w:tblPrEx>
        <w:trPr>
          <w:trHeight w:val="234"/>
        </w:trPr>
        <w:tc>
          <w:tcPr>
            <w:tcW w:w="3060" w:type="dxa"/>
          </w:tcPr>
          <w:p w:rsidR="000B7069" w:rsidRPr="0002456B" w:rsidP="007404DC" w14:paraId="7D4A1E8F" w14:textId="52B4CF03">
            <w:pPr>
              <w:pStyle w:val="TableParagraph"/>
              <w:jc w:val="left"/>
              <w:rPr>
                <w:sz w:val="20"/>
              </w:rPr>
            </w:pPr>
            <w:r>
              <w:rPr>
                <w:spacing w:val="-2"/>
                <w:sz w:val="20"/>
              </w:rPr>
              <w:t>Native Hawaiian/Pacific Islander</w:t>
            </w:r>
          </w:p>
        </w:tc>
        <w:tc>
          <w:tcPr>
            <w:tcW w:w="1080" w:type="dxa"/>
            <w:shd w:val="clear" w:color="auto" w:fill="D9D9D9"/>
          </w:tcPr>
          <w:p w:rsidR="000B7069" w:rsidRPr="0002456B" w:rsidP="007404DC" w14:paraId="1F835F3E" w14:textId="4033DAC0">
            <w:pPr>
              <w:pStyle w:val="TableParagraph"/>
              <w:ind w:left="21" w:right="7"/>
              <w:rPr>
                <w:sz w:val="20"/>
              </w:rPr>
            </w:pPr>
            <w:r>
              <w:rPr>
                <w:spacing w:val="-10"/>
                <w:sz w:val="20"/>
              </w:rPr>
              <w:t>&lt;1</w:t>
            </w:r>
          </w:p>
        </w:tc>
      </w:tr>
      <w:tr w14:paraId="1EADB5A0" w14:textId="77777777" w:rsidTr="00895B32">
        <w:tblPrEx>
          <w:tblW w:w="0" w:type="auto"/>
          <w:tblInd w:w="2885" w:type="dxa"/>
          <w:tblLayout w:type="fixed"/>
          <w:tblCellMar>
            <w:left w:w="0" w:type="dxa"/>
            <w:right w:w="0" w:type="dxa"/>
          </w:tblCellMar>
          <w:tblLook w:val="01E0"/>
        </w:tblPrEx>
        <w:trPr>
          <w:trHeight w:val="232"/>
        </w:trPr>
        <w:tc>
          <w:tcPr>
            <w:tcW w:w="3060" w:type="dxa"/>
          </w:tcPr>
          <w:p w:rsidR="000B7069" w:rsidRPr="0002456B" w:rsidP="007404DC" w14:paraId="76FF06A1" w14:textId="748B8972">
            <w:pPr>
              <w:pStyle w:val="TableParagraph"/>
              <w:spacing w:line="212" w:lineRule="exact"/>
              <w:jc w:val="left"/>
              <w:rPr>
                <w:sz w:val="20"/>
              </w:rPr>
            </w:pPr>
            <w:r>
              <w:rPr>
                <w:spacing w:val="-2"/>
                <w:sz w:val="20"/>
              </w:rPr>
              <w:t xml:space="preserve">Other </w:t>
            </w:r>
          </w:p>
        </w:tc>
        <w:tc>
          <w:tcPr>
            <w:tcW w:w="1080" w:type="dxa"/>
            <w:shd w:val="clear" w:color="auto" w:fill="D9D9D9"/>
          </w:tcPr>
          <w:p w:rsidR="000B7069" w:rsidRPr="0002456B" w:rsidP="000B7069" w14:paraId="30AE49D2" w14:textId="33E2B892">
            <w:pPr>
              <w:pStyle w:val="TableParagraph"/>
              <w:spacing w:line="212" w:lineRule="exact"/>
              <w:ind w:left="21"/>
              <w:rPr>
                <w:sz w:val="20"/>
              </w:rPr>
            </w:pPr>
            <w:r>
              <w:rPr>
                <w:spacing w:val="-5"/>
                <w:sz w:val="20"/>
              </w:rPr>
              <w:t>1</w:t>
            </w:r>
          </w:p>
        </w:tc>
      </w:tr>
      <w:tr w14:paraId="15CF1950" w14:textId="77777777" w:rsidTr="00895B32">
        <w:tblPrEx>
          <w:tblW w:w="0" w:type="auto"/>
          <w:tblInd w:w="2885" w:type="dxa"/>
          <w:tblLayout w:type="fixed"/>
          <w:tblCellMar>
            <w:left w:w="0" w:type="dxa"/>
            <w:right w:w="0" w:type="dxa"/>
          </w:tblCellMar>
          <w:tblLook w:val="01E0"/>
        </w:tblPrEx>
        <w:trPr>
          <w:trHeight w:val="232"/>
        </w:trPr>
        <w:tc>
          <w:tcPr>
            <w:tcW w:w="3060" w:type="dxa"/>
          </w:tcPr>
          <w:p w:rsidR="000B7069" w:rsidP="007404DC" w14:paraId="0DA83272" w14:textId="2D2B3786">
            <w:pPr>
              <w:pStyle w:val="TableParagraph"/>
              <w:spacing w:line="212" w:lineRule="exact"/>
              <w:jc w:val="left"/>
              <w:rPr>
                <w:spacing w:val="-2"/>
                <w:sz w:val="20"/>
              </w:rPr>
            </w:pPr>
            <w:r>
              <w:rPr>
                <w:spacing w:val="-2"/>
                <w:sz w:val="20"/>
              </w:rPr>
              <w:t>Unknown</w:t>
            </w:r>
          </w:p>
        </w:tc>
        <w:tc>
          <w:tcPr>
            <w:tcW w:w="1080" w:type="dxa"/>
            <w:shd w:val="clear" w:color="auto" w:fill="D9D9D9"/>
          </w:tcPr>
          <w:p w:rsidR="000B7069" w:rsidP="000B7069" w14:paraId="08A3FA89" w14:textId="518E0F88">
            <w:pPr>
              <w:pStyle w:val="TableParagraph"/>
              <w:spacing w:line="212" w:lineRule="exact"/>
              <w:ind w:left="21"/>
              <w:rPr>
                <w:spacing w:val="-5"/>
                <w:sz w:val="20"/>
              </w:rPr>
            </w:pPr>
            <w:r>
              <w:rPr>
                <w:spacing w:val="-5"/>
                <w:sz w:val="20"/>
              </w:rPr>
              <w:t>25</w:t>
            </w:r>
          </w:p>
        </w:tc>
      </w:tr>
    </w:tbl>
    <w:p w:rsidR="000B7069" w:rsidP="000B7069" w14:paraId="091D7CB1" w14:textId="77777777">
      <w:pPr>
        <w:pStyle w:val="BodyText"/>
        <w:spacing w:before="4"/>
        <w:ind w:left="0"/>
        <w:rPr>
          <w:b/>
        </w:rPr>
      </w:pPr>
    </w:p>
    <w:p w:rsidR="000B7069" w:rsidP="000B7069" w14:paraId="4B45434E" w14:textId="77777777">
      <w:pPr>
        <w:pStyle w:val="BodyText"/>
        <w:spacing w:before="4"/>
        <w:ind w:left="0"/>
        <w:rPr>
          <w:b/>
          <w:i/>
          <w:iCs/>
        </w:rPr>
      </w:pPr>
    </w:p>
    <w:p w:rsidR="000B7069" w14:paraId="64F819D1" w14:textId="0C7881CA">
      <w:pPr>
        <w:pStyle w:val="BodyText"/>
        <w:ind w:left="119" w:right="814"/>
      </w:pPr>
      <w:r w:rsidRPr="004B38E7">
        <w:t>On March 28, 2024</w:t>
      </w:r>
      <w:r w:rsidR="00266226">
        <w:t>,</w:t>
      </w:r>
      <w:r w:rsidRPr="004B38E7">
        <w:t xml:space="preserve"> the Office of Management and Budget (OMB) published a set of revisions to Statistical Policy Directive No. 15: Standards for Maintaining, Collecting, and Presenting Federal Data on Race and Ethnicity (SPD 15), the first since 1997</w:t>
      </w:r>
      <w:r w:rsidR="00266226">
        <w:t>.</w:t>
      </w:r>
      <w:r>
        <w:rPr>
          <w:rStyle w:val="FootnoteReference"/>
        </w:rPr>
        <w:footnoteReference w:id="5"/>
      </w:r>
      <w:r>
        <w:t xml:space="preserve">  SPD 15 introduces a singular combined race and ethnicity question, allowing multiple responses; require</w:t>
      </w:r>
      <w:r w:rsidR="00015915">
        <w:t>s</w:t>
      </w:r>
      <w:r>
        <w:t xml:space="preserve"> Federal agencies to collect more detailed data beyond the default; and add</w:t>
      </w:r>
      <w:r w:rsidR="00015915">
        <w:t>s</w:t>
      </w:r>
      <w:r>
        <w:t xml:space="preserve"> a new category </w:t>
      </w:r>
      <w:r w:rsidR="00DA5B15">
        <w:t xml:space="preserve">for </w:t>
      </w:r>
      <w:r>
        <w:t>Middle Eastern or North African desc</w:t>
      </w:r>
      <w:r w:rsidR="00DA5B15">
        <w:t xml:space="preserve">ent. </w:t>
      </w:r>
    </w:p>
    <w:p w:rsidR="000B7069" w14:paraId="2D32E1EF" w14:textId="77777777">
      <w:pPr>
        <w:pStyle w:val="BodyText"/>
        <w:ind w:left="119" w:right="814"/>
      </w:pPr>
    </w:p>
    <w:p w:rsidR="00DA5B15" w14:paraId="033CFB74" w14:textId="3129EA76">
      <w:pPr>
        <w:pStyle w:val="BodyText"/>
        <w:ind w:left="119" w:right="814"/>
      </w:pPr>
      <w:r>
        <w:t xml:space="preserve">CPSC intends to implement the updated race and ethnicity question in the NEISS on January 1, 2026. In addition to Figure 1 below, the NEISS will have an additional category for ‘Other’ with a write-in response area and ‘Unknown’. The NEISS data </w:t>
      </w:r>
      <w:r w:rsidR="006C3D2B">
        <w:t xml:space="preserve">are </w:t>
      </w:r>
      <w:r>
        <w:t>entered by the hospital coders who review the hospital emergency department charts. There is no face-to-face interviewing of the injured person. As seen in the 2023 NEISS data, race and ethnicity are unknown approximately 25% of the time. In addition</w:t>
      </w:r>
      <w:r w:rsidR="00BB62EC">
        <w:t>,</w:t>
      </w:r>
      <w:r>
        <w:t xml:space="preserve"> the most common write-in response for Race = Other is bi-racial or multi-racial with the races not specified.  </w:t>
      </w:r>
    </w:p>
    <w:p w:rsidR="005F47E9" w14:paraId="7BB3856E" w14:textId="77777777">
      <w:pPr>
        <w:pStyle w:val="BodyText"/>
        <w:ind w:left="119" w:right="814"/>
      </w:pPr>
    </w:p>
    <w:p w:rsidR="005F47E9" w14:paraId="795FCF32" w14:textId="351FE70E">
      <w:pPr>
        <w:pStyle w:val="BodyText"/>
        <w:ind w:left="119" w:right="814"/>
      </w:pPr>
      <w:r>
        <w:t xml:space="preserve">Prior to implementing SPD 15, WebNEISS and multiple data base and data lake systems must be updated. IT contract work began at the start of fiscal year 2025 and is scheduled to be completed in the summer or fall of 2025. Training materials and training of the NEISS coders will be completed in late 2025 with implementation of SPD15 in the NEISS data collection schedule to start in January 2026. </w:t>
      </w:r>
    </w:p>
    <w:p w:rsidR="005F47E9" w14:paraId="2DB5091E" w14:textId="77777777">
      <w:pPr>
        <w:pStyle w:val="BodyText"/>
        <w:ind w:left="119" w:right="814"/>
      </w:pPr>
    </w:p>
    <w:p w:rsidR="005F47E9" w14:paraId="3BA077D9" w14:textId="77777777">
      <w:pPr>
        <w:rPr>
          <w:sz w:val="24"/>
          <w:szCs w:val="24"/>
        </w:rPr>
      </w:pPr>
      <w:r>
        <w:br w:type="page"/>
      </w:r>
    </w:p>
    <w:p w:rsidR="005F47E9" w:rsidRPr="00895B32" w14:paraId="104305D4" w14:textId="5DBD20CE">
      <w:pPr>
        <w:pStyle w:val="BodyText"/>
        <w:ind w:left="119" w:right="814"/>
        <w:rPr>
          <w:b/>
          <w:bCs/>
        </w:rPr>
      </w:pPr>
      <w:r w:rsidRPr="00895B32">
        <w:rPr>
          <w:b/>
          <w:bCs/>
        </w:rPr>
        <w:t>Figure 1: Race and Ethnicity Question with Minimum Categories, Multiple Detailed Checkboxes, and Write-In response Areas with Example Groups</w:t>
      </w:r>
    </w:p>
    <w:p w:rsidR="005F47E9" w14:paraId="0756C34E" w14:textId="77777777">
      <w:pPr>
        <w:pStyle w:val="BodyText"/>
        <w:ind w:left="119" w:right="814"/>
      </w:pPr>
    </w:p>
    <w:p w:rsidR="005F47E9" w:rsidP="00895B32" w14:paraId="18DC979A" w14:textId="2BFD3522">
      <w:pPr>
        <w:pStyle w:val="BodyText"/>
        <w:ind w:left="1440" w:right="814"/>
      </w:pPr>
      <w:r>
        <w:t> </w:t>
      </w:r>
      <w:r>
        <w:rPr>
          <w:noProof/>
        </w:rPr>
        <w:drawing>
          <wp:inline distT="0" distB="0" distL="0" distR="0">
            <wp:extent cx="3299460" cy="525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299460" cy="5259705"/>
                    </a:xfrm>
                    <a:prstGeom prst="rect">
                      <a:avLst/>
                    </a:prstGeom>
                    <a:noFill/>
                    <a:ln>
                      <a:noFill/>
                    </a:ln>
                  </pic:spPr>
                </pic:pic>
              </a:graphicData>
            </a:graphic>
          </wp:inline>
        </w:drawing>
      </w:r>
    </w:p>
    <w:p w:rsidR="00DA5B15" w14:paraId="60893680" w14:textId="77777777">
      <w:pPr>
        <w:pStyle w:val="BodyText"/>
        <w:ind w:left="119" w:right="814"/>
      </w:pPr>
    </w:p>
    <w:p w:rsidR="00D53A85" w:rsidRPr="00A73F93" w14:paraId="584084BD" w14:textId="77777777">
      <w:pPr>
        <w:pStyle w:val="Heading2"/>
        <w:numPr>
          <w:ilvl w:val="0"/>
          <w:numId w:val="2"/>
        </w:numPr>
        <w:tabs>
          <w:tab w:val="left" w:pos="364"/>
        </w:tabs>
        <w:spacing w:before="281"/>
        <w:ind w:left="364" w:hanging="244"/>
      </w:pPr>
      <w:bookmarkStart w:id="12" w:name="8._Agency’s_Federal_Register_Notice_and_"/>
      <w:bookmarkEnd w:id="12"/>
      <w:r w:rsidRPr="00A73F93">
        <w:t>Agency’s</w:t>
      </w:r>
      <w:r w:rsidRPr="00A73F93">
        <w:rPr>
          <w:spacing w:val="-4"/>
        </w:rPr>
        <w:t xml:space="preserve"> </w:t>
      </w:r>
      <w:r w:rsidRPr="00A73F93">
        <w:t>Federal</w:t>
      </w:r>
      <w:r w:rsidRPr="00A73F93">
        <w:rPr>
          <w:spacing w:val="-2"/>
        </w:rPr>
        <w:t xml:space="preserve"> </w:t>
      </w:r>
      <w:r w:rsidRPr="00A73F93">
        <w:t>Register</w:t>
      </w:r>
      <w:r w:rsidRPr="00A73F93">
        <w:rPr>
          <w:spacing w:val="-3"/>
        </w:rPr>
        <w:t xml:space="preserve"> </w:t>
      </w:r>
      <w:r w:rsidRPr="00A73F93">
        <w:t>Notice</w:t>
      </w:r>
      <w:r w:rsidRPr="00A73F93">
        <w:rPr>
          <w:spacing w:val="-2"/>
        </w:rPr>
        <w:t xml:space="preserve"> </w:t>
      </w:r>
      <w:r w:rsidRPr="00A73F93">
        <w:t>and</w:t>
      </w:r>
      <w:r w:rsidRPr="00A73F93">
        <w:rPr>
          <w:spacing w:val="-3"/>
        </w:rPr>
        <w:t xml:space="preserve"> </w:t>
      </w:r>
      <w:r w:rsidRPr="00A73F93">
        <w:t>related</w:t>
      </w:r>
      <w:r w:rsidRPr="00A73F93">
        <w:rPr>
          <w:spacing w:val="-11"/>
        </w:rPr>
        <w:t xml:space="preserve"> </w:t>
      </w:r>
      <w:r w:rsidRPr="00A73F93">
        <w:rPr>
          <w:spacing w:val="-2"/>
        </w:rPr>
        <w:t>information</w:t>
      </w:r>
    </w:p>
    <w:p w:rsidR="00D53A85" w:rsidP="472316AB" w14:paraId="3E3121EC" w14:textId="27FC4ED4">
      <w:pPr>
        <w:spacing w:before="280"/>
        <w:ind w:left="120"/>
        <w:rPr>
          <w:sz w:val="24"/>
          <w:szCs w:val="24"/>
        </w:rPr>
      </w:pPr>
      <w:r w:rsidRPr="472316AB">
        <w:rPr>
          <w:sz w:val="24"/>
          <w:szCs w:val="24"/>
        </w:rPr>
        <w:t>A</w:t>
      </w:r>
      <w:r w:rsidRPr="472316AB">
        <w:rPr>
          <w:spacing w:val="-5"/>
          <w:sz w:val="24"/>
          <w:szCs w:val="24"/>
        </w:rPr>
        <w:t xml:space="preserve"> </w:t>
      </w:r>
      <w:r w:rsidRPr="472316AB">
        <w:rPr>
          <w:sz w:val="24"/>
          <w:szCs w:val="24"/>
        </w:rPr>
        <w:t>notice</w:t>
      </w:r>
      <w:r w:rsidRPr="472316AB">
        <w:rPr>
          <w:spacing w:val="-1"/>
          <w:sz w:val="24"/>
          <w:szCs w:val="24"/>
        </w:rPr>
        <w:t xml:space="preserve"> </w:t>
      </w:r>
      <w:r w:rsidRPr="472316AB">
        <w:rPr>
          <w:sz w:val="24"/>
          <w:szCs w:val="24"/>
        </w:rPr>
        <w:t>in</w:t>
      </w:r>
      <w:r w:rsidRPr="472316AB">
        <w:rPr>
          <w:spacing w:val="-1"/>
          <w:sz w:val="24"/>
          <w:szCs w:val="24"/>
        </w:rPr>
        <w:t xml:space="preserve"> </w:t>
      </w:r>
      <w:r w:rsidRPr="472316AB">
        <w:rPr>
          <w:sz w:val="24"/>
          <w:szCs w:val="24"/>
        </w:rPr>
        <w:t>the</w:t>
      </w:r>
      <w:r w:rsidRPr="472316AB">
        <w:rPr>
          <w:spacing w:val="-2"/>
          <w:sz w:val="24"/>
          <w:szCs w:val="24"/>
        </w:rPr>
        <w:t xml:space="preserve"> </w:t>
      </w:r>
      <w:r w:rsidRPr="0F352648">
        <w:rPr>
          <w:i/>
          <w:iCs/>
          <w:sz w:val="24"/>
          <w:szCs w:val="24"/>
        </w:rPr>
        <w:t>Federal</w:t>
      </w:r>
      <w:r w:rsidRPr="0F352648">
        <w:rPr>
          <w:i/>
          <w:iCs/>
          <w:spacing w:val="-3"/>
          <w:sz w:val="24"/>
          <w:szCs w:val="24"/>
        </w:rPr>
        <w:t xml:space="preserve"> </w:t>
      </w:r>
      <w:r w:rsidRPr="0F352648">
        <w:rPr>
          <w:i/>
          <w:iCs/>
          <w:sz w:val="24"/>
          <w:szCs w:val="24"/>
        </w:rPr>
        <w:t>Register</w:t>
      </w:r>
      <w:r w:rsidRPr="0F352648">
        <w:rPr>
          <w:i/>
          <w:iCs/>
          <w:spacing w:val="-1"/>
          <w:sz w:val="24"/>
          <w:szCs w:val="24"/>
        </w:rPr>
        <w:t xml:space="preserve"> </w:t>
      </w:r>
      <w:r w:rsidRPr="472316AB">
        <w:rPr>
          <w:sz w:val="24"/>
          <w:szCs w:val="24"/>
        </w:rPr>
        <w:t>was</w:t>
      </w:r>
      <w:r w:rsidRPr="472316AB">
        <w:rPr>
          <w:spacing w:val="-2"/>
          <w:sz w:val="24"/>
          <w:szCs w:val="24"/>
        </w:rPr>
        <w:t xml:space="preserve"> </w:t>
      </w:r>
      <w:r w:rsidRPr="472316AB">
        <w:rPr>
          <w:sz w:val="24"/>
          <w:szCs w:val="24"/>
        </w:rPr>
        <w:t>published</w:t>
      </w:r>
      <w:r w:rsidRPr="472316AB">
        <w:rPr>
          <w:spacing w:val="-5"/>
          <w:sz w:val="24"/>
          <w:szCs w:val="24"/>
        </w:rPr>
        <w:t xml:space="preserve"> </w:t>
      </w:r>
      <w:r w:rsidRPr="00B27C36" w:rsidR="6CB585AF">
        <w:rPr>
          <w:spacing w:val="-5"/>
          <w:sz w:val="24"/>
          <w:szCs w:val="24"/>
        </w:rPr>
        <w:t xml:space="preserve">February </w:t>
      </w:r>
      <w:r w:rsidRPr="00B27C36" w:rsidR="006F1B46">
        <w:rPr>
          <w:sz w:val="24"/>
          <w:szCs w:val="24"/>
        </w:rPr>
        <w:t>27</w:t>
      </w:r>
      <w:r w:rsidRPr="00B27C36" w:rsidR="6CB585AF">
        <w:rPr>
          <w:spacing w:val="-5"/>
          <w:sz w:val="24"/>
          <w:szCs w:val="24"/>
        </w:rPr>
        <w:t xml:space="preserve">, 2025 </w:t>
      </w:r>
      <w:r w:rsidRPr="00B27C36">
        <w:rPr>
          <w:sz w:val="24"/>
          <w:szCs w:val="24"/>
        </w:rPr>
        <w:t>(</w:t>
      </w:r>
      <w:r w:rsidRPr="00B27C36" w:rsidR="0092011D">
        <w:rPr>
          <w:sz w:val="24"/>
          <w:szCs w:val="24"/>
        </w:rPr>
        <w:t>90</w:t>
      </w:r>
      <w:r w:rsidRPr="00B27C36">
        <w:rPr>
          <w:spacing w:val="-2"/>
          <w:sz w:val="24"/>
          <w:szCs w:val="24"/>
        </w:rPr>
        <w:t xml:space="preserve"> </w:t>
      </w:r>
      <w:r w:rsidRPr="00B27C36">
        <w:rPr>
          <w:sz w:val="24"/>
          <w:szCs w:val="24"/>
        </w:rPr>
        <w:t>FR</w:t>
      </w:r>
      <w:r w:rsidRPr="00B27C36">
        <w:rPr>
          <w:spacing w:val="-2"/>
          <w:sz w:val="24"/>
          <w:szCs w:val="24"/>
        </w:rPr>
        <w:t xml:space="preserve"> </w:t>
      </w:r>
      <w:r w:rsidR="009C40D4">
        <w:rPr>
          <w:sz w:val="24"/>
          <w:szCs w:val="24"/>
        </w:rPr>
        <w:t>10815</w:t>
      </w:r>
      <w:r w:rsidRPr="00B27C36">
        <w:rPr>
          <w:spacing w:val="-2"/>
          <w:sz w:val="24"/>
          <w:szCs w:val="24"/>
        </w:rPr>
        <w:t>).</w:t>
      </w:r>
      <w:r w:rsidRPr="00B27C36" w:rsidR="7863EC21">
        <w:rPr>
          <w:spacing w:val="-2"/>
          <w:sz w:val="24"/>
          <w:szCs w:val="24"/>
        </w:rPr>
        <w:t xml:space="preserve">  [</w:t>
      </w:r>
      <w:r w:rsidRPr="00B27C36" w:rsidR="484430BE">
        <w:rPr>
          <w:spacing w:val="-2"/>
          <w:sz w:val="24"/>
          <w:szCs w:val="24"/>
        </w:rPr>
        <w:t>4</w:t>
      </w:r>
      <w:r w:rsidRPr="00B27C36" w:rsidR="7863EC21">
        <w:rPr>
          <w:spacing w:val="-2"/>
          <w:sz w:val="24"/>
          <w:szCs w:val="24"/>
        </w:rPr>
        <w:t>] comments were received.</w:t>
      </w:r>
    </w:p>
    <w:p w:rsidR="00D53A85" w14:paraId="7DEF3DB6" w14:textId="77777777">
      <w:pPr>
        <w:pStyle w:val="BodyText"/>
        <w:spacing w:before="1"/>
        <w:ind w:left="0"/>
      </w:pPr>
    </w:p>
    <w:p w:rsidR="00D53A85" w14:paraId="5E1F6D4B" w14:textId="77777777">
      <w:pPr>
        <w:pStyle w:val="Heading2"/>
        <w:numPr>
          <w:ilvl w:val="0"/>
          <w:numId w:val="2"/>
        </w:numPr>
        <w:tabs>
          <w:tab w:val="left" w:pos="363"/>
        </w:tabs>
        <w:spacing w:before="1"/>
        <w:ind w:left="363" w:hanging="246"/>
      </w:pPr>
      <w:bookmarkStart w:id="13" w:name="9._Decision_to_provide_payment_or_gift"/>
      <w:bookmarkEnd w:id="13"/>
      <w:r>
        <w:t>Decision</w:t>
      </w:r>
      <w:r>
        <w:rPr>
          <w:spacing w:val="-2"/>
        </w:rPr>
        <w:t xml:space="preserve"> </w:t>
      </w:r>
      <w:r>
        <w:t>to</w:t>
      </w:r>
      <w:r>
        <w:rPr>
          <w:spacing w:val="-3"/>
        </w:rPr>
        <w:t xml:space="preserve"> </w:t>
      </w:r>
      <w:r>
        <w:t>provide</w:t>
      </w:r>
      <w:r>
        <w:rPr>
          <w:spacing w:val="-2"/>
        </w:rPr>
        <w:t xml:space="preserve"> </w:t>
      </w:r>
      <w:r>
        <w:t>payment</w:t>
      </w:r>
      <w:r>
        <w:rPr>
          <w:spacing w:val="-3"/>
        </w:rPr>
        <w:t xml:space="preserve"> </w:t>
      </w:r>
      <w:r>
        <w:t>or</w:t>
      </w:r>
      <w:r>
        <w:rPr>
          <w:spacing w:val="-5"/>
        </w:rPr>
        <w:t xml:space="preserve"> </w:t>
      </w:r>
      <w:r>
        <w:rPr>
          <w:spacing w:val="-4"/>
        </w:rPr>
        <w:t>gift</w:t>
      </w:r>
    </w:p>
    <w:p w:rsidR="00D53A85" w14:paraId="76B0D1F3" w14:textId="77777777">
      <w:pPr>
        <w:pStyle w:val="BodyText"/>
        <w:spacing w:before="280"/>
        <w:ind w:right="827"/>
      </w:pPr>
      <w:r>
        <w:t>NEISS respondents enter into contracts with CPSC and are compensated for their efforts.</w:t>
      </w:r>
      <w:r>
        <w:rPr>
          <w:spacing w:val="-2"/>
        </w:rPr>
        <w:t xml:space="preserve"> </w:t>
      </w:r>
      <w:r>
        <w:t>See</w:t>
      </w:r>
      <w:r>
        <w:rPr>
          <w:spacing w:val="-3"/>
        </w:rPr>
        <w:t xml:space="preserve"> </w:t>
      </w:r>
      <w:r>
        <w:t>Section</w:t>
      </w:r>
      <w:r>
        <w:rPr>
          <w:spacing w:val="-3"/>
        </w:rPr>
        <w:t xml:space="preserve"> </w:t>
      </w:r>
      <w:r>
        <w:t>12(a)</w:t>
      </w:r>
      <w:r>
        <w:rPr>
          <w:spacing w:val="-4"/>
        </w:rPr>
        <w:t xml:space="preserve"> </w:t>
      </w:r>
      <w:r>
        <w:t>for</w:t>
      </w:r>
      <w:r>
        <w:rPr>
          <w:spacing w:val="-4"/>
        </w:rPr>
        <w:t xml:space="preserve"> </w:t>
      </w:r>
      <w:r>
        <w:t>details</w:t>
      </w:r>
      <w:r>
        <w:rPr>
          <w:spacing w:val="-3"/>
        </w:rPr>
        <w:t xml:space="preserve"> </w:t>
      </w:r>
      <w:r>
        <w:t>of</w:t>
      </w:r>
      <w:r>
        <w:rPr>
          <w:spacing w:val="-4"/>
        </w:rPr>
        <w:t xml:space="preserve"> </w:t>
      </w:r>
      <w:r>
        <w:t>the</w:t>
      </w:r>
      <w:r>
        <w:rPr>
          <w:spacing w:val="-3"/>
        </w:rPr>
        <w:t xml:space="preserve"> </w:t>
      </w:r>
      <w:r>
        <w:t>estimated</w:t>
      </w:r>
      <w:r>
        <w:rPr>
          <w:spacing w:val="-5"/>
        </w:rPr>
        <w:t xml:space="preserve"> </w:t>
      </w:r>
      <w:r>
        <w:t>burden</w:t>
      </w:r>
      <w:r>
        <w:rPr>
          <w:spacing w:val="-3"/>
        </w:rPr>
        <w:t xml:space="preserve"> </w:t>
      </w:r>
      <w:r>
        <w:t>and</w:t>
      </w:r>
      <w:r>
        <w:rPr>
          <w:spacing w:val="-5"/>
        </w:rPr>
        <w:t xml:space="preserve"> </w:t>
      </w:r>
      <w:r>
        <w:t>costs.</w:t>
      </w:r>
      <w:r>
        <w:rPr>
          <w:spacing w:val="-2"/>
        </w:rPr>
        <w:t xml:space="preserve"> </w:t>
      </w:r>
      <w:r>
        <w:t>A</w:t>
      </w:r>
      <w:r>
        <w:rPr>
          <w:spacing w:val="-4"/>
        </w:rPr>
        <w:t xml:space="preserve"> </w:t>
      </w:r>
      <w:r>
        <w:t>number</w:t>
      </w:r>
      <w:r>
        <w:rPr>
          <w:spacing w:val="-4"/>
        </w:rPr>
        <w:t xml:space="preserve"> </w:t>
      </w:r>
      <w:r>
        <w:t xml:space="preserve">of persons are contacted through a face-to-face, telephone, or Internet interview to provide additional information about selected injuries or incidents associated with consumer products of special interest to CPSC. See Section 12(b) for details of the </w:t>
      </w:r>
      <w:r>
        <w:t>estimated burden and costs. In general, respondents are not compensated for participating in an interview.</w:t>
      </w:r>
    </w:p>
    <w:p w:rsidR="00D53A85" w14:paraId="78735335" w14:textId="77777777">
      <w:pPr>
        <w:pStyle w:val="BodyText"/>
        <w:spacing w:before="2"/>
        <w:ind w:left="0"/>
      </w:pPr>
    </w:p>
    <w:p w:rsidR="00D53A85" w14:paraId="7B4C02E0" w14:textId="77777777">
      <w:pPr>
        <w:pStyle w:val="Heading2"/>
        <w:numPr>
          <w:ilvl w:val="0"/>
          <w:numId w:val="2"/>
        </w:numPr>
        <w:tabs>
          <w:tab w:val="left" w:pos="499"/>
        </w:tabs>
        <w:ind w:left="499" w:hanging="382"/>
      </w:pPr>
      <w:bookmarkStart w:id="14" w:name="10._Assurance_of_confidentiality"/>
      <w:bookmarkEnd w:id="14"/>
      <w:r>
        <w:t>Assurance</w:t>
      </w:r>
      <w:r>
        <w:rPr>
          <w:spacing w:val="-4"/>
        </w:rPr>
        <w:t xml:space="preserve"> </w:t>
      </w:r>
      <w:r>
        <w:t>of</w:t>
      </w:r>
      <w:r>
        <w:rPr>
          <w:spacing w:val="-8"/>
        </w:rPr>
        <w:t xml:space="preserve"> </w:t>
      </w:r>
      <w:r>
        <w:rPr>
          <w:spacing w:val="-2"/>
        </w:rPr>
        <w:t>confidentiality</w:t>
      </w:r>
    </w:p>
    <w:p w:rsidR="00895B32" w:rsidP="00895B32" w14:paraId="46F61FF8" w14:textId="77777777">
      <w:pPr>
        <w:pStyle w:val="BodyText"/>
        <w:spacing w:before="80"/>
        <w:ind w:right="912"/>
      </w:pPr>
      <w:r>
        <w:t>If a person who is asked to provide information about a product-related injury or incident claims that any information submitted to the CPSC is trade secret or confidential business information, that information is subject to the agency's procedures</w:t>
      </w:r>
      <w:r>
        <w:rPr>
          <w:spacing w:val="-5"/>
        </w:rPr>
        <w:t xml:space="preserve"> </w:t>
      </w:r>
      <w:r>
        <w:t>for</w:t>
      </w:r>
      <w:r>
        <w:rPr>
          <w:spacing w:val="-4"/>
        </w:rPr>
        <w:t xml:space="preserve"> </w:t>
      </w:r>
      <w:r>
        <w:t>withholding</w:t>
      </w:r>
      <w:r>
        <w:rPr>
          <w:spacing w:val="-6"/>
        </w:rPr>
        <w:t xml:space="preserve"> </w:t>
      </w:r>
      <w:r>
        <w:t>confidential</w:t>
      </w:r>
      <w:r>
        <w:rPr>
          <w:spacing w:val="-6"/>
        </w:rPr>
        <w:t xml:space="preserve"> </w:t>
      </w:r>
      <w:r>
        <w:t>information</w:t>
      </w:r>
      <w:r>
        <w:rPr>
          <w:spacing w:val="-5"/>
        </w:rPr>
        <w:t xml:space="preserve"> </w:t>
      </w:r>
      <w:r>
        <w:t>from</w:t>
      </w:r>
      <w:r>
        <w:rPr>
          <w:spacing w:val="-6"/>
        </w:rPr>
        <w:t xml:space="preserve"> </w:t>
      </w:r>
      <w:r>
        <w:t>public</w:t>
      </w:r>
      <w:r>
        <w:rPr>
          <w:spacing w:val="-6"/>
        </w:rPr>
        <w:t xml:space="preserve"> </w:t>
      </w:r>
      <w:r>
        <w:t>disclosure</w:t>
      </w:r>
      <w:r>
        <w:rPr>
          <w:spacing w:val="-5"/>
        </w:rPr>
        <w:t xml:space="preserve"> </w:t>
      </w:r>
      <w:r>
        <w:t>codified</w:t>
      </w:r>
      <w:r>
        <w:t xml:space="preserve"> at</w:t>
      </w:r>
      <w:r>
        <w:rPr>
          <w:spacing w:val="-3"/>
        </w:rPr>
        <w:t xml:space="preserve"> </w:t>
      </w:r>
      <w:r>
        <w:t>16</w:t>
      </w:r>
      <w:r>
        <w:rPr>
          <w:spacing w:val="-4"/>
        </w:rPr>
        <w:t xml:space="preserve"> </w:t>
      </w:r>
      <w:r>
        <w:t>CFR</w:t>
      </w:r>
      <w:r>
        <w:rPr>
          <w:spacing w:val="-4"/>
        </w:rPr>
        <w:t xml:space="preserve"> </w:t>
      </w:r>
      <w:r>
        <w:t>part</w:t>
      </w:r>
      <w:r>
        <w:rPr>
          <w:spacing w:val="-3"/>
        </w:rPr>
        <w:t xml:space="preserve"> </w:t>
      </w:r>
      <w:r>
        <w:t>1015,</w:t>
      </w:r>
      <w:r>
        <w:rPr>
          <w:spacing w:val="-2"/>
        </w:rPr>
        <w:t xml:space="preserve"> </w:t>
      </w:r>
      <w:r>
        <w:t>subpart</w:t>
      </w:r>
      <w:r>
        <w:rPr>
          <w:spacing w:val="-3"/>
        </w:rPr>
        <w:t xml:space="preserve"> </w:t>
      </w:r>
      <w:r>
        <w:t>B.</w:t>
      </w:r>
      <w:r>
        <w:rPr>
          <w:spacing w:val="-2"/>
        </w:rPr>
        <w:t xml:space="preserve"> </w:t>
      </w:r>
      <w:r>
        <w:t>If</w:t>
      </w:r>
      <w:r>
        <w:rPr>
          <w:spacing w:val="-4"/>
        </w:rPr>
        <w:t xml:space="preserve"> </w:t>
      </w:r>
      <w:r>
        <w:t>such</w:t>
      </w:r>
      <w:r>
        <w:rPr>
          <w:spacing w:val="-4"/>
        </w:rPr>
        <w:t xml:space="preserve"> </w:t>
      </w:r>
      <w:r>
        <w:t>information</w:t>
      </w:r>
      <w:r>
        <w:rPr>
          <w:spacing w:val="-3"/>
        </w:rPr>
        <w:t xml:space="preserve"> </w:t>
      </w:r>
      <w:r>
        <w:t>is</w:t>
      </w:r>
      <w:r>
        <w:rPr>
          <w:spacing w:val="-3"/>
        </w:rPr>
        <w:t xml:space="preserve"> </w:t>
      </w:r>
      <w:r>
        <w:t>requested</w:t>
      </w:r>
      <w:r>
        <w:rPr>
          <w:spacing w:val="-5"/>
        </w:rPr>
        <w:t xml:space="preserve"> </w:t>
      </w:r>
      <w:r>
        <w:t>under</w:t>
      </w:r>
      <w:r>
        <w:rPr>
          <w:spacing w:val="-4"/>
        </w:rPr>
        <w:t xml:space="preserve"> </w:t>
      </w:r>
      <w:r>
        <w:t>provisions</w:t>
      </w:r>
      <w:r>
        <w:rPr>
          <w:spacing w:val="-3"/>
        </w:rPr>
        <w:t xml:space="preserve"> </w:t>
      </w:r>
      <w:r>
        <w:t>of the Freedom of Information Act, the person who provided the information is notified and given the opportunity to respond and seek judicial relief before the CPSC's release of the information. In addition, any accident or investigation report made under the CPSA by an officer or employee of the CPSC shall be made available to the public in a manner that will not identify any injured person or any person treating him or her, without the consent of the person so identified.</w:t>
      </w:r>
    </w:p>
    <w:p w:rsidR="00895B32" w:rsidP="00895B32" w14:paraId="6F9BA3F7" w14:textId="77777777">
      <w:pPr>
        <w:pStyle w:val="BodyText"/>
        <w:spacing w:before="80"/>
        <w:ind w:right="912"/>
      </w:pPr>
    </w:p>
    <w:p w:rsidR="00D53A85" w14:paraId="502C67D6" w14:textId="77777777">
      <w:pPr>
        <w:pStyle w:val="Heading2"/>
        <w:numPr>
          <w:ilvl w:val="0"/>
          <w:numId w:val="2"/>
        </w:numPr>
        <w:tabs>
          <w:tab w:val="left" w:pos="500"/>
        </w:tabs>
        <w:ind w:left="500" w:hanging="385"/>
      </w:pPr>
      <w:bookmarkStart w:id="15" w:name="11._Questions_of_a_sensitive_nature"/>
      <w:bookmarkEnd w:id="15"/>
      <w:r>
        <w:t>Questions</w:t>
      </w:r>
      <w:r>
        <w:rPr>
          <w:spacing w:val="-3"/>
        </w:rPr>
        <w:t xml:space="preserve"> </w:t>
      </w:r>
      <w:r>
        <w:t>of</w:t>
      </w:r>
      <w:r>
        <w:rPr>
          <w:spacing w:val="-2"/>
        </w:rPr>
        <w:t xml:space="preserve"> </w:t>
      </w:r>
      <w:r>
        <w:t>a</w:t>
      </w:r>
      <w:r>
        <w:rPr>
          <w:spacing w:val="-1"/>
        </w:rPr>
        <w:t xml:space="preserve"> </w:t>
      </w:r>
      <w:r>
        <w:t>sensitive</w:t>
      </w:r>
      <w:r>
        <w:rPr>
          <w:spacing w:val="-7"/>
        </w:rPr>
        <w:t xml:space="preserve"> </w:t>
      </w:r>
      <w:r>
        <w:rPr>
          <w:spacing w:val="-2"/>
        </w:rPr>
        <w:t>nature</w:t>
      </w:r>
    </w:p>
    <w:p w:rsidR="00D53A85" w14:paraId="52986976" w14:textId="370AABA8">
      <w:pPr>
        <w:pStyle w:val="BodyText"/>
        <w:spacing w:before="280"/>
        <w:ind w:right="998"/>
        <w:jc w:val="both"/>
      </w:pPr>
      <w:r>
        <w:t>The CPSC’s staff takes care to design interview</w:t>
      </w:r>
      <w:r>
        <w:rPr>
          <w:spacing w:val="-2"/>
        </w:rPr>
        <w:t xml:space="preserve"> </w:t>
      </w:r>
      <w:r>
        <w:t xml:space="preserve">guides so that </w:t>
      </w:r>
      <w:r w:rsidR="00596012">
        <w:t>those</w:t>
      </w:r>
      <w:r w:rsidR="00596012">
        <w:rPr>
          <w:spacing w:val="-3"/>
        </w:rPr>
        <w:t xml:space="preserve"> </w:t>
      </w:r>
      <w:r>
        <w:t>who witness or</w:t>
      </w:r>
      <w:r>
        <w:rPr>
          <w:spacing w:val="-3"/>
        </w:rPr>
        <w:t xml:space="preserve"> </w:t>
      </w:r>
      <w:r>
        <w:t>are</w:t>
      </w:r>
      <w:r>
        <w:rPr>
          <w:spacing w:val="-2"/>
        </w:rPr>
        <w:t xml:space="preserve"> </w:t>
      </w:r>
      <w:r>
        <w:t>injured</w:t>
      </w:r>
      <w:r>
        <w:rPr>
          <w:spacing w:val="-4"/>
        </w:rPr>
        <w:t xml:space="preserve"> </w:t>
      </w:r>
      <w:r>
        <w:t>in</w:t>
      </w:r>
      <w:r>
        <w:rPr>
          <w:spacing w:val="-2"/>
        </w:rPr>
        <w:t xml:space="preserve"> </w:t>
      </w:r>
      <w:r>
        <w:t>incidents</w:t>
      </w:r>
      <w:r>
        <w:rPr>
          <w:spacing w:val="-2"/>
        </w:rPr>
        <w:t xml:space="preserve"> </w:t>
      </w:r>
      <w:r>
        <w:t>associated</w:t>
      </w:r>
      <w:r>
        <w:rPr>
          <w:spacing w:val="-4"/>
        </w:rPr>
        <w:t xml:space="preserve"> </w:t>
      </w:r>
      <w:r>
        <w:t>with</w:t>
      </w:r>
      <w:r>
        <w:rPr>
          <w:spacing w:val="-3"/>
        </w:rPr>
        <w:t xml:space="preserve"> </w:t>
      </w:r>
      <w:r>
        <w:t>consumer</w:t>
      </w:r>
      <w:r>
        <w:rPr>
          <w:spacing w:val="-3"/>
        </w:rPr>
        <w:t xml:space="preserve"> </w:t>
      </w:r>
      <w:r>
        <w:t>products</w:t>
      </w:r>
      <w:r>
        <w:rPr>
          <w:spacing w:val="-2"/>
        </w:rPr>
        <w:t xml:space="preserve"> </w:t>
      </w:r>
      <w:r>
        <w:t>are</w:t>
      </w:r>
      <w:r>
        <w:rPr>
          <w:spacing w:val="-2"/>
        </w:rPr>
        <w:t xml:space="preserve"> </w:t>
      </w:r>
      <w:r>
        <w:t>not</w:t>
      </w:r>
      <w:r>
        <w:rPr>
          <w:spacing w:val="-2"/>
        </w:rPr>
        <w:t xml:space="preserve"> </w:t>
      </w:r>
      <w:r>
        <w:t>requested</w:t>
      </w:r>
      <w:r>
        <w:rPr>
          <w:spacing w:val="-4"/>
        </w:rPr>
        <w:t xml:space="preserve"> </w:t>
      </w:r>
      <w:r>
        <w:t>to provide any information of a sensitive nature.</w:t>
      </w:r>
    </w:p>
    <w:p w:rsidR="00D53A85" w14:paraId="3C12C336" w14:textId="77777777">
      <w:pPr>
        <w:pStyle w:val="BodyText"/>
        <w:ind w:left="0"/>
      </w:pPr>
    </w:p>
    <w:p w:rsidR="00D53A85" w:rsidRPr="00FB1F68" w14:paraId="36D7C54F" w14:textId="77777777">
      <w:pPr>
        <w:pStyle w:val="Heading2"/>
        <w:ind w:left="120"/>
        <w:jc w:val="both"/>
      </w:pPr>
      <w:bookmarkStart w:id="16" w:name="12_(a)._Estimate_of_hour_burden_to_NEISS"/>
      <w:bookmarkEnd w:id="16"/>
      <w:r>
        <w:t>12</w:t>
      </w:r>
      <w:r>
        <w:rPr>
          <w:spacing w:val="-5"/>
        </w:rPr>
        <w:t xml:space="preserve"> </w:t>
      </w:r>
      <w:r>
        <w:t>(a).</w:t>
      </w:r>
      <w:r>
        <w:rPr>
          <w:spacing w:val="-2"/>
        </w:rPr>
        <w:t xml:space="preserve"> </w:t>
      </w:r>
      <w:r w:rsidRPr="00FB1F68">
        <w:t>Estimate</w:t>
      </w:r>
      <w:r w:rsidRPr="00FB1F68">
        <w:rPr>
          <w:spacing w:val="-2"/>
        </w:rPr>
        <w:t xml:space="preserve"> </w:t>
      </w:r>
      <w:r w:rsidRPr="00FB1F68">
        <w:t>of</w:t>
      </w:r>
      <w:r w:rsidRPr="00FB1F68">
        <w:rPr>
          <w:spacing w:val="-2"/>
        </w:rPr>
        <w:t xml:space="preserve"> </w:t>
      </w:r>
      <w:r w:rsidRPr="00FB1F68">
        <w:t>hour</w:t>
      </w:r>
      <w:r w:rsidRPr="00FB1F68">
        <w:rPr>
          <w:spacing w:val="-2"/>
        </w:rPr>
        <w:t xml:space="preserve"> </w:t>
      </w:r>
      <w:r w:rsidRPr="00FB1F68">
        <w:t>burden</w:t>
      </w:r>
      <w:r w:rsidRPr="00FB1F68">
        <w:rPr>
          <w:spacing w:val="-2"/>
        </w:rPr>
        <w:t xml:space="preserve"> </w:t>
      </w:r>
      <w:r w:rsidRPr="00FB1F68">
        <w:t>to</w:t>
      </w:r>
      <w:r w:rsidRPr="00FB1F68">
        <w:rPr>
          <w:spacing w:val="-3"/>
        </w:rPr>
        <w:t xml:space="preserve"> </w:t>
      </w:r>
      <w:r w:rsidRPr="00FB1F68">
        <w:t>NEISS</w:t>
      </w:r>
      <w:r w:rsidRPr="00FB1F68">
        <w:rPr>
          <w:spacing w:val="-2"/>
        </w:rPr>
        <w:t xml:space="preserve"> respondents</w:t>
      </w:r>
    </w:p>
    <w:p w:rsidR="00D53A85" w:rsidRPr="00FB1F68" w14:paraId="0EB9479C" w14:textId="77777777">
      <w:pPr>
        <w:pStyle w:val="BodyText"/>
        <w:spacing w:before="1"/>
        <w:ind w:left="0"/>
        <w:rPr>
          <w:b/>
          <w:i/>
        </w:rPr>
      </w:pPr>
    </w:p>
    <w:p w:rsidR="00D53A85" w14:paraId="74FCF254" w14:textId="4BBF9B43">
      <w:pPr>
        <w:pStyle w:val="BodyText"/>
        <w:spacing w:before="1"/>
        <w:ind w:left="119" w:right="923"/>
      </w:pPr>
      <w:r w:rsidRPr="00FB1F68">
        <w:t>The NEISS system collects information on consumer product-related incidents and other injuries from a statistical sample of hospitals in the United States. The</w:t>
      </w:r>
      <w:r w:rsidRPr="00FB1F68">
        <w:rPr>
          <w:spacing w:val="40"/>
        </w:rPr>
        <w:t xml:space="preserve"> </w:t>
      </w:r>
      <w:r w:rsidRPr="00FB1F68">
        <w:t>number</w:t>
      </w:r>
      <w:r w:rsidRPr="00FB1F68">
        <w:rPr>
          <w:spacing w:val="-4"/>
        </w:rPr>
        <w:t xml:space="preserve"> </w:t>
      </w:r>
      <w:r w:rsidRPr="00FB1F68">
        <w:t>of</w:t>
      </w:r>
      <w:r w:rsidRPr="00FB1F68">
        <w:rPr>
          <w:spacing w:val="-4"/>
        </w:rPr>
        <w:t xml:space="preserve"> </w:t>
      </w:r>
      <w:r w:rsidRPr="00FB1F68">
        <w:t>hospitals</w:t>
      </w:r>
      <w:r w:rsidRPr="00FB1F68">
        <w:rPr>
          <w:spacing w:val="-3"/>
        </w:rPr>
        <w:t xml:space="preserve"> </w:t>
      </w:r>
      <w:r w:rsidRPr="00FB1F68">
        <w:t>participating</w:t>
      </w:r>
      <w:r w:rsidRPr="00FB1F68">
        <w:rPr>
          <w:spacing w:val="-5"/>
        </w:rPr>
        <w:t xml:space="preserve"> </w:t>
      </w:r>
      <w:r w:rsidRPr="00FB1F68">
        <w:t>in</w:t>
      </w:r>
      <w:r w:rsidRPr="00FB1F68">
        <w:rPr>
          <w:spacing w:val="-3"/>
        </w:rPr>
        <w:t xml:space="preserve"> </w:t>
      </w:r>
      <w:r w:rsidRPr="00FB1F68">
        <w:t>CY202</w:t>
      </w:r>
      <w:r w:rsidRPr="00521063" w:rsidR="00FB1F68">
        <w:t>5</w:t>
      </w:r>
      <w:r w:rsidRPr="00FB1F68">
        <w:t>-CY202</w:t>
      </w:r>
      <w:r w:rsidRPr="00521063" w:rsidR="00FB1F68">
        <w:t>9</w:t>
      </w:r>
      <w:r w:rsidRPr="00FB1F68">
        <w:rPr>
          <w:spacing w:val="-4"/>
        </w:rPr>
        <w:t xml:space="preserve"> </w:t>
      </w:r>
      <w:r w:rsidRPr="00FB1F68">
        <w:t>will</w:t>
      </w:r>
      <w:r w:rsidRPr="00FB1F68">
        <w:rPr>
          <w:spacing w:val="-4"/>
        </w:rPr>
        <w:t xml:space="preserve"> </w:t>
      </w:r>
      <w:r w:rsidRPr="00FB1F68">
        <w:t>fluctuate</w:t>
      </w:r>
      <w:r w:rsidRPr="00FB1F68">
        <w:rPr>
          <w:spacing w:val="-3"/>
        </w:rPr>
        <w:t xml:space="preserve"> </w:t>
      </w:r>
      <w:r w:rsidRPr="00FB1F68">
        <w:t>from</w:t>
      </w:r>
      <w:r w:rsidRPr="00FB1F68">
        <w:rPr>
          <w:spacing w:val="-4"/>
        </w:rPr>
        <w:t xml:space="preserve"> </w:t>
      </w:r>
      <w:r w:rsidRPr="00FB1F68">
        <w:t>the</w:t>
      </w:r>
      <w:r w:rsidRPr="00FB1F68">
        <w:rPr>
          <w:spacing w:val="-3"/>
        </w:rPr>
        <w:t xml:space="preserve"> </w:t>
      </w:r>
      <w:r w:rsidRPr="00FB1F68">
        <w:t xml:space="preserve">current </w:t>
      </w:r>
      <w:r w:rsidR="008C124D">
        <w:t>77</w:t>
      </w:r>
      <w:r w:rsidRPr="00FB1F68">
        <w:t xml:space="preserve"> reporting to a</w:t>
      </w:r>
      <w:r w:rsidRPr="008C124D" w:rsidR="00FB1F68">
        <w:t xml:space="preserve"> maximum of 100</w:t>
      </w:r>
      <w:r w:rsidRPr="00FB1F68" w:rsidR="00FB1F68">
        <w:t xml:space="preserve"> as hospital recruitment continues.</w:t>
      </w:r>
    </w:p>
    <w:p w:rsidR="00D53A85" w14:paraId="26E9655F" w14:textId="34FFF4EC">
      <w:pPr>
        <w:pStyle w:val="BodyText"/>
        <w:spacing w:before="279"/>
        <w:ind w:right="858"/>
      </w:pPr>
      <w:r>
        <w:t>Respondents to NEISS include hospitals that directly report information to NEISS, and</w:t>
      </w:r>
      <w:r>
        <w:rPr>
          <w:spacing w:val="-4"/>
        </w:rPr>
        <w:t xml:space="preserve"> </w:t>
      </w:r>
      <w:r>
        <w:t>hospitals</w:t>
      </w:r>
      <w:r>
        <w:rPr>
          <w:spacing w:val="-3"/>
        </w:rPr>
        <w:t xml:space="preserve"> </w:t>
      </w:r>
      <w:r>
        <w:t>that</w:t>
      </w:r>
      <w:r>
        <w:rPr>
          <w:spacing w:val="-3"/>
        </w:rPr>
        <w:t xml:space="preserve"> </w:t>
      </w:r>
      <w:r>
        <w:t>allow</w:t>
      </w:r>
      <w:r>
        <w:rPr>
          <w:spacing w:val="-4"/>
        </w:rPr>
        <w:t xml:space="preserve"> </w:t>
      </w:r>
      <w:r>
        <w:t>access</w:t>
      </w:r>
      <w:r>
        <w:rPr>
          <w:spacing w:val="-3"/>
        </w:rPr>
        <w:t xml:space="preserve"> </w:t>
      </w:r>
      <w:r>
        <w:t>to</w:t>
      </w:r>
      <w:r>
        <w:rPr>
          <w:spacing w:val="-3"/>
        </w:rPr>
        <w:t xml:space="preserve"> </w:t>
      </w:r>
      <w:r>
        <w:t>a</w:t>
      </w:r>
      <w:r>
        <w:rPr>
          <w:spacing w:val="-3"/>
        </w:rPr>
        <w:t xml:space="preserve"> </w:t>
      </w:r>
      <w:r>
        <w:t>CPSC</w:t>
      </w:r>
      <w:r>
        <w:rPr>
          <w:spacing w:val="-3"/>
        </w:rPr>
        <w:t xml:space="preserve"> </w:t>
      </w:r>
      <w:r>
        <w:t>contractor</w:t>
      </w:r>
      <w:r>
        <w:rPr>
          <w:spacing w:val="-3"/>
        </w:rPr>
        <w:t xml:space="preserve"> </w:t>
      </w:r>
      <w:r>
        <w:t>who</w:t>
      </w:r>
      <w:r>
        <w:rPr>
          <w:spacing w:val="-3"/>
        </w:rPr>
        <w:t xml:space="preserve"> </w:t>
      </w:r>
      <w:r>
        <w:t>collects</w:t>
      </w:r>
      <w:r>
        <w:rPr>
          <w:spacing w:val="-3"/>
        </w:rPr>
        <w:t xml:space="preserve"> </w:t>
      </w:r>
      <w:r>
        <w:t>the</w:t>
      </w:r>
      <w:r>
        <w:rPr>
          <w:spacing w:val="-3"/>
        </w:rPr>
        <w:t xml:space="preserve"> </w:t>
      </w:r>
      <w:r>
        <w:t>data.</w:t>
      </w:r>
      <w:r>
        <w:rPr>
          <w:spacing w:val="-2"/>
        </w:rPr>
        <w:t xml:space="preserve"> </w:t>
      </w:r>
      <w:r>
        <w:t xml:space="preserve">Collecting emergency department records for review, correcting error messages, and other tasks takes between 2.5 and 6 hours weekly. Each record takes about 30 seconds to review. Coding and reporting records that involve consumer products or other injuries takes about 2 minutes per record. Coding and reporting on additional special study information (Adverse Drug Effects) takes about 2 minutes and </w:t>
      </w:r>
      <w:r w:rsidR="3A2B4BFF">
        <w:t xml:space="preserve">other special studies take approximately </w:t>
      </w:r>
      <w:r>
        <w:t>90 seconds per record . Respondents also spend about 8-36 hours per year in related activities (training, evaluations, and communicating with other hospital staff).</w:t>
      </w:r>
    </w:p>
    <w:p w:rsidR="00D53A85" w14:paraId="62E2B3DE" w14:textId="77777777">
      <w:pPr>
        <w:pStyle w:val="BodyText"/>
        <w:spacing w:before="1"/>
        <w:ind w:left="0"/>
      </w:pPr>
    </w:p>
    <w:p w:rsidR="00D53A85" w14:paraId="2E1B3AFE" w14:textId="2FD73AFE">
      <w:pPr>
        <w:pStyle w:val="BodyText"/>
        <w:ind w:right="1027"/>
      </w:pPr>
      <w:r>
        <w:t>During CY202</w:t>
      </w:r>
      <w:r w:rsidR="000C7543">
        <w:t>5</w:t>
      </w:r>
      <w:r>
        <w:t xml:space="preserve">, </w:t>
      </w:r>
      <w:r w:rsidR="000C7543">
        <w:t>with</w:t>
      </w:r>
      <w:r>
        <w:t xml:space="preserve"> a </w:t>
      </w:r>
      <w:r w:rsidR="000C7543">
        <w:t>maximum</w:t>
      </w:r>
      <w:r>
        <w:t xml:space="preserve"> of 1</w:t>
      </w:r>
      <w:r w:rsidR="000C7543">
        <w:t>0</w:t>
      </w:r>
      <w:r>
        <w:t>0 hospitals participating in the NEISS,</w:t>
      </w:r>
      <w:r>
        <w:rPr>
          <w:spacing w:val="-2"/>
        </w:rPr>
        <w:t xml:space="preserve"> </w:t>
      </w:r>
      <w:r>
        <w:t>there</w:t>
      </w:r>
      <w:r>
        <w:rPr>
          <w:spacing w:val="-3"/>
        </w:rPr>
        <w:t xml:space="preserve"> </w:t>
      </w:r>
      <w:r>
        <w:t>will</w:t>
      </w:r>
      <w:r>
        <w:rPr>
          <w:spacing w:val="-4"/>
        </w:rPr>
        <w:t xml:space="preserve"> </w:t>
      </w:r>
      <w:r>
        <w:t>be</w:t>
      </w:r>
      <w:r>
        <w:rPr>
          <w:spacing w:val="-3"/>
        </w:rPr>
        <w:t xml:space="preserve"> </w:t>
      </w:r>
      <w:r>
        <w:t>an</w:t>
      </w:r>
      <w:r>
        <w:rPr>
          <w:spacing w:val="-5"/>
        </w:rPr>
        <w:t xml:space="preserve"> </w:t>
      </w:r>
      <w:r>
        <w:t>estimated</w:t>
      </w:r>
      <w:r>
        <w:rPr>
          <w:spacing w:val="-5"/>
        </w:rPr>
        <w:t xml:space="preserve"> </w:t>
      </w:r>
      <w:r>
        <w:t>160</w:t>
      </w:r>
      <w:r>
        <w:rPr>
          <w:spacing w:val="-4"/>
        </w:rPr>
        <w:t xml:space="preserve"> </w:t>
      </w:r>
      <w:r>
        <w:t>NEISS</w:t>
      </w:r>
      <w:r>
        <w:rPr>
          <w:spacing w:val="-3"/>
        </w:rPr>
        <w:t xml:space="preserve"> </w:t>
      </w:r>
      <w:r>
        <w:t>respondents</w:t>
      </w:r>
      <w:r>
        <w:rPr>
          <w:spacing w:val="-3"/>
        </w:rPr>
        <w:t xml:space="preserve"> </w:t>
      </w:r>
      <w:r>
        <w:t>(total</w:t>
      </w:r>
      <w:r>
        <w:rPr>
          <w:spacing w:val="-4"/>
        </w:rPr>
        <w:t xml:space="preserve"> </w:t>
      </w:r>
      <w:r>
        <w:t>hospitals</w:t>
      </w:r>
      <w:r>
        <w:rPr>
          <w:spacing w:val="-3"/>
        </w:rPr>
        <w:t xml:space="preserve"> </w:t>
      </w:r>
      <w:r>
        <w:t>and</w:t>
      </w:r>
      <w:r>
        <w:rPr>
          <w:spacing w:val="-5"/>
        </w:rPr>
        <w:t xml:space="preserve"> </w:t>
      </w:r>
      <w:r>
        <w:t xml:space="preserve">CPSC contractors). These NEISS respondents will review an estimated </w:t>
      </w:r>
      <w:r w:rsidR="006A0E17">
        <w:t>4.5</w:t>
      </w:r>
      <w:r>
        <w:t xml:space="preserve"> million emergency department records and report 1.</w:t>
      </w:r>
      <w:r w:rsidR="000C7543">
        <w:t>15</w:t>
      </w:r>
      <w:r>
        <w:t xml:space="preserve"> million total cases (4</w:t>
      </w:r>
      <w:r w:rsidR="00FE6315">
        <w:t>5</w:t>
      </w:r>
      <w:r>
        <w:t>0,000 consumer product-related injuries for CPSC, and 7</w:t>
      </w:r>
      <w:r w:rsidR="00FE6315">
        <w:t>75</w:t>
      </w:r>
      <w:r>
        <w:t xml:space="preserve">,000 other injuries for the NEISS-AIP). The table below lists the estimated number of reported cases, and the </w:t>
      </w:r>
      <w:r>
        <w:t>estimated number of reported cases with additional special study information.</w:t>
      </w:r>
    </w:p>
    <w:p w:rsidR="00895B32" w:rsidP="00895B32" w14:paraId="0FA32B65" w14:textId="77777777">
      <w:pPr>
        <w:pStyle w:val="BodyText"/>
        <w:ind w:right="1027"/>
        <w:jc w:val="center"/>
        <w:rPr>
          <w:b/>
          <w:bCs/>
        </w:rPr>
      </w:pPr>
    </w:p>
    <w:p w:rsidR="00895B32" w:rsidRPr="00895B32" w:rsidP="00895B32" w14:paraId="59F587B2" w14:textId="7184D318">
      <w:pPr>
        <w:pStyle w:val="BodyText"/>
        <w:ind w:right="1027"/>
        <w:jc w:val="center"/>
        <w:rPr>
          <w:b/>
          <w:bCs/>
        </w:rPr>
      </w:pPr>
      <w:r w:rsidRPr="00895B32">
        <w:rPr>
          <w:b/>
          <w:bCs/>
        </w:rPr>
        <w:t>Table 4</w:t>
      </w:r>
    </w:p>
    <w:p w:rsidR="00895B32" w:rsidRPr="00895B32" w:rsidP="00895B32" w14:paraId="66BA032C" w14:textId="7624A04A">
      <w:pPr>
        <w:pStyle w:val="BodyText"/>
        <w:ind w:right="1027"/>
        <w:jc w:val="center"/>
        <w:rPr>
          <w:b/>
          <w:bCs/>
        </w:rPr>
      </w:pPr>
      <w:r w:rsidRPr="00895B32">
        <w:rPr>
          <w:b/>
          <w:bCs/>
        </w:rPr>
        <w:t>Estimated NEISS records</w:t>
      </w:r>
    </w:p>
    <w:p w:rsidR="00D53A85" w14:paraId="65B2F8F7" w14:textId="77777777">
      <w:pPr>
        <w:pStyle w:val="BodyText"/>
        <w:spacing w:before="47"/>
        <w:ind w:left="0"/>
        <w:rPr>
          <w:sz w:val="2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6"/>
        <w:gridCol w:w="1493"/>
      </w:tblGrid>
      <w:tr w14:paraId="4504A7A6" w14:textId="77777777" w:rsidTr="005327DC">
        <w:tblPrEx>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0"/>
        </w:trPr>
        <w:tc>
          <w:tcPr>
            <w:tcW w:w="4836" w:type="dxa"/>
          </w:tcPr>
          <w:p w:rsidR="00D53A85" w14:paraId="1E05FBA4" w14:textId="77777777">
            <w:pPr>
              <w:pStyle w:val="TableParagraph"/>
              <w:spacing w:line="260" w:lineRule="exact"/>
              <w:jc w:val="left"/>
              <w:rPr>
                <w:b/>
                <w:sz w:val="24"/>
              </w:rPr>
            </w:pPr>
            <w:r>
              <w:rPr>
                <w:b/>
                <w:sz w:val="24"/>
              </w:rPr>
              <w:t>Total</w:t>
            </w:r>
            <w:r>
              <w:rPr>
                <w:b/>
                <w:spacing w:val="-1"/>
                <w:sz w:val="24"/>
              </w:rPr>
              <w:t xml:space="preserve"> </w:t>
            </w:r>
            <w:r>
              <w:rPr>
                <w:b/>
                <w:sz w:val="24"/>
              </w:rPr>
              <w:t>NEISS</w:t>
            </w:r>
            <w:r>
              <w:rPr>
                <w:b/>
                <w:spacing w:val="-2"/>
                <w:sz w:val="24"/>
              </w:rPr>
              <w:t xml:space="preserve"> </w:t>
            </w:r>
            <w:r>
              <w:rPr>
                <w:b/>
                <w:sz w:val="24"/>
              </w:rPr>
              <w:t>Cases</w:t>
            </w:r>
            <w:r>
              <w:rPr>
                <w:b/>
                <w:spacing w:val="-1"/>
                <w:sz w:val="24"/>
              </w:rPr>
              <w:t xml:space="preserve"> </w:t>
            </w:r>
            <w:r>
              <w:rPr>
                <w:b/>
                <w:spacing w:val="-2"/>
                <w:sz w:val="24"/>
              </w:rPr>
              <w:t>Reported</w:t>
            </w:r>
          </w:p>
        </w:tc>
        <w:tc>
          <w:tcPr>
            <w:tcW w:w="1493" w:type="dxa"/>
          </w:tcPr>
          <w:p w:rsidR="00D53A85" w14:paraId="6693893C" w14:textId="6C407A80">
            <w:pPr>
              <w:pStyle w:val="TableParagraph"/>
              <w:spacing w:line="260" w:lineRule="exact"/>
              <w:ind w:left="0" w:right="88"/>
              <w:jc w:val="right"/>
              <w:rPr>
                <w:b/>
                <w:sz w:val="24"/>
              </w:rPr>
            </w:pPr>
            <w:r>
              <w:rPr>
                <w:b/>
                <w:sz w:val="24"/>
              </w:rPr>
              <w:t>1.</w:t>
            </w:r>
            <w:r w:rsidR="00327443">
              <w:rPr>
                <w:b/>
                <w:sz w:val="24"/>
              </w:rPr>
              <w:t>15</w:t>
            </w:r>
            <w:r>
              <w:rPr>
                <w:b/>
                <w:spacing w:val="-5"/>
                <w:sz w:val="24"/>
              </w:rPr>
              <w:t xml:space="preserve"> </w:t>
            </w:r>
            <w:r>
              <w:rPr>
                <w:b/>
                <w:spacing w:val="-2"/>
                <w:sz w:val="24"/>
              </w:rPr>
              <w:t>million</w:t>
            </w:r>
          </w:p>
        </w:tc>
      </w:tr>
      <w:tr w14:paraId="6CCEB097" w14:textId="77777777" w:rsidTr="005327DC">
        <w:tblPrEx>
          <w:tblW w:w="0" w:type="auto"/>
          <w:tblInd w:w="1265" w:type="dxa"/>
          <w:tblLayout w:type="fixed"/>
          <w:tblCellMar>
            <w:left w:w="0" w:type="dxa"/>
            <w:right w:w="0" w:type="dxa"/>
          </w:tblCellMar>
          <w:tblLook w:val="01E0"/>
        </w:tblPrEx>
        <w:trPr>
          <w:trHeight w:val="280"/>
        </w:trPr>
        <w:tc>
          <w:tcPr>
            <w:tcW w:w="4836" w:type="dxa"/>
          </w:tcPr>
          <w:p w:rsidR="00D53A85" w14:paraId="5EA077E0" w14:textId="77777777">
            <w:pPr>
              <w:pStyle w:val="TableParagraph"/>
              <w:spacing w:line="260" w:lineRule="exact"/>
              <w:jc w:val="left"/>
              <w:rPr>
                <w:sz w:val="24"/>
              </w:rPr>
            </w:pPr>
            <w:r>
              <w:rPr>
                <w:sz w:val="24"/>
              </w:rPr>
              <w:t>Consumer</w:t>
            </w:r>
            <w:r>
              <w:rPr>
                <w:spacing w:val="-6"/>
                <w:sz w:val="24"/>
              </w:rPr>
              <w:t xml:space="preserve"> </w:t>
            </w:r>
            <w:r>
              <w:rPr>
                <w:sz w:val="24"/>
              </w:rPr>
              <w:t>Product-Related</w:t>
            </w:r>
            <w:r>
              <w:rPr>
                <w:spacing w:val="-5"/>
                <w:sz w:val="24"/>
              </w:rPr>
              <w:t xml:space="preserve"> </w:t>
            </w:r>
            <w:r>
              <w:rPr>
                <w:spacing w:val="-2"/>
                <w:sz w:val="24"/>
              </w:rPr>
              <w:t>Injuries</w:t>
            </w:r>
          </w:p>
        </w:tc>
        <w:tc>
          <w:tcPr>
            <w:tcW w:w="1493" w:type="dxa"/>
          </w:tcPr>
          <w:p w:rsidR="00D53A85" w14:paraId="4D23ADC8" w14:textId="0B34DBF0">
            <w:pPr>
              <w:pStyle w:val="TableParagraph"/>
              <w:spacing w:line="260" w:lineRule="exact"/>
              <w:ind w:left="0" w:right="88"/>
              <w:jc w:val="right"/>
              <w:rPr>
                <w:b/>
                <w:sz w:val="24"/>
              </w:rPr>
            </w:pPr>
            <w:r>
              <w:rPr>
                <w:b/>
                <w:spacing w:val="-2"/>
                <w:sz w:val="24"/>
              </w:rPr>
              <w:t>4</w:t>
            </w:r>
            <w:r w:rsidR="00327443">
              <w:rPr>
                <w:b/>
                <w:spacing w:val="-2"/>
                <w:sz w:val="24"/>
              </w:rPr>
              <w:t>5</w:t>
            </w:r>
            <w:r>
              <w:rPr>
                <w:b/>
                <w:spacing w:val="-2"/>
                <w:sz w:val="24"/>
              </w:rPr>
              <w:t>0,000</w:t>
            </w:r>
          </w:p>
        </w:tc>
      </w:tr>
      <w:tr w14:paraId="1A29DA9D" w14:textId="77777777" w:rsidTr="005327DC">
        <w:tblPrEx>
          <w:tblW w:w="0" w:type="auto"/>
          <w:tblInd w:w="1265" w:type="dxa"/>
          <w:tblLayout w:type="fixed"/>
          <w:tblCellMar>
            <w:left w:w="0" w:type="dxa"/>
            <w:right w:w="0" w:type="dxa"/>
          </w:tblCellMar>
          <w:tblLook w:val="01E0"/>
        </w:tblPrEx>
        <w:trPr>
          <w:trHeight w:val="280"/>
        </w:trPr>
        <w:tc>
          <w:tcPr>
            <w:tcW w:w="4836" w:type="dxa"/>
          </w:tcPr>
          <w:p w:rsidR="00D53A85" w14:paraId="50597004" w14:textId="77777777">
            <w:pPr>
              <w:pStyle w:val="TableParagraph"/>
              <w:spacing w:line="260" w:lineRule="exact"/>
              <w:jc w:val="left"/>
              <w:rPr>
                <w:sz w:val="24"/>
              </w:rPr>
            </w:pPr>
            <w:r>
              <w:rPr>
                <w:sz w:val="24"/>
              </w:rPr>
              <w:t>CDC</w:t>
            </w:r>
            <w:r>
              <w:rPr>
                <w:spacing w:val="-8"/>
                <w:sz w:val="24"/>
              </w:rPr>
              <w:t xml:space="preserve"> </w:t>
            </w:r>
            <w:r>
              <w:rPr>
                <w:sz w:val="24"/>
              </w:rPr>
              <w:t>NEISS-</w:t>
            </w:r>
            <w:r>
              <w:rPr>
                <w:spacing w:val="-5"/>
                <w:sz w:val="24"/>
              </w:rPr>
              <w:t>AIP</w:t>
            </w:r>
          </w:p>
        </w:tc>
        <w:tc>
          <w:tcPr>
            <w:tcW w:w="1493" w:type="dxa"/>
          </w:tcPr>
          <w:p w:rsidR="00D53A85" w14:paraId="122B174F" w14:textId="1C5CC4E2">
            <w:pPr>
              <w:pStyle w:val="TableParagraph"/>
              <w:spacing w:line="260" w:lineRule="exact"/>
              <w:ind w:left="0" w:right="88"/>
              <w:jc w:val="right"/>
              <w:rPr>
                <w:b/>
                <w:sz w:val="24"/>
              </w:rPr>
            </w:pPr>
            <w:r>
              <w:rPr>
                <w:b/>
                <w:spacing w:val="-2"/>
                <w:sz w:val="24"/>
              </w:rPr>
              <w:t>700</w:t>
            </w:r>
            <w:r w:rsidR="00155C59">
              <w:rPr>
                <w:b/>
                <w:spacing w:val="-2"/>
                <w:sz w:val="24"/>
              </w:rPr>
              <w:t>,000</w:t>
            </w:r>
          </w:p>
        </w:tc>
      </w:tr>
      <w:tr w14:paraId="7A3F9640"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rsidRPr="005327DC" w14:paraId="7896BE28" w14:textId="451CD5B1">
            <w:pPr>
              <w:pStyle w:val="TableParagraph"/>
              <w:spacing w:line="260" w:lineRule="exact"/>
              <w:jc w:val="left"/>
              <w:rPr>
                <w:b/>
                <w:bCs/>
                <w:sz w:val="24"/>
              </w:rPr>
            </w:pPr>
            <w:r w:rsidRPr="005327DC">
              <w:rPr>
                <w:b/>
                <w:bCs/>
                <w:sz w:val="24"/>
              </w:rPr>
              <w:t>Special Studies Reported (subset of above)</w:t>
            </w:r>
          </w:p>
        </w:tc>
        <w:tc>
          <w:tcPr>
            <w:tcW w:w="1493" w:type="dxa"/>
          </w:tcPr>
          <w:p w:rsidR="005327DC" w14:paraId="4A09EFC1" w14:textId="77777777">
            <w:pPr>
              <w:pStyle w:val="TableParagraph"/>
              <w:spacing w:line="260" w:lineRule="exact"/>
              <w:ind w:left="0" w:right="88"/>
              <w:jc w:val="right"/>
              <w:rPr>
                <w:b/>
                <w:spacing w:val="-2"/>
                <w:sz w:val="24"/>
              </w:rPr>
            </w:pPr>
          </w:p>
        </w:tc>
      </w:tr>
      <w:tr w14:paraId="310788EF"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44C46422" w14:textId="08DFA053">
            <w:pPr>
              <w:pStyle w:val="TableParagraph"/>
              <w:spacing w:line="260" w:lineRule="exact"/>
              <w:jc w:val="left"/>
              <w:rPr>
                <w:sz w:val="24"/>
              </w:rPr>
            </w:pPr>
            <w:r>
              <w:rPr>
                <w:sz w:val="24"/>
              </w:rPr>
              <w:t>Child Poisoning (CPSC)</w:t>
            </w:r>
          </w:p>
        </w:tc>
        <w:tc>
          <w:tcPr>
            <w:tcW w:w="1493" w:type="dxa"/>
          </w:tcPr>
          <w:p w:rsidR="005327DC" w14:paraId="3D423C13" w14:textId="542F7971">
            <w:pPr>
              <w:pStyle w:val="TableParagraph"/>
              <w:spacing w:line="260" w:lineRule="exact"/>
              <w:ind w:left="0" w:right="88"/>
              <w:jc w:val="right"/>
              <w:rPr>
                <w:b/>
                <w:spacing w:val="-2"/>
                <w:sz w:val="24"/>
              </w:rPr>
            </w:pPr>
            <w:r>
              <w:rPr>
                <w:b/>
                <w:spacing w:val="-2"/>
                <w:sz w:val="24"/>
              </w:rPr>
              <w:t>6,000</w:t>
            </w:r>
          </w:p>
        </w:tc>
      </w:tr>
      <w:tr w14:paraId="2BC0E2FF"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08EAC52F" w14:textId="314F5BE0">
            <w:pPr>
              <w:pStyle w:val="TableParagraph"/>
              <w:spacing w:line="260" w:lineRule="exact"/>
              <w:jc w:val="left"/>
              <w:rPr>
                <w:sz w:val="24"/>
              </w:rPr>
            </w:pPr>
            <w:r>
              <w:rPr>
                <w:sz w:val="24"/>
              </w:rPr>
              <w:t>Adverse Drug Effects (CDC)</w:t>
            </w:r>
          </w:p>
        </w:tc>
        <w:tc>
          <w:tcPr>
            <w:tcW w:w="1493" w:type="dxa"/>
          </w:tcPr>
          <w:p w:rsidR="005327DC" w14:paraId="319B3EB1" w14:textId="7A6990E9">
            <w:pPr>
              <w:pStyle w:val="TableParagraph"/>
              <w:spacing w:line="260" w:lineRule="exact"/>
              <w:ind w:left="0" w:right="88"/>
              <w:jc w:val="right"/>
              <w:rPr>
                <w:b/>
                <w:spacing w:val="-2"/>
                <w:sz w:val="24"/>
              </w:rPr>
            </w:pPr>
            <w:r>
              <w:rPr>
                <w:b/>
                <w:spacing w:val="-2"/>
                <w:sz w:val="24"/>
              </w:rPr>
              <w:t>82,000</w:t>
            </w:r>
          </w:p>
        </w:tc>
      </w:tr>
      <w:tr w14:paraId="51CC91F1"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06E605B4" w14:textId="53410AAA">
            <w:pPr>
              <w:pStyle w:val="TableParagraph"/>
              <w:spacing w:line="260" w:lineRule="exact"/>
              <w:jc w:val="left"/>
              <w:rPr>
                <w:sz w:val="24"/>
              </w:rPr>
            </w:pPr>
            <w:r>
              <w:rPr>
                <w:sz w:val="24"/>
              </w:rPr>
              <w:t>Assaults (CDC)</w:t>
            </w:r>
          </w:p>
        </w:tc>
        <w:tc>
          <w:tcPr>
            <w:tcW w:w="1493" w:type="dxa"/>
          </w:tcPr>
          <w:p w:rsidR="005327DC" w14:paraId="41757314" w14:textId="084D6670">
            <w:pPr>
              <w:pStyle w:val="TableParagraph"/>
              <w:spacing w:line="260" w:lineRule="exact"/>
              <w:ind w:left="0" w:right="88"/>
              <w:jc w:val="right"/>
              <w:rPr>
                <w:b/>
                <w:spacing w:val="-2"/>
                <w:sz w:val="24"/>
              </w:rPr>
            </w:pPr>
            <w:r>
              <w:rPr>
                <w:b/>
                <w:spacing w:val="-2"/>
                <w:sz w:val="24"/>
              </w:rPr>
              <w:t>60,000</w:t>
            </w:r>
          </w:p>
        </w:tc>
      </w:tr>
      <w:tr w14:paraId="13AFFFBB"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72AF7352" w14:textId="58ADAC57">
            <w:pPr>
              <w:pStyle w:val="TableParagraph"/>
              <w:spacing w:line="260" w:lineRule="exact"/>
              <w:jc w:val="left"/>
              <w:rPr>
                <w:sz w:val="24"/>
              </w:rPr>
            </w:pPr>
            <w:r>
              <w:rPr>
                <w:sz w:val="24"/>
              </w:rPr>
              <w:t>Self-Inflicted Violence (CDC)</w:t>
            </w:r>
          </w:p>
        </w:tc>
        <w:tc>
          <w:tcPr>
            <w:tcW w:w="1493" w:type="dxa"/>
          </w:tcPr>
          <w:p w:rsidR="005327DC" w14:paraId="4FE8090C" w14:textId="0585BE62">
            <w:pPr>
              <w:pStyle w:val="TableParagraph"/>
              <w:spacing w:line="260" w:lineRule="exact"/>
              <w:ind w:left="0" w:right="88"/>
              <w:jc w:val="right"/>
              <w:rPr>
                <w:b/>
                <w:spacing w:val="-2"/>
                <w:sz w:val="24"/>
              </w:rPr>
            </w:pPr>
            <w:r>
              <w:rPr>
                <w:b/>
                <w:spacing w:val="-2"/>
                <w:sz w:val="24"/>
              </w:rPr>
              <w:t>38,000</w:t>
            </w:r>
          </w:p>
        </w:tc>
      </w:tr>
      <w:tr w14:paraId="3ED97AA3"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4B0AF5B7" w14:textId="20B098D1">
            <w:pPr>
              <w:pStyle w:val="TableParagraph"/>
              <w:spacing w:line="260" w:lineRule="exact"/>
              <w:jc w:val="left"/>
              <w:rPr>
                <w:sz w:val="24"/>
              </w:rPr>
            </w:pPr>
            <w:r>
              <w:rPr>
                <w:sz w:val="24"/>
              </w:rPr>
              <w:t>Motor Vehicle Non-Crash Injuries (NHTSA)</w:t>
            </w:r>
          </w:p>
        </w:tc>
        <w:tc>
          <w:tcPr>
            <w:tcW w:w="1493" w:type="dxa"/>
          </w:tcPr>
          <w:p w:rsidR="005327DC" w:rsidP="005327DC" w14:paraId="7E813BA1" w14:textId="6BDAF57F">
            <w:pPr>
              <w:pStyle w:val="TableParagraph"/>
              <w:spacing w:line="260" w:lineRule="exact"/>
              <w:ind w:left="0" w:right="88"/>
              <w:jc w:val="right"/>
              <w:rPr>
                <w:b/>
                <w:spacing w:val="-2"/>
                <w:sz w:val="24"/>
              </w:rPr>
            </w:pPr>
            <w:r>
              <w:rPr>
                <w:b/>
                <w:spacing w:val="-2"/>
                <w:sz w:val="24"/>
              </w:rPr>
              <w:t>12,500</w:t>
            </w:r>
          </w:p>
        </w:tc>
      </w:tr>
      <w:tr w14:paraId="62F93465" w14:textId="77777777" w:rsidTr="005327DC">
        <w:tblPrEx>
          <w:tblW w:w="0" w:type="auto"/>
          <w:tblInd w:w="1265" w:type="dxa"/>
          <w:tblLayout w:type="fixed"/>
          <w:tblCellMar>
            <w:left w:w="0" w:type="dxa"/>
            <w:right w:w="0" w:type="dxa"/>
          </w:tblCellMar>
          <w:tblLook w:val="01E0"/>
        </w:tblPrEx>
        <w:trPr>
          <w:trHeight w:val="280"/>
        </w:trPr>
        <w:tc>
          <w:tcPr>
            <w:tcW w:w="4836" w:type="dxa"/>
          </w:tcPr>
          <w:p w:rsidR="005327DC" w14:paraId="4B511032" w14:textId="52F008C4">
            <w:pPr>
              <w:pStyle w:val="TableParagraph"/>
              <w:spacing w:line="260" w:lineRule="exact"/>
              <w:jc w:val="left"/>
              <w:rPr>
                <w:sz w:val="24"/>
              </w:rPr>
            </w:pPr>
            <w:r>
              <w:rPr>
                <w:sz w:val="24"/>
              </w:rPr>
              <w:t>Firearm-Related Injuries (CDC)</w:t>
            </w:r>
          </w:p>
        </w:tc>
        <w:tc>
          <w:tcPr>
            <w:tcW w:w="1493" w:type="dxa"/>
          </w:tcPr>
          <w:p w:rsidR="005327DC" w:rsidP="005327DC" w14:paraId="7FE72EBE" w14:textId="70087319">
            <w:pPr>
              <w:pStyle w:val="TableParagraph"/>
              <w:spacing w:line="260" w:lineRule="exact"/>
              <w:ind w:left="0" w:right="88"/>
              <w:jc w:val="right"/>
              <w:rPr>
                <w:b/>
                <w:spacing w:val="-2"/>
                <w:sz w:val="24"/>
              </w:rPr>
            </w:pPr>
            <w:r>
              <w:rPr>
                <w:b/>
                <w:spacing w:val="-2"/>
                <w:sz w:val="24"/>
              </w:rPr>
              <w:t>9,500</w:t>
            </w:r>
          </w:p>
        </w:tc>
      </w:tr>
    </w:tbl>
    <w:p w:rsidR="005327DC" w14:paraId="73DA737C" w14:textId="77777777">
      <w:pPr>
        <w:pStyle w:val="BodyText"/>
        <w:ind w:left="119" w:right="898"/>
        <w:rPr>
          <w:szCs w:val="22"/>
        </w:rPr>
      </w:pPr>
    </w:p>
    <w:p w:rsidR="00D53A85" w14:paraId="2CB6122B" w14:textId="1933D0B5">
      <w:pPr>
        <w:pStyle w:val="BodyText"/>
        <w:ind w:left="119" w:right="898"/>
      </w:pPr>
      <w:r>
        <w:t>The</w:t>
      </w:r>
      <w:r>
        <w:rPr>
          <w:spacing w:val="-2"/>
        </w:rPr>
        <w:t xml:space="preserve"> </w:t>
      </w:r>
      <w:r>
        <w:t>total</w:t>
      </w:r>
      <w:r>
        <w:rPr>
          <w:spacing w:val="-3"/>
        </w:rPr>
        <w:t xml:space="preserve"> </w:t>
      </w:r>
      <w:r>
        <w:t>burden</w:t>
      </w:r>
      <w:r>
        <w:rPr>
          <w:spacing w:val="-2"/>
        </w:rPr>
        <w:t xml:space="preserve"> </w:t>
      </w:r>
      <w:r>
        <w:t>hours for</w:t>
      </w:r>
      <w:r>
        <w:rPr>
          <w:spacing w:val="-3"/>
        </w:rPr>
        <w:t xml:space="preserve"> </w:t>
      </w:r>
      <w:r>
        <w:t>all</w:t>
      </w:r>
      <w:r>
        <w:rPr>
          <w:spacing w:val="-3"/>
        </w:rPr>
        <w:t xml:space="preserve"> </w:t>
      </w:r>
      <w:r>
        <w:t>NEISS</w:t>
      </w:r>
      <w:r>
        <w:rPr>
          <w:spacing w:val="-2"/>
        </w:rPr>
        <w:t xml:space="preserve"> </w:t>
      </w:r>
      <w:r>
        <w:t>respondents</w:t>
      </w:r>
      <w:r>
        <w:rPr>
          <w:spacing w:val="-2"/>
        </w:rPr>
        <w:t xml:space="preserve"> </w:t>
      </w:r>
      <w:r>
        <w:t>are</w:t>
      </w:r>
      <w:r>
        <w:rPr>
          <w:spacing w:val="-2"/>
        </w:rPr>
        <w:t xml:space="preserve"> </w:t>
      </w:r>
      <w:r>
        <w:t>estimated</w:t>
      </w:r>
      <w:r>
        <w:rPr>
          <w:spacing w:val="-4"/>
        </w:rPr>
        <w:t xml:space="preserve"> </w:t>
      </w:r>
      <w:r>
        <w:t>to</w:t>
      </w:r>
      <w:r>
        <w:rPr>
          <w:spacing w:val="-3"/>
        </w:rPr>
        <w:t xml:space="preserve"> </w:t>
      </w:r>
      <w:r w:rsidRPr="00E11F4B">
        <w:t>be</w:t>
      </w:r>
      <w:r w:rsidRPr="00E11F4B">
        <w:rPr>
          <w:spacing w:val="-2"/>
        </w:rPr>
        <w:t xml:space="preserve"> </w:t>
      </w:r>
      <w:r w:rsidRPr="00E11F4B">
        <w:t>1</w:t>
      </w:r>
      <w:r w:rsidRPr="00E11F4B" w:rsidR="00461902">
        <w:t>15</w:t>
      </w:r>
      <w:r w:rsidRPr="00E11F4B">
        <w:t>,000</w:t>
      </w:r>
      <w:r>
        <w:rPr>
          <w:spacing w:val="-1"/>
        </w:rPr>
        <w:t xml:space="preserve"> </w:t>
      </w:r>
      <w:r>
        <w:t>for</w:t>
      </w:r>
      <w:r w:rsidR="00FE6315">
        <w:t xml:space="preserve"> </w:t>
      </w:r>
      <w:r>
        <w:t>CY 202</w:t>
      </w:r>
      <w:r w:rsidR="00FE6315">
        <w:t>5</w:t>
      </w:r>
      <w:r>
        <w:t xml:space="preserve">. The average burden hours per respondent is </w:t>
      </w:r>
      <w:r w:rsidR="00E11F4B">
        <w:t>720</w:t>
      </w:r>
      <w:r>
        <w:t xml:space="preserve"> hours. However, the total burden hours on each respondent varies, due to differences in the sizes of the hospitals (</w:t>
      </w:r>
      <w:r>
        <w:rPr>
          <w:i/>
        </w:rPr>
        <w:t>e.g</w:t>
      </w:r>
      <w:r>
        <w:t>., small rural hospitals versus large metropolitan hospitals). The smallest hospital will report an estimated 250 cases with a burden of about 150 hours, while the largest hospital will report an estimated 6</w:t>
      </w:r>
      <w:r w:rsidR="00E11F4B">
        <w:t>5</w:t>
      </w:r>
      <w:r>
        <w:t>,000 cases with a burden of about 4,500 hours.</w:t>
      </w:r>
    </w:p>
    <w:p w:rsidR="00D53A85" w:rsidRPr="00BB7DBC" w14:paraId="5FE3C786" w14:textId="5AA7A8FA">
      <w:pPr>
        <w:pStyle w:val="BodyText"/>
        <w:spacing w:before="279"/>
      </w:pPr>
      <w:r w:rsidRPr="00BB7DBC">
        <w:t>The</w:t>
      </w:r>
      <w:r w:rsidRPr="00BB7DBC">
        <w:rPr>
          <w:spacing w:val="-4"/>
        </w:rPr>
        <w:t xml:space="preserve"> </w:t>
      </w:r>
      <w:r w:rsidRPr="00BB7DBC">
        <w:t>total</w:t>
      </w:r>
      <w:r w:rsidRPr="00BB7DBC">
        <w:rPr>
          <w:spacing w:val="-2"/>
        </w:rPr>
        <w:t xml:space="preserve"> </w:t>
      </w:r>
      <w:r w:rsidRPr="00BB7DBC">
        <w:t>costs</w:t>
      </w:r>
      <w:r w:rsidRPr="00BB7DBC">
        <w:rPr>
          <w:spacing w:val="-2"/>
        </w:rPr>
        <w:t xml:space="preserve"> </w:t>
      </w:r>
      <w:r w:rsidRPr="00BB7DBC">
        <w:t>to</w:t>
      </w:r>
      <w:r w:rsidRPr="00BB7DBC">
        <w:rPr>
          <w:spacing w:val="-2"/>
        </w:rPr>
        <w:t xml:space="preserve"> </w:t>
      </w:r>
      <w:r w:rsidRPr="00BB7DBC">
        <w:t>NEISS</w:t>
      </w:r>
      <w:r w:rsidRPr="00BB7DBC">
        <w:rPr>
          <w:spacing w:val="-4"/>
        </w:rPr>
        <w:t xml:space="preserve"> </w:t>
      </w:r>
      <w:r w:rsidRPr="00BB7DBC">
        <w:t>respondents</w:t>
      </w:r>
      <w:r w:rsidRPr="00BB7DBC">
        <w:rPr>
          <w:spacing w:val="-1"/>
        </w:rPr>
        <w:t xml:space="preserve"> </w:t>
      </w:r>
      <w:r w:rsidRPr="00BB7DBC">
        <w:t>for</w:t>
      </w:r>
      <w:r w:rsidRPr="00BB7DBC">
        <w:rPr>
          <w:spacing w:val="-2"/>
        </w:rPr>
        <w:t xml:space="preserve"> </w:t>
      </w:r>
      <w:r w:rsidRPr="00BB7DBC">
        <w:t>CY</w:t>
      </w:r>
      <w:r w:rsidRPr="00BB7DBC">
        <w:rPr>
          <w:spacing w:val="-3"/>
        </w:rPr>
        <w:t xml:space="preserve"> </w:t>
      </w:r>
      <w:r w:rsidRPr="00BB7DBC">
        <w:t>202</w:t>
      </w:r>
      <w:r w:rsidRPr="00BB7DBC" w:rsidR="00EA3874">
        <w:t>5</w:t>
      </w:r>
      <w:r w:rsidRPr="00BB7DBC">
        <w:rPr>
          <w:spacing w:val="-2"/>
        </w:rPr>
        <w:t xml:space="preserve"> </w:t>
      </w:r>
      <w:r w:rsidRPr="00BB7DBC">
        <w:t>are</w:t>
      </w:r>
      <w:r w:rsidRPr="00BB7DBC">
        <w:rPr>
          <w:spacing w:val="-2"/>
        </w:rPr>
        <w:t xml:space="preserve"> </w:t>
      </w:r>
      <w:r w:rsidRPr="00BB7DBC">
        <w:t>estimated</w:t>
      </w:r>
      <w:r w:rsidRPr="00BB7DBC">
        <w:rPr>
          <w:spacing w:val="-3"/>
        </w:rPr>
        <w:t xml:space="preserve"> </w:t>
      </w:r>
      <w:r w:rsidRPr="00BB7DBC">
        <w:t>at</w:t>
      </w:r>
      <w:r w:rsidRPr="00BB7DBC">
        <w:rPr>
          <w:spacing w:val="-1"/>
        </w:rPr>
        <w:t xml:space="preserve"> </w:t>
      </w:r>
      <w:r w:rsidRPr="00BB7DBC">
        <w:rPr>
          <w:spacing w:val="-2"/>
        </w:rPr>
        <w:t>approximately</w:t>
      </w:r>
    </w:p>
    <w:p w:rsidR="00D53A85" w14:paraId="406A3998" w14:textId="0AC7ADEC">
      <w:pPr>
        <w:pStyle w:val="BodyText"/>
        <w:spacing w:before="2"/>
        <w:ind w:right="912"/>
      </w:pPr>
      <w:r w:rsidRPr="00BB7DBC">
        <w:t>$6.</w:t>
      </w:r>
      <w:r w:rsidRPr="00BB7DBC" w:rsidR="00EA3874">
        <w:t>9</w:t>
      </w:r>
      <w:r w:rsidRPr="00BB7DBC">
        <w:t xml:space="preserve"> million. NEISS respondents enter into contracts with CPSC and are compensated for these costs. The average cost per respondent is estimated to be about</w:t>
      </w:r>
      <w:r w:rsidRPr="00BB7DBC">
        <w:rPr>
          <w:spacing w:val="-3"/>
        </w:rPr>
        <w:t xml:space="preserve"> </w:t>
      </w:r>
      <w:r w:rsidRPr="00BB7DBC">
        <w:t>$4</w:t>
      </w:r>
      <w:r w:rsidRPr="00BB7DBC" w:rsidR="00EA3874">
        <w:t>3</w:t>
      </w:r>
      <w:r w:rsidRPr="00BB7DBC">
        <w:t>,000.</w:t>
      </w:r>
      <w:r w:rsidRPr="00BB7DBC">
        <w:rPr>
          <w:spacing w:val="-2"/>
        </w:rPr>
        <w:t xml:space="preserve"> </w:t>
      </w:r>
      <w:r w:rsidRPr="00BB7DBC">
        <w:t>The</w:t>
      </w:r>
      <w:r w:rsidRPr="00BB7DBC">
        <w:rPr>
          <w:spacing w:val="-3"/>
        </w:rPr>
        <w:t xml:space="preserve"> </w:t>
      </w:r>
      <w:r w:rsidRPr="00BB7DBC">
        <w:t>average</w:t>
      </w:r>
      <w:r w:rsidRPr="00BB7DBC">
        <w:rPr>
          <w:spacing w:val="-3"/>
        </w:rPr>
        <w:t xml:space="preserve"> </w:t>
      </w:r>
      <w:r w:rsidRPr="00BB7DBC">
        <w:t>cost</w:t>
      </w:r>
      <w:r w:rsidRPr="00BB7DBC">
        <w:rPr>
          <w:spacing w:val="-3"/>
        </w:rPr>
        <w:t xml:space="preserve"> </w:t>
      </w:r>
      <w:r w:rsidRPr="00BB7DBC">
        <w:t>per</w:t>
      </w:r>
      <w:r w:rsidRPr="00BB7DBC">
        <w:rPr>
          <w:spacing w:val="-4"/>
        </w:rPr>
        <w:t xml:space="preserve"> </w:t>
      </w:r>
      <w:r w:rsidRPr="00BB7DBC">
        <w:t>burden</w:t>
      </w:r>
      <w:r w:rsidRPr="00BB7DBC">
        <w:rPr>
          <w:spacing w:val="-3"/>
        </w:rPr>
        <w:t xml:space="preserve"> </w:t>
      </w:r>
      <w:r w:rsidRPr="00BB7DBC">
        <w:t>hour</w:t>
      </w:r>
      <w:r w:rsidRPr="00BB7DBC">
        <w:rPr>
          <w:spacing w:val="-4"/>
        </w:rPr>
        <w:t xml:space="preserve"> </w:t>
      </w:r>
      <w:r w:rsidRPr="00BB7DBC">
        <w:t>is</w:t>
      </w:r>
      <w:r w:rsidRPr="00BB7DBC">
        <w:rPr>
          <w:spacing w:val="-3"/>
        </w:rPr>
        <w:t xml:space="preserve"> </w:t>
      </w:r>
      <w:r w:rsidRPr="00BB7DBC">
        <w:t>estimated</w:t>
      </w:r>
      <w:r w:rsidRPr="00BB7DBC">
        <w:rPr>
          <w:spacing w:val="-5"/>
        </w:rPr>
        <w:t xml:space="preserve"> </w:t>
      </w:r>
      <w:r w:rsidRPr="00BB7DBC">
        <w:t>to</w:t>
      </w:r>
      <w:r w:rsidRPr="00BB7DBC">
        <w:rPr>
          <w:spacing w:val="-4"/>
        </w:rPr>
        <w:t xml:space="preserve"> </w:t>
      </w:r>
      <w:r w:rsidRPr="00BB7DBC">
        <w:t>be</w:t>
      </w:r>
      <w:r w:rsidRPr="00BB7DBC">
        <w:rPr>
          <w:spacing w:val="-3"/>
        </w:rPr>
        <w:t xml:space="preserve"> </w:t>
      </w:r>
      <w:r w:rsidRPr="00BB7DBC">
        <w:t>$</w:t>
      </w:r>
      <w:r w:rsidRPr="00BB7DBC" w:rsidR="00EA3874">
        <w:t>6</w:t>
      </w:r>
      <w:r w:rsidRPr="00BB7DBC">
        <w:t>0</w:t>
      </w:r>
      <w:r w:rsidRPr="00BB7DBC">
        <w:rPr>
          <w:spacing w:val="-4"/>
        </w:rPr>
        <w:t xml:space="preserve"> </w:t>
      </w:r>
      <w:r w:rsidRPr="00BB7DBC">
        <w:t>per</w:t>
      </w:r>
      <w:r w:rsidRPr="00BB7DBC">
        <w:rPr>
          <w:spacing w:val="-4"/>
        </w:rPr>
        <w:t xml:space="preserve"> </w:t>
      </w:r>
      <w:r w:rsidRPr="00BB7DBC">
        <w:t>hour (including wages and overhead). However, the actual cost to each respondent varies, due to the type of respondent (hospital versus CPSC contractor), size of hospital, and regional differences in wages and overhead. Therefore, the actual annual cost for any given respondent may vary between $3,000 at a small rural hospital, and $</w:t>
      </w:r>
      <w:r w:rsidRPr="00BB7DBC" w:rsidR="00BB7DBC">
        <w:t>5</w:t>
      </w:r>
      <w:r w:rsidRPr="00BB7DBC">
        <w:t>50,000 at the largest metropolitan hospital.</w:t>
      </w:r>
    </w:p>
    <w:p w:rsidR="00D53A85" w14:paraId="463054DC" w14:textId="77777777">
      <w:pPr>
        <w:pStyle w:val="Heading2"/>
        <w:spacing w:before="281"/>
        <w:ind w:left="120"/>
      </w:pPr>
      <w:bookmarkStart w:id="17" w:name="12_(b)._Estimate_of_hour_burden_to_other"/>
      <w:bookmarkEnd w:id="17"/>
      <w:r>
        <w:t>12</w:t>
      </w:r>
      <w:r>
        <w:rPr>
          <w:spacing w:val="-3"/>
        </w:rPr>
        <w:t xml:space="preserve"> </w:t>
      </w:r>
      <w:r>
        <w:t>(b</w:t>
      </w:r>
      <w:r w:rsidRPr="002625CD">
        <w:t>). Estimate</w:t>
      </w:r>
      <w:r w:rsidRPr="002625CD">
        <w:rPr>
          <w:spacing w:val="-1"/>
        </w:rPr>
        <w:t xml:space="preserve"> </w:t>
      </w:r>
      <w:r w:rsidRPr="002625CD">
        <w:t>of</w:t>
      </w:r>
      <w:r w:rsidRPr="002625CD">
        <w:rPr>
          <w:spacing w:val="-2"/>
        </w:rPr>
        <w:t xml:space="preserve"> </w:t>
      </w:r>
      <w:r w:rsidRPr="002625CD">
        <w:t>hour</w:t>
      </w:r>
      <w:r w:rsidRPr="002625CD">
        <w:rPr>
          <w:spacing w:val="-2"/>
        </w:rPr>
        <w:t xml:space="preserve"> </w:t>
      </w:r>
      <w:r w:rsidRPr="002625CD">
        <w:t>burden to</w:t>
      </w:r>
      <w:r w:rsidRPr="002625CD">
        <w:rPr>
          <w:spacing w:val="-2"/>
        </w:rPr>
        <w:t xml:space="preserve"> </w:t>
      </w:r>
      <w:r w:rsidRPr="002625CD">
        <w:t>other</w:t>
      </w:r>
      <w:r w:rsidRPr="002625CD">
        <w:rPr>
          <w:spacing w:val="-1"/>
        </w:rPr>
        <w:t xml:space="preserve"> </w:t>
      </w:r>
      <w:r w:rsidRPr="002625CD">
        <w:rPr>
          <w:spacing w:val="-2"/>
        </w:rPr>
        <w:t>respondents</w:t>
      </w:r>
    </w:p>
    <w:p w:rsidR="00D53A85" w14:paraId="47345131" w14:textId="77777777">
      <w:pPr>
        <w:pStyle w:val="BodyText"/>
        <w:spacing w:before="1"/>
        <w:ind w:left="0"/>
        <w:rPr>
          <w:b/>
          <w:i/>
        </w:rPr>
      </w:pPr>
    </w:p>
    <w:p w:rsidR="00D53A85" w:rsidP="002625CD" w14:paraId="65F29EA6" w14:textId="066E218A">
      <w:pPr>
        <w:pStyle w:val="BodyText"/>
        <w:ind w:right="858"/>
      </w:pPr>
      <w:r>
        <w:t>CPSC staff co</w:t>
      </w:r>
      <w:r w:rsidR="00B91713">
        <w:t>mpletes</w:t>
      </w:r>
      <w:r>
        <w:t xml:space="preserve"> field interviews of about </w:t>
      </w:r>
      <w:r w:rsidR="00B91713">
        <w:t>2,950</w:t>
      </w:r>
      <w:r>
        <w:t xml:space="preserve"> </w:t>
      </w:r>
      <w:r w:rsidR="00D771A2">
        <w:t xml:space="preserve">people </w:t>
      </w:r>
      <w:r>
        <w:t>each year using the supplementary Criteria and Rationales manual. On average, an on-site interview takes about 4.5 hours. Staff also co</w:t>
      </w:r>
      <w:r w:rsidR="00B91713">
        <w:t>mplete</w:t>
      </w:r>
      <w:r w:rsidR="00D771A2">
        <w:t>s</w:t>
      </w:r>
      <w:r>
        <w:t xml:space="preserve"> about </w:t>
      </w:r>
      <w:r w:rsidR="00B91713">
        <w:t>750</w:t>
      </w:r>
      <w:r>
        <w:t xml:space="preserve"> in-depth investigations (IDIs) by</w:t>
      </w:r>
      <w:r>
        <w:rPr>
          <w:spacing w:val="-4"/>
        </w:rPr>
        <w:t xml:space="preserve"> </w:t>
      </w:r>
      <w:r>
        <w:t>telephone</w:t>
      </w:r>
      <w:r>
        <w:rPr>
          <w:spacing w:val="-3"/>
        </w:rPr>
        <w:t xml:space="preserve"> </w:t>
      </w:r>
      <w:r>
        <w:t>through</w:t>
      </w:r>
      <w:r>
        <w:rPr>
          <w:spacing w:val="-4"/>
        </w:rPr>
        <w:t xml:space="preserve"> </w:t>
      </w:r>
      <w:r>
        <w:t>the</w:t>
      </w:r>
      <w:r>
        <w:rPr>
          <w:spacing w:val="-3"/>
        </w:rPr>
        <w:t xml:space="preserve"> </w:t>
      </w:r>
      <w:r>
        <w:t>use</w:t>
      </w:r>
      <w:r>
        <w:rPr>
          <w:spacing w:val="-3"/>
        </w:rPr>
        <w:t xml:space="preserve"> </w:t>
      </w:r>
      <w:r>
        <w:t>of</w:t>
      </w:r>
      <w:r>
        <w:rPr>
          <w:spacing w:val="-4"/>
        </w:rPr>
        <w:t xml:space="preserve"> </w:t>
      </w:r>
      <w:r>
        <w:t>a</w:t>
      </w:r>
      <w:r>
        <w:rPr>
          <w:spacing w:val="-3"/>
        </w:rPr>
        <w:t xml:space="preserve"> </w:t>
      </w:r>
      <w:r>
        <w:t>Computer</w:t>
      </w:r>
      <w:r>
        <w:rPr>
          <w:spacing w:val="-4"/>
        </w:rPr>
        <w:t xml:space="preserve"> </w:t>
      </w:r>
      <w:r>
        <w:t>Assisted</w:t>
      </w:r>
      <w:r>
        <w:rPr>
          <w:spacing w:val="-5"/>
        </w:rPr>
        <w:t xml:space="preserve"> </w:t>
      </w:r>
      <w:r>
        <w:t>Telephone</w:t>
      </w:r>
      <w:r>
        <w:rPr>
          <w:spacing w:val="-3"/>
        </w:rPr>
        <w:t xml:space="preserve"> </w:t>
      </w:r>
      <w:r>
        <w:t>Interview</w:t>
      </w:r>
      <w:r>
        <w:rPr>
          <w:spacing w:val="-5"/>
        </w:rPr>
        <w:t xml:space="preserve"> </w:t>
      </w:r>
      <w:r>
        <w:t>(CATI)</w:t>
      </w:r>
      <w:r>
        <w:rPr>
          <w:spacing w:val="-4"/>
        </w:rPr>
        <w:t xml:space="preserve"> </w:t>
      </w:r>
      <w:r>
        <w:t>or self-administered Computer Assisted Internet Interviews (CAII) questionnaires.</w:t>
      </w:r>
      <w:r w:rsidR="00B91713">
        <w:t xml:space="preserve">  Each CATI or CAII IDI requires about 20 minutes to complete.</w:t>
      </w:r>
    </w:p>
    <w:p w:rsidR="00D53A85" w14:paraId="27BD240B" w14:textId="77777777">
      <w:pPr>
        <w:pStyle w:val="BodyText"/>
        <w:spacing w:before="6"/>
        <w:ind w:left="0"/>
      </w:pPr>
    </w:p>
    <w:p w:rsidR="00D53A85" w14:paraId="1E1C7664" w14:textId="76CC7A9C">
      <w:pPr>
        <w:pStyle w:val="BodyText"/>
        <w:ind w:right="827"/>
      </w:pPr>
      <w:r>
        <w:t xml:space="preserve">CPSC staff estimates </w:t>
      </w:r>
      <w:r w:rsidR="00B91713">
        <w:t>13,523</w:t>
      </w:r>
      <w:r>
        <w:t xml:space="preserve"> annual burden hours on these respondents: 1</w:t>
      </w:r>
      <w:r w:rsidR="00B91713">
        <w:t>3,</w:t>
      </w:r>
      <w:r w:rsidR="00B74049">
        <w:t>275</w:t>
      </w:r>
      <w:r>
        <w:t xml:space="preserve"> hours for</w:t>
      </w:r>
      <w:r>
        <w:rPr>
          <w:spacing w:val="-4"/>
        </w:rPr>
        <w:t xml:space="preserve"> </w:t>
      </w:r>
      <w:r>
        <w:t>face-to-face</w:t>
      </w:r>
      <w:r>
        <w:rPr>
          <w:spacing w:val="-3"/>
        </w:rPr>
        <w:t xml:space="preserve"> </w:t>
      </w:r>
      <w:r>
        <w:t>interviews;</w:t>
      </w:r>
      <w:r>
        <w:rPr>
          <w:spacing w:val="-4"/>
        </w:rPr>
        <w:t xml:space="preserve"> </w:t>
      </w:r>
      <w:r w:rsidR="00B91713">
        <w:rPr>
          <w:spacing w:val="-4"/>
        </w:rPr>
        <w:t>248</w:t>
      </w:r>
      <w:r>
        <w:rPr>
          <w:spacing w:val="-4"/>
        </w:rPr>
        <w:t xml:space="preserve"> </w:t>
      </w:r>
      <w:r>
        <w:t>hours</w:t>
      </w:r>
      <w:r>
        <w:rPr>
          <w:spacing w:val="-3"/>
        </w:rPr>
        <w:t xml:space="preserve"> </w:t>
      </w:r>
      <w:r>
        <w:t>for</w:t>
      </w:r>
      <w:r>
        <w:rPr>
          <w:spacing w:val="-4"/>
        </w:rPr>
        <w:t xml:space="preserve"> </w:t>
      </w:r>
      <w:r>
        <w:t>in-depth</w:t>
      </w:r>
      <w:r>
        <w:rPr>
          <w:spacing w:val="-4"/>
        </w:rPr>
        <w:t xml:space="preserve"> </w:t>
      </w:r>
      <w:r>
        <w:t>telephone</w:t>
      </w:r>
      <w:r>
        <w:rPr>
          <w:spacing w:val="-3"/>
        </w:rPr>
        <w:t xml:space="preserve"> </w:t>
      </w:r>
      <w:r>
        <w:t>or</w:t>
      </w:r>
      <w:r>
        <w:rPr>
          <w:spacing w:val="-4"/>
        </w:rPr>
        <w:t xml:space="preserve"> </w:t>
      </w:r>
      <w:r>
        <w:t>internet</w:t>
      </w:r>
      <w:r>
        <w:rPr>
          <w:spacing w:val="-3"/>
        </w:rPr>
        <w:t xml:space="preserve"> </w:t>
      </w:r>
      <w:r>
        <w:t>interviews.</w:t>
      </w:r>
    </w:p>
    <w:p w:rsidR="00D53A85" w14:paraId="44F69D3D" w14:textId="6544BB5F">
      <w:pPr>
        <w:pStyle w:val="BodyText"/>
        <w:spacing w:before="280"/>
        <w:ind w:right="827"/>
      </w:pPr>
      <w:r>
        <w:t>CPSC’s staff estimates the value of the time required</w:t>
      </w:r>
      <w:r>
        <w:rPr>
          <w:spacing w:val="-1"/>
        </w:rPr>
        <w:t xml:space="preserve"> </w:t>
      </w:r>
      <w:r>
        <w:t>for reporting</w:t>
      </w:r>
      <w:r>
        <w:rPr>
          <w:spacing w:val="-1"/>
        </w:rPr>
        <w:t xml:space="preserve"> </w:t>
      </w:r>
      <w:r>
        <w:t>is $</w:t>
      </w:r>
      <w:r w:rsidR="00FD26B3">
        <w:t>46.84</w:t>
      </w:r>
      <w:r>
        <w:t xml:space="preserve"> an hour</w:t>
      </w:r>
      <w:r w:rsidR="000D7482">
        <w:t xml:space="preserve">, </w:t>
      </w:r>
      <w:r w:rsidR="00F613E6">
        <w:t xml:space="preserve">the average cost for employee compensation for </w:t>
      </w:r>
      <w:r w:rsidR="009C1766">
        <w:t>civilian workers</w:t>
      </w:r>
      <w:r>
        <w:t xml:space="preserve"> (U.S. Bureau of Labor Statistics, “Employer Costs for Employee Compensation,” </w:t>
      </w:r>
      <w:r w:rsidR="00EF5FF1">
        <w:t>September</w:t>
      </w:r>
      <w:r w:rsidR="00FD26B3">
        <w:t xml:space="preserve"> 20</w:t>
      </w:r>
      <w:r w:rsidR="00371300">
        <w:t>2</w:t>
      </w:r>
      <w:r w:rsidR="00FD26B3">
        <w:t>4</w:t>
      </w:r>
      <w:r>
        <w:t>:</w:t>
      </w:r>
      <w:r>
        <w:rPr>
          <w:spacing w:val="-7"/>
        </w:rPr>
        <w:t xml:space="preserve"> </w:t>
      </w:r>
      <w:r w:rsidRPr="00695D24" w:rsidR="00695D24">
        <w:rPr>
          <w:spacing w:val="-7"/>
        </w:rPr>
        <w:t>https://www.bls.gov/news.release/archives/ecec_12172024.pdf</w:t>
      </w:r>
      <w:r>
        <w:t>).</w:t>
      </w:r>
      <w:r>
        <w:rPr>
          <w:spacing w:val="-5"/>
        </w:rPr>
        <w:t xml:space="preserve"> </w:t>
      </w:r>
      <w:r>
        <w:t>At</w:t>
      </w:r>
      <w:r>
        <w:rPr>
          <w:spacing w:val="-6"/>
        </w:rPr>
        <w:t xml:space="preserve"> </w:t>
      </w:r>
      <w:r>
        <w:t>this</w:t>
      </w:r>
      <w:r>
        <w:rPr>
          <w:spacing w:val="-9"/>
        </w:rPr>
        <w:t xml:space="preserve"> </w:t>
      </w:r>
      <w:r>
        <w:t>valuation,</w:t>
      </w:r>
      <w:r>
        <w:rPr>
          <w:spacing w:val="-5"/>
        </w:rPr>
        <w:t xml:space="preserve"> </w:t>
      </w:r>
      <w:r>
        <w:t xml:space="preserve">the estimated annual cost to the public is about </w:t>
      </w:r>
      <w:r w:rsidRPr="002625CD">
        <w:t>$</w:t>
      </w:r>
      <w:r w:rsidRPr="002625CD" w:rsidR="00B91713">
        <w:t>633,</w:t>
      </w:r>
      <w:r w:rsidR="00A30EF3">
        <w:t>417</w:t>
      </w:r>
      <w:r w:rsidR="00E5736D">
        <w:t xml:space="preserve"> (</w:t>
      </w:r>
      <w:r w:rsidR="0011306B">
        <w:t>13,523 burden hours ×</w:t>
      </w:r>
      <w:r w:rsidR="00D666ED">
        <w:t xml:space="preserve"> $46.84 </w:t>
      </w:r>
      <w:r w:rsidR="001E0C78">
        <w:t xml:space="preserve">per hour </w:t>
      </w:r>
      <w:r w:rsidR="00D666ED">
        <w:t xml:space="preserve">= </w:t>
      </w:r>
      <w:r w:rsidR="007A75A0">
        <w:t>$633,417.32)</w:t>
      </w:r>
      <w:r w:rsidRPr="002625CD">
        <w:t>.</w:t>
      </w:r>
    </w:p>
    <w:p w:rsidR="00D53A85" w14:paraId="43FB0EDE" w14:textId="77777777">
      <w:pPr>
        <w:pStyle w:val="BodyText"/>
        <w:spacing w:before="2"/>
        <w:ind w:left="0"/>
      </w:pPr>
    </w:p>
    <w:p w:rsidR="00D53A85" w14:paraId="11762F19" w14:textId="77777777">
      <w:pPr>
        <w:pStyle w:val="Heading2"/>
        <w:numPr>
          <w:ilvl w:val="0"/>
          <w:numId w:val="1"/>
        </w:numPr>
        <w:tabs>
          <w:tab w:val="left" w:pos="500"/>
        </w:tabs>
        <w:ind w:left="500" w:hanging="385"/>
      </w:pPr>
      <w:bookmarkStart w:id="18" w:name="13._Estimate_of_other_total_annual_cost_"/>
      <w:bookmarkEnd w:id="18"/>
      <w:r>
        <w:t>Estimate</w:t>
      </w:r>
      <w:r>
        <w:rPr>
          <w:spacing w:val="-4"/>
        </w:rPr>
        <w:t xml:space="preserve"> </w:t>
      </w:r>
      <w:r>
        <w:t>of</w:t>
      </w:r>
      <w:r>
        <w:rPr>
          <w:spacing w:val="-3"/>
        </w:rPr>
        <w:t xml:space="preserve"> </w:t>
      </w:r>
      <w:r>
        <w:t>other</w:t>
      </w:r>
      <w:r>
        <w:rPr>
          <w:spacing w:val="-1"/>
        </w:rPr>
        <w:t xml:space="preserve"> </w:t>
      </w:r>
      <w:r>
        <w:t>total</w:t>
      </w:r>
      <w:r>
        <w:rPr>
          <w:spacing w:val="-2"/>
        </w:rPr>
        <w:t xml:space="preserve"> </w:t>
      </w:r>
      <w:r>
        <w:t>annual</w:t>
      </w:r>
      <w:r>
        <w:rPr>
          <w:spacing w:val="-2"/>
        </w:rPr>
        <w:t xml:space="preserve"> </w:t>
      </w:r>
      <w:r>
        <w:t>cost</w:t>
      </w:r>
      <w:r>
        <w:rPr>
          <w:spacing w:val="-2"/>
        </w:rPr>
        <w:t xml:space="preserve"> </w:t>
      </w:r>
      <w:r>
        <w:t>burden</w:t>
      </w:r>
      <w:r>
        <w:rPr>
          <w:spacing w:val="-1"/>
        </w:rPr>
        <w:t xml:space="preserve"> </w:t>
      </w:r>
      <w:r>
        <w:t>to</w:t>
      </w:r>
      <w:r>
        <w:rPr>
          <w:spacing w:val="-2"/>
        </w:rPr>
        <w:t xml:space="preserve"> </w:t>
      </w:r>
      <w:r>
        <w:t>respondents</w:t>
      </w:r>
      <w:r>
        <w:rPr>
          <w:spacing w:val="-3"/>
        </w:rPr>
        <w:t xml:space="preserve"> </w:t>
      </w:r>
      <w:r>
        <w:t>or</w:t>
      </w:r>
      <w:r>
        <w:rPr>
          <w:spacing w:val="-1"/>
        </w:rPr>
        <w:t xml:space="preserve"> </w:t>
      </w:r>
      <w:r>
        <w:rPr>
          <w:spacing w:val="-2"/>
        </w:rPr>
        <w:t>recordkeepers</w:t>
      </w:r>
    </w:p>
    <w:p w:rsidR="00895B32" w14:paraId="13535105" w14:textId="77777777"/>
    <w:p w:rsidR="00895B32" w:rsidP="00895B32" w14:paraId="64BF3AD8" w14:textId="17E04F54">
      <w:pPr>
        <w:pStyle w:val="BodyText"/>
        <w:spacing w:before="80"/>
        <w:ind w:right="912"/>
      </w:pPr>
      <w:r>
        <w:t>The</w:t>
      </w:r>
      <w:r>
        <w:rPr>
          <w:spacing w:val="-3"/>
        </w:rPr>
        <w:t xml:space="preserve"> </w:t>
      </w:r>
      <w:r>
        <w:t>only</w:t>
      </w:r>
      <w:r>
        <w:rPr>
          <w:spacing w:val="-4"/>
        </w:rPr>
        <w:t xml:space="preserve"> </w:t>
      </w:r>
      <w:r>
        <w:t>costs</w:t>
      </w:r>
      <w:r>
        <w:rPr>
          <w:spacing w:val="-3"/>
        </w:rPr>
        <w:t xml:space="preserve"> </w:t>
      </w:r>
      <w:r>
        <w:t>to</w:t>
      </w:r>
      <w:r>
        <w:rPr>
          <w:spacing w:val="-4"/>
        </w:rPr>
        <w:t xml:space="preserve"> </w:t>
      </w:r>
      <w:r>
        <w:t>respondents</w:t>
      </w:r>
      <w:r>
        <w:rPr>
          <w:spacing w:val="-3"/>
        </w:rPr>
        <w:t xml:space="preserve"> </w:t>
      </w:r>
      <w:r>
        <w:t>from</w:t>
      </w:r>
      <w:r>
        <w:rPr>
          <w:spacing w:val="-4"/>
        </w:rPr>
        <w:t xml:space="preserve"> </w:t>
      </w:r>
      <w:r>
        <w:t>this</w:t>
      </w:r>
      <w:r>
        <w:rPr>
          <w:spacing w:val="-3"/>
        </w:rPr>
        <w:t xml:space="preserve"> </w:t>
      </w:r>
      <w:r>
        <w:t>collection</w:t>
      </w:r>
      <w:r>
        <w:rPr>
          <w:spacing w:val="-3"/>
        </w:rPr>
        <w:t xml:space="preserve"> </w:t>
      </w:r>
      <w:r>
        <w:t>of</w:t>
      </w:r>
      <w:r>
        <w:rPr>
          <w:spacing w:val="-4"/>
        </w:rPr>
        <w:t xml:space="preserve"> </w:t>
      </w:r>
      <w:r>
        <w:t>information</w:t>
      </w:r>
      <w:r>
        <w:rPr>
          <w:spacing w:val="-3"/>
        </w:rPr>
        <w:t xml:space="preserve"> </w:t>
      </w:r>
      <w:r>
        <w:t>are</w:t>
      </w:r>
      <w:r>
        <w:rPr>
          <w:spacing w:val="-3"/>
        </w:rPr>
        <w:t xml:space="preserve"> </w:t>
      </w:r>
      <w:r>
        <w:t>those described in item 12 above.</w:t>
      </w:r>
    </w:p>
    <w:p w:rsidR="00895B32" w:rsidP="00895B32" w14:paraId="17415360" w14:textId="77777777">
      <w:pPr>
        <w:pStyle w:val="BodyText"/>
        <w:spacing w:before="1"/>
        <w:ind w:left="0"/>
      </w:pPr>
    </w:p>
    <w:p w:rsidR="00D53A85" w:rsidRPr="00DA5132" w14:paraId="19D9C10E" w14:textId="77777777">
      <w:pPr>
        <w:pStyle w:val="Heading2"/>
        <w:numPr>
          <w:ilvl w:val="0"/>
          <w:numId w:val="1"/>
        </w:numPr>
        <w:tabs>
          <w:tab w:val="left" w:pos="500"/>
        </w:tabs>
        <w:ind w:left="500" w:hanging="380"/>
      </w:pPr>
      <w:bookmarkStart w:id="19" w:name="14._Estimate_of_annualized_costs_to_the_"/>
      <w:bookmarkEnd w:id="19"/>
      <w:r w:rsidRPr="00DA5132">
        <w:t>Estimate</w:t>
      </w:r>
      <w:r w:rsidRPr="00DA5132">
        <w:rPr>
          <w:spacing w:val="-5"/>
        </w:rPr>
        <w:t xml:space="preserve"> </w:t>
      </w:r>
      <w:r w:rsidRPr="00DA5132">
        <w:t>of</w:t>
      </w:r>
      <w:r w:rsidRPr="00DA5132">
        <w:rPr>
          <w:spacing w:val="-3"/>
        </w:rPr>
        <w:t xml:space="preserve"> </w:t>
      </w:r>
      <w:r w:rsidRPr="00DA5132">
        <w:t>annualized</w:t>
      </w:r>
      <w:r w:rsidRPr="00DA5132">
        <w:rPr>
          <w:spacing w:val="-2"/>
        </w:rPr>
        <w:t xml:space="preserve"> </w:t>
      </w:r>
      <w:r w:rsidRPr="00DA5132">
        <w:t>costs</w:t>
      </w:r>
      <w:r w:rsidRPr="00DA5132">
        <w:rPr>
          <w:spacing w:val="-1"/>
        </w:rPr>
        <w:t xml:space="preserve"> </w:t>
      </w:r>
      <w:r w:rsidRPr="00DA5132">
        <w:t>to</w:t>
      </w:r>
      <w:r w:rsidRPr="00DA5132">
        <w:rPr>
          <w:spacing w:val="-3"/>
        </w:rPr>
        <w:t xml:space="preserve"> </w:t>
      </w:r>
      <w:r w:rsidRPr="00DA5132">
        <w:t>the</w:t>
      </w:r>
      <w:r w:rsidRPr="00DA5132">
        <w:rPr>
          <w:spacing w:val="-3"/>
        </w:rPr>
        <w:t xml:space="preserve"> </w:t>
      </w:r>
      <w:r w:rsidRPr="00DA5132">
        <w:t>Federal</w:t>
      </w:r>
      <w:r w:rsidRPr="00DA5132">
        <w:rPr>
          <w:spacing w:val="-10"/>
        </w:rPr>
        <w:t xml:space="preserve"> </w:t>
      </w:r>
      <w:r w:rsidRPr="00DA5132">
        <w:rPr>
          <w:spacing w:val="-2"/>
        </w:rPr>
        <w:t>government</w:t>
      </w:r>
    </w:p>
    <w:p w:rsidR="00D53A85" w:rsidRPr="00DA5132" w14:paraId="51CFF15A" w14:textId="0E5CBD32">
      <w:pPr>
        <w:pStyle w:val="BodyText"/>
        <w:spacing w:before="280"/>
        <w:ind w:right="814"/>
      </w:pPr>
      <w:r w:rsidRPr="00DA5132">
        <w:t>The</w:t>
      </w:r>
      <w:r w:rsidRPr="00DA5132">
        <w:rPr>
          <w:spacing w:val="-2"/>
        </w:rPr>
        <w:t xml:space="preserve"> </w:t>
      </w:r>
      <w:r w:rsidRPr="00DA5132">
        <w:t>cost</w:t>
      </w:r>
      <w:r w:rsidRPr="00DA5132">
        <w:rPr>
          <w:spacing w:val="-2"/>
        </w:rPr>
        <w:t xml:space="preserve"> </w:t>
      </w:r>
      <w:r w:rsidRPr="00DA5132">
        <w:t>to</w:t>
      </w:r>
      <w:r w:rsidRPr="00DA5132">
        <w:rPr>
          <w:spacing w:val="-3"/>
        </w:rPr>
        <w:t xml:space="preserve"> </w:t>
      </w:r>
      <w:r w:rsidRPr="00DA5132">
        <w:t>the</w:t>
      </w:r>
      <w:r w:rsidRPr="00DA5132">
        <w:rPr>
          <w:spacing w:val="-2"/>
        </w:rPr>
        <w:t xml:space="preserve"> </w:t>
      </w:r>
      <w:r w:rsidRPr="00DA5132">
        <w:t>government</w:t>
      </w:r>
      <w:r w:rsidRPr="00DA5132">
        <w:rPr>
          <w:spacing w:val="-2"/>
        </w:rPr>
        <w:t xml:space="preserve"> </w:t>
      </w:r>
      <w:r w:rsidRPr="00DA5132">
        <w:t>of</w:t>
      </w:r>
      <w:r w:rsidRPr="00DA5132">
        <w:rPr>
          <w:spacing w:val="-3"/>
        </w:rPr>
        <w:t xml:space="preserve"> </w:t>
      </w:r>
      <w:r w:rsidRPr="00DA5132">
        <w:t>the</w:t>
      </w:r>
      <w:r w:rsidRPr="00DA5132">
        <w:rPr>
          <w:spacing w:val="-2"/>
        </w:rPr>
        <w:t xml:space="preserve"> </w:t>
      </w:r>
      <w:r w:rsidRPr="00DA5132">
        <w:t>collection</w:t>
      </w:r>
      <w:r w:rsidRPr="00DA5132">
        <w:rPr>
          <w:spacing w:val="-2"/>
        </w:rPr>
        <w:t xml:space="preserve"> </w:t>
      </w:r>
      <w:r w:rsidRPr="00DA5132">
        <w:t>of</w:t>
      </w:r>
      <w:r w:rsidRPr="00DA5132">
        <w:rPr>
          <w:spacing w:val="-3"/>
        </w:rPr>
        <w:t xml:space="preserve"> </w:t>
      </w:r>
      <w:r w:rsidRPr="00DA5132">
        <w:t>the</w:t>
      </w:r>
      <w:r w:rsidRPr="00DA5132">
        <w:rPr>
          <w:spacing w:val="-2"/>
        </w:rPr>
        <w:t xml:space="preserve"> </w:t>
      </w:r>
      <w:r w:rsidRPr="00DA5132">
        <w:t>NEISS</w:t>
      </w:r>
      <w:r w:rsidRPr="00DA5132">
        <w:rPr>
          <w:spacing w:val="-2"/>
        </w:rPr>
        <w:t xml:space="preserve"> </w:t>
      </w:r>
      <w:r w:rsidRPr="00DA5132">
        <w:t>information</w:t>
      </w:r>
      <w:r w:rsidRPr="00DA5132">
        <w:rPr>
          <w:spacing w:val="-4"/>
        </w:rPr>
        <w:t xml:space="preserve"> </w:t>
      </w:r>
      <w:r w:rsidRPr="00DA5132">
        <w:t>is</w:t>
      </w:r>
      <w:r w:rsidRPr="00DA5132">
        <w:rPr>
          <w:spacing w:val="-2"/>
        </w:rPr>
        <w:t xml:space="preserve"> </w:t>
      </w:r>
      <w:r w:rsidRPr="00DA5132">
        <w:t>estimated</w:t>
      </w:r>
      <w:r w:rsidRPr="00DA5132">
        <w:rPr>
          <w:spacing w:val="-4"/>
        </w:rPr>
        <w:t xml:space="preserve"> </w:t>
      </w:r>
      <w:r w:rsidRPr="00DA5132">
        <w:t>to be about $</w:t>
      </w:r>
      <w:r w:rsidRPr="00D01968" w:rsidR="00DA5132">
        <w:t>9</w:t>
      </w:r>
      <w:r w:rsidRPr="00DA5132">
        <w:t>.</w:t>
      </w:r>
      <w:r w:rsidR="00F90797">
        <w:t>4</w:t>
      </w:r>
      <w:r w:rsidRPr="00DA5132">
        <w:t xml:space="preserve"> million a year. This estimate includes $6.</w:t>
      </w:r>
      <w:r w:rsidRPr="00D01968" w:rsidR="00DA5132">
        <w:t>9</w:t>
      </w:r>
      <w:r w:rsidRPr="00DA5132">
        <w:t xml:space="preserve"> million in compensation to NEISS respondents described in section 12(a) above. This estimate also</w:t>
      </w:r>
      <w:r w:rsidRPr="00DA5132" w:rsidR="00987AC8">
        <w:t xml:space="preserve"> </w:t>
      </w:r>
      <w:r w:rsidRPr="00DA5132">
        <w:t>includes</w:t>
      </w:r>
    </w:p>
    <w:p w:rsidR="00D53A85" w:rsidRPr="00DA5132" w14:paraId="316AFD89" w14:textId="2EAD3541">
      <w:pPr>
        <w:pStyle w:val="BodyText"/>
        <w:spacing w:before="1"/>
        <w:ind w:right="814"/>
      </w:pPr>
      <w:r w:rsidRPr="00DA5132">
        <w:t>$2.</w:t>
      </w:r>
      <w:r w:rsidR="00F90797">
        <w:t>458</w:t>
      </w:r>
      <w:r w:rsidRPr="00DA5132">
        <w:t xml:space="preserve"> million for about 1</w:t>
      </w:r>
      <w:r w:rsidRPr="00DA5132" w:rsidR="00DA5132">
        <w:t>74</w:t>
      </w:r>
      <w:r w:rsidRPr="00DA5132">
        <w:t xml:space="preserve"> professional staff months each year. The estimate of professional staff months includes the time required to: oversee NEISS operations (</w:t>
      </w:r>
      <w:r w:rsidRPr="00DA5132">
        <w:rPr>
          <w:i/>
        </w:rPr>
        <w:t>e.g</w:t>
      </w:r>
      <w:r w:rsidRPr="00DA5132">
        <w:t>.,</w:t>
      </w:r>
      <w:r w:rsidRPr="00DA5132">
        <w:rPr>
          <w:spacing w:val="-4"/>
        </w:rPr>
        <w:t xml:space="preserve"> </w:t>
      </w:r>
      <w:r w:rsidRPr="00DA5132">
        <w:t>administration,</w:t>
      </w:r>
      <w:r w:rsidRPr="00DA5132">
        <w:rPr>
          <w:spacing w:val="-4"/>
        </w:rPr>
        <w:t xml:space="preserve"> </w:t>
      </w:r>
      <w:r w:rsidRPr="00DA5132">
        <w:t>training,</w:t>
      </w:r>
      <w:r w:rsidRPr="00DA5132">
        <w:rPr>
          <w:spacing w:val="-4"/>
        </w:rPr>
        <w:t xml:space="preserve"> </w:t>
      </w:r>
      <w:r w:rsidRPr="00DA5132">
        <w:t>quality</w:t>
      </w:r>
      <w:r w:rsidRPr="00DA5132">
        <w:rPr>
          <w:spacing w:val="-6"/>
        </w:rPr>
        <w:t xml:space="preserve"> </w:t>
      </w:r>
      <w:r w:rsidRPr="00DA5132">
        <w:t>control);</w:t>
      </w:r>
      <w:r w:rsidRPr="00DA5132">
        <w:rPr>
          <w:spacing w:val="-6"/>
        </w:rPr>
        <w:t xml:space="preserve"> </w:t>
      </w:r>
      <w:r w:rsidRPr="00DA5132">
        <w:t>prepare</w:t>
      </w:r>
      <w:r w:rsidRPr="00DA5132">
        <w:rPr>
          <w:spacing w:val="-5"/>
        </w:rPr>
        <w:t xml:space="preserve"> </w:t>
      </w:r>
      <w:r w:rsidRPr="00DA5132">
        <w:t>questionnaires,</w:t>
      </w:r>
      <w:r w:rsidRPr="00DA5132">
        <w:rPr>
          <w:spacing w:val="-7"/>
        </w:rPr>
        <w:t xml:space="preserve"> </w:t>
      </w:r>
      <w:r w:rsidRPr="00DA5132">
        <w:t>interviewer guidelines, and other instruments and instructions used to collect the information; conduct face-to-face and telephone interviews; and evaluate responses obtained from interviews and completed forms. Each month of professional staff time costs the agency about $1</w:t>
      </w:r>
      <w:r w:rsidRPr="00DA5132" w:rsidR="00EC12AF">
        <w:t>4</w:t>
      </w:r>
      <w:r w:rsidR="00871E04">
        <w:t>,</w:t>
      </w:r>
      <w:r w:rsidR="00F90797">
        <w:t>125</w:t>
      </w:r>
      <w:r w:rsidRPr="00DA5132">
        <w:t>. This is based on a GS-1</w:t>
      </w:r>
      <w:r w:rsidR="00F90797">
        <w:t>2</w:t>
      </w:r>
      <w:r w:rsidRPr="00DA5132">
        <w:t xml:space="preserve"> </w:t>
      </w:r>
      <w:r w:rsidRPr="00DA5132" w:rsidR="00987AC8">
        <w:t>step-</w:t>
      </w:r>
      <w:r w:rsidR="00F90797">
        <w:t>5</w:t>
      </w:r>
      <w:r w:rsidRPr="00DA5132">
        <w:t xml:space="preserve"> salaried</w:t>
      </w:r>
      <w:r w:rsidRPr="00DA5132">
        <w:rPr>
          <w:spacing w:val="-16"/>
        </w:rPr>
        <w:t xml:space="preserve"> </w:t>
      </w:r>
      <w:r w:rsidRPr="00DA5132">
        <w:t>employee.</w:t>
      </w:r>
    </w:p>
    <w:p w:rsidR="00D53A85" w14:paraId="708D4390" w14:textId="6760C64F">
      <w:pPr>
        <w:pStyle w:val="BodyText"/>
        <w:spacing w:before="1"/>
        <w:ind w:right="1207"/>
      </w:pPr>
      <w:r w:rsidRPr="00DA5132">
        <w:t xml:space="preserve">The average yearly wage rate for a </w:t>
      </w:r>
      <w:r w:rsidRPr="00DA5132" w:rsidR="00987AC8">
        <w:t>step-</w:t>
      </w:r>
      <w:r w:rsidR="00F90797">
        <w:t>5</w:t>
      </w:r>
      <w:r w:rsidRPr="00DA5132">
        <w:t xml:space="preserve"> salaried GS-1</w:t>
      </w:r>
      <w:r w:rsidR="00F90797">
        <w:t>2</w:t>
      </w:r>
      <w:r w:rsidRPr="00DA5132">
        <w:t xml:space="preserve"> employee in the Washington, DC metropolitan area (effective as of January 202</w:t>
      </w:r>
      <w:r w:rsidRPr="00DA5132" w:rsidR="00987AC8">
        <w:t>5</w:t>
      </w:r>
      <w:r w:rsidRPr="00DA5132">
        <w:t>) is $</w:t>
      </w:r>
      <w:r w:rsidRPr="00DA5132" w:rsidR="00987AC8">
        <w:t>1</w:t>
      </w:r>
      <w:r w:rsidR="00F90797">
        <w:t>14,923</w:t>
      </w:r>
      <w:r w:rsidRPr="00DA5132">
        <w:t xml:space="preserve"> </w:t>
      </w:r>
      <w:r w:rsidRPr="00DA5132">
        <w:rPr>
          <w:spacing w:val="-2"/>
        </w:rPr>
        <w:t>(</w:t>
      </w:r>
      <w:r w:rsidRPr="00307FA9" w:rsidR="00307FA9">
        <w:rPr>
          <w:spacing w:val="-2"/>
        </w:rPr>
        <w:t>https://www.opm.gov/policy-data-oversight/pay-leave/salaries-wages/salary-tables/25Tables/html/DCB.aspx</w:t>
      </w:r>
      <w:r w:rsidRPr="00DA5132" w:rsidR="00987AC8">
        <w:t>,</w:t>
      </w:r>
      <w:r w:rsidRPr="00DA5132">
        <w:t xml:space="preserve"> GS-1</w:t>
      </w:r>
      <w:r w:rsidR="00F90797">
        <w:t>2</w:t>
      </w:r>
      <w:r w:rsidRPr="00DA5132">
        <w:t xml:space="preserve">, step </w:t>
      </w:r>
      <w:r w:rsidR="00F90797">
        <w:t>5</w:t>
      </w:r>
      <w:r w:rsidRPr="00DA5132">
        <w:t>). This represents 6</w:t>
      </w:r>
      <w:r w:rsidR="00946CA7">
        <w:t>7.8</w:t>
      </w:r>
      <w:r w:rsidRPr="00DA5132">
        <w:t xml:space="preserve"> percent of total compensation</w:t>
      </w:r>
      <w:r>
        <w:rPr>
          <w:rStyle w:val="FootnoteReference"/>
        </w:rPr>
        <w:footnoteReference w:id="6"/>
      </w:r>
      <w:r w:rsidR="005327DC">
        <w:t>.</w:t>
      </w:r>
      <w:r w:rsidRPr="00DA5132">
        <w:t xml:space="preserve"> Adding an additional 3</w:t>
      </w:r>
      <w:r w:rsidR="00946CA7">
        <w:t>2.2</w:t>
      </w:r>
      <w:r w:rsidRPr="00DA5132">
        <w:t xml:space="preserve"> percent for benefits brings average yearly comp</w:t>
      </w:r>
      <w:hyperlink w:anchor="_bookmark2" w:history="1">
        <w:r w:rsidRPr="00DA5132">
          <w:t>ens</w:t>
        </w:r>
      </w:hyperlink>
      <w:r w:rsidRPr="00DA5132">
        <w:t xml:space="preserve">ation for a </w:t>
      </w:r>
      <w:r w:rsidRPr="00DA5132" w:rsidR="00987AC8">
        <w:t>step-1</w:t>
      </w:r>
      <w:r w:rsidRPr="00DA5132">
        <w:t xml:space="preserve"> salaried GS-1</w:t>
      </w:r>
      <w:r w:rsidRPr="00DA5132" w:rsidR="00987AC8">
        <w:t>3</w:t>
      </w:r>
      <w:r w:rsidRPr="00DA5132">
        <w:t xml:space="preserve"> employee to $</w:t>
      </w:r>
      <w:r w:rsidR="00F90797">
        <w:t>169</w:t>
      </w:r>
      <w:r w:rsidR="002940D7">
        <w:t>,</w:t>
      </w:r>
      <w:r w:rsidR="00F90797">
        <w:t>503</w:t>
      </w:r>
      <w:r w:rsidRPr="00DA5132">
        <w:t>.</w:t>
      </w:r>
      <w:r w:rsidR="00CF7EDF">
        <w:t xml:space="preserve">  </w:t>
      </w:r>
      <w:r w:rsidR="006B58EE">
        <w:t xml:space="preserve">These estimates include participation by CDC in the </w:t>
      </w:r>
      <w:r w:rsidR="006B58EE">
        <w:t>All Injury</w:t>
      </w:r>
      <w:r w:rsidR="006B58EE">
        <w:t xml:space="preserve"> Program</w:t>
      </w:r>
      <w:r w:rsidR="00592B6A">
        <w:t>, subject to availability of funds.</w:t>
      </w:r>
    </w:p>
    <w:p w:rsidR="00D53A85" w:rsidRPr="00521063" w14:paraId="7665E07F" w14:textId="77777777">
      <w:pPr>
        <w:pStyle w:val="Heading2"/>
        <w:numPr>
          <w:ilvl w:val="0"/>
          <w:numId w:val="1"/>
        </w:numPr>
        <w:tabs>
          <w:tab w:val="left" w:pos="500"/>
        </w:tabs>
        <w:spacing w:before="280"/>
        <w:ind w:left="500" w:hanging="380"/>
      </w:pPr>
      <w:bookmarkStart w:id="20" w:name="15._Program_changes_or_adjustments"/>
      <w:bookmarkEnd w:id="20"/>
      <w:r w:rsidRPr="00521063">
        <w:t>Program</w:t>
      </w:r>
      <w:r w:rsidRPr="00521063">
        <w:rPr>
          <w:spacing w:val="-3"/>
        </w:rPr>
        <w:t xml:space="preserve"> </w:t>
      </w:r>
      <w:r w:rsidRPr="00521063">
        <w:t>changes</w:t>
      </w:r>
      <w:r w:rsidRPr="00521063">
        <w:rPr>
          <w:spacing w:val="-4"/>
        </w:rPr>
        <w:t xml:space="preserve"> </w:t>
      </w:r>
      <w:r w:rsidRPr="00521063">
        <w:t>or</w:t>
      </w:r>
      <w:r w:rsidRPr="00521063">
        <w:rPr>
          <w:spacing w:val="-6"/>
        </w:rPr>
        <w:t xml:space="preserve"> </w:t>
      </w:r>
      <w:r w:rsidRPr="00521063">
        <w:rPr>
          <w:spacing w:val="-2"/>
        </w:rPr>
        <w:t>adjustments</w:t>
      </w:r>
    </w:p>
    <w:p w:rsidR="00D53A85" w:rsidRPr="00521063" w14:paraId="3D626BA3" w14:textId="77777777">
      <w:pPr>
        <w:pStyle w:val="BodyText"/>
        <w:spacing w:before="1"/>
        <w:ind w:left="0"/>
        <w:rPr>
          <w:b/>
          <w:i/>
        </w:rPr>
      </w:pPr>
    </w:p>
    <w:p w:rsidR="00D53A85" w14:paraId="03C81DAA" w14:textId="1ADFEB81">
      <w:pPr>
        <w:pStyle w:val="BodyText"/>
        <w:ind w:right="878"/>
      </w:pPr>
      <w:r w:rsidRPr="00521063">
        <w:t xml:space="preserve">This request for the approval of an estimated </w:t>
      </w:r>
      <w:r w:rsidRPr="00521063" w:rsidR="00B74049">
        <w:t>128,523</w:t>
      </w:r>
      <w:r w:rsidRPr="00521063">
        <w:t xml:space="preserve"> (1</w:t>
      </w:r>
      <w:r w:rsidRPr="00521063" w:rsidR="00B74049">
        <w:t>15,248</w:t>
      </w:r>
      <w:r w:rsidRPr="00521063">
        <w:t xml:space="preserve"> NEISS and </w:t>
      </w:r>
      <w:r w:rsidRPr="00521063" w:rsidR="00B74049">
        <w:t>13,275</w:t>
      </w:r>
      <w:r w:rsidRPr="00521063">
        <w:t xml:space="preserve"> other)</w:t>
      </w:r>
      <w:r w:rsidRPr="00521063">
        <w:rPr>
          <w:spacing w:val="-3"/>
        </w:rPr>
        <w:t xml:space="preserve"> </w:t>
      </w:r>
      <w:r w:rsidRPr="00521063">
        <w:t>burden</w:t>
      </w:r>
      <w:r w:rsidRPr="00521063">
        <w:rPr>
          <w:spacing w:val="-2"/>
        </w:rPr>
        <w:t xml:space="preserve"> </w:t>
      </w:r>
      <w:r w:rsidRPr="00521063">
        <w:t>hours</w:t>
      </w:r>
      <w:r w:rsidRPr="00521063">
        <w:rPr>
          <w:spacing w:val="-2"/>
        </w:rPr>
        <w:t xml:space="preserve"> </w:t>
      </w:r>
      <w:r w:rsidRPr="00521063">
        <w:t>per</w:t>
      </w:r>
      <w:r w:rsidRPr="00521063">
        <w:rPr>
          <w:spacing w:val="-3"/>
        </w:rPr>
        <w:t xml:space="preserve"> </w:t>
      </w:r>
      <w:r w:rsidRPr="00521063">
        <w:t>year</w:t>
      </w:r>
      <w:r w:rsidRPr="00521063">
        <w:rPr>
          <w:spacing w:val="-3"/>
        </w:rPr>
        <w:t xml:space="preserve"> </w:t>
      </w:r>
      <w:r w:rsidRPr="00521063">
        <w:t>is</w:t>
      </w:r>
      <w:r w:rsidRPr="00521063">
        <w:rPr>
          <w:spacing w:val="-2"/>
        </w:rPr>
        <w:t xml:space="preserve"> </w:t>
      </w:r>
      <w:r w:rsidRPr="00521063">
        <w:t>a</w:t>
      </w:r>
      <w:r w:rsidRPr="00521063">
        <w:rPr>
          <w:spacing w:val="-2"/>
        </w:rPr>
        <w:t xml:space="preserve"> </w:t>
      </w:r>
      <w:r w:rsidRPr="00521063" w:rsidR="00B74049">
        <w:rPr>
          <w:spacing w:val="-2"/>
        </w:rPr>
        <w:t>decrease</w:t>
      </w:r>
      <w:r w:rsidRPr="00521063">
        <w:rPr>
          <w:spacing w:val="-2"/>
        </w:rPr>
        <w:t xml:space="preserve"> </w:t>
      </w:r>
      <w:r w:rsidRPr="00521063">
        <w:t>of</w:t>
      </w:r>
      <w:r w:rsidRPr="00521063">
        <w:rPr>
          <w:spacing w:val="-3"/>
        </w:rPr>
        <w:t xml:space="preserve"> </w:t>
      </w:r>
      <w:r w:rsidRPr="00521063">
        <w:t>3,8</w:t>
      </w:r>
      <w:r w:rsidRPr="00521063" w:rsidR="00521063">
        <w:t>32</w:t>
      </w:r>
      <w:r w:rsidRPr="00521063">
        <w:rPr>
          <w:spacing w:val="-1"/>
        </w:rPr>
        <w:t xml:space="preserve"> </w:t>
      </w:r>
      <w:r w:rsidRPr="00521063">
        <w:t>hours</w:t>
      </w:r>
      <w:r w:rsidRPr="00521063" w:rsidR="00521063">
        <w:t xml:space="preserve"> </w:t>
      </w:r>
      <w:r w:rsidRPr="00521063">
        <w:t>since</w:t>
      </w:r>
      <w:r w:rsidRPr="00521063">
        <w:rPr>
          <w:spacing w:val="-3"/>
        </w:rPr>
        <w:t xml:space="preserve"> </w:t>
      </w:r>
      <w:r w:rsidRPr="00521063">
        <w:t xml:space="preserve">this collection of information was last approved by OMB </w:t>
      </w:r>
      <w:r w:rsidRPr="00D04661">
        <w:t>in Ma</w:t>
      </w:r>
      <w:r w:rsidRPr="00D04661" w:rsidR="00D04661">
        <w:t>y</w:t>
      </w:r>
      <w:r w:rsidRPr="00D04661">
        <w:t xml:space="preserve"> 202</w:t>
      </w:r>
      <w:r w:rsidRPr="00D04661" w:rsidR="00D04661">
        <w:t>2</w:t>
      </w:r>
      <w:r w:rsidRPr="00D04661">
        <w:t>.</w:t>
      </w:r>
      <w:r w:rsidR="00F90797">
        <w:t xml:space="preserve">  The decrease is due mainly to a lower number of records reviewed as the new NEISS sample on average has smaller sized hospitals than the previous sample.  </w:t>
      </w:r>
    </w:p>
    <w:p w:rsidR="00895B32" w:rsidP="00502837" w14:paraId="7497E390" w14:textId="6A5576D7">
      <w:pPr>
        <w:pStyle w:val="BodyText"/>
        <w:spacing w:before="281"/>
        <w:ind w:right="827"/>
      </w:pPr>
      <w:r>
        <w:t xml:space="preserve">This information collection request excludes the burden associated with other </w:t>
      </w:r>
      <w:r>
        <w:t>publicly</w:t>
      </w:r>
      <w:r>
        <w:rPr>
          <w:spacing w:val="-5"/>
        </w:rPr>
        <w:t xml:space="preserve"> </w:t>
      </w:r>
      <w:r>
        <w:t>available</w:t>
      </w:r>
      <w:r>
        <w:rPr>
          <w:spacing w:val="-4"/>
        </w:rPr>
        <w:t xml:space="preserve"> </w:t>
      </w:r>
      <w:r>
        <w:t>Consumer</w:t>
      </w:r>
      <w:r>
        <w:rPr>
          <w:spacing w:val="-5"/>
        </w:rPr>
        <w:t xml:space="preserve"> </w:t>
      </w:r>
      <w:r>
        <w:t>Product</w:t>
      </w:r>
      <w:r>
        <w:rPr>
          <w:spacing w:val="-4"/>
        </w:rPr>
        <w:t xml:space="preserve"> </w:t>
      </w:r>
      <w:r>
        <w:t>Safety</w:t>
      </w:r>
      <w:r>
        <w:rPr>
          <w:spacing w:val="-5"/>
        </w:rPr>
        <w:t xml:space="preserve"> </w:t>
      </w:r>
      <w:r>
        <w:t>Information</w:t>
      </w:r>
      <w:r>
        <w:rPr>
          <w:spacing w:val="-4"/>
        </w:rPr>
        <w:t xml:space="preserve"> </w:t>
      </w:r>
      <w:r>
        <w:t>Databases,</w:t>
      </w:r>
      <w:r>
        <w:rPr>
          <w:spacing w:val="-3"/>
        </w:rPr>
        <w:t xml:space="preserve"> </w:t>
      </w:r>
      <w:r>
        <w:t>such</w:t>
      </w:r>
      <w:r>
        <w:rPr>
          <w:spacing w:val="-5"/>
        </w:rPr>
        <w:t xml:space="preserve"> </w:t>
      </w:r>
      <w:r>
        <w:t>as</w:t>
      </w:r>
      <w:r>
        <w:rPr>
          <w:spacing w:val="-4"/>
        </w:rPr>
        <w:t xml:space="preserve"> </w:t>
      </w:r>
      <w:r>
        <w:t xml:space="preserve">Internet complaints, Hotline, and MECAP reports, which is accounted for </w:t>
      </w:r>
      <w:r w:rsidRPr="00D04661">
        <w:t>under OMB control number 3041-0146. This information-collection request also excludes the burden associated with follow-up investigations conducted by other federal ag</w:t>
      </w:r>
      <w:r>
        <w:t>encies.</w:t>
      </w:r>
      <w:bookmarkStart w:id="21" w:name="16._Plans_for_tabulation_and_publication"/>
      <w:bookmarkEnd w:id="21"/>
    </w:p>
    <w:p w:rsidR="00D53A85" w14:paraId="7DB6701C" w14:textId="4D9BFF24">
      <w:pPr>
        <w:pStyle w:val="Heading2"/>
        <w:numPr>
          <w:ilvl w:val="0"/>
          <w:numId w:val="1"/>
        </w:numPr>
        <w:tabs>
          <w:tab w:val="left" w:pos="500"/>
        </w:tabs>
        <w:spacing w:before="280"/>
        <w:ind w:left="500" w:hanging="380"/>
      </w:pPr>
      <w:r>
        <w:t>Plans</w:t>
      </w:r>
      <w:r>
        <w:rPr>
          <w:spacing w:val="-4"/>
        </w:rPr>
        <w:t xml:space="preserve"> </w:t>
      </w:r>
      <w:r>
        <w:t>for</w:t>
      </w:r>
      <w:r>
        <w:rPr>
          <w:spacing w:val="-3"/>
        </w:rPr>
        <w:t xml:space="preserve"> </w:t>
      </w:r>
      <w:r>
        <w:t>tabulation</w:t>
      </w:r>
      <w:r>
        <w:rPr>
          <w:spacing w:val="-2"/>
        </w:rPr>
        <w:t xml:space="preserve"> </w:t>
      </w:r>
      <w:r>
        <w:t>and</w:t>
      </w:r>
      <w:r>
        <w:rPr>
          <w:spacing w:val="-9"/>
        </w:rPr>
        <w:t xml:space="preserve"> </w:t>
      </w:r>
      <w:r>
        <w:rPr>
          <w:spacing w:val="-2"/>
        </w:rPr>
        <w:t>publication</w:t>
      </w:r>
    </w:p>
    <w:p w:rsidR="00D53A85" w14:paraId="5AF7D32A" w14:textId="77777777">
      <w:pPr>
        <w:pStyle w:val="BodyText"/>
        <w:spacing w:before="1"/>
        <w:ind w:left="0"/>
        <w:rPr>
          <w:b/>
          <w:i/>
        </w:rPr>
      </w:pPr>
    </w:p>
    <w:p w:rsidR="00D53A85" w:rsidP="005327DC" w14:paraId="4FCCCDA7" w14:textId="38D514AA">
      <w:pPr>
        <w:pStyle w:val="BodyText"/>
        <w:spacing w:before="1"/>
        <w:ind w:left="119" w:right="814"/>
      </w:pPr>
      <w:r>
        <w:t>The</w:t>
      </w:r>
      <w:r>
        <w:rPr>
          <w:spacing w:val="-3"/>
        </w:rPr>
        <w:t xml:space="preserve"> </w:t>
      </w:r>
      <w:r>
        <w:t>agency</w:t>
      </w:r>
      <w:r>
        <w:rPr>
          <w:spacing w:val="-4"/>
        </w:rPr>
        <w:t xml:space="preserve"> </w:t>
      </w:r>
      <w:r>
        <w:t>provides</w:t>
      </w:r>
      <w:r>
        <w:rPr>
          <w:spacing w:val="-1"/>
        </w:rPr>
        <w:t xml:space="preserve"> </w:t>
      </w:r>
      <w:r>
        <w:t>yearly</w:t>
      </w:r>
      <w:r>
        <w:rPr>
          <w:spacing w:val="-4"/>
        </w:rPr>
        <w:t xml:space="preserve"> </w:t>
      </w:r>
      <w:r>
        <w:t>reports</w:t>
      </w:r>
      <w:r>
        <w:rPr>
          <w:spacing w:val="-3"/>
        </w:rPr>
        <w:t xml:space="preserve"> </w:t>
      </w:r>
      <w:r>
        <w:t>of</w:t>
      </w:r>
      <w:r>
        <w:rPr>
          <w:spacing w:val="-4"/>
        </w:rPr>
        <w:t xml:space="preserve"> </w:t>
      </w:r>
      <w:r>
        <w:t>NEISS</w:t>
      </w:r>
      <w:r>
        <w:rPr>
          <w:spacing w:val="-3"/>
        </w:rPr>
        <w:t xml:space="preserve"> </w:t>
      </w:r>
      <w:r>
        <w:t>data</w:t>
      </w:r>
      <w:r>
        <w:rPr>
          <w:spacing w:val="-3"/>
        </w:rPr>
        <w:t xml:space="preserve"> </w:t>
      </w:r>
      <w:r>
        <w:t>to</w:t>
      </w:r>
      <w:r>
        <w:rPr>
          <w:spacing w:val="-4"/>
        </w:rPr>
        <w:t xml:space="preserve"> </w:t>
      </w:r>
      <w:r>
        <w:t>the</w:t>
      </w:r>
      <w:r>
        <w:rPr>
          <w:spacing w:val="-3"/>
        </w:rPr>
        <w:t xml:space="preserve"> </w:t>
      </w:r>
      <w:r>
        <w:t>public</w:t>
      </w:r>
      <w:r>
        <w:rPr>
          <w:spacing w:val="-4"/>
        </w:rPr>
        <w:t xml:space="preserve"> </w:t>
      </w:r>
      <w:r>
        <w:t>on</w:t>
      </w:r>
      <w:r>
        <w:rPr>
          <w:spacing w:val="-3"/>
        </w:rPr>
        <w:t xml:space="preserve"> </w:t>
      </w:r>
      <w:r>
        <w:t>its</w:t>
      </w:r>
      <w:r>
        <w:rPr>
          <w:spacing w:val="-3"/>
        </w:rPr>
        <w:t xml:space="preserve"> </w:t>
      </w:r>
      <w:r>
        <w:t>website.</w:t>
      </w:r>
      <w:r>
        <w:rPr>
          <w:spacing w:val="-2"/>
        </w:rPr>
        <w:t xml:space="preserve"> </w:t>
      </w:r>
      <w:r>
        <w:t xml:space="preserve">NEISS data are also available for public use through the CPSC website. The CPSC publishes results from some of its investigations of product-related injuries and incidents in </w:t>
      </w:r>
      <w:r>
        <w:rPr>
          <w:i/>
        </w:rPr>
        <w:t xml:space="preserve">Federal Register </w:t>
      </w:r>
      <w:r>
        <w:t>notices during rulemaking proceedings and in safety alerts, news</w:t>
      </w:r>
      <w:bookmarkStart w:id="22" w:name="_bookmark2"/>
      <w:bookmarkEnd w:id="22"/>
      <w:r w:rsidR="005327DC">
        <w:t xml:space="preserve"> r</w:t>
      </w:r>
      <w:r>
        <w:t>eleases, and other informational materials that are disseminated to the general public,</w:t>
      </w:r>
      <w:r>
        <w:rPr>
          <w:spacing w:val="-3"/>
        </w:rPr>
        <w:t xml:space="preserve"> </w:t>
      </w:r>
      <w:r>
        <w:t>voluntary</w:t>
      </w:r>
      <w:r>
        <w:rPr>
          <w:spacing w:val="-4"/>
        </w:rPr>
        <w:t xml:space="preserve"> </w:t>
      </w:r>
      <w:r>
        <w:t>standards</w:t>
      </w:r>
      <w:r>
        <w:rPr>
          <w:spacing w:val="-4"/>
        </w:rPr>
        <w:t xml:space="preserve"> </w:t>
      </w:r>
      <w:r>
        <w:t>groups,</w:t>
      </w:r>
      <w:r>
        <w:rPr>
          <w:spacing w:val="-3"/>
        </w:rPr>
        <w:t xml:space="preserve"> </w:t>
      </w:r>
      <w:r>
        <w:t>firms,</w:t>
      </w:r>
      <w:r>
        <w:rPr>
          <w:spacing w:val="-3"/>
        </w:rPr>
        <w:t xml:space="preserve"> </w:t>
      </w:r>
      <w:r>
        <w:t>and</w:t>
      </w:r>
      <w:r>
        <w:rPr>
          <w:spacing w:val="-5"/>
        </w:rPr>
        <w:t xml:space="preserve"> </w:t>
      </w:r>
      <w:r>
        <w:t>trade</w:t>
      </w:r>
      <w:r>
        <w:rPr>
          <w:spacing w:val="-4"/>
        </w:rPr>
        <w:t xml:space="preserve"> </w:t>
      </w:r>
      <w:r>
        <w:t>associations.</w:t>
      </w:r>
      <w:r>
        <w:rPr>
          <w:spacing w:val="-3"/>
        </w:rPr>
        <w:t xml:space="preserve"> </w:t>
      </w:r>
      <w:r>
        <w:t>The</w:t>
      </w:r>
      <w:r>
        <w:rPr>
          <w:spacing w:val="-5"/>
        </w:rPr>
        <w:t xml:space="preserve"> </w:t>
      </w:r>
      <w:r>
        <w:t>agency</w:t>
      </w:r>
      <w:r>
        <w:rPr>
          <w:spacing w:val="-4"/>
        </w:rPr>
        <w:t xml:space="preserve"> </w:t>
      </w:r>
      <w:r>
        <w:t>has</w:t>
      </w:r>
      <w:r>
        <w:rPr>
          <w:spacing w:val="-4"/>
        </w:rPr>
        <w:t xml:space="preserve"> </w:t>
      </w:r>
      <w:r>
        <w:t>no specific plan to publish all the data obtained from this collection of information.</w:t>
      </w:r>
    </w:p>
    <w:p w:rsidR="00D53A85" w14:paraId="7EFA64AB" w14:textId="77777777">
      <w:pPr>
        <w:pStyle w:val="BodyText"/>
        <w:ind w:left="0"/>
      </w:pPr>
    </w:p>
    <w:p w:rsidR="00D53A85" w14:paraId="66F4EEA0" w14:textId="77777777">
      <w:pPr>
        <w:pStyle w:val="Heading2"/>
        <w:numPr>
          <w:ilvl w:val="0"/>
          <w:numId w:val="1"/>
        </w:numPr>
        <w:tabs>
          <w:tab w:val="left" w:pos="499"/>
        </w:tabs>
        <w:ind w:left="499" w:hanging="380"/>
      </w:pPr>
      <w:bookmarkStart w:id="23" w:name="17._Rationale_for_not_displaying_the_exp"/>
      <w:bookmarkEnd w:id="23"/>
      <w:r>
        <w:t>Rationale</w:t>
      </w:r>
      <w:r>
        <w:rPr>
          <w:spacing w:val="-4"/>
        </w:rPr>
        <w:t xml:space="preserve"> </w:t>
      </w:r>
      <w:r>
        <w:t>for</w:t>
      </w:r>
      <w:r>
        <w:rPr>
          <w:spacing w:val="-2"/>
        </w:rPr>
        <w:t xml:space="preserve"> </w:t>
      </w:r>
      <w:r>
        <w:t>not</w:t>
      </w:r>
      <w:r>
        <w:rPr>
          <w:spacing w:val="-3"/>
        </w:rPr>
        <w:t xml:space="preserve"> </w:t>
      </w:r>
      <w:r>
        <w:t>displaying</w:t>
      </w:r>
      <w:r>
        <w:rPr>
          <w:spacing w:val="-4"/>
        </w:rPr>
        <w:t xml:space="preserve"> </w:t>
      </w:r>
      <w:r>
        <w:t>the</w:t>
      </w:r>
      <w:r>
        <w:rPr>
          <w:spacing w:val="-2"/>
        </w:rPr>
        <w:t xml:space="preserve"> </w:t>
      </w:r>
      <w:r>
        <w:t>expiration</w:t>
      </w:r>
      <w:r>
        <w:rPr>
          <w:spacing w:val="-1"/>
        </w:rPr>
        <w:t xml:space="preserve"> </w:t>
      </w:r>
      <w:r>
        <w:t>date</w:t>
      </w:r>
      <w:r>
        <w:rPr>
          <w:spacing w:val="-2"/>
        </w:rPr>
        <w:t xml:space="preserve"> </w:t>
      </w:r>
      <w:r>
        <w:t>for</w:t>
      </w:r>
      <w:r>
        <w:rPr>
          <w:spacing w:val="-1"/>
        </w:rPr>
        <w:t xml:space="preserve"> </w:t>
      </w:r>
      <w:r>
        <w:t>OMB</w:t>
      </w:r>
      <w:r>
        <w:rPr>
          <w:spacing w:val="-14"/>
        </w:rPr>
        <w:t xml:space="preserve"> </w:t>
      </w:r>
      <w:r>
        <w:rPr>
          <w:spacing w:val="-2"/>
        </w:rPr>
        <w:t>approval</w:t>
      </w:r>
    </w:p>
    <w:p w:rsidR="00D53A85" w14:paraId="5D736FBA" w14:textId="77777777">
      <w:pPr>
        <w:pStyle w:val="BodyText"/>
        <w:spacing w:before="280"/>
      </w:pPr>
      <w:r>
        <w:t>Not</w:t>
      </w:r>
      <w:r>
        <w:rPr>
          <w:spacing w:val="-2"/>
        </w:rPr>
        <w:t xml:space="preserve"> applicable.</w:t>
      </w:r>
    </w:p>
    <w:p w:rsidR="00D53A85" w14:paraId="30921939" w14:textId="77777777">
      <w:pPr>
        <w:pStyle w:val="BodyText"/>
        <w:spacing w:before="1"/>
        <w:ind w:left="0"/>
      </w:pPr>
    </w:p>
    <w:p w:rsidR="00D53A85" w14:paraId="6FDE73B3" w14:textId="77777777">
      <w:pPr>
        <w:pStyle w:val="Heading2"/>
        <w:numPr>
          <w:ilvl w:val="0"/>
          <w:numId w:val="1"/>
        </w:numPr>
        <w:tabs>
          <w:tab w:val="left" w:pos="500"/>
        </w:tabs>
        <w:ind w:left="500" w:hanging="385"/>
      </w:pPr>
      <w:bookmarkStart w:id="24" w:name="18._Exception_to_the_certification_state"/>
      <w:bookmarkEnd w:id="24"/>
      <w:r>
        <w:t>Exception</w:t>
      </w:r>
      <w:r>
        <w:rPr>
          <w:spacing w:val="-3"/>
        </w:rPr>
        <w:t xml:space="preserve"> </w:t>
      </w:r>
      <w:r>
        <w:t>to</w:t>
      </w:r>
      <w:r>
        <w:rPr>
          <w:spacing w:val="-2"/>
        </w:rPr>
        <w:t xml:space="preserve"> </w:t>
      </w:r>
      <w:r>
        <w:t>the</w:t>
      </w:r>
      <w:r>
        <w:rPr>
          <w:spacing w:val="-3"/>
        </w:rPr>
        <w:t xml:space="preserve"> </w:t>
      </w:r>
      <w:r>
        <w:t>certification</w:t>
      </w:r>
      <w:r>
        <w:rPr>
          <w:spacing w:val="-3"/>
        </w:rPr>
        <w:t xml:space="preserve"> </w:t>
      </w:r>
      <w:r>
        <w:rPr>
          <w:spacing w:val="-2"/>
        </w:rPr>
        <w:t>statement</w:t>
      </w:r>
    </w:p>
    <w:p w:rsidR="00D53A85" w14:paraId="44098B9E" w14:textId="77777777">
      <w:pPr>
        <w:pStyle w:val="BodyText"/>
        <w:spacing w:before="281"/>
      </w:pPr>
      <w:r>
        <w:t>Not</w:t>
      </w:r>
      <w:r>
        <w:rPr>
          <w:spacing w:val="-2"/>
        </w:rPr>
        <w:t xml:space="preserve"> applicable.</w:t>
      </w:r>
    </w:p>
    <w:p w:rsidR="00D53A85" w14:paraId="3D3E1453" w14:textId="77777777">
      <w:pPr>
        <w:pStyle w:val="BodyText"/>
        <w:spacing w:before="1"/>
        <w:ind w:left="0"/>
      </w:pPr>
    </w:p>
    <w:p w:rsidR="00D53A85" w:rsidRPr="00AC447D" w14:paraId="119E8B86" w14:textId="77777777">
      <w:pPr>
        <w:pStyle w:val="Heading1"/>
        <w:numPr>
          <w:ilvl w:val="0"/>
          <w:numId w:val="3"/>
        </w:numPr>
        <w:tabs>
          <w:tab w:val="left" w:pos="381"/>
        </w:tabs>
        <w:ind w:left="381" w:hanging="262"/>
      </w:pPr>
      <w:bookmarkStart w:id="25" w:name="B._Collection_of_Information_Employing_S"/>
      <w:bookmarkEnd w:id="25"/>
      <w:r w:rsidRPr="00AC447D">
        <w:t>Collection</w:t>
      </w:r>
      <w:r w:rsidRPr="00AC447D">
        <w:rPr>
          <w:spacing w:val="-7"/>
        </w:rPr>
        <w:t xml:space="preserve"> </w:t>
      </w:r>
      <w:r w:rsidRPr="00AC447D">
        <w:t>of</w:t>
      </w:r>
      <w:r w:rsidRPr="00AC447D">
        <w:rPr>
          <w:spacing w:val="-3"/>
        </w:rPr>
        <w:t xml:space="preserve"> </w:t>
      </w:r>
      <w:r w:rsidRPr="00AC447D">
        <w:t>Information</w:t>
      </w:r>
      <w:r w:rsidRPr="00AC447D">
        <w:rPr>
          <w:spacing w:val="-4"/>
        </w:rPr>
        <w:t xml:space="preserve"> </w:t>
      </w:r>
      <w:r w:rsidRPr="00AC447D">
        <w:t>Employing</w:t>
      </w:r>
      <w:r w:rsidRPr="00AC447D">
        <w:rPr>
          <w:spacing w:val="-4"/>
        </w:rPr>
        <w:t xml:space="preserve"> </w:t>
      </w:r>
      <w:r w:rsidRPr="00AC447D">
        <w:t>Statistical</w:t>
      </w:r>
      <w:r w:rsidRPr="00AC447D">
        <w:rPr>
          <w:spacing w:val="-13"/>
        </w:rPr>
        <w:t xml:space="preserve"> </w:t>
      </w:r>
      <w:r w:rsidRPr="00AC447D">
        <w:rPr>
          <w:spacing w:val="-2"/>
        </w:rPr>
        <w:t>Methods</w:t>
      </w:r>
    </w:p>
    <w:p w:rsidR="00D53A85" w14:paraId="0A5B3F37" w14:textId="0B4B468B">
      <w:pPr>
        <w:pStyle w:val="ListParagraph"/>
        <w:numPr>
          <w:ilvl w:val="1"/>
          <w:numId w:val="3"/>
        </w:numPr>
        <w:tabs>
          <w:tab w:val="left" w:pos="354"/>
        </w:tabs>
        <w:spacing w:before="280"/>
        <w:ind w:right="878" w:firstLine="0"/>
        <w:rPr>
          <w:sz w:val="24"/>
        </w:rPr>
      </w:pPr>
      <w:r>
        <w:rPr>
          <w:sz w:val="24"/>
        </w:rPr>
        <w:t>The potential respondent universe includes patients treated in statistically selected hospitals participating in NEISS to report emergency department-treated, product-related</w:t>
      </w:r>
      <w:r>
        <w:rPr>
          <w:spacing w:val="-5"/>
          <w:sz w:val="24"/>
        </w:rPr>
        <w:t xml:space="preserve"> </w:t>
      </w:r>
      <w:r>
        <w:rPr>
          <w:sz w:val="24"/>
        </w:rPr>
        <w:t>injuries</w:t>
      </w:r>
      <w:r>
        <w:rPr>
          <w:spacing w:val="-3"/>
          <w:sz w:val="24"/>
        </w:rPr>
        <w:t xml:space="preserve"> </w:t>
      </w:r>
      <w:r>
        <w:rPr>
          <w:sz w:val="24"/>
        </w:rPr>
        <w:t>and</w:t>
      </w:r>
      <w:r>
        <w:rPr>
          <w:spacing w:val="-5"/>
          <w:sz w:val="24"/>
        </w:rPr>
        <w:t xml:space="preserve"> </w:t>
      </w:r>
      <w:r>
        <w:rPr>
          <w:sz w:val="24"/>
        </w:rPr>
        <w:t>other</w:t>
      </w:r>
      <w:r>
        <w:rPr>
          <w:spacing w:val="-4"/>
          <w:sz w:val="24"/>
        </w:rPr>
        <w:t xml:space="preserve"> </w:t>
      </w:r>
      <w:r>
        <w:rPr>
          <w:sz w:val="24"/>
        </w:rPr>
        <w:t>injuries.</w:t>
      </w:r>
      <w:r>
        <w:rPr>
          <w:spacing w:val="-2"/>
          <w:sz w:val="24"/>
        </w:rPr>
        <w:t xml:space="preserve"> </w:t>
      </w:r>
      <w:r>
        <w:rPr>
          <w:sz w:val="24"/>
        </w:rPr>
        <w:t>The</w:t>
      </w:r>
      <w:r>
        <w:rPr>
          <w:spacing w:val="-3"/>
          <w:sz w:val="24"/>
        </w:rPr>
        <w:t xml:space="preserve"> </w:t>
      </w:r>
      <w:r>
        <w:rPr>
          <w:sz w:val="24"/>
        </w:rPr>
        <w:t>affiliated</w:t>
      </w:r>
      <w:r>
        <w:rPr>
          <w:spacing w:val="-5"/>
          <w:sz w:val="24"/>
        </w:rPr>
        <w:t xml:space="preserve"> </w:t>
      </w:r>
      <w:r>
        <w:rPr>
          <w:sz w:val="24"/>
        </w:rPr>
        <w:t>NEISS</w:t>
      </w:r>
      <w:r>
        <w:rPr>
          <w:spacing w:val="-3"/>
          <w:sz w:val="24"/>
        </w:rPr>
        <w:t xml:space="preserve"> </w:t>
      </w:r>
      <w:r>
        <w:rPr>
          <w:sz w:val="24"/>
        </w:rPr>
        <w:t>hospitals</w:t>
      </w:r>
      <w:r>
        <w:rPr>
          <w:spacing w:val="-3"/>
          <w:sz w:val="24"/>
        </w:rPr>
        <w:t xml:space="preserve"> </w:t>
      </w:r>
      <w:r>
        <w:rPr>
          <w:sz w:val="24"/>
        </w:rPr>
        <w:t>will</w:t>
      </w:r>
      <w:r>
        <w:rPr>
          <w:spacing w:val="-4"/>
          <w:sz w:val="24"/>
        </w:rPr>
        <w:t xml:space="preserve"> </w:t>
      </w:r>
      <w:r>
        <w:rPr>
          <w:sz w:val="24"/>
        </w:rPr>
        <w:t xml:space="preserve">report about </w:t>
      </w:r>
      <w:r w:rsidRPr="00BE0AF9">
        <w:rPr>
          <w:sz w:val="24"/>
        </w:rPr>
        <w:t>1.</w:t>
      </w:r>
      <w:r w:rsidRPr="00BE0AF9" w:rsidR="00CC68AB">
        <w:rPr>
          <w:sz w:val="24"/>
        </w:rPr>
        <w:t>15</w:t>
      </w:r>
      <w:r w:rsidRPr="00BE0AF9">
        <w:rPr>
          <w:sz w:val="24"/>
        </w:rPr>
        <w:t xml:space="preserve"> million emergency department visits annually using existing information extracted from hospital records. Of those reported visits, about 4</w:t>
      </w:r>
      <w:r w:rsidRPr="00BE0AF9" w:rsidR="00CC68AB">
        <w:rPr>
          <w:sz w:val="24"/>
        </w:rPr>
        <w:t>5</w:t>
      </w:r>
      <w:r w:rsidRPr="00BE0AF9">
        <w:rPr>
          <w:sz w:val="24"/>
        </w:rPr>
        <w:t>0,000 will</w:t>
      </w:r>
      <w:r>
        <w:rPr>
          <w:sz w:val="24"/>
        </w:rPr>
        <w:t xml:space="preserve"> be consumer product-related cases. Since hospital record data are limited, further information is frequently necessary, and about </w:t>
      </w:r>
      <w:r w:rsidR="00AC447D">
        <w:rPr>
          <w:sz w:val="24"/>
        </w:rPr>
        <w:t>7,000</w:t>
      </w:r>
      <w:r>
        <w:rPr>
          <w:sz w:val="24"/>
        </w:rPr>
        <w:t xml:space="preserve"> of these cases are selected for further investigation.</w:t>
      </w:r>
      <w:r w:rsidR="00B91713">
        <w:rPr>
          <w:sz w:val="24"/>
        </w:rPr>
        <w:t xml:space="preserve"> </w:t>
      </w:r>
      <w:r w:rsidR="00B91713">
        <w:rPr>
          <w:spacing w:val="-2"/>
          <w:sz w:val="24"/>
        </w:rPr>
        <w:t xml:space="preserve">Of the 7,000 cases selected, 1,025 (15%) are successfully contacted and 750 (11%) of the investigations are completed.  </w:t>
      </w:r>
    </w:p>
    <w:p w:rsidR="00D53A85" w14:paraId="6994E8E9" w14:textId="77777777">
      <w:pPr>
        <w:pStyle w:val="BodyText"/>
        <w:ind w:left="0"/>
      </w:pPr>
    </w:p>
    <w:p w:rsidR="00D53A85" w14:paraId="10B81ADF" w14:textId="66523D17">
      <w:pPr>
        <w:pStyle w:val="BodyText"/>
        <w:ind w:right="814"/>
      </w:pPr>
      <w:r>
        <w:t>The potential respondent universe also includes individuals involved with incidents recorded in newspaper articles, consumer complaints, death certificates, coroner’s reports and any other injury sources that may be reported to the CPSC. These other data</w:t>
      </w:r>
      <w:r>
        <w:rPr>
          <w:spacing w:val="-4"/>
        </w:rPr>
        <w:t xml:space="preserve"> </w:t>
      </w:r>
      <w:r>
        <w:t>sources</w:t>
      </w:r>
      <w:r>
        <w:rPr>
          <w:spacing w:val="-4"/>
        </w:rPr>
        <w:t xml:space="preserve"> </w:t>
      </w:r>
      <w:r>
        <w:t>contribute</w:t>
      </w:r>
      <w:r>
        <w:rPr>
          <w:spacing w:val="-4"/>
        </w:rPr>
        <w:t xml:space="preserve"> </w:t>
      </w:r>
      <w:r>
        <w:t>more</w:t>
      </w:r>
      <w:r>
        <w:rPr>
          <w:spacing w:val="-4"/>
        </w:rPr>
        <w:t xml:space="preserve"> </w:t>
      </w:r>
      <w:r>
        <w:t>than</w:t>
      </w:r>
      <w:r>
        <w:rPr>
          <w:spacing w:val="-4"/>
        </w:rPr>
        <w:t xml:space="preserve"> </w:t>
      </w:r>
      <w:r w:rsidR="00AC447D">
        <w:rPr>
          <w:spacing w:val="-4"/>
        </w:rPr>
        <w:t>525,000</w:t>
      </w:r>
      <w:r>
        <w:rPr>
          <w:spacing w:val="-4"/>
        </w:rPr>
        <w:t xml:space="preserve"> </w:t>
      </w:r>
      <w:r>
        <w:t>cases</w:t>
      </w:r>
      <w:r>
        <w:rPr>
          <w:spacing w:val="-4"/>
        </w:rPr>
        <w:t xml:space="preserve"> </w:t>
      </w:r>
      <w:r>
        <w:t>annually,</w:t>
      </w:r>
      <w:r>
        <w:rPr>
          <w:spacing w:val="-3"/>
        </w:rPr>
        <w:t xml:space="preserve"> </w:t>
      </w:r>
      <w:r>
        <w:t>of</w:t>
      </w:r>
      <w:r>
        <w:rPr>
          <w:spacing w:val="-4"/>
        </w:rPr>
        <w:t xml:space="preserve"> </w:t>
      </w:r>
      <w:r>
        <w:t>which</w:t>
      </w:r>
      <w:r>
        <w:rPr>
          <w:spacing w:val="-4"/>
        </w:rPr>
        <w:t xml:space="preserve"> </w:t>
      </w:r>
      <w:r>
        <w:t>about</w:t>
      </w:r>
      <w:r>
        <w:rPr>
          <w:spacing w:val="-4"/>
        </w:rPr>
        <w:t xml:space="preserve"> </w:t>
      </w:r>
      <w:r w:rsidR="00AC447D">
        <w:rPr>
          <w:spacing w:val="-4"/>
        </w:rPr>
        <w:t>4</w:t>
      </w:r>
      <w:r>
        <w:t>,000</w:t>
      </w:r>
      <w:r>
        <w:rPr>
          <w:spacing w:val="-4"/>
        </w:rPr>
        <w:t xml:space="preserve"> </w:t>
      </w:r>
      <w:r>
        <w:t>are selected for further investigation.</w:t>
      </w:r>
      <w:r w:rsidR="00B91713">
        <w:t xml:space="preserve"> Of the 4,000 cases selected, 3,775 (94%) are successfully contacted and 2,950 (74%) of the investigations are completed.  </w:t>
      </w:r>
    </w:p>
    <w:p w:rsidR="00D53A85" w14:paraId="01EBA9E4" w14:textId="77777777">
      <w:pPr>
        <w:pStyle w:val="BodyText"/>
        <w:spacing w:before="1"/>
        <w:ind w:left="0"/>
      </w:pPr>
    </w:p>
    <w:p w:rsidR="00D53A85" w14:paraId="48E1513E" w14:textId="5BBF4653">
      <w:pPr>
        <w:pStyle w:val="ListParagraph"/>
        <w:numPr>
          <w:ilvl w:val="1"/>
          <w:numId w:val="3"/>
        </w:numPr>
        <w:tabs>
          <w:tab w:val="left" w:pos="354"/>
        </w:tabs>
        <w:ind w:right="929" w:firstLine="0"/>
        <w:rPr>
          <w:sz w:val="24"/>
        </w:rPr>
      </w:pPr>
      <w:r>
        <w:rPr>
          <w:sz w:val="24"/>
        </w:rPr>
        <w:t>Cases associated with categories of interest are selected daily from the hundreds of incident reports received each day by the CPSC. CPSC investigators call to interview or to arrange to visit the victim or others to determine specific details about</w:t>
      </w:r>
      <w:r>
        <w:rPr>
          <w:spacing w:val="-4"/>
          <w:sz w:val="24"/>
        </w:rPr>
        <w:t xml:space="preserve"> </w:t>
      </w:r>
      <w:r>
        <w:rPr>
          <w:sz w:val="24"/>
        </w:rPr>
        <w:t>the</w:t>
      </w:r>
      <w:r>
        <w:rPr>
          <w:spacing w:val="-4"/>
          <w:sz w:val="24"/>
        </w:rPr>
        <w:t xml:space="preserve"> </w:t>
      </w:r>
      <w:r>
        <w:rPr>
          <w:sz w:val="24"/>
        </w:rPr>
        <w:t>accident</w:t>
      </w:r>
      <w:r>
        <w:rPr>
          <w:spacing w:val="-4"/>
          <w:sz w:val="24"/>
        </w:rPr>
        <w:t xml:space="preserve"> </w:t>
      </w:r>
      <w:r>
        <w:rPr>
          <w:sz w:val="24"/>
        </w:rPr>
        <w:t>sequence.</w:t>
      </w:r>
      <w:r>
        <w:rPr>
          <w:spacing w:val="-3"/>
          <w:sz w:val="24"/>
        </w:rPr>
        <w:t xml:space="preserve"> </w:t>
      </w:r>
      <w:r>
        <w:rPr>
          <w:sz w:val="24"/>
        </w:rPr>
        <w:t>Information</w:t>
      </w:r>
      <w:r>
        <w:rPr>
          <w:spacing w:val="-4"/>
          <w:sz w:val="24"/>
        </w:rPr>
        <w:t xml:space="preserve"> </w:t>
      </w:r>
      <w:r>
        <w:rPr>
          <w:sz w:val="24"/>
        </w:rPr>
        <w:t>collected</w:t>
      </w:r>
      <w:r>
        <w:rPr>
          <w:spacing w:val="-6"/>
          <w:sz w:val="24"/>
        </w:rPr>
        <w:t xml:space="preserve"> </w:t>
      </w:r>
      <w:r>
        <w:rPr>
          <w:sz w:val="24"/>
        </w:rPr>
        <w:t>from</w:t>
      </w:r>
      <w:r>
        <w:rPr>
          <w:spacing w:val="-5"/>
          <w:sz w:val="24"/>
        </w:rPr>
        <w:t xml:space="preserve"> </w:t>
      </w:r>
      <w:r>
        <w:rPr>
          <w:sz w:val="24"/>
        </w:rPr>
        <w:t>the</w:t>
      </w:r>
      <w:r>
        <w:rPr>
          <w:spacing w:val="-4"/>
          <w:sz w:val="24"/>
        </w:rPr>
        <w:t xml:space="preserve"> </w:t>
      </w:r>
      <w:r>
        <w:rPr>
          <w:sz w:val="24"/>
        </w:rPr>
        <w:t>victim,</w:t>
      </w:r>
      <w:r>
        <w:rPr>
          <w:spacing w:val="-3"/>
          <w:sz w:val="24"/>
        </w:rPr>
        <w:t xml:space="preserve"> </w:t>
      </w:r>
      <w:r>
        <w:rPr>
          <w:sz w:val="24"/>
        </w:rPr>
        <w:t>family</w:t>
      </w:r>
      <w:r>
        <w:rPr>
          <w:spacing w:val="-5"/>
          <w:sz w:val="24"/>
        </w:rPr>
        <w:t xml:space="preserve"> </w:t>
      </w:r>
      <w:r>
        <w:rPr>
          <w:sz w:val="24"/>
        </w:rPr>
        <w:t xml:space="preserve">member, </w:t>
      </w:r>
      <w:r>
        <w:rPr>
          <w:sz w:val="24"/>
        </w:rPr>
        <w:t>witness, or others is reported on an investigation form designed for this</w:t>
      </w:r>
      <w:r w:rsidR="00AC447D">
        <w:rPr>
          <w:sz w:val="24"/>
        </w:rPr>
        <w:t xml:space="preserve"> </w:t>
      </w:r>
      <w:r>
        <w:rPr>
          <w:sz w:val="24"/>
        </w:rPr>
        <w:t>purpose.</w:t>
      </w:r>
    </w:p>
    <w:p w:rsidR="00D53A85" w14:paraId="06F680F6" w14:textId="6B16ABCE">
      <w:pPr>
        <w:pStyle w:val="BodyText"/>
        <w:spacing w:before="280"/>
        <w:ind w:right="814"/>
      </w:pPr>
      <w:r>
        <w:t>When</w:t>
      </w:r>
      <w:r>
        <w:rPr>
          <w:spacing w:val="-3"/>
        </w:rPr>
        <w:t xml:space="preserve"> </w:t>
      </w:r>
      <w:r>
        <w:t>less</w:t>
      </w:r>
      <w:r>
        <w:rPr>
          <w:spacing w:val="-3"/>
        </w:rPr>
        <w:t xml:space="preserve"> </w:t>
      </w:r>
      <w:r>
        <w:t>than</w:t>
      </w:r>
      <w:r>
        <w:rPr>
          <w:spacing w:val="-3"/>
        </w:rPr>
        <w:t xml:space="preserve"> </w:t>
      </w:r>
      <w:r>
        <w:t>100</w:t>
      </w:r>
      <w:r>
        <w:rPr>
          <w:spacing w:val="-4"/>
        </w:rPr>
        <w:t xml:space="preserve"> </w:t>
      </w:r>
      <w:r>
        <w:t>percent</w:t>
      </w:r>
      <w:r>
        <w:rPr>
          <w:spacing w:val="-3"/>
        </w:rPr>
        <w:t xml:space="preserve"> </w:t>
      </w:r>
      <w:r>
        <w:t>of</w:t>
      </w:r>
      <w:r>
        <w:rPr>
          <w:spacing w:val="-4"/>
        </w:rPr>
        <w:t xml:space="preserve"> </w:t>
      </w:r>
      <w:r>
        <w:t>the</w:t>
      </w:r>
      <w:r>
        <w:rPr>
          <w:spacing w:val="-3"/>
        </w:rPr>
        <w:t xml:space="preserve"> </w:t>
      </w:r>
      <w:r>
        <w:t>surveillance</w:t>
      </w:r>
      <w:r>
        <w:rPr>
          <w:spacing w:val="-3"/>
        </w:rPr>
        <w:t xml:space="preserve"> </w:t>
      </w:r>
      <w:r>
        <w:t>cases</w:t>
      </w:r>
      <w:r>
        <w:rPr>
          <w:spacing w:val="-3"/>
        </w:rPr>
        <w:t xml:space="preserve"> </w:t>
      </w:r>
      <w:r>
        <w:t>are</w:t>
      </w:r>
      <w:r>
        <w:rPr>
          <w:spacing w:val="-3"/>
        </w:rPr>
        <w:t xml:space="preserve"> </w:t>
      </w:r>
      <w:r>
        <w:t>selected</w:t>
      </w:r>
      <w:r>
        <w:rPr>
          <w:spacing w:val="-5"/>
        </w:rPr>
        <w:t xml:space="preserve"> </w:t>
      </w:r>
      <w:r>
        <w:t>for</w:t>
      </w:r>
      <w:r>
        <w:rPr>
          <w:spacing w:val="-4"/>
        </w:rPr>
        <w:t xml:space="preserve"> </w:t>
      </w:r>
      <w:r>
        <w:t>investigation, the universe of cases is stratified by relevant factors, such as type of injury or consumer product involved</w:t>
      </w:r>
      <w:r w:rsidR="00EF6EC3">
        <w:t>,</w:t>
      </w:r>
      <w:r>
        <w:t xml:space="preserve"> and a simple random sample of cases is selected.</w:t>
      </w:r>
    </w:p>
    <w:p w:rsidR="00D53A85" w14:paraId="39BE01C8" w14:textId="77777777">
      <w:pPr>
        <w:pStyle w:val="BodyText"/>
        <w:ind w:left="0"/>
      </w:pPr>
    </w:p>
    <w:p w:rsidR="00D53A85" w14:paraId="49573A23" w14:textId="77777777">
      <w:pPr>
        <w:pStyle w:val="BodyText"/>
        <w:spacing w:before="1"/>
        <w:ind w:left="119" w:right="814"/>
      </w:pPr>
      <w:r>
        <w:t>The</w:t>
      </w:r>
      <w:r>
        <w:rPr>
          <w:spacing w:val="-4"/>
        </w:rPr>
        <w:t xml:space="preserve"> </w:t>
      </w:r>
      <w:r>
        <w:t>estimation</w:t>
      </w:r>
      <w:r>
        <w:rPr>
          <w:spacing w:val="-4"/>
        </w:rPr>
        <w:t xml:space="preserve"> </w:t>
      </w:r>
      <w:r>
        <w:t>procedure</w:t>
      </w:r>
      <w:r>
        <w:rPr>
          <w:spacing w:val="-4"/>
        </w:rPr>
        <w:t xml:space="preserve"> </w:t>
      </w:r>
      <w:r>
        <w:t>for</w:t>
      </w:r>
      <w:r>
        <w:rPr>
          <w:spacing w:val="-5"/>
        </w:rPr>
        <w:t xml:space="preserve"> </w:t>
      </w:r>
      <w:r>
        <w:t>probability</w:t>
      </w:r>
      <w:r>
        <w:rPr>
          <w:spacing w:val="-5"/>
        </w:rPr>
        <w:t xml:space="preserve"> </w:t>
      </w:r>
      <w:r>
        <w:t>surveys</w:t>
      </w:r>
      <w:r>
        <w:rPr>
          <w:spacing w:val="-4"/>
        </w:rPr>
        <w:t xml:space="preserve"> </w:t>
      </w:r>
      <w:r>
        <w:t>involves</w:t>
      </w:r>
      <w:r>
        <w:rPr>
          <w:spacing w:val="-4"/>
        </w:rPr>
        <w:t xml:space="preserve"> </w:t>
      </w:r>
      <w:r>
        <w:t>multiplying</w:t>
      </w:r>
      <w:r>
        <w:rPr>
          <w:spacing w:val="-3"/>
        </w:rPr>
        <w:t xml:space="preserve"> </w:t>
      </w:r>
      <w:r>
        <w:t>the</w:t>
      </w:r>
      <w:r>
        <w:rPr>
          <w:spacing w:val="-4"/>
        </w:rPr>
        <w:t xml:space="preserve"> </w:t>
      </w:r>
      <w:r>
        <w:t xml:space="preserve">original surveillance case weight by the case weight appropriate for the follow-back investigation. Normally, the latter is the reciprocal of the probability of selection, adjusted, where needed, for non-response and an annual ratio adjustment to </w:t>
      </w:r>
      <w:r>
        <w:t>take into account</w:t>
      </w:r>
      <w:r>
        <w:t xml:space="preserve"> hospitals that open and close and/or change in size.</w:t>
      </w:r>
    </w:p>
    <w:p w:rsidR="005327DC" w14:paraId="19CDA373" w14:textId="77777777">
      <w:pPr>
        <w:pStyle w:val="BodyText"/>
        <w:spacing w:before="1"/>
        <w:ind w:left="119" w:right="814"/>
      </w:pPr>
    </w:p>
    <w:p w:rsidR="00D53A85" w14:paraId="5F295710" w14:textId="70E0E0DC">
      <w:pPr>
        <w:pStyle w:val="ListParagraph"/>
        <w:numPr>
          <w:ilvl w:val="1"/>
          <w:numId w:val="3"/>
        </w:numPr>
        <w:tabs>
          <w:tab w:val="left" w:pos="353"/>
        </w:tabs>
        <w:spacing w:before="80"/>
        <w:ind w:left="119" w:right="885" w:firstLine="0"/>
        <w:rPr>
          <w:sz w:val="24"/>
        </w:rPr>
      </w:pPr>
      <w:r>
        <w:rPr>
          <w:sz w:val="24"/>
        </w:rPr>
        <w:t>About</w:t>
      </w:r>
      <w:r>
        <w:rPr>
          <w:spacing w:val="-2"/>
          <w:sz w:val="24"/>
        </w:rPr>
        <w:t xml:space="preserve"> </w:t>
      </w:r>
      <w:r w:rsidR="00B91713">
        <w:rPr>
          <w:spacing w:val="-2"/>
          <w:sz w:val="24"/>
        </w:rPr>
        <w:t>44</w:t>
      </w:r>
      <w:r>
        <w:rPr>
          <w:spacing w:val="-3"/>
          <w:sz w:val="24"/>
        </w:rPr>
        <w:t xml:space="preserve"> </w:t>
      </w:r>
      <w:r>
        <w:rPr>
          <w:sz w:val="24"/>
        </w:rPr>
        <w:t>percent</w:t>
      </w:r>
      <w:r>
        <w:rPr>
          <w:spacing w:val="-2"/>
          <w:sz w:val="24"/>
        </w:rPr>
        <w:t xml:space="preserve"> </w:t>
      </w:r>
      <w:r>
        <w:rPr>
          <w:sz w:val="24"/>
        </w:rPr>
        <w:t>of</w:t>
      </w:r>
      <w:r>
        <w:rPr>
          <w:spacing w:val="-3"/>
          <w:sz w:val="24"/>
        </w:rPr>
        <w:t xml:space="preserve"> </w:t>
      </w:r>
      <w:r>
        <w:rPr>
          <w:sz w:val="24"/>
        </w:rPr>
        <w:t>the victims</w:t>
      </w:r>
      <w:r>
        <w:rPr>
          <w:spacing w:val="-2"/>
          <w:sz w:val="24"/>
        </w:rPr>
        <w:t xml:space="preserve"> </w:t>
      </w:r>
      <w:r>
        <w:rPr>
          <w:sz w:val="24"/>
        </w:rPr>
        <w:t>involved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selected</w:t>
      </w:r>
      <w:r>
        <w:rPr>
          <w:spacing w:val="-4"/>
          <w:sz w:val="24"/>
        </w:rPr>
        <w:t xml:space="preserve"> </w:t>
      </w:r>
      <w:r>
        <w:rPr>
          <w:sz w:val="24"/>
        </w:rPr>
        <w:t>incidents</w:t>
      </w:r>
      <w:r>
        <w:rPr>
          <w:spacing w:val="-2"/>
          <w:sz w:val="24"/>
        </w:rPr>
        <w:t xml:space="preserve"> </w:t>
      </w:r>
      <w:r>
        <w:rPr>
          <w:sz w:val="24"/>
        </w:rPr>
        <w:t>are</w:t>
      </w:r>
      <w:r>
        <w:rPr>
          <w:spacing w:val="-2"/>
          <w:sz w:val="24"/>
        </w:rPr>
        <w:t xml:space="preserve"> </w:t>
      </w:r>
      <w:r>
        <w:rPr>
          <w:sz w:val="24"/>
        </w:rPr>
        <w:t xml:space="preserve">successfully contacted. Of those contacted, about </w:t>
      </w:r>
      <w:r w:rsidR="00B91713">
        <w:rPr>
          <w:sz w:val="24"/>
        </w:rPr>
        <w:t>77</w:t>
      </w:r>
      <w:r>
        <w:rPr>
          <w:sz w:val="24"/>
        </w:rPr>
        <w:t xml:space="preserve"> percent agree to provide information voluntarily on the circumstances of the incident. For probability surveys, responses are</w:t>
      </w:r>
      <w:r>
        <w:rPr>
          <w:spacing w:val="-2"/>
          <w:sz w:val="24"/>
        </w:rPr>
        <w:t xml:space="preserve"> </w:t>
      </w:r>
      <w:r>
        <w:rPr>
          <w:sz w:val="24"/>
        </w:rPr>
        <w:t>weighted</w:t>
      </w:r>
      <w:r>
        <w:rPr>
          <w:spacing w:val="-4"/>
          <w:sz w:val="24"/>
        </w:rPr>
        <w:t xml:space="preserve"> </w:t>
      </w:r>
      <w:r>
        <w:rPr>
          <w:sz w:val="24"/>
        </w:rPr>
        <w:t>to</w:t>
      </w:r>
      <w:r>
        <w:rPr>
          <w:spacing w:val="-3"/>
          <w:sz w:val="24"/>
        </w:rPr>
        <w:t xml:space="preserve"> </w:t>
      </w:r>
      <w:r>
        <w:rPr>
          <w:sz w:val="24"/>
        </w:rPr>
        <w:t>account</w:t>
      </w:r>
      <w:r>
        <w:rPr>
          <w:spacing w:val="-2"/>
          <w:sz w:val="24"/>
        </w:rPr>
        <w:t xml:space="preserve"> </w:t>
      </w:r>
      <w:r>
        <w:rPr>
          <w:sz w:val="24"/>
        </w:rPr>
        <w:t>for</w:t>
      </w:r>
      <w:r>
        <w:rPr>
          <w:spacing w:val="-3"/>
          <w:sz w:val="24"/>
        </w:rPr>
        <w:t xml:space="preserve"> </w:t>
      </w:r>
      <w:r>
        <w:rPr>
          <w:sz w:val="24"/>
        </w:rPr>
        <w:t>non-responses.</w:t>
      </w:r>
      <w:r>
        <w:rPr>
          <w:spacing w:val="-1"/>
          <w:sz w:val="24"/>
        </w:rPr>
        <w:t xml:space="preserve"> </w:t>
      </w:r>
      <w:r>
        <w:rPr>
          <w:sz w:val="24"/>
        </w:rPr>
        <w:t>The</w:t>
      </w:r>
      <w:r>
        <w:rPr>
          <w:spacing w:val="-2"/>
          <w:sz w:val="24"/>
        </w:rPr>
        <w:t xml:space="preserve"> </w:t>
      </w:r>
      <w:r>
        <w:rPr>
          <w:sz w:val="24"/>
        </w:rPr>
        <w:t>results</w:t>
      </w:r>
      <w:r>
        <w:rPr>
          <w:spacing w:val="-2"/>
          <w:sz w:val="24"/>
        </w:rPr>
        <w:t xml:space="preserve"> </w:t>
      </w:r>
      <w:r>
        <w:rPr>
          <w:sz w:val="24"/>
        </w:rPr>
        <w:t>from</w:t>
      </w:r>
      <w:r>
        <w:rPr>
          <w:spacing w:val="-3"/>
          <w:sz w:val="24"/>
        </w:rPr>
        <w:t xml:space="preserve"> </w:t>
      </w:r>
      <w:r>
        <w:rPr>
          <w:sz w:val="24"/>
        </w:rPr>
        <w:t>probability</w:t>
      </w:r>
      <w:r>
        <w:rPr>
          <w:spacing w:val="-3"/>
          <w:sz w:val="24"/>
        </w:rPr>
        <w:t xml:space="preserve"> </w:t>
      </w:r>
      <w:r>
        <w:rPr>
          <w:sz w:val="24"/>
        </w:rPr>
        <w:t>surveys</w:t>
      </w:r>
      <w:r w:rsidR="00AC447D">
        <w:rPr>
          <w:sz w:val="24"/>
        </w:rPr>
        <w:t xml:space="preserve"> </w:t>
      </w:r>
      <w:r>
        <w:rPr>
          <w:sz w:val="24"/>
        </w:rPr>
        <w:t>can be generalized to the universe studied.</w:t>
      </w:r>
    </w:p>
    <w:p w:rsidR="00D53A85" w14:paraId="4FFDDDDF" w14:textId="77777777">
      <w:pPr>
        <w:pStyle w:val="ListParagraph"/>
        <w:numPr>
          <w:ilvl w:val="1"/>
          <w:numId w:val="3"/>
        </w:numPr>
        <w:tabs>
          <w:tab w:val="left" w:pos="354"/>
        </w:tabs>
        <w:spacing w:before="280"/>
        <w:ind w:left="354" w:hanging="239"/>
        <w:rPr>
          <w:sz w:val="24"/>
        </w:rPr>
      </w:pPr>
      <w:r>
        <w:rPr>
          <w:sz w:val="24"/>
        </w:rPr>
        <w:t>No</w:t>
      </w:r>
      <w:r>
        <w:rPr>
          <w:spacing w:val="-4"/>
          <w:sz w:val="24"/>
        </w:rPr>
        <w:t xml:space="preserve"> </w:t>
      </w:r>
      <w:r>
        <w:rPr>
          <w:sz w:val="24"/>
        </w:rPr>
        <w:t>tests</w:t>
      </w:r>
      <w:r>
        <w:rPr>
          <w:spacing w:val="-2"/>
          <w:sz w:val="24"/>
        </w:rPr>
        <w:t xml:space="preserve"> </w:t>
      </w:r>
      <w:r>
        <w:rPr>
          <w:sz w:val="24"/>
        </w:rPr>
        <w:t>of</w:t>
      </w:r>
      <w:r>
        <w:rPr>
          <w:spacing w:val="-3"/>
          <w:sz w:val="24"/>
        </w:rPr>
        <w:t xml:space="preserve"> </w:t>
      </w:r>
      <w:r>
        <w:rPr>
          <w:sz w:val="24"/>
        </w:rPr>
        <w:t>procedures or</w:t>
      </w:r>
      <w:r>
        <w:rPr>
          <w:spacing w:val="-2"/>
          <w:sz w:val="24"/>
        </w:rPr>
        <w:t xml:space="preserve"> </w:t>
      </w:r>
      <w:r>
        <w:rPr>
          <w:sz w:val="24"/>
        </w:rPr>
        <w:t>methods</w:t>
      </w:r>
      <w:r>
        <w:rPr>
          <w:spacing w:val="-2"/>
          <w:sz w:val="24"/>
        </w:rPr>
        <w:t xml:space="preserve"> </w:t>
      </w:r>
      <w:r>
        <w:rPr>
          <w:sz w:val="24"/>
        </w:rPr>
        <w:t>will</w:t>
      </w:r>
      <w:r>
        <w:rPr>
          <w:spacing w:val="-3"/>
          <w:sz w:val="24"/>
        </w:rPr>
        <w:t xml:space="preserve"> </w:t>
      </w:r>
      <w:r>
        <w:rPr>
          <w:sz w:val="24"/>
        </w:rPr>
        <w:t>be</w:t>
      </w:r>
      <w:r>
        <w:rPr>
          <w:spacing w:val="-13"/>
          <w:sz w:val="24"/>
        </w:rPr>
        <w:t xml:space="preserve"> </w:t>
      </w:r>
      <w:r>
        <w:rPr>
          <w:spacing w:val="-2"/>
          <w:sz w:val="24"/>
        </w:rPr>
        <w:t>undertaken.</w:t>
      </w:r>
    </w:p>
    <w:p w:rsidR="00D53A85" w14:paraId="5935A4C7" w14:textId="77777777">
      <w:pPr>
        <w:pStyle w:val="ListParagraph"/>
        <w:numPr>
          <w:ilvl w:val="1"/>
          <w:numId w:val="3"/>
        </w:numPr>
        <w:tabs>
          <w:tab w:val="left" w:pos="354"/>
        </w:tabs>
        <w:spacing w:before="4" w:line="560" w:lineRule="atLeast"/>
        <w:ind w:right="4253" w:firstLine="0"/>
        <w:rPr>
          <w:sz w:val="24"/>
        </w:rPr>
      </w:pPr>
      <w:r>
        <w:rPr>
          <w:sz w:val="24"/>
        </w:rPr>
        <w:t>Contact</w:t>
      </w:r>
      <w:r>
        <w:rPr>
          <w:spacing w:val="-5"/>
          <w:sz w:val="24"/>
        </w:rPr>
        <w:t xml:space="preserve"> </w:t>
      </w:r>
      <w:r>
        <w:rPr>
          <w:sz w:val="24"/>
        </w:rPr>
        <w:t>for</w:t>
      </w:r>
      <w:r>
        <w:rPr>
          <w:spacing w:val="-7"/>
          <w:sz w:val="24"/>
        </w:rPr>
        <w:t xml:space="preserve"> </w:t>
      </w:r>
      <w:r>
        <w:rPr>
          <w:sz w:val="24"/>
        </w:rPr>
        <w:t>collection</w:t>
      </w:r>
      <w:r>
        <w:rPr>
          <w:spacing w:val="-5"/>
          <w:sz w:val="24"/>
        </w:rPr>
        <w:t xml:space="preserve"> </w:t>
      </w:r>
      <w:r>
        <w:rPr>
          <w:sz w:val="24"/>
        </w:rPr>
        <w:t>and</w:t>
      </w:r>
      <w:r>
        <w:rPr>
          <w:spacing w:val="-7"/>
          <w:sz w:val="24"/>
        </w:rPr>
        <w:t xml:space="preserve"> </w:t>
      </w:r>
      <w:r>
        <w:rPr>
          <w:sz w:val="24"/>
        </w:rPr>
        <w:t>analysis</w:t>
      </w:r>
      <w:r>
        <w:rPr>
          <w:spacing w:val="-5"/>
          <w:sz w:val="24"/>
        </w:rPr>
        <w:t xml:space="preserve"> </w:t>
      </w:r>
      <w:r>
        <w:rPr>
          <w:sz w:val="24"/>
        </w:rPr>
        <w:t>of</w:t>
      </w:r>
      <w:r>
        <w:rPr>
          <w:spacing w:val="-6"/>
          <w:sz w:val="24"/>
        </w:rPr>
        <w:t xml:space="preserve"> </w:t>
      </w:r>
      <w:r>
        <w:rPr>
          <w:sz w:val="24"/>
        </w:rPr>
        <w:t>NEISS</w:t>
      </w:r>
      <w:r>
        <w:rPr>
          <w:spacing w:val="-5"/>
          <w:sz w:val="24"/>
        </w:rPr>
        <w:t xml:space="preserve"> </w:t>
      </w:r>
      <w:r>
        <w:rPr>
          <w:sz w:val="24"/>
        </w:rPr>
        <w:t>data: Thomas Schroeder</w:t>
      </w:r>
    </w:p>
    <w:p w:rsidR="00D53A85" w14:paraId="79FF4E4A" w14:textId="77777777">
      <w:pPr>
        <w:pStyle w:val="BodyText"/>
        <w:spacing w:before="3"/>
        <w:ind w:right="4668"/>
      </w:pPr>
      <w:r>
        <w:t>U.S.</w:t>
      </w:r>
      <w:r>
        <w:rPr>
          <w:spacing w:val="-9"/>
        </w:rPr>
        <w:t xml:space="preserve"> </w:t>
      </w:r>
      <w:r>
        <w:t>Consumer</w:t>
      </w:r>
      <w:r>
        <w:rPr>
          <w:spacing w:val="-11"/>
        </w:rPr>
        <w:t xml:space="preserve"> </w:t>
      </w:r>
      <w:r>
        <w:t>Product</w:t>
      </w:r>
      <w:r>
        <w:rPr>
          <w:spacing w:val="-8"/>
        </w:rPr>
        <w:t xml:space="preserve"> </w:t>
      </w:r>
      <w:r>
        <w:t>Safety</w:t>
      </w:r>
      <w:r>
        <w:rPr>
          <w:spacing w:val="-11"/>
        </w:rPr>
        <w:t xml:space="preserve"> </w:t>
      </w:r>
      <w:r>
        <w:t>Commission 4330 East West Highway</w:t>
      </w:r>
    </w:p>
    <w:p w:rsidR="00D53A85" w14:paraId="526B7194" w14:textId="77777777">
      <w:pPr>
        <w:pStyle w:val="BodyText"/>
        <w:spacing w:line="278" w:lineRule="exact"/>
      </w:pPr>
      <w:r>
        <w:t>Bethesda,</w:t>
      </w:r>
      <w:r>
        <w:rPr>
          <w:spacing w:val="-3"/>
        </w:rPr>
        <w:t xml:space="preserve"> </w:t>
      </w:r>
      <w:r>
        <w:t>MD</w:t>
      </w:r>
      <w:r>
        <w:rPr>
          <w:spacing w:val="-2"/>
        </w:rPr>
        <w:t xml:space="preserve"> 20814</w:t>
      </w:r>
    </w:p>
    <w:p w:rsidR="00D53A85" w14:paraId="7EF12EFA" w14:textId="6A772A4B">
      <w:pPr>
        <w:pStyle w:val="BodyText"/>
        <w:spacing w:before="5"/>
      </w:pPr>
      <w:r>
        <w:rPr>
          <w:spacing w:val="-2"/>
        </w:rPr>
        <w:t>tschroeder@cpsc.gov</w:t>
      </w:r>
    </w:p>
    <w:sectPr>
      <w:pgSz w:w="12240" w:h="15840"/>
      <w:pgMar w:top="1360" w:right="960" w:bottom="1260" w:left="168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3A85" w14:paraId="5D314D54"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9243906</wp:posOffset>
              </wp:positionV>
              <wp:extent cx="2032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200" cy="194310"/>
                      </a:xfrm>
                      <a:prstGeom prst="rect">
                        <a:avLst/>
                      </a:prstGeom>
                    </wps:spPr>
                    <wps:txbx>
                      <w:txbxContent>
                        <w:p w:rsidR="00D53A85"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6pt;height:15.3pt;margin-top:727.8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53A85" w14:paraId="234600EC" w14:textId="77777777">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34FF" w14:paraId="647CB059" w14:textId="77777777">
      <w:r>
        <w:separator/>
      </w:r>
    </w:p>
  </w:footnote>
  <w:footnote w:type="continuationSeparator" w:id="1">
    <w:p w:rsidR="00F534FF" w14:paraId="1A8749EB" w14:textId="77777777">
      <w:r>
        <w:continuationSeparator/>
      </w:r>
    </w:p>
  </w:footnote>
  <w:footnote w:type="continuationNotice" w:id="2">
    <w:p w:rsidR="00F534FF" w14:paraId="45999C0E" w14:textId="77777777"/>
  </w:footnote>
  <w:footnote w:id="3">
    <w:p w:rsidR="0089145B" w:rsidRPr="006A1BC3" w:rsidP="0089145B" w14:paraId="7EDE4C5D" w14:textId="77777777">
      <w:pPr>
        <w:spacing w:before="35"/>
        <w:ind w:left="119" w:right="1198"/>
        <w:rPr>
          <w:rFonts w:asciiTheme="majorHAnsi" w:hAnsiTheme="majorHAnsi"/>
          <w:sz w:val="20"/>
        </w:rPr>
      </w:pPr>
      <w:r w:rsidRPr="006A1BC3">
        <w:rPr>
          <w:rStyle w:val="FootnoteReference"/>
          <w:rFonts w:asciiTheme="majorHAnsi" w:hAnsiTheme="majorHAnsi"/>
        </w:rPr>
        <w:footnoteRef/>
      </w:r>
      <w:r w:rsidRPr="006A1BC3">
        <w:rPr>
          <w:rFonts w:asciiTheme="majorHAnsi" w:hAnsiTheme="majorHAnsi"/>
        </w:rPr>
        <w:t xml:space="preserve"> </w:t>
      </w:r>
      <w:r w:rsidRPr="006A1BC3">
        <w:rPr>
          <w:rFonts w:asciiTheme="majorHAnsi" w:hAnsiTheme="majorHAnsi"/>
          <w:sz w:val="20"/>
        </w:rPr>
        <w:t>David</w:t>
      </w:r>
      <w:r w:rsidRPr="006A1BC3">
        <w:rPr>
          <w:rFonts w:asciiTheme="majorHAnsi" w:hAnsiTheme="majorHAnsi"/>
          <w:spacing w:val="-4"/>
          <w:sz w:val="20"/>
        </w:rPr>
        <w:t xml:space="preserve"> </w:t>
      </w:r>
      <w:r w:rsidRPr="006A1BC3">
        <w:rPr>
          <w:rFonts w:asciiTheme="majorHAnsi" w:hAnsiTheme="majorHAnsi"/>
          <w:sz w:val="20"/>
        </w:rPr>
        <w:t>Marker,</w:t>
      </w:r>
      <w:r w:rsidRPr="006A1BC3">
        <w:rPr>
          <w:rFonts w:asciiTheme="majorHAnsi" w:hAnsiTheme="majorHAnsi"/>
          <w:spacing w:val="-2"/>
          <w:sz w:val="20"/>
        </w:rPr>
        <w:t xml:space="preserve"> </w:t>
      </w:r>
      <w:r w:rsidRPr="006A1BC3">
        <w:rPr>
          <w:rFonts w:asciiTheme="majorHAnsi" w:hAnsiTheme="majorHAnsi"/>
          <w:sz w:val="20"/>
        </w:rPr>
        <w:t>Jim</w:t>
      </w:r>
      <w:r w:rsidRPr="006A1BC3">
        <w:rPr>
          <w:rFonts w:asciiTheme="majorHAnsi" w:hAnsiTheme="majorHAnsi"/>
          <w:spacing w:val="-7"/>
          <w:sz w:val="20"/>
        </w:rPr>
        <w:t xml:space="preserve"> </w:t>
      </w:r>
      <w:r w:rsidRPr="006A1BC3">
        <w:rPr>
          <w:rFonts w:asciiTheme="majorHAnsi" w:hAnsiTheme="majorHAnsi"/>
          <w:sz w:val="20"/>
        </w:rPr>
        <w:t>Green,</w:t>
      </w:r>
      <w:r w:rsidRPr="006A1BC3">
        <w:rPr>
          <w:rFonts w:asciiTheme="majorHAnsi" w:hAnsiTheme="majorHAnsi"/>
          <w:spacing w:val="-2"/>
          <w:sz w:val="20"/>
        </w:rPr>
        <w:t xml:space="preserve"> </w:t>
      </w:r>
      <w:r w:rsidRPr="006A1BC3">
        <w:rPr>
          <w:rFonts w:asciiTheme="majorHAnsi" w:hAnsiTheme="majorHAnsi"/>
          <w:sz w:val="20"/>
        </w:rPr>
        <w:t>Frost</w:t>
      </w:r>
      <w:r w:rsidRPr="006A1BC3">
        <w:rPr>
          <w:rFonts w:asciiTheme="majorHAnsi" w:hAnsiTheme="majorHAnsi"/>
          <w:spacing w:val="-3"/>
          <w:sz w:val="20"/>
        </w:rPr>
        <w:t xml:space="preserve"> </w:t>
      </w:r>
      <w:r w:rsidRPr="006A1BC3">
        <w:rPr>
          <w:rFonts w:asciiTheme="majorHAnsi" w:hAnsiTheme="majorHAnsi"/>
          <w:sz w:val="20"/>
        </w:rPr>
        <w:t>Hubbord,</w:t>
      </w:r>
      <w:r w:rsidRPr="006A1BC3">
        <w:rPr>
          <w:rFonts w:asciiTheme="majorHAnsi" w:hAnsiTheme="majorHAnsi"/>
          <w:spacing w:val="-2"/>
          <w:sz w:val="20"/>
        </w:rPr>
        <w:t xml:space="preserve"> </w:t>
      </w:r>
      <w:r w:rsidRPr="006A1BC3">
        <w:rPr>
          <w:rFonts w:asciiTheme="majorHAnsi" w:hAnsiTheme="majorHAnsi"/>
          <w:sz w:val="20"/>
        </w:rPr>
        <w:t>Richard</w:t>
      </w:r>
      <w:r w:rsidRPr="006A1BC3">
        <w:rPr>
          <w:rFonts w:asciiTheme="majorHAnsi" w:hAnsiTheme="majorHAnsi"/>
          <w:spacing w:val="-2"/>
          <w:sz w:val="20"/>
        </w:rPr>
        <w:t xml:space="preserve"> </w:t>
      </w:r>
      <w:r w:rsidRPr="006A1BC3">
        <w:rPr>
          <w:rFonts w:asciiTheme="majorHAnsi" w:hAnsiTheme="majorHAnsi"/>
          <w:sz w:val="20"/>
        </w:rPr>
        <w:t>Valliant,</w:t>
      </w:r>
      <w:r w:rsidRPr="006A1BC3">
        <w:rPr>
          <w:rFonts w:asciiTheme="majorHAnsi" w:hAnsiTheme="majorHAnsi"/>
          <w:spacing w:val="-2"/>
          <w:sz w:val="20"/>
        </w:rPr>
        <w:t xml:space="preserve"> </w:t>
      </w:r>
      <w:r w:rsidRPr="006A1BC3">
        <w:rPr>
          <w:rFonts w:asciiTheme="majorHAnsi" w:hAnsiTheme="majorHAnsi"/>
          <w:sz w:val="20"/>
        </w:rPr>
        <w:t>“Statistical</w:t>
      </w:r>
      <w:r w:rsidRPr="006A1BC3">
        <w:rPr>
          <w:rFonts w:asciiTheme="majorHAnsi" w:hAnsiTheme="majorHAnsi"/>
          <w:spacing w:val="-1"/>
          <w:sz w:val="20"/>
        </w:rPr>
        <w:t xml:space="preserve"> </w:t>
      </w:r>
      <w:r w:rsidRPr="006A1BC3">
        <w:rPr>
          <w:rFonts w:asciiTheme="majorHAnsi" w:hAnsiTheme="majorHAnsi"/>
          <w:sz w:val="20"/>
        </w:rPr>
        <w:t>Assessment</w:t>
      </w:r>
      <w:r w:rsidRPr="006A1BC3">
        <w:rPr>
          <w:rFonts w:asciiTheme="majorHAnsi" w:hAnsiTheme="majorHAnsi"/>
          <w:spacing w:val="-3"/>
          <w:sz w:val="20"/>
        </w:rPr>
        <w:t xml:space="preserve"> </w:t>
      </w:r>
      <w:r w:rsidRPr="006A1BC3">
        <w:rPr>
          <w:rFonts w:asciiTheme="majorHAnsi" w:hAnsiTheme="majorHAnsi"/>
          <w:sz w:val="20"/>
        </w:rPr>
        <w:t>of</w:t>
      </w:r>
      <w:r w:rsidRPr="006A1BC3">
        <w:rPr>
          <w:rFonts w:asciiTheme="majorHAnsi" w:hAnsiTheme="majorHAnsi"/>
          <w:spacing w:val="-5"/>
          <w:sz w:val="20"/>
        </w:rPr>
        <w:t xml:space="preserve"> </w:t>
      </w:r>
      <w:r w:rsidRPr="006A1BC3">
        <w:rPr>
          <w:rFonts w:asciiTheme="majorHAnsi" w:hAnsiTheme="majorHAnsi"/>
          <w:sz w:val="20"/>
        </w:rPr>
        <w:t>the</w:t>
      </w:r>
      <w:r w:rsidRPr="006A1BC3">
        <w:rPr>
          <w:rFonts w:asciiTheme="majorHAnsi" w:hAnsiTheme="majorHAnsi"/>
          <w:spacing w:val="-3"/>
          <w:sz w:val="20"/>
        </w:rPr>
        <w:t xml:space="preserve"> </w:t>
      </w:r>
      <w:r w:rsidRPr="006A1BC3">
        <w:rPr>
          <w:rFonts w:asciiTheme="majorHAnsi" w:hAnsiTheme="majorHAnsi"/>
          <w:sz w:val="20"/>
        </w:rPr>
        <w:t>NEISS</w:t>
      </w:r>
      <w:r w:rsidRPr="006A1BC3">
        <w:rPr>
          <w:rFonts w:asciiTheme="majorHAnsi" w:hAnsiTheme="majorHAnsi"/>
          <w:spacing w:val="-3"/>
          <w:sz w:val="20"/>
        </w:rPr>
        <w:t xml:space="preserve"> </w:t>
      </w:r>
      <w:r w:rsidRPr="006A1BC3">
        <w:rPr>
          <w:rFonts w:asciiTheme="majorHAnsi" w:hAnsiTheme="majorHAnsi"/>
          <w:sz w:val="20"/>
        </w:rPr>
        <w:t>and NEISS-AIP Samples: Final Technical Report,” Westat Inc., September 24, 2020.</w:t>
      </w:r>
    </w:p>
    <w:p w:rsidR="0089145B" w:rsidRPr="006A1BC3" w14:paraId="0119D6F2" w14:textId="3124991A">
      <w:pPr>
        <w:pStyle w:val="FootnoteText"/>
        <w:rPr>
          <w:rFonts w:asciiTheme="majorHAnsi" w:hAnsiTheme="majorHAnsi"/>
        </w:rPr>
      </w:pPr>
    </w:p>
  </w:footnote>
  <w:footnote w:id="4">
    <w:p w:rsidR="00D855E7" w14:paraId="10D65BEB" w14:textId="6A0F876B">
      <w:pPr>
        <w:pStyle w:val="FootnoteText"/>
      </w:pPr>
      <w:r w:rsidRPr="006A1BC3">
        <w:rPr>
          <w:rStyle w:val="FootnoteReference"/>
          <w:rFonts w:asciiTheme="majorHAnsi" w:hAnsiTheme="majorHAnsi"/>
        </w:rPr>
        <w:footnoteRef/>
      </w:r>
      <w:r w:rsidRPr="006A1BC3">
        <w:rPr>
          <w:rFonts w:asciiTheme="majorHAnsi" w:hAnsiTheme="majorHAnsi"/>
        </w:rPr>
        <w:t xml:space="preserve"> J.</w:t>
      </w:r>
      <w:r w:rsidRPr="006A1BC3">
        <w:rPr>
          <w:rFonts w:asciiTheme="majorHAnsi" w:hAnsiTheme="majorHAnsi"/>
          <w:spacing w:val="-6"/>
        </w:rPr>
        <w:t xml:space="preserve"> </w:t>
      </w:r>
      <w:r w:rsidRPr="006A1BC3">
        <w:rPr>
          <w:rFonts w:asciiTheme="majorHAnsi" w:hAnsiTheme="majorHAnsi"/>
        </w:rPr>
        <w:t>Michael</w:t>
      </w:r>
      <w:r w:rsidRPr="006A1BC3">
        <w:rPr>
          <w:rFonts w:asciiTheme="majorHAnsi" w:hAnsiTheme="majorHAnsi"/>
          <w:spacing w:val="-4"/>
        </w:rPr>
        <w:t xml:space="preserve"> </w:t>
      </w:r>
      <w:r w:rsidRPr="006A1BC3">
        <w:rPr>
          <w:rFonts w:asciiTheme="majorHAnsi" w:hAnsiTheme="majorHAnsi"/>
        </w:rPr>
        <w:t>Brick,</w:t>
      </w:r>
      <w:r w:rsidRPr="006A1BC3">
        <w:rPr>
          <w:rFonts w:asciiTheme="majorHAnsi" w:hAnsiTheme="majorHAnsi"/>
          <w:spacing w:val="-3"/>
        </w:rPr>
        <w:t xml:space="preserve"> </w:t>
      </w:r>
      <w:r w:rsidRPr="006A1BC3">
        <w:rPr>
          <w:rFonts w:asciiTheme="majorHAnsi" w:hAnsiTheme="majorHAnsi"/>
        </w:rPr>
        <w:t>David</w:t>
      </w:r>
      <w:r w:rsidRPr="006A1BC3">
        <w:rPr>
          <w:rFonts w:asciiTheme="majorHAnsi" w:hAnsiTheme="majorHAnsi"/>
          <w:spacing w:val="-3"/>
        </w:rPr>
        <w:t xml:space="preserve"> </w:t>
      </w:r>
      <w:r w:rsidRPr="006A1BC3">
        <w:rPr>
          <w:rFonts w:asciiTheme="majorHAnsi" w:hAnsiTheme="majorHAnsi"/>
        </w:rPr>
        <w:t>R.</w:t>
      </w:r>
      <w:r w:rsidRPr="006A1BC3">
        <w:rPr>
          <w:rFonts w:asciiTheme="majorHAnsi" w:hAnsiTheme="majorHAnsi"/>
          <w:spacing w:val="-3"/>
        </w:rPr>
        <w:t xml:space="preserve"> </w:t>
      </w:r>
      <w:r w:rsidRPr="006A1BC3">
        <w:rPr>
          <w:rFonts w:asciiTheme="majorHAnsi" w:hAnsiTheme="majorHAnsi"/>
        </w:rPr>
        <w:t>Morganstein,</w:t>
      </w:r>
      <w:r w:rsidRPr="006A1BC3">
        <w:rPr>
          <w:rFonts w:asciiTheme="majorHAnsi" w:hAnsiTheme="majorHAnsi"/>
          <w:spacing w:val="-1"/>
        </w:rPr>
        <w:t xml:space="preserve"> </w:t>
      </w:r>
      <w:r w:rsidRPr="006A1BC3">
        <w:rPr>
          <w:rFonts w:asciiTheme="majorHAnsi" w:hAnsiTheme="majorHAnsi"/>
        </w:rPr>
        <w:t>Charles,</w:t>
      </w:r>
      <w:r w:rsidRPr="006A1BC3">
        <w:rPr>
          <w:rFonts w:asciiTheme="majorHAnsi" w:hAnsiTheme="majorHAnsi"/>
          <w:spacing w:val="-3"/>
        </w:rPr>
        <w:t xml:space="preserve"> </w:t>
      </w:r>
      <w:r w:rsidRPr="006A1BC3">
        <w:rPr>
          <w:rFonts w:asciiTheme="majorHAnsi" w:hAnsiTheme="majorHAnsi"/>
        </w:rPr>
        <w:t>L.</w:t>
      </w:r>
      <w:r w:rsidRPr="006A1BC3">
        <w:rPr>
          <w:rFonts w:asciiTheme="majorHAnsi" w:hAnsiTheme="majorHAnsi"/>
          <w:spacing w:val="-3"/>
        </w:rPr>
        <w:t xml:space="preserve"> </w:t>
      </w:r>
      <w:r w:rsidRPr="006A1BC3">
        <w:rPr>
          <w:rFonts w:asciiTheme="majorHAnsi" w:hAnsiTheme="majorHAnsi"/>
        </w:rPr>
        <w:t>Wolter,</w:t>
      </w:r>
      <w:r w:rsidRPr="006A1BC3">
        <w:rPr>
          <w:rFonts w:asciiTheme="majorHAnsi" w:hAnsiTheme="majorHAnsi"/>
          <w:spacing w:val="-3"/>
        </w:rPr>
        <w:t xml:space="preserve"> </w:t>
      </w:r>
      <w:r w:rsidRPr="006A1BC3">
        <w:rPr>
          <w:rFonts w:asciiTheme="majorHAnsi" w:hAnsiTheme="majorHAnsi"/>
        </w:rPr>
        <w:t>“Additional</w:t>
      </w:r>
      <w:r w:rsidRPr="006A1BC3">
        <w:rPr>
          <w:rFonts w:asciiTheme="majorHAnsi" w:hAnsiTheme="majorHAnsi"/>
          <w:spacing w:val="-4"/>
        </w:rPr>
        <w:t xml:space="preserve"> </w:t>
      </w:r>
      <w:r w:rsidRPr="006A1BC3">
        <w:rPr>
          <w:rFonts w:asciiTheme="majorHAnsi" w:hAnsiTheme="majorHAnsi"/>
        </w:rPr>
        <w:t>Uses</w:t>
      </w:r>
      <w:r w:rsidRPr="006A1BC3">
        <w:rPr>
          <w:rFonts w:asciiTheme="majorHAnsi" w:hAnsiTheme="majorHAnsi"/>
          <w:spacing w:val="-5"/>
        </w:rPr>
        <w:t xml:space="preserve"> </w:t>
      </w:r>
      <w:r w:rsidRPr="006A1BC3">
        <w:rPr>
          <w:rFonts w:asciiTheme="majorHAnsi" w:hAnsiTheme="majorHAnsi"/>
        </w:rPr>
        <w:t>for</w:t>
      </w:r>
      <w:r w:rsidRPr="006A1BC3">
        <w:rPr>
          <w:rFonts w:asciiTheme="majorHAnsi" w:hAnsiTheme="majorHAnsi"/>
          <w:spacing w:val="-3"/>
        </w:rPr>
        <w:t xml:space="preserve"> </w:t>
      </w:r>
      <w:r w:rsidRPr="006A1BC3">
        <w:rPr>
          <w:rFonts w:asciiTheme="majorHAnsi" w:hAnsiTheme="majorHAnsi"/>
        </w:rPr>
        <w:t>Keyfitz</w:t>
      </w:r>
      <w:r w:rsidRPr="006A1BC3">
        <w:rPr>
          <w:rFonts w:asciiTheme="majorHAnsi" w:hAnsiTheme="majorHAnsi"/>
          <w:spacing w:val="-4"/>
        </w:rPr>
        <w:t xml:space="preserve"> </w:t>
      </w:r>
      <w:r w:rsidRPr="006A1BC3">
        <w:rPr>
          <w:rFonts w:asciiTheme="majorHAnsi" w:hAnsiTheme="majorHAnsi"/>
        </w:rPr>
        <w:t xml:space="preserve">Selection,” Westat Inc., 1987. </w:t>
      </w:r>
      <w:hyperlink r:id="rId1">
        <w:r w:rsidRPr="006A1BC3">
          <w:rPr>
            <w:rFonts w:asciiTheme="majorHAnsi" w:hAnsiTheme="majorHAnsi"/>
          </w:rPr>
          <w:t>(http://www.asasrms.org/Proceedings/papers/1987_140.pdf).</w:t>
        </w:r>
      </w:hyperlink>
    </w:p>
  </w:footnote>
  <w:footnote w:id="5">
    <w:p w:rsidR="004B38E7" w14:paraId="4EFFC0E8" w14:textId="67946BA9">
      <w:pPr>
        <w:pStyle w:val="FootnoteText"/>
      </w:pPr>
      <w:r>
        <w:rPr>
          <w:rStyle w:val="FootnoteReference"/>
        </w:rPr>
        <w:footnoteRef/>
      </w:r>
      <w:r>
        <w:t xml:space="preserve"> </w:t>
      </w:r>
      <w:hyperlink r:id="rId2" w:history="1">
        <w:r>
          <w:rPr>
            <w:rStyle w:val="Hyperlink"/>
          </w:rPr>
          <w:t>spd15revision.gov</w:t>
        </w:r>
      </w:hyperlink>
    </w:p>
  </w:footnote>
  <w:footnote w:id="6">
    <w:p w:rsidR="005327DC" w:rsidRPr="006A1BC3" w:rsidP="005327DC" w14:paraId="6DE362EF" w14:textId="300065AD">
      <w:pPr>
        <w:spacing w:before="36"/>
        <w:ind w:left="119" w:right="814"/>
        <w:rPr>
          <w:rFonts w:asciiTheme="majorHAnsi" w:hAnsiTheme="majorHAnsi"/>
          <w:sz w:val="20"/>
        </w:rPr>
      </w:pPr>
      <w:r>
        <w:rPr>
          <w:rStyle w:val="FootnoteReference"/>
        </w:rPr>
        <w:footnoteRef/>
      </w:r>
      <w:r>
        <w:t xml:space="preserve"> </w:t>
      </w:r>
      <w:r w:rsidRPr="006A1BC3">
        <w:rPr>
          <w:rFonts w:asciiTheme="majorHAnsi" w:hAnsiTheme="majorHAnsi"/>
          <w:sz w:val="20"/>
        </w:rPr>
        <w:t>U.S.</w:t>
      </w:r>
      <w:r w:rsidRPr="006A1BC3">
        <w:rPr>
          <w:rFonts w:asciiTheme="majorHAnsi" w:hAnsiTheme="majorHAnsi"/>
          <w:spacing w:val="-4"/>
          <w:sz w:val="20"/>
        </w:rPr>
        <w:t xml:space="preserve"> </w:t>
      </w:r>
      <w:r w:rsidRPr="006A1BC3">
        <w:rPr>
          <w:rFonts w:asciiTheme="majorHAnsi" w:hAnsiTheme="majorHAnsi"/>
          <w:sz w:val="20"/>
        </w:rPr>
        <w:t>Bureau</w:t>
      </w:r>
      <w:r w:rsidRPr="006A1BC3">
        <w:rPr>
          <w:rFonts w:asciiTheme="majorHAnsi" w:hAnsiTheme="majorHAnsi"/>
          <w:spacing w:val="-4"/>
          <w:sz w:val="20"/>
        </w:rPr>
        <w:t xml:space="preserve"> </w:t>
      </w:r>
      <w:r w:rsidRPr="006A1BC3">
        <w:rPr>
          <w:rFonts w:asciiTheme="majorHAnsi" w:hAnsiTheme="majorHAnsi"/>
          <w:sz w:val="20"/>
        </w:rPr>
        <w:t>of</w:t>
      </w:r>
      <w:r w:rsidRPr="006A1BC3">
        <w:rPr>
          <w:rFonts w:asciiTheme="majorHAnsi" w:hAnsiTheme="majorHAnsi"/>
          <w:spacing w:val="-5"/>
          <w:sz w:val="20"/>
        </w:rPr>
        <w:t xml:space="preserve"> </w:t>
      </w:r>
      <w:r w:rsidRPr="006A1BC3">
        <w:rPr>
          <w:rFonts w:asciiTheme="majorHAnsi" w:hAnsiTheme="majorHAnsi"/>
          <w:sz w:val="20"/>
        </w:rPr>
        <w:t>Labor</w:t>
      </w:r>
      <w:r w:rsidRPr="006A1BC3">
        <w:rPr>
          <w:rFonts w:asciiTheme="majorHAnsi" w:hAnsiTheme="majorHAnsi"/>
          <w:spacing w:val="-2"/>
          <w:sz w:val="20"/>
        </w:rPr>
        <w:t xml:space="preserve"> </w:t>
      </w:r>
      <w:r w:rsidRPr="006A1BC3">
        <w:rPr>
          <w:rFonts w:asciiTheme="majorHAnsi" w:hAnsiTheme="majorHAnsi"/>
          <w:sz w:val="20"/>
        </w:rPr>
        <w:t>Statistics,</w:t>
      </w:r>
      <w:r w:rsidRPr="006A1BC3">
        <w:rPr>
          <w:rFonts w:asciiTheme="majorHAnsi" w:hAnsiTheme="majorHAnsi"/>
          <w:spacing w:val="-2"/>
          <w:sz w:val="20"/>
        </w:rPr>
        <w:t xml:space="preserve"> </w:t>
      </w:r>
      <w:r w:rsidRPr="006A1BC3">
        <w:rPr>
          <w:rFonts w:asciiTheme="majorHAnsi" w:hAnsiTheme="majorHAnsi"/>
          <w:sz w:val="20"/>
        </w:rPr>
        <w:t>“Employer</w:t>
      </w:r>
      <w:r w:rsidRPr="006A1BC3">
        <w:rPr>
          <w:rFonts w:asciiTheme="majorHAnsi" w:hAnsiTheme="majorHAnsi"/>
          <w:spacing w:val="-2"/>
          <w:sz w:val="20"/>
        </w:rPr>
        <w:t xml:space="preserve"> </w:t>
      </w:r>
      <w:r w:rsidRPr="006A1BC3">
        <w:rPr>
          <w:rFonts w:asciiTheme="majorHAnsi" w:hAnsiTheme="majorHAnsi"/>
          <w:sz w:val="20"/>
        </w:rPr>
        <w:t>Costs</w:t>
      </w:r>
      <w:r w:rsidRPr="006A1BC3">
        <w:rPr>
          <w:rFonts w:asciiTheme="majorHAnsi" w:hAnsiTheme="majorHAnsi"/>
          <w:spacing w:val="-4"/>
          <w:sz w:val="20"/>
        </w:rPr>
        <w:t xml:space="preserve"> </w:t>
      </w:r>
      <w:r w:rsidRPr="006A1BC3">
        <w:rPr>
          <w:rFonts w:asciiTheme="majorHAnsi" w:hAnsiTheme="majorHAnsi"/>
          <w:sz w:val="20"/>
        </w:rPr>
        <w:t>for</w:t>
      </w:r>
      <w:r w:rsidRPr="006A1BC3">
        <w:rPr>
          <w:rFonts w:asciiTheme="majorHAnsi" w:hAnsiTheme="majorHAnsi"/>
          <w:spacing w:val="-2"/>
          <w:sz w:val="20"/>
        </w:rPr>
        <w:t xml:space="preserve"> </w:t>
      </w:r>
      <w:r w:rsidRPr="006A1BC3">
        <w:rPr>
          <w:rFonts w:asciiTheme="majorHAnsi" w:hAnsiTheme="majorHAnsi"/>
          <w:sz w:val="20"/>
        </w:rPr>
        <w:t>Employee Compensation,”</w:t>
      </w:r>
      <w:r w:rsidRPr="006A1BC3">
        <w:rPr>
          <w:rFonts w:asciiTheme="majorHAnsi" w:hAnsiTheme="majorHAnsi"/>
          <w:spacing w:val="-3"/>
          <w:sz w:val="20"/>
        </w:rPr>
        <w:t xml:space="preserve"> </w:t>
      </w:r>
      <w:r w:rsidR="00A0299B">
        <w:rPr>
          <w:rFonts w:asciiTheme="majorHAnsi" w:hAnsiTheme="majorHAnsi"/>
          <w:spacing w:val="-3"/>
          <w:sz w:val="20"/>
        </w:rPr>
        <w:t>S</w:t>
      </w:r>
      <w:r w:rsidR="00FD1B44">
        <w:rPr>
          <w:rFonts w:asciiTheme="majorHAnsi" w:hAnsiTheme="majorHAnsi"/>
          <w:spacing w:val="-3"/>
          <w:sz w:val="20"/>
        </w:rPr>
        <w:t>eptember</w:t>
      </w:r>
      <w:r w:rsidRPr="006A1BC3" w:rsidR="00A0299B">
        <w:rPr>
          <w:rFonts w:asciiTheme="majorHAnsi" w:hAnsiTheme="majorHAnsi"/>
          <w:spacing w:val="-3"/>
          <w:sz w:val="20"/>
        </w:rPr>
        <w:t xml:space="preserve"> </w:t>
      </w:r>
      <w:r w:rsidRPr="006A1BC3">
        <w:rPr>
          <w:rFonts w:asciiTheme="majorHAnsi" w:hAnsiTheme="majorHAnsi"/>
          <w:spacing w:val="-3"/>
          <w:sz w:val="20"/>
        </w:rPr>
        <w:t>2024</w:t>
      </w:r>
      <w:r w:rsidRPr="006A1BC3">
        <w:rPr>
          <w:rFonts w:asciiTheme="majorHAnsi" w:hAnsiTheme="majorHAnsi"/>
          <w:sz w:val="20"/>
        </w:rPr>
        <w:t>,</w:t>
      </w:r>
      <w:r w:rsidRPr="006A1BC3">
        <w:rPr>
          <w:rFonts w:asciiTheme="majorHAnsi" w:hAnsiTheme="majorHAnsi"/>
          <w:spacing w:val="-5"/>
          <w:sz w:val="20"/>
        </w:rPr>
        <w:t xml:space="preserve"> </w:t>
      </w:r>
      <w:r w:rsidRPr="006A1BC3">
        <w:rPr>
          <w:rFonts w:asciiTheme="majorHAnsi" w:hAnsiTheme="majorHAnsi"/>
          <w:sz w:val="20"/>
        </w:rPr>
        <w:t>Table</w:t>
      </w:r>
      <w:r w:rsidRPr="006A1BC3">
        <w:rPr>
          <w:rFonts w:asciiTheme="majorHAnsi" w:hAnsiTheme="majorHAnsi"/>
          <w:spacing w:val="-3"/>
          <w:sz w:val="20"/>
        </w:rPr>
        <w:t xml:space="preserve"> </w:t>
      </w:r>
      <w:r w:rsidR="00FD1B44">
        <w:rPr>
          <w:rFonts w:asciiTheme="majorHAnsi" w:hAnsiTheme="majorHAnsi"/>
          <w:sz w:val="20"/>
        </w:rPr>
        <w:t>2</w:t>
      </w:r>
      <w:r w:rsidRPr="006A1BC3">
        <w:rPr>
          <w:rFonts w:asciiTheme="majorHAnsi" w:hAnsiTheme="majorHAnsi"/>
          <w:sz w:val="20"/>
        </w:rPr>
        <w:t xml:space="preserve">) percentage of wages and salaries for all civilian management, professional, and related employees: </w:t>
      </w:r>
      <w:r w:rsidRPr="00241362" w:rsidR="00241362">
        <w:rPr>
          <w:rFonts w:asciiTheme="majorHAnsi" w:hAnsiTheme="majorHAnsi"/>
          <w:sz w:val="20"/>
        </w:rPr>
        <w:t>https://www.bls.gov/news.release/archives/ecec_12172024.htm</w:t>
      </w:r>
      <w:r w:rsidR="00241362">
        <w:rPr>
          <w:rFonts w:asciiTheme="majorHAnsi" w:hAnsiTheme="majorHAnsi"/>
          <w:sz w:val="20"/>
        </w:rPr>
        <w:t>.</w:t>
      </w:r>
    </w:p>
    <w:p w:rsidR="005327DC" w14:paraId="00988047" w14:textId="47576A5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7E3741"/>
    <w:multiLevelType w:val="hybridMultilevel"/>
    <w:tmpl w:val="CB0E6F3E"/>
    <w:lvl w:ilvl="0">
      <w:start w:val="7"/>
      <w:numFmt w:val="decimal"/>
      <w:lvlText w:val="%1."/>
      <w:lvlJc w:val="left"/>
      <w:pPr>
        <w:ind w:left="335" w:hanging="245"/>
      </w:pPr>
      <w:rPr>
        <w:rFonts w:ascii="Cambria" w:eastAsia="Cambria" w:hAnsi="Cambria" w:cs="Cambria" w:hint="default"/>
        <w:b/>
        <w:bCs/>
        <w:i/>
        <w:iCs/>
        <w:spacing w:val="-1"/>
        <w:w w:val="100"/>
        <w:sz w:val="24"/>
        <w:szCs w:val="24"/>
        <w:lang w:val="en-US" w:eastAsia="en-US" w:bidi="ar-SA"/>
      </w:rPr>
    </w:lvl>
    <w:lvl w:ilvl="1">
      <w:start w:val="0"/>
      <w:numFmt w:val="bullet"/>
      <w:lvlText w:val="•"/>
      <w:lvlJc w:val="left"/>
      <w:pPr>
        <w:ind w:left="1283" w:hanging="245"/>
      </w:pPr>
      <w:rPr>
        <w:rFonts w:hint="default"/>
        <w:lang w:val="en-US" w:eastAsia="en-US" w:bidi="ar-SA"/>
      </w:rPr>
    </w:lvl>
    <w:lvl w:ilvl="2">
      <w:start w:val="0"/>
      <w:numFmt w:val="bullet"/>
      <w:lvlText w:val="•"/>
      <w:lvlJc w:val="left"/>
      <w:pPr>
        <w:ind w:left="2231" w:hanging="245"/>
      </w:pPr>
      <w:rPr>
        <w:rFonts w:hint="default"/>
        <w:lang w:val="en-US" w:eastAsia="en-US" w:bidi="ar-SA"/>
      </w:rPr>
    </w:lvl>
    <w:lvl w:ilvl="3">
      <w:start w:val="0"/>
      <w:numFmt w:val="bullet"/>
      <w:lvlText w:val="•"/>
      <w:lvlJc w:val="left"/>
      <w:pPr>
        <w:ind w:left="3179" w:hanging="245"/>
      </w:pPr>
      <w:rPr>
        <w:rFonts w:hint="default"/>
        <w:lang w:val="en-US" w:eastAsia="en-US" w:bidi="ar-SA"/>
      </w:rPr>
    </w:lvl>
    <w:lvl w:ilvl="4">
      <w:start w:val="0"/>
      <w:numFmt w:val="bullet"/>
      <w:lvlText w:val="•"/>
      <w:lvlJc w:val="left"/>
      <w:pPr>
        <w:ind w:left="4127" w:hanging="245"/>
      </w:pPr>
      <w:rPr>
        <w:rFonts w:hint="default"/>
        <w:lang w:val="en-US" w:eastAsia="en-US" w:bidi="ar-SA"/>
      </w:rPr>
    </w:lvl>
    <w:lvl w:ilvl="5">
      <w:start w:val="0"/>
      <w:numFmt w:val="bullet"/>
      <w:lvlText w:val="•"/>
      <w:lvlJc w:val="left"/>
      <w:pPr>
        <w:ind w:left="5075" w:hanging="245"/>
      </w:pPr>
      <w:rPr>
        <w:rFonts w:hint="default"/>
        <w:lang w:val="en-US" w:eastAsia="en-US" w:bidi="ar-SA"/>
      </w:rPr>
    </w:lvl>
    <w:lvl w:ilvl="6">
      <w:start w:val="0"/>
      <w:numFmt w:val="bullet"/>
      <w:lvlText w:val="•"/>
      <w:lvlJc w:val="left"/>
      <w:pPr>
        <w:ind w:left="6023" w:hanging="245"/>
      </w:pPr>
      <w:rPr>
        <w:rFonts w:hint="default"/>
        <w:lang w:val="en-US" w:eastAsia="en-US" w:bidi="ar-SA"/>
      </w:rPr>
    </w:lvl>
    <w:lvl w:ilvl="7">
      <w:start w:val="0"/>
      <w:numFmt w:val="bullet"/>
      <w:lvlText w:val="•"/>
      <w:lvlJc w:val="left"/>
      <w:pPr>
        <w:ind w:left="6971" w:hanging="245"/>
      </w:pPr>
      <w:rPr>
        <w:rFonts w:hint="default"/>
        <w:lang w:val="en-US" w:eastAsia="en-US" w:bidi="ar-SA"/>
      </w:rPr>
    </w:lvl>
    <w:lvl w:ilvl="8">
      <w:start w:val="0"/>
      <w:numFmt w:val="bullet"/>
      <w:lvlText w:val="•"/>
      <w:lvlJc w:val="left"/>
      <w:pPr>
        <w:ind w:left="7919" w:hanging="245"/>
      </w:pPr>
      <w:rPr>
        <w:rFonts w:hint="default"/>
        <w:lang w:val="en-US" w:eastAsia="en-US" w:bidi="ar-SA"/>
      </w:rPr>
    </w:lvl>
  </w:abstractNum>
  <w:abstractNum w:abstractNumId="1">
    <w:nsid w:val="75AD2CCF"/>
    <w:multiLevelType w:val="hybridMultilevel"/>
    <w:tmpl w:val="654453BA"/>
    <w:lvl w:ilvl="0">
      <w:start w:val="1"/>
      <w:numFmt w:val="upperLetter"/>
      <w:lvlText w:val="%1."/>
      <w:lvlJc w:val="left"/>
      <w:pPr>
        <w:ind w:left="384" w:hanging="264"/>
      </w:pPr>
      <w:rPr>
        <w:rFonts w:ascii="Cambria" w:eastAsia="Cambria" w:hAnsi="Cambria" w:cs="Cambria" w:hint="default"/>
        <w:b/>
        <w:bCs/>
        <w:i w:val="0"/>
        <w:iCs w:val="0"/>
        <w:spacing w:val="-1"/>
        <w:w w:val="100"/>
        <w:sz w:val="24"/>
        <w:szCs w:val="24"/>
        <w:lang w:val="en-US" w:eastAsia="en-US" w:bidi="ar-SA"/>
      </w:rPr>
    </w:lvl>
    <w:lvl w:ilvl="1">
      <w:start w:val="1"/>
      <w:numFmt w:val="decimal"/>
      <w:lvlText w:val="%2."/>
      <w:lvlJc w:val="left"/>
      <w:pPr>
        <w:ind w:left="120" w:hanging="236"/>
      </w:pPr>
      <w:rPr>
        <w:rFonts w:hint="default"/>
        <w:spacing w:val="-1"/>
        <w:w w:val="100"/>
        <w:lang w:val="en-US" w:eastAsia="en-US" w:bidi="ar-SA"/>
      </w:rPr>
    </w:lvl>
    <w:lvl w:ilvl="2">
      <w:start w:val="0"/>
      <w:numFmt w:val="bullet"/>
      <w:lvlText w:val="•"/>
      <w:lvlJc w:val="left"/>
      <w:pPr>
        <w:ind w:left="1404" w:hanging="236"/>
      </w:pPr>
      <w:rPr>
        <w:rFonts w:hint="default"/>
        <w:lang w:val="en-US" w:eastAsia="en-US" w:bidi="ar-SA"/>
      </w:rPr>
    </w:lvl>
    <w:lvl w:ilvl="3">
      <w:start w:val="0"/>
      <w:numFmt w:val="bullet"/>
      <w:lvlText w:val="•"/>
      <w:lvlJc w:val="left"/>
      <w:pPr>
        <w:ind w:left="2428" w:hanging="236"/>
      </w:pPr>
      <w:rPr>
        <w:rFonts w:hint="default"/>
        <w:lang w:val="en-US" w:eastAsia="en-US" w:bidi="ar-SA"/>
      </w:rPr>
    </w:lvl>
    <w:lvl w:ilvl="4">
      <w:start w:val="0"/>
      <w:numFmt w:val="bullet"/>
      <w:lvlText w:val="•"/>
      <w:lvlJc w:val="left"/>
      <w:pPr>
        <w:ind w:left="3453" w:hanging="236"/>
      </w:pPr>
      <w:rPr>
        <w:rFonts w:hint="default"/>
        <w:lang w:val="en-US" w:eastAsia="en-US" w:bidi="ar-SA"/>
      </w:rPr>
    </w:lvl>
    <w:lvl w:ilvl="5">
      <w:start w:val="0"/>
      <w:numFmt w:val="bullet"/>
      <w:lvlText w:val="•"/>
      <w:lvlJc w:val="left"/>
      <w:pPr>
        <w:ind w:left="4477" w:hanging="236"/>
      </w:pPr>
      <w:rPr>
        <w:rFonts w:hint="default"/>
        <w:lang w:val="en-US" w:eastAsia="en-US" w:bidi="ar-SA"/>
      </w:rPr>
    </w:lvl>
    <w:lvl w:ilvl="6">
      <w:start w:val="0"/>
      <w:numFmt w:val="bullet"/>
      <w:lvlText w:val="•"/>
      <w:lvlJc w:val="left"/>
      <w:pPr>
        <w:ind w:left="5502" w:hanging="236"/>
      </w:pPr>
      <w:rPr>
        <w:rFonts w:hint="default"/>
        <w:lang w:val="en-US" w:eastAsia="en-US" w:bidi="ar-SA"/>
      </w:rPr>
    </w:lvl>
    <w:lvl w:ilvl="7">
      <w:start w:val="0"/>
      <w:numFmt w:val="bullet"/>
      <w:lvlText w:val="•"/>
      <w:lvlJc w:val="left"/>
      <w:pPr>
        <w:ind w:left="6526" w:hanging="236"/>
      </w:pPr>
      <w:rPr>
        <w:rFonts w:hint="default"/>
        <w:lang w:val="en-US" w:eastAsia="en-US" w:bidi="ar-SA"/>
      </w:rPr>
    </w:lvl>
    <w:lvl w:ilvl="8">
      <w:start w:val="0"/>
      <w:numFmt w:val="bullet"/>
      <w:lvlText w:val="•"/>
      <w:lvlJc w:val="left"/>
      <w:pPr>
        <w:ind w:left="7551" w:hanging="236"/>
      </w:pPr>
      <w:rPr>
        <w:rFonts w:hint="default"/>
        <w:lang w:val="en-US" w:eastAsia="en-US" w:bidi="ar-SA"/>
      </w:rPr>
    </w:lvl>
  </w:abstractNum>
  <w:abstractNum w:abstractNumId="2">
    <w:nsid w:val="75FD4160"/>
    <w:multiLevelType w:val="hybridMultilevel"/>
    <w:tmpl w:val="618EFD28"/>
    <w:lvl w:ilvl="0">
      <w:start w:val="13"/>
      <w:numFmt w:val="decimal"/>
      <w:lvlText w:val="%1."/>
      <w:lvlJc w:val="left"/>
      <w:pPr>
        <w:ind w:left="501" w:hanging="387"/>
      </w:pPr>
      <w:rPr>
        <w:rFonts w:ascii="Cambria" w:eastAsia="Cambria" w:hAnsi="Cambria" w:cs="Cambria" w:hint="default"/>
        <w:b/>
        <w:bCs/>
        <w:i/>
        <w:iCs/>
        <w:spacing w:val="-1"/>
        <w:w w:val="100"/>
        <w:sz w:val="24"/>
        <w:szCs w:val="24"/>
        <w:lang w:val="en-US" w:eastAsia="en-US" w:bidi="ar-SA"/>
      </w:rPr>
    </w:lvl>
    <w:lvl w:ilvl="1">
      <w:start w:val="0"/>
      <w:numFmt w:val="bullet"/>
      <w:lvlText w:val="•"/>
      <w:lvlJc w:val="left"/>
      <w:pPr>
        <w:ind w:left="1410" w:hanging="387"/>
      </w:pPr>
      <w:rPr>
        <w:rFonts w:hint="default"/>
        <w:lang w:val="en-US" w:eastAsia="en-US" w:bidi="ar-SA"/>
      </w:rPr>
    </w:lvl>
    <w:lvl w:ilvl="2">
      <w:start w:val="0"/>
      <w:numFmt w:val="bullet"/>
      <w:lvlText w:val="•"/>
      <w:lvlJc w:val="left"/>
      <w:pPr>
        <w:ind w:left="2320" w:hanging="387"/>
      </w:pPr>
      <w:rPr>
        <w:rFonts w:hint="default"/>
        <w:lang w:val="en-US" w:eastAsia="en-US" w:bidi="ar-SA"/>
      </w:rPr>
    </w:lvl>
    <w:lvl w:ilvl="3">
      <w:start w:val="0"/>
      <w:numFmt w:val="bullet"/>
      <w:lvlText w:val="•"/>
      <w:lvlJc w:val="left"/>
      <w:pPr>
        <w:ind w:left="3230" w:hanging="387"/>
      </w:pPr>
      <w:rPr>
        <w:rFonts w:hint="default"/>
        <w:lang w:val="en-US" w:eastAsia="en-US" w:bidi="ar-SA"/>
      </w:rPr>
    </w:lvl>
    <w:lvl w:ilvl="4">
      <w:start w:val="0"/>
      <w:numFmt w:val="bullet"/>
      <w:lvlText w:val="•"/>
      <w:lvlJc w:val="left"/>
      <w:pPr>
        <w:ind w:left="4140" w:hanging="387"/>
      </w:pPr>
      <w:rPr>
        <w:rFonts w:hint="default"/>
        <w:lang w:val="en-US" w:eastAsia="en-US" w:bidi="ar-SA"/>
      </w:rPr>
    </w:lvl>
    <w:lvl w:ilvl="5">
      <w:start w:val="0"/>
      <w:numFmt w:val="bullet"/>
      <w:lvlText w:val="•"/>
      <w:lvlJc w:val="left"/>
      <w:pPr>
        <w:ind w:left="5050" w:hanging="387"/>
      </w:pPr>
      <w:rPr>
        <w:rFonts w:hint="default"/>
        <w:lang w:val="en-US" w:eastAsia="en-US" w:bidi="ar-SA"/>
      </w:rPr>
    </w:lvl>
    <w:lvl w:ilvl="6">
      <w:start w:val="0"/>
      <w:numFmt w:val="bullet"/>
      <w:lvlText w:val="•"/>
      <w:lvlJc w:val="left"/>
      <w:pPr>
        <w:ind w:left="5960" w:hanging="387"/>
      </w:pPr>
      <w:rPr>
        <w:rFonts w:hint="default"/>
        <w:lang w:val="en-US" w:eastAsia="en-US" w:bidi="ar-SA"/>
      </w:rPr>
    </w:lvl>
    <w:lvl w:ilvl="7">
      <w:start w:val="0"/>
      <w:numFmt w:val="bullet"/>
      <w:lvlText w:val="•"/>
      <w:lvlJc w:val="left"/>
      <w:pPr>
        <w:ind w:left="6870" w:hanging="387"/>
      </w:pPr>
      <w:rPr>
        <w:rFonts w:hint="default"/>
        <w:lang w:val="en-US" w:eastAsia="en-US" w:bidi="ar-SA"/>
      </w:rPr>
    </w:lvl>
    <w:lvl w:ilvl="8">
      <w:start w:val="0"/>
      <w:numFmt w:val="bullet"/>
      <w:lvlText w:val="•"/>
      <w:lvlJc w:val="left"/>
      <w:pPr>
        <w:ind w:left="7780" w:hanging="387"/>
      </w:pPr>
      <w:rPr>
        <w:rFonts w:hint="default"/>
        <w:lang w:val="en-US" w:eastAsia="en-US" w:bidi="ar-SA"/>
      </w:rPr>
    </w:lvl>
  </w:abstractNum>
  <w:num w:numId="1" w16cid:durableId="947011243">
    <w:abstractNumId w:val="2"/>
  </w:num>
  <w:num w:numId="2" w16cid:durableId="910626247">
    <w:abstractNumId w:val="0"/>
  </w:num>
  <w:num w:numId="3" w16cid:durableId="169387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85"/>
    <w:rsid w:val="00002384"/>
    <w:rsid w:val="0000498D"/>
    <w:rsid w:val="00015915"/>
    <w:rsid w:val="0002456B"/>
    <w:rsid w:val="00027CA5"/>
    <w:rsid w:val="00047166"/>
    <w:rsid w:val="0005303D"/>
    <w:rsid w:val="00063DED"/>
    <w:rsid w:val="0008726A"/>
    <w:rsid w:val="00091E44"/>
    <w:rsid w:val="000A3C6D"/>
    <w:rsid w:val="000B4195"/>
    <w:rsid w:val="000B7069"/>
    <w:rsid w:val="000C7543"/>
    <w:rsid w:val="000C79DC"/>
    <w:rsid w:val="000D1DC6"/>
    <w:rsid w:val="000D7141"/>
    <w:rsid w:val="000D7482"/>
    <w:rsid w:val="000E3238"/>
    <w:rsid w:val="000E58B1"/>
    <w:rsid w:val="000E794D"/>
    <w:rsid w:val="001110D9"/>
    <w:rsid w:val="00111F19"/>
    <w:rsid w:val="0011306B"/>
    <w:rsid w:val="00114CA6"/>
    <w:rsid w:val="00146AF7"/>
    <w:rsid w:val="00152BED"/>
    <w:rsid w:val="00155C59"/>
    <w:rsid w:val="00186A0D"/>
    <w:rsid w:val="00190E39"/>
    <w:rsid w:val="00197CAB"/>
    <w:rsid w:val="001B6D04"/>
    <w:rsid w:val="001C4597"/>
    <w:rsid w:val="001D784E"/>
    <w:rsid w:val="001E0C78"/>
    <w:rsid w:val="001F0B79"/>
    <w:rsid w:val="001F2E70"/>
    <w:rsid w:val="001F31B6"/>
    <w:rsid w:val="00234959"/>
    <w:rsid w:val="00241362"/>
    <w:rsid w:val="002625CD"/>
    <w:rsid w:val="00266226"/>
    <w:rsid w:val="00266A81"/>
    <w:rsid w:val="002940D7"/>
    <w:rsid w:val="002B412D"/>
    <w:rsid w:val="002E51B3"/>
    <w:rsid w:val="002E56A7"/>
    <w:rsid w:val="002E636C"/>
    <w:rsid w:val="002F384A"/>
    <w:rsid w:val="00301010"/>
    <w:rsid w:val="0030201D"/>
    <w:rsid w:val="00307FA9"/>
    <w:rsid w:val="0031619D"/>
    <w:rsid w:val="00327443"/>
    <w:rsid w:val="00371300"/>
    <w:rsid w:val="00372948"/>
    <w:rsid w:val="003875CB"/>
    <w:rsid w:val="00394CEB"/>
    <w:rsid w:val="003B57D9"/>
    <w:rsid w:val="003D650D"/>
    <w:rsid w:val="003E62ED"/>
    <w:rsid w:val="00404256"/>
    <w:rsid w:val="00404AD0"/>
    <w:rsid w:val="0041667D"/>
    <w:rsid w:val="00420722"/>
    <w:rsid w:val="00461902"/>
    <w:rsid w:val="004674DD"/>
    <w:rsid w:val="00471B77"/>
    <w:rsid w:val="00487BED"/>
    <w:rsid w:val="00493546"/>
    <w:rsid w:val="004B38E7"/>
    <w:rsid w:val="004B5F3D"/>
    <w:rsid w:val="00502837"/>
    <w:rsid w:val="00503276"/>
    <w:rsid w:val="00516C9E"/>
    <w:rsid w:val="00521063"/>
    <w:rsid w:val="00527E9F"/>
    <w:rsid w:val="005327DC"/>
    <w:rsid w:val="00533459"/>
    <w:rsid w:val="00592B6A"/>
    <w:rsid w:val="00596012"/>
    <w:rsid w:val="005B3D07"/>
    <w:rsid w:val="005B75E0"/>
    <w:rsid w:val="005E648B"/>
    <w:rsid w:val="005F47E9"/>
    <w:rsid w:val="00610142"/>
    <w:rsid w:val="0063032D"/>
    <w:rsid w:val="00651C8C"/>
    <w:rsid w:val="00656D69"/>
    <w:rsid w:val="00684564"/>
    <w:rsid w:val="00695D24"/>
    <w:rsid w:val="006A0E17"/>
    <w:rsid w:val="006A1BC3"/>
    <w:rsid w:val="006A5F17"/>
    <w:rsid w:val="006B58EE"/>
    <w:rsid w:val="006C3D2B"/>
    <w:rsid w:val="006C7B56"/>
    <w:rsid w:val="006D563F"/>
    <w:rsid w:val="006F1B46"/>
    <w:rsid w:val="007017EF"/>
    <w:rsid w:val="007038A7"/>
    <w:rsid w:val="0073105C"/>
    <w:rsid w:val="007404DC"/>
    <w:rsid w:val="00745B0A"/>
    <w:rsid w:val="007555A2"/>
    <w:rsid w:val="0076115E"/>
    <w:rsid w:val="00780F57"/>
    <w:rsid w:val="007844CA"/>
    <w:rsid w:val="0079572A"/>
    <w:rsid w:val="00796D8E"/>
    <w:rsid w:val="007A75A0"/>
    <w:rsid w:val="007B469F"/>
    <w:rsid w:val="007C07A5"/>
    <w:rsid w:val="007E31F8"/>
    <w:rsid w:val="007F0022"/>
    <w:rsid w:val="00813742"/>
    <w:rsid w:val="00817299"/>
    <w:rsid w:val="00817F60"/>
    <w:rsid w:val="00827B76"/>
    <w:rsid w:val="00845F70"/>
    <w:rsid w:val="00866CAF"/>
    <w:rsid w:val="00871E04"/>
    <w:rsid w:val="0089145B"/>
    <w:rsid w:val="00895B32"/>
    <w:rsid w:val="008A2FE3"/>
    <w:rsid w:val="008B41EF"/>
    <w:rsid w:val="008C124D"/>
    <w:rsid w:val="008C5EC1"/>
    <w:rsid w:val="008D61C9"/>
    <w:rsid w:val="0092011D"/>
    <w:rsid w:val="00923803"/>
    <w:rsid w:val="00932407"/>
    <w:rsid w:val="00946CA7"/>
    <w:rsid w:val="00961667"/>
    <w:rsid w:val="0097270C"/>
    <w:rsid w:val="00977F79"/>
    <w:rsid w:val="00984C59"/>
    <w:rsid w:val="00987AC8"/>
    <w:rsid w:val="00987D2E"/>
    <w:rsid w:val="00990A5E"/>
    <w:rsid w:val="009C1766"/>
    <w:rsid w:val="009C40D4"/>
    <w:rsid w:val="009E5E22"/>
    <w:rsid w:val="009F52E4"/>
    <w:rsid w:val="00A0299B"/>
    <w:rsid w:val="00A30EF3"/>
    <w:rsid w:val="00A550E3"/>
    <w:rsid w:val="00A633FB"/>
    <w:rsid w:val="00A73F93"/>
    <w:rsid w:val="00AB148C"/>
    <w:rsid w:val="00AB61E1"/>
    <w:rsid w:val="00AB6E72"/>
    <w:rsid w:val="00AC447D"/>
    <w:rsid w:val="00AE5847"/>
    <w:rsid w:val="00AE78E4"/>
    <w:rsid w:val="00AE7D21"/>
    <w:rsid w:val="00AF0C3B"/>
    <w:rsid w:val="00AF541C"/>
    <w:rsid w:val="00B27C36"/>
    <w:rsid w:val="00B31C90"/>
    <w:rsid w:val="00B74049"/>
    <w:rsid w:val="00B748FC"/>
    <w:rsid w:val="00B80764"/>
    <w:rsid w:val="00B914EC"/>
    <w:rsid w:val="00B91713"/>
    <w:rsid w:val="00B92F2E"/>
    <w:rsid w:val="00BA35FD"/>
    <w:rsid w:val="00BB2DE8"/>
    <w:rsid w:val="00BB62EC"/>
    <w:rsid w:val="00BB7DBC"/>
    <w:rsid w:val="00BE0AF9"/>
    <w:rsid w:val="00BE2E67"/>
    <w:rsid w:val="00C406F2"/>
    <w:rsid w:val="00C45A88"/>
    <w:rsid w:val="00C87D63"/>
    <w:rsid w:val="00CB46CC"/>
    <w:rsid w:val="00CB78AA"/>
    <w:rsid w:val="00CC68AB"/>
    <w:rsid w:val="00CF0026"/>
    <w:rsid w:val="00CF7EDF"/>
    <w:rsid w:val="00D01968"/>
    <w:rsid w:val="00D01F25"/>
    <w:rsid w:val="00D04661"/>
    <w:rsid w:val="00D067FE"/>
    <w:rsid w:val="00D10FB0"/>
    <w:rsid w:val="00D501D6"/>
    <w:rsid w:val="00D522A4"/>
    <w:rsid w:val="00D53A85"/>
    <w:rsid w:val="00D666ED"/>
    <w:rsid w:val="00D771A2"/>
    <w:rsid w:val="00D855E7"/>
    <w:rsid w:val="00DA5132"/>
    <w:rsid w:val="00DA5B15"/>
    <w:rsid w:val="00DC66BE"/>
    <w:rsid w:val="00DF03A8"/>
    <w:rsid w:val="00DF0A75"/>
    <w:rsid w:val="00DF54C4"/>
    <w:rsid w:val="00E04D6C"/>
    <w:rsid w:val="00E11F4B"/>
    <w:rsid w:val="00E40BA0"/>
    <w:rsid w:val="00E56B66"/>
    <w:rsid w:val="00E5736D"/>
    <w:rsid w:val="00E90292"/>
    <w:rsid w:val="00E947C3"/>
    <w:rsid w:val="00EA3874"/>
    <w:rsid w:val="00EC12AF"/>
    <w:rsid w:val="00EC5959"/>
    <w:rsid w:val="00EE222D"/>
    <w:rsid w:val="00EE4480"/>
    <w:rsid w:val="00EE75C0"/>
    <w:rsid w:val="00EF2667"/>
    <w:rsid w:val="00EF5FF1"/>
    <w:rsid w:val="00EF6EC3"/>
    <w:rsid w:val="00F00B5D"/>
    <w:rsid w:val="00F04017"/>
    <w:rsid w:val="00F0629F"/>
    <w:rsid w:val="00F42E8D"/>
    <w:rsid w:val="00F43AF1"/>
    <w:rsid w:val="00F52D2D"/>
    <w:rsid w:val="00F534FF"/>
    <w:rsid w:val="00F55512"/>
    <w:rsid w:val="00F613E6"/>
    <w:rsid w:val="00F82842"/>
    <w:rsid w:val="00F867AB"/>
    <w:rsid w:val="00F87095"/>
    <w:rsid w:val="00F90797"/>
    <w:rsid w:val="00FA36BB"/>
    <w:rsid w:val="00FA6E0F"/>
    <w:rsid w:val="00FB1F68"/>
    <w:rsid w:val="00FD1B44"/>
    <w:rsid w:val="00FD1FC7"/>
    <w:rsid w:val="00FD26B3"/>
    <w:rsid w:val="00FD2C92"/>
    <w:rsid w:val="00FE47B8"/>
    <w:rsid w:val="00FE4F25"/>
    <w:rsid w:val="00FE6315"/>
    <w:rsid w:val="013A28A1"/>
    <w:rsid w:val="0A60EBD5"/>
    <w:rsid w:val="0F352648"/>
    <w:rsid w:val="1335C8E3"/>
    <w:rsid w:val="1DEB312B"/>
    <w:rsid w:val="2412FC03"/>
    <w:rsid w:val="25123E6B"/>
    <w:rsid w:val="2E4063D1"/>
    <w:rsid w:val="3A2B4BFF"/>
    <w:rsid w:val="3C25C81C"/>
    <w:rsid w:val="3D95CCEE"/>
    <w:rsid w:val="472316AB"/>
    <w:rsid w:val="47EF2E20"/>
    <w:rsid w:val="484430BE"/>
    <w:rsid w:val="4D371DB0"/>
    <w:rsid w:val="4EC1E40E"/>
    <w:rsid w:val="5F006080"/>
    <w:rsid w:val="644DD39C"/>
    <w:rsid w:val="6C0378E0"/>
    <w:rsid w:val="6CB585AF"/>
    <w:rsid w:val="7863EC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950021"/>
  <w15:docId w15:val="{2323359E-16F3-47CB-AB91-0BA1E1C5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069"/>
    <w:rPr>
      <w:rFonts w:ascii="Cambria" w:eastAsia="Cambria" w:hAnsi="Cambria" w:cs="Cambria"/>
    </w:rPr>
  </w:style>
  <w:style w:type="paragraph" w:styleId="Heading1">
    <w:name w:val="heading 1"/>
    <w:basedOn w:val="Normal"/>
    <w:link w:val="Heading1Char"/>
    <w:uiPriority w:val="9"/>
    <w:qFormat/>
    <w:pPr>
      <w:ind w:hanging="262"/>
      <w:outlineLvl w:val="0"/>
    </w:pPr>
    <w:rPr>
      <w:b/>
      <w:bCs/>
      <w:sz w:val="24"/>
      <w:szCs w:val="24"/>
    </w:rPr>
  </w:style>
  <w:style w:type="paragraph" w:styleId="Heading2">
    <w:name w:val="heading 2"/>
    <w:basedOn w:val="Normal"/>
    <w:uiPriority w:val="9"/>
    <w:unhideWhenUsed/>
    <w:qFormat/>
    <w:pPr>
      <w:ind w:left="5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1"/>
    <w:qFormat/>
    <w:pPr>
      <w:ind w:left="500"/>
    </w:pPr>
  </w:style>
  <w:style w:type="paragraph" w:customStyle="1" w:styleId="TableParagraph">
    <w:name w:val="Table Paragraph"/>
    <w:basedOn w:val="Normal"/>
    <w:uiPriority w:val="1"/>
    <w:qFormat/>
    <w:pPr>
      <w:spacing w:line="215" w:lineRule="exact"/>
      <w:ind w:left="117"/>
      <w:jc w:val="center"/>
    </w:pPr>
  </w:style>
  <w:style w:type="paragraph" w:styleId="Revision">
    <w:name w:val="Revision"/>
    <w:hidden/>
    <w:uiPriority w:val="99"/>
    <w:semiHidden/>
    <w:rsid w:val="00155C59"/>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7555A2"/>
    <w:rPr>
      <w:sz w:val="16"/>
      <w:szCs w:val="16"/>
    </w:rPr>
  </w:style>
  <w:style w:type="paragraph" w:styleId="CommentText">
    <w:name w:val="annotation text"/>
    <w:basedOn w:val="Normal"/>
    <w:link w:val="CommentTextChar"/>
    <w:uiPriority w:val="99"/>
    <w:unhideWhenUsed/>
    <w:rsid w:val="007555A2"/>
    <w:rPr>
      <w:sz w:val="20"/>
      <w:szCs w:val="20"/>
    </w:rPr>
  </w:style>
  <w:style w:type="character" w:customStyle="1" w:styleId="CommentTextChar">
    <w:name w:val="Comment Text Char"/>
    <w:basedOn w:val="DefaultParagraphFont"/>
    <w:link w:val="CommentText"/>
    <w:uiPriority w:val="99"/>
    <w:rsid w:val="007555A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7555A2"/>
    <w:rPr>
      <w:b/>
      <w:bCs/>
    </w:rPr>
  </w:style>
  <w:style w:type="character" w:customStyle="1" w:styleId="CommentSubjectChar">
    <w:name w:val="Comment Subject Char"/>
    <w:basedOn w:val="CommentTextChar"/>
    <w:link w:val="CommentSubject"/>
    <w:uiPriority w:val="99"/>
    <w:semiHidden/>
    <w:rsid w:val="007555A2"/>
    <w:rPr>
      <w:rFonts w:ascii="Cambria" w:eastAsia="Cambria" w:hAnsi="Cambria" w:cs="Cambria"/>
      <w:b/>
      <w:bCs/>
      <w:sz w:val="20"/>
      <w:szCs w:val="20"/>
    </w:rPr>
  </w:style>
  <w:style w:type="character" w:styleId="Hyperlink">
    <w:name w:val="Hyperlink"/>
    <w:basedOn w:val="DefaultParagraphFont"/>
    <w:uiPriority w:val="99"/>
    <w:unhideWhenUsed/>
    <w:rsid w:val="00FD26B3"/>
    <w:rPr>
      <w:color w:val="0000FF"/>
      <w:u w:val="single"/>
    </w:rPr>
  </w:style>
  <w:style w:type="character" w:customStyle="1" w:styleId="BodyTextChar">
    <w:name w:val="Body Text Char"/>
    <w:basedOn w:val="DefaultParagraphFont"/>
    <w:link w:val="BodyText"/>
    <w:uiPriority w:val="1"/>
    <w:rsid w:val="0089145B"/>
    <w:rPr>
      <w:rFonts w:ascii="Cambria" w:eastAsia="Cambria" w:hAnsi="Cambria" w:cs="Cambria"/>
      <w:sz w:val="24"/>
      <w:szCs w:val="24"/>
    </w:rPr>
  </w:style>
  <w:style w:type="paragraph" w:styleId="FootnoteText">
    <w:name w:val="footnote text"/>
    <w:basedOn w:val="Normal"/>
    <w:link w:val="FootnoteTextChar"/>
    <w:uiPriority w:val="99"/>
    <w:semiHidden/>
    <w:unhideWhenUsed/>
    <w:rsid w:val="0089145B"/>
    <w:rPr>
      <w:sz w:val="20"/>
      <w:szCs w:val="20"/>
    </w:rPr>
  </w:style>
  <w:style w:type="character" w:customStyle="1" w:styleId="FootnoteTextChar">
    <w:name w:val="Footnote Text Char"/>
    <w:basedOn w:val="DefaultParagraphFont"/>
    <w:link w:val="FootnoteText"/>
    <w:uiPriority w:val="99"/>
    <w:semiHidden/>
    <w:rsid w:val="0089145B"/>
    <w:rPr>
      <w:rFonts w:ascii="Cambria" w:eastAsia="Cambria" w:hAnsi="Cambria" w:cs="Cambria"/>
      <w:sz w:val="20"/>
      <w:szCs w:val="20"/>
    </w:rPr>
  </w:style>
  <w:style w:type="character" w:styleId="FootnoteReference">
    <w:name w:val="footnote reference"/>
    <w:basedOn w:val="DefaultParagraphFont"/>
    <w:uiPriority w:val="99"/>
    <w:semiHidden/>
    <w:unhideWhenUsed/>
    <w:rsid w:val="0089145B"/>
    <w:rPr>
      <w:vertAlign w:val="superscript"/>
    </w:rPr>
  </w:style>
  <w:style w:type="character" w:customStyle="1" w:styleId="Heading1Char">
    <w:name w:val="Heading 1 Char"/>
    <w:basedOn w:val="DefaultParagraphFont"/>
    <w:link w:val="Heading1"/>
    <w:uiPriority w:val="9"/>
    <w:rsid w:val="000B7069"/>
    <w:rPr>
      <w:rFonts w:ascii="Cambria" w:eastAsia="Cambria" w:hAnsi="Cambria" w:cs="Cambria"/>
      <w:b/>
      <w:bCs/>
      <w:sz w:val="24"/>
      <w:szCs w:val="24"/>
    </w:rPr>
  </w:style>
  <w:style w:type="character" w:styleId="FollowedHyperlink">
    <w:name w:val="FollowedHyperlink"/>
    <w:basedOn w:val="DefaultParagraphFont"/>
    <w:uiPriority w:val="99"/>
    <w:semiHidden/>
    <w:unhideWhenUsed/>
    <w:rsid w:val="00371300"/>
    <w:rPr>
      <w:color w:val="800080" w:themeColor="followedHyperlink"/>
      <w:u w:val="single"/>
    </w:rPr>
  </w:style>
  <w:style w:type="character" w:styleId="UnresolvedMention">
    <w:name w:val="Unresolved Mention"/>
    <w:basedOn w:val="DefaultParagraphFont"/>
    <w:uiPriority w:val="99"/>
    <w:semiHidden/>
    <w:unhideWhenUsed/>
    <w:rsid w:val="00241362"/>
    <w:rPr>
      <w:color w:val="605E5C"/>
      <w:shd w:val="clear" w:color="auto" w:fill="E1DFDD"/>
    </w:rPr>
  </w:style>
  <w:style w:type="paragraph" w:styleId="Header">
    <w:name w:val="header"/>
    <w:basedOn w:val="Normal"/>
    <w:link w:val="HeaderChar"/>
    <w:uiPriority w:val="99"/>
    <w:semiHidden/>
    <w:unhideWhenUsed/>
    <w:rsid w:val="00047166"/>
    <w:pPr>
      <w:tabs>
        <w:tab w:val="center" w:pos="4680"/>
        <w:tab w:val="right" w:pos="9360"/>
      </w:tabs>
    </w:pPr>
  </w:style>
  <w:style w:type="character" w:customStyle="1" w:styleId="HeaderChar">
    <w:name w:val="Header Char"/>
    <w:basedOn w:val="DefaultParagraphFont"/>
    <w:link w:val="Header"/>
    <w:uiPriority w:val="99"/>
    <w:semiHidden/>
    <w:rsid w:val="00047166"/>
    <w:rPr>
      <w:rFonts w:ascii="Cambria" w:eastAsia="Cambria" w:hAnsi="Cambria" w:cs="Cambria"/>
    </w:rPr>
  </w:style>
  <w:style w:type="paragraph" w:styleId="Footer">
    <w:name w:val="footer"/>
    <w:basedOn w:val="Normal"/>
    <w:link w:val="FooterChar"/>
    <w:uiPriority w:val="99"/>
    <w:semiHidden/>
    <w:unhideWhenUsed/>
    <w:rsid w:val="00047166"/>
    <w:pPr>
      <w:tabs>
        <w:tab w:val="center" w:pos="4680"/>
        <w:tab w:val="right" w:pos="9360"/>
      </w:tabs>
    </w:pPr>
  </w:style>
  <w:style w:type="character" w:customStyle="1" w:styleId="FooterChar">
    <w:name w:val="Footer Char"/>
    <w:basedOn w:val="DefaultParagraphFont"/>
    <w:link w:val="Footer"/>
    <w:uiPriority w:val="99"/>
    <w:semiHidden/>
    <w:rsid w:val="0004716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cid:image001.png@01DB7716.FE685D80" TargetMode="External" /><Relationship Id="rId12" Type="http://schemas.openxmlformats.org/officeDocument/2006/relationships/image" Target="media/image2.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asasrms.org/Proceedings/papers/1987_140.pdf)" TargetMode="External" /><Relationship Id="rId2" Type="http://schemas.openxmlformats.org/officeDocument/2006/relationships/hyperlink" Target="https://spd15revision.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87dbbc-a89a-4499-b4ce-0d8d138f1174" xsi:nil="true"/>
    <lcf76f155ced4ddcb4097134ff3c332f xmlns="81d5c1c9-3c8a-41e1-921b-abb7aea3d9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0ACB156F469B4A93A5D430B492853F" ma:contentTypeVersion="12" ma:contentTypeDescription="Create a new document." ma:contentTypeScope="" ma:versionID="928e8d567d54e7cf7aec5a27d1a55b6b">
  <xsd:schema xmlns:xsd="http://www.w3.org/2001/XMLSchema" xmlns:xs="http://www.w3.org/2001/XMLSchema" xmlns:p="http://schemas.microsoft.com/office/2006/metadata/properties" xmlns:ns2="81d5c1c9-3c8a-41e1-921b-abb7aea3d9aa" xmlns:ns3="9287dbbc-a89a-4499-b4ce-0d8d138f1174" targetNamespace="http://schemas.microsoft.com/office/2006/metadata/properties" ma:root="true" ma:fieldsID="b3b891c47f0510e981a283f0d1ea6f8e" ns2:_="" ns3:_="">
    <xsd:import namespace="81d5c1c9-3c8a-41e1-921b-abb7aea3d9aa"/>
    <xsd:import namespace="9287dbbc-a89a-4499-b4ce-0d8d138f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5c1c9-3c8a-41e1-921b-abb7aea3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87dbbc-a89a-4499-b4ce-0d8d138f11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4e7259-5053-4d93-8f7e-f2bb5895ab9d}" ma:internalName="TaxCatchAll" ma:showField="CatchAllData" ma:web="9287dbbc-a89a-4499-b4ce-0d8d138f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C8A41-CE08-4316-8B53-F03C3226FD49}">
  <ds:schemaRefs>
    <ds:schemaRef ds:uri="http://schemas.microsoft.com/office/2006/metadata/properties"/>
    <ds:schemaRef ds:uri="http://schemas.microsoft.com/office/infopath/2007/PartnerControls"/>
    <ds:schemaRef ds:uri="9287dbbc-a89a-4499-b4ce-0d8d138f1174"/>
    <ds:schemaRef ds:uri="81d5c1c9-3c8a-41e1-921b-abb7aea3d9aa"/>
  </ds:schemaRefs>
</ds:datastoreItem>
</file>

<file path=customXml/itemProps2.xml><?xml version="1.0" encoding="utf-8"?>
<ds:datastoreItem xmlns:ds="http://schemas.openxmlformats.org/officeDocument/2006/customXml" ds:itemID="{243FF22A-9E3F-4ED0-98F1-5D69C2B78FBF}">
  <ds:schemaRefs>
    <ds:schemaRef ds:uri="http://schemas.openxmlformats.org/officeDocument/2006/bibliography"/>
  </ds:schemaRefs>
</ds:datastoreItem>
</file>

<file path=customXml/itemProps3.xml><?xml version="1.0" encoding="utf-8"?>
<ds:datastoreItem xmlns:ds="http://schemas.openxmlformats.org/officeDocument/2006/customXml" ds:itemID="{79BF116B-EDA6-4EE9-A9AE-05D5E6A03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5c1c9-3c8a-41e1-921b-abb7aea3d9aa"/>
    <ds:schemaRef ds:uri="9287dbbc-a89a-4499-b4ce-0d8d138f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ADEFF-2274-4BA9-A2BB-07DF67B10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3612</Words>
  <Characters>20594</Characters>
  <Application>Microsoft Office Word</Application>
  <DocSecurity>0</DocSecurity>
  <Lines>171</Lines>
  <Paragraphs>48</Paragraphs>
  <ScaleCrop>false</ScaleCrop>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Thomas</dc:creator>
  <cp:lastModifiedBy>Gillham, Cynthia</cp:lastModifiedBy>
  <cp:revision>4</cp:revision>
  <dcterms:created xsi:type="dcterms:W3CDTF">2025-05-28T16:31:00Z</dcterms:created>
  <dcterms:modified xsi:type="dcterms:W3CDTF">2025-05-28T18:07:00Z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0x010100510ACB156F469B4A93A5D430B492853F</vt:lpwstr>
  </property>
  <property fmtid="{D5CDD505-2E9C-101B-9397-08002B2CF9AE}" pid="3" name="Created">
    <vt:filetime>2022-05-12T00:00:00Z</vt:filetime>
  </property>
  <property fmtid="{D5CDD505-2E9C-101B-9397-08002B2CF9AE}" pid="4" name="Creator">
    <vt:lpwstr>Acrobat PDFMaker 22 for Word</vt:lpwstr>
  </property>
  <property fmtid="{D5CDD505-2E9C-101B-9397-08002B2CF9AE}" pid="5" name="LastSaved">
    <vt:filetime>2025-01-15T00:00:00Z</vt:filetime>
  </property>
  <property fmtid="{D5CDD505-2E9C-101B-9397-08002B2CF9AE}" pid="6" name="MediaServiceImageTags">
    <vt:lpwstr/>
  </property>
  <property fmtid="{D5CDD505-2E9C-101B-9397-08002B2CF9AE}" pid="7" name="Producer">
    <vt:lpwstr>Adobe PDF Library 22.1.149</vt:lpwstr>
  </property>
  <property fmtid="{D5CDD505-2E9C-101B-9397-08002B2CF9AE}" pid="8" name="SourceModified">
    <vt:lpwstr>D:20220512145632</vt:lpwstr>
  </property>
</Properties>
</file>