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842" w:rsidRPr="00670208" w:rsidP="599F85F5" w14:paraId="156BDE4A" w14:textId="795BCB2C">
      <w:pPr>
        <w:widowControl w:val="0"/>
        <w:jc w:val="center"/>
        <w:rPr>
          <w:b/>
          <w:bCs/>
        </w:rPr>
      </w:pPr>
      <w:r w:rsidRPr="00670208">
        <w:rPr>
          <w:b/>
          <w:bCs/>
        </w:rPr>
        <w:t>C</w:t>
      </w:r>
      <w:r w:rsidRPr="00670208" w:rsidR="3E5CD194">
        <w:rPr>
          <w:b/>
          <w:bCs/>
        </w:rPr>
        <w:t xml:space="preserve">orporation for </w:t>
      </w:r>
      <w:r w:rsidRPr="00670208">
        <w:rPr>
          <w:b/>
          <w:bCs/>
        </w:rPr>
        <w:t>N</w:t>
      </w:r>
      <w:r w:rsidRPr="00670208" w:rsidR="12611058">
        <w:rPr>
          <w:b/>
          <w:bCs/>
        </w:rPr>
        <w:t xml:space="preserve">ational and </w:t>
      </w:r>
      <w:r w:rsidRPr="00670208">
        <w:rPr>
          <w:b/>
          <w:bCs/>
        </w:rPr>
        <w:t>C</w:t>
      </w:r>
      <w:r w:rsidRPr="00670208" w:rsidR="3CE18835">
        <w:rPr>
          <w:b/>
          <w:bCs/>
        </w:rPr>
        <w:t xml:space="preserve">ommunity </w:t>
      </w:r>
      <w:r w:rsidRPr="00670208">
        <w:rPr>
          <w:b/>
          <w:bCs/>
        </w:rPr>
        <w:t>S</w:t>
      </w:r>
      <w:r w:rsidRPr="00670208" w:rsidR="6D06C748">
        <w:rPr>
          <w:b/>
          <w:bCs/>
        </w:rPr>
        <w:t>ervice (AmeriCorps)</w:t>
      </w:r>
    </w:p>
    <w:p w:rsidR="00017842" w:rsidRPr="009227B0" w:rsidP="00017842" w14:paraId="54A2380B" w14:textId="74CBAA6F">
      <w:pPr>
        <w:widowControl w:val="0"/>
        <w:jc w:val="center"/>
      </w:pPr>
      <w:r>
        <w:t xml:space="preserve">AmeriCorps Seniors </w:t>
      </w:r>
      <w:r w:rsidR="1F3493E3">
        <w:t>Grant Application</w:t>
      </w:r>
      <w:r w:rsidR="06972EB0">
        <w:t>s, Progress Reporting, Independent Living and Respite Surveys</w:t>
      </w:r>
    </w:p>
    <w:p w:rsidR="00017842" w:rsidRPr="009227B0" w:rsidP="00017842" w14:paraId="0A12A45C" w14:textId="05B27BAC">
      <w:pPr>
        <w:widowControl w:val="0"/>
        <w:jc w:val="center"/>
      </w:pPr>
      <w:r>
        <w:t xml:space="preserve">OMB Control No. </w:t>
      </w:r>
      <w:r w:rsidR="1F3493E3">
        <w:t>3045-0035</w:t>
      </w:r>
    </w:p>
    <w:p w:rsidR="00017842" w:rsidRPr="00436E5C" w:rsidP="00017842" w14:paraId="113F6AEC" w14:textId="77777777">
      <w:pPr>
        <w:widowControl w:val="0"/>
        <w:jc w:val="center"/>
        <w:rPr>
          <w:szCs w:val="22"/>
        </w:rPr>
      </w:pPr>
      <w:r w:rsidRPr="009227B0">
        <w:rPr>
          <w:szCs w:val="22"/>
        </w:rPr>
        <w:t>Justification – Part A Supporting Statement</w:t>
      </w:r>
    </w:p>
    <w:p w:rsidR="00017842" w:rsidP="00017842" w14:paraId="0A37501D" w14:textId="77777777">
      <w:pPr>
        <w:widowControl w:val="0"/>
      </w:pPr>
    </w:p>
    <w:p w:rsidR="00DF379C" w:rsidRPr="00632889" w:rsidP="00670208" w14:paraId="4A27C485" w14:textId="77777777">
      <w:pPr>
        <w:widowControl w:val="0"/>
        <w:tabs>
          <w:tab w:val="left" w:pos="820"/>
          <w:tab w:val="left" w:pos="821"/>
        </w:tabs>
        <w:ind w:right="195"/>
        <w:rPr>
          <w:b/>
          <w:bCs/>
          <w:u w:val="single"/>
        </w:rPr>
      </w:pPr>
      <w:r w:rsidRPr="00632889">
        <w:rPr>
          <w:b/>
          <w:bCs/>
          <w:u w:val="single"/>
        </w:rPr>
        <w:t xml:space="preserve">Overview of Information Collection: </w:t>
      </w:r>
    </w:p>
    <w:p w:rsidR="00670208" w:rsidRPr="00670208" w:rsidP="00670208" w14:paraId="17B9AD50" w14:textId="77777777">
      <w:pPr>
        <w:widowControl w:val="0"/>
        <w:tabs>
          <w:tab w:val="left" w:pos="820"/>
          <w:tab w:val="left" w:pos="821"/>
        </w:tabs>
        <w:ind w:right="195"/>
      </w:pPr>
    </w:p>
    <w:p w:rsidR="00280D88" w:rsidP="00DF379C" w14:paraId="0C3D649C" w14:textId="403E14C6">
      <w:pPr>
        <w:widowControl w:val="0"/>
        <w:tabs>
          <w:tab w:val="left" w:pos="820"/>
          <w:tab w:val="left" w:pos="821"/>
        </w:tabs>
        <w:ind w:right="195"/>
      </w:pPr>
      <w:r w:rsidRPr="00DF379C">
        <w:t>This is a revision to an information collection that consists of the application for AmeriCorps Seniors RSVP grants and Foster Grandparent Program (FGP)</w:t>
      </w:r>
      <w:r w:rsidR="001935E1">
        <w:t>,</w:t>
      </w:r>
      <w:r w:rsidRPr="00DF379C">
        <w:t xml:space="preserve"> Senior Companion Program (SCP)</w:t>
      </w:r>
      <w:r w:rsidR="001935E1">
        <w:t>, and Senior Demonstration Program (SDP)</w:t>
      </w:r>
      <w:r w:rsidRPr="00DF379C">
        <w:t xml:space="preserve"> grants</w:t>
      </w:r>
      <w:r w:rsidR="00BA49E6">
        <w:t xml:space="preserve">; </w:t>
      </w:r>
      <w:r w:rsidRPr="00DF379C">
        <w:t>project progress reports</w:t>
      </w:r>
      <w:r w:rsidR="00BA49E6">
        <w:t xml:space="preserve"> and the progress report supplement (PRS)</w:t>
      </w:r>
      <w:r w:rsidRPr="00DF379C">
        <w:t xml:space="preserve"> for AmeriCorps Seniors grant projects</w:t>
      </w:r>
      <w:r w:rsidR="00BA49E6">
        <w:t>;</w:t>
      </w:r>
      <w:r w:rsidRPr="00DF379C">
        <w:t xml:space="preserve"> and independent living and respite surveys. The information is collected through eGrants. </w:t>
      </w:r>
    </w:p>
    <w:p w:rsidR="00280D88" w:rsidP="00DF379C" w14:paraId="7D70EF25" w14:textId="77777777">
      <w:pPr>
        <w:widowControl w:val="0"/>
        <w:tabs>
          <w:tab w:val="left" w:pos="820"/>
          <w:tab w:val="left" w:pos="821"/>
        </w:tabs>
        <w:ind w:right="195"/>
      </w:pPr>
    </w:p>
    <w:p w:rsidR="764FC8C2" w:rsidP="00DF379C" w14:paraId="592064BD" w14:textId="04390911">
      <w:pPr>
        <w:widowControl w:val="0"/>
        <w:tabs>
          <w:tab w:val="left" w:pos="820"/>
          <w:tab w:val="left" w:pos="821"/>
        </w:tabs>
        <w:ind w:right="195"/>
      </w:pPr>
      <w:r w:rsidRPr="00DF379C">
        <w:t xml:space="preserve">Revisions to the information collection include adjustments to burden hours to reflect actuals collected since the last approval and </w:t>
      </w:r>
      <w:r w:rsidR="003666FB">
        <w:t>revisions to the PRS</w:t>
      </w:r>
      <w:r w:rsidR="00A5615F">
        <w:t xml:space="preserve">. Revisions to the PRS are being made to combine the three separate forms (one for RSVP, one for FGP, and one for SCP) into a single, uniform form in pursuit of Goal 4, effectively steward federal resources, Objective 1, simplify AmeriCorps’ application and administration procedures for grants and projects. </w:t>
      </w:r>
      <w:r w:rsidR="00917DD1">
        <w:t xml:space="preserve"> </w:t>
      </w:r>
      <w:r w:rsidR="00FB1416">
        <w:t xml:space="preserve">In addition, revisions to the PRS are made to: </w:t>
      </w:r>
    </w:p>
    <w:p w:rsidR="00A91C3A" w:rsidP="00917DD1" w14:paraId="1D1670D2" w14:textId="0A15C8FC">
      <w:pPr>
        <w:pStyle w:val="ListParagraph"/>
        <w:widowControl w:val="0"/>
        <w:numPr>
          <w:ilvl w:val="0"/>
          <w:numId w:val="7"/>
        </w:numPr>
        <w:tabs>
          <w:tab w:val="left" w:pos="820"/>
          <w:tab w:val="left" w:pos="821"/>
        </w:tabs>
        <w:ind w:right="195"/>
      </w:pPr>
      <w:r>
        <w:t>Add a new</w:t>
      </w:r>
      <w:r>
        <w:t xml:space="preserve"> the “</w:t>
      </w:r>
      <w:r>
        <w:t>Income</w:t>
      </w:r>
      <w:r>
        <w:t xml:space="preserve">” </w:t>
      </w:r>
      <w:r>
        <w:t xml:space="preserve">section </w:t>
      </w:r>
      <w:r w:rsidR="00C9211D">
        <w:t>to include two questions</w:t>
      </w:r>
      <w:r>
        <w:t>:</w:t>
      </w:r>
    </w:p>
    <w:p w:rsidR="00C9211D" w:rsidP="00C9211D" w14:paraId="3153606A" w14:textId="54ADC0E7">
      <w:pPr>
        <w:pStyle w:val="ListParagraph"/>
        <w:widowControl w:val="0"/>
        <w:numPr>
          <w:ilvl w:val="1"/>
          <w:numId w:val="7"/>
        </w:numPr>
        <w:tabs>
          <w:tab w:val="left" w:pos="820"/>
          <w:tab w:val="left" w:pos="821"/>
        </w:tabs>
        <w:ind w:right="195"/>
      </w:pPr>
      <w:r>
        <w:t xml:space="preserve">The first question requests </w:t>
      </w:r>
      <w:r w:rsidR="00FB1416">
        <w:t>counts</w:t>
      </w:r>
      <w:r>
        <w:t xml:space="preserve"> of volunteers falling into various income brackets based on the combined income of the volunteer </w:t>
      </w:r>
      <w:r w:rsidR="00157C57">
        <w:t xml:space="preserve">and their spouse partner </w:t>
      </w:r>
      <w:r w:rsidR="00157C57">
        <w:rPr>
          <w:b/>
          <w:bCs/>
        </w:rPr>
        <w:t xml:space="preserve">or </w:t>
      </w:r>
      <w:r w:rsidR="00157C57">
        <w:t>an alternate version of the question that requests counts based on the combined income of the volunteer and all the individuals living in their household (AmeriCorps is requesting clearance for both versions of this question but will use only one).</w:t>
      </w:r>
    </w:p>
    <w:p w:rsidR="00157C57" w:rsidP="00C9211D" w14:paraId="755B496E" w14:textId="2D4C9B11">
      <w:pPr>
        <w:pStyle w:val="ListParagraph"/>
        <w:widowControl w:val="0"/>
        <w:numPr>
          <w:ilvl w:val="1"/>
          <w:numId w:val="7"/>
        </w:numPr>
        <w:tabs>
          <w:tab w:val="left" w:pos="820"/>
          <w:tab w:val="left" w:pos="821"/>
        </w:tabs>
        <w:ind w:right="195"/>
      </w:pPr>
      <w:r>
        <w:t xml:space="preserve">The second question requests </w:t>
      </w:r>
      <w:r w:rsidR="007F5F85">
        <w:t>counts</w:t>
      </w:r>
      <w:r w:rsidR="007F5F85">
        <w:t xml:space="preserve"> of volunteers or who live in residences that they or someone in their household own with or without a mortgage, rent, occupy without payment or rent, or </w:t>
      </w:r>
      <w:r w:rsidR="00F54007">
        <w:t xml:space="preserve">unknown. </w:t>
      </w:r>
    </w:p>
    <w:p w:rsidR="00A76C3A" w:rsidP="00917DD1" w14:paraId="55A7CF05" w14:textId="7980D0BA">
      <w:pPr>
        <w:pStyle w:val="ListParagraph"/>
        <w:widowControl w:val="0"/>
        <w:numPr>
          <w:ilvl w:val="0"/>
          <w:numId w:val="7"/>
        </w:numPr>
        <w:tabs>
          <w:tab w:val="left" w:pos="820"/>
          <w:tab w:val="left" w:pos="821"/>
        </w:tabs>
        <w:ind w:right="195"/>
      </w:pPr>
      <w:r>
        <w:t xml:space="preserve">Under the “Service Information” </w:t>
      </w:r>
      <w:r w:rsidR="00F54007">
        <w:t>section</w:t>
      </w:r>
      <w:r>
        <w:t>:</w:t>
      </w:r>
    </w:p>
    <w:p w:rsidR="001F1593" w:rsidP="00CE442F" w14:paraId="00DC745E" w14:textId="77777777">
      <w:pPr>
        <w:pStyle w:val="ListParagraph"/>
        <w:widowControl w:val="0"/>
        <w:numPr>
          <w:ilvl w:val="1"/>
          <w:numId w:val="7"/>
        </w:numPr>
        <w:tabs>
          <w:tab w:val="left" w:pos="820"/>
          <w:tab w:val="left" w:pos="821"/>
        </w:tabs>
        <w:ind w:right="195"/>
      </w:pPr>
      <w:r>
        <w:t>Within “Volunteers”</w:t>
      </w:r>
      <w:r w:rsidR="00DE178A">
        <w:t xml:space="preserve"> </w:t>
      </w:r>
    </w:p>
    <w:p w:rsidR="00A76C3A" w:rsidP="001F1593" w14:paraId="08054A5B" w14:textId="6771104E">
      <w:pPr>
        <w:pStyle w:val="ListParagraph"/>
        <w:widowControl w:val="0"/>
        <w:numPr>
          <w:ilvl w:val="2"/>
          <w:numId w:val="7"/>
        </w:numPr>
        <w:tabs>
          <w:tab w:val="left" w:pos="820"/>
          <w:tab w:val="left" w:pos="821"/>
        </w:tabs>
        <w:ind w:right="195"/>
      </w:pPr>
      <w:r>
        <w:t>T</w:t>
      </w:r>
      <w:r w:rsidR="006A4091">
        <w:t>he PRS is combined to apply to all programs (RSVP, SCP, FGP) rather than having a separate form for each program</w:t>
      </w:r>
      <w:r>
        <w:t>;</w:t>
      </w:r>
    </w:p>
    <w:p w:rsidR="00C51E27" w:rsidP="001F1593" w14:paraId="0C67DAED" w14:textId="77777777">
      <w:pPr>
        <w:pStyle w:val="ListParagraph"/>
        <w:widowControl w:val="0"/>
        <w:numPr>
          <w:ilvl w:val="2"/>
          <w:numId w:val="7"/>
        </w:numPr>
        <w:tabs>
          <w:tab w:val="left" w:pos="820"/>
          <w:tab w:val="left" w:pos="821"/>
        </w:tabs>
        <w:ind w:right="195"/>
      </w:pPr>
      <w:r>
        <w:t>Five questions are deleted</w:t>
      </w:r>
      <w:r w:rsidR="00F70130">
        <w:t xml:space="preserve"> (number of RSVP recruited, number of community volunteers recruited, number of Armed Forces Service members serving as volunteers, number of volunteers </w:t>
      </w:r>
      <w:r>
        <w:t>with a family member actively serving in the military)</w:t>
      </w:r>
    </w:p>
    <w:p w:rsidR="00A64CD1" w:rsidP="001F1593" w14:paraId="402029C5" w14:textId="0BE4701A">
      <w:pPr>
        <w:pStyle w:val="ListParagraph"/>
        <w:widowControl w:val="0"/>
        <w:numPr>
          <w:ilvl w:val="2"/>
          <w:numId w:val="7"/>
        </w:numPr>
        <w:tabs>
          <w:tab w:val="left" w:pos="820"/>
          <w:tab w:val="left" w:pos="821"/>
        </w:tabs>
        <w:ind w:right="195"/>
      </w:pPr>
      <w:r>
        <w:t>One question is added for the total count of volunteers below the 200% state poverty line</w:t>
      </w:r>
    </w:p>
    <w:p w:rsidR="00886D10" w:rsidP="00886D10" w14:paraId="0385FFE5" w14:textId="2DB4AE3F">
      <w:pPr>
        <w:pStyle w:val="ListParagraph"/>
        <w:widowControl w:val="0"/>
        <w:numPr>
          <w:ilvl w:val="1"/>
          <w:numId w:val="7"/>
        </w:numPr>
        <w:tabs>
          <w:tab w:val="left" w:pos="820"/>
          <w:tab w:val="left" w:pos="821"/>
        </w:tabs>
        <w:ind w:right="195"/>
      </w:pPr>
      <w:r>
        <w:t xml:space="preserve">Within </w:t>
      </w:r>
      <w:r w:rsidR="00977DF8">
        <w:t>a new section “For Stipend Programs Only</w:t>
      </w:r>
      <w:r w:rsidR="008B0EFA">
        <w:t>,</w:t>
      </w:r>
      <w:r w:rsidR="00977DF8">
        <w:t>”</w:t>
      </w:r>
      <w:r w:rsidR="008B0EFA">
        <w:t xml:space="preserve"> three questions currently asked on the FGP and SCP forms are moved to this section</w:t>
      </w:r>
      <w:r w:rsidR="00C35643">
        <w:t xml:space="preserve">. </w:t>
      </w:r>
    </w:p>
    <w:p w:rsidR="00694680" w:rsidP="00694680" w14:paraId="6D5AAC25" w14:textId="0C2466E6">
      <w:pPr>
        <w:pStyle w:val="ListParagraph"/>
        <w:widowControl w:val="0"/>
        <w:numPr>
          <w:ilvl w:val="0"/>
          <w:numId w:val="7"/>
        </w:numPr>
        <w:tabs>
          <w:tab w:val="left" w:pos="820"/>
          <w:tab w:val="left" w:pos="821"/>
        </w:tabs>
        <w:ind w:right="195"/>
      </w:pPr>
      <w:r>
        <w:t>The following sections and their questions are deleted:</w:t>
      </w:r>
    </w:p>
    <w:p w:rsidR="0040420A" w:rsidP="0040420A" w14:paraId="7CF07F86" w14:textId="109D97F3">
      <w:pPr>
        <w:pStyle w:val="ListParagraph"/>
        <w:widowControl w:val="0"/>
        <w:numPr>
          <w:ilvl w:val="1"/>
          <w:numId w:val="7"/>
        </w:numPr>
        <w:tabs>
          <w:tab w:val="left" w:pos="820"/>
          <w:tab w:val="left" w:pos="821"/>
        </w:tabs>
        <w:ind w:right="195"/>
      </w:pPr>
      <w:r>
        <w:t>Hours served</w:t>
      </w:r>
    </w:p>
    <w:p w:rsidR="00C708C1" w:rsidP="0040420A" w14:paraId="7001E1AB" w14:textId="3A1BE3EC">
      <w:pPr>
        <w:pStyle w:val="ListParagraph"/>
        <w:widowControl w:val="0"/>
        <w:numPr>
          <w:ilvl w:val="1"/>
          <w:numId w:val="7"/>
        </w:numPr>
        <w:tabs>
          <w:tab w:val="left" w:pos="820"/>
          <w:tab w:val="left" w:pos="821"/>
        </w:tabs>
        <w:ind w:right="195"/>
      </w:pPr>
      <w:r>
        <w:t>Volunteers Separated</w:t>
      </w:r>
    </w:p>
    <w:p w:rsidR="00C708C1" w:rsidP="0040420A" w14:paraId="3416F410" w14:textId="1701E5AE">
      <w:pPr>
        <w:pStyle w:val="ListParagraph"/>
        <w:widowControl w:val="0"/>
        <w:numPr>
          <w:ilvl w:val="1"/>
          <w:numId w:val="7"/>
        </w:numPr>
        <w:tabs>
          <w:tab w:val="left" w:pos="820"/>
          <w:tab w:val="left" w:pos="821"/>
        </w:tabs>
        <w:ind w:right="195"/>
      </w:pPr>
      <w:r>
        <w:t>Volunteer-Client Ratio</w:t>
      </w:r>
    </w:p>
    <w:p w:rsidR="004A44EA" w:rsidP="004A44EA" w14:paraId="28104A88" w14:textId="305AE107">
      <w:pPr>
        <w:pStyle w:val="ListParagraph"/>
        <w:widowControl w:val="0"/>
        <w:numPr>
          <w:ilvl w:val="0"/>
          <w:numId w:val="7"/>
        </w:numPr>
        <w:tabs>
          <w:tab w:val="left" w:pos="820"/>
          <w:tab w:val="left" w:pos="821"/>
        </w:tabs>
        <w:ind w:right="195"/>
      </w:pPr>
      <w:r>
        <w:t>Under the “</w:t>
      </w:r>
      <w:r w:rsidR="00567936">
        <w:t>Client Information</w:t>
      </w:r>
      <w:r>
        <w:t>” tab:</w:t>
      </w:r>
    </w:p>
    <w:p w:rsidR="004A44EA" w:rsidP="004A44EA" w14:paraId="1CF2E7F3" w14:textId="037ACFFA">
      <w:pPr>
        <w:pStyle w:val="ListParagraph"/>
        <w:widowControl w:val="0"/>
        <w:numPr>
          <w:ilvl w:val="1"/>
          <w:numId w:val="7"/>
        </w:numPr>
        <w:tabs>
          <w:tab w:val="left" w:pos="820"/>
          <w:tab w:val="left" w:pos="821"/>
        </w:tabs>
        <w:ind w:right="195"/>
      </w:pPr>
      <w:r>
        <w:t>Deleted the “Age of Clients Served”</w:t>
      </w:r>
    </w:p>
    <w:p w:rsidR="00B86B1A" w:rsidP="004A44EA" w14:paraId="4CCF177B" w14:textId="056CCFFA">
      <w:pPr>
        <w:pStyle w:val="ListParagraph"/>
        <w:widowControl w:val="0"/>
        <w:numPr>
          <w:ilvl w:val="1"/>
          <w:numId w:val="7"/>
        </w:numPr>
        <w:tabs>
          <w:tab w:val="left" w:pos="820"/>
          <w:tab w:val="left" w:pos="821"/>
        </w:tabs>
        <w:ind w:right="195"/>
      </w:pPr>
      <w:r>
        <w:t>Within “Clients Served”</w:t>
      </w:r>
    </w:p>
    <w:p w:rsidR="00B86B1A" w:rsidP="00B86B1A" w14:paraId="7630E564" w14:textId="72238782">
      <w:pPr>
        <w:pStyle w:val="ListParagraph"/>
        <w:widowControl w:val="0"/>
        <w:numPr>
          <w:ilvl w:val="2"/>
          <w:numId w:val="7"/>
        </w:numPr>
        <w:tabs>
          <w:tab w:val="left" w:pos="820"/>
          <w:tab w:val="left" w:pos="821"/>
        </w:tabs>
        <w:ind w:right="195"/>
      </w:pPr>
      <w:r>
        <w:t xml:space="preserve">Deleted </w:t>
      </w:r>
      <w:r w:rsidR="004A6D97">
        <w:t>two</w:t>
      </w:r>
      <w:r>
        <w:t xml:space="preserve"> questions regarding the number of </w:t>
      </w:r>
      <w:r w:rsidR="00284C14">
        <w:t xml:space="preserve">adult </w:t>
      </w:r>
      <w:r w:rsidR="00284C14">
        <w:t>ex offenders</w:t>
      </w:r>
      <w:r w:rsidR="00284C14">
        <w:t xml:space="preserve"> served</w:t>
      </w:r>
      <w:r w:rsidR="004A6D97">
        <w:t xml:space="preserve"> and</w:t>
      </w:r>
      <w:r w:rsidR="00284C14">
        <w:t xml:space="preserve"> total number of immigrants served</w:t>
      </w:r>
      <w:r w:rsidR="007C1DEE">
        <w:t>;</w:t>
      </w:r>
    </w:p>
    <w:p w:rsidR="007C1DEE" w:rsidP="00B86B1A" w14:paraId="58A8081F" w14:textId="0EDD207D">
      <w:pPr>
        <w:pStyle w:val="ListParagraph"/>
        <w:widowControl w:val="0"/>
        <w:numPr>
          <w:ilvl w:val="2"/>
          <w:numId w:val="7"/>
        </w:numPr>
        <w:tabs>
          <w:tab w:val="left" w:pos="820"/>
          <w:tab w:val="left" w:pos="821"/>
        </w:tabs>
        <w:ind w:right="195"/>
      </w:pPr>
      <w:r>
        <w:t>Moved a few questions for logical grouping;</w:t>
      </w:r>
    </w:p>
    <w:p w:rsidR="007C1DEE" w:rsidP="00B86B1A" w14:paraId="6DA47B31" w14:textId="7530EB80">
      <w:pPr>
        <w:pStyle w:val="ListParagraph"/>
        <w:widowControl w:val="0"/>
        <w:numPr>
          <w:ilvl w:val="2"/>
          <w:numId w:val="7"/>
        </w:numPr>
        <w:tabs>
          <w:tab w:val="left" w:pos="820"/>
          <w:tab w:val="left" w:pos="821"/>
        </w:tabs>
        <w:ind w:right="195"/>
      </w:pPr>
      <w:r>
        <w:t xml:space="preserve">Added </w:t>
      </w:r>
      <w:r w:rsidR="00F167A0">
        <w:t>three questions on the number of direct project beneficiaries, direct project beneficiaries in poverty, and percentage of direct project beneficiaries for whom poverty level is known.</w:t>
      </w:r>
    </w:p>
    <w:p w:rsidR="000663E2" w:rsidP="000663E2" w14:paraId="0BFA2810" w14:textId="46958B22">
      <w:pPr>
        <w:pStyle w:val="ListParagraph"/>
        <w:widowControl w:val="0"/>
        <w:numPr>
          <w:ilvl w:val="0"/>
          <w:numId w:val="7"/>
        </w:numPr>
        <w:tabs>
          <w:tab w:val="left" w:pos="820"/>
          <w:tab w:val="left" w:pos="821"/>
        </w:tabs>
        <w:ind w:right="195"/>
      </w:pPr>
      <w:r>
        <w:t>Under the “Station</w:t>
      </w:r>
      <w:r w:rsidR="00F167A0">
        <w:t>s Information” section</w:t>
      </w:r>
      <w:r>
        <w:t>:</w:t>
      </w:r>
    </w:p>
    <w:p w:rsidR="00980919" w:rsidP="003F25F5" w14:paraId="0D3CE3F4" w14:textId="2AF6BFA8">
      <w:pPr>
        <w:pStyle w:val="ListParagraph"/>
        <w:widowControl w:val="0"/>
        <w:numPr>
          <w:ilvl w:val="1"/>
          <w:numId w:val="7"/>
        </w:numPr>
        <w:tabs>
          <w:tab w:val="left" w:pos="820"/>
          <w:tab w:val="left" w:pos="821"/>
        </w:tabs>
        <w:ind w:right="195"/>
      </w:pPr>
      <w:r>
        <w:t>Deleted seven questions on the total number of faith-based stations/volunteers; disaster service stations/volunteers; stations/volunteers supporting Legal Aid or Elder Justice initiatives;</w:t>
      </w:r>
      <w:r w:rsidR="007C7AFF">
        <w:t xml:space="preserve"> </w:t>
      </w:r>
      <w:r w:rsidR="00503351">
        <w:t>stations/volunteers supporting STEAM programs; stations/volunteers supporting evidence-based programs; stations/volunteers supporting prescription drug/opioid abuse prevention initiatives</w:t>
      </w:r>
      <w:r w:rsidR="007C7AFF">
        <w:t>; and s</w:t>
      </w:r>
      <w:r>
        <w:t>tations/volunteers serving to address COVID-19</w:t>
      </w:r>
    </w:p>
    <w:p w:rsidR="00280D88" w:rsidP="007C7AFF" w14:paraId="5C52CB0F" w14:textId="368786E3">
      <w:pPr>
        <w:pStyle w:val="ListParagraph"/>
        <w:widowControl w:val="0"/>
        <w:numPr>
          <w:ilvl w:val="1"/>
          <w:numId w:val="7"/>
        </w:numPr>
        <w:tabs>
          <w:tab w:val="left" w:pos="820"/>
          <w:tab w:val="left" w:pos="821"/>
        </w:tabs>
        <w:ind w:right="195"/>
      </w:pPr>
      <w:r>
        <w:t>Added</w:t>
      </w:r>
      <w:r w:rsidR="007C7AFF">
        <w:t xml:space="preserve"> three questions on</w:t>
      </w:r>
      <w:r>
        <w:t xml:space="preserve"> the total number of stations/volunteers</w:t>
      </w:r>
      <w:r w:rsidR="007C7AFF">
        <w:t>; total volunteer stations that collect data to count the number of direct beneficiaries; and total volunteer stations that do not collect data to count the number of direct beneficiaries in poverty.</w:t>
      </w:r>
    </w:p>
    <w:p w:rsidR="007C7AFF" w:rsidP="007C7AFF" w14:paraId="44A394ED" w14:textId="77777777">
      <w:pPr>
        <w:pStyle w:val="ListParagraph"/>
        <w:widowControl w:val="0"/>
        <w:tabs>
          <w:tab w:val="left" w:pos="820"/>
          <w:tab w:val="left" w:pos="821"/>
        </w:tabs>
        <w:ind w:left="1440" w:right="195"/>
      </w:pPr>
    </w:p>
    <w:p w:rsidR="0077253F" w:rsidP="00651119" w14:paraId="269BC04E" w14:textId="77777777">
      <w:pPr>
        <w:widowControl w:val="0"/>
        <w:tabs>
          <w:tab w:val="left" w:pos="820"/>
          <w:tab w:val="left" w:pos="821"/>
        </w:tabs>
        <w:ind w:right="195"/>
      </w:pPr>
      <w:r>
        <w:t xml:space="preserve">These revisions are requested </w:t>
      </w:r>
      <w:r>
        <w:t>in order to</w:t>
      </w:r>
      <w:r>
        <w:t xml:space="preserve"> allow AmeriCorps to </w:t>
      </w:r>
      <w:r w:rsidR="00D15DAA">
        <w:t xml:space="preserve">examine its performance in meeting strategic goal objectives. </w:t>
      </w:r>
      <w:r w:rsidR="00B748A3">
        <w:rPr>
          <w:i/>
          <w:iCs/>
        </w:rPr>
        <w:t xml:space="preserve">See </w:t>
      </w:r>
      <w:r w:rsidR="00B748A3">
        <w:t xml:space="preserve">AmeriCorps Strategic Plan 2022-2026 at </w:t>
      </w:r>
      <w:hyperlink r:id="rId8" w:history="1">
        <w:r w:rsidRPr="00AF7564" w:rsidR="00B748A3">
          <w:rPr>
            <w:rStyle w:val="Hyperlink"/>
          </w:rPr>
          <w:t>https://americorps.gov/sites/default/files/document/AmeriCorps-Strategic-Plan-2022-2026.pdf</w:t>
        </w:r>
      </w:hyperlink>
      <w:r w:rsidR="00B748A3">
        <w:t xml:space="preserve">. </w:t>
      </w:r>
      <w:r w:rsidR="00153EC0">
        <w:t xml:space="preserve">Specifically, this information will help </w:t>
      </w:r>
      <w:r w:rsidR="00965908">
        <w:t xml:space="preserve">AmeriCorps Seniors determine whether it is </w:t>
      </w:r>
      <w:r w:rsidR="00CF6268">
        <w:t>meet</w:t>
      </w:r>
      <w:r w:rsidR="00965908">
        <w:t>ing</w:t>
      </w:r>
      <w:r>
        <w:t>:</w:t>
      </w:r>
    </w:p>
    <w:p w:rsidR="0077253F" w:rsidP="00651119" w14:paraId="6729AFA4" w14:textId="77777777">
      <w:pPr>
        <w:pStyle w:val="ListParagraph"/>
        <w:widowControl w:val="0"/>
        <w:numPr>
          <w:ilvl w:val="0"/>
          <w:numId w:val="8"/>
        </w:numPr>
        <w:tabs>
          <w:tab w:val="left" w:pos="820"/>
          <w:tab w:val="left" w:pos="821"/>
        </w:tabs>
        <w:ind w:right="195"/>
      </w:pPr>
      <w:r>
        <w:t>Goal 1, Partner with communities to alleviate poverty and advance racial equity, objective 4, prioritize investment in the most underserved individuals and communities</w:t>
      </w:r>
      <w:r>
        <w:t>.</w:t>
      </w:r>
      <w:r w:rsidR="00651119">
        <w:t xml:space="preserve"> Per this objective, our agency goal is for 40% of all those served by AmeriCorps members and AmeriCorps Seniors volunteers are people in poverty. Thus, </w:t>
      </w:r>
      <w:r>
        <w:t>AmeriCorps Seniors</w:t>
      </w:r>
      <w:r w:rsidR="00651119">
        <w:t xml:space="preserve"> need</w:t>
      </w:r>
      <w:r>
        <w:t>s</w:t>
      </w:r>
      <w:r w:rsidR="00651119">
        <w:t xml:space="preserve"> information related to the total number of beneficiaries and those that are in poverty. </w:t>
      </w:r>
    </w:p>
    <w:p w:rsidR="00651119" w:rsidP="00651119" w14:paraId="47CA66A5" w14:textId="48218C6D">
      <w:pPr>
        <w:pStyle w:val="ListParagraph"/>
        <w:widowControl w:val="0"/>
        <w:numPr>
          <w:ilvl w:val="0"/>
          <w:numId w:val="8"/>
        </w:numPr>
        <w:tabs>
          <w:tab w:val="left" w:pos="820"/>
          <w:tab w:val="left" w:pos="821"/>
        </w:tabs>
        <w:ind w:right="195"/>
      </w:pPr>
      <w:r>
        <w:t>Goal 1, Partner with communities to alleviate poverty and advance racial equity, o</w:t>
      </w:r>
      <w:r>
        <w:t>bjective 5: Require a diverse corps of members and volunteers who reflect those we are serving. Per this objective, success is defined if the race, ethnicity, gender, socioeconomic and geographic diversity of members and volunteers progressively reflects the demographic diversity of those we serve. Thus, we need to add question related to a volunteers</w:t>
      </w:r>
      <w:r>
        <w:t>’</w:t>
      </w:r>
      <w:r>
        <w:t xml:space="preserve"> income and socioeconomic status. Questions have been drafted after an extensive literature review by AmeriCorps Seniors staff, in close collaboration with our Office of Research and Evaluation, and through feedback from our grantees.</w:t>
      </w:r>
    </w:p>
    <w:p w:rsidR="00651119" w:rsidP="00651119" w14:paraId="3AD0B5C9" w14:textId="77777777">
      <w:pPr>
        <w:widowControl w:val="0"/>
        <w:tabs>
          <w:tab w:val="left" w:pos="820"/>
          <w:tab w:val="left" w:pos="821"/>
        </w:tabs>
        <w:ind w:right="195"/>
      </w:pPr>
    </w:p>
    <w:p w:rsidR="00864AE6" w:rsidRPr="00B748A3" w:rsidP="00651119" w14:paraId="0C16C691" w14:textId="7268DA37">
      <w:pPr>
        <w:widowControl w:val="0"/>
        <w:tabs>
          <w:tab w:val="left" w:pos="820"/>
          <w:tab w:val="left" w:pos="821"/>
        </w:tabs>
        <w:ind w:right="195"/>
      </w:pPr>
      <w:r>
        <w:t xml:space="preserve">AmeriCorps Seniors engaged in a review of all data requests over several years and </w:t>
      </w:r>
      <w:r>
        <w:t>analyzed which pieces of information are being used by the agency</w:t>
      </w:r>
      <w:r w:rsidR="008B0558">
        <w:t xml:space="preserve"> and deleted those PRS questions not being used</w:t>
      </w:r>
      <w:r>
        <w:t xml:space="preserve">. </w:t>
      </w:r>
      <w:r w:rsidR="008B0558">
        <w:t>AmeriCorps is</w:t>
      </w:r>
      <w:r>
        <w:t xml:space="preserve"> committed to asking grantees for </w:t>
      </w:r>
      <w:r w:rsidR="008B0558">
        <w:t xml:space="preserve">only </w:t>
      </w:r>
      <w:r>
        <w:t>information that we use</w:t>
      </w:r>
      <w:r w:rsidR="008B0558">
        <w:t>, so we are r</w:t>
      </w:r>
      <w:r>
        <w:t xml:space="preserve">emoving questions </w:t>
      </w:r>
      <w:r w:rsidR="008B0558">
        <w:t>for which</w:t>
      </w:r>
      <w:r>
        <w:t xml:space="preserve"> data is not used by our agency or been requested by internal or external stakeholders.</w:t>
      </w:r>
    </w:p>
    <w:p w:rsidR="007C614F" w:rsidP="00280D88" w14:paraId="653D9884" w14:textId="77777777">
      <w:pPr>
        <w:widowControl w:val="0"/>
        <w:tabs>
          <w:tab w:val="left" w:pos="820"/>
          <w:tab w:val="left" w:pos="821"/>
        </w:tabs>
        <w:ind w:right="195"/>
      </w:pPr>
    </w:p>
    <w:p w:rsidR="00280D88" w:rsidP="00280D88" w14:paraId="63110EB6" w14:textId="6CD816FA">
      <w:pPr>
        <w:widowControl w:val="0"/>
        <w:tabs>
          <w:tab w:val="left" w:pos="820"/>
          <w:tab w:val="left" w:pos="821"/>
        </w:tabs>
        <w:ind w:right="195"/>
      </w:pPr>
      <w:r>
        <w:t xml:space="preserve">No changes are being made to the </w:t>
      </w:r>
      <w:r w:rsidR="00204E41">
        <w:t>application</w:t>
      </w:r>
      <w:r w:rsidR="00A5615F">
        <w:t xml:space="preserve">, </w:t>
      </w:r>
      <w:r w:rsidR="00204E41">
        <w:t>project progress reports</w:t>
      </w:r>
      <w:r w:rsidR="00A5615F">
        <w:t>, or independent and respite surveys</w:t>
      </w:r>
      <w:r w:rsidR="00204E41">
        <w:t xml:space="preserve">.  </w:t>
      </w:r>
    </w:p>
    <w:p w:rsidR="003666FB" w:rsidRPr="00DF379C" w:rsidP="00DF379C" w14:paraId="795EBD49" w14:textId="77777777">
      <w:pPr>
        <w:widowControl w:val="0"/>
        <w:tabs>
          <w:tab w:val="left" w:pos="820"/>
          <w:tab w:val="left" w:pos="821"/>
        </w:tabs>
        <w:ind w:right="195"/>
      </w:pPr>
    </w:p>
    <w:p w:rsidR="000576E9" w:rsidRPr="00632889" w:rsidP="00A54952" w14:paraId="208599AB" w14:textId="06581B4E">
      <w:pPr>
        <w:keepNext/>
        <w:outlineLvl w:val="0"/>
        <w:rPr>
          <w:b/>
          <w:bCs/>
          <w:kern w:val="36"/>
        </w:rPr>
      </w:pPr>
      <w:r w:rsidRPr="00632889">
        <w:rPr>
          <w:b/>
          <w:bCs/>
          <w:kern w:val="36"/>
        </w:rPr>
        <w:t>1</w:t>
      </w:r>
      <w:r w:rsidRPr="00632889" w:rsidR="719E6F2F">
        <w:rPr>
          <w:b/>
          <w:bCs/>
          <w:kern w:val="36"/>
        </w:rPr>
        <w:t xml:space="preserve">. </w:t>
      </w:r>
      <w:r w:rsidRPr="00632889" w:rsidR="6F943725">
        <w:rPr>
          <w:b/>
          <w:bCs/>
          <w:u w:val="single"/>
        </w:rPr>
        <w:t>Need &amp; Method for the Information Collection</w:t>
      </w:r>
    </w:p>
    <w:p w:rsidR="00395ED5" w:rsidP="00A54952" w14:paraId="6A05A809" w14:textId="77777777">
      <w:pPr>
        <w:ind w:firstLine="720"/>
        <w:rPr>
          <w:bCs/>
          <w:kern w:val="36"/>
        </w:rPr>
      </w:pPr>
    </w:p>
    <w:p w:rsidR="00783B2E" w:rsidP="00632889" w14:paraId="0DF9E5E3" w14:textId="036AB0DB">
      <w:r w:rsidRPr="297F9045">
        <w:rPr>
          <w:kern w:val="36"/>
        </w:rPr>
        <w:t xml:space="preserve">The Corporation for National and Community Service </w:t>
      </w:r>
      <w:r w:rsidRPr="001C4327" w:rsidR="00F52800">
        <w:rPr>
          <w:bCs/>
          <w:kern w:val="36"/>
        </w:rPr>
        <w:t>(</w:t>
      </w:r>
      <w:r w:rsidRPr="297F9045" w:rsidR="00254304">
        <w:rPr>
          <w:kern w:val="36"/>
        </w:rPr>
        <w:t>AmeriCorps</w:t>
      </w:r>
      <w:r w:rsidRPr="001C4327" w:rsidR="00F52800">
        <w:rPr>
          <w:bCs/>
          <w:kern w:val="36"/>
        </w:rPr>
        <w:t xml:space="preserve">) </w:t>
      </w:r>
      <w:r w:rsidRPr="297F9045" w:rsidR="00254304">
        <w:rPr>
          <w:kern w:val="36"/>
        </w:rPr>
        <w:t xml:space="preserve">dba AmeriCorps </w:t>
      </w:r>
      <w:r w:rsidRPr="297F9045">
        <w:rPr>
          <w:kern w:val="36"/>
        </w:rPr>
        <w:t xml:space="preserve">awards grants to states, institutions of higher education, non-profit organizations, Indian tribes, and U.S. Territories to operate </w:t>
      </w:r>
      <w:r w:rsidRPr="297F9045" w:rsidR="009F4E3E">
        <w:rPr>
          <w:kern w:val="36"/>
        </w:rPr>
        <w:t>AmeriCorps Seniors</w:t>
      </w:r>
      <w:r w:rsidRPr="297F9045">
        <w:rPr>
          <w:kern w:val="36"/>
        </w:rPr>
        <w:t xml:space="preserve"> programs</w:t>
      </w:r>
      <w:r w:rsidR="00254304">
        <w:rPr>
          <w:bCs/>
          <w:kern w:val="36"/>
        </w:rPr>
        <w:t xml:space="preserve">. </w:t>
      </w:r>
      <w:r w:rsidRPr="297F9045" w:rsidR="001C4327">
        <w:rPr>
          <w:kern w:val="36"/>
        </w:rPr>
        <w:t>This</w:t>
      </w:r>
      <w:r w:rsidRPr="297F9045">
        <w:rPr>
          <w:kern w:val="36"/>
        </w:rPr>
        <w:t xml:space="preserve"> information collection</w:t>
      </w:r>
      <w:r w:rsidRPr="001C4327" w:rsidR="008204A0">
        <w:rPr>
          <w:bCs/>
          <w:kern w:val="36"/>
        </w:rPr>
        <w:t xml:space="preserve"> </w:t>
      </w:r>
      <w:r w:rsidRPr="297F9045" w:rsidR="00382088">
        <w:rPr>
          <w:kern w:val="36"/>
        </w:rPr>
        <w:t xml:space="preserve">comprises the </w:t>
      </w:r>
      <w:r w:rsidR="0056077A">
        <w:rPr>
          <w:kern w:val="36"/>
        </w:rPr>
        <w:t>a</w:t>
      </w:r>
      <w:r w:rsidRPr="297F9045" w:rsidR="009F4E3E">
        <w:rPr>
          <w:kern w:val="36"/>
        </w:rPr>
        <w:t xml:space="preserve">pplication </w:t>
      </w:r>
      <w:r w:rsidR="0056077A">
        <w:rPr>
          <w:kern w:val="36"/>
        </w:rPr>
        <w:t>p</w:t>
      </w:r>
      <w:r w:rsidRPr="297F9045" w:rsidR="009F4E3E">
        <w:rPr>
          <w:kern w:val="36"/>
        </w:rPr>
        <w:t xml:space="preserve">ackage for AmeriCorps Seniors grants, </w:t>
      </w:r>
      <w:r w:rsidR="0056077A">
        <w:rPr>
          <w:kern w:val="36"/>
        </w:rPr>
        <w:t>p</w:t>
      </w:r>
      <w:r w:rsidRPr="297F9045" w:rsidR="009F4E3E">
        <w:rPr>
          <w:kern w:val="36"/>
        </w:rPr>
        <w:t xml:space="preserve">rogress </w:t>
      </w:r>
      <w:r w:rsidR="0056077A">
        <w:rPr>
          <w:kern w:val="36"/>
        </w:rPr>
        <w:t>r</w:t>
      </w:r>
      <w:r w:rsidRPr="297F9045" w:rsidR="009F4E3E">
        <w:rPr>
          <w:kern w:val="36"/>
        </w:rPr>
        <w:t>eport</w:t>
      </w:r>
      <w:r w:rsidR="0056077A">
        <w:rPr>
          <w:kern w:val="36"/>
        </w:rPr>
        <w:t>s and the progress report supplement (PRS)</w:t>
      </w:r>
      <w:r w:rsidRPr="297F9045" w:rsidR="009F4E3E">
        <w:rPr>
          <w:kern w:val="36"/>
        </w:rPr>
        <w:t xml:space="preserve">, and </w:t>
      </w:r>
      <w:r w:rsidR="0056077A">
        <w:rPr>
          <w:kern w:val="36"/>
        </w:rPr>
        <w:t>i</w:t>
      </w:r>
      <w:r w:rsidRPr="297F9045" w:rsidR="009F4E3E">
        <w:rPr>
          <w:kern w:val="36"/>
        </w:rPr>
        <w:t xml:space="preserve">ndependent </w:t>
      </w:r>
      <w:r w:rsidR="0056077A">
        <w:rPr>
          <w:kern w:val="36"/>
        </w:rPr>
        <w:t>l</w:t>
      </w:r>
      <w:r w:rsidRPr="297F9045" w:rsidR="009F4E3E">
        <w:rPr>
          <w:kern w:val="36"/>
        </w:rPr>
        <w:t xml:space="preserve">iving and </w:t>
      </w:r>
      <w:r w:rsidR="0056077A">
        <w:rPr>
          <w:kern w:val="36"/>
        </w:rPr>
        <w:t>r</w:t>
      </w:r>
      <w:r w:rsidRPr="297F9045" w:rsidR="009F4E3E">
        <w:rPr>
          <w:kern w:val="36"/>
        </w:rPr>
        <w:t xml:space="preserve">espite </w:t>
      </w:r>
      <w:r w:rsidR="0056077A">
        <w:rPr>
          <w:kern w:val="36"/>
        </w:rPr>
        <w:t>s</w:t>
      </w:r>
      <w:r w:rsidRPr="297F9045" w:rsidR="009F4E3E">
        <w:rPr>
          <w:kern w:val="36"/>
        </w:rPr>
        <w:t>urveys.</w:t>
      </w:r>
    </w:p>
    <w:p w:rsidR="008E2F3B" w:rsidP="00783B2E" w14:paraId="3D788972" w14:textId="77777777">
      <w:pPr>
        <w:ind w:firstLine="720"/>
        <w:rPr>
          <w:bCs/>
          <w:kern w:val="36"/>
        </w:rPr>
      </w:pPr>
    </w:p>
    <w:p w:rsidR="00A54ECE" w:rsidP="006C6325" w14:paraId="69C52AD3" w14:textId="430D4726">
      <w:r>
        <w:t>Collection of the information is necessary for several reasons. Application information is required</w:t>
      </w:r>
      <w:r w:rsidR="6BECB651">
        <w:t xml:space="preserve"> to meet </w:t>
      </w:r>
      <w:r w:rsidR="77B5EEF0">
        <w:t>the legislative requirements</w:t>
      </w:r>
      <w:r w:rsidR="4AE19C66">
        <w:t xml:space="preserve"> in the Domestic Volunteer Service Act (DVSA)</w:t>
      </w:r>
      <w:r w:rsidR="77B5EEF0">
        <w:t xml:space="preserve"> that AmeriCorps Seniors RSVP grants enter in competition</w:t>
      </w:r>
      <w:r w:rsidR="082D54C3">
        <w:t xml:space="preserve"> and to implement AmeriCorps’ authority to award FGP, SCP, and SDP grants. </w:t>
      </w:r>
      <w:r w:rsidRPr="599F85F5" w:rsidR="082D54C3">
        <w:rPr>
          <w:i/>
          <w:iCs/>
        </w:rPr>
        <w:t>See</w:t>
      </w:r>
      <w:r w:rsidRPr="599F85F5" w:rsidR="082D54C3">
        <w:t xml:space="preserve"> 42 U.S.C. 5001, </w:t>
      </w:r>
      <w:r w:rsidRPr="599F85F5" w:rsidR="48B67314">
        <w:t>5011, 5013, 5028</w:t>
      </w:r>
      <w:r w:rsidR="77B5EEF0">
        <w:t xml:space="preserve">. </w:t>
      </w:r>
      <w:r w:rsidR="7FFD2023">
        <w:t>Information within the application is needed to make award decisions</w:t>
      </w:r>
      <w:r w:rsidR="3775BDD1">
        <w:t xml:space="preserve"> to ensure the awarded funds are used for the purposes set out in the DVSA</w:t>
      </w:r>
      <w:r w:rsidR="7FFD2023">
        <w:t>.</w:t>
      </w:r>
      <w:r w:rsidR="129ED889">
        <w:t xml:space="preserve"> </w:t>
      </w:r>
      <w:r w:rsidR="0EF65AF1">
        <w:t xml:space="preserve">The DVSA does not impose any deadline for collection of the information, but </w:t>
      </w:r>
      <w:r w:rsidR="0EF65AF1">
        <w:t>in order to</w:t>
      </w:r>
      <w:r w:rsidR="0EF65AF1">
        <w:t xml:space="preserve"> award grant funds in a timely manner, AmeriCorps establishes deadlines for applicants to submit their application materials (</w:t>
      </w:r>
      <w:r w:rsidR="44FB75E5">
        <w:t xml:space="preserve">e.g., April 1 deadline for grant awards being made June 1). </w:t>
      </w:r>
    </w:p>
    <w:p w:rsidR="00A54ECE" w:rsidP="006C6325" w14:paraId="728D93BE" w14:textId="061B4303"/>
    <w:p w:rsidR="00A54ECE" w:rsidP="006C6325" w14:paraId="0CCFDA64" w14:textId="03155DEF">
      <w:r>
        <w:t xml:space="preserve">Collection of the </w:t>
      </w:r>
      <w:r w:rsidR="00186063">
        <w:t>p</w:t>
      </w:r>
      <w:r>
        <w:t xml:space="preserve">rogress </w:t>
      </w:r>
      <w:r w:rsidR="00186063">
        <w:t>r</w:t>
      </w:r>
      <w:r>
        <w:t>eport</w:t>
      </w:r>
      <w:r w:rsidR="003C1D95">
        <w:t xml:space="preserve"> and PRS</w:t>
      </w:r>
      <w:r>
        <w:t xml:space="preserve"> is needed to meet the </w:t>
      </w:r>
      <w:r w:rsidR="626EFE56">
        <w:t xml:space="preserve">requirements in </w:t>
      </w:r>
      <w:r w:rsidR="00C928C5">
        <w:t xml:space="preserve">42 U.S.C. 5056 for evaluating programs and </w:t>
      </w:r>
      <w:r w:rsidR="00D3700C">
        <w:t xml:space="preserve">the government-wide regulations in </w:t>
      </w:r>
      <w:r w:rsidR="06736110">
        <w:t>2</w:t>
      </w:r>
      <w:r w:rsidR="626EFE56">
        <w:t xml:space="preserve"> CFR § </w:t>
      </w:r>
      <w:r w:rsidR="5049A183">
        <w:t>200.329</w:t>
      </w:r>
      <w:r w:rsidR="001D3FA7">
        <w:t xml:space="preserve"> (m</w:t>
      </w:r>
      <w:r w:rsidR="626EFE56">
        <w:t>onitoring and reporting program performance</w:t>
      </w:r>
      <w:r w:rsidR="001D3FA7">
        <w:t>)</w:t>
      </w:r>
      <w:r w:rsidR="4EE451ED">
        <w:t>,</w:t>
      </w:r>
      <w:r w:rsidR="637881E4">
        <w:t xml:space="preserve"> </w:t>
      </w:r>
      <w:r w:rsidR="53F62668">
        <w:t>which state that the “non-Federal entity must submit performance reports at the interval required… to best inform improvements in program outcomes and productivity. Intervals must be no less frequent than annually</w:t>
      </w:r>
      <w:r w:rsidR="349847EB">
        <w:t>...</w:t>
      </w:r>
      <w:r w:rsidR="53F62668">
        <w:t>.”</w:t>
      </w:r>
      <w:r w:rsidR="626EFE56">
        <w:t xml:space="preserve"> </w:t>
      </w:r>
      <w:r w:rsidR="637881E4">
        <w:t>Requirements are also found</w:t>
      </w:r>
      <w:r w:rsidR="594108D1">
        <w:t xml:space="preserve"> in AmeriCorps </w:t>
      </w:r>
      <w:r w:rsidR="00C31100">
        <w:t xml:space="preserve">General and AmeriCorps </w:t>
      </w:r>
      <w:r w:rsidR="594108D1">
        <w:t>Seniors Terms and Conditions.</w:t>
      </w:r>
      <w:r w:rsidR="637881E4">
        <w:t xml:space="preserve"> </w:t>
      </w:r>
      <w:r w:rsidR="5401D686">
        <w:t xml:space="preserve">While the regulations do not establish specific deadlines for progress reports, AmeriCorps Terms and Conditions issued with each grant establish specific deadlines. </w:t>
      </w:r>
      <w:r w:rsidR="003C1D95">
        <w:t xml:space="preserve">AmeriCorps does not collect the surveys; rather, they are provided as a tool for grantees </w:t>
      </w:r>
      <w:r w:rsidR="00C52831">
        <w:t>if they wish to use them in collecting their own information for reporting in the progress report and PRS.</w:t>
      </w:r>
    </w:p>
    <w:p w:rsidR="009C505A" w:rsidP="006C6325" w14:paraId="7DF09E89" w14:textId="77777777">
      <w:pPr>
        <w:rPr>
          <w:bCs/>
          <w:kern w:val="36"/>
        </w:rPr>
      </w:pPr>
    </w:p>
    <w:p w:rsidR="009C505A" w:rsidP="599F85F5" w14:paraId="2634D3FC" w14:textId="6EB4FBA0">
      <w:pPr>
        <w:rPr>
          <w:kern w:val="36"/>
        </w:rPr>
      </w:pPr>
      <w:r>
        <w:t>Information will be collected electronically, via AmeriCorps’ grant management system</w:t>
      </w:r>
      <w:r w:rsidR="757421DD">
        <w:t xml:space="preserve"> (eGrants)</w:t>
      </w:r>
      <w:r>
        <w:t>.</w:t>
      </w:r>
      <w:r w:rsidR="786EC068">
        <w:t xml:space="preserve">  Application information is reviewed by </w:t>
      </w:r>
      <w:r w:rsidR="5DE6288F">
        <w:t>AmeriCorps staff to ensure compliance with requirements and by reviewers. AmeriCorps Seniors staff oversees the overall collection of the information.</w:t>
      </w:r>
      <w:r w:rsidR="774007DE">
        <w:t xml:space="preserve"> Electronic collection is </w:t>
      </w:r>
      <w:r w:rsidR="491EB544">
        <w:t>fillable and submittable.</w:t>
      </w:r>
      <w:r w:rsidR="51576E29">
        <w:t xml:space="preserve"> Progress report information is reviewed by regional staff and then AmeriCorps evaluators at Headquarters.</w:t>
      </w:r>
    </w:p>
    <w:p w:rsidR="007D393A" w:rsidP="006C6325" w14:paraId="64DF8485" w14:textId="77777777">
      <w:pPr>
        <w:rPr>
          <w:bCs/>
          <w:kern w:val="36"/>
        </w:rPr>
      </w:pPr>
    </w:p>
    <w:p w:rsidR="007D393A" w:rsidRPr="00A54ECE" w:rsidP="00632889" w14:paraId="5849D8F5" w14:textId="1217A071">
      <w:r>
        <w:t>I</w:t>
      </w:r>
      <w:r w:rsidR="01DC9A5C">
        <w:t>f the information is not collected</w:t>
      </w:r>
      <w:r w:rsidR="16F399C3">
        <w:t>,</w:t>
      </w:r>
      <w:r w:rsidR="01DC9A5C">
        <w:t xml:space="preserve"> </w:t>
      </w:r>
      <w:r w:rsidR="5CC3FEEF">
        <w:t xml:space="preserve">AmeriCorps Seniors will not have the information needed to make awards and AmeriCorps Seniors will not be able to review and aggregate program performance </w:t>
      </w:r>
      <w:r w:rsidR="0304789A">
        <w:t xml:space="preserve">information. </w:t>
      </w:r>
      <w:r w:rsidR="785DA5DA">
        <w:t xml:space="preserve">The legal </w:t>
      </w:r>
      <w:r w:rsidR="68DA4375">
        <w:t>obstacles</w:t>
      </w:r>
      <w:r w:rsidR="785DA5DA">
        <w:t xml:space="preserve"> to reducing burden </w:t>
      </w:r>
      <w:r w:rsidR="24D72C24">
        <w:t>are</w:t>
      </w:r>
      <w:r w:rsidR="785DA5DA">
        <w:t xml:space="preserve"> that i</w:t>
      </w:r>
      <w:r w:rsidR="0304789A">
        <w:t>nformation is collected as le</w:t>
      </w:r>
      <w:r w:rsidR="1E12ECD5">
        <w:t>a</w:t>
      </w:r>
      <w:r w:rsidR="0304789A">
        <w:t>s</w:t>
      </w:r>
      <w:r w:rsidR="32A7BC5B">
        <w:t xml:space="preserve">t frequently (annually) as allowed in </w:t>
      </w:r>
      <w:r w:rsidR="1ABF3BDA">
        <w:t>2</w:t>
      </w:r>
      <w:r w:rsidR="32A7BC5B">
        <w:t xml:space="preserve"> CFR § </w:t>
      </w:r>
      <w:r w:rsidR="58432FA8">
        <w:t>200.329</w:t>
      </w:r>
      <w:r w:rsidR="22E95C4D">
        <w:t xml:space="preserve"> and the information collected is necessary for AmeriCorps to determine whether providing funding </w:t>
      </w:r>
      <w:r w:rsidR="5D157AF1">
        <w:t>meets statutory and regulatory requirements and the grantee is performing in accordance with applicable laws</w:t>
      </w:r>
      <w:r w:rsidR="32A7BC5B">
        <w:t>.</w:t>
      </w:r>
    </w:p>
    <w:p w:rsidR="00A54952" w:rsidRPr="00BE0835" w:rsidP="006C4E98" w14:paraId="29D6B04F" w14:textId="5F57BD6B">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0576E9" w:rsidRPr="00D44637" w:rsidP="001C4327" w14:paraId="1F518F53" w14:textId="445D2F72">
      <w:pPr>
        <w:rPr>
          <w:b/>
          <w:bCs/>
        </w:rPr>
      </w:pPr>
      <w:r w:rsidRPr="001C4327">
        <w:rPr>
          <w:b/>
          <w:bCs/>
        </w:rPr>
        <w:t>2</w:t>
      </w:r>
      <w:r w:rsidR="00254304">
        <w:rPr>
          <w:b/>
          <w:bCs/>
        </w:rPr>
        <w:t>.</w:t>
      </w:r>
      <w:r w:rsidRPr="00D44637" w:rsidR="00DC35E5">
        <w:rPr>
          <w:b/>
          <w:bCs/>
        </w:rPr>
        <w:t xml:space="preserve"> </w:t>
      </w:r>
      <w:r w:rsidRPr="00D44637" w:rsidR="00DC35E5">
        <w:rPr>
          <w:b/>
          <w:bCs/>
          <w:u w:val="single"/>
        </w:rPr>
        <w:t>Use of the Information.</w:t>
      </w:r>
    </w:p>
    <w:p w:rsidR="00395ED5" w:rsidP="001C4327" w14:paraId="5A39BBE3"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P="00D44637" w14:paraId="53409E72" w14:textId="5539DD96">
      <w:pPr>
        <w:pStyle w:val="CommentText"/>
        <w:rPr>
          <w:sz w:val="24"/>
          <w:szCs w:val="24"/>
        </w:rPr>
      </w:pPr>
      <w:r w:rsidRPr="00D456B5">
        <w:rPr>
          <w:sz w:val="24"/>
          <w:szCs w:val="24"/>
        </w:rPr>
        <w:t xml:space="preserve">Applicants respond to the questions included in these instructions </w:t>
      </w:r>
      <w:r w:rsidRPr="00D456B5">
        <w:rPr>
          <w:sz w:val="24"/>
          <w:szCs w:val="24"/>
        </w:rPr>
        <w:t>in order to</w:t>
      </w:r>
      <w:r w:rsidRPr="00D456B5">
        <w:rPr>
          <w:sz w:val="24"/>
          <w:szCs w:val="24"/>
        </w:rPr>
        <w:t xml:space="preserve"> apply </w:t>
      </w:r>
      <w:r w:rsidR="00FA076B">
        <w:rPr>
          <w:sz w:val="24"/>
          <w:szCs w:val="24"/>
        </w:rPr>
        <w:t xml:space="preserve">for </w:t>
      </w:r>
      <w:r w:rsidR="009F4E3E">
        <w:rPr>
          <w:sz w:val="24"/>
          <w:szCs w:val="24"/>
        </w:rPr>
        <w:t xml:space="preserve">AmeriCorps Seniors </w:t>
      </w:r>
      <w:r w:rsidR="00FA076B">
        <w:rPr>
          <w:sz w:val="24"/>
          <w:szCs w:val="24"/>
        </w:rPr>
        <w:t>funding</w:t>
      </w:r>
      <w:r w:rsidR="009F4E3E">
        <w:rPr>
          <w:sz w:val="24"/>
          <w:szCs w:val="24"/>
        </w:rPr>
        <w:t xml:space="preserve"> and to report out on performance of their project</w:t>
      </w:r>
      <w:r w:rsidR="005459C9">
        <w:rPr>
          <w:bCs/>
          <w:kern w:val="36"/>
          <w:sz w:val="24"/>
          <w:szCs w:val="24"/>
        </w:rPr>
        <w:t xml:space="preserve">. </w:t>
      </w:r>
      <w:r w:rsidR="009F4E3E">
        <w:rPr>
          <w:sz w:val="24"/>
          <w:szCs w:val="24"/>
        </w:rPr>
        <w:t>AmeriCorps Seniors</w:t>
      </w:r>
      <w:r w:rsidR="00CE1E6A">
        <w:rPr>
          <w:sz w:val="24"/>
          <w:szCs w:val="24"/>
        </w:rPr>
        <w:t xml:space="preserve"> </w:t>
      </w:r>
      <w:r w:rsidR="00FA076B">
        <w:rPr>
          <w:sz w:val="24"/>
          <w:szCs w:val="24"/>
        </w:rPr>
        <w:t xml:space="preserve">will use the information collection to select grantmaking entities </w:t>
      </w:r>
      <w:r w:rsidR="00E842BB">
        <w:rPr>
          <w:sz w:val="24"/>
          <w:szCs w:val="24"/>
        </w:rPr>
        <w:t>that</w:t>
      </w:r>
      <w:r w:rsidR="00FA076B">
        <w:rPr>
          <w:sz w:val="24"/>
          <w:szCs w:val="24"/>
        </w:rPr>
        <w:t xml:space="preserve"> will</w:t>
      </w:r>
      <w:r w:rsidR="00CE1E6A">
        <w:rPr>
          <w:sz w:val="24"/>
          <w:szCs w:val="24"/>
        </w:rPr>
        <w:t xml:space="preserve"> </w:t>
      </w:r>
      <w:r w:rsidR="00FA076B">
        <w:rPr>
          <w:sz w:val="24"/>
          <w:szCs w:val="24"/>
        </w:rPr>
        <w:t>identify</w:t>
      </w:r>
      <w:r w:rsidR="00CE1E6A">
        <w:rPr>
          <w:sz w:val="24"/>
          <w:szCs w:val="24"/>
        </w:rPr>
        <w:t>, support</w:t>
      </w:r>
      <w:r w:rsidR="00A8260F">
        <w:rPr>
          <w:sz w:val="24"/>
          <w:szCs w:val="24"/>
        </w:rPr>
        <w:t>,</w:t>
      </w:r>
      <w:r w:rsidR="00CE1E6A">
        <w:rPr>
          <w:sz w:val="24"/>
          <w:szCs w:val="24"/>
        </w:rPr>
        <w:t xml:space="preserve"> and evaluate nonprofit organizations </w:t>
      </w:r>
      <w:r w:rsidR="00FA076B">
        <w:rPr>
          <w:sz w:val="24"/>
          <w:szCs w:val="24"/>
        </w:rPr>
        <w:t>to</w:t>
      </w:r>
      <w:r w:rsidR="00CE1E6A">
        <w:rPr>
          <w:sz w:val="24"/>
          <w:szCs w:val="24"/>
        </w:rPr>
        <w:t xml:space="preserve"> implement and scal</w:t>
      </w:r>
      <w:r w:rsidR="00FA076B">
        <w:rPr>
          <w:sz w:val="24"/>
          <w:szCs w:val="24"/>
        </w:rPr>
        <w:t>e</w:t>
      </w:r>
      <w:r w:rsidR="00CE1E6A">
        <w:rPr>
          <w:sz w:val="24"/>
          <w:szCs w:val="24"/>
        </w:rPr>
        <w:t xml:space="preserve"> evidence-based solutions to community challenges</w:t>
      </w:r>
      <w:r w:rsidR="007918B7">
        <w:rPr>
          <w:sz w:val="24"/>
          <w:szCs w:val="24"/>
        </w:rPr>
        <w:t>.</w:t>
      </w:r>
      <w:r w:rsidRPr="00D456B5">
        <w:rPr>
          <w:sz w:val="24"/>
          <w:szCs w:val="24"/>
        </w:rPr>
        <w:t xml:space="preserve"> </w:t>
      </w:r>
    </w:p>
    <w:p w:rsidR="006610A8" w:rsidP="00C06453" w14:paraId="41C8F396" w14:textId="77777777">
      <w:pPr>
        <w:pStyle w:val="CommentText"/>
        <w:ind w:firstLine="720"/>
        <w:rPr>
          <w:sz w:val="24"/>
          <w:szCs w:val="24"/>
        </w:rPr>
      </w:pPr>
    </w:p>
    <w:p w:rsidR="006610A8" w:rsidP="00A8260F" w14:paraId="3140BA3E" w14:textId="73C1B637">
      <w:pPr>
        <w:pStyle w:val="CommentText"/>
        <w:rPr>
          <w:sz w:val="24"/>
          <w:szCs w:val="24"/>
        </w:rPr>
      </w:pPr>
      <w:r w:rsidRPr="10479329">
        <w:rPr>
          <w:sz w:val="24"/>
          <w:szCs w:val="24"/>
        </w:rPr>
        <w:t xml:space="preserve">There is no travel time associated with </w:t>
      </w:r>
      <w:r w:rsidR="00A8260F">
        <w:rPr>
          <w:sz w:val="24"/>
          <w:szCs w:val="24"/>
        </w:rPr>
        <w:t>collecting</w:t>
      </w:r>
      <w:r w:rsidRPr="10479329">
        <w:rPr>
          <w:sz w:val="24"/>
          <w:szCs w:val="24"/>
        </w:rPr>
        <w:t xml:space="preserve"> or submitting th</w:t>
      </w:r>
      <w:r w:rsidR="00A8260F">
        <w:rPr>
          <w:sz w:val="24"/>
          <w:szCs w:val="24"/>
        </w:rPr>
        <w:t>is information,</w:t>
      </w:r>
      <w:r w:rsidRPr="10479329">
        <w:rPr>
          <w:sz w:val="24"/>
          <w:szCs w:val="24"/>
        </w:rPr>
        <w:t xml:space="preserve"> nor is ther</w:t>
      </w:r>
      <w:r w:rsidR="00A8260F">
        <w:rPr>
          <w:sz w:val="24"/>
          <w:szCs w:val="24"/>
        </w:rPr>
        <w:t>e</w:t>
      </w:r>
      <w:r w:rsidRPr="10479329">
        <w:rPr>
          <w:sz w:val="24"/>
          <w:szCs w:val="24"/>
        </w:rPr>
        <w:t xml:space="preserve"> time waiting to speak with agency personnel. Cognitive load, discomfort, and stress is </w:t>
      </w:r>
      <w:r w:rsidRPr="10479329">
        <w:rPr>
          <w:sz w:val="24"/>
          <w:szCs w:val="24"/>
        </w:rPr>
        <w:t>similar to</w:t>
      </w:r>
      <w:r w:rsidRPr="10479329">
        <w:rPr>
          <w:sz w:val="24"/>
          <w:szCs w:val="24"/>
        </w:rPr>
        <w:t xml:space="preserve"> other federal applications. While new questions are being proposed for the annual Progress Report Supplement, AmeriCorps Seniors is </w:t>
      </w:r>
      <w:r w:rsidR="006E7D7B">
        <w:rPr>
          <w:sz w:val="24"/>
          <w:szCs w:val="24"/>
        </w:rPr>
        <w:t>deleting</w:t>
      </w:r>
      <w:r w:rsidR="00984EF2">
        <w:rPr>
          <w:sz w:val="24"/>
          <w:szCs w:val="24"/>
        </w:rPr>
        <w:t xml:space="preserve"> </w:t>
      </w:r>
      <w:r w:rsidR="002F45F1">
        <w:rPr>
          <w:sz w:val="24"/>
          <w:szCs w:val="24"/>
        </w:rPr>
        <w:t>several</w:t>
      </w:r>
      <w:r w:rsidRPr="10479329">
        <w:rPr>
          <w:sz w:val="24"/>
          <w:szCs w:val="24"/>
        </w:rPr>
        <w:t xml:space="preserve"> questions</w:t>
      </w:r>
      <w:r w:rsidR="002F45F1">
        <w:rPr>
          <w:sz w:val="24"/>
          <w:szCs w:val="24"/>
        </w:rPr>
        <w:t xml:space="preserve"> to </w:t>
      </w:r>
      <w:r w:rsidR="0059296A">
        <w:rPr>
          <w:sz w:val="24"/>
          <w:szCs w:val="24"/>
        </w:rPr>
        <w:t>overall reduce the number of questions asked</w:t>
      </w:r>
      <w:r w:rsidRPr="10479329">
        <w:rPr>
          <w:sz w:val="24"/>
          <w:szCs w:val="24"/>
        </w:rPr>
        <w:t xml:space="preserve">, potentially leading to increased institutional trust as AmeriCorps is committed to only asking information from grantees and applicants </w:t>
      </w:r>
      <w:r w:rsidRPr="10479329" w:rsidR="44AF0860">
        <w:rPr>
          <w:sz w:val="24"/>
          <w:szCs w:val="24"/>
        </w:rPr>
        <w:t xml:space="preserve">that is determined is needed. </w:t>
      </w:r>
      <w:r w:rsidR="00634DEF">
        <w:rPr>
          <w:sz w:val="24"/>
          <w:szCs w:val="24"/>
        </w:rPr>
        <w:t xml:space="preserve">AmeriCorps recognizes that </w:t>
      </w:r>
      <w:r w:rsidR="0098330B">
        <w:rPr>
          <w:sz w:val="24"/>
          <w:szCs w:val="24"/>
        </w:rPr>
        <w:t xml:space="preserve">grantees will not have information on hand immediately to report out on the new questions being proposed in the </w:t>
      </w:r>
      <w:r w:rsidR="00D755E4">
        <w:rPr>
          <w:sz w:val="24"/>
          <w:szCs w:val="24"/>
        </w:rPr>
        <w:t>PRS and</w:t>
      </w:r>
      <w:r w:rsidR="00E540F4">
        <w:rPr>
          <w:sz w:val="24"/>
          <w:szCs w:val="24"/>
        </w:rPr>
        <w:t xml:space="preserve"> does not expect a full dataset for a year after approval to allow grantees</w:t>
      </w:r>
      <w:r w:rsidRPr="10479329" w:rsidR="44AF0860">
        <w:rPr>
          <w:sz w:val="24"/>
          <w:szCs w:val="24"/>
        </w:rPr>
        <w:t xml:space="preserve"> time </w:t>
      </w:r>
      <w:r w:rsidR="00E540F4">
        <w:rPr>
          <w:sz w:val="24"/>
          <w:szCs w:val="24"/>
        </w:rPr>
        <w:t>t</w:t>
      </w:r>
      <w:r w:rsidRPr="10479329" w:rsidR="44AF0860">
        <w:rPr>
          <w:sz w:val="24"/>
          <w:szCs w:val="24"/>
        </w:rPr>
        <w:t xml:space="preserve">o determine how </w:t>
      </w:r>
      <w:r w:rsidR="00E540F4">
        <w:rPr>
          <w:sz w:val="24"/>
          <w:szCs w:val="24"/>
        </w:rPr>
        <w:t xml:space="preserve">best </w:t>
      </w:r>
      <w:r w:rsidRPr="10479329" w:rsidR="44AF0860">
        <w:rPr>
          <w:sz w:val="24"/>
          <w:szCs w:val="24"/>
        </w:rPr>
        <w:t>to collect</w:t>
      </w:r>
      <w:r w:rsidR="00E540F4">
        <w:rPr>
          <w:sz w:val="24"/>
          <w:szCs w:val="24"/>
        </w:rPr>
        <w:t xml:space="preserve"> the</w:t>
      </w:r>
      <w:r w:rsidRPr="10479329" w:rsidR="44AF0860">
        <w:rPr>
          <w:sz w:val="24"/>
          <w:szCs w:val="24"/>
        </w:rPr>
        <w:t xml:space="preserve"> new information.</w:t>
      </w:r>
    </w:p>
    <w:p w:rsidR="006971E8" w:rsidP="00C06453" w14:paraId="5A42F883" w14:textId="77777777">
      <w:pPr>
        <w:pStyle w:val="CommentText"/>
        <w:ind w:firstLine="720"/>
        <w:rPr>
          <w:sz w:val="24"/>
          <w:szCs w:val="24"/>
        </w:rPr>
      </w:pPr>
    </w:p>
    <w:p w:rsidR="006971E8" w:rsidP="00D755E4" w14:paraId="5B03E799" w14:textId="06A8C8B4">
      <w:pPr>
        <w:pStyle w:val="CommentText"/>
        <w:rPr>
          <w:sz w:val="24"/>
          <w:szCs w:val="24"/>
        </w:rPr>
      </w:pPr>
      <w:r w:rsidRPr="599F85F5">
        <w:rPr>
          <w:sz w:val="24"/>
          <w:szCs w:val="24"/>
        </w:rPr>
        <w:t xml:space="preserve">The principal uses </w:t>
      </w:r>
      <w:r w:rsidRPr="599F85F5" w:rsidR="52ECBC69">
        <w:rPr>
          <w:sz w:val="24"/>
          <w:szCs w:val="24"/>
        </w:rPr>
        <w:t>that AmeriCorps makes of the information</w:t>
      </w:r>
      <w:r w:rsidRPr="599F85F5" w:rsidR="5E7F3750">
        <w:rPr>
          <w:sz w:val="24"/>
          <w:szCs w:val="24"/>
        </w:rPr>
        <w:t xml:space="preserve"> collected through the applications</w:t>
      </w:r>
      <w:r w:rsidRPr="599F85F5" w:rsidR="52ECBC69">
        <w:rPr>
          <w:sz w:val="24"/>
          <w:szCs w:val="24"/>
        </w:rPr>
        <w:t xml:space="preserve"> is to review whether the applicant is eligible for AmeriCorps Seniors grants</w:t>
      </w:r>
      <w:r w:rsidRPr="599F85F5" w:rsidR="29E001D2">
        <w:rPr>
          <w:sz w:val="24"/>
          <w:szCs w:val="24"/>
        </w:rPr>
        <w:t xml:space="preserve"> and whether their program should receive AmeriCorps Seniors grant funding based on the strength of the application and review of risks</w:t>
      </w:r>
      <w:r w:rsidRPr="599F85F5" w:rsidR="4ECC563A">
        <w:rPr>
          <w:sz w:val="24"/>
          <w:szCs w:val="24"/>
        </w:rPr>
        <w:t xml:space="preserve">. </w:t>
      </w:r>
      <w:r w:rsidRPr="599F85F5" w:rsidR="34D94CC3">
        <w:rPr>
          <w:sz w:val="24"/>
          <w:szCs w:val="24"/>
        </w:rPr>
        <w:t xml:space="preserve">Progress </w:t>
      </w:r>
      <w:r w:rsidR="00D755E4">
        <w:rPr>
          <w:sz w:val="24"/>
          <w:szCs w:val="24"/>
        </w:rPr>
        <w:t>r</w:t>
      </w:r>
      <w:r w:rsidRPr="599F85F5" w:rsidR="34D94CC3">
        <w:rPr>
          <w:sz w:val="24"/>
          <w:szCs w:val="24"/>
        </w:rPr>
        <w:t>eport</w:t>
      </w:r>
      <w:r w:rsidR="00794F36">
        <w:rPr>
          <w:sz w:val="24"/>
          <w:szCs w:val="24"/>
        </w:rPr>
        <w:t>, PRS, and survey</w:t>
      </w:r>
      <w:r w:rsidRPr="599F85F5" w:rsidR="34D94CC3">
        <w:rPr>
          <w:sz w:val="24"/>
          <w:szCs w:val="24"/>
        </w:rPr>
        <w:t xml:space="preserve"> information </w:t>
      </w:r>
      <w:r w:rsidRPr="599F85F5" w:rsidR="472D55AC">
        <w:rPr>
          <w:sz w:val="24"/>
          <w:szCs w:val="24"/>
        </w:rPr>
        <w:t>is used to review the work accomplished by grantees during the reporting period</w:t>
      </w:r>
      <w:r w:rsidRPr="599F85F5" w:rsidR="67360A22">
        <w:rPr>
          <w:sz w:val="24"/>
          <w:szCs w:val="24"/>
        </w:rPr>
        <w:t xml:space="preserve"> and enable staff to monitor grant operations of the award supported activities </w:t>
      </w:r>
      <w:r w:rsidRPr="599F85F5" w:rsidR="5BEDD33D">
        <w:rPr>
          <w:sz w:val="24"/>
          <w:szCs w:val="24"/>
        </w:rPr>
        <w:t xml:space="preserve">in accordance with </w:t>
      </w:r>
      <w:r w:rsidRPr="599F85F5" w:rsidR="0BEDAF48">
        <w:rPr>
          <w:sz w:val="24"/>
          <w:szCs w:val="24"/>
        </w:rPr>
        <w:t>2</w:t>
      </w:r>
      <w:r w:rsidRPr="599F85F5" w:rsidR="5BEDD33D">
        <w:rPr>
          <w:sz w:val="24"/>
          <w:szCs w:val="24"/>
        </w:rPr>
        <w:t xml:space="preserve"> CFR </w:t>
      </w:r>
      <w:r w:rsidRPr="599F85F5" w:rsidR="6C97E6B1">
        <w:rPr>
          <w:sz w:val="24"/>
          <w:szCs w:val="24"/>
        </w:rPr>
        <w:t>200.329</w:t>
      </w:r>
      <w:r w:rsidRPr="599F85F5" w:rsidR="5BEDD33D">
        <w:rPr>
          <w:sz w:val="24"/>
          <w:szCs w:val="24"/>
        </w:rPr>
        <w:t>.</w:t>
      </w:r>
      <w:r w:rsidRPr="599F85F5" w:rsidR="1E22755B">
        <w:rPr>
          <w:sz w:val="24"/>
          <w:szCs w:val="24"/>
        </w:rPr>
        <w:t xml:space="preserve"> Information collected through </w:t>
      </w:r>
      <w:r w:rsidR="00D755E4">
        <w:rPr>
          <w:sz w:val="24"/>
          <w:szCs w:val="24"/>
        </w:rPr>
        <w:t>p</w:t>
      </w:r>
      <w:r w:rsidRPr="599F85F5" w:rsidR="1E22755B">
        <w:rPr>
          <w:sz w:val="24"/>
          <w:szCs w:val="24"/>
        </w:rPr>
        <w:t xml:space="preserve">rogress </w:t>
      </w:r>
      <w:r w:rsidR="00D755E4">
        <w:rPr>
          <w:sz w:val="24"/>
          <w:szCs w:val="24"/>
        </w:rPr>
        <w:t>r</w:t>
      </w:r>
      <w:r w:rsidRPr="599F85F5" w:rsidR="1E22755B">
        <w:rPr>
          <w:sz w:val="24"/>
          <w:szCs w:val="24"/>
        </w:rPr>
        <w:t xml:space="preserve">eports </w:t>
      </w:r>
      <w:r w:rsidRPr="599F85F5" w:rsidR="6F8FFF7C">
        <w:rPr>
          <w:sz w:val="24"/>
          <w:szCs w:val="24"/>
        </w:rPr>
        <w:t>i</w:t>
      </w:r>
      <w:r w:rsidRPr="599F85F5" w:rsidR="1E22755B">
        <w:rPr>
          <w:sz w:val="24"/>
          <w:szCs w:val="24"/>
        </w:rPr>
        <w:t xml:space="preserve">s </w:t>
      </w:r>
      <w:r w:rsidRPr="599F85F5" w:rsidR="32A10847">
        <w:rPr>
          <w:sz w:val="24"/>
          <w:szCs w:val="24"/>
        </w:rPr>
        <w:t xml:space="preserve">also </w:t>
      </w:r>
      <w:r w:rsidRPr="599F85F5" w:rsidR="1E22755B">
        <w:rPr>
          <w:sz w:val="24"/>
          <w:szCs w:val="24"/>
        </w:rPr>
        <w:t>used in multiple agency report</w:t>
      </w:r>
      <w:r w:rsidR="00D755E4">
        <w:rPr>
          <w:sz w:val="24"/>
          <w:szCs w:val="24"/>
        </w:rPr>
        <w:t>-</w:t>
      </w:r>
      <w:r w:rsidRPr="599F85F5" w:rsidR="1E22755B">
        <w:rPr>
          <w:sz w:val="24"/>
          <w:szCs w:val="24"/>
        </w:rPr>
        <w:t xml:space="preserve">outs, including the Congressional Budget Justification and in support of agency Strategic Plan objectives. </w:t>
      </w:r>
      <w:r w:rsidRPr="599F85F5" w:rsidR="00794F36">
        <w:rPr>
          <w:sz w:val="24"/>
          <w:szCs w:val="24"/>
        </w:rPr>
        <w:t>Additionally,</w:t>
      </w:r>
      <w:r w:rsidRPr="599F85F5" w:rsidR="2E58CB57">
        <w:rPr>
          <w:sz w:val="24"/>
          <w:szCs w:val="24"/>
        </w:rPr>
        <w:t xml:space="preserve"> the information </w:t>
      </w:r>
      <w:r w:rsidRPr="599F85F5" w:rsidR="1D0EBFF1">
        <w:rPr>
          <w:sz w:val="24"/>
          <w:szCs w:val="24"/>
        </w:rPr>
        <w:t>is</w:t>
      </w:r>
      <w:r w:rsidRPr="599F85F5" w:rsidR="2E58CB57">
        <w:rPr>
          <w:sz w:val="24"/>
          <w:szCs w:val="24"/>
        </w:rPr>
        <w:t xml:space="preserve"> used by AmeriCorps staff to track and measure progress</w:t>
      </w:r>
      <w:r w:rsidRPr="599F85F5" w:rsidR="4B36D4C3">
        <w:rPr>
          <w:sz w:val="24"/>
          <w:szCs w:val="24"/>
        </w:rPr>
        <w:t>, measure contributions of senior volunteer</w:t>
      </w:r>
      <w:r w:rsidRPr="599F85F5" w:rsidR="7C2A4D51">
        <w:rPr>
          <w:sz w:val="24"/>
          <w:szCs w:val="24"/>
        </w:rPr>
        <w:t>s</w:t>
      </w:r>
      <w:r w:rsidRPr="599F85F5" w:rsidR="4B36D4C3">
        <w:rPr>
          <w:sz w:val="24"/>
          <w:szCs w:val="24"/>
        </w:rPr>
        <w:t>, and review progress toward work plan objectives agreed upon in the granting of the award.</w:t>
      </w:r>
    </w:p>
    <w:p w:rsidR="000576E9" w:rsidRPr="001C4327" w:rsidP="000576E9" w14:paraId="63E4A9CD" w14:textId="77777777">
      <w:pPr>
        <w:rPr>
          <w:rFonts w:ascii="Arial Narrow" w:hAnsi="Arial Narrow"/>
        </w:rPr>
      </w:pPr>
      <w:r w:rsidRPr="001C4327">
        <w:t> </w:t>
      </w:r>
    </w:p>
    <w:p w:rsidR="000576E9" w:rsidRPr="00794F36" w:rsidP="000576E9" w14:paraId="7193EF4F" w14:textId="640D2C4B">
      <w:pPr>
        <w:rPr>
          <w:rFonts w:ascii="Arial Narrow" w:hAnsi="Arial Narrow"/>
          <w:b/>
        </w:rPr>
      </w:pPr>
      <w:r w:rsidRPr="00794F36">
        <w:rPr>
          <w:b/>
        </w:rPr>
        <w:t> 3</w:t>
      </w:r>
      <w:r w:rsidRPr="00794F36" w:rsidR="00254304">
        <w:rPr>
          <w:b/>
        </w:rPr>
        <w:t xml:space="preserve">. </w:t>
      </w:r>
      <w:r w:rsidRPr="00794F36" w:rsidR="00DC35E5">
        <w:rPr>
          <w:b/>
          <w:u w:val="single"/>
        </w:rPr>
        <w:t>Use of Information Technology</w:t>
      </w:r>
    </w:p>
    <w:p w:rsidR="00395ED5" w:rsidP="000576E9" w14:paraId="72A3D3EC" w14:textId="77777777"/>
    <w:p w:rsidR="000576E9" w:rsidRPr="001C4327" w:rsidP="00794F36" w14:paraId="50E519F0" w14:textId="77777777">
      <w:r>
        <w:t>AmeriCorps</w:t>
      </w:r>
      <w:r w:rsidRPr="001C4327" w:rsidR="009A0CC2">
        <w:t xml:space="preserve"> </w:t>
      </w:r>
      <w:r w:rsidR="001C4327">
        <w:t>will be eliciti</w:t>
      </w:r>
      <w:r w:rsidR="00A54952">
        <w:t xml:space="preserve">ng and accepting </w:t>
      </w:r>
      <w:r w:rsidR="000D0B1C">
        <w:t xml:space="preserve">applicants’ </w:t>
      </w:r>
      <w:r w:rsidR="00783B2E">
        <w:t xml:space="preserve">response to these </w:t>
      </w:r>
      <w:r w:rsidR="00382088">
        <w:t>questions</w:t>
      </w:r>
      <w:r w:rsidR="00A54952">
        <w:t xml:space="preserve"> electronically via</w:t>
      </w:r>
      <w:r w:rsidR="00FA076B">
        <w:t xml:space="preserve"> eGrants</w:t>
      </w:r>
      <w:r w:rsidR="00A54952">
        <w:t xml:space="preserve"> the </w:t>
      </w:r>
      <w:r>
        <w:t>AmeriCorps</w:t>
      </w:r>
      <w:r w:rsidR="000D0B1C">
        <w:t xml:space="preserve">’ </w:t>
      </w:r>
      <w:r w:rsidR="00A54952">
        <w:t xml:space="preserve">secure online </w:t>
      </w:r>
      <w:r w:rsidR="007918B7">
        <w:t>grants management system</w:t>
      </w:r>
      <w:r>
        <w:t xml:space="preserve">. </w:t>
      </w:r>
      <w:r w:rsidRPr="001C4327" w:rsidR="009A0CC2">
        <w:t xml:space="preserve">If applicants are unable to </w:t>
      </w:r>
      <w:r w:rsidR="00C06453">
        <w:t xml:space="preserve">apply or </w:t>
      </w:r>
      <w:r w:rsidR="00783B2E">
        <w:t>report</w:t>
      </w:r>
      <w:r w:rsidRPr="001C4327" w:rsidR="009A0CC2">
        <w:t xml:space="preserve"> on-line</w:t>
      </w:r>
      <w:smartTag w:uri="urn:schemas-microsoft-com:office:smarttags" w:element="PersonName">
        <w:r w:rsidRPr="001C4327" w:rsidR="009A0CC2">
          <w:t>,</w:t>
        </w:r>
      </w:smartTag>
      <w:r w:rsidRPr="001C4327" w:rsidR="009A0CC2">
        <w:t xml:space="preserve"> the</w:t>
      </w:r>
      <w:r w:rsidRPr="001C4327" w:rsidR="007844D8">
        <w:t>y</w:t>
      </w:r>
      <w:r w:rsidRPr="001C4327" w:rsidR="009A0CC2">
        <w:t xml:space="preserve"> can use </w:t>
      </w:r>
      <w:r w:rsidR="00783B2E">
        <w:t>the attached form</w:t>
      </w:r>
      <w:r w:rsidR="00C06453">
        <w:t>s</w:t>
      </w:r>
      <w:r w:rsidRPr="001C4327" w:rsidR="009A0CC2">
        <w:t xml:space="preserve"> and instru</w:t>
      </w:r>
      <w:r w:rsidR="00430F73">
        <w:t xml:space="preserve">ctions to submit their </w:t>
      </w:r>
      <w:r w:rsidR="00C06453">
        <w:t>application</w:t>
      </w:r>
      <w:r w:rsidR="00281BA0">
        <w:t>.</w:t>
      </w:r>
      <w:r w:rsidR="00C06453">
        <w:t xml:space="preserve"> </w:t>
      </w:r>
    </w:p>
    <w:p w:rsidR="009A0CC2" w:rsidRPr="001C4327" w:rsidP="000576E9" w14:paraId="0D0B940D" w14:textId="77777777"/>
    <w:p w:rsidR="000576E9" w:rsidRPr="00794F36" w:rsidP="000576E9" w14:paraId="7C9B40AE" w14:textId="7E72730E">
      <w:pPr>
        <w:rPr>
          <w:b/>
          <w:bCs/>
        </w:rPr>
      </w:pPr>
      <w:r w:rsidRPr="00794F36">
        <w:rPr>
          <w:b/>
          <w:bCs/>
        </w:rPr>
        <w:t>4</w:t>
      </w:r>
      <w:r w:rsidRPr="00794F36" w:rsidR="00254304">
        <w:rPr>
          <w:b/>
          <w:bCs/>
        </w:rPr>
        <w:t xml:space="preserve">. </w:t>
      </w:r>
      <w:r w:rsidRPr="00794F36" w:rsidR="00DC35E5">
        <w:rPr>
          <w:b/>
          <w:bCs/>
          <w:u w:val="single"/>
        </w:rPr>
        <w:t>Non-duplication.</w:t>
      </w:r>
    </w:p>
    <w:p w:rsidR="003E34C0" w:rsidP="00395ED5" w14:paraId="0E27B00A" w14:textId="77777777">
      <w:pPr>
        <w:ind w:firstLine="720"/>
        <w:rPr>
          <w:bCs/>
        </w:rPr>
      </w:pPr>
    </w:p>
    <w:p w:rsidR="009A0CC2" w:rsidRPr="001C4327" w:rsidP="00794F36" w14:paraId="3D8CCDD3" w14:textId="57FBCBE4">
      <w:pPr>
        <w:rPr>
          <w:rFonts w:ascii="Arial Narrow" w:hAnsi="Arial Narrow"/>
        </w:rPr>
      </w:pPr>
      <w:r w:rsidRPr="001C4327">
        <w:rPr>
          <w:bCs/>
        </w:rPr>
        <w:t xml:space="preserve">There are no other sources of information by which </w:t>
      </w:r>
      <w:r w:rsidR="00254304">
        <w:rPr>
          <w:bCs/>
        </w:rPr>
        <w:t>AmeriCorps</w:t>
      </w:r>
      <w:r w:rsidRPr="001C4327">
        <w:rPr>
          <w:bCs/>
        </w:rPr>
        <w:t xml:space="preserve"> can meet the purposes described in 2 (above)</w:t>
      </w:r>
      <w:r w:rsidR="00254304">
        <w:rPr>
          <w:bCs/>
        </w:rPr>
        <w:t xml:space="preserve">. </w:t>
      </w:r>
    </w:p>
    <w:p w:rsidR="000576E9" w:rsidRPr="001C4327" w:rsidP="000576E9" w14:paraId="4F6584BE" w14:textId="77777777">
      <w:pPr>
        <w:rPr>
          <w:rFonts w:ascii="Arial Narrow" w:hAnsi="Arial Narrow"/>
        </w:rPr>
      </w:pPr>
      <w:r w:rsidRPr="001C4327">
        <w:t> </w:t>
      </w:r>
    </w:p>
    <w:p w:rsidR="000576E9" w:rsidRPr="00794F36" w:rsidP="000576E9" w14:paraId="35D2C536" w14:textId="295BCFFE">
      <w:pPr>
        <w:rPr>
          <w:b/>
          <w:bCs/>
        </w:rPr>
      </w:pPr>
      <w:r w:rsidRPr="00794F36">
        <w:rPr>
          <w:b/>
          <w:bCs/>
        </w:rPr>
        <w:t>5</w:t>
      </w:r>
      <w:r w:rsidRPr="00794F36" w:rsidR="00254304">
        <w:rPr>
          <w:b/>
          <w:bCs/>
        </w:rPr>
        <w:t xml:space="preserve">. </w:t>
      </w:r>
      <w:r w:rsidRPr="00794F36" w:rsidR="00DC35E5">
        <w:rPr>
          <w:b/>
          <w:bCs/>
          <w:u w:val="single"/>
        </w:rPr>
        <w:t>Burden on Small Business.</w:t>
      </w:r>
    </w:p>
    <w:p w:rsidR="003E34C0" w:rsidP="00395ED5" w14:paraId="60061E4C" w14:textId="77777777">
      <w:pPr>
        <w:ind w:firstLine="720"/>
      </w:pPr>
    </w:p>
    <w:p w:rsidR="000576E9" w:rsidRPr="001C4327" w:rsidP="00794F36" w14:paraId="79146C52" w14:textId="1B460DF8">
      <w:pPr>
        <w:rPr>
          <w:rFonts w:ascii="Arial Narrow" w:hAnsi="Arial Narrow"/>
        </w:rPr>
      </w:pPr>
      <w:r>
        <w:t xml:space="preserve">This collection of information does not impact small businesses because they are not eligible to apply for </w:t>
      </w:r>
      <w:r w:rsidR="772576BC">
        <w:t xml:space="preserve">AmeriCorps Seniors </w:t>
      </w:r>
      <w:r>
        <w:t>grants</w:t>
      </w:r>
      <w:r w:rsidR="719E6F2F">
        <w:t xml:space="preserve">. </w:t>
      </w:r>
      <w:r>
        <w:t>There is no economic burden to any other small entities beyond the co</w:t>
      </w:r>
      <w:r w:rsidR="2F9DA09B">
        <w:t>st of staff time to collect and report the data</w:t>
      </w:r>
      <w:r w:rsidR="719E6F2F">
        <w:t xml:space="preserve">. </w:t>
      </w:r>
      <w:r>
        <w:t xml:space="preserve">This is minimized to the degree possible by only asking for the information </w:t>
      </w:r>
      <w:r>
        <w:t>absolutely necessary</w:t>
      </w:r>
      <w:r>
        <w:t xml:space="preserve"> to </w:t>
      </w:r>
      <w:r w:rsidR="74ACAE72">
        <w:t>assess an organization’s eligibility to apply to administer</w:t>
      </w:r>
      <w:r w:rsidR="2F9DA09B">
        <w:t xml:space="preserve"> </w:t>
      </w:r>
      <w:r w:rsidR="74ACAE72">
        <w:t>a</w:t>
      </w:r>
      <w:r w:rsidR="2E9739AC">
        <w:t>n AmeriCorps Seniors</w:t>
      </w:r>
      <w:r w:rsidR="74ACAE72">
        <w:t xml:space="preserve"> grant</w:t>
      </w:r>
      <w:r w:rsidR="798A2E3C">
        <w:t xml:space="preserve"> and only information required to assess a grantee’s annual performance.</w:t>
      </w:r>
    </w:p>
    <w:p w:rsidR="000576E9" w:rsidRPr="001C4327" w:rsidP="000576E9" w14:paraId="44EAFD9C" w14:textId="77777777">
      <w:pPr>
        <w:rPr>
          <w:b/>
          <w:bCs/>
        </w:rPr>
      </w:pPr>
    </w:p>
    <w:p w:rsidR="000576E9" w:rsidRPr="001C4327" w:rsidP="000576E9" w14:paraId="0CBB700D" w14:textId="5CCE2D8B">
      <w:pPr>
        <w:rPr>
          <w:rFonts w:ascii="Arial Narrow" w:hAnsi="Arial Narrow"/>
        </w:rPr>
      </w:pPr>
      <w:r w:rsidRPr="001C4327">
        <w:rPr>
          <w:b/>
          <w:bCs/>
        </w:rPr>
        <w:t>6</w:t>
      </w:r>
      <w:r w:rsidR="00254304">
        <w:rPr>
          <w:b/>
          <w:bCs/>
        </w:rPr>
        <w:t xml:space="preserve">. </w:t>
      </w:r>
      <w:r w:rsidRPr="00E34F20" w:rsidR="00DC35E5">
        <w:rPr>
          <w:b/>
          <w:bCs/>
          <w:u w:val="single"/>
        </w:rPr>
        <w:t>Less Frequent Collection.</w:t>
      </w:r>
    </w:p>
    <w:p w:rsidR="003E34C0" w:rsidP="00395ED5" w14:paraId="09AF38FC" w14:textId="77777777">
      <w:pPr>
        <w:ind w:firstLine="720"/>
      </w:pPr>
      <w:r w:rsidRPr="001C4327">
        <w:t> </w:t>
      </w:r>
    </w:p>
    <w:p w:rsidR="009A0CC2" w:rsidRPr="001C4327" w:rsidP="00DA5AEF" w14:paraId="7C0E994E" w14:textId="3EA5D109">
      <w:r>
        <w:t xml:space="preserve">If this information were collected less frequently, </w:t>
      </w:r>
      <w:r w:rsidR="6985DF60">
        <w:t>AmeriCorps w</w:t>
      </w:r>
      <w:r w:rsidR="3626592A">
        <w:t>ould</w:t>
      </w:r>
      <w:r w:rsidR="6985DF60">
        <w:t xml:space="preserve"> be unable to</w:t>
      </w:r>
      <w:r w:rsidR="74ACAE72">
        <w:t xml:space="preserve"> assess prospective </w:t>
      </w:r>
      <w:r w:rsidR="798A2E3C">
        <w:t>AmeriCorps Seniors</w:t>
      </w:r>
      <w:r w:rsidR="74ACAE72">
        <w:t xml:space="preserve"> grantees</w:t>
      </w:r>
      <w:r w:rsidR="798A2E3C">
        <w:t>, nor able to assess the performance of AmeriCorps Seniors grants</w:t>
      </w:r>
      <w:r w:rsidR="69098660">
        <w:t xml:space="preserve">. </w:t>
      </w:r>
    </w:p>
    <w:p w:rsidR="000576E9" w:rsidRPr="001C4327" w:rsidP="000576E9" w14:paraId="4B94D5A5" w14:textId="77777777">
      <w:pPr>
        <w:ind w:left="540" w:hanging="630"/>
        <w:rPr>
          <w:b/>
          <w:bCs/>
        </w:rPr>
      </w:pPr>
    </w:p>
    <w:p w:rsidR="000576E9" w:rsidRPr="00E34F20" w:rsidP="000576E9" w14:paraId="68F45D63" w14:textId="0D48270B">
      <w:pPr>
        <w:ind w:left="540" w:hanging="630"/>
        <w:rPr>
          <w:b/>
          <w:bCs/>
        </w:rPr>
      </w:pPr>
      <w:r w:rsidRPr="001C4327">
        <w:rPr>
          <w:b/>
          <w:bCs/>
        </w:rPr>
        <w:t xml:space="preserve">  7</w:t>
      </w:r>
      <w:r w:rsidR="00254304">
        <w:rPr>
          <w:b/>
          <w:bCs/>
        </w:rPr>
        <w:t xml:space="preserve">. </w:t>
      </w:r>
      <w:r w:rsidRPr="00E34F20" w:rsidR="00DC35E5">
        <w:rPr>
          <w:b/>
          <w:bCs/>
          <w:u w:val="single"/>
        </w:rPr>
        <w:t>Paperwork Reduction Act Guidelines</w:t>
      </w:r>
    </w:p>
    <w:p w:rsidR="00D74ADD" w:rsidP="00395ED5" w14:paraId="3DEEC669" w14:textId="77777777">
      <w:pPr>
        <w:tabs>
          <w:tab w:val="left" w:pos="540"/>
          <w:tab w:val="left" w:pos="900"/>
        </w:tabs>
        <w:ind w:firstLine="720"/>
        <w:outlineLvl w:val="0"/>
        <w:rPr>
          <w:bCs/>
        </w:rPr>
      </w:pPr>
    </w:p>
    <w:p w:rsidR="000576E9" w:rsidRPr="001C4327" w:rsidP="00E34F20" w14:paraId="794601B1" w14:textId="1C76B0EA">
      <w:pPr>
        <w:tabs>
          <w:tab w:val="left" w:pos="540"/>
          <w:tab w:val="left" w:pos="900"/>
        </w:tabs>
        <w:outlineLvl w:val="0"/>
        <w:rPr>
          <w:rFonts w:ascii="Arial Narrow" w:hAnsi="Arial Narrow"/>
        </w:rPr>
      </w:pPr>
      <w:r>
        <w:t>There are no special circumstances that would require the collect</w:t>
      </w:r>
      <w:r w:rsidR="35DAD999">
        <w:t xml:space="preserve">ion of information in </w:t>
      </w:r>
      <w:r>
        <w:t>ways</w:t>
      </w:r>
      <w:r w:rsidR="0556CD65">
        <w:t xml:space="preserve"> that violate the Paperwork Reduction Act Guidelines</w:t>
      </w:r>
      <w:r>
        <w:t>.</w:t>
      </w:r>
    </w:p>
    <w:p w:rsidR="000576E9" w:rsidRPr="001C4327" w:rsidP="00E178E3" w14:paraId="3656B9AB" w14:textId="77777777">
      <w:pPr>
        <w:ind w:left="360"/>
        <w:outlineLvl w:val="0"/>
        <w:rPr>
          <w:rFonts w:ascii="Arial Narrow" w:hAnsi="Arial Narrow"/>
        </w:rPr>
      </w:pPr>
    </w:p>
    <w:p w:rsidR="000576E9" w:rsidRPr="001C4327" w:rsidP="000576E9" w14:paraId="530F5FEB" w14:textId="28F09CF8">
      <w:pPr>
        <w:ind w:left="540" w:hanging="540"/>
        <w:rPr>
          <w:b/>
          <w:bCs/>
        </w:rPr>
      </w:pPr>
      <w:r w:rsidRPr="001C4327">
        <w:rPr>
          <w:b/>
          <w:bCs/>
        </w:rPr>
        <w:t>8</w:t>
      </w:r>
      <w:r w:rsidR="00254304">
        <w:rPr>
          <w:b/>
          <w:bCs/>
        </w:rPr>
        <w:t xml:space="preserve">. </w:t>
      </w:r>
      <w:r w:rsidRPr="00E34F20" w:rsidR="00DC35E5">
        <w:rPr>
          <w:b/>
          <w:bCs/>
          <w:u w:val="single"/>
        </w:rPr>
        <w:t>Consultation and Public Comments.</w:t>
      </w:r>
    </w:p>
    <w:p w:rsidR="00D74ADD" w:rsidP="004163D5" w14:paraId="45FB0818" w14:textId="77777777"/>
    <w:p w:rsidR="007F0829" w:rsidP="00E34F20" w14:paraId="13DBB815" w14:textId="77777777">
      <w:r>
        <w:t>The 60</w:t>
      </w:r>
      <w:r w:rsidR="6182A97D">
        <w:t>-</w:t>
      </w:r>
      <w:r>
        <w:t xml:space="preserve">day </w:t>
      </w:r>
      <w:r w:rsidRPr="599F85F5">
        <w:rPr>
          <w:i/>
          <w:iCs/>
        </w:rPr>
        <w:t>Not</w:t>
      </w:r>
      <w:r w:rsidRPr="599F85F5" w:rsidR="0644195D">
        <w:rPr>
          <w:i/>
          <w:iCs/>
        </w:rPr>
        <w:t xml:space="preserve">ice </w:t>
      </w:r>
      <w:r w:rsidR="0644195D">
        <w:t xml:space="preserve">soliciting comments was </w:t>
      </w:r>
      <w:r>
        <w:t>published</w:t>
      </w:r>
      <w:r w:rsidR="0644195D">
        <w:t xml:space="preserve"> on </w:t>
      </w:r>
      <w:r w:rsidR="798A2E3C">
        <w:t>April 27, 2023</w:t>
      </w:r>
      <w:r w:rsidR="74ACAE72">
        <w:t xml:space="preserve">, </w:t>
      </w:r>
      <w:r w:rsidR="2B22C61B">
        <w:t>at</w:t>
      </w:r>
      <w:r w:rsidR="14365227">
        <w:t xml:space="preserve"> 88 FR 25625</w:t>
      </w:r>
      <w:r w:rsidR="719E6F2F">
        <w:t xml:space="preserve">. </w:t>
      </w:r>
      <w:r w:rsidR="0BC9C0B9">
        <w:t xml:space="preserve">32 </w:t>
      </w:r>
      <w:r w:rsidR="681EFACD">
        <w:t>comments were received</w:t>
      </w:r>
      <w:r w:rsidR="74323A87">
        <w:t>, as described below</w:t>
      </w:r>
      <w:r w:rsidR="681EFACD">
        <w:t>.</w:t>
      </w:r>
      <w:r w:rsidR="47AFC27C">
        <w:t xml:space="preserve"> </w:t>
      </w:r>
    </w:p>
    <w:p w:rsidR="007F0829" w:rsidP="00E34F20" w14:paraId="6238B566" w14:textId="77777777"/>
    <w:p w:rsidR="004163D5" w:rsidRPr="00BE0835" w:rsidP="00E34F20" w14:paraId="39CBD638" w14:textId="6F31BD51">
      <w:r>
        <w:t xml:space="preserve">Additionally, </w:t>
      </w:r>
      <w:r w:rsidR="585DFBD5">
        <w:t xml:space="preserve">AmeriCorps Seniors proactively reached out to AmeriCorps’ Office of Research and Evaluation who, in conjunction with AmeriCorps Seniors, to identify reporting questions that allow AmeriCorps Seniors to report out on key metrics in as minimally burdensome process as possible.  Additionally, AmeriCorps Seniors reached out the board members of the AmeriCorps Seniors Associations – representatives of AmeriCorps Seniors grantees with proposed changes to the Progress Report Supplement, the only document proposed being changed. The Associations were appreciative of efforts by AmeriCorps to reduce the overall number of questions in the annual report.  They provided feedback that guidance would need to be updated and they would need time to implement data collection mechanisms to report out on new questions. AmeriCorps agreed that time may be needed to implement data collection mechanisms for new reporting questions and, thus, would not make them required for the first year implemented. </w:t>
      </w:r>
    </w:p>
    <w:p w:rsidR="2C47749E" w:rsidP="2C47749E" w14:paraId="049F31CB" w14:textId="77777777">
      <w:pPr>
        <w:ind w:firstLine="720"/>
      </w:pPr>
    </w:p>
    <w:p w:rsidR="640FCA63" w:rsidP="2C47749E" w14:paraId="70731D91" w14:textId="02D96300">
      <w:r>
        <w:t>There were 32 total comments</w:t>
      </w:r>
      <w:r w:rsidR="473BB27A">
        <w:t xml:space="preserve"> submitted in response to the 60-day notice</w:t>
      </w:r>
      <w:r>
        <w:t xml:space="preserve">. Of these, 26 were the same comment. Of the other comments, one was in support, one was without specific comment, and the others detailing that the Progress Report Supplement (PRS) is a burden. In relation to the Progress Report Supplement (PRS), the only document with proposes revisions, AmeriCorps Seniors agrees that reporting may be burdensome and is thus </w:t>
      </w:r>
      <w:r w:rsidR="005B4916">
        <w:t xml:space="preserve">deleting a </w:t>
      </w:r>
      <w:r>
        <w:t>questions</w:t>
      </w:r>
      <w:r w:rsidR="00947B1F">
        <w:t xml:space="preserve"> for each new question</w:t>
      </w:r>
      <w:r>
        <w:t xml:space="preserve"> required within the Progress Report Supplement. </w:t>
      </w:r>
      <w:r w:rsidR="7F7A0147">
        <w:t xml:space="preserve">The substantive comments and responses are summarized here: </w:t>
      </w:r>
    </w:p>
    <w:p w:rsidR="640FCA63" w14:paraId="0A6959E7" w14:textId="77777777">
      <w:r w:rsidRPr="2C47749E">
        <w:rPr>
          <w:rFonts w:ascii="Calibri" w:eastAsia="Calibri" w:hAnsi="Calibri" w:cs="Calibri"/>
          <w:sz w:val="22"/>
          <w:szCs w:val="22"/>
        </w:rPr>
        <w:t xml:space="preserve"> </w:t>
      </w:r>
    </w:p>
    <w:p w:rsidR="640FCA63" w:rsidP="2C47749E" w14:paraId="158E02DE" w14:textId="77777777">
      <w:r w:rsidRPr="2C47749E">
        <w:rPr>
          <w:u w:val="single"/>
        </w:rPr>
        <w:t>Comment</w:t>
      </w:r>
      <w:r w:rsidRPr="2C47749E">
        <w:t>: AmeriCorps Seniors grants are awarded for a three-year period with required annual budget submissions. ASPN questions the value and additional time needed to update the grant application and workplan submission annually. With a three-year performance period, ASPN proposes for a grantee to submit an annual budget application and an executive summary to update amended community needs and changes instead of the entire grant application. This change would not only reduce the time needed of grantee staff, but also regional staff grant reviewers.</w:t>
      </w:r>
    </w:p>
    <w:p w:rsidR="640FCA63" w:rsidP="2C47749E" w14:paraId="74087F26" w14:textId="67F5D4D0">
      <w:r w:rsidRPr="2C47749E">
        <w:rPr>
          <w:u w:val="single"/>
        </w:rPr>
        <w:t>AmeriCorps Response</w:t>
      </w:r>
      <w:r w:rsidRPr="2C47749E">
        <w:t>: AmeriCorps is in the process of modernizing our grant management systems. As part of the modernization effort</w:t>
      </w:r>
      <w:r w:rsidR="000F6516">
        <w:t xml:space="preserve"> that will update the electronic grants management system</w:t>
      </w:r>
      <w:r w:rsidRPr="2C47749E">
        <w:t>, AmeriCorps will propose grantees to submit a simplified budget application and an update through a simplified amendment process rather than an entire grant continuation application.</w:t>
      </w:r>
      <w:r w:rsidR="005E1E55">
        <w:t xml:space="preserve"> </w:t>
      </w:r>
      <w:r w:rsidR="00D84482">
        <w:t>These</w:t>
      </w:r>
      <w:r w:rsidR="005E1E55">
        <w:t xml:space="preserve"> agency-wide steps to update technology </w:t>
      </w:r>
      <w:r w:rsidR="00D84482">
        <w:t>will enable AmeriCorps to</w:t>
      </w:r>
      <w:r w:rsidR="009E53FE">
        <w:t xml:space="preserve"> address this burden in the future</w:t>
      </w:r>
      <w:r w:rsidR="00616923">
        <w:t>.</w:t>
      </w:r>
      <w:r>
        <w:br/>
      </w:r>
      <w:r w:rsidRPr="2C47749E">
        <w:rPr>
          <w:rFonts w:ascii="Calibri" w:eastAsia="Calibri" w:hAnsi="Calibri" w:cs="Calibri"/>
          <w:color w:val="FF0000"/>
          <w:sz w:val="22"/>
          <w:szCs w:val="22"/>
        </w:rPr>
        <w:t xml:space="preserve"> </w:t>
      </w:r>
      <w:r>
        <w:br/>
      </w:r>
      <w:r w:rsidRPr="2C47749E">
        <w:rPr>
          <w:u w:val="single"/>
        </w:rPr>
        <w:t>Comment</w:t>
      </w:r>
      <w:r w:rsidRPr="2C47749E">
        <w:t>: While the Progress Report at the end of a grant year is straightforward, there is confusion as to how much information is needed in the narrative section. Instructions about the examples of info that is most helpful in the narrative sections would be welcome.</w:t>
      </w:r>
    </w:p>
    <w:p w:rsidR="640FCA63" w:rsidP="2C47749E" w14:paraId="67A5E352" w14:textId="77777777">
      <w:r w:rsidRPr="2C47749E">
        <w:rPr>
          <w:u w:val="single"/>
        </w:rPr>
        <w:t>AmeriCorps Response</w:t>
      </w:r>
      <w:r w:rsidRPr="2C47749E">
        <w:t>: In addition to Progress Report Instructions and training, AmeriCorps provides Appendix A.4 – AmeriCorps Seniors Progress Report Tips in each Program Handbook.  This document shares examples about what information is worth considering for the narrative sections of the Progress Report. In addition, grantees can also speak with their Portfolio Manager about what information and to what extent they should include.</w:t>
      </w:r>
      <w:r>
        <w:br/>
      </w:r>
      <w:r w:rsidRPr="2C47749E">
        <w:t xml:space="preserve"> </w:t>
      </w:r>
      <w:r>
        <w:br/>
      </w:r>
      <w:r w:rsidRPr="2C47749E">
        <w:rPr>
          <w:u w:val="single"/>
        </w:rPr>
        <w:t>Comment</w:t>
      </w:r>
      <w:r w:rsidRPr="2C47749E">
        <w:t xml:space="preserve">: The Progress Report Supplement has been referred to as many different things over the years. With current Performance Measure workplans being very specific as to the special needs served by volunteers, this complete demographic report is burdensome for both program and station staff. ASPN has been told that there is no way for CNCS to aggregate the data reported into a national needs snapshot. As such, ASPN strongly believes that is CNCS unable to aggregate this data, programs should not be asked to collect it. The current reporting dates do not </w:t>
      </w:r>
      <w:r w:rsidRPr="2C47749E">
        <w:t>take into account</w:t>
      </w:r>
      <w:r w:rsidRPr="2C47749E">
        <w:t xml:space="preserve"> grant years; therefore, programs are reporting on portions of two different grant years, causing the information to often be incorrect. Demographics of the volunteers should be rolled into the annual Progress Report. The PPR-S should be eliminated and would reduce the administrative burden for both grantees and agency staff.</w:t>
      </w:r>
    </w:p>
    <w:p w:rsidR="640FCA63" w:rsidP="2C47749E" w14:paraId="2B43452D" w14:textId="483E1475">
      <w:r w:rsidRPr="2C47749E">
        <w:rPr>
          <w:u w:val="single"/>
        </w:rPr>
        <w:t>AmeriCorps Response</w:t>
      </w:r>
      <w:r w:rsidRPr="2C47749E">
        <w:t xml:space="preserve">: AmeriCorps can and does aggregate the demographic section of the Progress Report Supplement (PRS). At this time, AmeriCorps is in the process of </w:t>
      </w:r>
      <w:r w:rsidRPr="2C47749E">
        <w:t>updating their grant management systems to enable volunteer information to be able to be entered directly into the system. AmeriCorps Seniors anticipates that this will eliminate the need for the Progress Report Supplement, reducing the administrative burden for grantees and agency staff.</w:t>
      </w:r>
      <w:r w:rsidR="00F275C7">
        <w:t xml:space="preserve"> </w:t>
      </w:r>
      <w:r w:rsidR="009E53FE">
        <w:t>These agency-wide steps to update technology will enable AmeriCorps to address this burden in the future.</w:t>
      </w:r>
      <w:r>
        <w:br/>
      </w:r>
      <w:r w:rsidRPr="2C47749E">
        <w:t xml:space="preserve"> </w:t>
      </w:r>
      <w:r>
        <w:br/>
      </w:r>
      <w:r w:rsidRPr="2C47749E">
        <w:rPr>
          <w:u w:val="single"/>
        </w:rPr>
        <w:t>Comment</w:t>
      </w:r>
      <w:r w:rsidRPr="2C47749E">
        <w:t xml:space="preserve">: Independent Living and Respite Surveys: SCP directors report that national work-plans do not require all the information requested on these surveys. If the workplan does not request the information, it would be best if those questions were eliminated from the survey and would possibly result in a better return on the number of clients completing the surveys. As Senior Companions serve those with dementia, it is often the caregiver of the client that completes this survey. </w:t>
      </w:r>
      <w:r w:rsidRPr="2C47749E">
        <w:t>In an effort to</w:t>
      </w:r>
      <w:r w:rsidRPr="2C47749E">
        <w:t xml:space="preserve"> mitigate adding to caregiver burden, a shortened survey could be more easily completed which would then in turn, produce a better response rate.</w:t>
      </w:r>
    </w:p>
    <w:p w:rsidR="640FCA63" w:rsidP="2C47749E" w14:paraId="1C9B6F27" w14:textId="6B5A3CA3">
      <w:r w:rsidRPr="2C47749E">
        <w:rPr>
          <w:u w:val="single"/>
        </w:rPr>
        <w:t>AmeriCorps Response</w:t>
      </w:r>
      <w:r w:rsidRPr="2C47749E">
        <w:t>: At only 13 questions, AmeriCorps Seniors disagrees that this survey is too burdensome. However, AmeriCorps Seniors will review the Independent Living and Respite Survey</w:t>
      </w:r>
      <w:r w:rsidR="00CD264E">
        <w:t xml:space="preserve"> over the next few years and continue outreach</w:t>
      </w:r>
      <w:r w:rsidRPr="2C47749E">
        <w:t>. AmeriCorps Seniors is interested in the specific questions which SCP Directors propose to be eliminated.</w:t>
      </w:r>
    </w:p>
    <w:p w:rsidR="000576E9" w:rsidRPr="001C4327" w:rsidP="000576E9" w14:paraId="15AA318D" w14:textId="77777777">
      <w:pPr>
        <w:rPr>
          <w:rFonts w:ascii="Arial Narrow" w:hAnsi="Arial Narrow"/>
        </w:rPr>
      </w:pPr>
      <w:r w:rsidRPr="001C4327">
        <w:t> </w:t>
      </w:r>
    </w:p>
    <w:p w:rsidR="000576E9" w:rsidRPr="00BE28A6" w:rsidP="00AD792F" w14:paraId="0AEE4576" w14:textId="5383F59E">
      <w:pPr>
        <w:rPr>
          <w:b/>
          <w:bCs/>
          <w:kern w:val="36"/>
        </w:rPr>
      </w:pPr>
      <w:r w:rsidRPr="001C4327">
        <w:t> </w:t>
      </w:r>
      <w:r w:rsidRPr="001C4327">
        <w:rPr>
          <w:b/>
          <w:bCs/>
          <w:kern w:val="36"/>
        </w:rPr>
        <w:t>9</w:t>
      </w:r>
      <w:r w:rsidR="00254304">
        <w:rPr>
          <w:b/>
          <w:bCs/>
          <w:kern w:val="36"/>
        </w:rPr>
        <w:t>.</w:t>
      </w:r>
      <w:r w:rsidRPr="00DC35E5" w:rsidR="00DC35E5">
        <w:rPr>
          <w:u w:val="single"/>
        </w:rPr>
        <w:t xml:space="preserve"> </w:t>
      </w:r>
      <w:r w:rsidRPr="00BE28A6" w:rsidR="00DC35E5">
        <w:rPr>
          <w:b/>
          <w:bCs/>
          <w:u w:val="single"/>
        </w:rPr>
        <w:t>Gifts or Payment.</w:t>
      </w:r>
    </w:p>
    <w:p w:rsidR="00D74ADD" w:rsidP="00395ED5" w14:paraId="53128261" w14:textId="77777777">
      <w:pPr>
        <w:keepNext/>
        <w:ind w:firstLine="720"/>
        <w:outlineLvl w:val="0"/>
        <w:rPr>
          <w:bCs/>
          <w:kern w:val="36"/>
        </w:rPr>
      </w:pPr>
    </w:p>
    <w:p w:rsidR="009437C4" w:rsidRPr="001C4327" w:rsidP="007A1C12" w14:paraId="69DAFD51" w14:textId="6955C086">
      <w:pPr>
        <w:keepNext/>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000576E9" w:rsidRPr="001C4327" w:rsidP="000576E9" w14:paraId="4D17554C" w14:textId="77777777">
      <w:pPr>
        <w:rPr>
          <w:rFonts w:ascii="Arial Narrow" w:hAnsi="Arial Narrow"/>
        </w:rPr>
      </w:pPr>
      <w:r w:rsidRPr="001C4327">
        <w:t>  </w:t>
      </w:r>
    </w:p>
    <w:p w:rsidR="0035071A" w:rsidP="0035071A" w14:paraId="5BA3BC0F" w14:textId="4FE4F080">
      <w:pPr>
        <w:rPr>
          <w:rFonts w:ascii="Arial Narrow" w:hAnsi="Arial Narrow"/>
        </w:rPr>
      </w:pPr>
      <w:r>
        <w:rPr>
          <w:b/>
          <w:bCs/>
        </w:rPr>
        <w:t>10</w:t>
      </w:r>
      <w:r w:rsidR="00254304">
        <w:rPr>
          <w:b/>
          <w:bCs/>
        </w:rPr>
        <w:t xml:space="preserve">. </w:t>
      </w:r>
      <w:r w:rsidRPr="00BE28A6" w:rsidR="00DC35E5">
        <w:rPr>
          <w:b/>
          <w:bCs/>
          <w:u w:val="single"/>
        </w:rPr>
        <w:t>Privacy &amp; Confidentiality</w:t>
      </w:r>
    </w:p>
    <w:p w:rsidR="0035071A" w:rsidP="0035071A" w14:paraId="62486C05" w14:textId="77777777">
      <w:pPr>
        <w:ind w:firstLine="540"/>
        <w:rPr>
          <w:bCs/>
        </w:rPr>
      </w:pPr>
    </w:p>
    <w:p w:rsidR="0035071A" w:rsidP="0035071A" w14:paraId="4101652C" w14:textId="3EBC5500">
      <w:pPr>
        <w:rPr>
          <w:b/>
          <w:bCs/>
        </w:rPr>
      </w:pPr>
      <w:r>
        <w:t xml:space="preserve">AmeriCorps publishes only public use data that contains no personal information and has been coded to shield potential identification of participants. </w:t>
      </w:r>
      <w:r w:rsidR="63F360B5">
        <w:t xml:space="preserve">Respondents are not required to submit proprietary trade secrets or other confidential information. </w:t>
      </w:r>
      <w:r w:rsidR="706C1EB8">
        <w:t>AmeriCorps Seniors does not collect personally identifiable information.</w:t>
      </w:r>
      <w:r w:rsidR="524DD3E4">
        <w:t xml:space="preserve"> </w:t>
      </w:r>
      <w:r w:rsidR="66A76CAB">
        <w:t xml:space="preserve">Per the Federal Cybersecurity Enhancement Act of 2015, all data are protected from cybersecurity risks through screening of the systems that transmit data. </w:t>
      </w:r>
    </w:p>
    <w:p w:rsidR="00BE28A6" w:rsidP="0035071A" w14:paraId="4F7C2C03" w14:textId="77777777">
      <w:pPr>
        <w:rPr>
          <w:b/>
          <w:bCs/>
        </w:rPr>
      </w:pPr>
    </w:p>
    <w:p w:rsidR="0035071A" w:rsidP="0035071A" w14:paraId="04B9FD75" w14:textId="739C552A">
      <w:pPr>
        <w:rPr>
          <w:rFonts w:ascii="Arial Narrow" w:hAnsi="Arial Narrow"/>
        </w:rPr>
      </w:pPr>
      <w:r>
        <w:rPr>
          <w:b/>
          <w:bCs/>
        </w:rPr>
        <w:t>11</w:t>
      </w:r>
      <w:r w:rsidR="00254304">
        <w:rPr>
          <w:b/>
          <w:bCs/>
        </w:rPr>
        <w:t xml:space="preserve">. </w:t>
      </w:r>
      <w:r w:rsidRPr="00446388">
        <w:rPr>
          <w:b/>
          <w:bCs/>
          <w:u w:val="single"/>
        </w:rPr>
        <w:t>Sensitive Questions</w:t>
      </w:r>
    </w:p>
    <w:p w:rsidR="0035071A" w:rsidP="0035071A" w14:paraId="01512BE8" w14:textId="77777777">
      <w:pPr>
        <w:ind w:firstLine="720"/>
      </w:pPr>
      <w:r>
        <w:t> </w:t>
      </w:r>
    </w:p>
    <w:p w:rsidR="0035071A" w:rsidP="00BE28A6" w14:paraId="56138F03" w14:textId="77777777">
      <w:r>
        <w:t>The information collection does not include questions of a sensitive nature.</w:t>
      </w:r>
    </w:p>
    <w:p w:rsidR="000576E9" w:rsidRPr="001C4327" w:rsidP="000576E9" w14:paraId="63D9C952" w14:textId="77777777">
      <w:pPr>
        <w:rPr>
          <w:rFonts w:ascii="Arial Narrow" w:hAnsi="Arial Narrow"/>
        </w:rPr>
      </w:pPr>
      <w:r w:rsidRPr="001C4327">
        <w:t>  </w:t>
      </w:r>
    </w:p>
    <w:p w:rsidR="00254304" w:rsidRPr="009A69EA" w:rsidP="00254304" w14:paraId="5FB49772" w14:textId="28AA3156">
      <w:pPr>
        <w:rPr>
          <w:rFonts w:ascii="Arial Narrow" w:hAnsi="Arial Narrow"/>
        </w:rPr>
      </w:pPr>
      <w:r w:rsidRPr="599F85F5">
        <w:rPr>
          <w:b/>
          <w:bCs/>
        </w:rPr>
        <w:t>1</w:t>
      </w:r>
      <w:r w:rsidRPr="599F85F5" w:rsidR="47AFC27C">
        <w:rPr>
          <w:b/>
          <w:bCs/>
        </w:rPr>
        <w:t>2</w:t>
      </w:r>
      <w:r w:rsidRPr="599F85F5">
        <w:rPr>
          <w:b/>
          <w:bCs/>
        </w:rPr>
        <w:t>.</w:t>
      </w:r>
      <w:r w:rsidRPr="00BE28A6">
        <w:rPr>
          <w:b/>
          <w:bCs/>
        </w:rPr>
        <w:t xml:space="preserve"> </w:t>
      </w:r>
      <w:r w:rsidRPr="00BE28A6" w:rsidR="6F943725">
        <w:rPr>
          <w:b/>
          <w:bCs/>
          <w:u w:val="single"/>
        </w:rPr>
        <w:t>Burden Estimate.</w:t>
      </w:r>
    </w:p>
    <w:p w:rsidR="002F1AEB" w:rsidP="002F1AEB" w14:paraId="33C74FDC" w14:textId="77777777"/>
    <w:p w:rsidR="002F1AEB" w:rsidP="002F1AEB" w14:paraId="1E23E9A1" w14:textId="6988E136">
      <w:pPr>
        <w:rPr>
          <w:b/>
          <w:bCs/>
          <w:i/>
          <w:iCs/>
        </w:rPr>
      </w:pPr>
      <w:r>
        <w:rPr>
          <w:b/>
          <w:bCs/>
          <w:i/>
          <w:iCs/>
        </w:rPr>
        <w:t>ICR Summary of Burden</w:t>
      </w:r>
    </w:p>
    <w:p w:rsidR="007C5F33" w:rsidP="002F1AEB" w14:paraId="4F74CBB9" w14:textId="77777777">
      <w:pPr>
        <w:rPr>
          <w:b/>
          <w:bCs/>
          <w:i/>
          <w:iCs/>
        </w:rPr>
      </w:pPr>
    </w:p>
    <w:p w:rsidR="00A55AAE" w:rsidP="002F1AEB" w14:paraId="201BA302" w14:textId="3C075DD1">
      <w:r>
        <w:t xml:space="preserve">The </w:t>
      </w:r>
      <w:r w:rsidR="006D18B5">
        <w:t xml:space="preserve">ICR Summary of Burden in ROCIS shows a change due to adjustment in agency estimate as follows because </w:t>
      </w:r>
      <w:r w:rsidR="00FE0132">
        <w:t xml:space="preserve">AmeriCorps </w:t>
      </w:r>
      <w:r w:rsidR="007C5F33">
        <w:t>removed</w:t>
      </w:r>
      <w:r w:rsidR="00FE0132">
        <w:t xml:space="preserve"> the information collections (ICs) </w:t>
      </w:r>
      <w:r>
        <w:t xml:space="preserve">and associated hourly burdens </w:t>
      </w:r>
      <w:r w:rsidR="00451144">
        <w:t>remaining from approvals</w:t>
      </w:r>
      <w:r w:rsidR="00135577">
        <w:t xml:space="preserve"> prior to the last approval in 2021</w:t>
      </w:r>
      <w:r>
        <w:t>, as shown in the table below:</w:t>
      </w:r>
    </w:p>
    <w:p w:rsidR="00A55AAE" w:rsidP="002F1AEB" w14:paraId="1C0D5B8F" w14:textId="77777777"/>
    <w:tbl>
      <w:tblPr>
        <w:tblStyle w:val="TableGrid"/>
        <w:tblW w:w="0" w:type="auto"/>
        <w:tblLook w:val="04A0"/>
      </w:tblPr>
      <w:tblGrid>
        <w:gridCol w:w="1232"/>
        <w:gridCol w:w="1233"/>
        <w:gridCol w:w="1233"/>
        <w:gridCol w:w="1233"/>
        <w:gridCol w:w="1233"/>
        <w:gridCol w:w="1233"/>
        <w:gridCol w:w="1233"/>
      </w:tblGrid>
      <w:tr w14:paraId="456F6790" w14:textId="77777777" w:rsidTr="00E11CE7">
        <w:tblPrEx>
          <w:tblW w:w="0" w:type="auto"/>
          <w:tblLook w:val="04A0"/>
        </w:tblPrEx>
        <w:tc>
          <w:tcPr>
            <w:tcW w:w="1232" w:type="dxa"/>
            <w:shd w:val="clear" w:color="auto" w:fill="A6A6A6" w:themeFill="background1" w:themeFillShade="A6"/>
          </w:tcPr>
          <w:p w:rsidR="00E11CE7" w:rsidRPr="005202EA" w:rsidP="002F1AEB" w14:paraId="17DB2A08" w14:textId="77777777">
            <w:pPr>
              <w:rPr>
                <w:sz w:val="20"/>
                <w:szCs w:val="20"/>
              </w:rPr>
            </w:pPr>
          </w:p>
        </w:tc>
        <w:tc>
          <w:tcPr>
            <w:tcW w:w="1233" w:type="dxa"/>
          </w:tcPr>
          <w:p w:rsidR="00E11CE7" w:rsidRPr="005202EA" w:rsidP="002F1AEB" w14:paraId="4DE82F0D" w14:textId="47905FEA">
            <w:pPr>
              <w:rPr>
                <w:b/>
                <w:bCs/>
                <w:sz w:val="20"/>
                <w:szCs w:val="20"/>
              </w:rPr>
            </w:pPr>
            <w:r w:rsidRPr="005202EA">
              <w:rPr>
                <w:b/>
                <w:bCs/>
                <w:sz w:val="20"/>
                <w:szCs w:val="20"/>
              </w:rPr>
              <w:t>Requested</w:t>
            </w:r>
          </w:p>
        </w:tc>
        <w:tc>
          <w:tcPr>
            <w:tcW w:w="1233" w:type="dxa"/>
          </w:tcPr>
          <w:p w:rsidR="00E11CE7" w:rsidRPr="005202EA" w:rsidP="002F1AEB" w14:paraId="5F61DDC3" w14:textId="6E9D6A4A">
            <w:pPr>
              <w:rPr>
                <w:b/>
                <w:bCs/>
                <w:sz w:val="20"/>
                <w:szCs w:val="20"/>
              </w:rPr>
            </w:pPr>
            <w:r w:rsidRPr="005202EA">
              <w:rPr>
                <w:b/>
                <w:bCs/>
                <w:sz w:val="20"/>
                <w:szCs w:val="20"/>
              </w:rPr>
              <w:t>Program Change Due to New Statute</w:t>
            </w:r>
          </w:p>
        </w:tc>
        <w:tc>
          <w:tcPr>
            <w:tcW w:w="1233" w:type="dxa"/>
          </w:tcPr>
          <w:p w:rsidR="00E11CE7" w:rsidRPr="005202EA" w:rsidP="002F1AEB" w14:paraId="48856C17" w14:textId="771E2FB7">
            <w:pPr>
              <w:rPr>
                <w:b/>
                <w:bCs/>
                <w:sz w:val="20"/>
                <w:szCs w:val="20"/>
              </w:rPr>
            </w:pPr>
            <w:r w:rsidRPr="005202EA">
              <w:rPr>
                <w:b/>
                <w:bCs/>
                <w:sz w:val="20"/>
                <w:szCs w:val="20"/>
              </w:rPr>
              <w:t>Program Change Due to Agency Discretion</w:t>
            </w:r>
          </w:p>
        </w:tc>
        <w:tc>
          <w:tcPr>
            <w:tcW w:w="1233" w:type="dxa"/>
          </w:tcPr>
          <w:p w:rsidR="00E11CE7" w:rsidRPr="005202EA" w:rsidP="002F1AEB" w14:paraId="41907790" w14:textId="0F1C18B6">
            <w:pPr>
              <w:rPr>
                <w:b/>
                <w:bCs/>
                <w:sz w:val="20"/>
                <w:szCs w:val="20"/>
              </w:rPr>
            </w:pPr>
            <w:r w:rsidRPr="005202EA">
              <w:rPr>
                <w:b/>
                <w:bCs/>
                <w:sz w:val="20"/>
                <w:szCs w:val="20"/>
              </w:rPr>
              <w:t>Change Due to Adjustment in Agency Estimate</w:t>
            </w:r>
          </w:p>
        </w:tc>
        <w:tc>
          <w:tcPr>
            <w:tcW w:w="1233" w:type="dxa"/>
          </w:tcPr>
          <w:p w:rsidR="00E11CE7" w:rsidRPr="005202EA" w:rsidP="002F1AEB" w14:paraId="5E47948B" w14:textId="71EFA18B">
            <w:pPr>
              <w:rPr>
                <w:b/>
                <w:bCs/>
                <w:sz w:val="20"/>
                <w:szCs w:val="20"/>
              </w:rPr>
            </w:pPr>
            <w:r w:rsidRPr="005202EA">
              <w:rPr>
                <w:b/>
                <w:bCs/>
                <w:sz w:val="20"/>
                <w:szCs w:val="20"/>
              </w:rPr>
              <w:t>Change Due to Potential Violation of the PRA</w:t>
            </w:r>
          </w:p>
        </w:tc>
        <w:tc>
          <w:tcPr>
            <w:tcW w:w="1233" w:type="dxa"/>
          </w:tcPr>
          <w:p w:rsidR="00E11CE7" w:rsidRPr="005202EA" w:rsidP="002F1AEB" w14:paraId="7B1A9267" w14:textId="10894D86">
            <w:pPr>
              <w:rPr>
                <w:b/>
                <w:bCs/>
                <w:sz w:val="20"/>
                <w:szCs w:val="20"/>
              </w:rPr>
            </w:pPr>
            <w:r w:rsidRPr="005202EA">
              <w:rPr>
                <w:b/>
                <w:bCs/>
                <w:sz w:val="20"/>
                <w:szCs w:val="20"/>
              </w:rPr>
              <w:t>Previously Approved</w:t>
            </w:r>
          </w:p>
        </w:tc>
      </w:tr>
      <w:tr w14:paraId="57BC2DBB" w14:textId="77777777" w:rsidTr="00E11CE7">
        <w:tblPrEx>
          <w:tblW w:w="0" w:type="auto"/>
          <w:tblLook w:val="04A0"/>
        </w:tblPrEx>
        <w:tc>
          <w:tcPr>
            <w:tcW w:w="1232" w:type="dxa"/>
          </w:tcPr>
          <w:p w:rsidR="00E11CE7" w:rsidRPr="005202EA" w:rsidP="002F1AEB" w14:paraId="5DE4D9C0" w14:textId="24E4C45F">
            <w:pPr>
              <w:rPr>
                <w:b/>
                <w:bCs/>
                <w:sz w:val="20"/>
                <w:szCs w:val="20"/>
              </w:rPr>
            </w:pPr>
            <w:r w:rsidRPr="005202EA">
              <w:rPr>
                <w:b/>
                <w:bCs/>
                <w:sz w:val="20"/>
                <w:szCs w:val="20"/>
              </w:rPr>
              <w:t>Annual Number of Responses</w:t>
            </w:r>
          </w:p>
        </w:tc>
        <w:tc>
          <w:tcPr>
            <w:tcW w:w="1233" w:type="dxa"/>
          </w:tcPr>
          <w:p w:rsidR="00E11CE7" w:rsidRPr="005202EA" w:rsidP="002F1AEB" w14:paraId="2F827DCE" w14:textId="20004E37">
            <w:pPr>
              <w:rPr>
                <w:sz w:val="20"/>
                <w:szCs w:val="20"/>
              </w:rPr>
            </w:pPr>
            <w:r>
              <w:rPr>
                <w:sz w:val="20"/>
                <w:szCs w:val="20"/>
              </w:rPr>
              <w:t>6,250</w:t>
            </w:r>
          </w:p>
        </w:tc>
        <w:tc>
          <w:tcPr>
            <w:tcW w:w="1233" w:type="dxa"/>
          </w:tcPr>
          <w:p w:rsidR="00E11CE7" w:rsidRPr="005202EA" w:rsidP="002F1AEB" w14:paraId="3C21269F" w14:textId="10F727F4">
            <w:pPr>
              <w:rPr>
                <w:sz w:val="20"/>
                <w:szCs w:val="20"/>
              </w:rPr>
            </w:pPr>
            <w:r>
              <w:rPr>
                <w:sz w:val="20"/>
                <w:szCs w:val="20"/>
              </w:rPr>
              <w:t>0</w:t>
            </w:r>
          </w:p>
        </w:tc>
        <w:tc>
          <w:tcPr>
            <w:tcW w:w="1233" w:type="dxa"/>
          </w:tcPr>
          <w:p w:rsidR="00E11CE7" w:rsidRPr="005202EA" w:rsidP="002F1AEB" w14:paraId="5ED372FC" w14:textId="31B9231C">
            <w:pPr>
              <w:rPr>
                <w:sz w:val="20"/>
                <w:szCs w:val="20"/>
              </w:rPr>
            </w:pPr>
            <w:r>
              <w:rPr>
                <w:sz w:val="20"/>
                <w:szCs w:val="20"/>
              </w:rPr>
              <w:t>0</w:t>
            </w:r>
          </w:p>
        </w:tc>
        <w:tc>
          <w:tcPr>
            <w:tcW w:w="1233" w:type="dxa"/>
          </w:tcPr>
          <w:p w:rsidR="00E11CE7" w:rsidRPr="005202EA" w:rsidP="002F1AEB" w14:paraId="70EF037D" w14:textId="030666F7">
            <w:pPr>
              <w:rPr>
                <w:sz w:val="20"/>
                <w:szCs w:val="20"/>
              </w:rPr>
            </w:pPr>
            <w:r>
              <w:rPr>
                <w:sz w:val="20"/>
                <w:szCs w:val="20"/>
              </w:rPr>
              <w:t>-</w:t>
            </w:r>
            <w:r w:rsidR="007C022C">
              <w:rPr>
                <w:sz w:val="20"/>
                <w:szCs w:val="20"/>
              </w:rPr>
              <w:t>5,650</w:t>
            </w:r>
          </w:p>
        </w:tc>
        <w:tc>
          <w:tcPr>
            <w:tcW w:w="1233" w:type="dxa"/>
          </w:tcPr>
          <w:p w:rsidR="00E11CE7" w:rsidRPr="005202EA" w:rsidP="002F1AEB" w14:paraId="1C65B95D" w14:textId="27A8B8C5">
            <w:pPr>
              <w:rPr>
                <w:sz w:val="20"/>
                <w:szCs w:val="20"/>
              </w:rPr>
            </w:pPr>
            <w:r>
              <w:rPr>
                <w:sz w:val="20"/>
                <w:szCs w:val="20"/>
              </w:rPr>
              <w:t>0</w:t>
            </w:r>
          </w:p>
        </w:tc>
        <w:tc>
          <w:tcPr>
            <w:tcW w:w="1233" w:type="dxa"/>
          </w:tcPr>
          <w:p w:rsidR="00E11CE7" w:rsidRPr="005202EA" w:rsidP="002F1AEB" w14:paraId="0584EE72" w14:textId="7F80070F">
            <w:pPr>
              <w:rPr>
                <w:sz w:val="20"/>
                <w:szCs w:val="20"/>
              </w:rPr>
            </w:pPr>
            <w:r>
              <w:rPr>
                <w:sz w:val="20"/>
                <w:szCs w:val="20"/>
              </w:rPr>
              <w:t>11,900</w:t>
            </w:r>
          </w:p>
        </w:tc>
      </w:tr>
      <w:tr w14:paraId="2549F97C" w14:textId="77777777" w:rsidTr="00E11CE7">
        <w:tblPrEx>
          <w:tblW w:w="0" w:type="auto"/>
          <w:tblLook w:val="04A0"/>
        </w:tblPrEx>
        <w:tc>
          <w:tcPr>
            <w:tcW w:w="1232" w:type="dxa"/>
          </w:tcPr>
          <w:p w:rsidR="00E11CE7" w:rsidRPr="005202EA" w:rsidP="002F1AEB" w14:paraId="6933401D" w14:textId="277A59B4">
            <w:pPr>
              <w:rPr>
                <w:b/>
                <w:bCs/>
                <w:sz w:val="20"/>
                <w:szCs w:val="20"/>
              </w:rPr>
            </w:pPr>
            <w:r w:rsidRPr="005202EA">
              <w:rPr>
                <w:b/>
                <w:bCs/>
                <w:sz w:val="20"/>
                <w:szCs w:val="20"/>
              </w:rPr>
              <w:t>Annual Time Burden (</w:t>
            </w:r>
            <w:r w:rsidRPr="005202EA">
              <w:rPr>
                <w:b/>
                <w:bCs/>
                <w:sz w:val="20"/>
                <w:szCs w:val="20"/>
              </w:rPr>
              <w:t>Hr</w:t>
            </w:r>
            <w:r w:rsidRPr="005202EA">
              <w:rPr>
                <w:b/>
                <w:bCs/>
                <w:sz w:val="20"/>
                <w:szCs w:val="20"/>
              </w:rPr>
              <w:t>)</w:t>
            </w:r>
          </w:p>
        </w:tc>
        <w:tc>
          <w:tcPr>
            <w:tcW w:w="1233" w:type="dxa"/>
          </w:tcPr>
          <w:p w:rsidR="00E11CE7" w:rsidRPr="005202EA" w:rsidP="002F1AEB" w14:paraId="6E2F88ED" w14:textId="2C85A864">
            <w:pPr>
              <w:rPr>
                <w:sz w:val="20"/>
                <w:szCs w:val="20"/>
              </w:rPr>
            </w:pPr>
            <w:r>
              <w:rPr>
                <w:sz w:val="20"/>
                <w:szCs w:val="20"/>
              </w:rPr>
              <w:t>6,250</w:t>
            </w:r>
          </w:p>
        </w:tc>
        <w:tc>
          <w:tcPr>
            <w:tcW w:w="1233" w:type="dxa"/>
          </w:tcPr>
          <w:p w:rsidR="00E11CE7" w:rsidRPr="005202EA" w:rsidP="002F1AEB" w14:paraId="30A4D79F" w14:textId="1E99CB83">
            <w:pPr>
              <w:rPr>
                <w:sz w:val="20"/>
                <w:szCs w:val="20"/>
              </w:rPr>
            </w:pPr>
            <w:r>
              <w:rPr>
                <w:sz w:val="20"/>
                <w:szCs w:val="20"/>
              </w:rPr>
              <w:t>0</w:t>
            </w:r>
          </w:p>
        </w:tc>
        <w:tc>
          <w:tcPr>
            <w:tcW w:w="1233" w:type="dxa"/>
          </w:tcPr>
          <w:p w:rsidR="00E11CE7" w:rsidRPr="005202EA" w:rsidP="002F1AEB" w14:paraId="3EF0BB6A" w14:textId="0D212980">
            <w:pPr>
              <w:rPr>
                <w:sz w:val="20"/>
                <w:szCs w:val="20"/>
              </w:rPr>
            </w:pPr>
            <w:r>
              <w:rPr>
                <w:sz w:val="20"/>
                <w:szCs w:val="20"/>
              </w:rPr>
              <w:t>0</w:t>
            </w:r>
          </w:p>
        </w:tc>
        <w:tc>
          <w:tcPr>
            <w:tcW w:w="1233" w:type="dxa"/>
          </w:tcPr>
          <w:p w:rsidR="00E11CE7" w:rsidRPr="005202EA" w:rsidP="002F1AEB" w14:paraId="3452A461" w14:textId="3CEE05B4">
            <w:pPr>
              <w:rPr>
                <w:sz w:val="20"/>
                <w:szCs w:val="20"/>
              </w:rPr>
            </w:pPr>
            <w:r>
              <w:rPr>
                <w:sz w:val="20"/>
                <w:szCs w:val="20"/>
              </w:rPr>
              <w:t>-16,395</w:t>
            </w:r>
          </w:p>
        </w:tc>
        <w:tc>
          <w:tcPr>
            <w:tcW w:w="1233" w:type="dxa"/>
          </w:tcPr>
          <w:p w:rsidR="00E11CE7" w:rsidRPr="005202EA" w:rsidP="002F1AEB" w14:paraId="6178F308" w14:textId="125D8E94">
            <w:pPr>
              <w:rPr>
                <w:sz w:val="20"/>
                <w:szCs w:val="20"/>
              </w:rPr>
            </w:pPr>
            <w:r>
              <w:rPr>
                <w:sz w:val="20"/>
                <w:szCs w:val="20"/>
              </w:rPr>
              <w:t>0</w:t>
            </w:r>
          </w:p>
        </w:tc>
        <w:tc>
          <w:tcPr>
            <w:tcW w:w="1233" w:type="dxa"/>
          </w:tcPr>
          <w:p w:rsidR="00E11CE7" w:rsidRPr="005202EA" w:rsidP="002F1AEB" w14:paraId="781052EB" w14:textId="70A21571">
            <w:pPr>
              <w:rPr>
                <w:sz w:val="20"/>
                <w:szCs w:val="20"/>
              </w:rPr>
            </w:pPr>
            <w:r>
              <w:rPr>
                <w:sz w:val="20"/>
                <w:szCs w:val="20"/>
              </w:rPr>
              <w:t>22,645</w:t>
            </w:r>
          </w:p>
        </w:tc>
      </w:tr>
      <w:tr w14:paraId="2FE384A2" w14:textId="77777777" w:rsidTr="00E11CE7">
        <w:tblPrEx>
          <w:tblW w:w="0" w:type="auto"/>
          <w:tblLook w:val="04A0"/>
        </w:tblPrEx>
        <w:tc>
          <w:tcPr>
            <w:tcW w:w="1232" w:type="dxa"/>
          </w:tcPr>
          <w:p w:rsidR="00E11CE7" w:rsidRPr="005202EA" w:rsidP="002F1AEB" w14:paraId="21F4C41E" w14:textId="4650DEA6">
            <w:pPr>
              <w:rPr>
                <w:b/>
                <w:bCs/>
                <w:sz w:val="20"/>
                <w:szCs w:val="20"/>
              </w:rPr>
            </w:pPr>
            <w:r w:rsidRPr="005202EA">
              <w:rPr>
                <w:b/>
                <w:bCs/>
                <w:sz w:val="20"/>
                <w:szCs w:val="20"/>
              </w:rPr>
              <w:t>Annual Cost Burden ($)</w:t>
            </w:r>
          </w:p>
        </w:tc>
        <w:tc>
          <w:tcPr>
            <w:tcW w:w="1233" w:type="dxa"/>
          </w:tcPr>
          <w:p w:rsidR="00E11CE7" w:rsidRPr="005202EA" w:rsidP="002F1AEB" w14:paraId="461483F9" w14:textId="21C3A323">
            <w:pPr>
              <w:rPr>
                <w:sz w:val="20"/>
                <w:szCs w:val="20"/>
              </w:rPr>
            </w:pPr>
            <w:r>
              <w:rPr>
                <w:sz w:val="20"/>
                <w:szCs w:val="20"/>
              </w:rPr>
              <w:t>309,313</w:t>
            </w:r>
          </w:p>
        </w:tc>
        <w:tc>
          <w:tcPr>
            <w:tcW w:w="1233" w:type="dxa"/>
          </w:tcPr>
          <w:p w:rsidR="00E11CE7" w:rsidRPr="005202EA" w:rsidP="002F1AEB" w14:paraId="1C17AF77" w14:textId="69562DE9">
            <w:pPr>
              <w:rPr>
                <w:sz w:val="20"/>
                <w:szCs w:val="20"/>
              </w:rPr>
            </w:pPr>
            <w:r>
              <w:rPr>
                <w:sz w:val="20"/>
                <w:szCs w:val="20"/>
              </w:rPr>
              <w:t>0</w:t>
            </w:r>
          </w:p>
        </w:tc>
        <w:tc>
          <w:tcPr>
            <w:tcW w:w="1233" w:type="dxa"/>
          </w:tcPr>
          <w:p w:rsidR="00E11CE7" w:rsidRPr="005202EA" w:rsidP="002F1AEB" w14:paraId="53B3310F" w14:textId="2A2C2654">
            <w:pPr>
              <w:rPr>
                <w:sz w:val="20"/>
                <w:szCs w:val="20"/>
              </w:rPr>
            </w:pPr>
            <w:r>
              <w:rPr>
                <w:sz w:val="20"/>
                <w:szCs w:val="20"/>
              </w:rPr>
              <w:t>0</w:t>
            </w:r>
          </w:p>
        </w:tc>
        <w:tc>
          <w:tcPr>
            <w:tcW w:w="1233" w:type="dxa"/>
          </w:tcPr>
          <w:p w:rsidR="00E11CE7" w:rsidRPr="005202EA" w:rsidP="002F1AEB" w14:paraId="1C6DFB92" w14:textId="3128CE99">
            <w:pPr>
              <w:rPr>
                <w:sz w:val="20"/>
                <w:szCs w:val="20"/>
              </w:rPr>
            </w:pPr>
            <w:r>
              <w:rPr>
                <w:sz w:val="20"/>
                <w:szCs w:val="20"/>
              </w:rPr>
              <w:t>190,875</w:t>
            </w:r>
          </w:p>
        </w:tc>
        <w:tc>
          <w:tcPr>
            <w:tcW w:w="1233" w:type="dxa"/>
          </w:tcPr>
          <w:p w:rsidR="00E11CE7" w:rsidRPr="005202EA" w:rsidP="002F1AEB" w14:paraId="4258D1D4" w14:textId="058A8D3E">
            <w:pPr>
              <w:rPr>
                <w:sz w:val="20"/>
                <w:szCs w:val="20"/>
              </w:rPr>
            </w:pPr>
            <w:r>
              <w:rPr>
                <w:sz w:val="20"/>
                <w:szCs w:val="20"/>
              </w:rPr>
              <w:t>0</w:t>
            </w:r>
          </w:p>
        </w:tc>
        <w:tc>
          <w:tcPr>
            <w:tcW w:w="1233" w:type="dxa"/>
          </w:tcPr>
          <w:p w:rsidR="00E11CE7" w:rsidRPr="005202EA" w:rsidP="002F1AEB" w14:paraId="647677EC" w14:textId="41A983E0">
            <w:pPr>
              <w:rPr>
                <w:sz w:val="20"/>
                <w:szCs w:val="20"/>
              </w:rPr>
            </w:pPr>
            <w:r>
              <w:rPr>
                <w:sz w:val="20"/>
                <w:szCs w:val="20"/>
              </w:rPr>
              <w:t>119,438</w:t>
            </w:r>
          </w:p>
        </w:tc>
      </w:tr>
    </w:tbl>
    <w:p w:rsidR="002F1AEB" w:rsidP="002F1AEB" w14:paraId="59AD924D" w14:textId="5F4959F8">
      <w:r>
        <w:t xml:space="preserve"> </w:t>
      </w:r>
    </w:p>
    <w:p w:rsidR="00A55AAE" w:rsidRPr="002F1AEB" w:rsidP="002F1AEB" w14:paraId="45DA1EE4" w14:textId="77777777"/>
    <w:p w:rsidR="002F1AEB" w:rsidP="002F1AEB" w14:paraId="0ECB6ABA" w14:textId="2C727047">
      <w:pPr>
        <w:rPr>
          <w:b/>
          <w:bCs/>
          <w:i/>
          <w:iCs/>
        </w:rPr>
      </w:pPr>
      <w:r>
        <w:rPr>
          <w:b/>
          <w:bCs/>
          <w:i/>
          <w:iCs/>
        </w:rPr>
        <w:t>IC Burden</w:t>
      </w:r>
    </w:p>
    <w:p w:rsidR="007C5F33" w:rsidRPr="002F1AEB" w:rsidP="002F1AEB" w14:paraId="0E813B6F" w14:textId="77777777">
      <w:pPr>
        <w:rPr>
          <w:b/>
          <w:bCs/>
          <w:i/>
          <w:iCs/>
        </w:rPr>
      </w:pPr>
    </w:p>
    <w:p w:rsidR="001E5DE9" w:rsidRPr="00381FAB" w:rsidP="007D251D" w14:paraId="75E63DA8" w14:textId="0B41223B">
      <w:r w:rsidRPr="009A69EA">
        <w:t>We expect approximately 1</w:t>
      </w:r>
      <w:r w:rsidR="009F4E3E">
        <w:t>25</w:t>
      </w:r>
      <w:r w:rsidRPr="009A69EA">
        <w:t xml:space="preserve">0 respondents to </w:t>
      </w:r>
      <w:r>
        <w:t xml:space="preserve">apply via the </w:t>
      </w:r>
      <w:r w:rsidR="008D2922">
        <w:t>application package, submit a progress report, submit a progress report supplement, and</w:t>
      </w:r>
      <w:r>
        <w:t xml:space="preserve"> complete </w:t>
      </w:r>
      <w:r w:rsidR="008D2922">
        <w:t xml:space="preserve">each of </w:t>
      </w:r>
      <w:r>
        <w:t>the annual survey</w:t>
      </w:r>
      <w:r w:rsidR="008D2922">
        <w:t>s</w:t>
      </w:r>
      <w:r>
        <w:t xml:space="preserve">. </w:t>
      </w:r>
      <w:r w:rsidR="0059081F">
        <w:rPr>
          <w:color w:val="201F1E"/>
          <w:bdr w:val="none" w:sz="0" w:space="0" w:color="auto" w:frame="1"/>
        </w:rPr>
        <w:t>The instruments used to collect this information are the a</w:t>
      </w:r>
      <w:r w:rsidR="0059081F">
        <w:rPr>
          <w:bCs/>
          <w:kern w:val="36"/>
        </w:rPr>
        <w:t xml:space="preserve">pplication package for AmeriCorps Seniors grantees, progress reports and progress report supplement, and Independent Living and Respite Surveys. This is submitted by all AmeriCorps Seniors </w:t>
      </w:r>
      <w:r w:rsidR="0059081F">
        <w:rPr>
          <w:bCs/>
          <w:kern w:val="36"/>
        </w:rPr>
        <w:t>grantees</w:t>
      </w:r>
      <w:r w:rsidR="0059081F">
        <w:rPr>
          <w:bCs/>
          <w:kern w:val="36"/>
        </w:rPr>
        <w:t xml:space="preserve"> and each is collected annually</w:t>
      </w:r>
      <w:r w:rsidR="0050395D">
        <w:t xml:space="preserve"> (resulting in a frequency per respondent of 5 times a year)</w:t>
      </w:r>
      <w:r w:rsidRPr="009A69EA">
        <w:t xml:space="preserve"> and should not exceed </w:t>
      </w:r>
      <w:r w:rsidR="009F4E3E">
        <w:t>one hour</w:t>
      </w:r>
      <w:r w:rsidRPr="009A69EA">
        <w:t xml:space="preserve"> of effort per respondent</w:t>
      </w:r>
      <w:r w:rsidR="00897835">
        <w:t xml:space="preserve"> per response</w:t>
      </w:r>
      <w:r>
        <w:t>.</w:t>
      </w:r>
      <w:r w:rsidR="0059081F">
        <w:t xml:space="preserve"> </w:t>
      </w:r>
    </w:p>
    <w:p w:rsidR="0068179E" w:rsidP="001E5DE9" w14:paraId="493D594C" w14:textId="77777777">
      <w:pPr>
        <w:ind w:firstLine="720"/>
        <w:rPr>
          <w:bCs/>
          <w:kern w:val="36"/>
        </w:rPr>
      </w:pPr>
    </w:p>
    <w:p w:rsidR="00254304" w:rsidRPr="00937EAC" w:rsidP="00254304" w14:paraId="71A42061" w14:textId="1CD8496C">
      <w:pPr>
        <w:pStyle w:val="HTMLPreformatted"/>
        <w:shd w:val="clear" w:color="auto" w:fill="FFFFFF"/>
        <w:rPr>
          <w:rFonts w:ascii="Times New Roman" w:hAnsi="Times New Roman" w:cs="Times New Roman"/>
          <w:color w:val="201F1E"/>
          <w:sz w:val="24"/>
          <w:szCs w:val="24"/>
        </w:rPr>
      </w:pPr>
      <w:r w:rsidRPr="00937EAC">
        <w:rPr>
          <w:rFonts w:ascii="Times New Roman" w:hAnsi="Times New Roman" w:cs="Times New Roman"/>
          <w:color w:val="201F1E"/>
          <w:sz w:val="24"/>
          <w:szCs w:val="24"/>
          <w:bdr w:val="none" w:sz="0" w:space="0" w:color="auto" w:frame="1"/>
        </w:rPr>
        <w:t>The estimated respondent burdens and labor costs are shown in the following table.</w:t>
      </w:r>
    </w:p>
    <w:p w:rsidR="00254304" w:rsidRPr="00937EAC" w:rsidP="00254304" w14:paraId="46624170" w14:textId="77777777">
      <w:pPr>
        <w:pStyle w:val="HTMLPreformatted"/>
        <w:shd w:val="clear" w:color="auto" w:fill="FFFFFF"/>
        <w:rPr>
          <w:rFonts w:ascii="Times New Roman" w:hAnsi="Times New Roman" w:cs="Times New Roman"/>
          <w:color w:val="201F1E"/>
          <w:sz w:val="24"/>
          <w:szCs w:val="24"/>
        </w:rPr>
      </w:pPr>
      <w:r w:rsidRPr="00937EAC">
        <w:rPr>
          <w:rFonts w:ascii="Times New Roman" w:hAnsi="Times New Roman" w:cs="Times New Roman"/>
          <w:color w:val="201F1E"/>
          <w:sz w:val="24"/>
          <w:szCs w:val="24"/>
          <w:bdr w:val="none" w:sz="0" w:space="0" w:color="auto" w:frame="1"/>
        </w:rPr>
        <w:t> </w:t>
      </w:r>
    </w:p>
    <w:tbl>
      <w:tblPr>
        <w:tblW w:w="9270" w:type="dxa"/>
        <w:tblInd w:w="108" w:type="dxa"/>
        <w:shd w:val="clear" w:color="auto" w:fill="FFFFFF"/>
        <w:tblCellMar>
          <w:left w:w="0" w:type="dxa"/>
          <w:right w:w="0" w:type="dxa"/>
        </w:tblCellMar>
        <w:tblLook w:val="04A0"/>
      </w:tblPr>
      <w:tblGrid>
        <w:gridCol w:w="7020"/>
        <w:gridCol w:w="2250"/>
      </w:tblGrid>
      <w:tr w14:paraId="7C18F282" w14:textId="77777777" w:rsidTr="153E08C6">
        <w:tblPrEx>
          <w:tblW w:w="9270" w:type="dxa"/>
          <w:tblInd w:w="108" w:type="dxa"/>
          <w:shd w:val="clear" w:color="auto" w:fill="FFFFFF"/>
          <w:tblCellMar>
            <w:left w:w="0" w:type="dxa"/>
            <w:right w:w="0" w:type="dxa"/>
          </w:tblCellMar>
          <w:tblLook w:val="04A0"/>
        </w:tblPrEx>
        <w:trPr>
          <w:trHeight w:val="386"/>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3C108DF2" w14:textId="77777777">
            <w:pPr>
              <w:pStyle w:val="xmsonormal"/>
              <w:spacing w:before="0" w:beforeAutospacing="0" w:after="0" w:afterAutospacing="0" w:line="288" w:lineRule="atLeast"/>
              <w:jc w:val="center"/>
              <w:rPr>
                <w:color w:val="201F1E"/>
              </w:rPr>
            </w:pPr>
            <w:r w:rsidRPr="00937EAC">
              <w:rPr>
                <w:color w:val="201F1E"/>
              </w:rPr>
              <w:t>Estimation of Respondent Burden</w:t>
            </w:r>
          </w:p>
        </w:tc>
      </w:tr>
      <w:tr w14:paraId="0FE340F7" w14:textId="77777777" w:rsidTr="153E08C6">
        <w:tblPrEx>
          <w:tblW w:w="9270" w:type="dxa"/>
          <w:tblInd w:w="108" w:type="dxa"/>
          <w:shd w:val="clear" w:color="auto" w:fill="FFFFFF"/>
          <w:tblCellMar>
            <w:left w:w="0" w:type="dxa"/>
            <w:right w:w="0" w:type="dxa"/>
          </w:tblCellMar>
          <w:tblLook w:val="04A0"/>
        </w:tblPrEx>
        <w:trPr>
          <w:trHeight w:val="386"/>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0E3A60D4" w14:textId="77777777">
            <w:pPr>
              <w:pStyle w:val="xmsonormal"/>
              <w:spacing w:before="0" w:beforeAutospacing="0" w:after="0" w:afterAutospacing="0"/>
              <w:rPr>
                <w:color w:val="201F1E"/>
              </w:rPr>
            </w:pPr>
            <w:bookmarkStart w:id="0" w:name="x_cp458"/>
            <w:r w:rsidRPr="00937EAC">
              <w:rPr>
                <w:color w:val="000000"/>
                <w:bdr w:val="none" w:sz="0" w:space="0" w:color="auto" w:frame="1"/>
              </w:rPr>
              <w:t>Number of respondents</w:t>
            </w:r>
            <w:bookmarkEnd w:id="0"/>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599F85F5" w14:paraId="70BF6065" w14:textId="77777777">
            <w:pPr>
              <w:pStyle w:val="xmsonormal"/>
              <w:spacing w:before="0" w:beforeAutospacing="0" w:after="0" w:afterAutospacing="0"/>
              <w:rPr>
                <w:color w:val="201F1E"/>
              </w:rPr>
            </w:pPr>
            <w:r w:rsidRPr="153E08C6">
              <w:rPr>
                <w:color w:val="201F1E"/>
              </w:rPr>
              <w:t>1</w:t>
            </w:r>
            <w:r w:rsidRPr="153E08C6" w:rsidR="798A2E3C">
              <w:rPr>
                <w:color w:val="201F1E"/>
              </w:rPr>
              <w:t>250</w:t>
            </w:r>
          </w:p>
        </w:tc>
      </w:tr>
      <w:tr w14:paraId="6AFCC0CF" w14:textId="77777777" w:rsidTr="153E08C6">
        <w:tblPrEx>
          <w:tblW w:w="9270" w:type="dxa"/>
          <w:tblInd w:w="108" w:type="dxa"/>
          <w:shd w:val="clear" w:color="auto" w:fill="FFFFFF"/>
          <w:tblCellMar>
            <w:left w:w="0" w:type="dxa"/>
            <w:right w:w="0" w:type="dxa"/>
          </w:tblCellMar>
          <w:tblLook w:val="04A0"/>
        </w:tblPrEx>
        <w:trPr>
          <w:trHeight w:val="422"/>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7A0767BC" w14:textId="77777777">
            <w:pPr>
              <w:pStyle w:val="xmsonormal"/>
              <w:spacing w:before="0" w:beforeAutospacing="0" w:after="0" w:afterAutospacing="0"/>
              <w:rPr>
                <w:color w:val="201F1E"/>
              </w:rPr>
            </w:pPr>
            <w:r w:rsidRPr="00937EAC">
              <w:rPr>
                <w:color w:val="000000"/>
                <w:bdr w:val="none" w:sz="0" w:space="0" w:color="auto" w:frame="1"/>
              </w:rPr>
              <w:t>Responses per respondent</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78941E47" w14:textId="77777777">
            <w:pPr>
              <w:pStyle w:val="xmsonormal"/>
              <w:spacing w:before="0" w:beforeAutospacing="0" w:after="0" w:afterAutospacing="0"/>
              <w:rPr>
                <w:color w:val="201F1E"/>
              </w:rPr>
            </w:pPr>
            <w:r w:rsidRPr="28E9427E">
              <w:rPr>
                <w:color w:val="201F1E"/>
              </w:rPr>
              <w:t>5</w:t>
            </w:r>
          </w:p>
        </w:tc>
      </w:tr>
      <w:tr w14:paraId="058CD160" w14:textId="77777777" w:rsidTr="153E08C6">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3ADD5A22" w14:textId="77777777">
            <w:pPr>
              <w:pStyle w:val="xmsonormal"/>
              <w:spacing w:before="0" w:beforeAutospacing="0" w:after="0" w:afterAutospacing="0"/>
              <w:rPr>
                <w:color w:val="201F1E"/>
              </w:rPr>
            </w:pPr>
            <w:r w:rsidRPr="00937EAC">
              <w:rPr>
                <w:color w:val="000000"/>
                <w:bdr w:val="none" w:sz="0" w:space="0" w:color="auto" w:frame="1"/>
              </w:rPr>
              <w:t>Number of responses</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4B00F271" w14:textId="77777777">
            <w:pPr>
              <w:pStyle w:val="xmsonormal"/>
              <w:spacing w:before="0" w:beforeAutospacing="0" w:after="0" w:afterAutospacing="0" w:line="259" w:lineRule="auto"/>
            </w:pPr>
            <w:r w:rsidRPr="6B9F3698">
              <w:rPr>
                <w:color w:val="000000" w:themeColor="text1"/>
              </w:rPr>
              <w:t>6250</w:t>
            </w:r>
          </w:p>
        </w:tc>
      </w:tr>
      <w:tr w14:paraId="59CFDF8E" w14:textId="77777777" w:rsidTr="153E08C6">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735E4B58" w14:textId="77777777">
            <w:pPr>
              <w:pStyle w:val="xmsonormal"/>
              <w:spacing w:before="0" w:beforeAutospacing="0" w:after="0" w:afterAutospacing="0"/>
              <w:rPr>
                <w:color w:val="201F1E"/>
              </w:rPr>
            </w:pPr>
            <w:r w:rsidRPr="00937EAC">
              <w:rPr>
                <w:color w:val="000000"/>
                <w:bdr w:val="none" w:sz="0" w:space="0" w:color="auto" w:frame="1"/>
              </w:rPr>
              <w:t>Hours per response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649841BE" w14:textId="77777777">
            <w:pPr>
              <w:pStyle w:val="xmsonormal"/>
              <w:spacing w:before="0" w:beforeAutospacing="0" w:after="0" w:afterAutospacing="0"/>
              <w:rPr>
                <w:color w:val="000000" w:themeColor="text1"/>
              </w:rPr>
            </w:pPr>
            <w:r>
              <w:rPr>
                <w:color w:val="000000"/>
                <w:bdr w:val="none" w:sz="0" w:space="0" w:color="auto" w:frame="1"/>
              </w:rPr>
              <w:t>1</w:t>
            </w:r>
          </w:p>
        </w:tc>
      </w:tr>
      <w:tr w14:paraId="1923209C" w14:textId="77777777" w:rsidTr="153E08C6">
        <w:tblPrEx>
          <w:tblW w:w="9270" w:type="dxa"/>
          <w:tblInd w:w="108" w:type="dxa"/>
          <w:shd w:val="clear" w:color="auto" w:fill="FFFFFF"/>
          <w:tblCellMar>
            <w:left w:w="0" w:type="dxa"/>
            <w:right w:w="0" w:type="dxa"/>
          </w:tblCellMar>
          <w:tblLook w:val="04A0"/>
        </w:tblPrEx>
        <w:trPr>
          <w:trHeight w:val="449"/>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2B9CAC17" w14:textId="77777777">
            <w:pPr>
              <w:pStyle w:val="xmsonormal"/>
              <w:spacing w:before="0" w:beforeAutospacing="0" w:after="0" w:afterAutospacing="0"/>
              <w:rPr>
                <w:color w:val="201F1E"/>
              </w:rPr>
            </w:pPr>
            <w:r w:rsidRPr="00937EAC">
              <w:rPr>
                <w:color w:val="000000"/>
                <w:bdr w:val="none" w:sz="0" w:space="0" w:color="auto" w:frame="1"/>
              </w:rPr>
              <w:t>Total estimated hours (number of responses multiplied by hours per response)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2800EA51" w14:textId="77777777">
            <w:pPr>
              <w:pStyle w:val="xmsonormal"/>
              <w:spacing w:before="0" w:beforeAutospacing="0" w:after="0" w:afterAutospacing="0" w:line="259" w:lineRule="auto"/>
            </w:pPr>
            <w:r w:rsidRPr="6B9F3698">
              <w:rPr>
                <w:color w:val="201F1E"/>
              </w:rPr>
              <w:t>6250</w:t>
            </w:r>
          </w:p>
        </w:tc>
      </w:tr>
      <w:tr w14:paraId="4474F73D" w14:textId="77777777" w:rsidTr="153E08C6">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72AA7BA2" w14:textId="77777777">
            <w:pPr>
              <w:pStyle w:val="xmsonormal"/>
              <w:spacing w:before="0" w:beforeAutospacing="0" w:after="0" w:afterAutospacing="0"/>
              <w:rPr>
                <w:color w:val="201F1E"/>
              </w:rPr>
            </w:pPr>
            <w:r w:rsidRPr="00937EAC">
              <w:rPr>
                <w:color w:val="000000"/>
                <w:bdr w:val="none" w:sz="0" w:space="0" w:color="auto" w:frame="1"/>
              </w:rPr>
              <w:t>Cost per hour (hourly wage)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3D7DD19A" w14:textId="321983D8">
            <w:pPr>
              <w:pStyle w:val="xmsonormal"/>
              <w:spacing w:before="0" w:beforeAutospacing="0" w:after="0" w:afterAutospacing="0"/>
              <w:rPr>
                <w:color w:val="201F1E"/>
              </w:rPr>
            </w:pPr>
            <w:r w:rsidRPr="00937EAC">
              <w:rPr>
                <w:color w:val="201F1E"/>
                <w:bdr w:val="none" w:sz="0" w:space="0" w:color="auto" w:frame="1"/>
              </w:rPr>
              <w:t>$4</w:t>
            </w:r>
            <w:r w:rsidR="00EE5A4E">
              <w:rPr>
                <w:color w:val="201F1E"/>
                <w:bdr w:val="none" w:sz="0" w:space="0" w:color="auto" w:frame="1"/>
              </w:rPr>
              <w:t>9</w:t>
            </w:r>
            <w:r w:rsidRPr="00937EAC">
              <w:rPr>
                <w:color w:val="201F1E"/>
                <w:bdr w:val="none" w:sz="0" w:space="0" w:color="auto" w:frame="1"/>
              </w:rPr>
              <w:t>.</w:t>
            </w:r>
            <w:r w:rsidR="00EE5A4E">
              <w:rPr>
                <w:color w:val="201F1E"/>
                <w:bdr w:val="none" w:sz="0" w:space="0" w:color="auto" w:frame="1"/>
              </w:rPr>
              <w:t>49</w:t>
            </w:r>
          </w:p>
        </w:tc>
      </w:tr>
      <w:tr w14:paraId="25DF09ED" w14:textId="77777777" w:rsidTr="153E08C6">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0061272F" w14:paraId="2ED50C21" w14:textId="77777777">
            <w:pPr>
              <w:pStyle w:val="xmsonormal"/>
              <w:spacing w:before="0" w:beforeAutospacing="0" w:after="0" w:afterAutospacing="0"/>
              <w:rPr>
                <w:color w:val="201F1E"/>
              </w:rPr>
            </w:pPr>
            <w:r w:rsidRPr="00937EAC">
              <w:rPr>
                <w:color w:val="000000"/>
                <w:bdr w:val="none" w:sz="0" w:space="0" w:color="auto" w:frame="1"/>
              </w:rPr>
              <w:t>Annual public burden (estimated hours multiplied by cost per hour)</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254304" w:rsidRPr="00937EAC" w:rsidP="6B9F3698" w14:paraId="59F7023A" w14:textId="25DC2E19">
            <w:pPr>
              <w:pStyle w:val="xmsonormal"/>
              <w:spacing w:before="0" w:beforeAutospacing="0" w:after="0" w:afterAutospacing="0"/>
              <w:rPr>
                <w:color w:val="201F1E"/>
              </w:rPr>
            </w:pPr>
            <w:r w:rsidRPr="00937EAC">
              <w:rPr>
                <w:color w:val="201F1E"/>
                <w:bdr w:val="none" w:sz="0" w:space="0" w:color="auto" w:frame="1"/>
              </w:rPr>
              <w:t>$</w:t>
            </w:r>
            <w:r w:rsidR="008B772B">
              <w:rPr>
                <w:color w:val="201F1E"/>
                <w:bdr w:val="none" w:sz="0" w:space="0" w:color="auto" w:frame="1"/>
              </w:rPr>
              <w:t>309,31</w:t>
            </w:r>
            <w:r w:rsidR="001C71D8">
              <w:rPr>
                <w:color w:val="201F1E"/>
                <w:bdr w:val="none" w:sz="0" w:space="0" w:color="auto" w:frame="1"/>
              </w:rPr>
              <w:t>3 (rounded)</w:t>
            </w:r>
          </w:p>
        </w:tc>
      </w:tr>
    </w:tbl>
    <w:p w:rsidR="00254304" w:rsidRPr="00937EAC" w:rsidP="00254304" w14:paraId="4B8484D5" w14:textId="77777777">
      <w:pPr>
        <w:pStyle w:val="xmsonormal"/>
        <w:shd w:val="clear" w:color="auto" w:fill="FFFFFF"/>
        <w:spacing w:before="0" w:beforeAutospacing="0" w:after="0" w:afterAutospacing="0"/>
        <w:rPr>
          <w:color w:val="201F1E"/>
        </w:rPr>
      </w:pPr>
      <w:r w:rsidRPr="00937EAC">
        <w:rPr>
          <w:b/>
          <w:bCs/>
          <w:color w:val="201F1E"/>
          <w:bdr w:val="none" w:sz="0" w:space="0" w:color="auto" w:frame="1"/>
        </w:rPr>
        <w:t> </w:t>
      </w:r>
    </w:p>
    <w:p w:rsidR="00254304" w:rsidRPr="00937EAC" w:rsidP="00254304" w14:paraId="2920C488" w14:textId="20F9F36A">
      <w:pPr>
        <w:pStyle w:val="xmsonormal"/>
        <w:shd w:val="clear" w:color="auto" w:fill="FFFFFF"/>
        <w:spacing w:before="0" w:beforeAutospacing="0" w:after="0" w:afterAutospacing="0"/>
        <w:rPr>
          <w:color w:val="201F1E"/>
        </w:rPr>
      </w:pPr>
      <w:r w:rsidRPr="00937EAC">
        <w:rPr>
          <w:b/>
          <w:bCs/>
          <w:color w:val="201F1E"/>
          <w:bdr w:val="none" w:sz="0" w:space="0" w:color="auto" w:frame="1"/>
        </w:rPr>
        <w:t>Note:</w:t>
      </w:r>
      <w:r w:rsidRPr="00937EAC">
        <w:rPr>
          <w:color w:val="201F1E"/>
          <w:bdr w:val="none" w:sz="0" w:space="0" w:color="auto" w:frame="1"/>
        </w:rPr>
        <w:t> The cost per hour is based on the average of eight 202</w:t>
      </w:r>
      <w:r w:rsidR="008C3100">
        <w:rPr>
          <w:color w:val="201F1E"/>
          <w:bdr w:val="none" w:sz="0" w:space="0" w:color="auto" w:frame="1"/>
        </w:rPr>
        <w:t>3</w:t>
      </w:r>
      <w:r w:rsidRPr="00937EAC">
        <w:rPr>
          <w:color w:val="201F1E"/>
          <w:bdr w:val="none" w:sz="0" w:space="0" w:color="auto" w:frame="1"/>
        </w:rPr>
        <w:t xml:space="preserve"> OPM GS hourly rates (base + locality) for a GS-11, step 1 employee living in our eight regions of operation, plus the 36.25% civilian personnel full fringe benefit rate from OMB memorandum M-08-13. The average cost per hour is $3</w:t>
      </w:r>
      <w:r w:rsidR="009F06EC">
        <w:rPr>
          <w:color w:val="201F1E"/>
          <w:bdr w:val="none" w:sz="0" w:space="0" w:color="auto" w:frame="1"/>
        </w:rPr>
        <w:t>6.32</w:t>
      </w:r>
      <w:r w:rsidRPr="00937EAC">
        <w:rPr>
          <w:color w:val="201F1E"/>
          <w:bdr w:val="none" w:sz="0" w:space="0" w:color="auto" w:frame="1"/>
        </w:rPr>
        <w:t xml:space="preserve"> (average hourly rate) + $1</w:t>
      </w:r>
      <w:r w:rsidR="000E451B">
        <w:rPr>
          <w:color w:val="201F1E"/>
          <w:bdr w:val="none" w:sz="0" w:space="0" w:color="auto" w:frame="1"/>
        </w:rPr>
        <w:t>3.17</w:t>
      </w:r>
      <w:r w:rsidRPr="00937EAC">
        <w:rPr>
          <w:color w:val="201F1E"/>
          <w:bdr w:val="none" w:sz="0" w:space="0" w:color="auto" w:frame="1"/>
        </w:rPr>
        <w:t>($3</w:t>
      </w:r>
      <w:r w:rsidR="00EE5A4E">
        <w:rPr>
          <w:color w:val="201F1E"/>
          <w:bdr w:val="none" w:sz="0" w:space="0" w:color="auto" w:frame="1"/>
        </w:rPr>
        <w:t>6</w:t>
      </w:r>
      <w:r w:rsidRPr="00937EAC">
        <w:rPr>
          <w:color w:val="201F1E"/>
          <w:bdr w:val="none" w:sz="0" w:space="0" w:color="auto" w:frame="1"/>
        </w:rPr>
        <w:t>.</w:t>
      </w:r>
      <w:r w:rsidR="00EE5A4E">
        <w:rPr>
          <w:color w:val="201F1E"/>
          <w:bdr w:val="none" w:sz="0" w:space="0" w:color="auto" w:frame="1"/>
        </w:rPr>
        <w:t>32</w:t>
      </w:r>
      <w:r w:rsidRPr="00937EAC">
        <w:rPr>
          <w:color w:val="201F1E"/>
          <w:bdr w:val="none" w:sz="0" w:space="0" w:color="auto" w:frame="1"/>
        </w:rPr>
        <w:t xml:space="preserve"> average hourly rate x 36.25% fringe) = $</w:t>
      </w:r>
      <w:r w:rsidR="00EE5A4E">
        <w:rPr>
          <w:color w:val="201F1E"/>
          <w:bdr w:val="none" w:sz="0" w:space="0" w:color="auto" w:frame="1"/>
        </w:rPr>
        <w:t>49.49</w:t>
      </w:r>
      <w:r w:rsidRPr="00937EAC">
        <w:rPr>
          <w:color w:val="201F1E"/>
          <w:bdr w:val="none" w:sz="0" w:space="0" w:color="auto" w:frame="1"/>
        </w:rPr>
        <w:t>/hour (rounded to the nearest penny).</w:t>
      </w:r>
    </w:p>
    <w:p w:rsidR="00254304" w:rsidRPr="00937EAC" w:rsidP="00254304" w14:paraId="4F8F56C0"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254304" w:rsidP="00254304" w14:paraId="29A5FD51" w14:textId="1AE77880">
      <w:pPr>
        <w:pStyle w:val="xmsonormal"/>
        <w:shd w:val="clear" w:color="auto" w:fill="FFFFFF"/>
        <w:spacing w:before="0" w:beforeAutospacing="0" w:after="0" w:afterAutospacing="0"/>
        <w:rPr>
          <w:i/>
          <w:iCs/>
          <w:color w:val="201F1E"/>
          <w:bdr w:val="none" w:sz="0" w:space="0" w:color="auto" w:frame="1"/>
        </w:rPr>
      </w:pPr>
      <w:r w:rsidRPr="00937EAC">
        <w:rPr>
          <w:color w:val="201F1E"/>
          <w:bdr w:val="none" w:sz="0" w:space="0" w:color="auto" w:frame="1"/>
        </w:rPr>
        <w:t>The 202</w:t>
      </w:r>
      <w:r w:rsidR="001822E4">
        <w:rPr>
          <w:color w:val="201F1E"/>
          <w:bdr w:val="none" w:sz="0" w:space="0" w:color="auto" w:frame="1"/>
        </w:rPr>
        <w:t>3</w:t>
      </w:r>
      <w:r w:rsidRPr="00937EAC">
        <w:rPr>
          <w:color w:val="201F1E"/>
          <w:bdr w:val="none" w:sz="0" w:space="0" w:color="auto" w:frame="1"/>
        </w:rPr>
        <w:t xml:space="preserve"> GS-11, step 1 hourly rates for the eight regions of operation are as follows: Austin, TX ($</w:t>
      </w:r>
      <w:r w:rsidR="00456581">
        <w:rPr>
          <w:color w:val="201F1E"/>
          <w:bdr w:val="none" w:sz="0" w:space="0" w:color="auto" w:frame="1"/>
        </w:rPr>
        <w:t>33.94</w:t>
      </w:r>
      <w:r w:rsidRPr="00937EAC">
        <w:rPr>
          <w:color w:val="201F1E"/>
          <w:bdr w:val="none" w:sz="0" w:space="0" w:color="auto" w:frame="1"/>
        </w:rPr>
        <w:t>), Atlanta, GA ($</w:t>
      </w:r>
      <w:r w:rsidR="00456581">
        <w:rPr>
          <w:color w:val="201F1E"/>
          <w:bdr w:val="none" w:sz="0" w:space="0" w:color="auto" w:frame="1"/>
        </w:rPr>
        <w:t>39.97</w:t>
      </w:r>
      <w:r w:rsidRPr="00937EAC">
        <w:rPr>
          <w:color w:val="201F1E"/>
          <w:bdr w:val="none" w:sz="0" w:space="0" w:color="auto" w:frame="1"/>
        </w:rPr>
        <w:t>), Columbus, OH ($3</w:t>
      </w:r>
      <w:r w:rsidR="001D3143">
        <w:rPr>
          <w:color w:val="201F1E"/>
          <w:bdr w:val="none" w:sz="0" w:space="0" w:color="auto" w:frame="1"/>
        </w:rPr>
        <w:t>4.47</w:t>
      </w:r>
      <w:r w:rsidRPr="00937EAC">
        <w:rPr>
          <w:color w:val="201F1E"/>
          <w:bdr w:val="none" w:sz="0" w:space="0" w:color="auto" w:frame="1"/>
        </w:rPr>
        <w:t>), Concord, NH ($</w:t>
      </w:r>
      <w:r w:rsidR="008B34A9">
        <w:rPr>
          <w:color w:val="201F1E"/>
          <w:bdr w:val="none" w:sz="0" w:space="0" w:color="auto" w:frame="1"/>
        </w:rPr>
        <w:t>37.25</w:t>
      </w:r>
      <w:r w:rsidRPr="00937EAC">
        <w:rPr>
          <w:color w:val="201F1E"/>
          <w:bdr w:val="none" w:sz="0" w:space="0" w:color="auto" w:frame="1"/>
        </w:rPr>
        <w:t>), Denver, CO ($</w:t>
      </w:r>
      <w:r w:rsidR="004E44C0">
        <w:rPr>
          <w:color w:val="201F1E"/>
          <w:bdr w:val="none" w:sz="0" w:space="0" w:color="auto" w:frame="1"/>
        </w:rPr>
        <w:t>36.68</w:t>
      </w:r>
      <w:r w:rsidRPr="00937EAC">
        <w:rPr>
          <w:color w:val="201F1E"/>
          <w:bdr w:val="none" w:sz="0" w:space="0" w:color="auto" w:frame="1"/>
        </w:rPr>
        <w:t>), Kansas City, MO ($3</w:t>
      </w:r>
      <w:r w:rsidR="004E44C0">
        <w:rPr>
          <w:color w:val="201F1E"/>
          <w:bdr w:val="none" w:sz="0" w:space="0" w:color="auto" w:frame="1"/>
        </w:rPr>
        <w:t>3.59</w:t>
      </w:r>
      <w:r w:rsidRPr="00937EAC">
        <w:rPr>
          <w:color w:val="201F1E"/>
          <w:bdr w:val="none" w:sz="0" w:space="0" w:color="auto" w:frame="1"/>
        </w:rPr>
        <w:t>), Los Angeles, CA ($</w:t>
      </w:r>
      <w:r w:rsidR="0061055E">
        <w:rPr>
          <w:color w:val="201F1E"/>
          <w:bdr w:val="none" w:sz="0" w:space="0" w:color="auto" w:frame="1"/>
        </w:rPr>
        <w:t>38.34</w:t>
      </w:r>
      <w:r w:rsidRPr="00937EAC">
        <w:rPr>
          <w:color w:val="201F1E"/>
          <w:bdr w:val="none" w:sz="0" w:space="0" w:color="auto" w:frame="1"/>
        </w:rPr>
        <w:t>) and Philadelphia, PA ($</w:t>
      </w:r>
      <w:r w:rsidR="0061055E">
        <w:rPr>
          <w:color w:val="201F1E"/>
          <w:bdr w:val="none" w:sz="0" w:space="0" w:color="auto" w:frame="1"/>
        </w:rPr>
        <w:t>36.34</w:t>
      </w:r>
      <w:r w:rsidRPr="00937EAC">
        <w:rPr>
          <w:color w:val="201F1E"/>
          <w:bdr w:val="none" w:sz="0" w:space="0" w:color="auto" w:frame="1"/>
        </w:rPr>
        <w:t>). The average hourly rate is the sum of these hourly rates divided by eight = $</w:t>
      </w:r>
      <w:r w:rsidR="008C3100">
        <w:rPr>
          <w:color w:val="201F1E"/>
          <w:bdr w:val="none" w:sz="0" w:space="0" w:color="auto" w:frame="1"/>
        </w:rPr>
        <w:t>36.32</w:t>
      </w:r>
      <w:r w:rsidRPr="00937EAC">
        <w:rPr>
          <w:color w:val="201F1E"/>
          <w:bdr w:val="none" w:sz="0" w:space="0" w:color="auto" w:frame="1"/>
        </w:rPr>
        <w:t>/hour (rounded to the nearest penny).</w:t>
      </w:r>
      <w:r w:rsidR="00C731AF">
        <w:rPr>
          <w:color w:val="201F1E"/>
          <w:bdr w:val="none" w:sz="0" w:space="0" w:color="auto" w:frame="1"/>
        </w:rPr>
        <w:t xml:space="preserve"> </w:t>
      </w:r>
      <w:r w:rsidR="00C731AF">
        <w:rPr>
          <w:i/>
          <w:iCs/>
          <w:color w:val="201F1E"/>
          <w:bdr w:val="none" w:sz="0" w:space="0" w:color="auto" w:frame="1"/>
        </w:rPr>
        <w:t xml:space="preserve">See </w:t>
      </w:r>
      <w:hyperlink r:id="rId9" w:history="1">
        <w:r w:rsidRPr="00C731AF" w:rsidR="00C731AF">
          <w:rPr>
            <w:rStyle w:val="Hyperlink"/>
            <w:bdr w:val="none" w:sz="0" w:space="0" w:color="auto" w:frame="1"/>
          </w:rPr>
          <w:t>https://www.opm.gov/policy-data-oversight/pay-leave/salaries-wages/2023/general-schedule/</w:t>
        </w:r>
      </w:hyperlink>
      <w:r w:rsidR="00C731AF">
        <w:rPr>
          <w:color w:val="201F1E"/>
          <w:bdr w:val="none" w:sz="0" w:space="0" w:color="auto" w:frame="1"/>
        </w:rPr>
        <w:t>.</w:t>
      </w:r>
      <w:r w:rsidR="00C731AF">
        <w:rPr>
          <w:i/>
          <w:iCs/>
          <w:color w:val="201F1E"/>
          <w:bdr w:val="none" w:sz="0" w:space="0" w:color="auto" w:frame="1"/>
        </w:rPr>
        <w:t xml:space="preserve"> </w:t>
      </w:r>
    </w:p>
    <w:p w:rsidR="00827754" w:rsidP="00254304" w14:paraId="7EFC4AA6" w14:textId="77777777">
      <w:pPr>
        <w:pStyle w:val="xmsonormal"/>
        <w:shd w:val="clear" w:color="auto" w:fill="FFFFFF"/>
        <w:spacing w:before="0" w:beforeAutospacing="0" w:after="0" w:afterAutospacing="0"/>
        <w:rPr>
          <w:b/>
          <w:bCs/>
          <w:i/>
          <w:iCs/>
          <w:color w:val="201F1E"/>
          <w:bdr w:val="none" w:sz="0" w:space="0" w:color="auto" w:frame="1"/>
        </w:rPr>
      </w:pPr>
    </w:p>
    <w:p w:rsidR="00963788" w:rsidRPr="00381FAB" w:rsidP="00963788" w14:paraId="5CCAF35E" w14:textId="4419AC84">
      <w:r>
        <w:rPr>
          <w:color w:val="201F1E"/>
          <w:bdr w:val="none" w:sz="0" w:space="0" w:color="auto" w:frame="1"/>
        </w:rPr>
        <w:t>This ICR requests a change in net burden to</w:t>
      </w:r>
      <w:r w:rsidR="004E1241">
        <w:rPr>
          <w:color w:val="201F1E"/>
          <w:bdr w:val="none" w:sz="0" w:space="0" w:color="auto" w:frame="1"/>
        </w:rPr>
        <w:t xml:space="preserve"> account for an agency adjustment of time per response</w:t>
      </w:r>
      <w:r w:rsidR="00B6329C">
        <w:rPr>
          <w:color w:val="201F1E"/>
          <w:bdr w:val="none" w:sz="0" w:space="0" w:color="auto" w:frame="1"/>
        </w:rPr>
        <w:t xml:space="preserve"> from 0.42 hours per response to 1 hour per response</w:t>
      </w:r>
      <w:r>
        <w:rPr>
          <w:bCs/>
          <w:kern w:val="36"/>
        </w:rPr>
        <w:t>. AmeriCorps arrived at this</w:t>
      </w:r>
      <w:r w:rsidR="00633887">
        <w:rPr>
          <w:bCs/>
          <w:kern w:val="36"/>
        </w:rPr>
        <w:t xml:space="preserve"> re-estimation of burden</w:t>
      </w:r>
      <w:r>
        <w:rPr>
          <w:bCs/>
          <w:kern w:val="36"/>
        </w:rPr>
        <w:t xml:space="preserve"> through its outreach described in number 8 above, </w:t>
      </w:r>
      <w:r>
        <w:t>through consultation with a sample of potential respondents.</w:t>
      </w:r>
      <w:r w:rsidR="00633887">
        <w:t xml:space="preserve"> This results in an increase of 3,625 total hour burden. </w:t>
      </w:r>
      <w:r w:rsidR="00375D75">
        <w:t xml:space="preserve">The cost burden is also updated to reflect </w:t>
      </w:r>
      <w:r w:rsidR="00CA1F3F">
        <w:t xml:space="preserve">this increase in hours and </w:t>
      </w:r>
      <w:r w:rsidR="00375D75">
        <w:t xml:space="preserve">a $49.49 hourly rate, as explained above.  </w:t>
      </w:r>
    </w:p>
    <w:p w:rsidR="00827754" w:rsidRPr="00827754" w:rsidP="00254304" w14:paraId="413185B3" w14:textId="70E7575B">
      <w:pPr>
        <w:pStyle w:val="xmsonormal"/>
        <w:shd w:val="clear" w:color="auto" w:fill="FFFFFF"/>
        <w:spacing w:before="0" w:beforeAutospacing="0" w:after="0" w:afterAutospacing="0"/>
        <w:rPr>
          <w:color w:val="201F1E"/>
          <w:bdr w:val="none" w:sz="0" w:space="0" w:color="auto" w:frame="1"/>
        </w:rPr>
      </w:pPr>
    </w:p>
    <w:p w:rsidR="002230A4" w:rsidP="00254304" w14:paraId="558E6A7D" w14:textId="77777777">
      <w:pPr>
        <w:pStyle w:val="xmsonormal"/>
        <w:shd w:val="clear" w:color="auto" w:fill="FFFFFF"/>
        <w:spacing w:before="0" w:beforeAutospacing="0" w:after="0" w:afterAutospacing="0"/>
        <w:rPr>
          <w:i/>
          <w:iCs/>
          <w:color w:val="201F1E"/>
          <w:bdr w:val="none" w:sz="0" w:space="0" w:color="auto" w:frame="1"/>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43"/>
        <w:gridCol w:w="1213"/>
        <w:gridCol w:w="1218"/>
        <w:gridCol w:w="1218"/>
        <w:gridCol w:w="1244"/>
        <w:gridCol w:w="977"/>
        <w:gridCol w:w="1111"/>
      </w:tblGrid>
      <w:tr w14:paraId="00AD8436" w14:textId="77777777" w:rsidTr="002E6D4C">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5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230A4" w:rsidRPr="00915869" w:rsidP="004B4780" w14:paraId="26E32FDD" w14:textId="77777777">
            <w:pPr>
              <w:widowControl w:val="0"/>
              <w:rPr>
                <w:b/>
                <w:bCs/>
                <w:szCs w:val="22"/>
              </w:rPr>
            </w:pPr>
          </w:p>
        </w:tc>
        <w:tc>
          <w:tcPr>
            <w:tcW w:w="7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230A4" w:rsidRPr="00915869" w:rsidP="004B4780" w14:paraId="74AFE7C1" w14:textId="77777777">
            <w:pPr>
              <w:widowControl w:val="0"/>
              <w:rPr>
                <w:b/>
                <w:bCs/>
                <w:szCs w:val="22"/>
              </w:rPr>
            </w:pPr>
            <w:r w:rsidRPr="00915869">
              <w:rPr>
                <w:b/>
                <w:bCs/>
                <w:szCs w:val="22"/>
              </w:rPr>
              <w:t>Requested</w:t>
            </w:r>
          </w:p>
        </w:tc>
        <w:tc>
          <w:tcPr>
            <w:tcW w:w="70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230A4" w:rsidRPr="00915869" w:rsidP="004B4780" w14:paraId="1B5AD957" w14:textId="77777777">
            <w:pPr>
              <w:widowControl w:val="0"/>
              <w:rPr>
                <w:b/>
                <w:bCs/>
                <w:szCs w:val="22"/>
              </w:rPr>
            </w:pPr>
            <w:r w:rsidRPr="00915869">
              <w:rPr>
                <w:b/>
                <w:bCs/>
                <w:szCs w:val="22"/>
              </w:rPr>
              <w:t>Program Change Due to New Statute</w:t>
            </w:r>
          </w:p>
        </w:tc>
        <w:tc>
          <w:tcPr>
            <w:tcW w:w="70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230A4" w:rsidRPr="00915869" w:rsidP="004B4780" w14:paraId="0750ACC2" w14:textId="77777777">
            <w:pPr>
              <w:widowControl w:val="0"/>
              <w:rPr>
                <w:b/>
                <w:bCs/>
                <w:szCs w:val="22"/>
              </w:rPr>
            </w:pPr>
            <w:r w:rsidRPr="00915869">
              <w:rPr>
                <w:b/>
                <w:bCs/>
                <w:szCs w:val="22"/>
              </w:rPr>
              <w:t>Program Change Due to Agency Discretion</w:t>
            </w:r>
          </w:p>
        </w:tc>
        <w:tc>
          <w:tcPr>
            <w:tcW w:w="72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230A4" w:rsidRPr="00915869" w:rsidP="004B4780" w14:paraId="3D005343" w14:textId="77777777">
            <w:pPr>
              <w:widowControl w:val="0"/>
              <w:rPr>
                <w:b/>
                <w:bCs/>
                <w:szCs w:val="22"/>
              </w:rPr>
            </w:pPr>
            <w:r w:rsidRPr="00915869">
              <w:rPr>
                <w:b/>
                <w:bCs/>
                <w:szCs w:val="22"/>
              </w:rPr>
              <w:t>Change Due to Adjustment in Agency Estimate</w:t>
            </w:r>
          </w:p>
        </w:tc>
        <w:tc>
          <w:tcPr>
            <w:tcW w:w="56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230A4" w:rsidRPr="00915869" w:rsidP="004B4780" w14:paraId="50870170" w14:textId="77777777">
            <w:pPr>
              <w:widowControl w:val="0"/>
              <w:rPr>
                <w:b/>
                <w:bCs/>
                <w:szCs w:val="22"/>
              </w:rPr>
            </w:pPr>
            <w:r w:rsidRPr="00915869">
              <w:rPr>
                <w:b/>
                <w:bCs/>
                <w:szCs w:val="22"/>
              </w:rPr>
              <w:t>Change Due to Potential Violation of the PRA</w:t>
            </w:r>
          </w:p>
        </w:tc>
        <w:tc>
          <w:tcPr>
            <w:tcW w:w="64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2230A4" w:rsidRPr="00915869" w:rsidP="004B4780" w14:paraId="664F0631" w14:textId="77777777">
            <w:pPr>
              <w:widowControl w:val="0"/>
              <w:rPr>
                <w:b/>
                <w:bCs/>
                <w:szCs w:val="22"/>
              </w:rPr>
            </w:pPr>
            <w:r w:rsidRPr="00915869">
              <w:rPr>
                <w:b/>
                <w:bCs/>
                <w:szCs w:val="22"/>
              </w:rPr>
              <w:t>Previously Approved</w:t>
            </w:r>
          </w:p>
        </w:tc>
      </w:tr>
      <w:tr w14:paraId="630E4119" w14:textId="77777777" w:rsidTr="00562E94">
        <w:tblPrEx>
          <w:tblW w:w="5000" w:type="pct"/>
          <w:tblCellSpacing w:w="0" w:type="dxa"/>
          <w:shd w:val="clear" w:color="auto" w:fill="EFEFEF"/>
          <w:tblCellMar>
            <w:left w:w="0" w:type="dxa"/>
            <w:right w:w="0" w:type="dxa"/>
          </w:tblCellMar>
          <w:tblLook w:val="04A0"/>
        </w:tblPrEx>
        <w:trPr>
          <w:tblCellSpacing w:w="0" w:type="dxa"/>
        </w:trPr>
        <w:tc>
          <w:tcPr>
            <w:tcW w:w="95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1BB5A924" w14:textId="77777777">
            <w:pPr>
              <w:widowControl w:val="0"/>
              <w:rPr>
                <w:szCs w:val="22"/>
              </w:rPr>
            </w:pPr>
            <w:r w:rsidRPr="00915869">
              <w:rPr>
                <w:szCs w:val="22"/>
              </w:rPr>
              <w:t>Annual Number of Responses for this IC</w:t>
            </w:r>
          </w:p>
        </w:tc>
        <w:tc>
          <w:tcPr>
            <w:tcW w:w="7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23269349" w14:textId="043B5CAF">
            <w:pPr>
              <w:widowControl w:val="0"/>
              <w:rPr>
                <w:szCs w:val="22"/>
              </w:rPr>
            </w:pPr>
            <w:r>
              <w:rPr>
                <w:szCs w:val="22"/>
              </w:rPr>
              <w:t>6,250</w:t>
            </w:r>
          </w:p>
        </w:tc>
        <w:tc>
          <w:tcPr>
            <w:tcW w:w="70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19ED2842" w14:textId="0DF95CB7">
            <w:pPr>
              <w:widowControl w:val="0"/>
              <w:rPr>
                <w:szCs w:val="22"/>
              </w:rPr>
            </w:pPr>
            <w:r w:rsidRPr="00B811AD">
              <w:rPr>
                <w:szCs w:val="22"/>
              </w:rPr>
              <w:t>0</w:t>
            </w:r>
          </w:p>
        </w:tc>
        <w:tc>
          <w:tcPr>
            <w:tcW w:w="70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3A2E27CF" w14:textId="5402E578">
            <w:pPr>
              <w:widowControl w:val="0"/>
              <w:rPr>
                <w:szCs w:val="22"/>
              </w:rPr>
            </w:pPr>
            <w:r w:rsidRPr="00B811AD">
              <w:rPr>
                <w:szCs w:val="22"/>
              </w:rPr>
              <w:t>0</w:t>
            </w:r>
          </w:p>
        </w:tc>
        <w:tc>
          <w:tcPr>
            <w:tcW w:w="7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17B9F865" w14:textId="3E0ED730">
            <w:pPr>
              <w:widowControl w:val="0"/>
              <w:rPr>
                <w:szCs w:val="22"/>
              </w:rPr>
            </w:pPr>
            <w:r>
              <w:rPr>
                <w:szCs w:val="22"/>
              </w:rPr>
              <w:t>0</w:t>
            </w:r>
          </w:p>
        </w:tc>
        <w:tc>
          <w:tcPr>
            <w:tcW w:w="56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547B01B9" w14:textId="2AFA3D47">
            <w:pPr>
              <w:widowControl w:val="0"/>
              <w:rPr>
                <w:szCs w:val="22"/>
              </w:rPr>
            </w:pPr>
            <w:r w:rsidRPr="001D78A6">
              <w:rPr>
                <w:szCs w:val="22"/>
              </w:rPr>
              <w:t>0</w:t>
            </w:r>
          </w:p>
        </w:tc>
        <w:tc>
          <w:tcPr>
            <w:tcW w:w="64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0DFDF78B" w14:textId="18936030">
            <w:pPr>
              <w:widowControl w:val="0"/>
              <w:rPr>
                <w:szCs w:val="22"/>
              </w:rPr>
            </w:pPr>
            <w:r>
              <w:rPr>
                <w:szCs w:val="22"/>
              </w:rPr>
              <w:t>6,250</w:t>
            </w:r>
          </w:p>
        </w:tc>
      </w:tr>
      <w:tr w14:paraId="579C2A7B" w14:textId="77777777" w:rsidTr="00562E94">
        <w:tblPrEx>
          <w:tblW w:w="5000" w:type="pct"/>
          <w:tblCellSpacing w:w="0" w:type="dxa"/>
          <w:shd w:val="clear" w:color="auto" w:fill="EFEFEF"/>
          <w:tblCellMar>
            <w:left w:w="0" w:type="dxa"/>
            <w:right w:w="0" w:type="dxa"/>
          </w:tblCellMar>
          <w:tblLook w:val="04A0"/>
        </w:tblPrEx>
        <w:trPr>
          <w:tblCellSpacing w:w="0" w:type="dxa"/>
        </w:trPr>
        <w:tc>
          <w:tcPr>
            <w:tcW w:w="95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34E43F5D" w14:textId="77777777">
            <w:pPr>
              <w:widowControl w:val="0"/>
              <w:rPr>
                <w:szCs w:val="22"/>
              </w:rPr>
            </w:pPr>
            <w:r w:rsidRPr="00915869">
              <w:rPr>
                <w:szCs w:val="22"/>
              </w:rPr>
              <w:t>Annual IC Time Burden (Hour)</w:t>
            </w:r>
          </w:p>
        </w:tc>
        <w:tc>
          <w:tcPr>
            <w:tcW w:w="7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335FA01D" w14:textId="1295A2AD">
            <w:pPr>
              <w:widowControl w:val="0"/>
              <w:rPr>
                <w:szCs w:val="22"/>
              </w:rPr>
            </w:pPr>
            <w:r>
              <w:rPr>
                <w:szCs w:val="22"/>
              </w:rPr>
              <w:t>6,250</w:t>
            </w:r>
          </w:p>
        </w:tc>
        <w:tc>
          <w:tcPr>
            <w:tcW w:w="70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768E3D64" w14:textId="32668943">
            <w:pPr>
              <w:widowControl w:val="0"/>
              <w:rPr>
                <w:szCs w:val="22"/>
              </w:rPr>
            </w:pPr>
            <w:r w:rsidRPr="00B811AD">
              <w:rPr>
                <w:szCs w:val="22"/>
              </w:rPr>
              <w:t>0</w:t>
            </w:r>
          </w:p>
        </w:tc>
        <w:tc>
          <w:tcPr>
            <w:tcW w:w="70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49D622C2" w14:textId="0E2A1486">
            <w:pPr>
              <w:widowControl w:val="0"/>
              <w:rPr>
                <w:szCs w:val="22"/>
              </w:rPr>
            </w:pPr>
            <w:r w:rsidRPr="00B811AD">
              <w:rPr>
                <w:szCs w:val="22"/>
              </w:rPr>
              <w:t>0</w:t>
            </w:r>
          </w:p>
        </w:tc>
        <w:tc>
          <w:tcPr>
            <w:tcW w:w="7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37004904" w14:textId="44B275FE">
            <w:pPr>
              <w:widowControl w:val="0"/>
              <w:rPr>
                <w:szCs w:val="22"/>
              </w:rPr>
            </w:pPr>
            <w:r>
              <w:rPr>
                <w:szCs w:val="22"/>
              </w:rPr>
              <w:t>3,625</w:t>
            </w:r>
          </w:p>
        </w:tc>
        <w:tc>
          <w:tcPr>
            <w:tcW w:w="56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20FDDE72" w14:textId="5D0D92A0">
            <w:pPr>
              <w:widowControl w:val="0"/>
              <w:rPr>
                <w:szCs w:val="22"/>
              </w:rPr>
            </w:pPr>
            <w:r w:rsidRPr="001D78A6">
              <w:rPr>
                <w:szCs w:val="22"/>
              </w:rPr>
              <w:t>0</w:t>
            </w:r>
          </w:p>
        </w:tc>
        <w:tc>
          <w:tcPr>
            <w:tcW w:w="64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464B7389" w14:textId="3C6F3AD9">
            <w:pPr>
              <w:widowControl w:val="0"/>
              <w:rPr>
                <w:szCs w:val="22"/>
              </w:rPr>
            </w:pPr>
            <w:r>
              <w:rPr>
                <w:szCs w:val="22"/>
              </w:rPr>
              <w:t>2,625</w:t>
            </w:r>
          </w:p>
        </w:tc>
      </w:tr>
      <w:tr w14:paraId="2CD81F39" w14:textId="77777777" w:rsidTr="00562E94">
        <w:tblPrEx>
          <w:tblW w:w="5000" w:type="pct"/>
          <w:tblCellSpacing w:w="0" w:type="dxa"/>
          <w:shd w:val="clear" w:color="auto" w:fill="EFEFEF"/>
          <w:tblCellMar>
            <w:left w:w="0" w:type="dxa"/>
            <w:right w:w="0" w:type="dxa"/>
          </w:tblCellMar>
          <w:tblLook w:val="04A0"/>
        </w:tblPrEx>
        <w:trPr>
          <w:tblCellSpacing w:w="0" w:type="dxa"/>
        </w:trPr>
        <w:tc>
          <w:tcPr>
            <w:tcW w:w="95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1D16971D" w14:textId="77777777">
            <w:pPr>
              <w:widowControl w:val="0"/>
              <w:rPr>
                <w:szCs w:val="22"/>
              </w:rPr>
            </w:pPr>
            <w:r w:rsidRPr="00915869">
              <w:rPr>
                <w:szCs w:val="22"/>
              </w:rPr>
              <w:t>Annual IC Cost Burden (Dollars)</w:t>
            </w:r>
          </w:p>
        </w:tc>
        <w:tc>
          <w:tcPr>
            <w:tcW w:w="7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06AFF2A1" w14:textId="4A195058">
            <w:pPr>
              <w:widowControl w:val="0"/>
              <w:rPr>
                <w:szCs w:val="22"/>
              </w:rPr>
            </w:pPr>
            <w:r>
              <w:rPr>
                <w:szCs w:val="22"/>
              </w:rPr>
              <w:t>309,313</w:t>
            </w:r>
          </w:p>
        </w:tc>
        <w:tc>
          <w:tcPr>
            <w:tcW w:w="70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26FBBBB8" w14:textId="22ACA356">
            <w:pPr>
              <w:widowControl w:val="0"/>
              <w:rPr>
                <w:szCs w:val="22"/>
              </w:rPr>
            </w:pPr>
            <w:r w:rsidRPr="00B811AD">
              <w:rPr>
                <w:szCs w:val="22"/>
              </w:rPr>
              <w:t>0</w:t>
            </w:r>
          </w:p>
        </w:tc>
        <w:tc>
          <w:tcPr>
            <w:tcW w:w="70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225D4249" w14:textId="7F6209AE">
            <w:pPr>
              <w:widowControl w:val="0"/>
              <w:rPr>
                <w:szCs w:val="22"/>
              </w:rPr>
            </w:pPr>
            <w:r w:rsidRPr="00B811AD">
              <w:rPr>
                <w:szCs w:val="22"/>
              </w:rPr>
              <w:t>0</w:t>
            </w:r>
          </w:p>
        </w:tc>
        <w:tc>
          <w:tcPr>
            <w:tcW w:w="72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6EC4A616" w14:textId="76DA008C">
            <w:pPr>
              <w:widowControl w:val="0"/>
              <w:rPr>
                <w:szCs w:val="22"/>
              </w:rPr>
            </w:pPr>
            <w:r>
              <w:rPr>
                <w:szCs w:val="22"/>
              </w:rPr>
              <w:t>190,875</w:t>
            </w:r>
          </w:p>
        </w:tc>
        <w:tc>
          <w:tcPr>
            <w:tcW w:w="56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hideMark/>
          </w:tcPr>
          <w:p w:rsidR="002E6D4C" w:rsidRPr="00915869" w:rsidP="002E6D4C" w14:paraId="09248358" w14:textId="6CBEE90D">
            <w:pPr>
              <w:widowControl w:val="0"/>
              <w:rPr>
                <w:szCs w:val="22"/>
              </w:rPr>
            </w:pPr>
            <w:r w:rsidRPr="001D78A6">
              <w:rPr>
                <w:szCs w:val="22"/>
              </w:rPr>
              <w:t>0</w:t>
            </w:r>
          </w:p>
        </w:tc>
        <w:tc>
          <w:tcPr>
            <w:tcW w:w="64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58CF896E" w14:textId="5A49D206">
            <w:pPr>
              <w:widowControl w:val="0"/>
              <w:rPr>
                <w:szCs w:val="22"/>
              </w:rPr>
            </w:pPr>
            <w:r>
              <w:rPr>
                <w:szCs w:val="22"/>
              </w:rPr>
              <w:t>118,438</w:t>
            </w:r>
          </w:p>
        </w:tc>
      </w:tr>
    </w:tbl>
    <w:p w:rsidR="002230A4" w:rsidP="00254304" w14:paraId="0D30DEE2" w14:textId="77777777">
      <w:pPr>
        <w:pStyle w:val="xmsonormal"/>
        <w:shd w:val="clear" w:color="auto" w:fill="FFFFFF"/>
        <w:spacing w:before="0" w:beforeAutospacing="0" w:after="0" w:afterAutospacing="0"/>
        <w:rPr>
          <w:color w:val="201F1E"/>
        </w:rPr>
      </w:pPr>
    </w:p>
    <w:p w:rsidR="005C3A9C" w:rsidRPr="00915869" w:rsidP="005C3A9C" w14:paraId="7A6DCEE0" w14:textId="77777777">
      <w:pPr>
        <w:pStyle w:val="Default"/>
        <w:widowControl w:val="0"/>
        <w:rPr>
          <w:rFonts w:ascii="Times New Roman" w:hAnsi="Times New Roman"/>
          <w:szCs w:val="22"/>
        </w:rPr>
      </w:pPr>
    </w:p>
    <w:p w:rsidR="005C3A9C" w:rsidRPr="00915869" w:rsidP="005C3A9C" w14:paraId="61A65538" w14:textId="310B7DFE">
      <w:pPr>
        <w:pStyle w:val="Default"/>
        <w:widowControl w:val="0"/>
        <w:rPr>
          <w:rFonts w:ascii="Times New Roman" w:hAnsi="Times New Roman"/>
          <w:szCs w:val="22"/>
        </w:rPr>
      </w:pPr>
      <w:r>
        <w:rPr>
          <w:rFonts w:ascii="Times New Roman" w:hAnsi="Times New Roman"/>
          <w:szCs w:val="22"/>
        </w:rPr>
        <w:t>Th</w:t>
      </w:r>
      <w:r w:rsidR="00793AE6">
        <w:rPr>
          <w:rFonts w:ascii="Times New Roman" w:hAnsi="Times New Roman"/>
          <w:szCs w:val="22"/>
        </w:rPr>
        <w:t>e following table</w:t>
      </w:r>
      <w:r w:rsidR="002E6D4C">
        <w:rPr>
          <w:rFonts w:ascii="Times New Roman" w:hAnsi="Times New Roman"/>
          <w:szCs w:val="22"/>
        </w:rPr>
        <w:t>s</w:t>
      </w:r>
      <w:r w:rsidR="00793AE6">
        <w:rPr>
          <w:rFonts w:ascii="Times New Roman" w:hAnsi="Times New Roman"/>
          <w:szCs w:val="22"/>
        </w:rPr>
        <w:t xml:space="preserve"> show that these burden hours consist of time required for reporting:  </w:t>
      </w:r>
    </w:p>
    <w:p w:rsidR="005C3A9C" w:rsidRPr="00915869" w:rsidP="00793AE6" w14:paraId="1805ED9B" w14:textId="6E9D8D38">
      <w:pPr>
        <w:pStyle w:val="ListParagraph"/>
        <w:widowControl w:val="0"/>
        <w:tabs>
          <w:tab w:val="left" w:pos="820"/>
          <w:tab w:val="left" w:pos="821"/>
        </w:tabs>
        <w:overflowPunct/>
        <w:adjustRightInd/>
        <w:ind w:left="360" w:right="195"/>
        <w:contextualSpacing w:val="0"/>
        <w:textAlignment w:val="auto"/>
        <w:rPr>
          <w:rFonts w:ascii="Times New Roman" w:hAnsi="Times New Roman"/>
          <w:szCs w:val="22"/>
        </w:rPr>
      </w:pPr>
    </w:p>
    <w:tbl>
      <w:tblPr>
        <w:tblW w:w="5000" w:type="pct"/>
        <w:tblCellSpacing w:w="22" w:type="dxa"/>
        <w:tblCellMar>
          <w:left w:w="0" w:type="dxa"/>
          <w:right w:w="0" w:type="dxa"/>
        </w:tblCellMar>
        <w:tblLook w:val="04A0"/>
      </w:tblPr>
      <w:tblGrid>
        <w:gridCol w:w="8531"/>
        <w:gridCol w:w="109"/>
      </w:tblGrid>
      <w:tr w14:paraId="77AFD6B8" w14:textId="77777777" w:rsidTr="004B478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5C3A9C" w:rsidRPr="00915869" w:rsidP="004B4780" w14:paraId="36790F8D"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8BD6D23" w14:textId="77777777" w:rsidTr="004B4780">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3A9C" w:rsidRPr="00915869" w:rsidP="004B4780" w14:paraId="5D566F8F"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3A9C" w:rsidRPr="00915869" w:rsidP="004B4780" w14:paraId="5802AAE6"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3A9C" w:rsidRPr="00915869" w:rsidP="004B4780" w14:paraId="79630D3F"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3A9C" w:rsidRPr="00915869" w:rsidP="004B4780" w14:paraId="680025F7" w14:textId="77777777">
                  <w:pPr>
                    <w:widowControl w:val="0"/>
                    <w:jc w:val="center"/>
                    <w:rPr>
                      <w:b/>
                      <w:bCs/>
                      <w:szCs w:val="22"/>
                    </w:rPr>
                  </w:pPr>
                  <w:r w:rsidRPr="00915869">
                    <w:rPr>
                      <w:b/>
                      <w:bCs/>
                      <w:szCs w:val="22"/>
                    </w:rPr>
                    <w:t xml:space="preserve">Cost Per Response </w:t>
                  </w:r>
                </w:p>
              </w:tc>
            </w:tr>
            <w:tr w14:paraId="36878BFF" w14:textId="77777777" w:rsidTr="004B478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4610D3F2"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0E9FCAE7" w14:textId="7DA31D51">
                  <w:pPr>
                    <w:widowControl w:val="0"/>
                    <w:rPr>
                      <w:szCs w:val="22"/>
                    </w:rPr>
                  </w:pPr>
                  <w:r>
                    <w:rPr>
                      <w:szCs w:val="22"/>
                    </w:rPr>
                    <w:t>1 hour</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2337A72F" w14:textId="75A897B8">
                  <w:pPr>
                    <w:widowControl w:val="0"/>
                    <w:rPr>
                      <w:szCs w:val="22"/>
                    </w:rPr>
                  </w:pPr>
                  <w:r>
                    <w:rPr>
                      <w:szCs w:val="22"/>
                    </w:rPr>
                    <w:t>1</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29157072" w14:textId="15F05C5C">
                  <w:pPr>
                    <w:widowControl w:val="0"/>
                    <w:rPr>
                      <w:szCs w:val="22"/>
                    </w:rPr>
                  </w:pPr>
                  <w:r>
                    <w:rPr>
                      <w:szCs w:val="22"/>
                    </w:rPr>
                    <w:t>$49.49</w:t>
                  </w:r>
                </w:p>
              </w:tc>
            </w:tr>
            <w:tr w14:paraId="0262F53B" w14:textId="77777777" w:rsidTr="004B478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09129387"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28B24603" w14:textId="4113E168">
                  <w:pPr>
                    <w:widowControl w:val="0"/>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5A349BC2" w14:textId="32BB1E29">
                  <w:pPr>
                    <w:widowControl w:val="0"/>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2F4843EF" w14:textId="4F80DA65">
                  <w:pPr>
                    <w:widowControl w:val="0"/>
                    <w:rPr>
                      <w:szCs w:val="22"/>
                    </w:rPr>
                  </w:pPr>
                  <w:r>
                    <w:rPr>
                      <w:szCs w:val="22"/>
                    </w:rPr>
                    <w:t>0</w:t>
                  </w:r>
                </w:p>
              </w:tc>
            </w:tr>
            <w:tr w14:paraId="5FEAF15A" w14:textId="77777777" w:rsidTr="004B478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29667DE6"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5BF8B380" w14:textId="1D4723D1">
                  <w:pPr>
                    <w:widowControl w:val="0"/>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6F0B2943" w14:textId="4D35DB92">
                  <w:pPr>
                    <w:widowControl w:val="0"/>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1A3AE188" w14:textId="2635574B">
                  <w:pPr>
                    <w:widowControl w:val="0"/>
                    <w:rPr>
                      <w:szCs w:val="22"/>
                    </w:rPr>
                  </w:pPr>
                  <w:r>
                    <w:rPr>
                      <w:szCs w:val="22"/>
                    </w:rPr>
                    <w:t>0</w:t>
                  </w:r>
                </w:p>
              </w:tc>
            </w:tr>
            <w:tr w14:paraId="6D43FFEF" w14:textId="77777777" w:rsidTr="004B478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5339E675"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6F4AEB65" w14:textId="77777777">
                  <w:pPr>
                    <w:widowControl w:val="0"/>
                    <w:rPr>
                      <w:szCs w:val="22"/>
                    </w:rPr>
                  </w:pPr>
                  <w:r w:rsidRPr="00915869">
                    <w:rPr>
                      <w:szCs w:val="22"/>
                    </w:rPr>
                    <w:t xml:space="preserve">  </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28357A2E" w14:textId="355A4DD9">
                  <w:pPr>
                    <w:widowControl w:val="0"/>
                    <w:rPr>
                      <w:szCs w:val="22"/>
                    </w:rPr>
                  </w:pPr>
                  <w:r w:rsidRPr="00915869">
                    <w:rPr>
                      <w:szCs w:val="22"/>
                    </w:rPr>
                    <w:t> </w:t>
                  </w:r>
                  <w:r w:rsidR="00205ECA">
                    <w:rPr>
                      <w:szCs w:val="22"/>
                    </w:rPr>
                    <w:t>1</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269CED30" w14:textId="517BA423">
                  <w:pPr>
                    <w:widowControl w:val="0"/>
                    <w:jc w:val="right"/>
                    <w:rPr>
                      <w:szCs w:val="22"/>
                    </w:rPr>
                  </w:pPr>
                  <w:r>
                    <w:rPr>
                      <w:szCs w:val="22"/>
                    </w:rPr>
                    <w:t>$49.49</w:t>
                  </w:r>
                  <w:r w:rsidRPr="00915869">
                    <w:rPr>
                      <w:szCs w:val="22"/>
                    </w:rPr>
                    <w:t> </w:t>
                  </w:r>
                </w:p>
              </w:tc>
            </w:tr>
          </w:tbl>
          <w:p w:rsidR="005C3A9C" w:rsidRPr="00915869" w:rsidP="004B4780" w14:paraId="64BE6830" w14:textId="77777777">
            <w:pPr>
              <w:widowControl w:val="0"/>
              <w:rPr>
                <w:szCs w:val="22"/>
              </w:rPr>
            </w:pPr>
          </w:p>
        </w:tc>
      </w:tr>
      <w:tr w14:paraId="3C58B223" w14:textId="77777777" w:rsidTr="004B478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5C3A9C" w:rsidRPr="00915869" w:rsidP="004B4780" w14:paraId="2FCD5684" w14:textId="77777777">
            <w:pPr>
              <w:widowControl w:val="0"/>
              <w:rPr>
                <w:szCs w:val="22"/>
              </w:rPr>
            </w:pPr>
          </w:p>
          <w:p w:rsidR="005C3A9C" w:rsidRPr="00915869" w:rsidP="004B4780" w14:paraId="737CE196"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531"/>
              <w:gridCol w:w="2977"/>
              <w:gridCol w:w="3013"/>
            </w:tblGrid>
            <w:tr w14:paraId="737EDDE9" w14:textId="77777777" w:rsidTr="004B4780">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3A9C" w:rsidRPr="00915869" w:rsidP="004B4780" w14:paraId="18E73D51"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3A9C" w:rsidRPr="00915869" w:rsidP="004B4780" w14:paraId="7A280FC8"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3A9C" w:rsidP="004B4780" w14:paraId="6DF2772C" w14:textId="77777777">
                  <w:pPr>
                    <w:widowControl w:val="0"/>
                    <w:jc w:val="center"/>
                    <w:rPr>
                      <w:b/>
                      <w:bCs/>
                      <w:szCs w:val="22"/>
                    </w:rPr>
                  </w:pPr>
                  <w:r w:rsidRPr="00915869">
                    <w:rPr>
                      <w:b/>
                      <w:bCs/>
                      <w:szCs w:val="22"/>
                    </w:rPr>
                    <w:t>Annual Cost Burden</w:t>
                  </w:r>
                </w:p>
                <w:p w:rsidR="005C3A9C" w:rsidRPr="00915869" w:rsidP="004B4780" w14:paraId="09D2B538" w14:textId="77777777">
                  <w:pPr>
                    <w:widowControl w:val="0"/>
                    <w:jc w:val="center"/>
                    <w:rPr>
                      <w:b/>
                      <w:bCs/>
                      <w:szCs w:val="22"/>
                    </w:rPr>
                  </w:pPr>
                  <w:r w:rsidRPr="00915869">
                    <w:rPr>
                      <w:b/>
                      <w:bCs/>
                      <w:szCs w:val="22"/>
                    </w:rPr>
                    <w:t xml:space="preserve">(Dollars) </w:t>
                  </w:r>
                </w:p>
              </w:tc>
            </w:tr>
            <w:tr w14:paraId="46A5D904" w14:textId="77777777" w:rsidTr="004B478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6514392A"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53E1F478" w14:textId="1DAC4925">
                  <w:pPr>
                    <w:widowControl w:val="0"/>
                    <w:rPr>
                      <w:szCs w:val="22"/>
                    </w:rPr>
                  </w:pPr>
                  <w:r>
                    <w:rPr>
                      <w:szCs w:val="22"/>
                    </w:rPr>
                    <w:t>6,250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2E6D4C" w14:paraId="1E6C953C" w14:textId="766769D4">
                  <w:pPr>
                    <w:widowControl w:val="0"/>
                    <w:rPr>
                      <w:szCs w:val="22"/>
                    </w:rPr>
                  </w:pPr>
                  <w:r>
                    <w:rPr>
                      <w:szCs w:val="22"/>
                    </w:rPr>
                    <w:t>$309,31</w:t>
                  </w:r>
                  <w:r w:rsidR="002E6D4C">
                    <w:rPr>
                      <w:szCs w:val="22"/>
                    </w:rPr>
                    <w:t>2.50</w:t>
                  </w:r>
                  <w:r>
                    <w:rPr>
                      <w:szCs w:val="22"/>
                    </w:rPr>
                    <w:t xml:space="preserve"> </w:t>
                  </w:r>
                </w:p>
              </w:tc>
            </w:tr>
            <w:tr w14:paraId="559ADB0E" w14:textId="77777777" w:rsidTr="004B478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63834D76"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3F3F8DFF" w14:textId="153684D0">
                  <w:pPr>
                    <w:widowControl w:val="0"/>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04373938" w14:textId="648D07EF">
                  <w:pPr>
                    <w:widowControl w:val="0"/>
                    <w:jc w:val="right"/>
                    <w:rPr>
                      <w:szCs w:val="22"/>
                    </w:rPr>
                  </w:pPr>
                  <w:r>
                    <w:rPr>
                      <w:szCs w:val="22"/>
                    </w:rPr>
                    <w:t>0</w:t>
                  </w:r>
                </w:p>
              </w:tc>
            </w:tr>
            <w:tr w14:paraId="6ABDDC40" w14:textId="77777777" w:rsidTr="004B478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30D28D64"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1886FEFC" w14:textId="117654D6">
                  <w:pPr>
                    <w:widowControl w:val="0"/>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3A9C" w:rsidRPr="00915869" w:rsidP="004B4780" w14:paraId="0DF0D23B" w14:textId="5F8543DD">
                  <w:pPr>
                    <w:widowControl w:val="0"/>
                    <w:jc w:val="right"/>
                    <w:rPr>
                      <w:szCs w:val="22"/>
                    </w:rPr>
                  </w:pPr>
                  <w:r>
                    <w:rPr>
                      <w:szCs w:val="22"/>
                    </w:rPr>
                    <w:t>0</w:t>
                  </w:r>
                </w:p>
              </w:tc>
            </w:tr>
            <w:tr w14:paraId="192B5216" w14:textId="77777777" w:rsidTr="004B478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10B773A5"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68DC4619" w14:textId="40EA610A">
                  <w:pPr>
                    <w:widowControl w:val="0"/>
                    <w:rPr>
                      <w:szCs w:val="22"/>
                    </w:rPr>
                  </w:pPr>
                  <w:r>
                    <w:rPr>
                      <w:szCs w:val="22"/>
                    </w:rPr>
                    <w:t>6,250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2E6D4C" w:rsidRPr="00915869" w:rsidP="002E6D4C" w14:paraId="657A2005" w14:textId="7A99A441">
                  <w:pPr>
                    <w:widowControl w:val="0"/>
                    <w:rPr>
                      <w:szCs w:val="22"/>
                    </w:rPr>
                  </w:pPr>
                  <w:r>
                    <w:rPr>
                      <w:szCs w:val="22"/>
                    </w:rPr>
                    <w:t xml:space="preserve">$309,313 (rounded) </w:t>
                  </w:r>
                </w:p>
              </w:tc>
            </w:tr>
          </w:tbl>
          <w:p w:rsidR="005C3A9C" w:rsidRPr="00915869" w:rsidP="004B4780" w14:paraId="2DF8C98B" w14:textId="77777777">
            <w:pPr>
              <w:widowControl w:val="0"/>
              <w:rPr>
                <w:szCs w:val="22"/>
              </w:rPr>
            </w:pPr>
          </w:p>
        </w:tc>
      </w:tr>
    </w:tbl>
    <w:p w:rsidR="005C3A9C" w:rsidP="005C3A9C" w14:paraId="31B6BDFC" w14:textId="77777777">
      <w:pPr>
        <w:pStyle w:val="NormalWeb"/>
        <w:widowControl w:val="0"/>
        <w:tabs>
          <w:tab w:val="left" w:pos="360"/>
          <w:tab w:val="left" w:pos="720"/>
          <w:tab w:val="left" w:pos="1080"/>
          <w:tab w:val="left" w:pos="1440"/>
        </w:tabs>
        <w:spacing w:before="0" w:beforeAutospacing="0" w:after="0" w:afterAutospacing="0"/>
        <w:rPr>
          <w:u w:val="single"/>
        </w:rPr>
      </w:pPr>
    </w:p>
    <w:p w:rsidR="002230A4" w:rsidRPr="002230A4" w:rsidP="00254304" w14:paraId="4E7BAA04" w14:textId="77777777">
      <w:pPr>
        <w:pStyle w:val="xmsonormal"/>
        <w:shd w:val="clear" w:color="auto" w:fill="FFFFFF"/>
        <w:spacing w:before="0" w:beforeAutospacing="0" w:after="0" w:afterAutospacing="0"/>
        <w:rPr>
          <w:color w:val="201F1E"/>
        </w:rPr>
      </w:pPr>
    </w:p>
    <w:p w:rsidR="00254304" w:rsidP="00254304" w14:paraId="649CC1FA" w14:textId="77777777">
      <w:r w:rsidRPr="00937EAC">
        <w:t> </w:t>
      </w:r>
    </w:p>
    <w:p w:rsidR="00B9176E" w:rsidRPr="00814C59" w:rsidP="00814C59" w14:paraId="27E42BDB" w14:textId="18F62FF6">
      <w:pPr>
        <w:pStyle w:val="ListParagraph"/>
        <w:widowControl w:val="0"/>
        <w:tabs>
          <w:tab w:val="left" w:pos="360"/>
          <w:tab w:val="left" w:pos="720"/>
          <w:tab w:val="left" w:pos="1080"/>
        </w:tabs>
        <w:ind w:left="0"/>
        <w:rPr>
          <w:rFonts w:ascii="Times New Roman" w:hAnsi="Times New Roman"/>
          <w:b/>
          <w:bCs/>
        </w:rPr>
      </w:pPr>
      <w:r w:rsidRPr="00814C59">
        <w:rPr>
          <w:b/>
          <w:bCs/>
        </w:rPr>
        <w:t xml:space="preserve">13. </w:t>
      </w:r>
      <w:r w:rsidRPr="00814C59">
        <w:rPr>
          <w:rFonts w:ascii="Times New Roman" w:hAnsi="Times New Roman"/>
          <w:b/>
          <w:bCs/>
          <w:u w:val="single"/>
        </w:rPr>
        <w:t>Estimated nonrecurring costs</w:t>
      </w:r>
      <w:r w:rsidRPr="00814C59">
        <w:rPr>
          <w:rFonts w:ascii="Times New Roman" w:hAnsi="Times New Roman"/>
          <w:b/>
          <w:bCs/>
        </w:rPr>
        <w:t xml:space="preserve">. </w:t>
      </w:r>
    </w:p>
    <w:p w:rsidR="00610463" w:rsidP="00610463" w14:paraId="34802700" w14:textId="77777777">
      <w:pPr>
        <w:pStyle w:val="ListParagraph"/>
        <w:widowControl w:val="0"/>
        <w:tabs>
          <w:tab w:val="left" w:pos="360"/>
          <w:tab w:val="left" w:pos="720"/>
          <w:tab w:val="left" w:pos="1080"/>
        </w:tabs>
        <w:ind w:left="0"/>
      </w:pPr>
    </w:p>
    <w:p w:rsidR="00610463" w:rsidRPr="009277BA" w:rsidP="00814C59" w14:paraId="50A17936" w14:textId="1C595F9E">
      <w:pPr>
        <w:pStyle w:val="ListParagraph"/>
        <w:widowControl w:val="0"/>
        <w:tabs>
          <w:tab w:val="left" w:pos="360"/>
          <w:tab w:val="left" w:pos="720"/>
          <w:tab w:val="left" w:pos="1080"/>
        </w:tabs>
        <w:ind w:left="0"/>
        <w:rPr>
          <w:rFonts w:ascii="Times New Roman" w:hAnsi="Times New Roman"/>
        </w:rPr>
      </w:pPr>
      <w:r w:rsidRPr="00814C59">
        <w:rPr>
          <w:rFonts w:ascii="Times New Roman" w:hAnsi="Times New Roman"/>
        </w:rPr>
        <w:t>AmeriCorps does not estimate any annual cost burden to respondents apart from the hourly burden reflected in the above section</w:t>
      </w:r>
      <w:r w:rsidRPr="599F85F5" w:rsidR="71443644">
        <w:rPr>
          <w:rFonts w:ascii="Times New Roman" w:hAnsi="Times New Roman"/>
        </w:rPr>
        <w:t xml:space="preserve"> – applicants and grant recipients are expected to already have a computer and internet access to </w:t>
      </w:r>
      <w:r w:rsidRPr="599F85F5" w:rsidR="3C32161C">
        <w:rPr>
          <w:rFonts w:ascii="Times New Roman" w:hAnsi="Times New Roman"/>
        </w:rPr>
        <w:t>provide the information in the format requested</w:t>
      </w:r>
      <w:r w:rsidRPr="00814C59">
        <w:rPr>
          <w:rFonts w:ascii="Times New Roman" w:hAnsi="Times New Roman"/>
        </w:rPr>
        <w:t>.</w:t>
      </w:r>
    </w:p>
    <w:p w:rsidR="00B9176E" w:rsidRPr="00937EAC" w:rsidP="00254304" w14:paraId="4DDBEF00" w14:textId="77777777"/>
    <w:p w:rsidR="00254304" w:rsidRPr="009A69EA" w:rsidP="00254304" w14:paraId="19C4DF43" w14:textId="0A77CAD4">
      <w:pPr>
        <w:rPr>
          <w:rFonts w:ascii="Arial Narrow" w:hAnsi="Arial Narrow"/>
        </w:rPr>
      </w:pPr>
      <w:r w:rsidRPr="009A69EA">
        <w:rPr>
          <w:b/>
          <w:bCs/>
        </w:rPr>
        <w:t>1</w:t>
      </w:r>
      <w:r w:rsidR="00A01ED0">
        <w:rPr>
          <w:b/>
          <w:bCs/>
        </w:rPr>
        <w:t>4</w:t>
      </w:r>
      <w:r>
        <w:rPr>
          <w:b/>
          <w:bCs/>
        </w:rPr>
        <w:t>.</w:t>
      </w:r>
      <w:r w:rsidRPr="00814C59">
        <w:rPr>
          <w:b/>
          <w:bCs/>
        </w:rPr>
        <w:t xml:space="preserve"> </w:t>
      </w:r>
      <w:r w:rsidRPr="00814C59" w:rsidR="00B9176E">
        <w:rPr>
          <w:b/>
          <w:bCs/>
          <w:u w:val="single"/>
        </w:rPr>
        <w:t>Estimated cost to the Government</w:t>
      </w:r>
      <w:r w:rsidRPr="00814C59" w:rsidR="00B9176E">
        <w:rPr>
          <w:b/>
          <w:bCs/>
        </w:rPr>
        <w:t>.</w:t>
      </w:r>
    </w:p>
    <w:p w:rsidR="00254304" w:rsidRPr="009A69EA" w:rsidP="00254304" w14:paraId="3461D779" w14:textId="77777777">
      <w:pPr>
        <w:ind w:firstLine="540"/>
      </w:pPr>
    </w:p>
    <w:p w:rsidR="00254304" w:rsidRPr="00937EAC" w:rsidP="00FE616F" w14:paraId="61AA8DDE" w14:textId="2E3B963E">
      <w:pPr>
        <w:pStyle w:val="xmsonormal"/>
        <w:shd w:val="clear" w:color="auto" w:fill="FFFFFF"/>
        <w:spacing w:before="0" w:beforeAutospacing="0" w:after="0" w:afterAutospacing="0"/>
        <w:rPr>
          <w:color w:val="201F1E"/>
        </w:rPr>
      </w:pPr>
      <w:r w:rsidRPr="00937EAC">
        <w:rPr>
          <w:color w:val="201F1E"/>
        </w:rPr>
        <w:t xml:space="preserve">The estimated cost to the Government is shown in the following table. It is estimated that it will take the Government </w:t>
      </w:r>
      <w:r w:rsidR="009F4E3E">
        <w:rPr>
          <w:color w:val="201F1E"/>
        </w:rPr>
        <w:t>1</w:t>
      </w:r>
      <w:r w:rsidRPr="00937EAC">
        <w:rPr>
          <w:color w:val="201F1E"/>
        </w:rPr>
        <w:t xml:space="preserve"> hour to review and verify the information contained in each response. This estimate was developed by staff involved in the management of current activity.</w:t>
      </w:r>
    </w:p>
    <w:p w:rsidR="00254304" w:rsidRPr="00937EAC" w:rsidP="00254304" w14:paraId="10EF996B" w14:textId="77777777">
      <w:pPr>
        <w:pStyle w:val="xmsonormal"/>
        <w:shd w:val="clear" w:color="auto" w:fill="FFFFFF"/>
        <w:spacing w:before="0" w:beforeAutospacing="0" w:after="0" w:afterAutospacing="0"/>
        <w:rPr>
          <w:color w:val="201F1E"/>
        </w:rPr>
      </w:pPr>
      <w:r w:rsidRPr="00937EAC">
        <w:rPr>
          <w:color w:val="201F1E"/>
        </w:rPr>
        <w:t> </w:t>
      </w:r>
    </w:p>
    <w:tbl>
      <w:tblPr>
        <w:tblW w:w="9270" w:type="dxa"/>
        <w:tblInd w:w="108" w:type="dxa"/>
        <w:shd w:val="clear" w:color="auto" w:fill="FFFFFF"/>
        <w:tblCellMar>
          <w:left w:w="0" w:type="dxa"/>
          <w:right w:w="0" w:type="dxa"/>
        </w:tblCellMar>
        <w:tblLook w:val="04A0"/>
      </w:tblPr>
      <w:tblGrid>
        <w:gridCol w:w="7020"/>
        <w:gridCol w:w="2250"/>
      </w:tblGrid>
      <w:tr w14:paraId="135A30DD" w14:textId="77777777" w:rsidTr="0061272F">
        <w:tblPrEx>
          <w:tblW w:w="9270" w:type="dxa"/>
          <w:tblInd w:w="108" w:type="dxa"/>
          <w:shd w:val="clear" w:color="auto" w:fill="FFFFFF"/>
          <w:tblCellMar>
            <w:left w:w="0" w:type="dxa"/>
            <w:right w:w="0" w:type="dxa"/>
          </w:tblCellMar>
          <w:tblLook w:val="04A0"/>
        </w:tblPrEx>
        <w:trPr>
          <w:trHeight w:val="386"/>
        </w:trPr>
        <w:tc>
          <w:tcPr>
            <w:tcW w:w="92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6412EFB5" w14:textId="77777777">
            <w:pPr>
              <w:pStyle w:val="xmsonormal"/>
              <w:spacing w:before="0" w:beforeAutospacing="0" w:after="0" w:afterAutospacing="0"/>
              <w:jc w:val="center"/>
              <w:rPr>
                <w:color w:val="201F1E"/>
              </w:rPr>
            </w:pPr>
            <w:r w:rsidRPr="00937EAC">
              <w:rPr>
                <w:color w:val="201F1E"/>
              </w:rPr>
              <w:t>Estimation of Cost to the Government</w:t>
            </w:r>
          </w:p>
        </w:tc>
      </w:tr>
      <w:tr w14:paraId="175025A1" w14:textId="77777777" w:rsidTr="0061272F">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2DE3C7CA" w14:textId="77777777">
            <w:pPr>
              <w:pStyle w:val="xmsonormal"/>
              <w:spacing w:before="0" w:beforeAutospacing="0" w:after="0" w:afterAutospacing="0"/>
              <w:rPr>
                <w:color w:val="201F1E"/>
              </w:rPr>
            </w:pPr>
            <w:r w:rsidRPr="00937EAC">
              <w:rPr>
                <w:color w:val="201F1E"/>
              </w:rPr>
              <w:t>Number of responses</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7BC1587D" w14:textId="77777777">
            <w:pPr>
              <w:pStyle w:val="xmsonormal"/>
              <w:spacing w:before="0" w:beforeAutospacing="0" w:after="0" w:afterAutospacing="0"/>
              <w:rPr>
                <w:color w:val="201F1E"/>
              </w:rPr>
            </w:pPr>
            <w:r>
              <w:rPr>
                <w:color w:val="201F1E"/>
              </w:rPr>
              <w:t>3750</w:t>
            </w:r>
          </w:p>
        </w:tc>
      </w:tr>
      <w:tr w14:paraId="0A1D93C1" w14:textId="77777777" w:rsidTr="0061272F">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3C76E5E4" w14:textId="77777777">
            <w:pPr>
              <w:pStyle w:val="xmsonormal"/>
              <w:spacing w:before="0" w:beforeAutospacing="0" w:after="0" w:afterAutospacing="0"/>
              <w:rPr>
                <w:color w:val="201F1E"/>
              </w:rPr>
            </w:pPr>
            <w:r w:rsidRPr="00937EAC">
              <w:rPr>
                <w:color w:val="201F1E"/>
              </w:rPr>
              <w:t>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56B20A0C" w14:textId="77777777">
            <w:pPr>
              <w:pStyle w:val="xmsonormal"/>
              <w:spacing w:before="0" w:beforeAutospacing="0" w:after="0" w:afterAutospacing="0"/>
              <w:rPr>
                <w:color w:val="201F1E"/>
              </w:rPr>
            </w:pPr>
            <w:r>
              <w:rPr>
                <w:color w:val="201F1E"/>
              </w:rPr>
              <w:t>1</w:t>
            </w:r>
          </w:p>
        </w:tc>
      </w:tr>
      <w:tr w14:paraId="26D1A551" w14:textId="77777777" w:rsidTr="0061272F">
        <w:tblPrEx>
          <w:tblW w:w="9270" w:type="dxa"/>
          <w:tblInd w:w="108" w:type="dxa"/>
          <w:shd w:val="clear" w:color="auto" w:fill="FFFFFF"/>
          <w:tblCellMar>
            <w:left w:w="0" w:type="dxa"/>
            <w:right w:w="0" w:type="dxa"/>
          </w:tblCellMar>
          <w:tblLook w:val="04A0"/>
        </w:tblPrEx>
        <w:trPr>
          <w:trHeight w:val="449"/>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2021D245" w14:textId="77777777">
            <w:pPr>
              <w:pStyle w:val="xmsonormal"/>
              <w:spacing w:before="0" w:beforeAutospacing="0" w:after="0" w:afterAutospacing="0"/>
              <w:rPr>
                <w:color w:val="201F1E"/>
              </w:rPr>
            </w:pPr>
            <w:r w:rsidRPr="00937EAC">
              <w:rPr>
                <w:color w:val="201F1E"/>
              </w:rPr>
              <w:t>Total estimated hours (number of responses multiplied by hours per response)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0F849D52" w14:textId="77777777">
            <w:pPr>
              <w:pStyle w:val="xmsonormal"/>
              <w:spacing w:before="0" w:beforeAutospacing="0" w:after="0" w:afterAutospacing="0"/>
              <w:rPr>
                <w:color w:val="201F1E"/>
              </w:rPr>
            </w:pPr>
            <w:r>
              <w:rPr>
                <w:color w:val="201F1E"/>
              </w:rPr>
              <w:t>3750</w:t>
            </w:r>
          </w:p>
        </w:tc>
      </w:tr>
      <w:tr w14:paraId="237910B0" w14:textId="77777777" w:rsidTr="0061272F">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40A593E6" w14:textId="77777777">
            <w:pPr>
              <w:pStyle w:val="xmsonormal"/>
              <w:spacing w:before="0" w:beforeAutospacing="0" w:after="0" w:afterAutospacing="0"/>
              <w:rPr>
                <w:color w:val="201F1E"/>
              </w:rPr>
            </w:pPr>
            <w:r w:rsidRPr="00937EAC">
              <w:rPr>
                <w:color w:val="201F1E"/>
              </w:rPr>
              <w:t>Cost per hour (hourly wage)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0205ECC7" w14:textId="5A820843">
            <w:pPr>
              <w:pStyle w:val="xmsonormal"/>
              <w:spacing w:before="0" w:beforeAutospacing="0" w:after="0" w:afterAutospacing="0"/>
              <w:rPr>
                <w:color w:val="201F1E"/>
              </w:rPr>
            </w:pPr>
            <w:r w:rsidRPr="00937EAC">
              <w:rPr>
                <w:color w:val="201F1E"/>
              </w:rPr>
              <w:t>$</w:t>
            </w:r>
            <w:r w:rsidR="00EA4967">
              <w:rPr>
                <w:color w:val="201F1E"/>
              </w:rPr>
              <w:t>49.49</w:t>
            </w:r>
          </w:p>
        </w:tc>
      </w:tr>
      <w:tr w14:paraId="6DEE1C3D" w14:textId="77777777" w:rsidTr="0061272F">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7666CA39" w14:textId="77777777">
            <w:pPr>
              <w:pStyle w:val="xmsonormal"/>
              <w:spacing w:before="0" w:beforeAutospacing="0" w:after="0" w:afterAutospacing="0"/>
              <w:rPr>
                <w:color w:val="201F1E"/>
              </w:rPr>
            </w:pPr>
            <w:r w:rsidRPr="00937EAC">
              <w:rPr>
                <w:color w:val="201F1E"/>
              </w:rPr>
              <w:t>Annual burden (estimated hours multiplied by cost per hour)</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4304" w:rsidRPr="00937EAC" w:rsidP="0061272F" w14:paraId="54161687" w14:textId="5E960C15">
            <w:pPr>
              <w:pStyle w:val="xmsonormal"/>
              <w:spacing w:before="0" w:beforeAutospacing="0" w:after="0" w:afterAutospacing="0"/>
              <w:rPr>
                <w:color w:val="201F1E"/>
              </w:rPr>
            </w:pPr>
            <w:r w:rsidRPr="00937EAC">
              <w:rPr>
                <w:color w:val="201F1E"/>
              </w:rPr>
              <w:t>$</w:t>
            </w:r>
            <w:r w:rsidR="001C71D8">
              <w:rPr>
                <w:color w:val="201F1E"/>
              </w:rPr>
              <w:t>185,588 (rounded)</w:t>
            </w:r>
          </w:p>
        </w:tc>
      </w:tr>
    </w:tbl>
    <w:p w:rsidR="00254304" w:rsidRPr="00937EAC" w:rsidP="00254304" w14:paraId="5E3886A4"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EA4967" w:rsidRPr="00937EAC" w:rsidP="00EA4967" w14:paraId="60F0CEDE" w14:textId="77777777">
      <w:pPr>
        <w:pStyle w:val="xmsonormal"/>
        <w:shd w:val="clear" w:color="auto" w:fill="FFFFFF"/>
        <w:spacing w:before="0" w:beforeAutospacing="0" w:after="0" w:afterAutospacing="0"/>
        <w:rPr>
          <w:color w:val="201F1E"/>
        </w:rPr>
      </w:pPr>
      <w:r w:rsidRPr="00937EAC">
        <w:rPr>
          <w:b/>
          <w:bCs/>
          <w:color w:val="201F1E"/>
          <w:bdr w:val="none" w:sz="0" w:space="0" w:color="auto" w:frame="1"/>
        </w:rPr>
        <w:t>Note:</w:t>
      </w:r>
      <w:r w:rsidRPr="00937EAC">
        <w:rPr>
          <w:color w:val="201F1E"/>
          <w:bdr w:val="none" w:sz="0" w:space="0" w:color="auto" w:frame="1"/>
        </w:rPr>
        <w:t> </w:t>
      </w:r>
      <w:r w:rsidRPr="00937EAC">
        <w:rPr>
          <w:color w:val="201F1E"/>
          <w:bdr w:val="none" w:sz="0" w:space="0" w:color="auto" w:frame="1"/>
        </w:rPr>
        <w:t>The cost per hour is based on the average of eight 202</w:t>
      </w:r>
      <w:r>
        <w:rPr>
          <w:color w:val="201F1E"/>
          <w:bdr w:val="none" w:sz="0" w:space="0" w:color="auto" w:frame="1"/>
        </w:rPr>
        <w:t>3</w:t>
      </w:r>
      <w:r w:rsidRPr="00937EAC">
        <w:rPr>
          <w:color w:val="201F1E"/>
          <w:bdr w:val="none" w:sz="0" w:space="0" w:color="auto" w:frame="1"/>
        </w:rPr>
        <w:t xml:space="preserve"> OPM GS hourly rates (base + locality) for a GS-11, step 1 employee living in our eight regions of operation, plus the 36.25% civilian personnel full fringe benefit rate from OMB memorandum M-08-13. The average cost per hour is $3</w:t>
      </w:r>
      <w:r>
        <w:rPr>
          <w:color w:val="201F1E"/>
          <w:bdr w:val="none" w:sz="0" w:space="0" w:color="auto" w:frame="1"/>
        </w:rPr>
        <w:t>6.32</w:t>
      </w:r>
      <w:r w:rsidRPr="00937EAC">
        <w:rPr>
          <w:color w:val="201F1E"/>
          <w:bdr w:val="none" w:sz="0" w:space="0" w:color="auto" w:frame="1"/>
        </w:rPr>
        <w:t xml:space="preserve"> (average hourly rate) + $1</w:t>
      </w:r>
      <w:r>
        <w:rPr>
          <w:color w:val="201F1E"/>
          <w:bdr w:val="none" w:sz="0" w:space="0" w:color="auto" w:frame="1"/>
        </w:rPr>
        <w:t>3.17</w:t>
      </w:r>
      <w:r w:rsidRPr="00937EAC">
        <w:rPr>
          <w:color w:val="201F1E"/>
          <w:bdr w:val="none" w:sz="0" w:space="0" w:color="auto" w:frame="1"/>
        </w:rPr>
        <w:t>($3</w:t>
      </w:r>
      <w:r>
        <w:rPr>
          <w:color w:val="201F1E"/>
          <w:bdr w:val="none" w:sz="0" w:space="0" w:color="auto" w:frame="1"/>
        </w:rPr>
        <w:t>6</w:t>
      </w:r>
      <w:r w:rsidRPr="00937EAC">
        <w:rPr>
          <w:color w:val="201F1E"/>
          <w:bdr w:val="none" w:sz="0" w:space="0" w:color="auto" w:frame="1"/>
        </w:rPr>
        <w:t>.</w:t>
      </w:r>
      <w:r>
        <w:rPr>
          <w:color w:val="201F1E"/>
          <w:bdr w:val="none" w:sz="0" w:space="0" w:color="auto" w:frame="1"/>
        </w:rPr>
        <w:t>32</w:t>
      </w:r>
      <w:r w:rsidRPr="00937EAC">
        <w:rPr>
          <w:color w:val="201F1E"/>
          <w:bdr w:val="none" w:sz="0" w:space="0" w:color="auto" w:frame="1"/>
        </w:rPr>
        <w:t xml:space="preserve"> average hourly rate x 36.25% fringe) = $</w:t>
      </w:r>
      <w:r>
        <w:rPr>
          <w:color w:val="201F1E"/>
          <w:bdr w:val="none" w:sz="0" w:space="0" w:color="auto" w:frame="1"/>
        </w:rPr>
        <w:t>49.49</w:t>
      </w:r>
      <w:r w:rsidRPr="00937EAC">
        <w:rPr>
          <w:color w:val="201F1E"/>
          <w:bdr w:val="none" w:sz="0" w:space="0" w:color="auto" w:frame="1"/>
        </w:rPr>
        <w:t>/hour (rounded to the nearest penny).</w:t>
      </w:r>
    </w:p>
    <w:p w:rsidR="00EA4967" w:rsidRPr="00937EAC" w:rsidP="00EA4967" w14:paraId="113CFA7C" w14:textId="77777777">
      <w:pPr>
        <w:pStyle w:val="xmsonormal"/>
        <w:shd w:val="clear" w:color="auto" w:fill="FFFFFF"/>
        <w:spacing w:before="0" w:beforeAutospacing="0" w:after="0" w:afterAutospacing="0"/>
        <w:rPr>
          <w:color w:val="201F1E"/>
        </w:rPr>
      </w:pPr>
      <w:r w:rsidRPr="00937EAC">
        <w:rPr>
          <w:color w:val="201F1E"/>
          <w:bdr w:val="none" w:sz="0" w:space="0" w:color="auto" w:frame="1"/>
        </w:rPr>
        <w:t> </w:t>
      </w:r>
    </w:p>
    <w:p w:rsidR="00EA4967" w:rsidRPr="00937EAC" w:rsidP="00EA4967" w14:paraId="6B6226BC" w14:textId="79B746A9">
      <w:pPr>
        <w:pStyle w:val="xmsonormal"/>
        <w:shd w:val="clear" w:color="auto" w:fill="FFFFFF"/>
        <w:spacing w:before="0" w:beforeAutospacing="0" w:after="0" w:afterAutospacing="0"/>
        <w:rPr>
          <w:color w:val="201F1E"/>
        </w:rPr>
      </w:pPr>
      <w:r w:rsidRPr="00937EAC">
        <w:rPr>
          <w:color w:val="201F1E"/>
          <w:bdr w:val="none" w:sz="0" w:space="0" w:color="auto" w:frame="1"/>
        </w:rPr>
        <w:t>The 202</w:t>
      </w:r>
      <w:r>
        <w:rPr>
          <w:color w:val="201F1E"/>
          <w:bdr w:val="none" w:sz="0" w:space="0" w:color="auto" w:frame="1"/>
        </w:rPr>
        <w:t>3</w:t>
      </w:r>
      <w:r w:rsidRPr="00937EAC">
        <w:rPr>
          <w:color w:val="201F1E"/>
          <w:bdr w:val="none" w:sz="0" w:space="0" w:color="auto" w:frame="1"/>
        </w:rPr>
        <w:t xml:space="preserve"> GS-11, step 1 hourly rates for the eight regions of operation are as follows: Austin, TX ($</w:t>
      </w:r>
      <w:r>
        <w:rPr>
          <w:color w:val="201F1E"/>
          <w:bdr w:val="none" w:sz="0" w:space="0" w:color="auto" w:frame="1"/>
        </w:rPr>
        <w:t>33.94</w:t>
      </w:r>
      <w:r w:rsidRPr="00937EAC">
        <w:rPr>
          <w:color w:val="201F1E"/>
          <w:bdr w:val="none" w:sz="0" w:space="0" w:color="auto" w:frame="1"/>
        </w:rPr>
        <w:t>), Atlanta, GA ($</w:t>
      </w:r>
      <w:r>
        <w:rPr>
          <w:color w:val="201F1E"/>
          <w:bdr w:val="none" w:sz="0" w:space="0" w:color="auto" w:frame="1"/>
        </w:rPr>
        <w:t>39.97</w:t>
      </w:r>
      <w:r w:rsidRPr="00937EAC">
        <w:rPr>
          <w:color w:val="201F1E"/>
          <w:bdr w:val="none" w:sz="0" w:space="0" w:color="auto" w:frame="1"/>
        </w:rPr>
        <w:t>), Columbus, OH ($3</w:t>
      </w:r>
      <w:r>
        <w:rPr>
          <w:color w:val="201F1E"/>
          <w:bdr w:val="none" w:sz="0" w:space="0" w:color="auto" w:frame="1"/>
        </w:rPr>
        <w:t>4.47</w:t>
      </w:r>
      <w:r w:rsidRPr="00937EAC">
        <w:rPr>
          <w:color w:val="201F1E"/>
          <w:bdr w:val="none" w:sz="0" w:space="0" w:color="auto" w:frame="1"/>
        </w:rPr>
        <w:t>), Concord, NH ($</w:t>
      </w:r>
      <w:r>
        <w:rPr>
          <w:color w:val="201F1E"/>
          <w:bdr w:val="none" w:sz="0" w:space="0" w:color="auto" w:frame="1"/>
        </w:rPr>
        <w:t>37.25</w:t>
      </w:r>
      <w:r w:rsidRPr="00937EAC">
        <w:rPr>
          <w:color w:val="201F1E"/>
          <w:bdr w:val="none" w:sz="0" w:space="0" w:color="auto" w:frame="1"/>
        </w:rPr>
        <w:t>), Denver, CO ($</w:t>
      </w:r>
      <w:r>
        <w:rPr>
          <w:color w:val="201F1E"/>
          <w:bdr w:val="none" w:sz="0" w:space="0" w:color="auto" w:frame="1"/>
        </w:rPr>
        <w:t>36.68</w:t>
      </w:r>
      <w:r w:rsidRPr="00937EAC">
        <w:rPr>
          <w:color w:val="201F1E"/>
          <w:bdr w:val="none" w:sz="0" w:space="0" w:color="auto" w:frame="1"/>
        </w:rPr>
        <w:t>), Kansas City, MO ($3</w:t>
      </w:r>
      <w:r>
        <w:rPr>
          <w:color w:val="201F1E"/>
          <w:bdr w:val="none" w:sz="0" w:space="0" w:color="auto" w:frame="1"/>
        </w:rPr>
        <w:t>3.59</w:t>
      </w:r>
      <w:r w:rsidRPr="00937EAC">
        <w:rPr>
          <w:color w:val="201F1E"/>
          <w:bdr w:val="none" w:sz="0" w:space="0" w:color="auto" w:frame="1"/>
        </w:rPr>
        <w:t>), Los Angeles, CA ($</w:t>
      </w:r>
      <w:r>
        <w:rPr>
          <w:color w:val="201F1E"/>
          <w:bdr w:val="none" w:sz="0" w:space="0" w:color="auto" w:frame="1"/>
        </w:rPr>
        <w:t>38.34</w:t>
      </w:r>
      <w:r w:rsidRPr="00937EAC">
        <w:rPr>
          <w:color w:val="201F1E"/>
          <w:bdr w:val="none" w:sz="0" w:space="0" w:color="auto" w:frame="1"/>
        </w:rPr>
        <w:t>) and Philadelphia, PA ($</w:t>
      </w:r>
      <w:r>
        <w:rPr>
          <w:color w:val="201F1E"/>
          <w:bdr w:val="none" w:sz="0" w:space="0" w:color="auto" w:frame="1"/>
        </w:rPr>
        <w:t>36.34</w:t>
      </w:r>
      <w:r w:rsidRPr="00937EAC">
        <w:rPr>
          <w:color w:val="201F1E"/>
          <w:bdr w:val="none" w:sz="0" w:space="0" w:color="auto" w:frame="1"/>
        </w:rPr>
        <w:t>). The average hourly rate is the sum of these hourly rates divided by eight = $</w:t>
      </w:r>
      <w:r>
        <w:rPr>
          <w:color w:val="201F1E"/>
          <w:bdr w:val="none" w:sz="0" w:space="0" w:color="auto" w:frame="1"/>
        </w:rPr>
        <w:t>36.32</w:t>
      </w:r>
      <w:r w:rsidRPr="00937EAC">
        <w:rPr>
          <w:color w:val="201F1E"/>
          <w:bdr w:val="none" w:sz="0" w:space="0" w:color="auto" w:frame="1"/>
        </w:rPr>
        <w:t>/hour (rounded to the nearest penny).</w:t>
      </w:r>
      <w:r w:rsidR="00C731AF">
        <w:rPr>
          <w:color w:val="201F1E"/>
          <w:bdr w:val="none" w:sz="0" w:space="0" w:color="auto" w:frame="1"/>
        </w:rPr>
        <w:t xml:space="preserve"> </w:t>
      </w:r>
      <w:r w:rsidR="00C731AF">
        <w:rPr>
          <w:i/>
          <w:iCs/>
          <w:color w:val="201F1E"/>
          <w:bdr w:val="none" w:sz="0" w:space="0" w:color="auto" w:frame="1"/>
        </w:rPr>
        <w:t xml:space="preserve">See </w:t>
      </w:r>
      <w:hyperlink r:id="rId9" w:history="1">
        <w:r w:rsidRPr="00C731AF" w:rsidR="00C731AF">
          <w:rPr>
            <w:rStyle w:val="Hyperlink"/>
            <w:bdr w:val="none" w:sz="0" w:space="0" w:color="auto" w:frame="1"/>
          </w:rPr>
          <w:t>https://www.opm.gov/policy-data-oversight/pay-leave/salaries-wages/2023/general-schedule/</w:t>
        </w:r>
      </w:hyperlink>
      <w:r w:rsidR="00C731AF">
        <w:rPr>
          <w:color w:val="201F1E"/>
          <w:bdr w:val="none" w:sz="0" w:space="0" w:color="auto" w:frame="1"/>
        </w:rPr>
        <w:t>.</w:t>
      </w:r>
    </w:p>
    <w:p w:rsidR="000576E9" w:rsidRPr="001C4327" w:rsidP="00EA4967" w14:paraId="3CF2D8B6" w14:textId="2F74E346">
      <w:pPr>
        <w:pStyle w:val="xmsonormal"/>
        <w:shd w:val="clear" w:color="auto" w:fill="FFFFFF" w:themeFill="background1"/>
        <w:spacing w:before="0" w:beforeAutospacing="0" w:after="0" w:afterAutospacing="0"/>
        <w:rPr>
          <w:rFonts w:ascii="Arial Narrow" w:hAnsi="Arial Narrow"/>
        </w:rPr>
      </w:pPr>
    </w:p>
    <w:p w:rsidR="009437C4" w:rsidP="000576E9" w14:paraId="5C9AC6B9" w14:textId="450ED03A">
      <w:pPr>
        <w:rPr>
          <w:b/>
          <w:bCs/>
        </w:rPr>
      </w:pPr>
      <w:r w:rsidRPr="001C4327">
        <w:rPr>
          <w:b/>
          <w:bCs/>
        </w:rPr>
        <w:t>1</w:t>
      </w:r>
      <w:r w:rsidR="00A01ED0">
        <w:rPr>
          <w:b/>
          <w:bCs/>
        </w:rPr>
        <w:t>5</w:t>
      </w:r>
      <w:r w:rsidR="00254304">
        <w:rPr>
          <w:b/>
          <w:bCs/>
        </w:rPr>
        <w:t xml:space="preserve">. </w:t>
      </w:r>
      <w:r w:rsidRPr="00FE616F" w:rsidR="007901B5">
        <w:rPr>
          <w:b/>
          <w:bCs/>
          <w:u w:val="single"/>
        </w:rPr>
        <w:t>Reasons for changes</w:t>
      </w:r>
      <w:r w:rsidRPr="00FE616F" w:rsidR="007901B5">
        <w:rPr>
          <w:b/>
          <w:bCs/>
        </w:rPr>
        <w:t>.</w:t>
      </w:r>
      <w:r w:rsidRPr="00366678" w:rsidR="007901B5">
        <w:t xml:space="preserve">  </w:t>
      </w:r>
    </w:p>
    <w:p w:rsidR="00395ED5" w:rsidRPr="001C4327" w:rsidP="000576E9" w14:paraId="0FB78278" w14:textId="77777777">
      <w:pPr>
        <w:rPr>
          <w:b/>
          <w:bCs/>
        </w:rPr>
      </w:pPr>
    </w:p>
    <w:p w:rsidR="000576E9" w:rsidP="000576E9" w14:paraId="0D8BF348" w14:textId="74D9A64D">
      <w:r>
        <w:t xml:space="preserve"> </w:t>
      </w:r>
      <w:r w:rsidRPr="000C415C" w:rsidR="000C415C">
        <w:t>AmeriCorps Seniors updated the estimated Hours per Response from 0.42 to 1 hour due to a re-estimation of the amount of burden that the collection imposes. AmeriCorps’ new estimate is based on consultation with a sample of potential respondents. The decrease in adjustment results from removal of information collections (ICs) from prior years so that this ICR includes only the most current versions of the instruments in use. In most of the instruments, the agency has not made any change to the collection itself since the last approval, and thus there is simply an adjustment to a previously approved burden estimate. The only revisions being made to an information collection instrument are revisions to the Progress Report Supplement, which deletes several questions for which data is not currently used and adds a fewer number of questions that now relate to AmeriCorps’ Strategic Plan goals. The newly added questions are needed to report out on Strategic Plan objectives, specifically the socioeconomic status of AmeriCorps Seniors volunteers</w:t>
      </w:r>
      <w:r w:rsidR="5D9FF7AA">
        <w:t>.</w:t>
      </w:r>
      <w:r w:rsidRPr="001C4327" w:rsidR="00245795">
        <w:t> </w:t>
      </w:r>
    </w:p>
    <w:p w:rsidR="00053D30" w:rsidP="000576E9" w14:paraId="5DF9BE8B" w14:textId="77777777"/>
    <w:p w:rsidR="006377AA" w:rsidP="000576E9" w14:paraId="67A4AA22" w14:textId="5E637564">
      <w:r>
        <w:t xml:space="preserve">The </w:t>
      </w:r>
      <w:r w:rsidR="00C9710D">
        <w:t>revision results in an increase in hours for the IC of</w:t>
      </w:r>
      <w:r w:rsidR="00E173C7">
        <w:t xml:space="preserve"> 3,625 hours. </w:t>
      </w:r>
      <w:r w:rsidR="0004654C">
        <w:t>However, the two legacy ICs that are deleted result in a decrease of</w:t>
      </w:r>
      <w:r w:rsidR="00F92F64">
        <w:t xml:space="preserve"> 20,020 hours</w:t>
      </w:r>
      <w:r w:rsidR="0004654C">
        <w:t xml:space="preserve"> </w:t>
      </w:r>
      <w:r>
        <w:t>(17,820 hours + 2,200 hours)</w:t>
      </w:r>
      <w:r w:rsidR="00F92F64">
        <w:t xml:space="preserve">, resulting in an overall decrease in hours of </w:t>
      </w:r>
      <w:r w:rsidR="00D8752C">
        <w:t>16,395</w:t>
      </w:r>
      <w:r w:rsidR="008066F9">
        <w:t xml:space="preserve"> for this ICR</w:t>
      </w:r>
      <w:r w:rsidR="00D8752C">
        <w:t>. The number of respon</w:t>
      </w:r>
      <w:r w:rsidR="00587008">
        <w:t>se</w:t>
      </w:r>
      <w:r w:rsidR="00D8752C">
        <w:t>s also decreases because the legacy ICs are deleted, resulting in a decrease of</w:t>
      </w:r>
      <w:r w:rsidR="00E97A1F">
        <w:t xml:space="preserve"> 5,</w:t>
      </w:r>
      <w:r w:rsidR="001A06A3">
        <w:t>650 responses</w:t>
      </w:r>
      <w:r w:rsidR="00D8752C">
        <w:t xml:space="preserve"> </w:t>
      </w:r>
      <w:r w:rsidR="00587008">
        <w:t>(1,250 responses + 4,400 responses)</w:t>
      </w:r>
      <w:r w:rsidR="008066F9">
        <w:t xml:space="preserve"> for this ICR</w:t>
      </w:r>
      <w:r w:rsidR="001A06A3">
        <w:t>.</w:t>
      </w:r>
      <w:r w:rsidR="00587008">
        <w:t xml:space="preserve"> </w:t>
      </w:r>
      <w:r>
        <w:t xml:space="preserve"> </w:t>
      </w:r>
    </w:p>
    <w:p w:rsidR="00701769" w:rsidP="001A06A3" w14:paraId="6F534A95" w14:textId="3E866312">
      <w:pPr>
        <w:rPr>
          <w:b/>
          <w:bCs/>
        </w:rPr>
      </w:pPr>
    </w:p>
    <w:p w:rsidR="009437C4" w:rsidRPr="001C4327" w:rsidP="000576E9" w14:paraId="009B5912" w14:textId="5FC6F935">
      <w:pPr>
        <w:rPr>
          <w:rFonts w:ascii="Arial Narrow" w:hAnsi="Arial Narrow"/>
        </w:rPr>
      </w:pPr>
      <w:r w:rsidRPr="001C4327">
        <w:rPr>
          <w:b/>
          <w:bCs/>
        </w:rPr>
        <w:t>1</w:t>
      </w:r>
      <w:r w:rsidR="00A01ED0">
        <w:rPr>
          <w:b/>
          <w:bCs/>
        </w:rPr>
        <w:t>6</w:t>
      </w:r>
      <w:r w:rsidR="00254304">
        <w:rPr>
          <w:b/>
          <w:bCs/>
        </w:rPr>
        <w:t xml:space="preserve">. </w:t>
      </w:r>
      <w:r w:rsidRPr="00701769" w:rsidR="00863806">
        <w:rPr>
          <w:b/>
          <w:bCs/>
          <w:u w:val="single"/>
        </w:rPr>
        <w:t>Publicizing Results</w:t>
      </w:r>
    </w:p>
    <w:p w:rsidR="00395ED5" w:rsidP="000576E9" w14:paraId="1FC39945" w14:textId="77777777"/>
    <w:p w:rsidR="000A1932" w:rsidP="001C4327" w14:paraId="5EDB29A5" w14:textId="6AF46389">
      <w:r>
        <w:t xml:space="preserve">AmeriCorps publishes the results of their grant competition on the agency website within six months of the award. Aggregate results of the annual Progress Reports </w:t>
      </w:r>
      <w:r w:rsidR="00EF5699">
        <w:t>are published annual via the Congress Budget Justification</w:t>
      </w:r>
      <w:r w:rsidR="008E2209">
        <w:t xml:space="preserve"> and annually contribute to updating AmeriCorps’ Strategic Plan.</w:t>
      </w:r>
      <w:r w:rsidR="00A93052">
        <w:t xml:space="preserve"> Annual Progress Reports are collected and analyzed in September-</w:t>
      </w:r>
      <w:r w:rsidR="00FD5944">
        <w:t>November. Aggregated results for publication are identified in November-December</w:t>
      </w:r>
      <w:r w:rsidR="00D242D8">
        <w:t>. There are no complex analytical techniques that will be used.</w:t>
      </w:r>
      <w:r w:rsidRPr="001C4327" w:rsidR="00245795">
        <w:t> </w:t>
      </w:r>
    </w:p>
    <w:p w:rsidR="00701769" w:rsidRPr="001C4327" w:rsidP="001C4327" w14:paraId="4CED808F" w14:textId="77777777">
      <w:pPr>
        <w:rPr>
          <w:rFonts w:ascii="Arial Narrow" w:hAnsi="Arial Narrow"/>
        </w:rPr>
      </w:pPr>
    </w:p>
    <w:p w:rsidR="00AB33DD" w:rsidRPr="001C4327" w:rsidP="001C4327" w14:paraId="35AA22CE" w14:textId="4E69D832">
      <w:pPr>
        <w:ind w:left="540" w:hanging="540"/>
        <w:rPr>
          <w:b/>
          <w:bCs/>
        </w:rPr>
      </w:pPr>
      <w:r w:rsidRPr="001C4327">
        <w:rPr>
          <w:b/>
          <w:bCs/>
        </w:rPr>
        <w:t>1</w:t>
      </w:r>
      <w:r w:rsidR="00A01ED0">
        <w:rPr>
          <w:b/>
          <w:bCs/>
        </w:rPr>
        <w:t>7</w:t>
      </w:r>
      <w:r w:rsidR="00254304">
        <w:rPr>
          <w:b/>
          <w:bCs/>
        </w:rPr>
        <w:t>.</w:t>
      </w:r>
      <w:r w:rsidRPr="00701769" w:rsidR="00254304">
        <w:rPr>
          <w:b/>
          <w:bCs/>
        </w:rPr>
        <w:t xml:space="preserve"> </w:t>
      </w:r>
      <w:r w:rsidRPr="00701769" w:rsidR="00863806">
        <w:rPr>
          <w:b/>
          <w:bCs/>
          <w:u w:val="single"/>
        </w:rPr>
        <w:t>OMB Not to Display Approval</w:t>
      </w:r>
      <w:r w:rsidRPr="00701769">
        <w:rPr>
          <w:b/>
          <w:bCs/>
        </w:rPr>
        <w:t>.</w:t>
      </w:r>
    </w:p>
    <w:p w:rsidR="00395ED5" w:rsidP="000576E9" w14:paraId="0562CB0E" w14:textId="77777777">
      <w:pPr>
        <w:ind w:left="540" w:hanging="540"/>
        <w:rPr>
          <w:bCs/>
        </w:rPr>
      </w:pPr>
    </w:p>
    <w:p w:rsidR="00AB33DD" w:rsidRPr="001C4327" w:rsidP="00701769" w14:paraId="733B1091" w14:textId="77777777">
      <w:pPr>
        <w:rPr>
          <w:rFonts w:ascii="Arial Narrow" w:hAnsi="Arial Narrow"/>
        </w:rPr>
      </w:pPr>
      <w:r w:rsidRPr="001C4327">
        <w:rPr>
          <w:bCs/>
        </w:rPr>
        <w:t>Not applicable</w:t>
      </w:r>
      <w:r w:rsidR="00395ED5">
        <w:rPr>
          <w:bCs/>
        </w:rPr>
        <w:t>.</w:t>
      </w:r>
    </w:p>
    <w:p w:rsidR="000576E9" w:rsidRPr="001C4327" w:rsidP="000576E9" w14:paraId="4474F8A0" w14:textId="77777777">
      <w:pPr>
        <w:rPr>
          <w:rFonts w:ascii="Arial Narrow" w:hAnsi="Arial Narrow"/>
        </w:rPr>
      </w:pPr>
      <w:r w:rsidRPr="001C4327">
        <w:t> </w:t>
      </w:r>
    </w:p>
    <w:p w:rsidR="000576E9" w:rsidRPr="001C4327" w:rsidP="000576E9" w14:paraId="3D476AD0" w14:textId="2DEAEE6C">
      <w:pPr>
        <w:rPr>
          <w:b/>
          <w:bCs/>
        </w:rPr>
      </w:pPr>
      <w:r w:rsidRPr="001C4327">
        <w:rPr>
          <w:b/>
          <w:bCs/>
        </w:rPr>
        <w:t>1</w:t>
      </w:r>
      <w:r w:rsidR="00A01ED0">
        <w:rPr>
          <w:b/>
          <w:bCs/>
        </w:rPr>
        <w:t>8</w:t>
      </w:r>
      <w:r w:rsidRPr="00701769" w:rsidR="00254304">
        <w:rPr>
          <w:b/>
          <w:bCs/>
        </w:rPr>
        <w:t>.</w:t>
      </w:r>
      <w:r w:rsidRPr="00701769" w:rsidR="00863806">
        <w:rPr>
          <w:b/>
          <w:bCs/>
          <w:u w:val="single"/>
        </w:rPr>
        <w:t xml:space="preserve"> Exceptions to "Certification for Paperwork Reduction Submissions."</w:t>
      </w:r>
    </w:p>
    <w:p w:rsidR="00AB33DD" w:rsidRPr="001C4327" w:rsidP="000576E9" w14:paraId="34CE0A41" w14:textId="77777777">
      <w:pPr>
        <w:rPr>
          <w:b/>
          <w:bCs/>
        </w:rPr>
      </w:pPr>
    </w:p>
    <w:p w:rsidR="00AB33DD" w:rsidRPr="001C4327" w:rsidP="00701769" w14:paraId="157739B1" w14:textId="77777777">
      <w:pPr>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00F64EE0" w14:paraId="62EBF3C5" w14:textId="77777777"/>
    <w:p w:rsidR="00863806" w:rsidP="00863806" w14:paraId="04958814" w14:textId="781A8EF3">
      <w:pPr>
        <w:widowControl w:val="0"/>
        <w:tabs>
          <w:tab w:val="left" w:pos="360"/>
          <w:tab w:val="left" w:pos="720"/>
          <w:tab w:val="left" w:pos="1080"/>
        </w:tabs>
        <w:rPr>
          <w:b/>
          <w:bCs/>
        </w:rPr>
      </w:pPr>
      <w:r w:rsidRPr="00701769">
        <w:rPr>
          <w:b/>
          <w:bCs/>
        </w:rPr>
        <w:t>19.</w:t>
      </w:r>
      <w:r w:rsidRPr="00701769">
        <w:rPr>
          <w:b/>
          <w:bCs/>
          <w:u w:val="single"/>
        </w:rPr>
        <w:t xml:space="preserve"> Surveys, Censuses, and Other Collections that Employ Statistical Methods.</w:t>
      </w:r>
      <w:r w:rsidRPr="00701769">
        <w:rPr>
          <w:b/>
          <w:bCs/>
        </w:rPr>
        <w:t xml:space="preserve">  </w:t>
      </w:r>
    </w:p>
    <w:p w:rsidR="008C1800" w:rsidRPr="00701769" w:rsidP="00863806" w14:paraId="3EFB02AA" w14:textId="77777777">
      <w:pPr>
        <w:widowControl w:val="0"/>
        <w:tabs>
          <w:tab w:val="left" w:pos="360"/>
          <w:tab w:val="left" w:pos="720"/>
          <w:tab w:val="left" w:pos="1080"/>
        </w:tabs>
        <w:rPr>
          <w:b/>
          <w:bCs/>
        </w:rPr>
      </w:pPr>
    </w:p>
    <w:p w:rsidR="00C505F4" w:rsidRPr="00863806" w:rsidP="00863806" w14:paraId="2C83A3E1" w14:textId="67D55781">
      <w:pPr>
        <w:widowControl w:val="0"/>
        <w:tabs>
          <w:tab w:val="left" w:pos="360"/>
          <w:tab w:val="left" w:pos="720"/>
          <w:tab w:val="left" w:pos="1080"/>
        </w:tabs>
      </w:pPr>
      <w:r>
        <w:t>AmeriCorps will not employ statistical methods</w:t>
      </w:r>
      <w:r w:rsidR="00252C2F">
        <w:t xml:space="preserve"> as part of these collection mechanisms. </w:t>
      </w:r>
    </w:p>
    <w:p w:rsidR="00863806" w:rsidRPr="001C4327" w:rsidP="00863806" w14:paraId="6D98A12B" w14:textId="77777777">
      <w:pPr>
        <w:ind w:left="720"/>
      </w:pPr>
    </w:p>
    <w:sectPr>
      <w:footerReference w:type="even"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1E" w:rsidP="00E178E3"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1E"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1E" w:rsidRPr="00E178E3" w:rsidP="00E178E3" w14:paraId="28F4D5D3" w14:textId="77777777">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35071A">
      <w:rPr>
        <w:rStyle w:val="PageNumber"/>
        <w:noProof/>
        <w:sz w:val="22"/>
        <w:szCs w:val="22"/>
      </w:rPr>
      <w:t>2</w:t>
    </w:r>
    <w:r w:rsidRPr="00E178E3">
      <w:rPr>
        <w:rStyle w:val="PageNumber"/>
        <w:sz w:val="22"/>
        <w:szCs w:val="22"/>
      </w:rPr>
      <w:fldChar w:fldCharType="end"/>
    </w:r>
  </w:p>
  <w:p w:rsidR="001A191E" w14:paraId="2946DB8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1000557"/>
    <w:multiLevelType w:val="multilevel"/>
    <w:tmpl w:val="23D6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1B6479F"/>
    <w:multiLevelType w:val="multilevel"/>
    <w:tmpl w:val="CF5E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E545D5B"/>
    <w:multiLevelType w:val="hybridMultilevel"/>
    <w:tmpl w:val="6E926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C6761F"/>
    <w:multiLevelType w:val="hybridMultilevel"/>
    <w:tmpl w:val="BC2A1D8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num w:numId="1" w16cid:durableId="9063055">
    <w:abstractNumId w:val="0"/>
  </w:num>
  <w:num w:numId="2" w16cid:durableId="58007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4061327">
    <w:abstractNumId w:val="5"/>
  </w:num>
  <w:num w:numId="4" w16cid:durableId="157382424">
    <w:abstractNumId w:val="3"/>
  </w:num>
  <w:num w:numId="5" w16cid:durableId="939265217">
    <w:abstractNumId w:val="4"/>
  </w:num>
  <w:num w:numId="6" w16cid:durableId="170922635">
    <w:abstractNumId w:val="1"/>
  </w:num>
  <w:num w:numId="7" w16cid:durableId="1872381225">
    <w:abstractNumId w:val="6"/>
  </w:num>
  <w:num w:numId="8" w16cid:durableId="839350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01748"/>
    <w:rsid w:val="00017842"/>
    <w:rsid w:val="0002177D"/>
    <w:rsid w:val="00036EB8"/>
    <w:rsid w:val="00042541"/>
    <w:rsid w:val="00044D7C"/>
    <w:rsid w:val="0004654C"/>
    <w:rsid w:val="000513D6"/>
    <w:rsid w:val="00053D30"/>
    <w:rsid w:val="000540BA"/>
    <w:rsid w:val="000568D3"/>
    <w:rsid w:val="000576E9"/>
    <w:rsid w:val="000663E2"/>
    <w:rsid w:val="00081410"/>
    <w:rsid w:val="00094EFB"/>
    <w:rsid w:val="000A1932"/>
    <w:rsid w:val="000C415C"/>
    <w:rsid w:val="000D0B1C"/>
    <w:rsid w:val="000D704C"/>
    <w:rsid w:val="000E3007"/>
    <w:rsid w:val="000E306B"/>
    <w:rsid w:val="000E451B"/>
    <w:rsid w:val="000F031D"/>
    <w:rsid w:val="000F6516"/>
    <w:rsid w:val="001072CB"/>
    <w:rsid w:val="0011462B"/>
    <w:rsid w:val="001150EA"/>
    <w:rsid w:val="00131345"/>
    <w:rsid w:val="00135577"/>
    <w:rsid w:val="00137E9F"/>
    <w:rsid w:val="00142DC2"/>
    <w:rsid w:val="00153EC0"/>
    <w:rsid w:val="00157C57"/>
    <w:rsid w:val="001822E4"/>
    <w:rsid w:val="00186063"/>
    <w:rsid w:val="001935E1"/>
    <w:rsid w:val="001A06A3"/>
    <w:rsid w:val="001A191E"/>
    <w:rsid w:val="001B1A4B"/>
    <w:rsid w:val="001C4327"/>
    <w:rsid w:val="001C526A"/>
    <w:rsid w:val="001C71D8"/>
    <w:rsid w:val="001D3143"/>
    <w:rsid w:val="001D3FA7"/>
    <w:rsid w:val="001D78A6"/>
    <w:rsid w:val="001E555C"/>
    <w:rsid w:val="001E5DE9"/>
    <w:rsid w:val="001F0849"/>
    <w:rsid w:val="001F1593"/>
    <w:rsid w:val="001F5E67"/>
    <w:rsid w:val="00204E41"/>
    <w:rsid w:val="00205ECA"/>
    <w:rsid w:val="002105CD"/>
    <w:rsid w:val="002126B4"/>
    <w:rsid w:val="00213BA9"/>
    <w:rsid w:val="0021772D"/>
    <w:rsid w:val="002230A4"/>
    <w:rsid w:val="00224845"/>
    <w:rsid w:val="0023098D"/>
    <w:rsid w:val="00245795"/>
    <w:rsid w:val="0024785A"/>
    <w:rsid w:val="00252C2F"/>
    <w:rsid w:val="00254304"/>
    <w:rsid w:val="0025595A"/>
    <w:rsid w:val="002618B1"/>
    <w:rsid w:val="0027409B"/>
    <w:rsid w:val="00280D88"/>
    <w:rsid w:val="00281BA0"/>
    <w:rsid w:val="00282133"/>
    <w:rsid w:val="00284C14"/>
    <w:rsid w:val="002A2E9C"/>
    <w:rsid w:val="002B5724"/>
    <w:rsid w:val="002B7037"/>
    <w:rsid w:val="002C1AAA"/>
    <w:rsid w:val="002D1613"/>
    <w:rsid w:val="002E6D4C"/>
    <w:rsid w:val="002F1AEB"/>
    <w:rsid w:val="002F45F1"/>
    <w:rsid w:val="00326FC1"/>
    <w:rsid w:val="003328AC"/>
    <w:rsid w:val="0035071A"/>
    <w:rsid w:val="003574A0"/>
    <w:rsid w:val="00366678"/>
    <w:rsid w:val="003666FB"/>
    <w:rsid w:val="00373695"/>
    <w:rsid w:val="00375D75"/>
    <w:rsid w:val="00375E83"/>
    <w:rsid w:val="00381FAB"/>
    <w:rsid w:val="00382088"/>
    <w:rsid w:val="0039038E"/>
    <w:rsid w:val="00395ED5"/>
    <w:rsid w:val="00396D54"/>
    <w:rsid w:val="003A0561"/>
    <w:rsid w:val="003A12BC"/>
    <w:rsid w:val="003C1D95"/>
    <w:rsid w:val="003C36A5"/>
    <w:rsid w:val="003D34C2"/>
    <w:rsid w:val="003E34C0"/>
    <w:rsid w:val="003E5FA1"/>
    <w:rsid w:val="003F25F5"/>
    <w:rsid w:val="003F7DFE"/>
    <w:rsid w:val="0040420A"/>
    <w:rsid w:val="004163D5"/>
    <w:rsid w:val="00430F73"/>
    <w:rsid w:val="004340BF"/>
    <w:rsid w:val="00436E5C"/>
    <w:rsid w:val="0044080F"/>
    <w:rsid w:val="00446388"/>
    <w:rsid w:val="00451144"/>
    <w:rsid w:val="00456581"/>
    <w:rsid w:val="00487BD2"/>
    <w:rsid w:val="004A44EA"/>
    <w:rsid w:val="004A6D97"/>
    <w:rsid w:val="004B4780"/>
    <w:rsid w:val="004C659C"/>
    <w:rsid w:val="004D38C4"/>
    <w:rsid w:val="004E049D"/>
    <w:rsid w:val="004E1241"/>
    <w:rsid w:val="004E44C0"/>
    <w:rsid w:val="004F1BB8"/>
    <w:rsid w:val="004F1E55"/>
    <w:rsid w:val="004F4152"/>
    <w:rsid w:val="004F4F40"/>
    <w:rsid w:val="00503351"/>
    <w:rsid w:val="0050395D"/>
    <w:rsid w:val="005178D2"/>
    <w:rsid w:val="005202EA"/>
    <w:rsid w:val="0052336C"/>
    <w:rsid w:val="00533E46"/>
    <w:rsid w:val="00536EBB"/>
    <w:rsid w:val="005459C9"/>
    <w:rsid w:val="005541F1"/>
    <w:rsid w:val="0056077A"/>
    <w:rsid w:val="00567936"/>
    <w:rsid w:val="00582187"/>
    <w:rsid w:val="00587008"/>
    <w:rsid w:val="005907E3"/>
    <w:rsid w:val="0059081F"/>
    <w:rsid w:val="00591EAB"/>
    <w:rsid w:val="0059296A"/>
    <w:rsid w:val="00595812"/>
    <w:rsid w:val="00597953"/>
    <w:rsid w:val="005A3BFA"/>
    <w:rsid w:val="005B4916"/>
    <w:rsid w:val="005B49C1"/>
    <w:rsid w:val="005C3A9C"/>
    <w:rsid w:val="005D1B69"/>
    <w:rsid w:val="005E1E55"/>
    <w:rsid w:val="00610463"/>
    <w:rsid w:val="0061055E"/>
    <w:rsid w:val="0061272F"/>
    <w:rsid w:val="00616923"/>
    <w:rsid w:val="00616EA0"/>
    <w:rsid w:val="006302B8"/>
    <w:rsid w:val="00632889"/>
    <w:rsid w:val="00633887"/>
    <w:rsid w:val="00634DEF"/>
    <w:rsid w:val="0063562F"/>
    <w:rsid w:val="006377AA"/>
    <w:rsid w:val="00651119"/>
    <w:rsid w:val="006520B0"/>
    <w:rsid w:val="00652190"/>
    <w:rsid w:val="006610A8"/>
    <w:rsid w:val="00664708"/>
    <w:rsid w:val="00670208"/>
    <w:rsid w:val="00671C1B"/>
    <w:rsid w:val="00671D62"/>
    <w:rsid w:val="0068179E"/>
    <w:rsid w:val="00694680"/>
    <w:rsid w:val="006971E8"/>
    <w:rsid w:val="00697658"/>
    <w:rsid w:val="006A4091"/>
    <w:rsid w:val="006B0000"/>
    <w:rsid w:val="006C4E98"/>
    <w:rsid w:val="006C5898"/>
    <w:rsid w:val="006C6325"/>
    <w:rsid w:val="006D0511"/>
    <w:rsid w:val="006D18B5"/>
    <w:rsid w:val="006D24AD"/>
    <w:rsid w:val="006D3EC4"/>
    <w:rsid w:val="006DE437"/>
    <w:rsid w:val="006E7D7B"/>
    <w:rsid w:val="006F4288"/>
    <w:rsid w:val="00700378"/>
    <w:rsid w:val="00700BBD"/>
    <w:rsid w:val="00701769"/>
    <w:rsid w:val="00703DC9"/>
    <w:rsid w:val="007045A0"/>
    <w:rsid w:val="00704735"/>
    <w:rsid w:val="007063CA"/>
    <w:rsid w:val="00732163"/>
    <w:rsid w:val="007405EE"/>
    <w:rsid w:val="00745686"/>
    <w:rsid w:val="00766107"/>
    <w:rsid w:val="0077253F"/>
    <w:rsid w:val="00783B2E"/>
    <w:rsid w:val="007844D8"/>
    <w:rsid w:val="007901B5"/>
    <w:rsid w:val="007918B7"/>
    <w:rsid w:val="0079340E"/>
    <w:rsid w:val="00793AE6"/>
    <w:rsid w:val="00794F36"/>
    <w:rsid w:val="007A1C12"/>
    <w:rsid w:val="007B1E4F"/>
    <w:rsid w:val="007C022C"/>
    <w:rsid w:val="007C1DEE"/>
    <w:rsid w:val="007C1F0A"/>
    <w:rsid w:val="007C230B"/>
    <w:rsid w:val="007C2823"/>
    <w:rsid w:val="007C49A5"/>
    <w:rsid w:val="007C5F33"/>
    <w:rsid w:val="007C614F"/>
    <w:rsid w:val="007C7AFF"/>
    <w:rsid w:val="007D251D"/>
    <w:rsid w:val="007D393A"/>
    <w:rsid w:val="007E7316"/>
    <w:rsid w:val="007F0829"/>
    <w:rsid w:val="007F4D7C"/>
    <w:rsid w:val="007F5F85"/>
    <w:rsid w:val="008066F9"/>
    <w:rsid w:val="00812635"/>
    <w:rsid w:val="00813094"/>
    <w:rsid w:val="00814C59"/>
    <w:rsid w:val="008204A0"/>
    <w:rsid w:val="00825B1C"/>
    <w:rsid w:val="00827754"/>
    <w:rsid w:val="008431B6"/>
    <w:rsid w:val="008474EA"/>
    <w:rsid w:val="008558C6"/>
    <w:rsid w:val="00863806"/>
    <w:rsid w:val="00864AE6"/>
    <w:rsid w:val="00877136"/>
    <w:rsid w:val="00883F8D"/>
    <w:rsid w:val="00886D10"/>
    <w:rsid w:val="00892004"/>
    <w:rsid w:val="00892385"/>
    <w:rsid w:val="00897835"/>
    <w:rsid w:val="008A1CEF"/>
    <w:rsid w:val="008A5204"/>
    <w:rsid w:val="008B0558"/>
    <w:rsid w:val="008B0EFA"/>
    <w:rsid w:val="008B21ED"/>
    <w:rsid w:val="008B34A9"/>
    <w:rsid w:val="008B772B"/>
    <w:rsid w:val="008C0903"/>
    <w:rsid w:val="008C1800"/>
    <w:rsid w:val="008C3100"/>
    <w:rsid w:val="008C5735"/>
    <w:rsid w:val="008C5D8D"/>
    <w:rsid w:val="008D2922"/>
    <w:rsid w:val="008D6C60"/>
    <w:rsid w:val="008E2209"/>
    <w:rsid w:val="008E2F3B"/>
    <w:rsid w:val="008F2BC8"/>
    <w:rsid w:val="008F589B"/>
    <w:rsid w:val="00901E4B"/>
    <w:rsid w:val="00915869"/>
    <w:rsid w:val="00917DD1"/>
    <w:rsid w:val="00920176"/>
    <w:rsid w:val="009227B0"/>
    <w:rsid w:val="00926B3E"/>
    <w:rsid w:val="009277BA"/>
    <w:rsid w:val="00935941"/>
    <w:rsid w:val="0093680B"/>
    <w:rsid w:val="00937EAC"/>
    <w:rsid w:val="00940857"/>
    <w:rsid w:val="009437C4"/>
    <w:rsid w:val="00947B1F"/>
    <w:rsid w:val="009541E3"/>
    <w:rsid w:val="00956385"/>
    <w:rsid w:val="00963788"/>
    <w:rsid w:val="00965908"/>
    <w:rsid w:val="00975125"/>
    <w:rsid w:val="00977DF8"/>
    <w:rsid w:val="00980919"/>
    <w:rsid w:val="0098330B"/>
    <w:rsid w:val="00984EF2"/>
    <w:rsid w:val="00987988"/>
    <w:rsid w:val="009968B9"/>
    <w:rsid w:val="00997736"/>
    <w:rsid w:val="009A0CC2"/>
    <w:rsid w:val="009A69EA"/>
    <w:rsid w:val="009C09AA"/>
    <w:rsid w:val="009C3D7F"/>
    <w:rsid w:val="009C505A"/>
    <w:rsid w:val="009C640B"/>
    <w:rsid w:val="009D3A08"/>
    <w:rsid w:val="009D5304"/>
    <w:rsid w:val="009E53FE"/>
    <w:rsid w:val="009E7092"/>
    <w:rsid w:val="009F06EC"/>
    <w:rsid w:val="009F4E3E"/>
    <w:rsid w:val="00A01ED0"/>
    <w:rsid w:val="00A03C47"/>
    <w:rsid w:val="00A05737"/>
    <w:rsid w:val="00A11B6C"/>
    <w:rsid w:val="00A155EA"/>
    <w:rsid w:val="00A321E9"/>
    <w:rsid w:val="00A472A5"/>
    <w:rsid w:val="00A54952"/>
    <w:rsid w:val="00A54ECE"/>
    <w:rsid w:val="00A55AAE"/>
    <w:rsid w:val="00A5615F"/>
    <w:rsid w:val="00A56E91"/>
    <w:rsid w:val="00A64CD1"/>
    <w:rsid w:val="00A705FF"/>
    <w:rsid w:val="00A76525"/>
    <w:rsid w:val="00A76C3A"/>
    <w:rsid w:val="00A8260F"/>
    <w:rsid w:val="00A8541B"/>
    <w:rsid w:val="00A91C3A"/>
    <w:rsid w:val="00A93052"/>
    <w:rsid w:val="00AA2045"/>
    <w:rsid w:val="00AB33DD"/>
    <w:rsid w:val="00AB5526"/>
    <w:rsid w:val="00AB5E90"/>
    <w:rsid w:val="00AB6EFA"/>
    <w:rsid w:val="00AD792F"/>
    <w:rsid w:val="00AE12A7"/>
    <w:rsid w:val="00AE4ABC"/>
    <w:rsid w:val="00AF184F"/>
    <w:rsid w:val="00AF42D4"/>
    <w:rsid w:val="00AF7564"/>
    <w:rsid w:val="00B1156B"/>
    <w:rsid w:val="00B12885"/>
    <w:rsid w:val="00B303C0"/>
    <w:rsid w:val="00B35DE1"/>
    <w:rsid w:val="00B37005"/>
    <w:rsid w:val="00B5080A"/>
    <w:rsid w:val="00B56C03"/>
    <w:rsid w:val="00B6329C"/>
    <w:rsid w:val="00B7197E"/>
    <w:rsid w:val="00B73B44"/>
    <w:rsid w:val="00B748A3"/>
    <w:rsid w:val="00B811AD"/>
    <w:rsid w:val="00B865BD"/>
    <w:rsid w:val="00B86B1A"/>
    <w:rsid w:val="00B9176E"/>
    <w:rsid w:val="00BA49E6"/>
    <w:rsid w:val="00BB0872"/>
    <w:rsid w:val="00BB2CCE"/>
    <w:rsid w:val="00BC62A7"/>
    <w:rsid w:val="00BE0835"/>
    <w:rsid w:val="00BE28A6"/>
    <w:rsid w:val="00BE296E"/>
    <w:rsid w:val="00C06453"/>
    <w:rsid w:val="00C07165"/>
    <w:rsid w:val="00C1780E"/>
    <w:rsid w:val="00C22FCA"/>
    <w:rsid w:val="00C31100"/>
    <w:rsid w:val="00C35643"/>
    <w:rsid w:val="00C47EA0"/>
    <w:rsid w:val="00C505F4"/>
    <w:rsid w:val="00C51E27"/>
    <w:rsid w:val="00C52831"/>
    <w:rsid w:val="00C626C5"/>
    <w:rsid w:val="00C67C91"/>
    <w:rsid w:val="00C708C1"/>
    <w:rsid w:val="00C731AF"/>
    <w:rsid w:val="00C740E1"/>
    <w:rsid w:val="00C769AE"/>
    <w:rsid w:val="00C86432"/>
    <w:rsid w:val="00C9211D"/>
    <w:rsid w:val="00C928C5"/>
    <w:rsid w:val="00C9710D"/>
    <w:rsid w:val="00C97FD7"/>
    <w:rsid w:val="00CA01B6"/>
    <w:rsid w:val="00CA1F3F"/>
    <w:rsid w:val="00CB7174"/>
    <w:rsid w:val="00CC5B09"/>
    <w:rsid w:val="00CD264E"/>
    <w:rsid w:val="00CE1E6A"/>
    <w:rsid w:val="00CE442F"/>
    <w:rsid w:val="00CF36A8"/>
    <w:rsid w:val="00CF6268"/>
    <w:rsid w:val="00CF7ACB"/>
    <w:rsid w:val="00D003F4"/>
    <w:rsid w:val="00D00B81"/>
    <w:rsid w:val="00D01DFF"/>
    <w:rsid w:val="00D15DAA"/>
    <w:rsid w:val="00D204F2"/>
    <w:rsid w:val="00D242D8"/>
    <w:rsid w:val="00D31FB4"/>
    <w:rsid w:val="00D3700C"/>
    <w:rsid w:val="00D43A90"/>
    <w:rsid w:val="00D44637"/>
    <w:rsid w:val="00D456B5"/>
    <w:rsid w:val="00D50AA4"/>
    <w:rsid w:val="00D57E95"/>
    <w:rsid w:val="00D603BE"/>
    <w:rsid w:val="00D60623"/>
    <w:rsid w:val="00D74ADD"/>
    <w:rsid w:val="00D755E4"/>
    <w:rsid w:val="00D81506"/>
    <w:rsid w:val="00D84482"/>
    <w:rsid w:val="00D8752C"/>
    <w:rsid w:val="00DA5AEF"/>
    <w:rsid w:val="00DA67D5"/>
    <w:rsid w:val="00DA74EF"/>
    <w:rsid w:val="00DC35E5"/>
    <w:rsid w:val="00DC4CF0"/>
    <w:rsid w:val="00DE178A"/>
    <w:rsid w:val="00DE1D58"/>
    <w:rsid w:val="00DE3B3B"/>
    <w:rsid w:val="00DE3BFD"/>
    <w:rsid w:val="00DE646A"/>
    <w:rsid w:val="00DF349F"/>
    <w:rsid w:val="00DF379C"/>
    <w:rsid w:val="00E04533"/>
    <w:rsid w:val="00E11CE7"/>
    <w:rsid w:val="00E173C7"/>
    <w:rsid w:val="00E178E3"/>
    <w:rsid w:val="00E34F20"/>
    <w:rsid w:val="00E518D1"/>
    <w:rsid w:val="00E51CE6"/>
    <w:rsid w:val="00E540F4"/>
    <w:rsid w:val="00E61084"/>
    <w:rsid w:val="00E77FA0"/>
    <w:rsid w:val="00E842BB"/>
    <w:rsid w:val="00E90DD5"/>
    <w:rsid w:val="00E97A1F"/>
    <w:rsid w:val="00EA37E6"/>
    <w:rsid w:val="00EA4967"/>
    <w:rsid w:val="00EB38FA"/>
    <w:rsid w:val="00EC12D8"/>
    <w:rsid w:val="00EE5A4E"/>
    <w:rsid w:val="00EE6ED2"/>
    <w:rsid w:val="00EF33B1"/>
    <w:rsid w:val="00EF5699"/>
    <w:rsid w:val="00F13321"/>
    <w:rsid w:val="00F15089"/>
    <w:rsid w:val="00F167A0"/>
    <w:rsid w:val="00F17334"/>
    <w:rsid w:val="00F275C7"/>
    <w:rsid w:val="00F37DF3"/>
    <w:rsid w:val="00F44641"/>
    <w:rsid w:val="00F52800"/>
    <w:rsid w:val="00F54007"/>
    <w:rsid w:val="00F603F8"/>
    <w:rsid w:val="00F64EE0"/>
    <w:rsid w:val="00F70130"/>
    <w:rsid w:val="00F87E57"/>
    <w:rsid w:val="00F913AC"/>
    <w:rsid w:val="00F92F64"/>
    <w:rsid w:val="00FA076B"/>
    <w:rsid w:val="00FA2523"/>
    <w:rsid w:val="00FA38C2"/>
    <w:rsid w:val="00FA62F5"/>
    <w:rsid w:val="00FA7B79"/>
    <w:rsid w:val="00FB0EED"/>
    <w:rsid w:val="00FB1416"/>
    <w:rsid w:val="00FB3670"/>
    <w:rsid w:val="00FC2188"/>
    <w:rsid w:val="00FC51BD"/>
    <w:rsid w:val="00FD5944"/>
    <w:rsid w:val="00FE0132"/>
    <w:rsid w:val="00FE5A0E"/>
    <w:rsid w:val="00FE616F"/>
    <w:rsid w:val="00FF10A0"/>
    <w:rsid w:val="01DC9A5C"/>
    <w:rsid w:val="022A301C"/>
    <w:rsid w:val="0304789A"/>
    <w:rsid w:val="04841106"/>
    <w:rsid w:val="0491BE67"/>
    <w:rsid w:val="0556CD65"/>
    <w:rsid w:val="0644195D"/>
    <w:rsid w:val="0650BA67"/>
    <w:rsid w:val="06736110"/>
    <w:rsid w:val="06972EB0"/>
    <w:rsid w:val="06D58E10"/>
    <w:rsid w:val="06F4EC57"/>
    <w:rsid w:val="082D54C3"/>
    <w:rsid w:val="0A2C8D19"/>
    <w:rsid w:val="0B300D8D"/>
    <w:rsid w:val="0B6DF21D"/>
    <w:rsid w:val="0B9A9923"/>
    <w:rsid w:val="0BC9C0B9"/>
    <w:rsid w:val="0BEDAF48"/>
    <w:rsid w:val="0D83C92B"/>
    <w:rsid w:val="0DE2F1D5"/>
    <w:rsid w:val="0EF65AF1"/>
    <w:rsid w:val="102A6E93"/>
    <w:rsid w:val="10479329"/>
    <w:rsid w:val="11164400"/>
    <w:rsid w:val="11462E8B"/>
    <w:rsid w:val="12611058"/>
    <w:rsid w:val="129019EA"/>
    <w:rsid w:val="129ED889"/>
    <w:rsid w:val="13620F55"/>
    <w:rsid w:val="14365227"/>
    <w:rsid w:val="151B044C"/>
    <w:rsid w:val="153E08C6"/>
    <w:rsid w:val="1553186E"/>
    <w:rsid w:val="15EFC781"/>
    <w:rsid w:val="164FF6DC"/>
    <w:rsid w:val="16F399C3"/>
    <w:rsid w:val="176BFC8C"/>
    <w:rsid w:val="180789E8"/>
    <w:rsid w:val="1ABF3BDA"/>
    <w:rsid w:val="1ACE96FF"/>
    <w:rsid w:val="1C6A6760"/>
    <w:rsid w:val="1C9D5A2A"/>
    <w:rsid w:val="1CA24E92"/>
    <w:rsid w:val="1D0EBFF1"/>
    <w:rsid w:val="1DCB555B"/>
    <w:rsid w:val="1E12ECD5"/>
    <w:rsid w:val="1E22755B"/>
    <w:rsid w:val="1E4F0A9D"/>
    <w:rsid w:val="1F3493E3"/>
    <w:rsid w:val="2260C407"/>
    <w:rsid w:val="22E95C4D"/>
    <w:rsid w:val="242455EE"/>
    <w:rsid w:val="24BA1625"/>
    <w:rsid w:val="24D72C24"/>
    <w:rsid w:val="2655E686"/>
    <w:rsid w:val="27EBF56B"/>
    <w:rsid w:val="28E9427E"/>
    <w:rsid w:val="297F9045"/>
    <w:rsid w:val="29E001D2"/>
    <w:rsid w:val="2B22C61B"/>
    <w:rsid w:val="2C38F9ED"/>
    <w:rsid w:val="2C47749E"/>
    <w:rsid w:val="2C7B0430"/>
    <w:rsid w:val="2CB31852"/>
    <w:rsid w:val="2E303167"/>
    <w:rsid w:val="2E47CA07"/>
    <w:rsid w:val="2E58CB57"/>
    <w:rsid w:val="2E9739AC"/>
    <w:rsid w:val="2EA9AAEF"/>
    <w:rsid w:val="2F9DA09B"/>
    <w:rsid w:val="32A10847"/>
    <w:rsid w:val="32A7BC5B"/>
    <w:rsid w:val="32CD211E"/>
    <w:rsid w:val="343AFAEF"/>
    <w:rsid w:val="34714537"/>
    <w:rsid w:val="349847EB"/>
    <w:rsid w:val="34D94CC3"/>
    <w:rsid w:val="34ED52C8"/>
    <w:rsid w:val="35DAD999"/>
    <w:rsid w:val="3626592A"/>
    <w:rsid w:val="366600D3"/>
    <w:rsid w:val="366FF54C"/>
    <w:rsid w:val="3734FAD0"/>
    <w:rsid w:val="3742ACA6"/>
    <w:rsid w:val="37729BB1"/>
    <w:rsid w:val="3775BDD1"/>
    <w:rsid w:val="37FE89C0"/>
    <w:rsid w:val="3824F38A"/>
    <w:rsid w:val="39B5B032"/>
    <w:rsid w:val="3A34742C"/>
    <w:rsid w:val="3BFF1DA7"/>
    <w:rsid w:val="3C32161C"/>
    <w:rsid w:val="3C94D22C"/>
    <w:rsid w:val="3CE18835"/>
    <w:rsid w:val="3CEC2018"/>
    <w:rsid w:val="3CED50F4"/>
    <w:rsid w:val="3D3CA4AF"/>
    <w:rsid w:val="3D6C14EE"/>
    <w:rsid w:val="3DE1DD35"/>
    <w:rsid w:val="3E5CD194"/>
    <w:rsid w:val="3E72D386"/>
    <w:rsid w:val="3FB391AC"/>
    <w:rsid w:val="4008CA64"/>
    <w:rsid w:val="44AF0860"/>
    <w:rsid w:val="44CEC707"/>
    <w:rsid w:val="44DC3B87"/>
    <w:rsid w:val="44FB75E5"/>
    <w:rsid w:val="458448F5"/>
    <w:rsid w:val="45BB36D3"/>
    <w:rsid w:val="4670A696"/>
    <w:rsid w:val="4683BFC5"/>
    <w:rsid w:val="472D55AC"/>
    <w:rsid w:val="473BB27A"/>
    <w:rsid w:val="4790AD01"/>
    <w:rsid w:val="47AFC27C"/>
    <w:rsid w:val="48B67314"/>
    <w:rsid w:val="491EB544"/>
    <w:rsid w:val="4AE19C66"/>
    <w:rsid w:val="4B36D4C3"/>
    <w:rsid w:val="4BF38A79"/>
    <w:rsid w:val="4ECC563A"/>
    <w:rsid w:val="4EE451ED"/>
    <w:rsid w:val="4F54CFB9"/>
    <w:rsid w:val="4F9BBEE6"/>
    <w:rsid w:val="4FF53B90"/>
    <w:rsid w:val="5049A183"/>
    <w:rsid w:val="51378F47"/>
    <w:rsid w:val="51576E29"/>
    <w:rsid w:val="51E9E720"/>
    <w:rsid w:val="524DD3E4"/>
    <w:rsid w:val="52ECBC69"/>
    <w:rsid w:val="53088161"/>
    <w:rsid w:val="53F62668"/>
    <w:rsid w:val="5401D686"/>
    <w:rsid w:val="54F2C5D0"/>
    <w:rsid w:val="55B7EA3F"/>
    <w:rsid w:val="5753BAA0"/>
    <w:rsid w:val="576DB7DE"/>
    <w:rsid w:val="57751884"/>
    <w:rsid w:val="58432FA8"/>
    <w:rsid w:val="585DFBD5"/>
    <w:rsid w:val="58EF8B01"/>
    <w:rsid w:val="5910E8E5"/>
    <w:rsid w:val="594108D1"/>
    <w:rsid w:val="599F85F5"/>
    <w:rsid w:val="5BE702B3"/>
    <w:rsid w:val="5BEDD33D"/>
    <w:rsid w:val="5C848C59"/>
    <w:rsid w:val="5CC3FEEF"/>
    <w:rsid w:val="5CF7EA3C"/>
    <w:rsid w:val="5D157AF1"/>
    <w:rsid w:val="5D82D314"/>
    <w:rsid w:val="5D9FF7AA"/>
    <w:rsid w:val="5DE6288F"/>
    <w:rsid w:val="5E7F3750"/>
    <w:rsid w:val="5F3A00B1"/>
    <w:rsid w:val="61679DB8"/>
    <w:rsid w:val="6182A97D"/>
    <w:rsid w:val="618CDA50"/>
    <w:rsid w:val="621564AE"/>
    <w:rsid w:val="621F96D3"/>
    <w:rsid w:val="626EFE56"/>
    <w:rsid w:val="62F11342"/>
    <w:rsid w:val="637881E4"/>
    <w:rsid w:val="63F360B5"/>
    <w:rsid w:val="63FF2F33"/>
    <w:rsid w:val="640FCA63"/>
    <w:rsid w:val="66A76CAB"/>
    <w:rsid w:val="66B4CF9D"/>
    <w:rsid w:val="66FBBECA"/>
    <w:rsid w:val="671E33FD"/>
    <w:rsid w:val="67360A22"/>
    <w:rsid w:val="681EFACD"/>
    <w:rsid w:val="68DA4375"/>
    <w:rsid w:val="69098660"/>
    <w:rsid w:val="6985DF60"/>
    <w:rsid w:val="6A036637"/>
    <w:rsid w:val="6B1A9439"/>
    <w:rsid w:val="6B9F3698"/>
    <w:rsid w:val="6BECB651"/>
    <w:rsid w:val="6C8187C6"/>
    <w:rsid w:val="6C97E6B1"/>
    <w:rsid w:val="6D06C748"/>
    <w:rsid w:val="6DE562FC"/>
    <w:rsid w:val="6DEE2F96"/>
    <w:rsid w:val="6F39CC18"/>
    <w:rsid w:val="6F8FFF7C"/>
    <w:rsid w:val="6F943725"/>
    <w:rsid w:val="706C1EB8"/>
    <w:rsid w:val="71443644"/>
    <w:rsid w:val="718BF04C"/>
    <w:rsid w:val="719E6F2F"/>
    <w:rsid w:val="74323A87"/>
    <w:rsid w:val="74ACAE72"/>
    <w:rsid w:val="757421DD"/>
    <w:rsid w:val="764FC8C2"/>
    <w:rsid w:val="772576BC"/>
    <w:rsid w:val="7730AAAA"/>
    <w:rsid w:val="774007DE"/>
    <w:rsid w:val="77B5EEF0"/>
    <w:rsid w:val="785DA5DA"/>
    <w:rsid w:val="786EC068"/>
    <w:rsid w:val="798A2E3C"/>
    <w:rsid w:val="7AC72BA4"/>
    <w:rsid w:val="7C2A4D51"/>
    <w:rsid w:val="7CBFEE4D"/>
    <w:rsid w:val="7D724626"/>
    <w:rsid w:val="7DD27C24"/>
    <w:rsid w:val="7EA3137D"/>
    <w:rsid w:val="7F7A0147"/>
    <w:rsid w:val="7FE77795"/>
    <w:rsid w:val="7FFD20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A16FB5"/>
  <w15:chartTrackingRefBased/>
  <w15:docId w15:val="{EA250812-43F3-4230-834D-8A996716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 w:type="paragraph" w:styleId="HTMLPreformatted">
    <w:name w:val="HTML Preformatted"/>
    <w:basedOn w:val="Normal"/>
    <w:link w:val="HTMLPreformattedChar"/>
    <w:uiPriority w:val="99"/>
    <w:unhideWhenUsed/>
    <w:rsid w:val="00254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4304"/>
    <w:rPr>
      <w:rFonts w:ascii="Courier New" w:hAnsi="Courier New" w:cs="Courier New"/>
    </w:rPr>
  </w:style>
  <w:style w:type="paragraph" w:customStyle="1" w:styleId="xmsonormal">
    <w:name w:val="x_msonormal"/>
    <w:basedOn w:val="Normal"/>
    <w:rsid w:val="00254304"/>
    <w:pPr>
      <w:spacing w:before="100" w:beforeAutospacing="1" w:after="100" w:afterAutospacing="1"/>
    </w:pPr>
  </w:style>
  <w:style w:type="paragraph" w:styleId="ListParagraph">
    <w:name w:val="List Paragraph"/>
    <w:basedOn w:val="Normal"/>
    <w:uiPriority w:val="34"/>
    <w:qFormat/>
    <w:rsid w:val="00017842"/>
    <w:pPr>
      <w:overflowPunct w:val="0"/>
      <w:autoSpaceDE w:val="0"/>
      <w:autoSpaceDN w:val="0"/>
      <w:adjustRightInd w:val="0"/>
      <w:ind w:left="720"/>
      <w:contextualSpacing/>
      <w:textAlignment w:val="baseline"/>
    </w:pPr>
    <w:rPr>
      <w:rFonts w:ascii="Tms Rmn" w:hAnsi="Tms Rmn"/>
      <w:szCs w:val="20"/>
    </w:rPr>
  </w:style>
  <w:style w:type="paragraph" w:styleId="Revision">
    <w:name w:val="Revision"/>
    <w:hidden/>
    <w:uiPriority w:val="99"/>
    <w:semiHidden/>
    <w:rsid w:val="006971E8"/>
    <w:rPr>
      <w:sz w:val="24"/>
      <w:szCs w:val="24"/>
    </w:rPr>
  </w:style>
  <w:style w:type="character" w:styleId="Mention">
    <w:name w:val="Mention"/>
    <w:basedOn w:val="DefaultParagraphFont"/>
    <w:uiPriority w:val="99"/>
    <w:unhideWhenUsed/>
    <w:rsid w:val="002D1613"/>
    <w:rPr>
      <w:color w:val="2B579A"/>
      <w:shd w:val="clear" w:color="auto" w:fill="E1DFDD"/>
    </w:rPr>
  </w:style>
  <w:style w:type="character" w:styleId="Hyperlink">
    <w:name w:val="Hyperlink"/>
    <w:basedOn w:val="DefaultParagraphFont"/>
    <w:rsid w:val="00B748A3"/>
    <w:rPr>
      <w:color w:val="0563C1" w:themeColor="hyperlink"/>
      <w:u w:val="single"/>
    </w:rPr>
  </w:style>
  <w:style w:type="character" w:styleId="UnresolvedMention">
    <w:name w:val="Unresolved Mention"/>
    <w:basedOn w:val="DefaultParagraphFont"/>
    <w:uiPriority w:val="99"/>
    <w:semiHidden/>
    <w:unhideWhenUsed/>
    <w:rsid w:val="00B748A3"/>
    <w:rPr>
      <w:color w:val="605E5C"/>
      <w:shd w:val="clear" w:color="auto" w:fill="E1DFDD"/>
    </w:rPr>
  </w:style>
  <w:style w:type="paragraph" w:customStyle="1" w:styleId="Default">
    <w:name w:val="Default"/>
    <w:basedOn w:val="Normal"/>
    <w:rsid w:val="005C3A9C"/>
    <w:pPr>
      <w:autoSpaceDE w:val="0"/>
      <w:autoSpaceDN w:val="0"/>
    </w:pPr>
    <w:rPr>
      <w:rFonts w:ascii="Calibri" w:eastAsia="Calibri" w:hAnsi="Calibri"/>
      <w:color w:val="000000"/>
    </w:rPr>
  </w:style>
  <w:style w:type="table" w:styleId="TableGrid">
    <w:name w:val="Table Grid"/>
    <w:basedOn w:val="TableNormal"/>
    <w:rsid w:val="00E1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mericorps.gov/sites/default/files/document/AmeriCorps-Strategic-Plan-2022-2026.pdf" TargetMode="External" /><Relationship Id="rId9" Type="http://schemas.openxmlformats.org/officeDocument/2006/relationships/hyperlink" Target="https://www.opm.gov/policy-data-oversight/pay-leave/salaries-wages/2023/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df88ac32-33d1-4efc-b131-5aec47c92a5b">
      <UserInfo>
        <DisplayName>Appel, Elizabeth</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5" ma:contentTypeDescription="Create a new document." ma:contentTypeScope="" ma:versionID="b82e40b28aef0c1c3627d378fad85635">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11b2c7233f3761551e5cafb45bb6b79"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2.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3.xml><?xml version="1.0" encoding="utf-8"?>
<ds:datastoreItem xmlns:ds="http://schemas.openxmlformats.org/officeDocument/2006/customXml" ds:itemID="{E09102F5-41E3-4E3C-A45C-2C346F87D0DA}">
  <ds:schemaRefs>
    <ds:schemaRef ds:uri="http://schemas.microsoft.com/office/2006/documentManagement/types"/>
    <ds:schemaRef ds:uri="http://purl.org/dc/elements/1.1/"/>
    <ds:schemaRef ds:uri="df88ac32-33d1-4efc-b131-5aec47c92a5b"/>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2011ee46-da43-4a55-9734-10700f5be09a"/>
    <ds:schemaRef ds:uri="http://www.w3.org/XML/1998/namespace"/>
  </ds:schemaRefs>
</ds:datastoreItem>
</file>

<file path=customXml/itemProps4.xml><?xml version="1.0" encoding="utf-8"?>
<ds:datastoreItem xmlns:ds="http://schemas.openxmlformats.org/officeDocument/2006/customXml" ds:itemID="{F7A10D23-7DAC-453D-9229-7AD59DDB9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keywords>OMB</cp:keywords>
  <cp:lastModifiedBy>Appel, Elizabeth</cp:lastModifiedBy>
  <cp:revision>2</cp:revision>
  <cp:lastPrinted>2006-03-09T20:43:00Z</cp:lastPrinted>
  <dcterms:created xsi:type="dcterms:W3CDTF">2023-09-12T15:45:00Z</dcterms:created>
  <dcterms:modified xsi:type="dcterms:W3CDTF">2023-09-12T15:45:00Z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mplianceAssetId">
    <vt:lpwstr/>
  </property>
  <property fmtid="{D5CDD505-2E9C-101B-9397-08002B2CF9AE}" pid="5" name="ContentType">
    <vt:lpwstr>Document</vt:lpwstr>
  </property>
  <property fmtid="{D5CDD505-2E9C-101B-9397-08002B2CF9AE}" pid="6" name="ContentTypeId">
    <vt:lpwstr>0x01010010821FFAF1487F4FB20C884C690B5D10</vt:lpwstr>
  </property>
  <property fmtid="{D5CDD505-2E9C-101B-9397-08002B2CF9AE}" pid="7" name="display_urn:schemas-microsoft-com:office:office#Author">
    <vt:lpwstr>Borgstrom, Amy</vt:lpwstr>
  </property>
  <property fmtid="{D5CDD505-2E9C-101B-9397-08002B2CF9AE}" pid="8" name="display_urn:schemas-microsoft-com:office:office#Editor">
    <vt:lpwstr>Borgstrom, Amy</vt:lpwstr>
  </property>
  <property fmtid="{D5CDD505-2E9C-101B-9397-08002B2CF9AE}" pid="9" name="display_urn:schemas-microsoft-com:office:office#SharedWithUsers">
    <vt:lpwstr>King, Moriah</vt:lpwstr>
  </property>
  <property fmtid="{D5CDD505-2E9C-101B-9397-08002B2CF9AE}" pid="10" name="FileLeafRef">
    <vt:lpwstr>Sample Justification.doc</vt:lpwstr>
  </property>
  <property fmtid="{D5CDD505-2E9C-101B-9397-08002B2CF9AE}" pid="11" name="Sensitivity_Level">
    <vt:lpwstr/>
  </property>
  <property fmtid="{D5CDD505-2E9C-101B-9397-08002B2CF9AE}" pid="12" name="SharedWithUsers">
    <vt:lpwstr>1305;#King, Moriah</vt:lpwstr>
  </property>
  <property fmtid="{D5CDD505-2E9C-101B-9397-08002B2CF9AE}" pid="13" name="TaxKeyword">
    <vt:lpwstr>25;#OMB|04ce8ce4-fc8e-4995-9967-59c5db76beaf</vt:lpwstr>
  </property>
  <property fmtid="{D5CDD505-2E9C-101B-9397-08002B2CF9AE}" pid="14" name="TemplateUrl">
    <vt:lpwstr/>
  </property>
  <property fmtid="{D5CDD505-2E9C-101B-9397-08002B2CF9AE}" pid="15" name="xd_ProgID">
    <vt:lpwstr/>
  </property>
  <property fmtid="{D5CDD505-2E9C-101B-9397-08002B2CF9AE}" pid="16" name="xd_Signature">
    <vt:lpwstr/>
  </property>
  <property fmtid="{D5CDD505-2E9C-101B-9397-08002B2CF9AE}" pid="17" name="_dlc_DocId">
    <vt:lpwstr>VWMP5RR7HZ5Z-257178891-34896</vt:lpwstr>
  </property>
  <property fmtid="{D5CDD505-2E9C-101B-9397-08002B2CF9AE}" pid="18" name="_dlc_DocIdItemGuid">
    <vt:lpwstr>923b9f4d-9c22-47bc-a3d6-157c70ea1896</vt:lpwstr>
  </property>
  <property fmtid="{D5CDD505-2E9C-101B-9397-08002B2CF9AE}" pid="19" name="_dlc_DocIdPersistId">
    <vt:lpwstr/>
  </property>
  <property fmtid="{D5CDD505-2E9C-101B-9397-08002B2CF9AE}" pid="20" name="_dlc_DocIdUrl">
    <vt:lpwstr>https://cnsgov.sharepoint.com/sites/COO/Internal%20Site/_layouts/15/DocIdRedir.aspx?ID=VWMP5RR7HZ5Z-257178891-34896, VWMP5RR7HZ5Z-257178891-34896</vt:lpwstr>
  </property>
  <property fmtid="{D5CDD505-2E9C-101B-9397-08002B2CF9AE}" pid="21" name="_ip_UnifiedCompliancePolicyProperties">
    <vt:lpwstr/>
  </property>
  <property fmtid="{D5CDD505-2E9C-101B-9397-08002B2CF9AE}" pid="22" name="_ip_UnifiedCompliancePolicyUIAction">
    <vt:lpwstr/>
  </property>
</Properties>
</file>