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67AB" w:rsidP="00C53E8D" w14:paraId="59B73C8D" w14:textId="77777777">
      <w:pPr>
        <w:outlineLvl w:val="0"/>
        <w:rPr>
          <w:b/>
        </w:rPr>
      </w:pPr>
      <w:r>
        <w:rPr>
          <w:b/>
        </w:rPr>
        <w:t xml:space="preserve">                                                             </w:t>
      </w:r>
      <w:r w:rsidRPr="001C31A4">
        <w:rPr>
          <w:b/>
        </w:rPr>
        <w:t>SUPPORTING STATEMENT</w:t>
      </w:r>
    </w:p>
    <w:p w:rsidR="0041214B" w:rsidRPr="001C31A4" w:rsidP="00C53E8D" w14:paraId="659AD91E" w14:textId="77777777">
      <w:pPr>
        <w:outlineLvl w:val="0"/>
        <w:rPr>
          <w:b/>
        </w:rPr>
      </w:pPr>
    </w:p>
    <w:p w:rsidR="0041214B" w:rsidRPr="004675A8" w:rsidP="000467AB" w14:paraId="068B5817" w14:textId="2C6E2E07">
      <w:pPr>
        <w:outlineLvl w:val="0"/>
        <w:rPr>
          <w:b/>
          <w:sz w:val="22"/>
          <w:szCs w:val="22"/>
        </w:rPr>
      </w:pPr>
    </w:p>
    <w:p w:rsidR="00A72E5F" w:rsidRPr="004675A8" w:rsidP="007C517A" w14:paraId="4C22F08D" w14:textId="7D1DE6CD">
      <w:pPr>
        <w:outlineLvl w:val="0"/>
        <w:rPr>
          <w:b/>
          <w:sz w:val="22"/>
          <w:szCs w:val="22"/>
        </w:rPr>
      </w:pPr>
      <w:r w:rsidRPr="004675A8">
        <w:rPr>
          <w:b/>
          <w:sz w:val="22"/>
          <w:szCs w:val="22"/>
        </w:rPr>
        <w:t>Justificatio</w:t>
      </w:r>
      <w:r w:rsidR="00636490">
        <w:rPr>
          <w:b/>
          <w:sz w:val="22"/>
          <w:szCs w:val="22"/>
        </w:rPr>
        <w:t>n:</w:t>
      </w:r>
    </w:p>
    <w:p w:rsidR="006A2998" w:rsidRPr="004675A8" w:rsidP="00785AB6" w14:paraId="7BD9EBA7" w14:textId="77777777">
      <w:pPr>
        <w:ind w:left="360"/>
        <w:outlineLvl w:val="0"/>
        <w:rPr>
          <w:bCs/>
          <w:sz w:val="22"/>
          <w:szCs w:val="22"/>
        </w:rPr>
      </w:pPr>
    </w:p>
    <w:p w:rsidR="00311BED" w:rsidP="00234C3B" w14:paraId="33B0C4B0" w14:textId="34AE8665">
      <w:pPr>
        <w:numPr>
          <w:ilvl w:val="0"/>
          <w:numId w:val="20"/>
        </w:numPr>
        <w:ind w:left="0" w:firstLine="0"/>
        <w:outlineLvl w:val="0"/>
        <w:rPr>
          <w:bCs/>
          <w:sz w:val="22"/>
          <w:szCs w:val="22"/>
        </w:rPr>
      </w:pPr>
      <w:r w:rsidRPr="00FA3BF7">
        <w:rPr>
          <w:bCs/>
          <w:sz w:val="22"/>
          <w:szCs w:val="22"/>
        </w:rPr>
        <w:t>FM and AM broadcast station licen</w:t>
      </w:r>
      <w:r w:rsidRPr="00FA3BF7" w:rsidR="005C3B49">
        <w:rPr>
          <w:bCs/>
          <w:sz w:val="22"/>
          <w:szCs w:val="22"/>
        </w:rPr>
        <w:t>sees</w:t>
      </w:r>
      <w:r w:rsidRPr="00FA3BF7">
        <w:rPr>
          <w:bCs/>
          <w:sz w:val="22"/>
          <w:szCs w:val="22"/>
        </w:rPr>
        <w:t xml:space="preserve"> are required to notify the </w:t>
      </w:r>
      <w:r w:rsidRPr="00FA3BF7" w:rsidR="005C3B49">
        <w:rPr>
          <w:bCs/>
          <w:sz w:val="22"/>
          <w:szCs w:val="22"/>
        </w:rPr>
        <w:t>Commission</w:t>
      </w:r>
      <w:r w:rsidRPr="00FA3BF7">
        <w:rPr>
          <w:bCs/>
          <w:sz w:val="22"/>
          <w:szCs w:val="22"/>
        </w:rPr>
        <w:t xml:space="preserve"> of </w:t>
      </w:r>
      <w:r w:rsidRPr="00FA3BF7" w:rsidR="000B00F9">
        <w:rPr>
          <w:bCs/>
          <w:sz w:val="22"/>
          <w:szCs w:val="22"/>
        </w:rPr>
        <w:t xml:space="preserve">certain </w:t>
      </w:r>
      <w:r w:rsidRPr="00FA3BF7" w:rsidR="00C201E2">
        <w:rPr>
          <w:bCs/>
          <w:sz w:val="22"/>
          <w:szCs w:val="22"/>
        </w:rPr>
        <w:t xml:space="preserve">changes </w:t>
      </w:r>
      <w:r w:rsidRPr="00FA3BF7">
        <w:rPr>
          <w:bCs/>
          <w:sz w:val="22"/>
          <w:szCs w:val="22"/>
        </w:rPr>
        <w:t>in digital operation</w:t>
      </w:r>
      <w:r w:rsidRPr="00FA3BF7" w:rsidR="0087638C">
        <w:rPr>
          <w:bCs/>
          <w:sz w:val="22"/>
          <w:szCs w:val="22"/>
        </w:rPr>
        <w:t>s</w:t>
      </w:r>
      <w:r w:rsidRPr="00FA3BF7">
        <w:rPr>
          <w:bCs/>
          <w:sz w:val="22"/>
          <w:szCs w:val="22"/>
        </w:rPr>
        <w:t xml:space="preserve"> using </w:t>
      </w:r>
      <w:r w:rsidRPr="00FA3BF7" w:rsidR="00251847">
        <w:rPr>
          <w:bCs/>
          <w:sz w:val="22"/>
          <w:szCs w:val="22"/>
        </w:rPr>
        <w:t xml:space="preserve">the </w:t>
      </w:r>
      <w:r w:rsidRPr="00FA3BF7">
        <w:rPr>
          <w:bCs/>
          <w:sz w:val="22"/>
          <w:szCs w:val="22"/>
        </w:rPr>
        <w:t xml:space="preserve">Digital </w:t>
      </w:r>
      <w:r w:rsidRPr="00FA3BF7" w:rsidR="005C3B49">
        <w:rPr>
          <w:bCs/>
          <w:sz w:val="22"/>
          <w:szCs w:val="22"/>
        </w:rPr>
        <w:t>Notification</w:t>
      </w:r>
      <w:r w:rsidRPr="00FA3BF7">
        <w:rPr>
          <w:bCs/>
          <w:sz w:val="22"/>
          <w:szCs w:val="22"/>
        </w:rPr>
        <w:t xml:space="preserve"> Form</w:t>
      </w:r>
      <w:r w:rsidRPr="00FA3BF7" w:rsidR="00251847">
        <w:rPr>
          <w:bCs/>
          <w:sz w:val="22"/>
          <w:szCs w:val="22"/>
        </w:rPr>
        <w:t>s</w:t>
      </w:r>
      <w:r w:rsidRPr="00FA3BF7">
        <w:rPr>
          <w:bCs/>
          <w:sz w:val="22"/>
          <w:szCs w:val="22"/>
        </w:rPr>
        <w:t>, FCC Form</w:t>
      </w:r>
      <w:r w:rsidRPr="00FA3BF7" w:rsidR="00CD21A7">
        <w:rPr>
          <w:bCs/>
          <w:sz w:val="22"/>
          <w:szCs w:val="22"/>
        </w:rPr>
        <w:t xml:space="preserve"> 2100, Schedules</w:t>
      </w:r>
      <w:r w:rsidRPr="00FA3BF7">
        <w:rPr>
          <w:bCs/>
          <w:sz w:val="22"/>
          <w:szCs w:val="22"/>
        </w:rPr>
        <w:t xml:space="preserve"> 335-FM and </w:t>
      </w:r>
      <w:r w:rsidRPr="00FA3BF7" w:rsidR="003A4DE0">
        <w:rPr>
          <w:bCs/>
          <w:sz w:val="22"/>
          <w:szCs w:val="22"/>
        </w:rPr>
        <w:t>335-AM</w:t>
      </w:r>
      <w:r w:rsidRPr="00FA3BF7" w:rsidR="00945435">
        <w:rPr>
          <w:bCs/>
          <w:sz w:val="22"/>
          <w:szCs w:val="22"/>
        </w:rPr>
        <w:t xml:space="preserve"> (or any successor </w:t>
      </w:r>
      <w:r w:rsidRPr="00FA3BF7" w:rsidR="000B00F9">
        <w:rPr>
          <w:bCs/>
          <w:sz w:val="22"/>
          <w:szCs w:val="22"/>
        </w:rPr>
        <w:t>notification</w:t>
      </w:r>
      <w:r w:rsidRPr="00FA3BF7" w:rsidR="0070025C">
        <w:rPr>
          <w:bCs/>
          <w:sz w:val="22"/>
          <w:szCs w:val="22"/>
        </w:rPr>
        <w:t xml:space="preserve"> </w:t>
      </w:r>
      <w:r w:rsidRPr="00FA3BF7" w:rsidR="00945435">
        <w:rPr>
          <w:bCs/>
          <w:sz w:val="22"/>
          <w:szCs w:val="22"/>
        </w:rPr>
        <w:t>form</w:t>
      </w:r>
      <w:r w:rsidRPr="00FA3BF7" w:rsidR="00326ED9">
        <w:rPr>
          <w:bCs/>
          <w:sz w:val="22"/>
          <w:szCs w:val="22"/>
        </w:rPr>
        <w:t>s</w:t>
      </w:r>
      <w:r w:rsidRPr="00FA3BF7" w:rsidR="00945435">
        <w:rPr>
          <w:bCs/>
          <w:sz w:val="22"/>
          <w:szCs w:val="22"/>
        </w:rPr>
        <w:t>)</w:t>
      </w:r>
      <w:r w:rsidRPr="00FA3BF7" w:rsidR="00846F75">
        <w:rPr>
          <w:bCs/>
          <w:sz w:val="22"/>
          <w:szCs w:val="22"/>
        </w:rPr>
        <w:t>.</w:t>
      </w:r>
    </w:p>
    <w:p w:rsidR="00136920" w:rsidP="00136920" w14:paraId="37B086B7" w14:textId="77777777">
      <w:pPr>
        <w:outlineLvl w:val="0"/>
        <w:rPr>
          <w:bCs/>
          <w:sz w:val="22"/>
          <w:szCs w:val="22"/>
        </w:rPr>
      </w:pPr>
    </w:p>
    <w:p w:rsidR="00136920" w:rsidRPr="00E50D32" w:rsidP="00136920" w14:paraId="2783402F" w14:textId="19E8853B">
      <w:pPr>
        <w:widowControl w:val="0"/>
        <w:rPr>
          <w:snapToGrid w:val="0"/>
          <w:spacing w:val="-3"/>
          <w:sz w:val="22"/>
          <w:szCs w:val="22"/>
          <w:shd w:val="clear" w:color="auto" w:fill="FFFFFF"/>
        </w:rPr>
      </w:pPr>
      <w:r w:rsidRPr="00E50D32">
        <w:rPr>
          <w:b/>
          <w:bCs/>
          <w:snapToGrid w:val="0"/>
          <w:spacing w:val="-3"/>
          <w:sz w:val="22"/>
          <w:szCs w:val="22"/>
          <w:u w:val="single"/>
          <w:shd w:val="clear" w:color="auto" w:fill="FFFFFF"/>
        </w:rPr>
        <w:t>Revised Information Collection</w:t>
      </w:r>
      <w:r w:rsidRPr="00E50D32" w:rsidR="00DB2D7D">
        <w:rPr>
          <w:b/>
          <w:bCs/>
          <w:snapToGrid w:val="0"/>
          <w:spacing w:val="-3"/>
          <w:sz w:val="22"/>
          <w:szCs w:val="22"/>
          <w:u w:val="single"/>
          <w:shd w:val="clear" w:color="auto" w:fill="FFFFFF"/>
        </w:rPr>
        <w:t xml:space="preserve"> </w:t>
      </w:r>
      <w:r w:rsidRPr="00E50D32">
        <w:rPr>
          <w:b/>
          <w:bCs/>
          <w:snapToGrid w:val="0"/>
          <w:spacing w:val="-3"/>
          <w:sz w:val="22"/>
          <w:szCs w:val="22"/>
          <w:u w:val="single"/>
          <w:shd w:val="clear" w:color="auto" w:fill="FFFFFF"/>
        </w:rPr>
        <w:t>Requirements</w:t>
      </w:r>
      <w:r w:rsidRPr="00E50D32">
        <w:rPr>
          <w:snapToGrid w:val="0"/>
          <w:spacing w:val="-3"/>
          <w:sz w:val="22"/>
          <w:szCs w:val="22"/>
          <w:shd w:val="clear" w:color="auto" w:fill="FFFFFF"/>
        </w:rPr>
        <w:t xml:space="preserve">: </w:t>
      </w:r>
    </w:p>
    <w:p w:rsidR="00322140" w:rsidRPr="00FA3BF7" w:rsidP="00136920" w14:paraId="00F39054" w14:textId="77777777">
      <w:pPr>
        <w:outlineLvl w:val="0"/>
        <w:rPr>
          <w:bCs/>
          <w:sz w:val="22"/>
          <w:szCs w:val="22"/>
        </w:rPr>
      </w:pPr>
    </w:p>
    <w:p w:rsidR="00EC159F" w:rsidRPr="00114AAA" w:rsidP="00634116" w14:paraId="376967F7" w14:textId="493A78CE">
      <w:pPr>
        <w:pStyle w:val="ParaNum"/>
        <w:numPr>
          <w:ilvl w:val="0"/>
          <w:numId w:val="0"/>
        </w:numPr>
        <w:spacing w:after="0"/>
        <w:ind w:firstLine="720"/>
        <w:rPr>
          <w:bCs/>
          <w:szCs w:val="22"/>
        </w:rPr>
      </w:pPr>
      <w:r w:rsidRPr="00114AAA">
        <w:rPr>
          <w:szCs w:val="22"/>
        </w:rPr>
        <w:t>On September 2</w:t>
      </w:r>
      <w:r w:rsidRPr="00114AAA" w:rsidR="00566A84">
        <w:rPr>
          <w:szCs w:val="22"/>
        </w:rPr>
        <w:t>4</w:t>
      </w:r>
      <w:r w:rsidRPr="00114AAA">
        <w:rPr>
          <w:szCs w:val="22"/>
        </w:rPr>
        <w:t>, 2024</w:t>
      </w:r>
      <w:r w:rsidR="009F7DE2">
        <w:rPr>
          <w:szCs w:val="22"/>
        </w:rPr>
        <w:t>,</w:t>
      </w:r>
      <w:r w:rsidRPr="00114AAA">
        <w:rPr>
          <w:szCs w:val="22"/>
        </w:rPr>
        <w:t xml:space="preserve"> the</w:t>
      </w:r>
      <w:r w:rsidRPr="00114AAA" w:rsidR="00DE792E">
        <w:rPr>
          <w:szCs w:val="22"/>
        </w:rPr>
        <w:t xml:space="preserve"> Comm</w:t>
      </w:r>
      <w:r w:rsidRPr="00114AAA" w:rsidR="00E72A5E">
        <w:rPr>
          <w:szCs w:val="22"/>
        </w:rPr>
        <w:t>ission</w:t>
      </w:r>
      <w:r w:rsidRPr="00114AAA" w:rsidR="00DE792E">
        <w:rPr>
          <w:szCs w:val="22"/>
        </w:rPr>
        <w:t xml:space="preserve"> </w:t>
      </w:r>
      <w:r w:rsidRPr="00114AAA" w:rsidR="00FA3BF7">
        <w:rPr>
          <w:szCs w:val="22"/>
        </w:rPr>
        <w:t>adopted</w:t>
      </w:r>
      <w:r w:rsidRPr="00114AAA" w:rsidR="00E72A5E">
        <w:rPr>
          <w:szCs w:val="22"/>
        </w:rPr>
        <w:t xml:space="preserve"> the</w:t>
      </w:r>
      <w:r w:rsidR="00CD6A30">
        <w:rPr>
          <w:szCs w:val="22"/>
        </w:rPr>
        <w:t xml:space="preserve"> First Report and Order in the</w:t>
      </w:r>
      <w:r w:rsidRPr="00114AAA">
        <w:rPr>
          <w:szCs w:val="22"/>
        </w:rPr>
        <w:t xml:space="preserve"> </w:t>
      </w:r>
      <w:r w:rsidRPr="00114AAA" w:rsidR="00DB2F5E">
        <w:rPr>
          <w:i/>
          <w:iCs/>
          <w:spacing w:val="-2"/>
          <w:szCs w:val="22"/>
        </w:rPr>
        <w:t>Modifying Rules for FM Terrestrial Digital Audio Broadcasting Systems</w:t>
      </w:r>
      <w:r>
        <w:rPr>
          <w:rStyle w:val="FootnoteReference"/>
          <w:spacing w:val="-2"/>
          <w:szCs w:val="22"/>
        </w:rPr>
        <w:footnoteReference w:id="2"/>
      </w:r>
      <w:r w:rsidRPr="00114AAA">
        <w:rPr>
          <w:szCs w:val="22"/>
        </w:rPr>
        <w:t xml:space="preserve"> </w:t>
      </w:r>
      <w:r w:rsidR="00CD6A30">
        <w:rPr>
          <w:szCs w:val="22"/>
        </w:rPr>
        <w:t xml:space="preserve">proceeding </w:t>
      </w:r>
      <w:r w:rsidRPr="00114AAA" w:rsidR="00114AAA">
        <w:rPr>
          <w:szCs w:val="22"/>
        </w:rPr>
        <w:t>to allow digital FM station operation with asymmetric power on the digital sidebands.</w:t>
      </w:r>
      <w:r w:rsidR="00234C3B">
        <w:rPr>
          <w:szCs w:val="22"/>
        </w:rPr>
        <w:t xml:space="preserve">  </w:t>
      </w:r>
      <w:r w:rsidRPr="00114AAA" w:rsidR="00114AAA">
        <w:rPr>
          <w:szCs w:val="22"/>
        </w:rPr>
        <w:t xml:space="preserve">This asymmetric sideband operation will allow </w:t>
      </w:r>
      <w:r w:rsidR="009F7DE2">
        <w:rPr>
          <w:szCs w:val="22"/>
        </w:rPr>
        <w:t xml:space="preserve">digital FM </w:t>
      </w:r>
      <w:r w:rsidRPr="00114AAA" w:rsidR="00114AAA">
        <w:rPr>
          <w:szCs w:val="22"/>
        </w:rPr>
        <w:t>stations to operate with different power levels on the upper and lower digital sidebands, as a way to facilitate greater digital FM radio coverage without interfering with adjacent-channel FM stations</w:t>
      </w:r>
      <w:r w:rsidR="00114AAA">
        <w:rPr>
          <w:szCs w:val="22"/>
        </w:rPr>
        <w:t xml:space="preserve">, </w:t>
      </w:r>
      <w:r w:rsidRPr="00B648E1" w:rsidR="00114AAA">
        <w:rPr>
          <w:szCs w:val="22"/>
        </w:rPr>
        <w:t>upon notification to the Commission on FCC Form 2100, Schedule 335-FM.</w:t>
      </w:r>
      <w:r w:rsidR="00114AAA">
        <w:rPr>
          <w:szCs w:val="22"/>
        </w:rPr>
        <w:t xml:space="preserve"> </w:t>
      </w:r>
      <w:r w:rsidR="00E64280">
        <w:rPr>
          <w:bCs/>
          <w:szCs w:val="22"/>
        </w:rPr>
        <w:t xml:space="preserve"> Prior to adoption of the </w:t>
      </w:r>
      <w:r w:rsidRPr="00B74C8C" w:rsidR="00E64280">
        <w:rPr>
          <w:bCs/>
          <w:i/>
          <w:iCs/>
          <w:szCs w:val="22"/>
        </w:rPr>
        <w:t>FM Digital First R&amp;O</w:t>
      </w:r>
      <w:r w:rsidR="00E64280">
        <w:rPr>
          <w:bCs/>
          <w:szCs w:val="22"/>
        </w:rPr>
        <w:t>, an FM</w:t>
      </w:r>
      <w:r w:rsidRPr="00A37B41" w:rsidR="00E64280">
        <w:rPr>
          <w:szCs w:val="22"/>
        </w:rPr>
        <w:t xml:space="preserve"> </w:t>
      </w:r>
      <w:r w:rsidR="00635782">
        <w:rPr>
          <w:szCs w:val="22"/>
        </w:rPr>
        <w:t xml:space="preserve">digital </w:t>
      </w:r>
      <w:r w:rsidRPr="00A37B41" w:rsidR="00E64280">
        <w:rPr>
          <w:szCs w:val="22"/>
        </w:rPr>
        <w:t>station that wishe</w:t>
      </w:r>
      <w:r w:rsidR="00E64280">
        <w:rPr>
          <w:szCs w:val="22"/>
        </w:rPr>
        <w:t>d</w:t>
      </w:r>
      <w:r w:rsidRPr="00A37B41" w:rsidR="00E64280">
        <w:rPr>
          <w:szCs w:val="22"/>
        </w:rPr>
        <w:t xml:space="preserve"> to employ asymmetric sideband operation</w:t>
      </w:r>
      <w:r w:rsidR="00E64280">
        <w:rPr>
          <w:szCs w:val="22"/>
        </w:rPr>
        <w:t xml:space="preserve"> had to </w:t>
      </w:r>
      <w:r w:rsidRPr="00A37B41" w:rsidR="00E64280">
        <w:rPr>
          <w:szCs w:val="22"/>
        </w:rPr>
        <w:t>apply for an experimental authorization and renew that authorization annually</w:t>
      </w:r>
      <w:r w:rsidR="00E64280">
        <w:rPr>
          <w:szCs w:val="22"/>
        </w:rPr>
        <w:t>.</w:t>
      </w:r>
      <w:r w:rsidRPr="00114AAA" w:rsidR="00E77150">
        <w:rPr>
          <w:bCs/>
          <w:szCs w:val="22"/>
        </w:rPr>
        <w:t xml:space="preserve">  Initiating such operation by notification rather than experimental authorization will be simpler and less expensive to the </w:t>
      </w:r>
      <w:r w:rsidR="009A12A5">
        <w:rPr>
          <w:bCs/>
          <w:szCs w:val="22"/>
        </w:rPr>
        <w:t>licensee</w:t>
      </w:r>
      <w:r w:rsidRPr="00114AAA" w:rsidR="00E77150">
        <w:rPr>
          <w:bCs/>
          <w:szCs w:val="22"/>
        </w:rPr>
        <w:t>, and thus less burdensome</w:t>
      </w:r>
      <w:r w:rsidRPr="00114AAA" w:rsidR="00AE64E0">
        <w:rPr>
          <w:bCs/>
          <w:szCs w:val="22"/>
        </w:rPr>
        <w:t xml:space="preserve">.  </w:t>
      </w:r>
      <w:r w:rsidR="00635782">
        <w:rPr>
          <w:bCs/>
          <w:szCs w:val="22"/>
        </w:rPr>
        <w:t>Additionally, eliminating the requirement of annual experimental authorization will remove a regulatory barrier and incentivize more digital FM stations to adopt such operations</w:t>
      </w:r>
      <w:r w:rsidRPr="00475B9D" w:rsidR="00635782">
        <w:rPr>
          <w:bCs/>
          <w:szCs w:val="22"/>
        </w:rPr>
        <w:t>.</w:t>
      </w:r>
      <w:r>
        <w:rPr>
          <w:rStyle w:val="FootnoteReference"/>
          <w:bCs/>
          <w:szCs w:val="22"/>
        </w:rPr>
        <w:footnoteReference w:id="3"/>
      </w:r>
      <w:r w:rsidRPr="00475B9D" w:rsidR="008C7D8A">
        <w:rPr>
          <w:bCs/>
          <w:szCs w:val="22"/>
        </w:rPr>
        <w:t xml:space="preserve"> </w:t>
      </w:r>
      <w:r w:rsidRPr="00475B9D" w:rsidR="00635782">
        <w:rPr>
          <w:bCs/>
          <w:szCs w:val="22"/>
        </w:rPr>
        <w:t xml:space="preserve">  </w:t>
      </w:r>
      <w:r w:rsidRPr="00475B9D" w:rsidR="008C7D8A">
        <w:rPr>
          <w:bCs/>
          <w:szCs w:val="22"/>
        </w:rPr>
        <w:t xml:space="preserve">This submission is therefore being made to OMB for approval of </w:t>
      </w:r>
      <w:r w:rsidR="00475B9D">
        <w:rPr>
          <w:bCs/>
          <w:szCs w:val="22"/>
        </w:rPr>
        <w:t>new or modified</w:t>
      </w:r>
      <w:r w:rsidRPr="00475B9D" w:rsidR="008C7D8A">
        <w:rPr>
          <w:bCs/>
          <w:szCs w:val="22"/>
        </w:rPr>
        <w:t xml:space="preserve"> Information Collection requirements</w:t>
      </w:r>
      <w:r w:rsidR="00CD2809">
        <w:rPr>
          <w:bCs/>
          <w:szCs w:val="22"/>
        </w:rPr>
        <w:t xml:space="preserve"> stemming from the </w:t>
      </w:r>
      <w:r w:rsidRPr="00FA3BF7" w:rsidR="00CD2809">
        <w:rPr>
          <w:i/>
          <w:iCs/>
          <w:szCs w:val="22"/>
        </w:rPr>
        <w:t>FM Digital First R&amp;O</w:t>
      </w:r>
      <w:r w:rsidRPr="00475B9D" w:rsidR="008C7D8A">
        <w:rPr>
          <w:bCs/>
          <w:szCs w:val="22"/>
        </w:rPr>
        <w:t>.</w:t>
      </w:r>
      <w:r w:rsidR="008C7D8A">
        <w:rPr>
          <w:bCs/>
          <w:szCs w:val="22"/>
        </w:rPr>
        <w:t xml:space="preserve">  </w:t>
      </w:r>
    </w:p>
    <w:p w:rsidR="00AE0DC2" w:rsidRPr="00FA3BF7" w:rsidP="00DE792E" w14:paraId="34952EB3" w14:textId="77777777">
      <w:pPr>
        <w:ind w:firstLine="720"/>
        <w:rPr>
          <w:sz w:val="22"/>
          <w:szCs w:val="22"/>
        </w:rPr>
      </w:pPr>
    </w:p>
    <w:p w:rsidR="005A3F58" w:rsidRPr="00136920" w:rsidP="00136920" w14:paraId="2D77614F" w14:textId="32E41EBE">
      <w:pPr>
        <w:ind w:firstLine="720"/>
        <w:rPr>
          <w:sz w:val="22"/>
          <w:szCs w:val="22"/>
        </w:rPr>
      </w:pPr>
      <w:r w:rsidRPr="001249E8">
        <w:rPr>
          <w:sz w:val="22"/>
          <w:szCs w:val="22"/>
        </w:rPr>
        <w:t xml:space="preserve">The changes as adopted in the </w:t>
      </w:r>
      <w:r w:rsidRPr="001249E8">
        <w:rPr>
          <w:i/>
          <w:iCs/>
          <w:sz w:val="22"/>
          <w:szCs w:val="22"/>
        </w:rPr>
        <w:t>FM Digital First R&amp;O</w:t>
      </w:r>
      <w:r w:rsidRPr="001249E8">
        <w:rPr>
          <w:sz w:val="22"/>
          <w:szCs w:val="22"/>
        </w:rPr>
        <w:t xml:space="preserve"> require modifications to Schedule 335-FM and rule sections 73.404 and 73.406</w:t>
      </w:r>
      <w:r w:rsidR="00C848F7">
        <w:rPr>
          <w:sz w:val="22"/>
          <w:szCs w:val="22"/>
        </w:rPr>
        <w:t>.</w:t>
      </w:r>
      <w:r>
        <w:rPr>
          <w:rStyle w:val="FootnoteReference"/>
          <w:sz w:val="22"/>
          <w:szCs w:val="22"/>
        </w:rPr>
        <w:footnoteReference w:id="4"/>
      </w:r>
      <w:r w:rsidR="00C848F7">
        <w:rPr>
          <w:szCs w:val="22"/>
        </w:rPr>
        <w:t xml:space="preserve"> </w:t>
      </w:r>
      <w:r>
        <w:rPr>
          <w:szCs w:val="22"/>
        </w:rPr>
        <w:t xml:space="preserve"> </w:t>
      </w:r>
      <w:r w:rsidRPr="00083C21" w:rsidR="00E72A5E">
        <w:rPr>
          <w:sz w:val="22"/>
          <w:szCs w:val="22"/>
        </w:rPr>
        <w:t>Specifically,</w:t>
      </w:r>
      <w:r w:rsidRPr="00083C21" w:rsidR="00636490">
        <w:rPr>
          <w:sz w:val="22"/>
          <w:szCs w:val="22"/>
        </w:rPr>
        <w:t xml:space="preserve"> the </w:t>
      </w:r>
      <w:r w:rsidRPr="00FA3BF7" w:rsidR="00636490">
        <w:rPr>
          <w:i/>
          <w:iCs/>
          <w:sz w:val="22"/>
          <w:szCs w:val="22"/>
        </w:rPr>
        <w:t>FM Digital First R&amp;O</w:t>
      </w:r>
      <w:r w:rsidRPr="00083C21" w:rsidR="00636490">
        <w:rPr>
          <w:sz w:val="22"/>
          <w:szCs w:val="22"/>
        </w:rPr>
        <w:t xml:space="preserve"> </w:t>
      </w:r>
      <w:r w:rsidRPr="00083C21" w:rsidR="00410E5B">
        <w:rPr>
          <w:sz w:val="22"/>
          <w:szCs w:val="22"/>
        </w:rPr>
        <w:t xml:space="preserve">permits </w:t>
      </w:r>
      <w:r w:rsidRPr="00083C21" w:rsidR="00AE0DC2">
        <w:rPr>
          <w:sz w:val="22"/>
          <w:szCs w:val="22"/>
        </w:rPr>
        <w:t>digital FM stations</w:t>
      </w:r>
      <w:r w:rsidR="00D23859">
        <w:rPr>
          <w:sz w:val="22"/>
          <w:szCs w:val="22"/>
        </w:rPr>
        <w:t xml:space="preserve"> </w:t>
      </w:r>
      <w:r w:rsidRPr="00083C21" w:rsidR="00AE0DC2">
        <w:rPr>
          <w:sz w:val="22"/>
          <w:szCs w:val="22"/>
        </w:rPr>
        <w:t xml:space="preserve">to use asymmetric sideband operation </w:t>
      </w:r>
      <w:r w:rsidR="00D23859">
        <w:rPr>
          <w:sz w:val="22"/>
          <w:szCs w:val="22"/>
        </w:rPr>
        <w:t>by</w:t>
      </w:r>
      <w:r w:rsidRPr="00083C21" w:rsidR="00AE0DC2">
        <w:rPr>
          <w:sz w:val="22"/>
          <w:szCs w:val="22"/>
        </w:rPr>
        <w:t xml:space="preserve"> notifying the Commission using Schedule 335-FM, and modifies that schedule by including fields to report the digital ERP being transmitted on each digital sideband, as well as the total digital ERP.</w:t>
      </w:r>
      <w:r>
        <w:rPr>
          <w:rStyle w:val="FootnoteReference"/>
          <w:sz w:val="22"/>
          <w:szCs w:val="22"/>
        </w:rPr>
        <w:footnoteReference w:id="5"/>
      </w:r>
      <w:r w:rsidRPr="00083C21" w:rsidR="00AE0DC2">
        <w:rPr>
          <w:sz w:val="22"/>
          <w:szCs w:val="22"/>
        </w:rPr>
        <w:t xml:space="preserve"> </w:t>
      </w:r>
      <w:r w:rsidR="00C848F7">
        <w:rPr>
          <w:sz w:val="22"/>
          <w:szCs w:val="22"/>
        </w:rPr>
        <w:t xml:space="preserve"> </w:t>
      </w:r>
      <w:r w:rsidRPr="0039236B" w:rsidR="0039236B">
        <w:rPr>
          <w:sz w:val="22"/>
          <w:szCs w:val="22"/>
        </w:rPr>
        <w:t xml:space="preserve">Therefore, Schedule 335-FM is </w:t>
      </w:r>
      <w:r w:rsidR="00C848F7">
        <w:rPr>
          <w:sz w:val="22"/>
          <w:szCs w:val="22"/>
        </w:rPr>
        <w:t xml:space="preserve">being </w:t>
      </w:r>
      <w:r w:rsidRPr="0039236B" w:rsidR="0039236B">
        <w:rPr>
          <w:sz w:val="22"/>
          <w:szCs w:val="22"/>
        </w:rPr>
        <w:t>amended to provide fields for the notifying station to indicate the digital ERP transmitted on each digital sideband, as well as the total digital ERP.</w:t>
      </w:r>
      <w:r w:rsidRPr="00083C21" w:rsidR="00AE0DC2">
        <w:rPr>
          <w:sz w:val="22"/>
          <w:szCs w:val="22"/>
        </w:rPr>
        <w:t xml:space="preserve"> </w:t>
      </w:r>
      <w:r w:rsidR="008C7D8A">
        <w:rPr>
          <w:sz w:val="22"/>
          <w:szCs w:val="22"/>
        </w:rPr>
        <w:t xml:space="preserve">  </w:t>
      </w:r>
    </w:p>
    <w:p w:rsidR="004E2D09" w:rsidP="00234C3B" w14:paraId="7B89BA57" w14:textId="77777777">
      <w:pPr>
        <w:pStyle w:val="ParaNum"/>
        <w:numPr>
          <w:ilvl w:val="0"/>
          <w:numId w:val="0"/>
        </w:numPr>
        <w:spacing w:after="0"/>
        <w:rPr>
          <w:szCs w:val="22"/>
        </w:rPr>
      </w:pPr>
    </w:p>
    <w:p w:rsidR="004342C5" w:rsidP="00136920" w14:paraId="7F24F44B" w14:textId="747C2168">
      <w:pPr>
        <w:pStyle w:val="ParaNum"/>
        <w:numPr>
          <w:ilvl w:val="0"/>
          <w:numId w:val="0"/>
        </w:numPr>
        <w:spacing w:after="0"/>
        <w:ind w:firstLine="720"/>
        <w:rPr>
          <w:szCs w:val="22"/>
        </w:rPr>
      </w:pPr>
      <w:r>
        <w:rPr>
          <w:szCs w:val="22"/>
        </w:rPr>
        <w:t xml:space="preserve">The Commission also made </w:t>
      </w:r>
      <w:r w:rsidRPr="00A37B41">
        <w:rPr>
          <w:szCs w:val="22"/>
        </w:rPr>
        <w:t xml:space="preserve">an administrative change to the procedures used by </w:t>
      </w:r>
      <w:r>
        <w:rPr>
          <w:szCs w:val="22"/>
        </w:rPr>
        <w:t xml:space="preserve">FM station </w:t>
      </w:r>
      <w:r w:rsidRPr="00A37B41">
        <w:rPr>
          <w:szCs w:val="22"/>
        </w:rPr>
        <w:t xml:space="preserve">licensees seeking to increase digital power above - 14 </w:t>
      </w:r>
      <w:r w:rsidRPr="00A37B41">
        <w:rPr>
          <w:szCs w:val="22"/>
        </w:rPr>
        <w:t>dBc</w:t>
      </w:r>
      <w:r w:rsidRPr="00A37B41">
        <w:rPr>
          <w:szCs w:val="22"/>
        </w:rPr>
        <w:t xml:space="preserve">.  Those requests, previously submitted by </w:t>
      </w:r>
      <w:r w:rsidR="00736C9C">
        <w:rPr>
          <w:szCs w:val="22"/>
        </w:rPr>
        <w:t>“</w:t>
      </w:r>
      <w:r w:rsidRPr="00A37B41">
        <w:rPr>
          <w:szCs w:val="22"/>
        </w:rPr>
        <w:t>informal request,</w:t>
      </w:r>
      <w:r w:rsidR="00736C9C">
        <w:rPr>
          <w:szCs w:val="22"/>
        </w:rPr>
        <w:t>”</w:t>
      </w:r>
      <w:r w:rsidRPr="00A37B41">
        <w:rPr>
          <w:szCs w:val="22"/>
        </w:rPr>
        <w:t xml:space="preserve"> will </w:t>
      </w:r>
      <w:r>
        <w:rPr>
          <w:szCs w:val="22"/>
        </w:rPr>
        <w:t xml:space="preserve">now </w:t>
      </w:r>
      <w:r w:rsidRPr="00A37B41">
        <w:rPr>
          <w:szCs w:val="22"/>
        </w:rPr>
        <w:t>be submitted using Schedule 335-FM</w:t>
      </w:r>
      <w:r>
        <w:rPr>
          <w:szCs w:val="22"/>
        </w:rPr>
        <w:t xml:space="preserve">.  </w:t>
      </w:r>
      <w:r w:rsidRPr="00A37B41">
        <w:rPr>
          <w:szCs w:val="22"/>
        </w:rPr>
        <w:t>After the effective date of the rules adopted in th</w:t>
      </w:r>
      <w:r w:rsidR="00C1227B">
        <w:rPr>
          <w:szCs w:val="22"/>
        </w:rPr>
        <w:t>e</w:t>
      </w:r>
      <w:r w:rsidRPr="00A37B41">
        <w:rPr>
          <w:szCs w:val="22"/>
        </w:rPr>
        <w:t xml:space="preserve"> </w:t>
      </w:r>
      <w:r w:rsidRPr="00A37B41">
        <w:rPr>
          <w:i/>
          <w:iCs/>
          <w:szCs w:val="22"/>
        </w:rPr>
        <w:t xml:space="preserve">First </w:t>
      </w:r>
      <w:r w:rsidR="00692A2D">
        <w:rPr>
          <w:i/>
          <w:iCs/>
          <w:szCs w:val="22"/>
        </w:rPr>
        <w:t xml:space="preserve">Digital </w:t>
      </w:r>
      <w:r w:rsidRPr="00A37B41">
        <w:rPr>
          <w:i/>
          <w:iCs/>
          <w:szCs w:val="22"/>
        </w:rPr>
        <w:t>R&amp;O</w:t>
      </w:r>
      <w:r w:rsidRPr="00A37B41">
        <w:rPr>
          <w:szCs w:val="22"/>
        </w:rPr>
        <w:t xml:space="preserve">, digital FM stations must use Schedule 335-FM to request an increase in </w:t>
      </w:r>
      <w:r w:rsidRPr="00A37B41">
        <w:rPr>
          <w:szCs w:val="22"/>
        </w:rPr>
        <w:t xml:space="preserve">total digital ERP above -14 </w:t>
      </w:r>
      <w:r w:rsidRPr="00A37B41">
        <w:rPr>
          <w:szCs w:val="22"/>
        </w:rPr>
        <w:t>dBc</w:t>
      </w:r>
      <w:r w:rsidRPr="00A37B41">
        <w:rPr>
          <w:szCs w:val="22"/>
        </w:rPr>
        <w:t>, using Table 1 to § 73.404(f)</w:t>
      </w:r>
      <w:r w:rsidR="00214E0C">
        <w:rPr>
          <w:szCs w:val="22"/>
        </w:rPr>
        <w:t>,</w:t>
      </w:r>
      <w:r w:rsidRPr="00A37B41">
        <w:rPr>
          <w:szCs w:val="22"/>
        </w:rPr>
        <w:t xml:space="preserve"> and will also report certain digital power decreases on Schedule 335-FM.</w:t>
      </w:r>
      <w:r>
        <w:rPr>
          <w:rStyle w:val="FootnoteReference"/>
        </w:rPr>
        <w:footnoteReference w:id="6"/>
      </w:r>
      <w:r w:rsidRPr="00A37B41">
        <w:rPr>
          <w:szCs w:val="22"/>
        </w:rPr>
        <w:t xml:space="preserve">  </w:t>
      </w:r>
      <w:r w:rsidR="00692A2D">
        <w:rPr>
          <w:szCs w:val="22"/>
        </w:rPr>
        <w:t>In sum, a</w:t>
      </w:r>
      <w:r w:rsidRPr="00A37B41">
        <w:rPr>
          <w:szCs w:val="22"/>
        </w:rPr>
        <w:t xml:space="preserve">fter the effective date of </w:t>
      </w:r>
      <w:r w:rsidR="00D915BF">
        <w:rPr>
          <w:szCs w:val="22"/>
        </w:rPr>
        <w:t xml:space="preserve">the </w:t>
      </w:r>
      <w:r w:rsidRPr="00214E0C" w:rsidR="00D915BF">
        <w:rPr>
          <w:i/>
          <w:iCs/>
          <w:szCs w:val="22"/>
        </w:rPr>
        <w:t>F</w:t>
      </w:r>
      <w:r w:rsidRPr="00214E0C" w:rsidR="00214E0C">
        <w:rPr>
          <w:i/>
          <w:iCs/>
          <w:szCs w:val="22"/>
        </w:rPr>
        <w:t>M</w:t>
      </w:r>
      <w:r w:rsidRPr="00214E0C" w:rsidR="00D915BF">
        <w:rPr>
          <w:i/>
          <w:iCs/>
          <w:szCs w:val="22"/>
        </w:rPr>
        <w:t xml:space="preserve"> Digital First R&amp;O</w:t>
      </w:r>
      <w:r w:rsidRPr="00A37B41">
        <w:rPr>
          <w:szCs w:val="22"/>
        </w:rPr>
        <w:t xml:space="preserve">, a digital FM station will report the following actions (or request authority in the case of an increase of total digital ERP above -14 </w:t>
      </w:r>
      <w:r w:rsidRPr="00A37B41">
        <w:rPr>
          <w:szCs w:val="22"/>
        </w:rPr>
        <w:t>dBc</w:t>
      </w:r>
      <w:r w:rsidRPr="00A37B41">
        <w:rPr>
          <w:szCs w:val="22"/>
        </w:rPr>
        <w:t xml:space="preserve">) by submitting Schedule 335-FM:  the initiation of hybrid digital operation; the initiation of asymmetric sideband operation at any power level, as well as the discontinuance of asymmetric sideband operation; an increase of total digital ERP above -14 </w:t>
      </w:r>
      <w:r w:rsidRPr="00A37B41">
        <w:rPr>
          <w:szCs w:val="22"/>
        </w:rPr>
        <w:t>dBc</w:t>
      </w:r>
      <w:r w:rsidRPr="00A37B41">
        <w:rPr>
          <w:szCs w:val="22"/>
        </w:rPr>
        <w:t xml:space="preserve">; or a decrease in total digital ERP from a level above -14 </w:t>
      </w:r>
      <w:r w:rsidRPr="00A37B41">
        <w:rPr>
          <w:szCs w:val="22"/>
        </w:rPr>
        <w:t>dBc</w:t>
      </w:r>
      <w:r w:rsidRPr="00A37B41">
        <w:rPr>
          <w:szCs w:val="22"/>
        </w:rPr>
        <w:t xml:space="preserve"> to a level at or below -14 </w:t>
      </w:r>
      <w:r w:rsidRPr="00A37B41">
        <w:rPr>
          <w:szCs w:val="22"/>
        </w:rPr>
        <w:t>dBc</w:t>
      </w:r>
      <w:r w:rsidRPr="00A37B41">
        <w:rPr>
          <w:szCs w:val="22"/>
        </w:rPr>
        <w:t>.</w:t>
      </w:r>
      <w:r>
        <w:rPr>
          <w:rStyle w:val="FootnoteReference"/>
        </w:rPr>
        <w:footnoteReference w:id="7"/>
      </w:r>
      <w:r w:rsidRPr="00A37B41">
        <w:rPr>
          <w:szCs w:val="22"/>
        </w:rPr>
        <w:t xml:space="preserve">  </w:t>
      </w:r>
      <w:r w:rsidR="005C0C93">
        <w:rPr>
          <w:szCs w:val="22"/>
        </w:rPr>
        <w:t>As required with the current informal request process, a</w:t>
      </w:r>
      <w:r w:rsidRPr="00A37B41">
        <w:rPr>
          <w:szCs w:val="22"/>
        </w:rPr>
        <w:t xml:space="preserve"> station choosing to operate with total digital ERP between -14 </w:t>
      </w:r>
      <w:r w:rsidRPr="00A37B41">
        <w:rPr>
          <w:szCs w:val="22"/>
        </w:rPr>
        <w:t>dBc</w:t>
      </w:r>
      <w:r w:rsidRPr="00A37B41">
        <w:rPr>
          <w:szCs w:val="22"/>
        </w:rPr>
        <w:t xml:space="preserve"> and -10 </w:t>
      </w:r>
      <w:r w:rsidRPr="00A37B41">
        <w:rPr>
          <w:szCs w:val="22"/>
        </w:rPr>
        <w:t>dBc</w:t>
      </w:r>
      <w:r w:rsidRPr="00A37B41">
        <w:rPr>
          <w:szCs w:val="22"/>
        </w:rPr>
        <w:t xml:space="preserve"> must attach an exhibit demonstrating that the proposed FM digital ERP is permitted for each digital sideband,</w:t>
      </w:r>
      <w:r>
        <w:rPr>
          <w:rStyle w:val="FootnoteReference"/>
        </w:rPr>
        <w:footnoteReference w:id="8"/>
      </w:r>
      <w:r w:rsidRPr="00A37B41">
        <w:rPr>
          <w:szCs w:val="22"/>
        </w:rPr>
        <w:t xml:space="preserve"> using Table 1 to § 73.404(f).</w:t>
      </w:r>
      <w:r w:rsidR="00D915BF">
        <w:rPr>
          <w:szCs w:val="22"/>
        </w:rPr>
        <w:t xml:space="preserve"> </w:t>
      </w:r>
      <w:r w:rsidRPr="00A37B41">
        <w:rPr>
          <w:szCs w:val="22"/>
        </w:rPr>
        <w:t xml:space="preserve"> </w:t>
      </w:r>
      <w:r w:rsidR="005C0C93">
        <w:rPr>
          <w:szCs w:val="22"/>
        </w:rPr>
        <w:t>Th</w:t>
      </w:r>
      <w:r w:rsidR="0042587D">
        <w:rPr>
          <w:szCs w:val="22"/>
        </w:rPr>
        <w:t>is</w:t>
      </w:r>
      <w:r w:rsidR="005C0C93">
        <w:rPr>
          <w:szCs w:val="22"/>
        </w:rPr>
        <w:t xml:space="preserve"> exhibit will now be an attachment to the Schedule 335-FM submission.  </w:t>
      </w:r>
      <w:r w:rsidRPr="00A37B41">
        <w:rPr>
          <w:szCs w:val="22"/>
        </w:rPr>
        <w:t xml:space="preserve">As is the case with the current informal request process, a digital FM station choosing to operate with total digital ERP above -14 </w:t>
      </w:r>
      <w:r w:rsidRPr="00A37B41">
        <w:rPr>
          <w:szCs w:val="22"/>
        </w:rPr>
        <w:t>dBc</w:t>
      </w:r>
      <w:r w:rsidRPr="00A37B41">
        <w:rPr>
          <w:szCs w:val="22"/>
        </w:rPr>
        <w:t xml:space="preserve"> may initiate such operation upon approval from the Commission. </w:t>
      </w:r>
    </w:p>
    <w:p w:rsidR="00136920" w:rsidRPr="00A37B41" w:rsidP="00136920" w14:paraId="6EBAD3DB" w14:textId="77777777">
      <w:pPr>
        <w:pStyle w:val="ParaNum"/>
        <w:numPr>
          <w:ilvl w:val="0"/>
          <w:numId w:val="0"/>
        </w:numPr>
        <w:spacing w:after="0"/>
        <w:ind w:firstLine="720"/>
        <w:rPr>
          <w:szCs w:val="22"/>
        </w:rPr>
      </w:pPr>
    </w:p>
    <w:p w:rsidR="00B51945" w:rsidP="00B51945" w14:paraId="64F3EE98" w14:textId="500FFAB8">
      <w:pPr>
        <w:pStyle w:val="ParaNum"/>
        <w:numPr>
          <w:ilvl w:val="0"/>
          <w:numId w:val="0"/>
        </w:numPr>
        <w:spacing w:after="0"/>
        <w:rPr>
          <w:szCs w:val="22"/>
        </w:rPr>
      </w:pPr>
      <w:r w:rsidRPr="009A1381">
        <w:rPr>
          <w:szCs w:val="22"/>
        </w:rPr>
        <w:t>Schedule 335-FM is</w:t>
      </w:r>
      <w:r>
        <w:rPr>
          <w:szCs w:val="22"/>
        </w:rPr>
        <w:t xml:space="preserve"> </w:t>
      </w:r>
      <w:r w:rsidRPr="00083C21">
        <w:rPr>
          <w:szCs w:val="22"/>
        </w:rPr>
        <w:t>amended</w:t>
      </w:r>
      <w:r w:rsidRPr="009A1381">
        <w:rPr>
          <w:szCs w:val="22"/>
        </w:rPr>
        <w:t xml:space="preserve"> as </w:t>
      </w:r>
      <w:r w:rsidR="00BF1C23">
        <w:rPr>
          <w:szCs w:val="22"/>
        </w:rPr>
        <w:t>follows</w:t>
      </w:r>
      <w:r w:rsidRPr="009A1381">
        <w:rPr>
          <w:szCs w:val="22"/>
        </w:rPr>
        <w:t>:</w:t>
      </w:r>
    </w:p>
    <w:p w:rsidR="00B51945" w:rsidRPr="009A1381" w:rsidP="00B51945" w14:paraId="7D151C60" w14:textId="77777777">
      <w:pPr>
        <w:pStyle w:val="ParaNum"/>
        <w:numPr>
          <w:ilvl w:val="0"/>
          <w:numId w:val="0"/>
        </w:numPr>
        <w:spacing w:after="0"/>
        <w:ind w:firstLine="720"/>
        <w:rPr>
          <w:szCs w:val="22"/>
        </w:rPr>
      </w:pPr>
    </w:p>
    <w:p w:rsidR="00B51945" w:rsidP="00B51945" w14:paraId="2DEE82F1" w14:textId="77777777">
      <w:pPr>
        <w:pStyle w:val="ListParagraph"/>
        <w:numPr>
          <w:ilvl w:val="0"/>
          <w:numId w:val="28"/>
        </w:numPr>
        <w:outlineLvl w:val="0"/>
        <w:rPr>
          <w:sz w:val="22"/>
          <w:szCs w:val="22"/>
        </w:rPr>
      </w:pPr>
      <w:r w:rsidRPr="00083C21">
        <w:rPr>
          <w:sz w:val="22"/>
          <w:szCs w:val="22"/>
        </w:rPr>
        <w:t xml:space="preserve">To include </w:t>
      </w:r>
      <w:r>
        <w:rPr>
          <w:sz w:val="22"/>
          <w:szCs w:val="22"/>
        </w:rPr>
        <w:t>a question for the notifying station</w:t>
      </w:r>
      <w:r w:rsidRPr="00083C21">
        <w:rPr>
          <w:sz w:val="22"/>
          <w:szCs w:val="22"/>
        </w:rPr>
        <w:t xml:space="preserve"> to report </w:t>
      </w:r>
      <w:r>
        <w:rPr>
          <w:sz w:val="22"/>
          <w:szCs w:val="22"/>
        </w:rPr>
        <w:t>when asymmetric sideband operations commenced</w:t>
      </w:r>
      <w:r w:rsidRPr="00083C21">
        <w:rPr>
          <w:sz w:val="22"/>
          <w:szCs w:val="22"/>
        </w:rPr>
        <w:t>.</w:t>
      </w:r>
    </w:p>
    <w:p w:rsidR="00B51945" w:rsidRPr="00083C21" w:rsidP="00B51945" w14:paraId="322218F7" w14:textId="77777777">
      <w:pPr>
        <w:pStyle w:val="ListParagraph"/>
        <w:outlineLvl w:val="0"/>
        <w:rPr>
          <w:sz w:val="22"/>
          <w:szCs w:val="22"/>
        </w:rPr>
      </w:pPr>
    </w:p>
    <w:p w:rsidR="00B51945" w:rsidP="00B51945" w14:paraId="61248529" w14:textId="77777777">
      <w:pPr>
        <w:pStyle w:val="ListParagraph"/>
        <w:numPr>
          <w:ilvl w:val="0"/>
          <w:numId w:val="28"/>
        </w:numPr>
        <w:outlineLvl w:val="0"/>
        <w:rPr>
          <w:sz w:val="22"/>
          <w:szCs w:val="22"/>
        </w:rPr>
      </w:pPr>
      <w:r w:rsidRPr="00083C21">
        <w:rPr>
          <w:sz w:val="22"/>
          <w:szCs w:val="22"/>
        </w:rPr>
        <w:t xml:space="preserve">To provide fields for the notifying station to indicate the digital ERP transmitted on each digital sideband, as well as the total digital ERP. </w:t>
      </w:r>
    </w:p>
    <w:p w:rsidR="00B51945" w:rsidRPr="00DF69D0" w:rsidP="00B51945" w14:paraId="51155008" w14:textId="77777777">
      <w:pPr>
        <w:pStyle w:val="ListParagraph"/>
        <w:rPr>
          <w:sz w:val="22"/>
          <w:szCs w:val="22"/>
        </w:rPr>
      </w:pPr>
    </w:p>
    <w:p w:rsidR="00B51945" w:rsidP="00B51945" w14:paraId="39AC3074" w14:textId="77777777">
      <w:pPr>
        <w:pStyle w:val="ListParagraph"/>
        <w:numPr>
          <w:ilvl w:val="0"/>
          <w:numId w:val="28"/>
        </w:numPr>
        <w:outlineLvl w:val="0"/>
        <w:rPr>
          <w:sz w:val="22"/>
          <w:szCs w:val="22"/>
        </w:rPr>
      </w:pPr>
      <w:r>
        <w:rPr>
          <w:sz w:val="22"/>
          <w:szCs w:val="22"/>
        </w:rPr>
        <w:t>To include a question for the notifying station to report that it has discontinued digital broadcasts and/or asymmetric sideband operations, and provide the date of the discontinuance.</w:t>
      </w:r>
    </w:p>
    <w:p w:rsidR="00B51945" w:rsidRPr="00DF69D0" w:rsidP="00B51945" w14:paraId="1DCB9B0C" w14:textId="77777777">
      <w:pPr>
        <w:pStyle w:val="ListParagraph"/>
        <w:rPr>
          <w:sz w:val="22"/>
          <w:szCs w:val="22"/>
        </w:rPr>
      </w:pPr>
    </w:p>
    <w:p w:rsidR="00B51945" w:rsidP="00B51945" w14:paraId="2707EB16" w14:textId="77777777">
      <w:pPr>
        <w:pStyle w:val="ListParagraph"/>
        <w:numPr>
          <w:ilvl w:val="0"/>
          <w:numId w:val="28"/>
        </w:numPr>
        <w:outlineLvl w:val="0"/>
        <w:rPr>
          <w:sz w:val="22"/>
          <w:szCs w:val="22"/>
        </w:rPr>
      </w:pPr>
      <w:r>
        <w:rPr>
          <w:sz w:val="22"/>
          <w:szCs w:val="22"/>
        </w:rPr>
        <w:t xml:space="preserve">To include a question for the notifying station to report that the total digital ERP (listed in a previous item of the schedule) is greater than -14 </w:t>
      </w:r>
      <w:r>
        <w:rPr>
          <w:sz w:val="22"/>
          <w:szCs w:val="22"/>
        </w:rPr>
        <w:t>dBc</w:t>
      </w:r>
      <w:r>
        <w:rPr>
          <w:sz w:val="22"/>
          <w:szCs w:val="22"/>
        </w:rPr>
        <w:t>.  A</w:t>
      </w:r>
      <w:r w:rsidRPr="00B34657">
        <w:rPr>
          <w:sz w:val="22"/>
          <w:szCs w:val="22"/>
        </w:rPr>
        <w:t xml:space="preserve"> station choosing to operate with total digital ERP between -14 </w:t>
      </w:r>
      <w:r w:rsidRPr="00B34657">
        <w:rPr>
          <w:sz w:val="22"/>
          <w:szCs w:val="22"/>
        </w:rPr>
        <w:t>dBc</w:t>
      </w:r>
      <w:r w:rsidRPr="00B34657">
        <w:rPr>
          <w:sz w:val="22"/>
          <w:szCs w:val="22"/>
        </w:rPr>
        <w:t xml:space="preserve"> and -10 </w:t>
      </w:r>
      <w:r w:rsidRPr="00B34657">
        <w:rPr>
          <w:sz w:val="22"/>
          <w:szCs w:val="22"/>
        </w:rPr>
        <w:t>dBc</w:t>
      </w:r>
      <w:r w:rsidRPr="00B34657">
        <w:rPr>
          <w:sz w:val="22"/>
          <w:szCs w:val="22"/>
        </w:rPr>
        <w:t xml:space="preserve"> must attach an exhibit demonstrating that the proposed FM digital ERP is permitted for each digital sideband, using Table 1 </w:t>
      </w:r>
      <w:r>
        <w:rPr>
          <w:sz w:val="22"/>
          <w:szCs w:val="22"/>
        </w:rPr>
        <w:t>in</w:t>
      </w:r>
      <w:r w:rsidRPr="00B34657">
        <w:rPr>
          <w:sz w:val="22"/>
          <w:szCs w:val="22"/>
        </w:rPr>
        <w:t xml:space="preserve"> § 73.404(f).</w:t>
      </w:r>
    </w:p>
    <w:p w:rsidR="00B51945" w:rsidRPr="008B1059" w:rsidP="00B51945" w14:paraId="75D268A8" w14:textId="77777777">
      <w:pPr>
        <w:pStyle w:val="ListParagraph"/>
        <w:rPr>
          <w:sz w:val="22"/>
          <w:szCs w:val="22"/>
        </w:rPr>
      </w:pPr>
    </w:p>
    <w:p w:rsidR="00B51945" w:rsidRPr="00B34657" w:rsidP="00B51945" w14:paraId="2405E1AE" w14:textId="3E512F00">
      <w:pPr>
        <w:pStyle w:val="ListParagraph"/>
        <w:numPr>
          <w:ilvl w:val="0"/>
          <w:numId w:val="28"/>
        </w:numPr>
        <w:outlineLvl w:val="0"/>
        <w:rPr>
          <w:sz w:val="22"/>
          <w:szCs w:val="22"/>
        </w:rPr>
      </w:pPr>
      <w:r>
        <w:rPr>
          <w:sz w:val="22"/>
          <w:szCs w:val="22"/>
        </w:rPr>
        <w:t xml:space="preserve">To include a question for the notifying station to report a decrease in the total digital ERP to -14 </w:t>
      </w:r>
      <w:r>
        <w:rPr>
          <w:sz w:val="22"/>
          <w:szCs w:val="22"/>
        </w:rPr>
        <w:t>dBc</w:t>
      </w:r>
      <w:r>
        <w:rPr>
          <w:sz w:val="22"/>
          <w:szCs w:val="22"/>
        </w:rPr>
        <w:t xml:space="preserve"> </w:t>
      </w:r>
      <w:r w:rsidR="00CC520A">
        <w:rPr>
          <w:sz w:val="22"/>
          <w:szCs w:val="22"/>
        </w:rPr>
        <w:t>or below</w:t>
      </w:r>
      <w:r w:rsidR="00E453C0">
        <w:rPr>
          <w:sz w:val="22"/>
          <w:szCs w:val="22"/>
        </w:rPr>
        <w:t>,</w:t>
      </w:r>
      <w:r w:rsidR="00CC520A">
        <w:rPr>
          <w:sz w:val="22"/>
          <w:szCs w:val="22"/>
        </w:rPr>
        <w:t xml:space="preserve"> </w:t>
      </w:r>
      <w:r>
        <w:rPr>
          <w:sz w:val="22"/>
          <w:szCs w:val="22"/>
        </w:rPr>
        <w:t xml:space="preserve">and provide the date on which such decreased digital ERP operations commenced. </w:t>
      </w:r>
    </w:p>
    <w:p w:rsidR="00B51945" w:rsidRPr="004675A8" w:rsidP="00B51945" w14:paraId="10AF9260" w14:textId="77777777">
      <w:pPr>
        <w:outlineLvl w:val="0"/>
        <w:rPr>
          <w:bCs/>
          <w:sz w:val="22"/>
          <w:szCs w:val="22"/>
        </w:rPr>
      </w:pPr>
    </w:p>
    <w:p w:rsidR="00083C21" w:rsidP="00136920" w14:paraId="65D1861C" w14:textId="5AE2D052">
      <w:pPr>
        <w:pStyle w:val="ParaNum"/>
        <w:numPr>
          <w:ilvl w:val="0"/>
          <w:numId w:val="0"/>
        </w:numPr>
        <w:spacing w:after="0"/>
        <w:ind w:firstLine="720"/>
        <w:rPr>
          <w:szCs w:val="22"/>
        </w:rPr>
      </w:pPr>
      <w:r>
        <w:rPr>
          <w:szCs w:val="22"/>
        </w:rPr>
        <w:t>Moreover, t</w:t>
      </w:r>
      <w:r w:rsidRPr="00083C21" w:rsidR="00F11F64">
        <w:rPr>
          <w:szCs w:val="22"/>
        </w:rPr>
        <w:t xml:space="preserve">o implement </w:t>
      </w:r>
      <w:r w:rsidRPr="00083C21" w:rsidR="008D2AF7">
        <w:rPr>
          <w:szCs w:val="22"/>
        </w:rPr>
        <w:t>the new or modified information collection requirements contained in</w:t>
      </w:r>
      <w:r w:rsidRPr="00083C21" w:rsidR="00F11F64">
        <w:rPr>
          <w:szCs w:val="22"/>
        </w:rPr>
        <w:t xml:space="preserve"> the </w:t>
      </w:r>
      <w:r w:rsidRPr="00083C21" w:rsidR="00F11F64">
        <w:rPr>
          <w:i/>
          <w:iCs/>
          <w:szCs w:val="22"/>
        </w:rPr>
        <w:t>FM Digital First R&amp;</w:t>
      </w:r>
      <w:r w:rsidRPr="00083C21" w:rsidR="00F11F64">
        <w:rPr>
          <w:szCs w:val="22"/>
        </w:rPr>
        <w:t xml:space="preserve">O, </w:t>
      </w:r>
      <w:r w:rsidRPr="00083C21" w:rsidR="00566A84">
        <w:rPr>
          <w:szCs w:val="22"/>
        </w:rPr>
        <w:t>sections 73.404</w:t>
      </w:r>
      <w:r w:rsidRPr="00083C21" w:rsidR="008D2AF7">
        <w:rPr>
          <w:szCs w:val="22"/>
        </w:rPr>
        <w:t>(e) and (f)</w:t>
      </w:r>
      <w:r>
        <w:rPr>
          <w:szCs w:val="22"/>
        </w:rPr>
        <w:t xml:space="preserve"> of the rules</w:t>
      </w:r>
      <w:r>
        <w:rPr>
          <w:rStyle w:val="FootnoteReference"/>
          <w:szCs w:val="22"/>
        </w:rPr>
        <w:footnoteReference w:id="9"/>
      </w:r>
      <w:r w:rsidRPr="00083C21" w:rsidR="00F11F64">
        <w:rPr>
          <w:szCs w:val="22"/>
        </w:rPr>
        <w:t xml:space="preserve"> are revise</w:t>
      </w:r>
      <w:r w:rsidRPr="00083C21" w:rsidR="002F48C9">
        <w:rPr>
          <w:szCs w:val="22"/>
        </w:rPr>
        <w:t xml:space="preserve">d to </w:t>
      </w:r>
      <w:r w:rsidR="0073390F">
        <w:rPr>
          <w:szCs w:val="22"/>
        </w:rPr>
        <w:t>allow digital FM stations to use asymmetric power on the digital sideba</w:t>
      </w:r>
      <w:r w:rsidR="006E21B5">
        <w:rPr>
          <w:szCs w:val="22"/>
        </w:rPr>
        <w:t>nds</w:t>
      </w:r>
      <w:r w:rsidR="0073390F">
        <w:rPr>
          <w:szCs w:val="22"/>
        </w:rPr>
        <w:t xml:space="preserve"> and to use the</w:t>
      </w:r>
      <w:r w:rsidR="00D23859">
        <w:rPr>
          <w:szCs w:val="22"/>
        </w:rPr>
        <w:t xml:space="preserve"> </w:t>
      </w:r>
      <w:r w:rsidRPr="00083C21" w:rsidR="002F48C9">
        <w:rPr>
          <w:szCs w:val="22"/>
        </w:rPr>
        <w:t xml:space="preserve">“Maximum permissible FM digital ERP per-sideband” </w:t>
      </w:r>
      <w:r w:rsidR="006E21B5">
        <w:rPr>
          <w:szCs w:val="22"/>
        </w:rPr>
        <w:t>T</w:t>
      </w:r>
      <w:r w:rsidRPr="00083C21" w:rsidR="002F48C9">
        <w:rPr>
          <w:szCs w:val="22"/>
        </w:rPr>
        <w:t>able to comport with the current limits on FM digital ERP.</w:t>
      </w:r>
      <w:r>
        <w:rPr>
          <w:szCs w:val="22"/>
        </w:rPr>
        <w:t xml:space="preserve">  </w:t>
      </w:r>
      <w:r w:rsidR="00241AB0">
        <w:rPr>
          <w:szCs w:val="22"/>
        </w:rPr>
        <w:t>Addi</w:t>
      </w:r>
      <w:r w:rsidR="00936914">
        <w:rPr>
          <w:szCs w:val="22"/>
        </w:rPr>
        <w:t>tionally</w:t>
      </w:r>
      <w:r w:rsidR="00241AB0">
        <w:rPr>
          <w:szCs w:val="22"/>
        </w:rPr>
        <w:t xml:space="preserve">, the </w:t>
      </w:r>
      <w:r w:rsidRPr="00083C21" w:rsidR="00241AB0">
        <w:rPr>
          <w:szCs w:val="22"/>
        </w:rPr>
        <w:t>new</w:t>
      </w:r>
      <w:r w:rsidR="00D23859">
        <w:rPr>
          <w:szCs w:val="22"/>
        </w:rPr>
        <w:t xml:space="preserve">ly </w:t>
      </w:r>
      <w:r w:rsidR="00D23859">
        <w:rPr>
          <w:szCs w:val="22"/>
        </w:rPr>
        <w:t>adopted</w:t>
      </w:r>
      <w:r w:rsidRPr="00083C21" w:rsidR="00241AB0">
        <w:rPr>
          <w:szCs w:val="22"/>
        </w:rPr>
        <w:t xml:space="preserve"> </w:t>
      </w:r>
      <w:r w:rsidR="00936914">
        <w:rPr>
          <w:szCs w:val="22"/>
        </w:rPr>
        <w:t xml:space="preserve">digital FM </w:t>
      </w:r>
      <w:r w:rsidR="00241AB0">
        <w:rPr>
          <w:szCs w:val="22"/>
        </w:rPr>
        <w:t xml:space="preserve">notification requirements are added </w:t>
      </w:r>
      <w:r w:rsidR="00936914">
        <w:rPr>
          <w:szCs w:val="22"/>
        </w:rPr>
        <w:t xml:space="preserve">to </w:t>
      </w:r>
      <w:r w:rsidR="006E21B5">
        <w:rPr>
          <w:szCs w:val="22"/>
        </w:rPr>
        <w:t xml:space="preserve">rule </w:t>
      </w:r>
      <w:r w:rsidRPr="00083C21" w:rsidR="00241AB0">
        <w:rPr>
          <w:szCs w:val="22"/>
        </w:rPr>
        <w:t>section 73.406</w:t>
      </w:r>
      <w:r w:rsidR="00241AB0">
        <w:rPr>
          <w:szCs w:val="22"/>
        </w:rPr>
        <w:t xml:space="preserve"> in new </w:t>
      </w:r>
      <w:r w:rsidRPr="00083C21" w:rsidR="00241AB0">
        <w:rPr>
          <w:szCs w:val="22"/>
        </w:rPr>
        <w:t xml:space="preserve">paragraphs (d)(5) and (d)(6) </w:t>
      </w:r>
      <w:r w:rsidR="00241AB0">
        <w:rPr>
          <w:szCs w:val="22"/>
        </w:rPr>
        <w:t>as follows:</w:t>
      </w:r>
      <w:r>
        <w:rPr>
          <w:rStyle w:val="FootnoteReference"/>
          <w:szCs w:val="22"/>
        </w:rPr>
        <w:footnoteReference w:id="10"/>
      </w:r>
    </w:p>
    <w:p w:rsidR="00083C21" w:rsidRPr="00083C21" w:rsidP="006A06AB" w14:paraId="685F19F8" w14:textId="77777777">
      <w:pPr>
        <w:pStyle w:val="ParaNum"/>
        <w:numPr>
          <w:ilvl w:val="0"/>
          <w:numId w:val="0"/>
        </w:numPr>
        <w:spacing w:after="0"/>
        <w:rPr>
          <w:szCs w:val="22"/>
        </w:rPr>
      </w:pPr>
    </w:p>
    <w:p w:rsidR="00083C21" w:rsidRPr="00083C21" w:rsidP="006A06AB" w14:paraId="3F98F42C" w14:textId="1BC514D6">
      <w:pPr>
        <w:pStyle w:val="ParaNum"/>
        <w:numPr>
          <w:ilvl w:val="0"/>
          <w:numId w:val="0"/>
        </w:numPr>
        <w:spacing w:after="0"/>
        <w:rPr>
          <w:szCs w:val="22"/>
        </w:rPr>
      </w:pPr>
      <w:r w:rsidRPr="00083C21">
        <w:rPr>
          <w:b/>
          <w:bCs/>
          <w:szCs w:val="22"/>
          <w:u w:val="single"/>
        </w:rPr>
        <w:t>§73.406 Notification.</w:t>
      </w:r>
    </w:p>
    <w:p w:rsidR="00083C21" w:rsidRPr="00083C21" w:rsidP="00083C21" w14:paraId="60C0472F" w14:textId="77777777">
      <w:pPr>
        <w:rPr>
          <w:sz w:val="22"/>
          <w:szCs w:val="22"/>
        </w:rPr>
      </w:pPr>
    </w:p>
    <w:p w:rsidR="00083C21" w:rsidRPr="00083C21" w:rsidP="00083C21" w14:paraId="4B77CD0F" w14:textId="61C612A1">
      <w:pPr>
        <w:ind w:left="720"/>
        <w:rPr>
          <w:sz w:val="22"/>
          <w:szCs w:val="22"/>
        </w:rPr>
      </w:pPr>
      <w:r w:rsidRPr="00083C21">
        <w:rPr>
          <w:sz w:val="22"/>
          <w:szCs w:val="22"/>
        </w:rPr>
        <w:t>(d)(5) Any digital FM station taking any of the following actions must notify the Commission of such action on Form 2100, Schedule 335-FM:</w:t>
      </w:r>
    </w:p>
    <w:p w:rsidR="00083C21" w:rsidRPr="00083C21" w:rsidP="00083C21" w14:paraId="4E02A35F" w14:textId="77777777">
      <w:pPr>
        <w:ind w:left="990"/>
        <w:rPr>
          <w:sz w:val="22"/>
          <w:szCs w:val="22"/>
        </w:rPr>
      </w:pPr>
    </w:p>
    <w:p w:rsidR="00083C21" w:rsidRPr="00083C21" w:rsidP="00083C21" w14:paraId="56425511" w14:textId="77777777">
      <w:pPr>
        <w:ind w:left="990"/>
        <w:rPr>
          <w:sz w:val="22"/>
          <w:szCs w:val="22"/>
        </w:rPr>
      </w:pPr>
      <w:r w:rsidRPr="00083C21">
        <w:rPr>
          <w:sz w:val="22"/>
          <w:szCs w:val="22"/>
        </w:rPr>
        <w:t>(</w:t>
      </w:r>
      <w:r w:rsidRPr="00083C21">
        <w:rPr>
          <w:sz w:val="22"/>
          <w:szCs w:val="22"/>
        </w:rPr>
        <w:t>i</w:t>
      </w:r>
      <w:r w:rsidRPr="00083C21">
        <w:rPr>
          <w:sz w:val="22"/>
          <w:szCs w:val="22"/>
        </w:rPr>
        <w:t>) Upon initiation of hybrid digital operation;</w:t>
      </w:r>
    </w:p>
    <w:p w:rsidR="00083C21" w:rsidRPr="00083C21" w:rsidP="00083C21" w14:paraId="49C65A0C" w14:textId="77777777">
      <w:pPr>
        <w:ind w:left="990"/>
        <w:rPr>
          <w:sz w:val="22"/>
          <w:szCs w:val="22"/>
        </w:rPr>
      </w:pPr>
    </w:p>
    <w:p w:rsidR="00083C21" w:rsidRPr="00083C21" w:rsidP="00083C21" w14:paraId="59795546" w14:textId="77777777">
      <w:pPr>
        <w:ind w:left="990"/>
        <w:rPr>
          <w:sz w:val="22"/>
          <w:szCs w:val="22"/>
        </w:rPr>
      </w:pPr>
      <w:r w:rsidRPr="00083C21">
        <w:rPr>
          <w:sz w:val="22"/>
          <w:szCs w:val="22"/>
        </w:rPr>
        <w:t>(ii) Upon initiation of asymmetric sideband operation at any power level.  For FM stations employing asymmetric sideband operation as defined in § 73.402(</w:t>
      </w:r>
      <w:r w:rsidRPr="00083C21">
        <w:rPr>
          <w:sz w:val="22"/>
          <w:szCs w:val="22"/>
        </w:rPr>
        <w:t>i</w:t>
      </w:r>
      <w:r w:rsidRPr="00083C21">
        <w:rPr>
          <w:sz w:val="22"/>
          <w:szCs w:val="22"/>
        </w:rPr>
        <w:t>), the notification must include a certification that the proposed digital sideband power on each sideband conforms to the Maximum Permissible FM Digital ERP set forth in Table 1 to § 73.404(f), and that the total digital sideband power will not exceed the total power if the digital sideband operation were symmetric.  The notifying station may commence asymmetric sideband operation upon filing Form 2100, Schedule 335-FM, and may continue such operation unless notified by the Commission that such operation is not rule-compliant;</w:t>
      </w:r>
    </w:p>
    <w:p w:rsidR="00083C21" w:rsidRPr="00083C21" w:rsidP="00083C21" w14:paraId="1EC9533F" w14:textId="77777777">
      <w:pPr>
        <w:ind w:left="990"/>
        <w:rPr>
          <w:sz w:val="22"/>
          <w:szCs w:val="22"/>
        </w:rPr>
      </w:pPr>
    </w:p>
    <w:p w:rsidR="00083C21" w:rsidRPr="00083C21" w:rsidP="00083C21" w14:paraId="2C8B522F" w14:textId="77777777">
      <w:pPr>
        <w:ind w:left="990"/>
        <w:rPr>
          <w:sz w:val="22"/>
          <w:szCs w:val="22"/>
        </w:rPr>
      </w:pPr>
      <w:r w:rsidRPr="00083C21">
        <w:rPr>
          <w:sz w:val="22"/>
          <w:szCs w:val="22"/>
        </w:rPr>
        <w:t>(iii) Discontinuing asymmetric sideband operation and reverting to symmetric sideband operation.  The digital FM station must file Form 2100, Schedule 335-FM within 30 days of discontinuing asymmetric sideband operation; or</w:t>
      </w:r>
    </w:p>
    <w:p w:rsidR="00083C21" w:rsidRPr="00083C21" w:rsidP="00083C21" w14:paraId="77DC94AF" w14:textId="77777777">
      <w:pPr>
        <w:ind w:left="990"/>
        <w:rPr>
          <w:sz w:val="22"/>
          <w:szCs w:val="22"/>
        </w:rPr>
      </w:pPr>
    </w:p>
    <w:p w:rsidR="00083C21" w:rsidRPr="00083C21" w:rsidP="00083C21" w14:paraId="644105F1" w14:textId="77777777">
      <w:pPr>
        <w:ind w:left="990"/>
        <w:rPr>
          <w:sz w:val="22"/>
          <w:szCs w:val="22"/>
        </w:rPr>
      </w:pPr>
      <w:r w:rsidRPr="00083C21">
        <w:rPr>
          <w:sz w:val="22"/>
          <w:szCs w:val="22"/>
        </w:rPr>
        <w:t xml:space="preserve">(iv) Decreasing total digital Effective Radiated Power from a level above -14 </w:t>
      </w:r>
      <w:r w:rsidRPr="00083C21">
        <w:rPr>
          <w:sz w:val="22"/>
          <w:szCs w:val="22"/>
        </w:rPr>
        <w:t>dBc</w:t>
      </w:r>
      <w:r w:rsidRPr="00083C21">
        <w:rPr>
          <w:sz w:val="22"/>
          <w:szCs w:val="22"/>
        </w:rPr>
        <w:t xml:space="preserve"> to a level at or below -14 </w:t>
      </w:r>
      <w:r w:rsidRPr="00083C21">
        <w:rPr>
          <w:sz w:val="22"/>
          <w:szCs w:val="22"/>
        </w:rPr>
        <w:t>dBc</w:t>
      </w:r>
      <w:r w:rsidRPr="00083C21">
        <w:rPr>
          <w:sz w:val="22"/>
          <w:szCs w:val="22"/>
        </w:rPr>
        <w:t xml:space="preserve">.  The digital FM station must file Form 2100, Schedule 335-FM within 30 days of decreasing power. </w:t>
      </w:r>
    </w:p>
    <w:p w:rsidR="00083C21" w:rsidRPr="00083C21" w:rsidP="00083C21" w14:paraId="2D8DDEDF" w14:textId="77777777">
      <w:pPr>
        <w:ind w:left="720"/>
        <w:rPr>
          <w:sz w:val="22"/>
          <w:szCs w:val="22"/>
        </w:rPr>
      </w:pPr>
    </w:p>
    <w:p w:rsidR="00083C21" w:rsidP="00083C21" w14:paraId="7DA1DA7D" w14:textId="77777777">
      <w:pPr>
        <w:ind w:left="720"/>
        <w:rPr>
          <w:sz w:val="22"/>
          <w:szCs w:val="22"/>
        </w:rPr>
      </w:pPr>
      <w:r w:rsidRPr="00083C21">
        <w:rPr>
          <w:sz w:val="22"/>
          <w:szCs w:val="22"/>
        </w:rPr>
        <w:t xml:space="preserve">(6) Any digital FM station seeking authority to increase total digital Effective Radiated Power above -14 </w:t>
      </w:r>
      <w:r w:rsidRPr="00083C21">
        <w:rPr>
          <w:sz w:val="22"/>
          <w:szCs w:val="22"/>
        </w:rPr>
        <w:t>dBc</w:t>
      </w:r>
      <w:r w:rsidRPr="00083C21">
        <w:rPr>
          <w:sz w:val="22"/>
          <w:szCs w:val="22"/>
        </w:rPr>
        <w:t xml:space="preserve"> must submit Form 2100, Schedule 335-FM.  The submission must include a certification that the proposed FM digital Effective Radiated Power is permitted, using the table set forth in Table 1 to § 73.404(f).  Certifications must be based on the most restrictive analog field strength of the proponent at any nearby first-adjacent channel station’s 60 dBµ contour.  The station choosing to operate with total digital ERP above -14 </w:t>
      </w:r>
      <w:r w:rsidRPr="00083C21">
        <w:rPr>
          <w:sz w:val="22"/>
          <w:szCs w:val="22"/>
        </w:rPr>
        <w:t>dBc</w:t>
      </w:r>
      <w:r w:rsidRPr="00083C21">
        <w:rPr>
          <w:sz w:val="22"/>
          <w:szCs w:val="22"/>
        </w:rPr>
        <w:t xml:space="preserve"> may initiate such operation upon approval from the Commissio</w:t>
      </w:r>
      <w:r>
        <w:rPr>
          <w:sz w:val="22"/>
          <w:szCs w:val="22"/>
        </w:rPr>
        <w:t>n</w:t>
      </w:r>
      <w:r w:rsidR="00B827CC">
        <w:rPr>
          <w:sz w:val="22"/>
          <w:szCs w:val="22"/>
        </w:rPr>
        <w:t>.</w:t>
      </w:r>
    </w:p>
    <w:p w:rsidR="00B827CC" w:rsidP="00083C21" w14:paraId="2A26987D" w14:textId="77777777">
      <w:pPr>
        <w:ind w:left="720"/>
        <w:rPr>
          <w:sz w:val="22"/>
          <w:szCs w:val="22"/>
        </w:rPr>
      </w:pPr>
    </w:p>
    <w:p w:rsidR="00B827CC" w:rsidP="00083C21" w14:paraId="25E1F580" w14:textId="77777777">
      <w:pPr>
        <w:ind w:left="720"/>
        <w:rPr>
          <w:sz w:val="22"/>
          <w:szCs w:val="22"/>
        </w:rPr>
      </w:pPr>
    </w:p>
    <w:p w:rsidR="004F5F80" w:rsidRPr="004675A8" w:rsidP="004F5F80" w14:paraId="5236FC2B" w14:textId="5022140F">
      <w:pPr>
        <w:outlineLvl w:val="0"/>
        <w:rPr>
          <w:b/>
          <w:sz w:val="22"/>
          <w:szCs w:val="22"/>
          <w:u w:val="single"/>
        </w:rPr>
      </w:pPr>
      <w:r w:rsidRPr="004675A8">
        <w:rPr>
          <w:b/>
          <w:sz w:val="22"/>
          <w:szCs w:val="22"/>
          <w:u w:val="single"/>
        </w:rPr>
        <w:t>History:</w:t>
      </w:r>
    </w:p>
    <w:p w:rsidR="005C3B49" w:rsidRPr="004675A8" w:rsidP="004F5F80" w14:paraId="41EDBBEE" w14:textId="77777777">
      <w:pPr>
        <w:outlineLvl w:val="0"/>
        <w:rPr>
          <w:b/>
          <w:sz w:val="22"/>
          <w:szCs w:val="22"/>
          <w:u w:val="single"/>
        </w:rPr>
      </w:pPr>
    </w:p>
    <w:p w:rsidR="004B7400" w:rsidRPr="004675A8" w:rsidP="004F5F80" w14:paraId="18769C37" w14:textId="5BF4DC8C">
      <w:pPr>
        <w:outlineLvl w:val="0"/>
        <w:rPr>
          <w:b/>
          <w:sz w:val="22"/>
          <w:szCs w:val="22"/>
          <w:u w:val="single"/>
        </w:rPr>
      </w:pPr>
      <w:r w:rsidRPr="004675A8">
        <w:rPr>
          <w:b/>
          <w:sz w:val="22"/>
          <w:szCs w:val="22"/>
          <w:u w:val="single"/>
        </w:rPr>
        <w:t>2020 All-Digital AM Broadcasting Report and Order</w:t>
      </w:r>
    </w:p>
    <w:p w:rsidR="004B7400" w:rsidRPr="004675A8" w:rsidP="004F5F80" w14:paraId="2A017048" w14:textId="77777777">
      <w:pPr>
        <w:outlineLvl w:val="0"/>
        <w:rPr>
          <w:b/>
          <w:sz w:val="22"/>
          <w:szCs w:val="22"/>
          <w:u w:val="single"/>
        </w:rPr>
      </w:pPr>
    </w:p>
    <w:p w:rsidR="0041214B" w:rsidRPr="004675A8" w:rsidP="00785AB6" w14:paraId="723265F1" w14:textId="2F263487">
      <w:pPr>
        <w:ind w:firstLine="720"/>
        <w:outlineLvl w:val="0"/>
        <w:rPr>
          <w:bCs/>
          <w:sz w:val="22"/>
          <w:szCs w:val="22"/>
        </w:rPr>
      </w:pPr>
      <w:r w:rsidRPr="004675A8">
        <w:rPr>
          <w:snapToGrid w:val="0"/>
          <w:spacing w:val="-3"/>
          <w:sz w:val="22"/>
          <w:szCs w:val="22"/>
        </w:rPr>
        <w:t xml:space="preserve">In the </w:t>
      </w:r>
      <w:r w:rsidRPr="004675A8" w:rsidR="00A4391D">
        <w:rPr>
          <w:snapToGrid w:val="0"/>
          <w:spacing w:val="-3"/>
          <w:sz w:val="22"/>
          <w:szCs w:val="22"/>
        </w:rPr>
        <w:t xml:space="preserve">Commission’s </w:t>
      </w:r>
      <w:r w:rsidRPr="004675A8" w:rsidR="00A4391D">
        <w:rPr>
          <w:i/>
          <w:iCs/>
          <w:snapToGrid w:val="0"/>
          <w:spacing w:val="-3"/>
          <w:sz w:val="22"/>
          <w:szCs w:val="22"/>
        </w:rPr>
        <w:t>All-Digital AM Broadcasting Report and Order</w:t>
      </w:r>
      <w:r>
        <w:rPr>
          <w:sz w:val="22"/>
          <w:szCs w:val="22"/>
          <w:vertAlign w:val="superscript"/>
        </w:rPr>
        <w:footnoteReference w:id="11"/>
      </w:r>
      <w:r w:rsidRPr="004675A8" w:rsidR="00A4391D">
        <w:rPr>
          <w:sz w:val="22"/>
          <w:szCs w:val="22"/>
        </w:rPr>
        <w:t xml:space="preserve"> adopted </w:t>
      </w:r>
      <w:r w:rsidRPr="004675A8" w:rsidR="00FA30CE">
        <w:rPr>
          <w:sz w:val="22"/>
          <w:szCs w:val="22"/>
        </w:rPr>
        <w:t>October</w:t>
      </w:r>
      <w:r w:rsidRPr="004675A8" w:rsidR="00A4391D">
        <w:rPr>
          <w:sz w:val="22"/>
          <w:szCs w:val="22"/>
        </w:rPr>
        <w:t xml:space="preserve"> </w:t>
      </w:r>
      <w:r w:rsidRPr="004675A8" w:rsidR="00C3771F">
        <w:rPr>
          <w:sz w:val="22"/>
          <w:szCs w:val="22"/>
        </w:rPr>
        <w:t>27</w:t>
      </w:r>
      <w:r w:rsidRPr="004675A8" w:rsidR="00A4391D">
        <w:rPr>
          <w:sz w:val="22"/>
          <w:szCs w:val="22"/>
        </w:rPr>
        <w:t>, 20</w:t>
      </w:r>
      <w:r w:rsidRPr="004675A8" w:rsidR="00FA30CE">
        <w:rPr>
          <w:sz w:val="22"/>
          <w:szCs w:val="22"/>
        </w:rPr>
        <w:t>20</w:t>
      </w:r>
      <w:r w:rsidRPr="004675A8" w:rsidR="00A4391D">
        <w:rPr>
          <w:sz w:val="22"/>
          <w:szCs w:val="22"/>
        </w:rPr>
        <w:t xml:space="preserve">, and released on </w:t>
      </w:r>
      <w:r w:rsidRPr="004675A8" w:rsidR="00FA30CE">
        <w:rPr>
          <w:sz w:val="22"/>
          <w:szCs w:val="22"/>
        </w:rPr>
        <w:t xml:space="preserve">October </w:t>
      </w:r>
      <w:r w:rsidRPr="004675A8" w:rsidR="002C3FF1">
        <w:rPr>
          <w:sz w:val="22"/>
          <w:szCs w:val="22"/>
        </w:rPr>
        <w:t>28</w:t>
      </w:r>
      <w:r w:rsidRPr="004675A8" w:rsidR="00A4391D">
        <w:rPr>
          <w:sz w:val="22"/>
          <w:szCs w:val="22"/>
        </w:rPr>
        <w:t>, 20</w:t>
      </w:r>
      <w:r w:rsidRPr="004675A8" w:rsidR="00FA30CE">
        <w:rPr>
          <w:sz w:val="22"/>
          <w:szCs w:val="22"/>
        </w:rPr>
        <w:t>20</w:t>
      </w:r>
      <w:r w:rsidRPr="004675A8" w:rsidR="00A4391D">
        <w:rPr>
          <w:sz w:val="22"/>
          <w:szCs w:val="22"/>
        </w:rPr>
        <w:t>,</w:t>
      </w:r>
      <w:r w:rsidRPr="004675A8" w:rsidR="00A4391D">
        <w:rPr>
          <w:snapToGrid w:val="0"/>
          <w:sz w:val="22"/>
          <w:szCs w:val="22"/>
        </w:rPr>
        <w:t xml:space="preserve"> </w:t>
      </w:r>
      <w:r w:rsidRPr="004675A8" w:rsidR="0053255E">
        <w:rPr>
          <w:snapToGrid w:val="0"/>
          <w:sz w:val="22"/>
          <w:szCs w:val="22"/>
        </w:rPr>
        <w:t xml:space="preserve">the </w:t>
      </w:r>
      <w:r w:rsidRPr="004675A8" w:rsidR="00A4391D">
        <w:rPr>
          <w:snapToGrid w:val="0"/>
          <w:sz w:val="22"/>
          <w:szCs w:val="22"/>
        </w:rPr>
        <w:t>Commission</w:t>
      </w:r>
      <w:r w:rsidRPr="004675A8" w:rsidR="00943EB9">
        <w:rPr>
          <w:snapToGrid w:val="0"/>
          <w:sz w:val="22"/>
          <w:szCs w:val="22"/>
        </w:rPr>
        <w:t xml:space="preserve"> adopt</w:t>
      </w:r>
      <w:r w:rsidRPr="004675A8">
        <w:rPr>
          <w:snapToGrid w:val="0"/>
          <w:sz w:val="22"/>
          <w:szCs w:val="22"/>
        </w:rPr>
        <w:t>ed</w:t>
      </w:r>
      <w:r w:rsidRPr="004675A8" w:rsidR="00943EB9">
        <w:rPr>
          <w:snapToGrid w:val="0"/>
          <w:sz w:val="22"/>
          <w:szCs w:val="22"/>
        </w:rPr>
        <w:t xml:space="preserve"> rules to allow AM radio stations</w:t>
      </w:r>
      <w:r w:rsidRPr="004675A8" w:rsidR="002F677C">
        <w:rPr>
          <w:snapToGrid w:val="0"/>
          <w:sz w:val="22"/>
          <w:szCs w:val="22"/>
        </w:rPr>
        <w:t>,</w:t>
      </w:r>
      <w:r w:rsidRPr="004675A8" w:rsidR="00943EB9">
        <w:rPr>
          <w:snapToGrid w:val="0"/>
          <w:sz w:val="22"/>
          <w:szCs w:val="22"/>
        </w:rPr>
        <w:t xml:space="preserve"> on a voluntary basis</w:t>
      </w:r>
      <w:r w:rsidRPr="004675A8" w:rsidR="002F677C">
        <w:rPr>
          <w:snapToGrid w:val="0"/>
          <w:sz w:val="22"/>
          <w:szCs w:val="22"/>
        </w:rPr>
        <w:t>, to broadcast an all-digital signal using the HD radio in-band on-channel</w:t>
      </w:r>
      <w:r w:rsidRPr="004675A8" w:rsidR="00013DBB">
        <w:rPr>
          <w:snapToGrid w:val="0"/>
          <w:sz w:val="22"/>
          <w:szCs w:val="22"/>
        </w:rPr>
        <w:t xml:space="preserve"> (IBOC)</w:t>
      </w:r>
      <w:r w:rsidRPr="004675A8" w:rsidR="002F677C">
        <w:rPr>
          <w:snapToGrid w:val="0"/>
          <w:sz w:val="22"/>
          <w:szCs w:val="22"/>
        </w:rPr>
        <w:t xml:space="preserve"> mode name</w:t>
      </w:r>
      <w:r w:rsidR="00DE7E6D">
        <w:rPr>
          <w:snapToGrid w:val="0"/>
          <w:sz w:val="22"/>
          <w:szCs w:val="22"/>
        </w:rPr>
        <w:t>d</w:t>
      </w:r>
      <w:r w:rsidRPr="004675A8" w:rsidR="002F677C">
        <w:rPr>
          <w:snapToGrid w:val="0"/>
          <w:sz w:val="22"/>
          <w:szCs w:val="22"/>
        </w:rPr>
        <w:t xml:space="preserve"> MA3.  This </w:t>
      </w:r>
      <w:r w:rsidRPr="004675A8" w:rsidR="00066A35">
        <w:rPr>
          <w:snapToGrid w:val="0"/>
          <w:sz w:val="22"/>
          <w:szCs w:val="22"/>
        </w:rPr>
        <w:t>action</w:t>
      </w:r>
      <w:r w:rsidRPr="004675A8">
        <w:rPr>
          <w:snapToGrid w:val="0"/>
          <w:sz w:val="22"/>
          <w:szCs w:val="22"/>
        </w:rPr>
        <w:t xml:space="preserve"> benefits</w:t>
      </w:r>
      <w:r w:rsidRPr="004675A8" w:rsidR="002F677C">
        <w:rPr>
          <w:snapToGrid w:val="0"/>
          <w:sz w:val="22"/>
          <w:szCs w:val="22"/>
        </w:rPr>
        <w:t xml:space="preserve"> AM stations and their </w:t>
      </w:r>
      <w:r w:rsidRPr="004675A8" w:rsidR="003448BD">
        <w:rPr>
          <w:snapToGrid w:val="0"/>
          <w:sz w:val="22"/>
          <w:szCs w:val="22"/>
        </w:rPr>
        <w:t>listeners</w:t>
      </w:r>
      <w:r w:rsidRPr="004675A8" w:rsidR="002F677C">
        <w:rPr>
          <w:snapToGrid w:val="0"/>
          <w:sz w:val="22"/>
          <w:szCs w:val="22"/>
        </w:rPr>
        <w:t xml:space="preserve"> by improving reception quality and </w:t>
      </w:r>
      <w:r w:rsidRPr="004675A8" w:rsidR="002F677C">
        <w:rPr>
          <w:snapToGrid w:val="0"/>
          <w:sz w:val="22"/>
          <w:szCs w:val="22"/>
        </w:rPr>
        <w:t>listenab</w:t>
      </w:r>
      <w:r w:rsidRPr="004675A8" w:rsidR="00066A35">
        <w:rPr>
          <w:snapToGrid w:val="0"/>
          <w:sz w:val="22"/>
          <w:szCs w:val="22"/>
        </w:rPr>
        <w:t>le</w:t>
      </w:r>
      <w:r w:rsidRPr="004675A8" w:rsidR="002F677C">
        <w:rPr>
          <w:snapToGrid w:val="0"/>
          <w:sz w:val="22"/>
          <w:szCs w:val="22"/>
        </w:rPr>
        <w:t xml:space="preserve"> </w:t>
      </w:r>
      <w:r w:rsidRPr="004675A8" w:rsidR="00644B30">
        <w:rPr>
          <w:snapToGrid w:val="0"/>
          <w:sz w:val="22"/>
          <w:szCs w:val="22"/>
        </w:rPr>
        <w:t xml:space="preserve">signal </w:t>
      </w:r>
      <w:r w:rsidRPr="004675A8" w:rsidR="002F677C">
        <w:rPr>
          <w:snapToGrid w:val="0"/>
          <w:sz w:val="22"/>
          <w:szCs w:val="22"/>
        </w:rPr>
        <w:t>coverage in stations’</w:t>
      </w:r>
      <w:r w:rsidRPr="004675A8" w:rsidR="00F478A2">
        <w:rPr>
          <w:snapToGrid w:val="0"/>
          <w:sz w:val="22"/>
          <w:szCs w:val="22"/>
        </w:rPr>
        <w:t xml:space="preserve"> </w:t>
      </w:r>
      <w:r w:rsidRPr="004675A8" w:rsidR="002F677C">
        <w:rPr>
          <w:snapToGrid w:val="0"/>
          <w:sz w:val="22"/>
          <w:szCs w:val="22"/>
        </w:rPr>
        <w:t>service area</w:t>
      </w:r>
      <w:r w:rsidRPr="004675A8" w:rsidR="008D0C53">
        <w:rPr>
          <w:snapToGrid w:val="0"/>
          <w:sz w:val="22"/>
          <w:szCs w:val="22"/>
        </w:rPr>
        <w:t>s</w:t>
      </w:r>
      <w:r w:rsidRPr="004675A8" w:rsidR="002F677C">
        <w:rPr>
          <w:snapToGrid w:val="0"/>
          <w:sz w:val="22"/>
          <w:szCs w:val="22"/>
        </w:rPr>
        <w:t xml:space="preserve"> and by advancing the </w:t>
      </w:r>
      <w:r w:rsidRPr="004675A8" w:rsidR="003448BD">
        <w:rPr>
          <w:snapToGrid w:val="0"/>
          <w:sz w:val="22"/>
          <w:szCs w:val="22"/>
        </w:rPr>
        <w:t>Commission’s</w:t>
      </w:r>
      <w:r w:rsidRPr="004675A8" w:rsidR="002F677C">
        <w:rPr>
          <w:snapToGrid w:val="0"/>
          <w:sz w:val="22"/>
          <w:szCs w:val="22"/>
        </w:rPr>
        <w:t xml:space="preserve"> </w:t>
      </w:r>
      <w:r w:rsidRPr="004675A8" w:rsidR="003448BD">
        <w:rPr>
          <w:snapToGrid w:val="0"/>
          <w:sz w:val="22"/>
          <w:szCs w:val="22"/>
        </w:rPr>
        <w:t>goal</w:t>
      </w:r>
      <w:r w:rsidRPr="004675A8" w:rsidR="002F677C">
        <w:rPr>
          <w:snapToGrid w:val="0"/>
          <w:sz w:val="22"/>
          <w:szCs w:val="22"/>
        </w:rPr>
        <w:t xml:space="preserve"> of improving the AM service</w:t>
      </w:r>
      <w:r w:rsidRPr="004675A8" w:rsidR="00556DE4">
        <w:rPr>
          <w:snapToGrid w:val="0"/>
          <w:sz w:val="22"/>
          <w:szCs w:val="22"/>
        </w:rPr>
        <w:t>,</w:t>
      </w:r>
      <w:r w:rsidRPr="004675A8" w:rsidR="008D0C53">
        <w:rPr>
          <w:snapToGrid w:val="0"/>
          <w:sz w:val="22"/>
          <w:szCs w:val="22"/>
        </w:rPr>
        <w:t xml:space="preserve"> </w:t>
      </w:r>
      <w:r w:rsidRPr="004675A8" w:rsidR="002F677C">
        <w:rPr>
          <w:snapToGrid w:val="0"/>
          <w:sz w:val="22"/>
          <w:szCs w:val="22"/>
        </w:rPr>
        <w:t xml:space="preserve">thereby helping to ensure the </w:t>
      </w:r>
      <w:r w:rsidRPr="004675A8" w:rsidR="00011193">
        <w:rPr>
          <w:snapToGrid w:val="0"/>
          <w:sz w:val="22"/>
          <w:szCs w:val="22"/>
        </w:rPr>
        <w:t>future</w:t>
      </w:r>
      <w:r w:rsidRPr="004675A8" w:rsidR="002F677C">
        <w:rPr>
          <w:snapToGrid w:val="0"/>
          <w:sz w:val="22"/>
          <w:szCs w:val="22"/>
        </w:rPr>
        <w:t xml:space="preserve"> of the service.</w:t>
      </w:r>
      <w:r w:rsidRPr="004675A8" w:rsidR="00011193">
        <w:rPr>
          <w:snapToGrid w:val="0"/>
          <w:sz w:val="22"/>
          <w:szCs w:val="22"/>
        </w:rPr>
        <w:t xml:space="preserve">  AM broadcast station licensees </w:t>
      </w:r>
      <w:r w:rsidR="00234C3B">
        <w:rPr>
          <w:snapToGrid w:val="0"/>
          <w:sz w:val="22"/>
          <w:szCs w:val="22"/>
        </w:rPr>
        <w:t>were</w:t>
      </w:r>
      <w:r w:rsidRPr="004675A8" w:rsidR="00011193">
        <w:rPr>
          <w:snapToGrid w:val="0"/>
          <w:sz w:val="22"/>
          <w:szCs w:val="22"/>
        </w:rPr>
        <w:t xml:space="preserve"> required to notify the Commission of </w:t>
      </w:r>
      <w:r w:rsidRPr="004675A8" w:rsidR="00505426">
        <w:rPr>
          <w:snapToGrid w:val="0"/>
          <w:sz w:val="22"/>
          <w:szCs w:val="22"/>
        </w:rPr>
        <w:t>a change to</w:t>
      </w:r>
      <w:r w:rsidRPr="004675A8" w:rsidR="00011193">
        <w:rPr>
          <w:snapToGrid w:val="0"/>
          <w:sz w:val="22"/>
          <w:szCs w:val="22"/>
        </w:rPr>
        <w:t xml:space="preserve"> all-digital </w:t>
      </w:r>
      <w:r w:rsidRPr="004675A8" w:rsidR="00505426">
        <w:rPr>
          <w:snapToGrid w:val="0"/>
          <w:sz w:val="22"/>
          <w:szCs w:val="22"/>
        </w:rPr>
        <w:t xml:space="preserve">operations </w:t>
      </w:r>
      <w:r w:rsidRPr="004675A8" w:rsidR="00011193">
        <w:rPr>
          <w:snapToGrid w:val="0"/>
          <w:sz w:val="22"/>
          <w:szCs w:val="22"/>
        </w:rPr>
        <w:t xml:space="preserve">using </w:t>
      </w:r>
      <w:r w:rsidRPr="004675A8" w:rsidR="00DB46B7">
        <w:rPr>
          <w:snapToGrid w:val="0"/>
          <w:sz w:val="22"/>
          <w:szCs w:val="22"/>
        </w:rPr>
        <w:t xml:space="preserve">the </w:t>
      </w:r>
      <w:r w:rsidRPr="004675A8" w:rsidR="0008037D">
        <w:rPr>
          <w:snapToGrid w:val="0"/>
          <w:sz w:val="22"/>
          <w:szCs w:val="22"/>
        </w:rPr>
        <w:t xml:space="preserve">then-existing </w:t>
      </w:r>
      <w:r w:rsidRPr="004675A8" w:rsidR="008D0C53">
        <w:rPr>
          <w:snapToGrid w:val="0"/>
          <w:sz w:val="22"/>
          <w:szCs w:val="22"/>
        </w:rPr>
        <w:t>Digital N</w:t>
      </w:r>
      <w:r w:rsidRPr="004675A8" w:rsidR="006F0F41">
        <w:rPr>
          <w:snapToGrid w:val="0"/>
          <w:sz w:val="22"/>
          <w:szCs w:val="22"/>
        </w:rPr>
        <w:t xml:space="preserve">otification Form, </w:t>
      </w:r>
      <w:r w:rsidRPr="004675A8" w:rsidR="00011193">
        <w:rPr>
          <w:snapToGrid w:val="0"/>
          <w:sz w:val="22"/>
          <w:szCs w:val="22"/>
        </w:rPr>
        <w:t>FCC Form 335-A</w:t>
      </w:r>
      <w:r w:rsidRPr="004675A8" w:rsidR="00505426">
        <w:rPr>
          <w:snapToGrid w:val="0"/>
          <w:sz w:val="22"/>
          <w:szCs w:val="22"/>
        </w:rPr>
        <w:t>M</w:t>
      </w:r>
      <w:r w:rsidRPr="004675A8" w:rsidR="003508E4">
        <w:rPr>
          <w:snapToGrid w:val="0"/>
          <w:sz w:val="22"/>
          <w:szCs w:val="22"/>
        </w:rPr>
        <w:t>.</w:t>
      </w:r>
    </w:p>
    <w:p w:rsidR="002F677C" w:rsidRPr="004675A8" w:rsidP="002F677C" w14:paraId="5EDBA107" w14:textId="77777777">
      <w:pPr>
        <w:outlineLvl w:val="0"/>
        <w:rPr>
          <w:snapToGrid w:val="0"/>
          <w:sz w:val="22"/>
          <w:szCs w:val="22"/>
        </w:rPr>
      </w:pPr>
    </w:p>
    <w:p w:rsidR="00A3710B" w:rsidRPr="004675A8" w:rsidP="0099381A" w14:paraId="2ABD742B" w14:textId="67B9FC67">
      <w:pPr>
        <w:ind w:firstLine="720"/>
        <w:outlineLvl w:val="0"/>
        <w:rPr>
          <w:sz w:val="22"/>
          <w:szCs w:val="22"/>
        </w:rPr>
      </w:pPr>
      <w:r w:rsidRPr="004675A8">
        <w:rPr>
          <w:snapToGrid w:val="0"/>
          <w:sz w:val="22"/>
          <w:szCs w:val="22"/>
        </w:rPr>
        <w:t>Specifically pertaining to this Information Collection, i</w:t>
      </w:r>
      <w:r w:rsidRPr="004675A8" w:rsidR="00011193">
        <w:rPr>
          <w:snapToGrid w:val="0"/>
          <w:sz w:val="22"/>
          <w:szCs w:val="22"/>
        </w:rPr>
        <w:t>n the</w:t>
      </w:r>
      <w:r w:rsidRPr="004675A8" w:rsidR="00011193">
        <w:rPr>
          <w:i/>
          <w:iCs/>
          <w:sz w:val="22"/>
          <w:szCs w:val="22"/>
        </w:rPr>
        <w:t xml:space="preserve"> All</w:t>
      </w:r>
      <w:r w:rsidRPr="004675A8" w:rsidR="008D0C53">
        <w:rPr>
          <w:i/>
          <w:iCs/>
          <w:sz w:val="22"/>
          <w:szCs w:val="22"/>
        </w:rPr>
        <w:t>-</w:t>
      </w:r>
      <w:r w:rsidRPr="004675A8" w:rsidR="00011193">
        <w:rPr>
          <w:i/>
          <w:iCs/>
          <w:sz w:val="22"/>
          <w:szCs w:val="22"/>
        </w:rPr>
        <w:t>Digital AM Broadcasting Report and Order,</w:t>
      </w:r>
      <w:r w:rsidRPr="004675A8" w:rsidR="00011193">
        <w:rPr>
          <w:snapToGrid w:val="0"/>
          <w:sz w:val="22"/>
          <w:szCs w:val="22"/>
        </w:rPr>
        <w:t xml:space="preserve"> the </w:t>
      </w:r>
      <w:r w:rsidRPr="004675A8" w:rsidR="008D0C53">
        <w:rPr>
          <w:snapToGrid w:val="0"/>
          <w:sz w:val="22"/>
          <w:szCs w:val="22"/>
        </w:rPr>
        <w:t>Commission</w:t>
      </w:r>
      <w:r w:rsidRPr="004675A8" w:rsidR="00011193">
        <w:rPr>
          <w:snapToGrid w:val="0"/>
          <w:sz w:val="22"/>
          <w:szCs w:val="22"/>
        </w:rPr>
        <w:t xml:space="preserve"> require</w:t>
      </w:r>
      <w:r w:rsidRPr="004675A8" w:rsidR="00DB46B7">
        <w:rPr>
          <w:snapToGrid w:val="0"/>
          <w:sz w:val="22"/>
          <w:szCs w:val="22"/>
        </w:rPr>
        <w:t>d</w:t>
      </w:r>
      <w:r w:rsidRPr="004675A8" w:rsidR="00011193">
        <w:rPr>
          <w:snapToGrid w:val="0"/>
          <w:sz w:val="22"/>
          <w:szCs w:val="22"/>
        </w:rPr>
        <w:t xml:space="preserve"> </w:t>
      </w:r>
      <w:r w:rsidRPr="004675A8" w:rsidR="00F50669">
        <w:rPr>
          <w:snapToGrid w:val="0"/>
          <w:sz w:val="22"/>
          <w:szCs w:val="22"/>
        </w:rPr>
        <w:t>AM broadcast station</w:t>
      </w:r>
      <w:r w:rsidRPr="004675A8" w:rsidR="002E4543">
        <w:rPr>
          <w:snapToGrid w:val="0"/>
          <w:sz w:val="22"/>
          <w:szCs w:val="22"/>
        </w:rPr>
        <w:t>s</w:t>
      </w:r>
      <w:r w:rsidRPr="004675A8" w:rsidR="00011193">
        <w:rPr>
          <w:snapToGrid w:val="0"/>
          <w:sz w:val="22"/>
          <w:szCs w:val="22"/>
        </w:rPr>
        <w:t xml:space="preserve"> to </w:t>
      </w:r>
      <w:r w:rsidRPr="004675A8" w:rsidR="008D0C53">
        <w:rPr>
          <w:snapToGrid w:val="0"/>
          <w:sz w:val="22"/>
          <w:szCs w:val="22"/>
        </w:rPr>
        <w:t>electronically</w:t>
      </w:r>
      <w:r w:rsidRPr="004675A8" w:rsidR="00011193">
        <w:rPr>
          <w:snapToGrid w:val="0"/>
          <w:sz w:val="22"/>
          <w:szCs w:val="22"/>
        </w:rPr>
        <w:t xml:space="preserve"> file a </w:t>
      </w:r>
      <w:r w:rsidRPr="004675A8" w:rsidR="0099381A">
        <w:rPr>
          <w:snapToGrid w:val="0"/>
          <w:sz w:val="22"/>
          <w:szCs w:val="22"/>
        </w:rPr>
        <w:t xml:space="preserve">digital </w:t>
      </w:r>
      <w:r w:rsidRPr="004675A8" w:rsidR="00011193">
        <w:rPr>
          <w:snapToGrid w:val="0"/>
          <w:sz w:val="22"/>
          <w:szCs w:val="22"/>
        </w:rPr>
        <w:t>notification</w:t>
      </w:r>
      <w:r>
        <w:rPr>
          <w:rStyle w:val="FootnoteReference"/>
          <w:snapToGrid w:val="0"/>
          <w:sz w:val="22"/>
          <w:szCs w:val="22"/>
        </w:rPr>
        <w:footnoteReference w:id="12"/>
      </w:r>
      <w:r w:rsidRPr="004675A8" w:rsidR="0099381A">
        <w:rPr>
          <w:snapToGrid w:val="0"/>
          <w:sz w:val="22"/>
          <w:szCs w:val="22"/>
        </w:rPr>
        <w:t xml:space="preserve"> </w:t>
      </w:r>
      <w:r w:rsidRPr="004675A8" w:rsidR="0099381A">
        <w:rPr>
          <w:sz w:val="22"/>
          <w:szCs w:val="22"/>
        </w:rPr>
        <w:t xml:space="preserve">using the </w:t>
      </w:r>
      <w:r w:rsidRPr="004675A8" w:rsidR="003412FB">
        <w:rPr>
          <w:sz w:val="22"/>
          <w:szCs w:val="22"/>
        </w:rPr>
        <w:t>then-</w:t>
      </w:r>
      <w:r w:rsidRPr="004675A8" w:rsidR="0099381A">
        <w:rPr>
          <w:sz w:val="22"/>
          <w:szCs w:val="22"/>
        </w:rPr>
        <w:t>existing FCC Form 335-AM Digital Notification (or any successor notification</w:t>
      </w:r>
      <w:r w:rsidRPr="004675A8" w:rsidR="00204B99">
        <w:rPr>
          <w:sz w:val="22"/>
          <w:szCs w:val="22"/>
        </w:rPr>
        <w:t xml:space="preserve"> form</w:t>
      </w:r>
      <w:r w:rsidRPr="004675A8" w:rsidR="0099381A">
        <w:rPr>
          <w:sz w:val="22"/>
          <w:szCs w:val="22"/>
        </w:rPr>
        <w:t xml:space="preserve">) </w:t>
      </w:r>
      <w:r w:rsidRPr="004675A8" w:rsidR="00204B99">
        <w:rPr>
          <w:sz w:val="22"/>
          <w:szCs w:val="22"/>
        </w:rPr>
        <w:t xml:space="preserve">to notify the Commission of </w:t>
      </w:r>
      <w:r w:rsidRPr="004675A8" w:rsidR="000552E3">
        <w:rPr>
          <w:sz w:val="22"/>
          <w:szCs w:val="22"/>
        </w:rPr>
        <w:t xml:space="preserve">the </w:t>
      </w:r>
      <w:r w:rsidRPr="004675A8" w:rsidR="0099381A">
        <w:rPr>
          <w:sz w:val="22"/>
          <w:szCs w:val="22"/>
        </w:rPr>
        <w:t>following changes: (1) the commencement of new all-digital operation; (2) an increase in nominal power of an all-digital AM station; or (3) a transition from core-only to enhanced operating mode.</w:t>
      </w:r>
      <w:r>
        <w:rPr>
          <w:rStyle w:val="FootnoteReference"/>
          <w:sz w:val="22"/>
          <w:szCs w:val="22"/>
        </w:rPr>
        <w:footnoteReference w:id="13"/>
      </w:r>
      <w:r w:rsidRPr="004675A8" w:rsidR="0040461B">
        <w:rPr>
          <w:sz w:val="22"/>
          <w:szCs w:val="22"/>
        </w:rPr>
        <w:t xml:space="preserve">  </w:t>
      </w:r>
      <w:r w:rsidRPr="004675A8" w:rsidR="00013DBB">
        <w:rPr>
          <w:sz w:val="22"/>
          <w:szCs w:val="22"/>
        </w:rPr>
        <w:t xml:space="preserve">Although </w:t>
      </w:r>
      <w:r w:rsidRPr="004675A8" w:rsidR="009C3C67">
        <w:rPr>
          <w:sz w:val="22"/>
          <w:szCs w:val="22"/>
        </w:rPr>
        <w:t>the Commission</w:t>
      </w:r>
      <w:r w:rsidRPr="004675A8" w:rsidR="00013DBB">
        <w:rPr>
          <w:sz w:val="22"/>
          <w:szCs w:val="22"/>
        </w:rPr>
        <w:t xml:space="preserve"> direct</w:t>
      </w:r>
      <w:r w:rsidRPr="004675A8" w:rsidR="009C3C67">
        <w:rPr>
          <w:sz w:val="22"/>
          <w:szCs w:val="22"/>
        </w:rPr>
        <w:t>ed</w:t>
      </w:r>
      <w:r w:rsidRPr="004675A8" w:rsidR="00013DBB">
        <w:rPr>
          <w:sz w:val="22"/>
          <w:szCs w:val="22"/>
        </w:rPr>
        <w:t xml:space="preserve"> broadcasters to use the </w:t>
      </w:r>
      <w:r w:rsidRPr="004675A8" w:rsidR="0011389C">
        <w:rPr>
          <w:sz w:val="22"/>
          <w:szCs w:val="22"/>
        </w:rPr>
        <w:t>then-</w:t>
      </w:r>
      <w:r w:rsidRPr="004675A8" w:rsidR="00013DBB">
        <w:rPr>
          <w:sz w:val="22"/>
          <w:szCs w:val="22"/>
        </w:rPr>
        <w:t xml:space="preserve">current Form 335-AM for all-digital notifications, additional information is required for notification of </w:t>
      </w:r>
      <w:r w:rsidRPr="004675A8" w:rsidR="003508E4">
        <w:rPr>
          <w:sz w:val="22"/>
          <w:szCs w:val="22"/>
        </w:rPr>
        <w:t xml:space="preserve">AM </w:t>
      </w:r>
      <w:r w:rsidRPr="004675A8" w:rsidR="00013DBB">
        <w:rPr>
          <w:sz w:val="22"/>
          <w:szCs w:val="22"/>
        </w:rPr>
        <w:t xml:space="preserve">all-digital operations specifically. Therefore, until the Form 335-AM is updated to display </w:t>
      </w:r>
      <w:r w:rsidRPr="004675A8" w:rsidR="00204B99">
        <w:rPr>
          <w:sz w:val="22"/>
          <w:szCs w:val="22"/>
        </w:rPr>
        <w:t xml:space="preserve">the new </w:t>
      </w:r>
      <w:r w:rsidRPr="004675A8" w:rsidR="00013DBB">
        <w:rPr>
          <w:sz w:val="22"/>
          <w:szCs w:val="22"/>
        </w:rPr>
        <w:t>all-digital operation requirements, we direct</w:t>
      </w:r>
      <w:r w:rsidRPr="004675A8" w:rsidR="009C3C67">
        <w:rPr>
          <w:sz w:val="22"/>
          <w:szCs w:val="22"/>
        </w:rPr>
        <w:t>ed</w:t>
      </w:r>
      <w:r w:rsidRPr="004675A8" w:rsidR="00013DBB">
        <w:rPr>
          <w:sz w:val="22"/>
          <w:szCs w:val="22"/>
        </w:rPr>
        <w:t xml:space="preserve"> filers to select “N/A” as appropriate within the form and submit an attachment containing the </w:t>
      </w:r>
      <w:r w:rsidRPr="004675A8" w:rsidR="00204B99">
        <w:rPr>
          <w:sz w:val="22"/>
          <w:szCs w:val="22"/>
        </w:rPr>
        <w:t xml:space="preserve">following </w:t>
      </w:r>
      <w:r w:rsidRPr="004675A8" w:rsidR="00013DBB">
        <w:rPr>
          <w:sz w:val="22"/>
          <w:szCs w:val="22"/>
        </w:rPr>
        <w:t>information</w:t>
      </w:r>
      <w:r w:rsidRPr="004675A8" w:rsidR="00204B99">
        <w:rPr>
          <w:sz w:val="22"/>
          <w:szCs w:val="22"/>
        </w:rPr>
        <w:t xml:space="preserve">. </w:t>
      </w:r>
      <w:r w:rsidRPr="004675A8" w:rsidR="00A7063A">
        <w:rPr>
          <w:sz w:val="22"/>
          <w:szCs w:val="22"/>
        </w:rPr>
        <w:t xml:space="preserve"> </w:t>
      </w:r>
      <w:r w:rsidRPr="004675A8" w:rsidR="00204B99">
        <w:rPr>
          <w:sz w:val="22"/>
          <w:szCs w:val="22"/>
        </w:rPr>
        <w:t xml:space="preserve">As discussed below, these new all-digital AM notification requirements </w:t>
      </w:r>
      <w:r w:rsidR="00234C3B">
        <w:rPr>
          <w:sz w:val="22"/>
          <w:szCs w:val="22"/>
        </w:rPr>
        <w:t>were</w:t>
      </w:r>
      <w:r w:rsidRPr="004675A8" w:rsidR="00204B99">
        <w:rPr>
          <w:sz w:val="22"/>
          <w:szCs w:val="22"/>
        </w:rPr>
        <w:t xml:space="preserve"> added to new </w:t>
      </w:r>
      <w:r w:rsidRPr="004675A8" w:rsidR="00A7063A">
        <w:rPr>
          <w:sz w:val="22"/>
          <w:szCs w:val="22"/>
        </w:rPr>
        <w:t>section 73.406 o</w:t>
      </w:r>
      <w:r w:rsidRPr="004675A8" w:rsidR="00811527">
        <w:rPr>
          <w:sz w:val="22"/>
          <w:szCs w:val="22"/>
        </w:rPr>
        <w:t>f</w:t>
      </w:r>
      <w:r w:rsidRPr="004675A8" w:rsidR="00A7063A">
        <w:rPr>
          <w:sz w:val="22"/>
          <w:szCs w:val="22"/>
        </w:rPr>
        <w:t xml:space="preserve"> the </w:t>
      </w:r>
      <w:r w:rsidRPr="004675A8" w:rsidR="0064537A">
        <w:rPr>
          <w:sz w:val="22"/>
          <w:szCs w:val="22"/>
        </w:rPr>
        <w:t>Commission’s</w:t>
      </w:r>
      <w:r w:rsidRPr="004675A8" w:rsidR="00A7063A">
        <w:rPr>
          <w:sz w:val="22"/>
          <w:szCs w:val="22"/>
        </w:rPr>
        <w:t xml:space="preserve"> rules</w:t>
      </w:r>
      <w:r w:rsidRPr="004675A8" w:rsidR="00013DBB">
        <w:rPr>
          <w:sz w:val="22"/>
          <w:szCs w:val="22"/>
        </w:rPr>
        <w:t>.</w:t>
      </w:r>
      <w:r>
        <w:rPr>
          <w:rStyle w:val="FootnoteReference"/>
          <w:sz w:val="22"/>
          <w:szCs w:val="22"/>
        </w:rPr>
        <w:footnoteReference w:id="14"/>
      </w:r>
      <w:r w:rsidRPr="004675A8" w:rsidR="00013DBB">
        <w:rPr>
          <w:sz w:val="22"/>
          <w:szCs w:val="22"/>
        </w:rPr>
        <w:t xml:space="preserve">  </w:t>
      </w:r>
    </w:p>
    <w:p w:rsidR="00A3710B" w:rsidRPr="004675A8" w:rsidP="0099381A" w14:paraId="51EB525C" w14:textId="77777777">
      <w:pPr>
        <w:ind w:firstLine="720"/>
        <w:outlineLvl w:val="0"/>
        <w:rPr>
          <w:sz w:val="22"/>
          <w:szCs w:val="22"/>
        </w:rPr>
      </w:pPr>
    </w:p>
    <w:p w:rsidR="00013DBB" w:rsidRPr="004675A8" w:rsidP="00013DBB" w14:paraId="4BC379C6" w14:textId="77777777">
      <w:pPr>
        <w:pStyle w:val="Default"/>
        <w:numPr>
          <w:ilvl w:val="0"/>
          <w:numId w:val="24"/>
        </w:numPr>
        <w:rPr>
          <w:sz w:val="22"/>
          <w:szCs w:val="22"/>
        </w:rPr>
      </w:pPr>
      <w:r w:rsidRPr="004675A8">
        <w:rPr>
          <w:sz w:val="22"/>
          <w:szCs w:val="22"/>
        </w:rPr>
        <w:t xml:space="preserve">the type of notification (all-digital notification, increase in nominal power, reduction in nominal power, transition from core-only to enhanced, transition from enhanced to core-only, reversion from all-digital to hybrid or analog operation); </w:t>
      </w:r>
    </w:p>
    <w:p w:rsidR="00013DBB" w:rsidRPr="004675A8" w:rsidP="00013DBB" w14:paraId="25237F6B" w14:textId="77777777">
      <w:pPr>
        <w:pStyle w:val="Default"/>
        <w:ind w:left="1134"/>
        <w:rPr>
          <w:sz w:val="22"/>
          <w:szCs w:val="22"/>
        </w:rPr>
      </w:pPr>
    </w:p>
    <w:p w:rsidR="000552E3" w:rsidRPr="004675A8" w:rsidP="002E179D" w14:paraId="5DDBE138" w14:textId="08ADFA90">
      <w:pPr>
        <w:pStyle w:val="Default"/>
        <w:numPr>
          <w:ilvl w:val="0"/>
          <w:numId w:val="24"/>
        </w:numPr>
        <w:spacing w:after="120"/>
        <w:rPr>
          <w:sz w:val="22"/>
          <w:szCs w:val="22"/>
        </w:rPr>
      </w:pPr>
      <w:r w:rsidRPr="004675A8">
        <w:rPr>
          <w:sz w:val="22"/>
          <w:szCs w:val="22"/>
        </w:rPr>
        <w:t xml:space="preserve">the date that new or modified all-digital operation will commence or has ceased; </w:t>
      </w:r>
    </w:p>
    <w:p w:rsidR="000552E3" w:rsidRPr="004675A8" w:rsidP="002E179D" w14:paraId="575C07C5" w14:textId="77777777">
      <w:pPr>
        <w:pStyle w:val="Default"/>
        <w:numPr>
          <w:ilvl w:val="0"/>
          <w:numId w:val="24"/>
        </w:numPr>
        <w:spacing w:after="120"/>
        <w:rPr>
          <w:sz w:val="22"/>
          <w:szCs w:val="22"/>
        </w:rPr>
      </w:pPr>
      <w:r w:rsidRPr="004675A8">
        <w:rPr>
          <w:sz w:val="22"/>
          <w:szCs w:val="22"/>
        </w:rPr>
        <w:t xml:space="preserve"> a certification that the all-digital operations will conform to the relevant nominal power and spectral emissions limits; </w:t>
      </w:r>
    </w:p>
    <w:p w:rsidR="000552E3" w:rsidRPr="004675A8" w:rsidP="002E179D" w14:paraId="00A2F606" w14:textId="77777777">
      <w:pPr>
        <w:pStyle w:val="Default"/>
        <w:numPr>
          <w:ilvl w:val="0"/>
          <w:numId w:val="24"/>
        </w:numPr>
        <w:spacing w:after="120"/>
        <w:rPr>
          <w:sz w:val="22"/>
          <w:szCs w:val="22"/>
        </w:rPr>
      </w:pPr>
      <w:r w:rsidRPr="004675A8">
        <w:rPr>
          <w:sz w:val="22"/>
          <w:szCs w:val="22"/>
        </w:rPr>
        <w:t xml:space="preserve">the nominal power of the all-digital station; </w:t>
      </w:r>
    </w:p>
    <w:p w:rsidR="000552E3" w:rsidRPr="004675A8" w:rsidP="00785AB6" w14:paraId="4D077D95" w14:textId="39820B71">
      <w:pPr>
        <w:pStyle w:val="Default"/>
        <w:numPr>
          <w:ilvl w:val="0"/>
          <w:numId w:val="24"/>
        </w:numPr>
        <w:spacing w:after="120"/>
        <w:rPr>
          <w:sz w:val="22"/>
          <w:szCs w:val="22"/>
        </w:rPr>
      </w:pPr>
      <w:r w:rsidRPr="004675A8">
        <w:rPr>
          <w:sz w:val="22"/>
          <w:szCs w:val="22"/>
        </w:rPr>
        <w:t xml:space="preserve">a certification that the all-digital station complies with all EAS requirements; and </w:t>
      </w:r>
    </w:p>
    <w:p w:rsidR="000A3BDF" w:rsidRPr="004675A8" w:rsidP="002E179D" w14:paraId="3369AA90" w14:textId="77777777">
      <w:pPr>
        <w:pStyle w:val="Default"/>
        <w:numPr>
          <w:ilvl w:val="0"/>
          <w:numId w:val="24"/>
        </w:numPr>
        <w:rPr>
          <w:sz w:val="22"/>
          <w:szCs w:val="22"/>
        </w:rPr>
      </w:pPr>
      <w:r w:rsidRPr="004675A8">
        <w:rPr>
          <w:sz w:val="22"/>
          <w:szCs w:val="22"/>
        </w:rPr>
        <w:t>if a notification of commencement of new all-digital service or a nominal power change, whether the station is operating in core-only or enhanced mode.</w:t>
      </w:r>
    </w:p>
    <w:p w:rsidR="002E179D" w:rsidRPr="004675A8" w:rsidP="002E179D" w14:paraId="77C127FB" w14:textId="77777777">
      <w:pPr>
        <w:pStyle w:val="Default"/>
        <w:rPr>
          <w:sz w:val="22"/>
          <w:szCs w:val="22"/>
        </w:rPr>
      </w:pPr>
    </w:p>
    <w:p w:rsidR="000A3BDF" w:rsidRPr="004675A8" w:rsidP="00A7063A" w14:paraId="4827C7F0" w14:textId="74EA479A">
      <w:pPr>
        <w:pStyle w:val="Default"/>
        <w:ind w:firstLine="720"/>
        <w:rPr>
          <w:b/>
          <w:bCs/>
          <w:sz w:val="22"/>
          <w:szCs w:val="22"/>
        </w:rPr>
      </w:pPr>
      <w:r w:rsidRPr="004675A8">
        <w:rPr>
          <w:sz w:val="22"/>
          <w:szCs w:val="22"/>
        </w:rPr>
        <w:t xml:space="preserve">  </w:t>
      </w:r>
      <w:r w:rsidRPr="004675A8" w:rsidR="00A7063A">
        <w:rPr>
          <w:sz w:val="22"/>
          <w:szCs w:val="22"/>
        </w:rPr>
        <w:t xml:space="preserve">The </w:t>
      </w:r>
      <w:r w:rsidRPr="004675A8" w:rsidR="00A7063A">
        <w:rPr>
          <w:i/>
          <w:iCs/>
          <w:sz w:val="22"/>
          <w:szCs w:val="22"/>
        </w:rPr>
        <w:t>All-Digital AM Broadcasting Report and Order</w:t>
      </w:r>
      <w:r w:rsidRPr="004675A8" w:rsidR="00A7063A">
        <w:rPr>
          <w:sz w:val="22"/>
          <w:szCs w:val="22"/>
        </w:rPr>
        <w:t xml:space="preserve"> </w:t>
      </w:r>
      <w:r w:rsidRPr="004675A8" w:rsidR="0064537A">
        <w:rPr>
          <w:sz w:val="22"/>
          <w:szCs w:val="22"/>
        </w:rPr>
        <w:t xml:space="preserve">also </w:t>
      </w:r>
      <w:r w:rsidRPr="004675A8" w:rsidR="00A7063A">
        <w:rPr>
          <w:sz w:val="22"/>
          <w:szCs w:val="22"/>
        </w:rPr>
        <w:t>revise</w:t>
      </w:r>
      <w:r w:rsidRPr="004675A8" w:rsidR="00785AB6">
        <w:rPr>
          <w:sz w:val="22"/>
          <w:szCs w:val="22"/>
        </w:rPr>
        <w:t>d</w:t>
      </w:r>
      <w:r w:rsidRPr="004675A8" w:rsidR="00A7063A">
        <w:rPr>
          <w:sz w:val="22"/>
          <w:szCs w:val="22"/>
        </w:rPr>
        <w:t xml:space="preserve"> and reorganize</w:t>
      </w:r>
      <w:r w:rsidRPr="004675A8" w:rsidR="00785AB6">
        <w:rPr>
          <w:sz w:val="22"/>
          <w:szCs w:val="22"/>
        </w:rPr>
        <w:t>d</w:t>
      </w:r>
      <w:r w:rsidRPr="004675A8" w:rsidR="00A7063A">
        <w:rPr>
          <w:sz w:val="22"/>
          <w:szCs w:val="22"/>
        </w:rPr>
        <w:t xml:space="preserve"> the </w:t>
      </w:r>
      <w:r w:rsidRPr="004675A8" w:rsidR="00641F85">
        <w:rPr>
          <w:sz w:val="22"/>
          <w:szCs w:val="22"/>
        </w:rPr>
        <w:t>digital notification</w:t>
      </w:r>
      <w:r w:rsidRPr="004675A8" w:rsidR="0064537A">
        <w:rPr>
          <w:sz w:val="22"/>
          <w:szCs w:val="22"/>
        </w:rPr>
        <w:t xml:space="preserve"> requirements</w:t>
      </w:r>
      <w:r w:rsidRPr="004675A8" w:rsidR="00A7063A">
        <w:rPr>
          <w:sz w:val="22"/>
          <w:szCs w:val="22"/>
        </w:rPr>
        <w:t xml:space="preserve"> formally </w:t>
      </w:r>
      <w:r w:rsidRPr="004675A8" w:rsidR="00F478A2">
        <w:rPr>
          <w:sz w:val="22"/>
          <w:szCs w:val="22"/>
        </w:rPr>
        <w:t>contained in</w:t>
      </w:r>
      <w:r w:rsidRPr="004675A8" w:rsidR="00A7063A">
        <w:rPr>
          <w:sz w:val="22"/>
          <w:szCs w:val="22"/>
        </w:rPr>
        <w:t xml:space="preserve"> section 73.404(e) of the rules by removing </w:t>
      </w:r>
      <w:r w:rsidRPr="004675A8" w:rsidR="00641F85">
        <w:rPr>
          <w:sz w:val="22"/>
          <w:szCs w:val="22"/>
        </w:rPr>
        <w:t>paragraph</w:t>
      </w:r>
      <w:r w:rsidRPr="004675A8" w:rsidR="00A7063A">
        <w:rPr>
          <w:sz w:val="22"/>
          <w:szCs w:val="22"/>
        </w:rPr>
        <w:t xml:space="preserve"> 73.40</w:t>
      </w:r>
      <w:r w:rsidRPr="004675A8" w:rsidR="00641F85">
        <w:rPr>
          <w:sz w:val="22"/>
          <w:szCs w:val="22"/>
        </w:rPr>
        <w:t>4</w:t>
      </w:r>
      <w:r w:rsidRPr="004675A8" w:rsidR="00A7063A">
        <w:rPr>
          <w:sz w:val="22"/>
          <w:szCs w:val="22"/>
        </w:rPr>
        <w:t xml:space="preserve">(e) and adding new section </w:t>
      </w:r>
      <w:r w:rsidRPr="004675A8" w:rsidR="00A7063A">
        <w:rPr>
          <w:b/>
          <w:bCs/>
          <w:sz w:val="22"/>
          <w:szCs w:val="22"/>
        </w:rPr>
        <w:t>73.406</w:t>
      </w:r>
      <w:r w:rsidRPr="004675A8" w:rsidR="00641F85">
        <w:rPr>
          <w:b/>
          <w:bCs/>
          <w:sz w:val="22"/>
          <w:szCs w:val="22"/>
        </w:rPr>
        <w:t xml:space="preserve"> Notification</w:t>
      </w:r>
      <w:r w:rsidRPr="004675A8" w:rsidR="00A7063A">
        <w:rPr>
          <w:b/>
          <w:bCs/>
          <w:sz w:val="22"/>
          <w:szCs w:val="22"/>
        </w:rPr>
        <w:t>.</w:t>
      </w:r>
    </w:p>
    <w:p w:rsidR="00A7063A" w:rsidP="00A7063A" w14:paraId="392E107D" w14:textId="77777777">
      <w:pPr>
        <w:pStyle w:val="Default"/>
        <w:ind w:firstLine="720"/>
        <w:rPr>
          <w:b/>
          <w:bCs/>
          <w:sz w:val="22"/>
          <w:szCs w:val="22"/>
        </w:rPr>
      </w:pPr>
    </w:p>
    <w:p w:rsidR="0066596D" w:rsidP="00A7063A" w14:paraId="7631468A" w14:textId="77777777">
      <w:pPr>
        <w:pStyle w:val="Default"/>
        <w:ind w:firstLine="720"/>
        <w:rPr>
          <w:b/>
          <w:bCs/>
          <w:sz w:val="22"/>
          <w:szCs w:val="22"/>
        </w:rPr>
      </w:pPr>
    </w:p>
    <w:p w:rsidR="0066596D" w:rsidP="00A7063A" w14:paraId="5CECA7F9" w14:textId="77777777">
      <w:pPr>
        <w:pStyle w:val="Default"/>
        <w:ind w:firstLine="720"/>
        <w:rPr>
          <w:b/>
          <w:bCs/>
          <w:sz w:val="22"/>
          <w:szCs w:val="22"/>
        </w:rPr>
      </w:pPr>
    </w:p>
    <w:p w:rsidR="0066596D" w:rsidP="00A7063A" w14:paraId="347C7839" w14:textId="77777777">
      <w:pPr>
        <w:pStyle w:val="Default"/>
        <w:ind w:firstLine="720"/>
        <w:rPr>
          <w:b/>
          <w:bCs/>
          <w:sz w:val="22"/>
          <w:szCs w:val="22"/>
        </w:rPr>
      </w:pPr>
    </w:p>
    <w:p w:rsidR="0066596D" w:rsidP="00A7063A" w14:paraId="3EC6F2EA" w14:textId="77777777">
      <w:pPr>
        <w:pStyle w:val="Default"/>
        <w:ind w:firstLine="720"/>
        <w:rPr>
          <w:b/>
          <w:bCs/>
          <w:sz w:val="22"/>
          <w:szCs w:val="22"/>
        </w:rPr>
      </w:pPr>
    </w:p>
    <w:p w:rsidR="0066596D" w:rsidP="00A7063A" w14:paraId="509FA0F8" w14:textId="77777777">
      <w:pPr>
        <w:pStyle w:val="Default"/>
        <w:ind w:firstLine="720"/>
        <w:rPr>
          <w:b/>
          <w:bCs/>
          <w:sz w:val="22"/>
          <w:szCs w:val="22"/>
        </w:rPr>
      </w:pPr>
    </w:p>
    <w:p w:rsidR="0066596D" w:rsidP="00A7063A" w14:paraId="715341B3" w14:textId="77777777">
      <w:pPr>
        <w:pStyle w:val="Default"/>
        <w:ind w:firstLine="720"/>
        <w:rPr>
          <w:b/>
          <w:bCs/>
          <w:sz w:val="22"/>
          <w:szCs w:val="22"/>
        </w:rPr>
      </w:pPr>
    </w:p>
    <w:p w:rsidR="0066596D" w:rsidP="00A7063A" w14:paraId="4DC24CA7" w14:textId="77777777">
      <w:pPr>
        <w:pStyle w:val="Default"/>
        <w:ind w:firstLine="720"/>
        <w:rPr>
          <w:b/>
          <w:bCs/>
          <w:sz w:val="22"/>
          <w:szCs w:val="22"/>
        </w:rPr>
      </w:pPr>
    </w:p>
    <w:p w:rsidR="0066596D" w:rsidP="00A7063A" w14:paraId="4A5C3DF1" w14:textId="77777777">
      <w:pPr>
        <w:pStyle w:val="Default"/>
        <w:ind w:firstLine="720"/>
        <w:rPr>
          <w:b/>
          <w:bCs/>
          <w:sz w:val="22"/>
          <w:szCs w:val="22"/>
        </w:rPr>
      </w:pPr>
    </w:p>
    <w:p w:rsidR="0066596D" w:rsidRPr="004675A8" w:rsidP="00A7063A" w14:paraId="400A023B" w14:textId="77777777">
      <w:pPr>
        <w:pStyle w:val="Default"/>
        <w:ind w:firstLine="720"/>
        <w:rPr>
          <w:b/>
          <w:bCs/>
          <w:sz w:val="22"/>
          <w:szCs w:val="22"/>
        </w:rPr>
      </w:pPr>
    </w:p>
    <w:p w:rsidR="00900004" w:rsidRPr="004675A8" w:rsidP="00923E3E" w14:paraId="373B5E22" w14:textId="77777777">
      <w:pPr>
        <w:pStyle w:val="Default"/>
        <w:rPr>
          <w:b/>
          <w:bCs/>
          <w:sz w:val="22"/>
          <w:szCs w:val="22"/>
        </w:rPr>
      </w:pPr>
      <w:r w:rsidRPr="004675A8">
        <w:rPr>
          <w:b/>
          <w:bCs/>
          <w:sz w:val="22"/>
          <w:szCs w:val="22"/>
        </w:rPr>
        <w:t>47 CFR 73.406 Notification</w:t>
      </w:r>
    </w:p>
    <w:p w:rsidR="00923E3E" w:rsidRPr="004675A8" w:rsidP="00923E3E" w14:paraId="7B970634" w14:textId="77777777">
      <w:pPr>
        <w:pStyle w:val="Default"/>
        <w:rPr>
          <w:b/>
          <w:bCs/>
          <w:sz w:val="22"/>
          <w:szCs w:val="22"/>
        </w:rPr>
      </w:pPr>
    </w:p>
    <w:p w:rsidR="00923E3E" w:rsidRPr="004675A8" w:rsidP="00923E3E" w14:paraId="6BD60082" w14:textId="77777777">
      <w:pPr>
        <w:pStyle w:val="ParaNum"/>
        <w:keepNext/>
        <w:keepLines/>
        <w:numPr>
          <w:ilvl w:val="0"/>
          <w:numId w:val="0"/>
        </w:numPr>
        <w:ind w:left="720"/>
        <w:rPr>
          <w:szCs w:val="22"/>
        </w:rPr>
      </w:pPr>
      <w:r w:rsidRPr="004675A8">
        <w:rPr>
          <w:szCs w:val="22"/>
        </w:rPr>
        <w:t xml:space="preserve">Hybrid AM and FM licensees must electronically file a digital notification to the Commission in Washington, DC, within 10 days of commencing IBOC digital operation.  All-digital licensees must file a digital notification within 10 days of the following changes: (1) any reduction in nominal power of an all-digital AM station; (2) a transition from enhanced to core-only operating mode; or (3) a reversion from all-digital to hybrid or analog operation.  All-digital licensees will not be permitted to commence operation sooner than 30 calendar days from public notice of digital notification of the following changes: (1) the commencement of new all-digital operation; (2) an increase in nominal power of an all-digital AM station; or (2) a transition from core-only to enhanced operating mode.  </w:t>
      </w:r>
    </w:p>
    <w:p w:rsidR="00923E3E" w:rsidRPr="004675A8" w:rsidP="00923E3E" w14:paraId="0BDE72BE" w14:textId="77777777">
      <w:pPr>
        <w:pStyle w:val="ParaNum"/>
        <w:numPr>
          <w:ilvl w:val="0"/>
          <w:numId w:val="0"/>
        </w:numPr>
        <w:ind w:left="720"/>
        <w:rPr>
          <w:szCs w:val="22"/>
        </w:rPr>
      </w:pPr>
      <w:r w:rsidRPr="004675A8">
        <w:rPr>
          <w:szCs w:val="22"/>
        </w:rPr>
        <w:t xml:space="preserve">(a) Every digital notification must include the following information: </w:t>
      </w:r>
    </w:p>
    <w:p w:rsidR="00923E3E" w:rsidRPr="004675A8" w:rsidP="00923E3E" w14:paraId="6FE48BB5" w14:textId="77777777">
      <w:pPr>
        <w:pStyle w:val="ParaNum"/>
        <w:numPr>
          <w:ilvl w:val="0"/>
          <w:numId w:val="0"/>
        </w:numPr>
        <w:ind w:firstLine="720"/>
        <w:rPr>
          <w:szCs w:val="22"/>
        </w:rPr>
      </w:pPr>
      <w:r w:rsidRPr="004675A8">
        <w:rPr>
          <w:szCs w:val="22"/>
        </w:rPr>
        <w:t>(1) The call sign and facility identification number of the station;</w:t>
      </w:r>
    </w:p>
    <w:p w:rsidR="00923E3E" w:rsidRPr="004675A8" w:rsidP="00923E3E" w14:paraId="2DD090CC" w14:textId="77777777">
      <w:pPr>
        <w:pStyle w:val="ParaNum"/>
        <w:numPr>
          <w:ilvl w:val="0"/>
          <w:numId w:val="0"/>
        </w:numPr>
        <w:ind w:firstLine="720"/>
        <w:rPr>
          <w:szCs w:val="22"/>
        </w:rPr>
      </w:pPr>
      <w:r w:rsidRPr="004675A8">
        <w:rPr>
          <w:szCs w:val="22"/>
        </w:rPr>
        <w:t>(2) If applicable, the date on which the new or modified IBOC operation commenced or ceased;</w:t>
      </w:r>
    </w:p>
    <w:p w:rsidR="00923E3E" w:rsidRPr="004675A8" w:rsidP="00923E3E" w14:paraId="354FA745" w14:textId="77777777">
      <w:pPr>
        <w:pStyle w:val="ParaNum"/>
        <w:numPr>
          <w:ilvl w:val="0"/>
          <w:numId w:val="0"/>
        </w:numPr>
        <w:ind w:left="720"/>
        <w:rPr>
          <w:szCs w:val="22"/>
        </w:rPr>
      </w:pPr>
      <w:r w:rsidRPr="004675A8">
        <w:rPr>
          <w:szCs w:val="22"/>
        </w:rPr>
        <w:t xml:space="preserve">(3) The name and telephone number of a technical representative the Commission can call in the event of interference; </w:t>
      </w:r>
    </w:p>
    <w:p w:rsidR="00923E3E" w:rsidRPr="004675A8" w:rsidP="00923E3E" w14:paraId="4BD0CEA5" w14:textId="77777777">
      <w:pPr>
        <w:pStyle w:val="ParaNum"/>
        <w:numPr>
          <w:ilvl w:val="0"/>
          <w:numId w:val="0"/>
        </w:numPr>
        <w:ind w:left="720"/>
        <w:rPr>
          <w:b/>
          <w:szCs w:val="22"/>
        </w:rPr>
      </w:pPr>
      <w:r w:rsidRPr="004675A8">
        <w:rPr>
          <w:szCs w:val="22"/>
        </w:rPr>
        <w:t>(4)</w:t>
      </w:r>
      <w:r w:rsidRPr="004675A8">
        <w:rPr>
          <w:b/>
          <w:szCs w:val="22"/>
        </w:rPr>
        <w:t xml:space="preserve"> </w:t>
      </w:r>
      <w:r w:rsidRPr="004675A8">
        <w:rPr>
          <w:szCs w:val="22"/>
        </w:rPr>
        <w:t>A certification that the operation will not cause human exposure to levels of radio frequency     radiation in excess of the limits specified in § 1.1310 of this chapter and is therefore categorically excluded from environmental processing pursuant to § 1.1306(b) of this chapter. Any station that cannot certify compliance must submit an environmental assessment (“EA”) pursuant to § 1.1311 of this chapter and may not commence IBOC operation until such EA is ruled upon by the Commission.</w:t>
      </w:r>
      <w:r w:rsidRPr="004675A8">
        <w:rPr>
          <w:b/>
          <w:szCs w:val="22"/>
        </w:rPr>
        <w:tab/>
      </w:r>
    </w:p>
    <w:p w:rsidR="00923E3E" w:rsidRPr="004675A8" w:rsidP="00923E3E" w14:paraId="24945BD9" w14:textId="77777777">
      <w:pPr>
        <w:pStyle w:val="ParaNum"/>
        <w:numPr>
          <w:ilvl w:val="0"/>
          <w:numId w:val="0"/>
        </w:numPr>
        <w:ind w:firstLine="720"/>
        <w:rPr>
          <w:szCs w:val="22"/>
        </w:rPr>
      </w:pPr>
      <w:r w:rsidRPr="004675A8">
        <w:rPr>
          <w:szCs w:val="22"/>
        </w:rPr>
        <w:t>(b) Each AM digital notification must also include the following information:</w:t>
      </w:r>
    </w:p>
    <w:p w:rsidR="00923E3E" w:rsidRPr="004675A8" w:rsidP="00923E3E" w14:paraId="6A944761" w14:textId="77777777">
      <w:pPr>
        <w:pStyle w:val="ParaNum"/>
        <w:numPr>
          <w:ilvl w:val="0"/>
          <w:numId w:val="0"/>
        </w:numPr>
        <w:ind w:left="720"/>
        <w:rPr>
          <w:szCs w:val="22"/>
        </w:rPr>
      </w:pPr>
      <w:r w:rsidRPr="004675A8">
        <w:rPr>
          <w:szCs w:val="22"/>
        </w:rPr>
        <w:t>(1) A certification that the IBOC DAB facilities conform to applicable nominal power limits and emissions mask limits;</w:t>
      </w:r>
    </w:p>
    <w:p w:rsidR="00923E3E" w:rsidRPr="004675A8" w:rsidP="00923E3E" w14:paraId="5583533E" w14:textId="77777777">
      <w:pPr>
        <w:pStyle w:val="ParaNum"/>
        <w:numPr>
          <w:ilvl w:val="0"/>
          <w:numId w:val="0"/>
        </w:numPr>
        <w:ind w:left="720"/>
        <w:rPr>
          <w:szCs w:val="22"/>
        </w:rPr>
      </w:pPr>
      <w:r w:rsidRPr="004675A8">
        <w:rPr>
          <w:szCs w:val="22"/>
        </w:rPr>
        <w:t xml:space="preserve">(2) The nominal power of the station; if separate analog and digital transmitters are used, the nominal power for each transmitter; </w:t>
      </w:r>
    </w:p>
    <w:p w:rsidR="00923E3E" w:rsidRPr="004675A8" w:rsidP="00923E3E" w14:paraId="2A1D46CB" w14:textId="77777777">
      <w:pPr>
        <w:pStyle w:val="ParaNum"/>
        <w:numPr>
          <w:ilvl w:val="0"/>
          <w:numId w:val="0"/>
        </w:numPr>
        <w:ind w:firstLine="720"/>
        <w:rPr>
          <w:szCs w:val="22"/>
        </w:rPr>
      </w:pPr>
      <w:r w:rsidRPr="004675A8">
        <w:rPr>
          <w:szCs w:val="22"/>
        </w:rPr>
        <w:t>(3) If applicable, the amount of any reduction in an AM station’s digital carriers;</w:t>
      </w:r>
    </w:p>
    <w:p w:rsidR="00923E3E" w:rsidRPr="004675A8" w:rsidP="00923E3E" w14:paraId="4031A859" w14:textId="77777777">
      <w:pPr>
        <w:pStyle w:val="ParaNum"/>
        <w:numPr>
          <w:ilvl w:val="0"/>
          <w:numId w:val="0"/>
        </w:numPr>
        <w:ind w:left="720"/>
        <w:rPr>
          <w:snapToGrid/>
          <w:kern w:val="0"/>
          <w:szCs w:val="22"/>
        </w:rPr>
      </w:pPr>
      <w:r w:rsidRPr="004675A8">
        <w:rPr>
          <w:szCs w:val="22"/>
        </w:rPr>
        <w:t xml:space="preserve">(4)  For all-digital stations, the type of notification (all-digital notification, increase in nominal power, reduction in nominal power, transition from core-only to enhanced, transition from enhanced to core-only, reversion from all-digital to hybrid or analog operation); </w:t>
      </w:r>
    </w:p>
    <w:p w:rsidR="00923E3E" w:rsidRPr="004675A8" w:rsidP="00923E3E" w14:paraId="4C142690" w14:textId="77777777">
      <w:pPr>
        <w:pStyle w:val="ParaNum"/>
        <w:numPr>
          <w:ilvl w:val="0"/>
          <w:numId w:val="0"/>
        </w:numPr>
        <w:ind w:left="720"/>
        <w:rPr>
          <w:szCs w:val="22"/>
        </w:rPr>
      </w:pPr>
      <w:r w:rsidRPr="004675A8">
        <w:rPr>
          <w:szCs w:val="22"/>
        </w:rPr>
        <w:t>(5) For all-digital stations, if a notification of commencement of new all-digital service or a nominal power change, whether the station is operating in core-only or enhanced mode; and</w:t>
      </w:r>
    </w:p>
    <w:p w:rsidR="00923E3E" w:rsidRPr="004675A8" w:rsidP="00923E3E" w14:paraId="3C18400C" w14:textId="77777777">
      <w:pPr>
        <w:pStyle w:val="ParaNum"/>
        <w:numPr>
          <w:ilvl w:val="0"/>
          <w:numId w:val="0"/>
        </w:numPr>
        <w:ind w:left="720"/>
        <w:rPr>
          <w:szCs w:val="22"/>
        </w:rPr>
      </w:pPr>
      <w:r w:rsidRPr="004675A8">
        <w:rPr>
          <w:szCs w:val="22"/>
        </w:rPr>
        <w:t xml:space="preserve">(6) For all-digital stations, a certification that the all-digital station complies with all EAS requirements.  </w:t>
      </w:r>
    </w:p>
    <w:p w:rsidR="00923E3E" w:rsidRPr="004675A8" w:rsidP="00923E3E" w14:paraId="095DEF1E" w14:textId="77777777">
      <w:pPr>
        <w:pStyle w:val="ParaNum"/>
        <w:numPr>
          <w:ilvl w:val="0"/>
          <w:numId w:val="0"/>
        </w:numPr>
        <w:ind w:firstLine="720"/>
        <w:rPr>
          <w:szCs w:val="22"/>
        </w:rPr>
      </w:pPr>
      <w:r w:rsidRPr="004675A8">
        <w:rPr>
          <w:szCs w:val="22"/>
        </w:rPr>
        <w:t>(c) Each FM digital notification must also include the following information:</w:t>
      </w:r>
    </w:p>
    <w:p w:rsidR="00923E3E" w:rsidRPr="004675A8" w:rsidP="00923E3E" w14:paraId="73AB14CE" w14:textId="77777777">
      <w:pPr>
        <w:pStyle w:val="ParaNum"/>
        <w:numPr>
          <w:ilvl w:val="0"/>
          <w:numId w:val="0"/>
        </w:numPr>
        <w:ind w:left="720"/>
        <w:rPr>
          <w:szCs w:val="22"/>
        </w:rPr>
      </w:pPr>
      <w:r w:rsidRPr="004675A8">
        <w:rPr>
          <w:szCs w:val="22"/>
        </w:rPr>
        <w:t>(1) A certification that the IBOC DAB facilities conform to the HD Radio emissions mask limits;</w:t>
      </w:r>
    </w:p>
    <w:p w:rsidR="00923E3E" w:rsidRPr="004675A8" w:rsidP="00923E3E" w14:paraId="054A2AE9" w14:textId="77777777">
      <w:pPr>
        <w:pStyle w:val="ParaNum"/>
        <w:numPr>
          <w:ilvl w:val="0"/>
          <w:numId w:val="0"/>
        </w:numPr>
        <w:ind w:left="720"/>
        <w:rPr>
          <w:szCs w:val="22"/>
        </w:rPr>
      </w:pPr>
      <w:r w:rsidRPr="004675A8">
        <w:rPr>
          <w:szCs w:val="22"/>
        </w:rPr>
        <w:t>(2)  FM digital effective radiated power used and certification that the FM analog effective radiated power remains as authorized;</w:t>
      </w:r>
    </w:p>
    <w:p w:rsidR="00923E3E" w:rsidRPr="004675A8" w:rsidP="00923E3E" w14:paraId="095CDABB" w14:textId="77777777">
      <w:pPr>
        <w:pStyle w:val="ParaNum"/>
        <w:numPr>
          <w:ilvl w:val="0"/>
          <w:numId w:val="0"/>
        </w:numPr>
        <w:ind w:left="720"/>
        <w:rPr>
          <w:szCs w:val="22"/>
        </w:rPr>
      </w:pPr>
      <w:r w:rsidRPr="004675A8">
        <w:rPr>
          <w:szCs w:val="22"/>
        </w:rPr>
        <w:t xml:space="preserve">(3)  If applicable, the geographic coordinates, elevation data, and license file number of the </w:t>
      </w:r>
      <w:r w:rsidRPr="004675A8">
        <w:rPr>
          <w:szCs w:val="22"/>
        </w:rPr>
        <w:t>auxiliary antenna employed by an FM station as a separate digital antenna; and</w:t>
      </w:r>
    </w:p>
    <w:p w:rsidR="00923E3E" w:rsidRPr="004675A8" w:rsidP="00B15FE2" w14:paraId="4A3FE03F" w14:textId="77777777">
      <w:pPr>
        <w:pStyle w:val="Default"/>
        <w:ind w:left="720"/>
        <w:rPr>
          <w:sz w:val="22"/>
          <w:szCs w:val="22"/>
        </w:rPr>
      </w:pPr>
      <w:r w:rsidRPr="004675A8">
        <w:rPr>
          <w:sz w:val="22"/>
          <w:szCs w:val="22"/>
        </w:rPr>
        <w:t>(4) If applicable, for FM systems employing interleaved antenna bays, a certification that adequate filtering and/or isolation equipment has been installed to prevent spurious emissions in excess of the limits specified in § 73.317</w:t>
      </w:r>
      <w:r w:rsidRPr="004675A8" w:rsidR="00A660AE">
        <w:rPr>
          <w:sz w:val="22"/>
          <w:szCs w:val="22"/>
        </w:rPr>
        <w:t>.</w:t>
      </w:r>
    </w:p>
    <w:p w:rsidR="00013FF2" w:rsidRPr="004675A8" w:rsidP="00B15FE2" w14:paraId="38522EBB" w14:textId="77777777">
      <w:pPr>
        <w:pStyle w:val="Default"/>
        <w:ind w:left="720"/>
        <w:rPr>
          <w:b/>
          <w:bCs/>
          <w:sz w:val="22"/>
          <w:szCs w:val="22"/>
        </w:rPr>
      </w:pPr>
    </w:p>
    <w:p w:rsidR="00AC21B1" w:rsidRPr="004675A8" w:rsidP="000467AB" w14:paraId="41772E70" w14:textId="0B37E4BF">
      <w:pPr>
        <w:rPr>
          <w:b/>
          <w:sz w:val="22"/>
          <w:szCs w:val="22"/>
          <w:u w:val="single"/>
        </w:rPr>
      </w:pPr>
      <w:r w:rsidRPr="004675A8">
        <w:rPr>
          <w:b/>
          <w:sz w:val="22"/>
          <w:szCs w:val="22"/>
          <w:u w:val="single"/>
        </w:rPr>
        <w:t>2010 Digital Audio Broadcasting Order</w:t>
      </w:r>
    </w:p>
    <w:p w:rsidR="00731349" w:rsidRPr="004675A8" w:rsidP="000467AB" w14:paraId="4A4ABB38" w14:textId="77777777">
      <w:pPr>
        <w:rPr>
          <w:b/>
          <w:sz w:val="22"/>
          <w:szCs w:val="22"/>
          <w:u w:val="single"/>
        </w:rPr>
      </w:pPr>
    </w:p>
    <w:p w:rsidR="00CB4ECB" w:rsidRPr="004675A8" w:rsidP="00CB4ECB" w14:paraId="143D6471" w14:textId="77777777">
      <w:pPr>
        <w:autoSpaceDE w:val="0"/>
        <w:autoSpaceDN w:val="0"/>
        <w:adjustRightInd w:val="0"/>
        <w:rPr>
          <w:sz w:val="22"/>
          <w:szCs w:val="22"/>
        </w:rPr>
      </w:pPr>
      <w:r w:rsidRPr="004675A8">
        <w:rPr>
          <w:sz w:val="22"/>
          <w:szCs w:val="22"/>
        </w:rPr>
        <w:t xml:space="preserve"> </w:t>
      </w:r>
      <w:r w:rsidRPr="004675A8" w:rsidR="00AC21B1">
        <w:rPr>
          <w:sz w:val="22"/>
          <w:szCs w:val="22"/>
        </w:rPr>
        <w:tab/>
      </w:r>
      <w:r w:rsidRPr="004675A8">
        <w:rPr>
          <w:sz w:val="22"/>
          <w:szCs w:val="22"/>
        </w:rPr>
        <w:t xml:space="preserve">On January 29, 2010, the Commission released the Order, </w:t>
      </w:r>
      <w:r w:rsidRPr="004675A8">
        <w:rPr>
          <w:i/>
          <w:iCs/>
          <w:sz w:val="22"/>
          <w:szCs w:val="22"/>
        </w:rPr>
        <w:t>Digital Audio Broadcasting Systems and Their Impact on the Terrestrial Radio Broadcast Service</w:t>
      </w:r>
      <w:r w:rsidRPr="004675A8">
        <w:rPr>
          <w:sz w:val="22"/>
          <w:szCs w:val="22"/>
        </w:rPr>
        <w:t xml:space="preserve"> (</w:t>
      </w:r>
      <w:bookmarkStart w:id="1" w:name="_Hlk54778712"/>
      <w:r w:rsidRPr="004675A8" w:rsidR="002E179D">
        <w:rPr>
          <w:i/>
          <w:iCs/>
          <w:sz w:val="22"/>
          <w:szCs w:val="22"/>
        </w:rPr>
        <w:t>Digital Audio Broadcasting</w:t>
      </w:r>
      <w:r w:rsidRPr="004675A8" w:rsidR="002E179D">
        <w:rPr>
          <w:sz w:val="22"/>
          <w:szCs w:val="22"/>
        </w:rPr>
        <w:t xml:space="preserve"> </w:t>
      </w:r>
      <w:r w:rsidRPr="004675A8">
        <w:rPr>
          <w:i/>
          <w:iCs/>
          <w:sz w:val="22"/>
          <w:szCs w:val="22"/>
        </w:rPr>
        <w:t>Order</w:t>
      </w:r>
      <w:bookmarkEnd w:id="1"/>
      <w:r w:rsidRPr="004675A8">
        <w:rPr>
          <w:sz w:val="22"/>
          <w:szCs w:val="22"/>
        </w:rPr>
        <w:t xml:space="preserve">), DA 10-208, MM Docket 99-325.  The </w:t>
      </w:r>
      <w:r w:rsidRPr="004675A8">
        <w:rPr>
          <w:i/>
          <w:iCs/>
          <w:sz w:val="22"/>
          <w:szCs w:val="22"/>
        </w:rPr>
        <w:t>Order</w:t>
      </w:r>
      <w:r w:rsidRPr="004675A8">
        <w:rPr>
          <w:sz w:val="22"/>
          <w:szCs w:val="22"/>
        </w:rPr>
        <w:t xml:space="preserve"> allow</w:t>
      </w:r>
      <w:r w:rsidRPr="004675A8" w:rsidR="001B6A15">
        <w:rPr>
          <w:sz w:val="22"/>
          <w:szCs w:val="22"/>
        </w:rPr>
        <w:t>ed</w:t>
      </w:r>
      <w:r w:rsidRPr="004675A8">
        <w:rPr>
          <w:sz w:val="22"/>
          <w:szCs w:val="22"/>
        </w:rPr>
        <w:t>:</w:t>
      </w:r>
    </w:p>
    <w:p w:rsidR="00CB4ECB" w:rsidRPr="004675A8" w:rsidP="00CB4ECB" w14:paraId="12431028" w14:textId="77777777">
      <w:pPr>
        <w:autoSpaceDE w:val="0"/>
        <w:autoSpaceDN w:val="0"/>
        <w:adjustRightInd w:val="0"/>
        <w:rPr>
          <w:sz w:val="22"/>
          <w:szCs w:val="22"/>
        </w:rPr>
      </w:pPr>
    </w:p>
    <w:p w:rsidR="00CB4ECB" w:rsidRPr="004675A8" w:rsidP="00CB4ECB" w14:paraId="31CF7E7D" w14:textId="77777777">
      <w:pPr>
        <w:autoSpaceDE w:val="0"/>
        <w:autoSpaceDN w:val="0"/>
        <w:adjustRightInd w:val="0"/>
        <w:rPr>
          <w:sz w:val="22"/>
          <w:szCs w:val="22"/>
        </w:rPr>
      </w:pPr>
      <w:r w:rsidRPr="004675A8">
        <w:rPr>
          <w:sz w:val="22"/>
          <w:szCs w:val="22"/>
        </w:rPr>
        <w:tab/>
        <w:t xml:space="preserve">  (1) Eligible authorized FM stations to commence operation of FM digital facilities with digital effective radiated power (ERP) up to -14 </w:t>
      </w:r>
      <w:r w:rsidRPr="004675A8" w:rsidR="00011193">
        <w:rPr>
          <w:sz w:val="22"/>
          <w:szCs w:val="22"/>
        </w:rPr>
        <w:t>dB</w:t>
      </w:r>
      <w:r w:rsidRPr="004675A8">
        <w:rPr>
          <w:sz w:val="22"/>
          <w:szCs w:val="22"/>
        </w:rPr>
        <w:t xml:space="preserve"> upon notice to the Commission on Form 335 (the licensee of a super-powered FM station must file an informal request for any increase in the station’s FM Digital ERP).  </w:t>
      </w:r>
    </w:p>
    <w:p w:rsidR="00CB4ECB" w:rsidRPr="004675A8" w:rsidP="00CB4ECB" w14:paraId="00343E7B" w14:textId="77777777">
      <w:pPr>
        <w:autoSpaceDE w:val="0"/>
        <w:autoSpaceDN w:val="0"/>
        <w:adjustRightInd w:val="0"/>
        <w:rPr>
          <w:sz w:val="22"/>
          <w:szCs w:val="22"/>
        </w:rPr>
      </w:pPr>
    </w:p>
    <w:p w:rsidR="00CB4ECB" w:rsidRPr="004675A8" w:rsidP="00CB4ECB" w14:paraId="6F4DA995" w14:textId="77777777">
      <w:pPr>
        <w:autoSpaceDE w:val="0"/>
        <w:autoSpaceDN w:val="0"/>
        <w:adjustRightInd w:val="0"/>
        <w:rPr>
          <w:sz w:val="22"/>
          <w:szCs w:val="22"/>
        </w:rPr>
      </w:pPr>
      <w:r w:rsidRPr="004675A8">
        <w:rPr>
          <w:sz w:val="22"/>
          <w:szCs w:val="22"/>
        </w:rPr>
        <w:tab/>
        <w:t xml:space="preserve"> (2) Licensees to submit an application to the Media Bureau, in the form of an informal request, for any increase in FM Digital ERP beyond 6 </w:t>
      </w:r>
      <w:r w:rsidRPr="004675A8">
        <w:rPr>
          <w:sz w:val="22"/>
          <w:szCs w:val="22"/>
        </w:rPr>
        <w:t>dB.</w:t>
      </w:r>
      <w:r w:rsidRPr="004675A8">
        <w:rPr>
          <w:sz w:val="22"/>
          <w:szCs w:val="22"/>
        </w:rPr>
        <w:t xml:space="preserve">  </w:t>
      </w:r>
    </w:p>
    <w:p w:rsidR="00CB4ECB" w:rsidRPr="004675A8" w:rsidP="00CB4ECB" w14:paraId="116F9C1D" w14:textId="77777777">
      <w:pPr>
        <w:autoSpaceDE w:val="0"/>
        <w:autoSpaceDN w:val="0"/>
        <w:adjustRightInd w:val="0"/>
        <w:rPr>
          <w:sz w:val="22"/>
          <w:szCs w:val="22"/>
        </w:rPr>
      </w:pPr>
    </w:p>
    <w:p w:rsidR="00CB4ECB" w:rsidRPr="004675A8" w:rsidP="00CB4ECB" w14:paraId="01C4C474" w14:textId="77777777">
      <w:pPr>
        <w:autoSpaceDE w:val="0"/>
        <w:autoSpaceDN w:val="0"/>
        <w:adjustRightInd w:val="0"/>
        <w:rPr>
          <w:sz w:val="22"/>
          <w:szCs w:val="22"/>
        </w:rPr>
      </w:pPr>
      <w:r w:rsidRPr="004675A8">
        <w:rPr>
          <w:sz w:val="22"/>
          <w:szCs w:val="22"/>
        </w:rPr>
        <w:tab/>
        <w:t xml:space="preserve">(3) Licensees submitting such a request must use a simplified method set forth in the </w:t>
      </w:r>
      <w:r w:rsidRPr="004675A8" w:rsidR="00644B30">
        <w:rPr>
          <w:i/>
          <w:iCs/>
          <w:sz w:val="22"/>
          <w:szCs w:val="22"/>
        </w:rPr>
        <w:t xml:space="preserve">Digital Audio Broadcasting </w:t>
      </w:r>
      <w:r w:rsidRPr="004675A8">
        <w:rPr>
          <w:i/>
          <w:iCs/>
          <w:sz w:val="22"/>
          <w:szCs w:val="22"/>
        </w:rPr>
        <w:t>Order</w:t>
      </w:r>
      <w:r w:rsidRPr="004675A8">
        <w:rPr>
          <w:sz w:val="22"/>
          <w:szCs w:val="22"/>
        </w:rPr>
        <w:t xml:space="preserve"> to determine the proponent station’s maximum permissible FM Digital ERP. </w:t>
      </w:r>
    </w:p>
    <w:p w:rsidR="00CB4ECB" w:rsidRPr="004675A8" w:rsidP="00CB4ECB" w14:paraId="74B1474A" w14:textId="77777777">
      <w:pPr>
        <w:autoSpaceDE w:val="0"/>
        <w:autoSpaceDN w:val="0"/>
        <w:adjustRightInd w:val="0"/>
        <w:rPr>
          <w:sz w:val="22"/>
          <w:szCs w:val="22"/>
        </w:rPr>
      </w:pPr>
    </w:p>
    <w:p w:rsidR="00CB4ECB" w:rsidRPr="004675A8" w:rsidP="00CB4ECB" w14:paraId="5008E815" w14:textId="77777777">
      <w:pPr>
        <w:autoSpaceDE w:val="0"/>
        <w:autoSpaceDN w:val="0"/>
        <w:adjustRightInd w:val="0"/>
        <w:rPr>
          <w:sz w:val="22"/>
          <w:szCs w:val="22"/>
        </w:rPr>
      </w:pPr>
      <w:r w:rsidRPr="004675A8">
        <w:rPr>
          <w:sz w:val="22"/>
          <w:szCs w:val="22"/>
        </w:rPr>
        <w:tab/>
        <w:t>(4)  In situations where the simplified method is not applicable due to unusual terrain or other environmental or technical considerations</w:t>
      </w:r>
      <w:r w:rsidRPr="004675A8" w:rsidR="00644B30">
        <w:rPr>
          <w:sz w:val="22"/>
          <w:szCs w:val="22"/>
        </w:rPr>
        <w:t>,</w:t>
      </w:r>
      <w:r w:rsidRPr="004675A8">
        <w:rPr>
          <w:sz w:val="22"/>
          <w:szCs w:val="22"/>
        </w:rPr>
        <w:t xml:space="preserve"> or when it produces anomalous FM Digital ERP results, the Bureau will accept applications for FM Digital ERP in excess of -14 </w:t>
      </w:r>
      <w:r w:rsidRPr="004675A8">
        <w:rPr>
          <w:sz w:val="22"/>
          <w:szCs w:val="22"/>
        </w:rPr>
        <w:t>dBc</w:t>
      </w:r>
      <w:r w:rsidRPr="004675A8">
        <w:rPr>
          <w:sz w:val="22"/>
          <w:szCs w:val="22"/>
        </w:rPr>
        <w:t xml:space="preserve"> on a case-by-case basis when accompanied by a detailed showing containing a complete explanation of the prediction methodology used as well as data, maps and sample calculations. </w:t>
      </w:r>
    </w:p>
    <w:p w:rsidR="00CB4ECB" w:rsidRPr="004675A8" w:rsidP="00CB4ECB" w14:paraId="00BC4453" w14:textId="77777777">
      <w:pPr>
        <w:autoSpaceDE w:val="0"/>
        <w:autoSpaceDN w:val="0"/>
        <w:adjustRightInd w:val="0"/>
        <w:rPr>
          <w:sz w:val="22"/>
          <w:szCs w:val="22"/>
        </w:rPr>
      </w:pPr>
    </w:p>
    <w:p w:rsidR="00CB4ECB" w:rsidRPr="004675A8" w:rsidP="00CB4ECB" w14:paraId="5195DDB2" w14:textId="1D28C88D">
      <w:pPr>
        <w:autoSpaceDE w:val="0"/>
        <w:autoSpaceDN w:val="0"/>
        <w:adjustRightInd w:val="0"/>
        <w:rPr>
          <w:sz w:val="22"/>
          <w:szCs w:val="22"/>
        </w:rPr>
      </w:pPr>
      <w:r w:rsidRPr="004675A8">
        <w:rPr>
          <w:sz w:val="22"/>
          <w:szCs w:val="22"/>
        </w:rPr>
        <w:tab/>
        <w:t xml:space="preserve"> (5) Finally, the </w:t>
      </w:r>
      <w:r w:rsidRPr="004675A8" w:rsidR="002E179D">
        <w:rPr>
          <w:i/>
          <w:iCs/>
          <w:sz w:val="22"/>
          <w:szCs w:val="22"/>
        </w:rPr>
        <w:t>Digital Audio Broadcasting</w:t>
      </w:r>
      <w:r w:rsidRPr="004675A8" w:rsidR="002E179D">
        <w:rPr>
          <w:sz w:val="22"/>
          <w:szCs w:val="22"/>
        </w:rPr>
        <w:t xml:space="preserve"> </w:t>
      </w:r>
      <w:r w:rsidRPr="004675A8" w:rsidR="002E179D">
        <w:rPr>
          <w:i/>
          <w:iCs/>
          <w:sz w:val="22"/>
          <w:szCs w:val="22"/>
        </w:rPr>
        <w:t>Order</w:t>
      </w:r>
      <w:r w:rsidRPr="004675A8">
        <w:rPr>
          <w:sz w:val="22"/>
          <w:szCs w:val="22"/>
        </w:rPr>
        <w:t xml:space="preserve"> implement</w:t>
      </w:r>
      <w:r w:rsidRPr="004675A8" w:rsidR="004035C5">
        <w:rPr>
          <w:sz w:val="22"/>
          <w:szCs w:val="22"/>
        </w:rPr>
        <w:t>ed</w:t>
      </w:r>
      <w:r w:rsidRPr="004675A8">
        <w:rPr>
          <w:sz w:val="22"/>
          <w:szCs w:val="22"/>
        </w:rPr>
        <w:t xml:space="preserve"> interference mitigation and remediation procedures to resolve promptly allegations of digital interference to an authorized FM analog facility resulting from an FM Digital ERP power increase undertaken pursuant to the procedures adopted in the </w:t>
      </w:r>
      <w:r w:rsidRPr="004675A8">
        <w:rPr>
          <w:i/>
          <w:iCs/>
          <w:sz w:val="22"/>
          <w:szCs w:val="22"/>
        </w:rPr>
        <w:t>Order</w:t>
      </w:r>
      <w:r w:rsidRPr="004675A8">
        <w:rPr>
          <w:sz w:val="22"/>
          <w:szCs w:val="22"/>
        </w:rPr>
        <w:t>.  Pursuant to these procedures, the affected analog FM station may file an interference complaint with the Bureau.  In order to be considered by the Bureau, the complaint must contain at least six reports of ongoing (rather than transitory) objectionable interference.  For each report of interference, the affected FM licensee must submit a map showing the location of the reported interference and a detailed description of the nature and extent of the interference being experienced at that location.  Interference reports at locations outside a station’s protected analog contour will not be considered.  The complaint must also contain a complete description of the tests and equipment used to identity the alleged interference and the scope of the unsuccessful efforts to resolve the interference.</w:t>
      </w:r>
    </w:p>
    <w:p w:rsidR="000107FD" w:rsidRPr="004675A8" w:rsidP="002E179D" w14:paraId="7D66E2AF" w14:textId="77777777">
      <w:pPr>
        <w:rPr>
          <w:sz w:val="22"/>
          <w:szCs w:val="22"/>
        </w:rPr>
      </w:pPr>
    </w:p>
    <w:p w:rsidR="00F75E59" w:rsidRPr="004675A8" w:rsidP="002E179D" w14:paraId="5E277007" w14:textId="591068B1">
      <w:pPr>
        <w:rPr>
          <w:b/>
          <w:bCs/>
          <w:sz w:val="22"/>
          <w:szCs w:val="22"/>
          <w:u w:val="single"/>
        </w:rPr>
      </w:pPr>
      <w:r w:rsidRPr="004675A8">
        <w:rPr>
          <w:b/>
          <w:bCs/>
          <w:sz w:val="22"/>
          <w:szCs w:val="22"/>
          <w:u w:val="single"/>
        </w:rPr>
        <w:t>2007 Second Report and Order re Digital Audio Broadcasting</w:t>
      </w:r>
    </w:p>
    <w:p w:rsidR="00F75E59" w:rsidRPr="004675A8" w:rsidP="002E179D" w14:paraId="74D635A7" w14:textId="77777777">
      <w:pPr>
        <w:rPr>
          <w:b/>
          <w:bCs/>
          <w:sz w:val="22"/>
          <w:szCs w:val="22"/>
          <w:u w:val="single"/>
        </w:rPr>
      </w:pPr>
    </w:p>
    <w:p w:rsidR="00474A1A" w:rsidRPr="004675A8" w:rsidP="00AC21B1" w14:paraId="6F1343E4" w14:textId="77777777">
      <w:pPr>
        <w:autoSpaceDE w:val="0"/>
        <w:autoSpaceDN w:val="0"/>
        <w:adjustRightInd w:val="0"/>
        <w:ind w:firstLine="720"/>
        <w:rPr>
          <w:sz w:val="22"/>
          <w:szCs w:val="22"/>
          <w:shd w:val="clear" w:color="auto" w:fill="FFFFFF"/>
        </w:rPr>
      </w:pPr>
      <w:r w:rsidRPr="004675A8">
        <w:rPr>
          <w:sz w:val="22"/>
          <w:szCs w:val="22"/>
          <w:shd w:val="clear" w:color="auto" w:fill="FFFFFF"/>
        </w:rPr>
        <w:t xml:space="preserve">In May 2007, the Commission released the </w:t>
      </w:r>
      <w:r w:rsidRPr="004675A8">
        <w:rPr>
          <w:iCs/>
          <w:sz w:val="22"/>
          <w:szCs w:val="22"/>
        </w:rPr>
        <w:t>Second Report and Order</w:t>
      </w:r>
      <w:r w:rsidRPr="004675A8">
        <w:rPr>
          <w:i/>
          <w:sz w:val="22"/>
          <w:szCs w:val="22"/>
        </w:rPr>
        <w:t xml:space="preserve">, Digital Audio Broadcasting Systems and Their Impact on the Terrestrial Radio Broadcast </w:t>
      </w:r>
      <w:r w:rsidRPr="004675A8">
        <w:rPr>
          <w:i/>
          <w:sz w:val="22"/>
          <w:szCs w:val="22"/>
          <w:shd w:val="clear" w:color="auto" w:fill="FFFFFF"/>
        </w:rPr>
        <w:t>Service (Second Order)</w:t>
      </w:r>
      <w:r w:rsidRPr="004675A8">
        <w:rPr>
          <w:sz w:val="22"/>
          <w:szCs w:val="22"/>
          <w:shd w:val="clear" w:color="auto" w:fill="FFFFFF"/>
        </w:rPr>
        <w:t>,</w:t>
      </w:r>
      <w:r w:rsidRPr="004675A8">
        <w:rPr>
          <w:sz w:val="22"/>
          <w:szCs w:val="22"/>
        </w:rPr>
        <w:t xml:space="preserve"> FCC 07-33, MM Docket 99-325.  </w:t>
      </w:r>
      <w:r w:rsidRPr="004675A8">
        <w:rPr>
          <w:sz w:val="22"/>
          <w:szCs w:val="22"/>
          <w:shd w:val="clear" w:color="auto" w:fill="FFFFFF"/>
        </w:rPr>
        <w:t xml:space="preserve"> Provisions of the </w:t>
      </w:r>
      <w:r w:rsidRPr="004675A8">
        <w:rPr>
          <w:i/>
          <w:sz w:val="22"/>
          <w:szCs w:val="22"/>
          <w:shd w:val="clear" w:color="auto" w:fill="FFFFFF"/>
        </w:rPr>
        <w:t>Second</w:t>
      </w:r>
      <w:r w:rsidRPr="004675A8">
        <w:rPr>
          <w:sz w:val="22"/>
          <w:szCs w:val="22"/>
          <w:shd w:val="clear" w:color="auto" w:fill="FFFFFF"/>
        </w:rPr>
        <w:t xml:space="preserve"> </w:t>
      </w:r>
      <w:r w:rsidRPr="004675A8">
        <w:rPr>
          <w:i/>
          <w:sz w:val="22"/>
          <w:szCs w:val="22"/>
          <w:shd w:val="clear" w:color="auto" w:fill="FFFFFF"/>
        </w:rPr>
        <w:t>Order</w:t>
      </w:r>
      <w:r w:rsidRPr="004675A8">
        <w:rPr>
          <w:sz w:val="22"/>
          <w:szCs w:val="22"/>
          <w:shd w:val="clear" w:color="auto" w:fill="FFFFFF"/>
        </w:rPr>
        <w:t xml:space="preserve"> require radio station licensees to provide information necessary for the implementation of interim hybrid digital operations.  Implementation of hybrid digital operations is entirely voluntary.    </w:t>
      </w:r>
    </w:p>
    <w:p w:rsidR="00474A1A" w:rsidRPr="004675A8" w:rsidP="00474A1A" w14:paraId="51206675" w14:textId="77777777">
      <w:pPr>
        <w:tabs>
          <w:tab w:val="left" w:pos="990"/>
        </w:tabs>
        <w:rPr>
          <w:sz w:val="22"/>
          <w:szCs w:val="22"/>
          <w:shd w:val="clear" w:color="auto" w:fill="FFFFFF"/>
        </w:rPr>
      </w:pPr>
    </w:p>
    <w:p w:rsidR="00474A1A" w:rsidRPr="004675A8" w:rsidP="00474A1A" w14:paraId="63076E3E" w14:textId="0AD2F8BB">
      <w:pPr>
        <w:rPr>
          <w:b/>
          <w:sz w:val="22"/>
          <w:szCs w:val="22"/>
        </w:rPr>
      </w:pPr>
      <w:r w:rsidRPr="004675A8">
        <w:rPr>
          <w:sz w:val="22"/>
          <w:szCs w:val="22"/>
        </w:rPr>
        <w:t xml:space="preserve"> </w:t>
      </w:r>
      <w:r w:rsidRPr="004675A8">
        <w:rPr>
          <w:b/>
          <w:sz w:val="22"/>
          <w:szCs w:val="22"/>
          <w:shd w:val="clear" w:color="auto" w:fill="FFFFFF"/>
        </w:rPr>
        <w:t>47 CFR 73.404</w:t>
      </w:r>
      <w:r w:rsidRPr="004675A8">
        <w:rPr>
          <w:b/>
          <w:sz w:val="22"/>
          <w:szCs w:val="22"/>
        </w:rPr>
        <w:t>(b)</w:t>
      </w:r>
      <w:r w:rsidRPr="004675A8">
        <w:rPr>
          <w:sz w:val="22"/>
          <w:szCs w:val="22"/>
        </w:rPr>
        <w:t xml:space="preserve"> states</w:t>
      </w:r>
      <w:r w:rsidRPr="004675A8" w:rsidR="005E5FC6">
        <w:rPr>
          <w:sz w:val="22"/>
          <w:szCs w:val="22"/>
        </w:rPr>
        <w:t>,</w:t>
      </w:r>
      <w:r w:rsidRPr="004675A8">
        <w:rPr>
          <w:sz w:val="22"/>
          <w:szCs w:val="22"/>
        </w:rPr>
        <w:t xml:space="preserve"> in situations where interference to other stations is anticipated or actually occurs, AM licensees may, upon notification to the Commission, reduce the power of the primary Digital Audio Broadcasting (DAB) sidebands by up to 6 </w:t>
      </w:r>
      <w:r w:rsidRPr="004675A8">
        <w:rPr>
          <w:sz w:val="22"/>
          <w:szCs w:val="22"/>
        </w:rPr>
        <w:t>dB.</w:t>
      </w:r>
      <w:r w:rsidRPr="004675A8">
        <w:rPr>
          <w:sz w:val="22"/>
          <w:szCs w:val="22"/>
        </w:rPr>
        <w:t xml:space="preserve">  Any greater reduction of sideband power requires prior authority from the Commission via the filing of a request for special temporary authority</w:t>
      </w:r>
      <w:r>
        <w:rPr>
          <w:rStyle w:val="FootnoteReference"/>
          <w:sz w:val="22"/>
          <w:szCs w:val="22"/>
        </w:rPr>
        <w:footnoteReference w:id="15"/>
      </w:r>
      <w:r w:rsidRPr="004675A8">
        <w:rPr>
          <w:sz w:val="22"/>
          <w:szCs w:val="22"/>
        </w:rPr>
        <w:t xml:space="preserve"> or an informal letter request for modification of license.  </w:t>
      </w:r>
    </w:p>
    <w:p w:rsidR="00474A1A" w:rsidRPr="004675A8" w:rsidP="00474A1A" w14:paraId="0E912508" w14:textId="77777777">
      <w:pPr>
        <w:tabs>
          <w:tab w:val="left" w:pos="990"/>
        </w:tabs>
        <w:rPr>
          <w:sz w:val="22"/>
          <w:szCs w:val="22"/>
          <w:shd w:val="clear" w:color="auto" w:fill="FFFFFF"/>
        </w:rPr>
      </w:pPr>
    </w:p>
    <w:p w:rsidR="00474A1A" w:rsidRPr="004675A8" w:rsidP="00474A1A" w14:paraId="714667A4" w14:textId="77777777">
      <w:pPr>
        <w:tabs>
          <w:tab w:val="left" w:pos="990"/>
        </w:tabs>
        <w:rPr>
          <w:sz w:val="22"/>
          <w:szCs w:val="22"/>
        </w:rPr>
      </w:pPr>
      <w:r w:rsidRPr="004675A8">
        <w:rPr>
          <w:b/>
          <w:sz w:val="22"/>
          <w:szCs w:val="22"/>
          <w:shd w:val="clear" w:color="auto" w:fill="FFFFFF"/>
        </w:rPr>
        <w:t>47 CFR 73.404(e)</w:t>
      </w:r>
      <w:r w:rsidRPr="004675A8">
        <w:rPr>
          <w:sz w:val="22"/>
          <w:szCs w:val="22"/>
          <w:shd w:val="clear" w:color="auto" w:fill="FFFFFF"/>
        </w:rPr>
        <w:t xml:space="preserve"> states l</w:t>
      </w:r>
      <w:r w:rsidRPr="004675A8">
        <w:rPr>
          <w:sz w:val="22"/>
          <w:szCs w:val="22"/>
        </w:rPr>
        <w:t>icensees (commercial and</w:t>
      </w:r>
      <w:r w:rsidRPr="004675A8">
        <w:rPr>
          <w:sz w:val="22"/>
          <w:szCs w:val="22"/>
          <w:shd w:val="clear" w:color="auto" w:fill="FFFFFF"/>
        </w:rPr>
        <w:t xml:space="preserve"> noncommercial AM and FM radio stations) </w:t>
      </w:r>
      <w:r w:rsidRPr="004675A8">
        <w:rPr>
          <w:sz w:val="22"/>
          <w:szCs w:val="22"/>
        </w:rPr>
        <w:t>must provide notification to the Commission in Washington, DC, within 10 days of commencing in-band, on channel (IBOC) digital operation.</w:t>
      </w:r>
      <w:r>
        <w:rPr>
          <w:rStyle w:val="FootnoteReference"/>
          <w:sz w:val="22"/>
          <w:szCs w:val="22"/>
        </w:rPr>
        <w:footnoteReference w:id="16"/>
      </w:r>
      <w:r w:rsidRPr="004675A8">
        <w:rPr>
          <w:sz w:val="22"/>
          <w:szCs w:val="22"/>
        </w:rPr>
        <w:t xml:space="preserve">  The notification must include the following information:</w:t>
      </w:r>
    </w:p>
    <w:p w:rsidR="00474A1A" w:rsidRPr="004675A8" w:rsidP="00474A1A" w14:paraId="4A60452B" w14:textId="77777777">
      <w:pPr>
        <w:rPr>
          <w:sz w:val="22"/>
          <w:szCs w:val="22"/>
        </w:rPr>
      </w:pPr>
    </w:p>
    <w:p w:rsidR="00474A1A" w:rsidRPr="004675A8" w:rsidP="00474A1A" w14:paraId="6A4A5C62" w14:textId="77777777">
      <w:pPr>
        <w:ind w:firstLine="720"/>
        <w:rPr>
          <w:sz w:val="22"/>
          <w:szCs w:val="22"/>
        </w:rPr>
      </w:pPr>
      <w:r w:rsidRPr="004675A8">
        <w:rPr>
          <w:sz w:val="22"/>
          <w:szCs w:val="22"/>
        </w:rPr>
        <w:t>(1) call sign and facility identification number of the station;</w:t>
      </w:r>
    </w:p>
    <w:p w:rsidR="00474A1A" w:rsidRPr="004675A8" w:rsidP="00474A1A" w14:paraId="41C70CAB" w14:textId="77777777">
      <w:pPr>
        <w:ind w:firstLine="720"/>
        <w:rPr>
          <w:sz w:val="22"/>
          <w:szCs w:val="22"/>
        </w:rPr>
      </w:pPr>
      <w:r w:rsidRPr="004675A8">
        <w:rPr>
          <w:sz w:val="22"/>
          <w:szCs w:val="22"/>
        </w:rPr>
        <w:t>(2) date on which IBOC operation commenced;</w:t>
      </w:r>
    </w:p>
    <w:p w:rsidR="00474A1A" w:rsidRPr="004675A8" w:rsidP="00474A1A" w14:paraId="0C3DD9A3" w14:textId="77777777">
      <w:pPr>
        <w:ind w:left="720"/>
        <w:rPr>
          <w:sz w:val="22"/>
          <w:szCs w:val="22"/>
        </w:rPr>
      </w:pPr>
      <w:r w:rsidRPr="004675A8">
        <w:rPr>
          <w:sz w:val="22"/>
          <w:szCs w:val="22"/>
        </w:rPr>
        <w:t>(3) certification that the IBOC DAB facilities conform to permissible hybrid                                                specifications;</w:t>
      </w:r>
    </w:p>
    <w:p w:rsidR="00474A1A" w:rsidRPr="004675A8" w:rsidP="00474A1A" w14:paraId="3BD2E9B4" w14:textId="77777777">
      <w:pPr>
        <w:ind w:left="720"/>
        <w:rPr>
          <w:sz w:val="22"/>
          <w:szCs w:val="22"/>
        </w:rPr>
      </w:pPr>
      <w:r w:rsidRPr="004675A8">
        <w:rPr>
          <w:sz w:val="22"/>
          <w:szCs w:val="22"/>
        </w:rPr>
        <w:t>(4) name and telephone number of a technical representative the Commission can call in the event of interference;</w:t>
      </w:r>
    </w:p>
    <w:p w:rsidR="00474A1A" w:rsidRPr="004675A8" w:rsidP="00474A1A" w14:paraId="255C6DAB" w14:textId="77777777">
      <w:pPr>
        <w:ind w:firstLine="720"/>
        <w:rPr>
          <w:sz w:val="22"/>
          <w:szCs w:val="22"/>
        </w:rPr>
      </w:pPr>
      <w:r w:rsidRPr="004675A8">
        <w:rPr>
          <w:sz w:val="22"/>
          <w:szCs w:val="22"/>
        </w:rPr>
        <w:t>(5) certification that the analog effective radiated power remains as authorized;</w:t>
      </w:r>
    </w:p>
    <w:p w:rsidR="00474A1A" w:rsidRPr="004675A8" w:rsidP="00474A1A" w14:paraId="65E7F357" w14:textId="77777777">
      <w:pPr>
        <w:ind w:left="720"/>
        <w:rPr>
          <w:sz w:val="22"/>
          <w:szCs w:val="22"/>
        </w:rPr>
      </w:pPr>
      <w:r w:rsidRPr="004675A8">
        <w:rPr>
          <w:sz w:val="22"/>
          <w:szCs w:val="22"/>
        </w:rPr>
        <w:t>(6) transmitter power output; if separate analog and digital transmitters are used, the power output for each transmitter;</w:t>
      </w:r>
    </w:p>
    <w:p w:rsidR="00474A1A" w:rsidRPr="004675A8" w:rsidP="00474A1A" w14:paraId="0E6F2F9E" w14:textId="77777777">
      <w:pPr>
        <w:ind w:firstLine="720"/>
        <w:rPr>
          <w:sz w:val="22"/>
          <w:szCs w:val="22"/>
        </w:rPr>
      </w:pPr>
      <w:r w:rsidRPr="004675A8">
        <w:rPr>
          <w:sz w:val="22"/>
          <w:szCs w:val="22"/>
        </w:rPr>
        <w:t>(7) if applicable, any reduction in an AM station's primary digital carriers;</w:t>
      </w:r>
    </w:p>
    <w:p w:rsidR="00474A1A" w:rsidRPr="004675A8" w:rsidP="00474A1A" w14:paraId="5A828029" w14:textId="77777777">
      <w:pPr>
        <w:ind w:left="720"/>
        <w:rPr>
          <w:sz w:val="22"/>
          <w:szCs w:val="22"/>
        </w:rPr>
      </w:pPr>
      <w:r w:rsidRPr="004675A8">
        <w:rPr>
          <w:sz w:val="22"/>
          <w:szCs w:val="22"/>
        </w:rPr>
        <w:t>(8) if applicable, the geographic coordinates, elevation data, and license file number of the auxiliary antenna employed by an FM station as a separate digital antenna;</w:t>
      </w:r>
    </w:p>
    <w:p w:rsidR="00474A1A" w:rsidRPr="004675A8" w:rsidP="00474A1A" w14:paraId="5B7B94D6" w14:textId="77777777">
      <w:pPr>
        <w:ind w:left="720"/>
        <w:rPr>
          <w:sz w:val="22"/>
          <w:szCs w:val="22"/>
        </w:rPr>
      </w:pPr>
      <w:r w:rsidRPr="004675A8">
        <w:rPr>
          <w:sz w:val="22"/>
          <w:szCs w:val="22"/>
        </w:rPr>
        <w:t>(9) if applicable, for FM systems employing interleaved antenna bays, a certification that adequate filtering and/or isolation equipment has been installed to prevent spurious emissions in excess of the limits specified in § 73.317;</w:t>
      </w:r>
    </w:p>
    <w:p w:rsidR="00474A1A" w:rsidRPr="004675A8" w:rsidP="002E179D" w14:paraId="2F09BDD2" w14:textId="1ED4DDE0">
      <w:pPr>
        <w:ind w:left="720"/>
        <w:rPr>
          <w:b/>
          <w:sz w:val="22"/>
          <w:szCs w:val="22"/>
        </w:rPr>
      </w:pPr>
      <w:r w:rsidRPr="004675A8">
        <w:rPr>
          <w:sz w:val="22"/>
          <w:szCs w:val="22"/>
        </w:rPr>
        <w:t xml:space="preserve">(10) a certification that the operation will not cause human exposure to levels of radio frequency radiation in excess of the limits specified in § 1.1310 of the Commission's rules and is therefore categorically excluded from environmental processing pursuant to § 1.1306(b).  Any station that cannot certify compliance must submit an environmental assessment ("EA") pursuant to § 1.1311 and may not commence IBOC operation until such EA is ruled upon by the Commission.  </w:t>
      </w:r>
      <w:r w:rsidRPr="004675A8">
        <w:rPr>
          <w:b/>
          <w:sz w:val="22"/>
          <w:szCs w:val="22"/>
        </w:rPr>
        <w:t>(</w:t>
      </w:r>
      <w:r w:rsidRPr="004675A8" w:rsidR="00916749">
        <w:rPr>
          <w:b/>
          <w:sz w:val="22"/>
          <w:szCs w:val="22"/>
        </w:rPr>
        <w:t xml:space="preserve">Note: </w:t>
      </w:r>
      <w:r w:rsidRPr="004675A8" w:rsidR="008D0C53">
        <w:rPr>
          <w:b/>
          <w:sz w:val="22"/>
          <w:szCs w:val="22"/>
        </w:rPr>
        <w:t xml:space="preserve">This </w:t>
      </w:r>
      <w:r w:rsidRPr="004675A8" w:rsidR="00644B30">
        <w:rPr>
          <w:b/>
          <w:sz w:val="22"/>
          <w:szCs w:val="22"/>
        </w:rPr>
        <w:t xml:space="preserve">notification </w:t>
      </w:r>
      <w:r w:rsidRPr="004675A8" w:rsidR="008D0C53">
        <w:rPr>
          <w:b/>
          <w:sz w:val="22"/>
          <w:szCs w:val="22"/>
        </w:rPr>
        <w:t xml:space="preserve">requirement </w:t>
      </w:r>
      <w:r w:rsidRPr="004675A8" w:rsidR="00472964">
        <w:rPr>
          <w:b/>
          <w:sz w:val="22"/>
          <w:szCs w:val="22"/>
        </w:rPr>
        <w:t>was</w:t>
      </w:r>
      <w:r w:rsidRPr="004675A8" w:rsidR="008D0C53">
        <w:rPr>
          <w:b/>
          <w:sz w:val="22"/>
          <w:szCs w:val="22"/>
        </w:rPr>
        <w:t xml:space="preserve"> re</w:t>
      </w:r>
      <w:r w:rsidRPr="004675A8" w:rsidR="000363B7">
        <w:rPr>
          <w:b/>
          <w:sz w:val="22"/>
          <w:szCs w:val="22"/>
        </w:rPr>
        <w:t>-</w:t>
      </w:r>
      <w:r w:rsidRPr="004675A8" w:rsidR="008D0C53">
        <w:rPr>
          <w:b/>
          <w:sz w:val="22"/>
          <w:szCs w:val="22"/>
        </w:rPr>
        <w:t>codified</w:t>
      </w:r>
      <w:r w:rsidRPr="004675A8" w:rsidR="007F78B3">
        <w:rPr>
          <w:b/>
          <w:sz w:val="22"/>
          <w:szCs w:val="22"/>
        </w:rPr>
        <w:t>,</w:t>
      </w:r>
      <w:r w:rsidRPr="004675A8" w:rsidR="008D0C53">
        <w:rPr>
          <w:b/>
          <w:sz w:val="22"/>
          <w:szCs w:val="22"/>
        </w:rPr>
        <w:t xml:space="preserve"> revised </w:t>
      </w:r>
      <w:r w:rsidRPr="004675A8" w:rsidR="009865A9">
        <w:rPr>
          <w:b/>
          <w:sz w:val="22"/>
          <w:szCs w:val="22"/>
        </w:rPr>
        <w:t>in the</w:t>
      </w:r>
      <w:r w:rsidRPr="004675A8" w:rsidR="008D0C53">
        <w:rPr>
          <w:b/>
          <w:sz w:val="22"/>
          <w:szCs w:val="22"/>
        </w:rPr>
        <w:t xml:space="preserve"> </w:t>
      </w:r>
      <w:r w:rsidRPr="004675A8" w:rsidR="001C6E91">
        <w:rPr>
          <w:b/>
          <w:sz w:val="22"/>
          <w:szCs w:val="22"/>
        </w:rPr>
        <w:t>2020</w:t>
      </w:r>
      <w:r w:rsidRPr="004675A8" w:rsidR="008D0C53">
        <w:rPr>
          <w:b/>
          <w:sz w:val="22"/>
          <w:szCs w:val="22"/>
        </w:rPr>
        <w:t xml:space="preserve"> submission to OMB</w:t>
      </w:r>
      <w:r w:rsidR="0035197E">
        <w:rPr>
          <w:b/>
          <w:sz w:val="22"/>
          <w:szCs w:val="22"/>
        </w:rPr>
        <w:t>,</w:t>
      </w:r>
      <w:r w:rsidRPr="004675A8" w:rsidR="007F78B3">
        <w:rPr>
          <w:b/>
          <w:sz w:val="22"/>
          <w:szCs w:val="22"/>
        </w:rPr>
        <w:t xml:space="preserve"> and</w:t>
      </w:r>
      <w:r w:rsidRPr="004675A8" w:rsidR="00706FFD">
        <w:rPr>
          <w:b/>
          <w:sz w:val="22"/>
          <w:szCs w:val="22"/>
        </w:rPr>
        <w:t xml:space="preserve"> is now under</w:t>
      </w:r>
      <w:r w:rsidRPr="004675A8" w:rsidR="00412427">
        <w:rPr>
          <w:b/>
          <w:sz w:val="22"/>
          <w:szCs w:val="22"/>
        </w:rPr>
        <w:t xml:space="preserve"> </w:t>
      </w:r>
      <w:r w:rsidRPr="004675A8" w:rsidR="007F78B3">
        <w:rPr>
          <w:b/>
          <w:sz w:val="22"/>
          <w:szCs w:val="22"/>
        </w:rPr>
        <w:t xml:space="preserve">Section </w:t>
      </w:r>
      <w:r w:rsidRPr="004675A8" w:rsidR="00412427">
        <w:rPr>
          <w:b/>
          <w:sz w:val="22"/>
          <w:szCs w:val="22"/>
        </w:rPr>
        <w:t>73.406</w:t>
      </w:r>
      <w:r w:rsidRPr="004675A8" w:rsidR="008D0C53">
        <w:rPr>
          <w:b/>
          <w:sz w:val="22"/>
          <w:szCs w:val="22"/>
        </w:rPr>
        <w:t>.)</w:t>
      </w:r>
    </w:p>
    <w:p w:rsidR="00D91BA3" w:rsidRPr="004675A8" w:rsidP="002A600A" w14:paraId="0D0823DE" w14:textId="77777777">
      <w:pPr>
        <w:rPr>
          <w:b/>
          <w:bCs/>
          <w:sz w:val="22"/>
          <w:szCs w:val="22"/>
          <w:u w:val="single"/>
        </w:rPr>
      </w:pPr>
    </w:p>
    <w:p w:rsidR="000107FD" w:rsidRPr="004675A8" w:rsidP="002A600A" w14:paraId="23C3E03B" w14:textId="35941576">
      <w:pPr>
        <w:rPr>
          <w:b/>
          <w:bCs/>
          <w:sz w:val="22"/>
          <w:szCs w:val="22"/>
          <w:u w:val="single"/>
        </w:rPr>
      </w:pPr>
      <w:r w:rsidRPr="004675A8">
        <w:rPr>
          <w:b/>
          <w:bCs/>
          <w:sz w:val="22"/>
          <w:szCs w:val="22"/>
          <w:u w:val="single"/>
        </w:rPr>
        <w:t>2002 First Report and Order re Digital Audio Broadcasting</w:t>
      </w:r>
    </w:p>
    <w:p w:rsidR="00D91BA3" w:rsidRPr="004675A8" w:rsidP="00D91BA3" w14:paraId="5F566089" w14:textId="77777777">
      <w:pPr>
        <w:rPr>
          <w:b/>
          <w:bCs/>
          <w:sz w:val="22"/>
          <w:szCs w:val="22"/>
          <w:u w:val="single"/>
        </w:rPr>
      </w:pPr>
    </w:p>
    <w:p w:rsidR="00474A1A" w:rsidRPr="004675A8" w:rsidP="00AC21B1" w14:paraId="2C7E0117" w14:textId="77777777">
      <w:pPr>
        <w:ind w:firstLine="720"/>
        <w:rPr>
          <w:sz w:val="22"/>
          <w:szCs w:val="22"/>
          <w:shd w:val="clear" w:color="auto" w:fill="FFFFFF"/>
        </w:rPr>
      </w:pPr>
      <w:r w:rsidRPr="004675A8">
        <w:rPr>
          <w:sz w:val="22"/>
          <w:szCs w:val="22"/>
        </w:rPr>
        <w:t xml:space="preserve">In October 2002, the Commission released the </w:t>
      </w:r>
      <w:r w:rsidRPr="004675A8">
        <w:rPr>
          <w:iCs/>
          <w:sz w:val="22"/>
          <w:szCs w:val="22"/>
        </w:rPr>
        <w:t>First Report and Order</w:t>
      </w:r>
      <w:r w:rsidRPr="004675A8">
        <w:rPr>
          <w:i/>
          <w:sz w:val="22"/>
          <w:szCs w:val="22"/>
        </w:rPr>
        <w:t xml:space="preserve">, Digital Audio Broadcasting Systems and Their Impact on the Terrestrial Radio Broadcast </w:t>
      </w:r>
      <w:r w:rsidRPr="004675A8">
        <w:rPr>
          <w:i/>
          <w:sz w:val="22"/>
          <w:szCs w:val="22"/>
          <w:shd w:val="clear" w:color="auto" w:fill="FFFFFF"/>
        </w:rPr>
        <w:t>Service (First Order)</w:t>
      </w:r>
      <w:r w:rsidRPr="004675A8">
        <w:rPr>
          <w:sz w:val="22"/>
          <w:szCs w:val="22"/>
          <w:shd w:val="clear" w:color="auto" w:fill="FFFFFF"/>
        </w:rPr>
        <w:t>,</w:t>
      </w:r>
      <w:r w:rsidRPr="004675A8">
        <w:rPr>
          <w:sz w:val="22"/>
          <w:szCs w:val="22"/>
        </w:rPr>
        <w:t xml:space="preserve"> FCC 02-286, MM Docket 99-325, (67 FR 78193).</w:t>
      </w:r>
      <w:r w:rsidRPr="004675A8" w:rsidR="00F478A2">
        <w:rPr>
          <w:i/>
          <w:sz w:val="22"/>
          <w:szCs w:val="22"/>
        </w:rPr>
        <w:t xml:space="preserve">  </w:t>
      </w:r>
      <w:r w:rsidRPr="004675A8">
        <w:rPr>
          <w:sz w:val="22"/>
          <w:szCs w:val="22"/>
        </w:rPr>
        <w:t xml:space="preserve">Pursuant to this </w:t>
      </w:r>
      <w:r w:rsidRPr="004675A8">
        <w:rPr>
          <w:i/>
          <w:iCs/>
          <w:sz w:val="22"/>
          <w:szCs w:val="22"/>
        </w:rPr>
        <w:t>First Order</w:t>
      </w:r>
      <w:r w:rsidRPr="004675A8">
        <w:rPr>
          <w:sz w:val="22"/>
          <w:szCs w:val="22"/>
        </w:rPr>
        <w:t xml:space="preserve">, the Commission </w:t>
      </w:r>
      <w:r w:rsidRPr="004675A8">
        <w:rPr>
          <w:sz w:val="22"/>
          <w:szCs w:val="22"/>
          <w:shd w:val="clear" w:color="auto" w:fill="FFFFFF"/>
        </w:rPr>
        <w:t>selected</w:t>
      </w:r>
      <w:r w:rsidRPr="004675A8" w:rsidR="00F478A2">
        <w:rPr>
          <w:sz w:val="22"/>
          <w:szCs w:val="22"/>
          <w:shd w:val="clear" w:color="auto" w:fill="FFFFFF"/>
        </w:rPr>
        <w:t xml:space="preserve"> I</w:t>
      </w:r>
      <w:r w:rsidRPr="004675A8">
        <w:rPr>
          <w:sz w:val="22"/>
          <w:szCs w:val="22"/>
          <w:shd w:val="clear" w:color="auto" w:fill="FFFFFF"/>
        </w:rPr>
        <w:t xml:space="preserve">BOC as the technology that permits AM and FM radio broadcasters to introduce digital operations efficiently and rapidly.  In addition, provisions of the </w:t>
      </w:r>
      <w:r w:rsidRPr="004675A8" w:rsidR="009865A9">
        <w:rPr>
          <w:i/>
          <w:iCs/>
          <w:sz w:val="22"/>
          <w:szCs w:val="22"/>
          <w:shd w:val="clear" w:color="auto" w:fill="FFFFFF"/>
        </w:rPr>
        <w:t>First</w:t>
      </w:r>
      <w:r w:rsidRPr="004675A8" w:rsidR="009865A9">
        <w:rPr>
          <w:sz w:val="22"/>
          <w:szCs w:val="22"/>
          <w:shd w:val="clear" w:color="auto" w:fill="FFFFFF"/>
        </w:rPr>
        <w:t xml:space="preserve"> </w:t>
      </w:r>
      <w:r w:rsidRPr="004675A8">
        <w:rPr>
          <w:i/>
          <w:sz w:val="22"/>
          <w:szCs w:val="22"/>
          <w:shd w:val="clear" w:color="auto" w:fill="FFFFFF"/>
        </w:rPr>
        <w:t>Order</w:t>
      </w:r>
      <w:r w:rsidRPr="004675A8">
        <w:rPr>
          <w:sz w:val="22"/>
          <w:szCs w:val="22"/>
          <w:shd w:val="clear" w:color="auto" w:fill="FFFFFF"/>
        </w:rPr>
        <w:t xml:space="preserve"> require radio station licensees to provide information necessary for the implementation of interim hybrid digital operations.  Implementation of hybrid digital operations is entirely voluntary.  Commercial and noncommercial AM and FM radio stations that choose to begin hybrid digital transmissions shall notify the Commission within 10 days of the commencement of digital operations.  This “notification letter” shall certify that the </w:t>
      </w:r>
      <w:r w:rsidRPr="004675A8">
        <w:rPr>
          <w:sz w:val="22"/>
          <w:szCs w:val="22"/>
          <w:shd w:val="clear" w:color="auto" w:fill="FFFFFF"/>
        </w:rPr>
        <w:t>digital operations conform to applicable rule</w:t>
      </w:r>
      <w:r w:rsidRPr="004675A8" w:rsidR="009865A9">
        <w:rPr>
          <w:sz w:val="22"/>
          <w:szCs w:val="22"/>
          <w:shd w:val="clear" w:color="auto" w:fill="FFFFFF"/>
        </w:rPr>
        <w:t>s</w:t>
      </w:r>
      <w:r w:rsidRPr="004675A8">
        <w:rPr>
          <w:sz w:val="22"/>
          <w:szCs w:val="22"/>
          <w:shd w:val="clear" w:color="auto" w:fill="FFFFFF"/>
        </w:rPr>
        <w:t xml:space="preserve"> and standards.  Furthermore, implementation of the notification letter will eliminate both the need for the FCC staff to issue a Special Temporary Authority (STA) to the broadcaster and for the broadcaster to file and pay the initial and any subsequent filing fees.</w:t>
      </w:r>
    </w:p>
    <w:p w:rsidR="00474A1A" w:rsidRPr="004675A8" w:rsidP="000467AB" w14:paraId="78FC9808" w14:textId="77777777">
      <w:pPr>
        <w:rPr>
          <w:sz w:val="22"/>
          <w:szCs w:val="22"/>
          <w:shd w:val="clear" w:color="auto" w:fill="FFFFFF"/>
        </w:rPr>
      </w:pPr>
    </w:p>
    <w:p w:rsidR="000467AB" w:rsidRPr="004675A8" w:rsidP="002E179D" w14:paraId="0D617274" w14:textId="77777777">
      <w:pPr>
        <w:ind w:firstLine="720"/>
        <w:rPr>
          <w:sz w:val="22"/>
          <w:szCs w:val="22"/>
          <w:shd w:val="clear" w:color="auto" w:fill="FFFFFF"/>
        </w:rPr>
      </w:pPr>
      <w:r w:rsidRPr="004675A8">
        <w:rPr>
          <w:sz w:val="22"/>
          <w:szCs w:val="22"/>
          <w:shd w:val="clear" w:color="auto" w:fill="FFFFFF"/>
        </w:rPr>
        <w:t>This information collection does not affect individuals; therefore, there are no impacts under the Privacy Act.</w:t>
      </w:r>
    </w:p>
    <w:p w:rsidR="000467AB" w:rsidRPr="004675A8" w:rsidP="000467AB" w14:paraId="6E70963E" w14:textId="77777777">
      <w:pPr>
        <w:rPr>
          <w:sz w:val="22"/>
          <w:szCs w:val="22"/>
        </w:rPr>
      </w:pPr>
    </w:p>
    <w:p w:rsidR="000467AB" w:rsidRPr="004675A8" w:rsidP="002E179D" w14:paraId="7040BB03" w14:textId="77777777">
      <w:pPr>
        <w:ind w:firstLine="720"/>
        <w:rPr>
          <w:sz w:val="22"/>
          <w:szCs w:val="22"/>
        </w:rPr>
      </w:pPr>
      <w:r w:rsidRPr="004675A8">
        <w:rPr>
          <w:sz w:val="22"/>
          <w:szCs w:val="22"/>
        </w:rPr>
        <w:t>Statutory authority for this collection of information is contained in Sections 154(</w:t>
      </w:r>
      <w:r w:rsidRPr="004675A8">
        <w:rPr>
          <w:sz w:val="22"/>
          <w:szCs w:val="22"/>
        </w:rPr>
        <w:t>i</w:t>
      </w:r>
      <w:r w:rsidRPr="004675A8">
        <w:rPr>
          <w:sz w:val="22"/>
          <w:szCs w:val="22"/>
        </w:rPr>
        <w:t>), 303, 310, and 533 of the Communications Act of 1934, as amended.</w:t>
      </w:r>
    </w:p>
    <w:p w:rsidR="007E4D32" w:rsidRPr="004675A8" w:rsidP="000467AB" w14:paraId="7E5350E8" w14:textId="77777777">
      <w:pPr>
        <w:rPr>
          <w:sz w:val="22"/>
          <w:szCs w:val="22"/>
        </w:rPr>
      </w:pPr>
    </w:p>
    <w:p w:rsidR="000467AB" w:rsidRPr="004675A8" w:rsidP="000467AB" w14:paraId="5D53C6FF" w14:textId="6D23412E">
      <w:pPr>
        <w:rPr>
          <w:sz w:val="22"/>
          <w:szCs w:val="22"/>
        </w:rPr>
      </w:pPr>
      <w:r w:rsidRPr="004675A8">
        <w:rPr>
          <w:sz w:val="22"/>
          <w:szCs w:val="22"/>
        </w:rPr>
        <w:t xml:space="preserve">2. </w:t>
      </w:r>
      <w:r w:rsidRPr="004675A8" w:rsidR="002E179D">
        <w:rPr>
          <w:b/>
          <w:bCs/>
          <w:sz w:val="22"/>
          <w:szCs w:val="22"/>
        </w:rPr>
        <w:t>Agency Use of Information:</w:t>
      </w:r>
      <w:r w:rsidRPr="004675A8" w:rsidR="002E179D">
        <w:rPr>
          <w:sz w:val="22"/>
          <w:szCs w:val="22"/>
        </w:rPr>
        <w:t xml:space="preserve"> </w:t>
      </w:r>
      <w:r w:rsidRPr="004675A8" w:rsidR="009865A9">
        <w:rPr>
          <w:sz w:val="22"/>
          <w:szCs w:val="22"/>
        </w:rPr>
        <w:t xml:space="preserve"> </w:t>
      </w:r>
      <w:r w:rsidRPr="004675A8">
        <w:rPr>
          <w:sz w:val="22"/>
          <w:szCs w:val="22"/>
        </w:rPr>
        <w:t xml:space="preserve">FCC staff </w:t>
      </w:r>
      <w:r w:rsidRPr="004675A8" w:rsidR="001B6A15">
        <w:rPr>
          <w:sz w:val="22"/>
          <w:szCs w:val="22"/>
        </w:rPr>
        <w:t>use</w:t>
      </w:r>
      <w:r w:rsidR="00271360">
        <w:rPr>
          <w:sz w:val="22"/>
          <w:szCs w:val="22"/>
        </w:rPr>
        <w:t>s</w:t>
      </w:r>
      <w:r w:rsidRPr="004675A8" w:rsidR="001B6A15">
        <w:rPr>
          <w:sz w:val="22"/>
          <w:szCs w:val="22"/>
        </w:rPr>
        <w:t xml:space="preserve"> the data</w:t>
      </w:r>
      <w:r w:rsidRPr="004675A8" w:rsidR="009865A9">
        <w:rPr>
          <w:sz w:val="22"/>
          <w:szCs w:val="22"/>
        </w:rPr>
        <w:t xml:space="preserve">: </w:t>
      </w:r>
      <w:r w:rsidRPr="004675A8" w:rsidR="001B6A15">
        <w:rPr>
          <w:sz w:val="22"/>
          <w:szCs w:val="22"/>
        </w:rPr>
        <w:t xml:space="preserve"> </w:t>
      </w:r>
      <w:r w:rsidRPr="004675A8">
        <w:rPr>
          <w:sz w:val="22"/>
          <w:szCs w:val="22"/>
        </w:rPr>
        <w:t>to track the rate at which radio stations make the transition from analog to digital operation</w:t>
      </w:r>
      <w:r w:rsidRPr="004675A8" w:rsidR="009865A9">
        <w:rPr>
          <w:sz w:val="22"/>
          <w:szCs w:val="22"/>
        </w:rPr>
        <w:t>s,</w:t>
      </w:r>
      <w:r w:rsidRPr="004675A8">
        <w:rPr>
          <w:sz w:val="22"/>
          <w:szCs w:val="22"/>
        </w:rPr>
        <w:t xml:space="preserve"> or increase the power levels of their digital operations; to confirm continuing compliance with radio frequency radiation (RFR) exposure restrictions; to provide updated transmitter output power (TPO) levels for FM stations; to assist in the resolution of interference complaints, if any, which may result from digital </w:t>
      </w:r>
      <w:r w:rsidRPr="00D23859">
        <w:rPr>
          <w:sz w:val="22"/>
          <w:szCs w:val="22"/>
        </w:rPr>
        <w:t>operations</w:t>
      </w:r>
      <w:r w:rsidRPr="00D23859" w:rsidR="00D23859">
        <w:rPr>
          <w:sz w:val="22"/>
          <w:szCs w:val="22"/>
        </w:rPr>
        <w:t xml:space="preserve"> and to provide notice for</w:t>
      </w:r>
      <w:r w:rsidRPr="00634116" w:rsidR="00D23859">
        <w:rPr>
          <w:sz w:val="22"/>
          <w:szCs w:val="22"/>
        </w:rPr>
        <w:t xml:space="preserve"> digital FM station</w:t>
      </w:r>
      <w:r w:rsidR="00BC0841">
        <w:rPr>
          <w:sz w:val="22"/>
          <w:szCs w:val="22"/>
        </w:rPr>
        <w:t>s</w:t>
      </w:r>
      <w:r w:rsidRPr="00634116" w:rsidR="00D23859">
        <w:rPr>
          <w:sz w:val="22"/>
          <w:szCs w:val="22"/>
        </w:rPr>
        <w:t xml:space="preserve"> operating with asymmetric power on the digital sidebands</w:t>
      </w:r>
      <w:r w:rsidR="00D23859">
        <w:rPr>
          <w:sz w:val="22"/>
          <w:szCs w:val="22"/>
        </w:rPr>
        <w:t>.</w:t>
      </w:r>
    </w:p>
    <w:p w:rsidR="000467AB" w:rsidRPr="004675A8" w:rsidP="000467AB" w14:paraId="72060212" w14:textId="77777777">
      <w:pPr>
        <w:rPr>
          <w:sz w:val="22"/>
          <w:szCs w:val="22"/>
        </w:rPr>
      </w:pPr>
    </w:p>
    <w:p w:rsidR="000467AB" w:rsidRPr="00634116" w:rsidP="00F22754" w14:paraId="6B8A59C8" w14:textId="657E6ABF">
      <w:pPr>
        <w:shd w:val="clear" w:color="auto" w:fill="FFFFFF"/>
        <w:rPr>
          <w:sz w:val="22"/>
          <w:szCs w:val="22"/>
        </w:rPr>
      </w:pPr>
      <w:r w:rsidRPr="00F22754">
        <w:rPr>
          <w:sz w:val="22"/>
          <w:szCs w:val="22"/>
          <w:shd w:val="clear" w:color="auto" w:fill="FFFFFF"/>
        </w:rPr>
        <w:t>3.</w:t>
      </w:r>
      <w:r>
        <w:rPr>
          <w:sz w:val="22"/>
          <w:szCs w:val="22"/>
          <w:shd w:val="clear" w:color="auto" w:fill="FFFFFF"/>
        </w:rPr>
        <w:t xml:space="preserve"> </w:t>
      </w:r>
      <w:r w:rsidRPr="00634116" w:rsidR="002E179D">
        <w:rPr>
          <w:b/>
          <w:bCs/>
          <w:sz w:val="22"/>
          <w:szCs w:val="22"/>
          <w:shd w:val="clear" w:color="auto" w:fill="FFFFFF"/>
        </w:rPr>
        <w:t xml:space="preserve">Consideration Given to Information Technology: </w:t>
      </w:r>
      <w:r w:rsidRPr="00634116" w:rsidR="0011389C">
        <w:rPr>
          <w:sz w:val="22"/>
          <w:szCs w:val="22"/>
          <w:shd w:val="clear" w:color="auto" w:fill="FFFFFF"/>
        </w:rPr>
        <w:t>Permittees</w:t>
      </w:r>
      <w:r w:rsidRPr="00634116" w:rsidR="00634116">
        <w:rPr>
          <w:sz w:val="22"/>
          <w:szCs w:val="22"/>
          <w:shd w:val="clear" w:color="auto" w:fill="FFFFFF"/>
        </w:rPr>
        <w:t>/</w:t>
      </w:r>
      <w:r w:rsidRPr="00634116" w:rsidR="0011389C">
        <w:rPr>
          <w:sz w:val="22"/>
          <w:szCs w:val="22"/>
          <w:shd w:val="clear" w:color="auto" w:fill="FFFFFF"/>
        </w:rPr>
        <w:t>L</w:t>
      </w:r>
      <w:r w:rsidRPr="00634116" w:rsidR="00634116">
        <w:rPr>
          <w:sz w:val="22"/>
          <w:szCs w:val="22"/>
          <w:shd w:val="clear" w:color="auto" w:fill="FFFFFF"/>
        </w:rPr>
        <w:t xml:space="preserve">icensees </w:t>
      </w:r>
      <w:r w:rsidRPr="00634116" w:rsidR="00634116">
        <w:rPr>
          <w:sz w:val="22"/>
          <w:szCs w:val="22"/>
        </w:rPr>
        <w:t>must electronically</w:t>
      </w:r>
      <w:r w:rsidRPr="00634116" w:rsidR="00257672">
        <w:rPr>
          <w:sz w:val="22"/>
          <w:szCs w:val="22"/>
        </w:rPr>
        <w:t xml:space="preserve"> file FCC Form</w:t>
      </w:r>
      <w:r w:rsidRPr="00634116" w:rsidR="0011389C">
        <w:rPr>
          <w:sz w:val="22"/>
          <w:szCs w:val="22"/>
        </w:rPr>
        <w:t xml:space="preserve"> 2100, Schedules</w:t>
      </w:r>
      <w:r w:rsidRPr="00634116" w:rsidR="003911B3">
        <w:rPr>
          <w:sz w:val="22"/>
          <w:szCs w:val="22"/>
        </w:rPr>
        <w:t xml:space="preserve"> 335</w:t>
      </w:r>
      <w:r w:rsidRPr="00634116" w:rsidR="00004D26">
        <w:rPr>
          <w:sz w:val="22"/>
          <w:szCs w:val="22"/>
        </w:rPr>
        <w:t xml:space="preserve">-FM and </w:t>
      </w:r>
      <w:r w:rsidRPr="00634116" w:rsidR="00983086">
        <w:rPr>
          <w:sz w:val="22"/>
          <w:szCs w:val="22"/>
        </w:rPr>
        <w:t>335-</w:t>
      </w:r>
      <w:r w:rsidRPr="00634116" w:rsidR="00004D26">
        <w:rPr>
          <w:sz w:val="22"/>
          <w:szCs w:val="22"/>
        </w:rPr>
        <w:t>AM</w:t>
      </w:r>
      <w:r w:rsidRPr="00634116" w:rsidR="00257672">
        <w:rPr>
          <w:sz w:val="22"/>
          <w:szCs w:val="22"/>
        </w:rPr>
        <w:t xml:space="preserve"> </w:t>
      </w:r>
      <w:r w:rsidRPr="00634116" w:rsidR="00634116">
        <w:rPr>
          <w:sz w:val="22"/>
          <w:szCs w:val="22"/>
        </w:rPr>
        <w:t xml:space="preserve">in the Media Bureau’s </w:t>
      </w:r>
      <w:r w:rsidRPr="00634116" w:rsidR="00F85736">
        <w:rPr>
          <w:sz w:val="22"/>
          <w:szCs w:val="22"/>
        </w:rPr>
        <w:t>Licensing and Management System.</w:t>
      </w:r>
    </w:p>
    <w:p w:rsidR="00F22754" w:rsidRPr="00F22754" w:rsidP="00634116" w14:paraId="0D966607" w14:textId="77777777"/>
    <w:p w:rsidR="000467AB" w:rsidRPr="004675A8" w:rsidP="000467AB" w14:paraId="53FD4D88" w14:textId="77777777">
      <w:pPr>
        <w:rPr>
          <w:sz w:val="22"/>
          <w:szCs w:val="22"/>
          <w:shd w:val="clear" w:color="auto" w:fill="FFFFFF"/>
        </w:rPr>
      </w:pPr>
      <w:r w:rsidRPr="004675A8">
        <w:rPr>
          <w:sz w:val="22"/>
          <w:szCs w:val="22"/>
        </w:rPr>
        <w:t xml:space="preserve">4. </w:t>
      </w:r>
      <w:r w:rsidRPr="004675A8" w:rsidR="002E179D">
        <w:rPr>
          <w:b/>
          <w:bCs/>
          <w:sz w:val="22"/>
          <w:szCs w:val="22"/>
        </w:rPr>
        <w:t xml:space="preserve">Effort to Identify Duplication and Similar Information: </w:t>
      </w:r>
      <w:r w:rsidRPr="004675A8">
        <w:rPr>
          <w:sz w:val="22"/>
          <w:szCs w:val="22"/>
        </w:rPr>
        <w:t xml:space="preserve">No other agency imposes a similar information collection on the respondents.  There are no similar data available. </w:t>
      </w:r>
    </w:p>
    <w:p w:rsidR="000467AB" w:rsidRPr="004675A8" w:rsidP="000467AB" w14:paraId="37943BAA" w14:textId="77777777">
      <w:pPr>
        <w:rPr>
          <w:sz w:val="22"/>
          <w:szCs w:val="22"/>
          <w:shd w:val="clear" w:color="auto" w:fill="FFFFFF"/>
        </w:rPr>
      </w:pPr>
    </w:p>
    <w:p w:rsidR="000467AB" w:rsidRPr="004675A8" w:rsidP="000467AB" w14:paraId="4CC1B9C1" w14:textId="77777777">
      <w:pPr>
        <w:rPr>
          <w:sz w:val="22"/>
          <w:szCs w:val="22"/>
          <w:shd w:val="clear" w:color="auto" w:fill="FFFFFF"/>
        </w:rPr>
      </w:pPr>
      <w:r w:rsidRPr="004675A8">
        <w:rPr>
          <w:sz w:val="22"/>
          <w:szCs w:val="22"/>
          <w:shd w:val="clear" w:color="auto" w:fill="FFFFFF"/>
        </w:rPr>
        <w:t xml:space="preserve">5. </w:t>
      </w:r>
      <w:r w:rsidRPr="004675A8" w:rsidR="00707400">
        <w:rPr>
          <w:b/>
          <w:bCs/>
          <w:sz w:val="22"/>
          <w:szCs w:val="22"/>
          <w:shd w:val="clear" w:color="auto" w:fill="FFFFFF"/>
        </w:rPr>
        <w:t>Effort to Reduce Small Business Burden</w:t>
      </w:r>
      <w:r w:rsidRPr="004675A8" w:rsidR="00257672">
        <w:rPr>
          <w:b/>
          <w:bCs/>
          <w:sz w:val="22"/>
          <w:szCs w:val="22"/>
          <w:shd w:val="clear" w:color="auto" w:fill="FFFFFF"/>
        </w:rPr>
        <w:t xml:space="preserve">: </w:t>
      </w:r>
      <w:r w:rsidRPr="004675A8">
        <w:rPr>
          <w:sz w:val="22"/>
          <w:szCs w:val="22"/>
          <w:shd w:val="clear" w:color="auto" w:fill="FFFFFF"/>
        </w:rPr>
        <w:t>In conformance with the Paperwork Reduction Act of 1995, the Commission is making an effort to minimize the burden on all respondents.  Therefore, this information collection will not have a significant economic impact on a substantial number of small entities/businesses.</w:t>
      </w:r>
    </w:p>
    <w:p w:rsidR="000467AB" w:rsidRPr="004675A8" w:rsidP="000467AB" w14:paraId="3F000884" w14:textId="77777777">
      <w:pPr>
        <w:rPr>
          <w:sz w:val="22"/>
          <w:szCs w:val="22"/>
          <w:shd w:val="clear" w:color="auto" w:fill="FFFFFF"/>
        </w:rPr>
      </w:pPr>
    </w:p>
    <w:p w:rsidR="000467AB" w:rsidRPr="004675A8" w:rsidP="000467AB" w14:paraId="7F537CE7" w14:textId="447D7F3B">
      <w:pPr>
        <w:rPr>
          <w:sz w:val="22"/>
          <w:szCs w:val="22"/>
          <w:shd w:val="clear" w:color="auto" w:fill="FFFFFF"/>
        </w:rPr>
      </w:pPr>
      <w:r w:rsidRPr="004675A8">
        <w:rPr>
          <w:sz w:val="22"/>
          <w:szCs w:val="22"/>
          <w:shd w:val="clear" w:color="auto" w:fill="FFFFFF"/>
        </w:rPr>
        <w:t xml:space="preserve">6. </w:t>
      </w:r>
      <w:r w:rsidRPr="004675A8" w:rsidR="00B73C4B">
        <w:rPr>
          <w:b/>
          <w:bCs/>
          <w:sz w:val="22"/>
          <w:szCs w:val="22"/>
          <w:shd w:val="clear" w:color="auto" w:fill="FFFFFF"/>
        </w:rPr>
        <w:t xml:space="preserve">Less Frequent Data Collections: </w:t>
      </w:r>
      <w:r w:rsidRPr="004675A8">
        <w:rPr>
          <w:sz w:val="22"/>
          <w:szCs w:val="22"/>
          <w:shd w:val="clear" w:color="auto" w:fill="FFFFFF"/>
        </w:rPr>
        <w:t xml:space="preserve">Foregoing the digital notification would deprive Commission staff of the means to assess the rate of digital conversion in the radio broadcasting service.  In addition, the Commission would not be able to resolve expeditiously any cases of interference from digital operations without the information included in the digital notification </w:t>
      </w:r>
      <w:r w:rsidRPr="004675A8" w:rsidR="00E03908">
        <w:rPr>
          <w:sz w:val="22"/>
          <w:szCs w:val="22"/>
          <w:shd w:val="clear" w:color="auto" w:fill="FFFFFF"/>
        </w:rPr>
        <w:t>form</w:t>
      </w:r>
      <w:r w:rsidRPr="004675A8">
        <w:rPr>
          <w:sz w:val="22"/>
          <w:szCs w:val="22"/>
          <w:shd w:val="clear" w:color="auto" w:fill="FFFFFF"/>
        </w:rPr>
        <w:t>.</w:t>
      </w:r>
    </w:p>
    <w:p w:rsidR="000467AB" w:rsidRPr="004675A8" w:rsidP="000467AB" w14:paraId="40EB98AA" w14:textId="77777777">
      <w:pPr>
        <w:rPr>
          <w:sz w:val="22"/>
          <w:szCs w:val="22"/>
          <w:shd w:val="clear" w:color="auto" w:fill="FFFFFF"/>
        </w:rPr>
      </w:pPr>
    </w:p>
    <w:p w:rsidR="000467AB" w:rsidRPr="004675A8" w:rsidP="000467AB" w14:paraId="294C7738" w14:textId="77777777">
      <w:pPr>
        <w:rPr>
          <w:sz w:val="22"/>
          <w:szCs w:val="22"/>
          <w:shd w:val="clear" w:color="auto" w:fill="FFFFFF"/>
        </w:rPr>
      </w:pPr>
      <w:r w:rsidRPr="004675A8">
        <w:rPr>
          <w:sz w:val="22"/>
          <w:szCs w:val="22"/>
          <w:shd w:val="clear" w:color="auto" w:fill="FFFFFF"/>
        </w:rPr>
        <w:t xml:space="preserve">7. </w:t>
      </w:r>
      <w:r w:rsidRPr="004675A8" w:rsidR="00B73C4B">
        <w:rPr>
          <w:b/>
          <w:bCs/>
          <w:sz w:val="22"/>
          <w:szCs w:val="22"/>
          <w:shd w:val="clear" w:color="auto" w:fill="FFFFFF"/>
        </w:rPr>
        <w:t>Information Collection Circumstances</w:t>
      </w:r>
      <w:r w:rsidRPr="004675A8" w:rsidR="00B73C4B">
        <w:rPr>
          <w:sz w:val="22"/>
          <w:szCs w:val="22"/>
          <w:shd w:val="clear" w:color="auto" w:fill="FFFFFF"/>
        </w:rPr>
        <w:t xml:space="preserve">: </w:t>
      </w:r>
      <w:r w:rsidRPr="004675A8">
        <w:rPr>
          <w:sz w:val="22"/>
          <w:szCs w:val="22"/>
          <w:shd w:val="clear" w:color="auto" w:fill="FFFFFF"/>
        </w:rPr>
        <w:t>There are no special circumstances associated with this collection of information.</w:t>
      </w:r>
    </w:p>
    <w:p w:rsidR="000467AB" w:rsidRPr="004675A8" w:rsidP="000467AB" w14:paraId="7586616D" w14:textId="77777777">
      <w:pPr>
        <w:rPr>
          <w:sz w:val="22"/>
          <w:szCs w:val="22"/>
          <w:shd w:val="clear" w:color="auto" w:fill="FFFFFF"/>
        </w:rPr>
      </w:pPr>
    </w:p>
    <w:p w:rsidR="000467AB" w:rsidRPr="004675A8" w:rsidP="000467AB" w14:paraId="3F549ABE" w14:textId="316E113E">
      <w:pPr>
        <w:shd w:val="clear" w:color="auto" w:fill="FFFFFF"/>
        <w:suppressAutoHyphens/>
        <w:rPr>
          <w:spacing w:val="-3"/>
          <w:sz w:val="22"/>
          <w:szCs w:val="22"/>
          <w:shd w:val="clear" w:color="auto" w:fill="FFFFFF"/>
        </w:rPr>
      </w:pPr>
      <w:r w:rsidRPr="004675A8">
        <w:rPr>
          <w:sz w:val="22"/>
          <w:szCs w:val="22"/>
          <w:shd w:val="clear" w:color="auto" w:fill="FFFFFF"/>
        </w:rPr>
        <w:t xml:space="preserve">8. </w:t>
      </w:r>
      <w:r w:rsidRPr="004675A8" w:rsidR="00257672">
        <w:rPr>
          <w:b/>
          <w:bCs/>
          <w:sz w:val="22"/>
          <w:szCs w:val="22"/>
          <w:shd w:val="clear" w:color="auto" w:fill="FFFFFF"/>
        </w:rPr>
        <w:t xml:space="preserve">Public Comment Period: </w:t>
      </w:r>
      <w:r w:rsidRPr="004675A8">
        <w:rPr>
          <w:sz w:val="22"/>
          <w:szCs w:val="22"/>
          <w:shd w:val="clear" w:color="auto" w:fill="FFFFFF"/>
        </w:rPr>
        <w:t xml:space="preserve">The Commission published a Notice in the </w:t>
      </w:r>
      <w:r w:rsidRPr="004675A8">
        <w:rPr>
          <w:i/>
          <w:sz w:val="22"/>
          <w:szCs w:val="22"/>
          <w:shd w:val="clear" w:color="auto" w:fill="FFFFFF"/>
        </w:rPr>
        <w:t>Federal Register</w:t>
      </w:r>
      <w:r w:rsidRPr="004675A8">
        <w:rPr>
          <w:sz w:val="22"/>
          <w:szCs w:val="22"/>
          <w:shd w:val="clear" w:color="auto" w:fill="FFFFFF"/>
        </w:rPr>
        <w:t xml:space="preserve"> on</w:t>
      </w:r>
      <w:r w:rsidRPr="004675A8" w:rsidR="00257672">
        <w:rPr>
          <w:sz w:val="22"/>
          <w:szCs w:val="22"/>
          <w:shd w:val="clear" w:color="auto" w:fill="FFFFFF"/>
        </w:rPr>
        <w:t xml:space="preserve"> </w:t>
      </w:r>
      <w:r w:rsidRPr="003A4DEF" w:rsidR="002E2D3E">
        <w:rPr>
          <w:sz w:val="22"/>
          <w:szCs w:val="22"/>
          <w:shd w:val="clear" w:color="auto" w:fill="FFFFFF"/>
        </w:rPr>
        <w:t>December</w:t>
      </w:r>
      <w:r w:rsidRPr="00A84F7E" w:rsidR="002E2D3E">
        <w:rPr>
          <w:sz w:val="22"/>
          <w:szCs w:val="22"/>
          <w:shd w:val="clear" w:color="auto" w:fill="FFFFFF"/>
        </w:rPr>
        <w:t xml:space="preserve"> </w:t>
      </w:r>
      <w:r w:rsidR="003A4DEF">
        <w:rPr>
          <w:sz w:val="22"/>
          <w:szCs w:val="22"/>
          <w:shd w:val="clear" w:color="auto" w:fill="FFFFFF"/>
        </w:rPr>
        <w:t>2</w:t>
      </w:r>
      <w:r w:rsidRPr="00A84F7E" w:rsidR="001634D0">
        <w:rPr>
          <w:sz w:val="22"/>
          <w:szCs w:val="22"/>
          <w:shd w:val="clear" w:color="auto" w:fill="FFFFFF"/>
        </w:rPr>
        <w:t xml:space="preserve">, </w:t>
      </w:r>
      <w:r w:rsidRPr="00A84F7E" w:rsidR="003E04F0">
        <w:rPr>
          <w:sz w:val="22"/>
          <w:szCs w:val="22"/>
          <w:shd w:val="clear" w:color="auto" w:fill="FFFFFF"/>
        </w:rPr>
        <w:t>20</w:t>
      </w:r>
      <w:r w:rsidRPr="00A84F7E" w:rsidR="00257672">
        <w:rPr>
          <w:sz w:val="22"/>
          <w:szCs w:val="22"/>
          <w:shd w:val="clear" w:color="auto" w:fill="FFFFFF"/>
        </w:rPr>
        <w:t>2</w:t>
      </w:r>
      <w:r w:rsidR="008D2AF7">
        <w:rPr>
          <w:sz w:val="22"/>
          <w:szCs w:val="22"/>
          <w:shd w:val="clear" w:color="auto" w:fill="FFFFFF"/>
        </w:rPr>
        <w:t>4</w:t>
      </w:r>
      <w:r w:rsidRPr="00A84F7E" w:rsidR="00EA6733">
        <w:rPr>
          <w:sz w:val="22"/>
          <w:szCs w:val="22"/>
          <w:shd w:val="clear" w:color="auto" w:fill="FFFFFF"/>
        </w:rPr>
        <w:t xml:space="preserve"> (</w:t>
      </w:r>
      <w:r w:rsidR="003A4DEF">
        <w:rPr>
          <w:sz w:val="22"/>
          <w:szCs w:val="22"/>
          <w:shd w:val="clear" w:color="auto" w:fill="FFFFFF"/>
        </w:rPr>
        <w:t>89</w:t>
      </w:r>
      <w:r w:rsidRPr="00A84F7E" w:rsidR="00A02CB2">
        <w:rPr>
          <w:sz w:val="22"/>
          <w:szCs w:val="22"/>
          <w:shd w:val="clear" w:color="auto" w:fill="FFFFFF"/>
        </w:rPr>
        <w:t xml:space="preserve"> </w:t>
      </w:r>
      <w:r w:rsidRPr="00A84F7E" w:rsidR="00EA6733">
        <w:rPr>
          <w:sz w:val="22"/>
          <w:szCs w:val="22"/>
          <w:shd w:val="clear" w:color="auto" w:fill="FFFFFF"/>
        </w:rPr>
        <w:t>FR</w:t>
      </w:r>
      <w:r w:rsidRPr="00A84F7E" w:rsidR="00A84F7E">
        <w:rPr>
          <w:sz w:val="22"/>
          <w:szCs w:val="22"/>
          <w:shd w:val="clear" w:color="auto" w:fill="FFFFFF"/>
        </w:rPr>
        <w:t xml:space="preserve"> </w:t>
      </w:r>
      <w:r w:rsidR="003A4DEF">
        <w:rPr>
          <w:sz w:val="22"/>
          <w:szCs w:val="22"/>
          <w:shd w:val="clear" w:color="auto" w:fill="FFFFFF"/>
        </w:rPr>
        <w:t>95211</w:t>
      </w:r>
      <w:r w:rsidR="007B621C">
        <w:rPr>
          <w:sz w:val="22"/>
          <w:szCs w:val="22"/>
          <w:shd w:val="clear" w:color="auto" w:fill="FFFFFF"/>
        </w:rPr>
        <w:t>),</w:t>
      </w:r>
      <w:r w:rsidRPr="004675A8" w:rsidR="009916B7">
        <w:rPr>
          <w:sz w:val="22"/>
          <w:szCs w:val="22"/>
          <w:shd w:val="clear" w:color="auto" w:fill="FFFFFF"/>
        </w:rPr>
        <w:t xml:space="preserve"> seeking public comment for the information collection requirements contained in this supporting statement</w:t>
      </w:r>
      <w:r w:rsidRPr="004675A8">
        <w:rPr>
          <w:sz w:val="22"/>
          <w:szCs w:val="22"/>
          <w:shd w:val="clear" w:color="auto" w:fill="FFFFFF"/>
        </w:rPr>
        <w:t>.</w:t>
      </w:r>
      <w:r w:rsidR="004C221E">
        <w:rPr>
          <w:sz w:val="22"/>
          <w:szCs w:val="22"/>
          <w:shd w:val="clear" w:color="auto" w:fill="FFFFFF"/>
        </w:rPr>
        <w:t xml:space="preserve">  The Commission did not receive any comments from the public.</w:t>
      </w:r>
    </w:p>
    <w:p w:rsidR="000467AB" w:rsidRPr="004675A8" w:rsidP="000467AB" w14:paraId="2BC14683" w14:textId="77777777">
      <w:pPr>
        <w:rPr>
          <w:sz w:val="22"/>
          <w:szCs w:val="22"/>
          <w:shd w:val="clear" w:color="auto" w:fill="FFFFFF"/>
        </w:rPr>
      </w:pPr>
    </w:p>
    <w:p w:rsidR="000467AB" w:rsidRPr="004675A8" w:rsidP="000467AB" w14:paraId="30BAE11D" w14:textId="77777777">
      <w:pPr>
        <w:rPr>
          <w:sz w:val="22"/>
          <w:szCs w:val="22"/>
          <w:shd w:val="clear" w:color="auto" w:fill="FFFFFF"/>
        </w:rPr>
      </w:pPr>
      <w:r w:rsidRPr="004675A8">
        <w:rPr>
          <w:sz w:val="22"/>
          <w:szCs w:val="22"/>
          <w:shd w:val="clear" w:color="auto" w:fill="FFFFFF"/>
        </w:rPr>
        <w:t xml:space="preserve">9. </w:t>
      </w:r>
      <w:r w:rsidRPr="004675A8" w:rsidR="00B73C4B">
        <w:rPr>
          <w:b/>
          <w:bCs/>
          <w:sz w:val="22"/>
          <w:szCs w:val="22"/>
          <w:shd w:val="clear" w:color="auto" w:fill="FFFFFF"/>
        </w:rPr>
        <w:t>Payments o</w:t>
      </w:r>
      <w:r w:rsidRPr="004675A8" w:rsidR="00707400">
        <w:rPr>
          <w:b/>
          <w:bCs/>
          <w:sz w:val="22"/>
          <w:szCs w:val="22"/>
          <w:shd w:val="clear" w:color="auto" w:fill="FFFFFF"/>
        </w:rPr>
        <w:t>r</w:t>
      </w:r>
      <w:r w:rsidRPr="004675A8" w:rsidR="00B73C4B">
        <w:rPr>
          <w:b/>
          <w:bCs/>
          <w:sz w:val="22"/>
          <w:szCs w:val="22"/>
          <w:shd w:val="clear" w:color="auto" w:fill="FFFFFF"/>
        </w:rPr>
        <w:t xml:space="preserve"> Gifts:</w:t>
      </w:r>
      <w:r w:rsidRPr="004675A8" w:rsidR="00B73C4B">
        <w:rPr>
          <w:sz w:val="22"/>
          <w:szCs w:val="22"/>
          <w:shd w:val="clear" w:color="auto" w:fill="FFFFFF"/>
        </w:rPr>
        <w:t xml:space="preserve"> </w:t>
      </w:r>
      <w:r w:rsidRPr="004675A8">
        <w:rPr>
          <w:sz w:val="22"/>
          <w:szCs w:val="22"/>
          <w:shd w:val="clear" w:color="auto" w:fill="FFFFFF"/>
        </w:rPr>
        <w:t>No payment or gift was provided to respondent</w:t>
      </w:r>
      <w:r w:rsidRPr="004675A8" w:rsidR="00707400">
        <w:rPr>
          <w:sz w:val="22"/>
          <w:szCs w:val="22"/>
          <w:shd w:val="clear" w:color="auto" w:fill="FFFFFF"/>
        </w:rPr>
        <w:t>s</w:t>
      </w:r>
      <w:r w:rsidRPr="004675A8">
        <w:rPr>
          <w:sz w:val="22"/>
          <w:szCs w:val="22"/>
          <w:shd w:val="clear" w:color="auto" w:fill="FFFFFF"/>
        </w:rPr>
        <w:t>.</w:t>
      </w:r>
    </w:p>
    <w:p w:rsidR="000467AB" w:rsidRPr="004675A8" w:rsidP="000467AB" w14:paraId="0C5AE0FE" w14:textId="77777777">
      <w:pPr>
        <w:rPr>
          <w:sz w:val="22"/>
          <w:szCs w:val="22"/>
          <w:shd w:val="clear" w:color="auto" w:fill="FFFFFF"/>
        </w:rPr>
      </w:pPr>
    </w:p>
    <w:p w:rsidR="000467AB" w:rsidRPr="004675A8" w:rsidP="000467AB" w14:paraId="15762061" w14:textId="77777777">
      <w:pPr>
        <w:rPr>
          <w:sz w:val="22"/>
          <w:szCs w:val="22"/>
          <w:shd w:val="clear" w:color="auto" w:fill="FFFFFF"/>
        </w:rPr>
      </w:pPr>
      <w:r w:rsidRPr="004675A8">
        <w:rPr>
          <w:sz w:val="22"/>
          <w:szCs w:val="22"/>
          <w:shd w:val="clear" w:color="auto" w:fill="FFFFFF"/>
        </w:rPr>
        <w:t xml:space="preserve">10. </w:t>
      </w:r>
      <w:r w:rsidRPr="004675A8" w:rsidR="00B73C4B">
        <w:rPr>
          <w:b/>
          <w:bCs/>
          <w:sz w:val="22"/>
          <w:szCs w:val="22"/>
          <w:shd w:val="clear" w:color="auto" w:fill="FFFFFF"/>
        </w:rPr>
        <w:t xml:space="preserve">Confidentiality of Information: </w:t>
      </w:r>
      <w:r w:rsidRPr="004675A8">
        <w:rPr>
          <w:sz w:val="22"/>
          <w:szCs w:val="22"/>
          <w:shd w:val="clear" w:color="auto" w:fill="FFFFFF"/>
        </w:rPr>
        <w:t>There is no need for confidentiality</w:t>
      </w:r>
      <w:r w:rsidRPr="004675A8" w:rsidR="000107FD">
        <w:rPr>
          <w:sz w:val="22"/>
          <w:szCs w:val="22"/>
          <w:shd w:val="clear" w:color="auto" w:fill="FFFFFF"/>
        </w:rPr>
        <w:t xml:space="preserve"> with this collection of information</w:t>
      </w:r>
      <w:r w:rsidRPr="004675A8">
        <w:rPr>
          <w:sz w:val="22"/>
          <w:szCs w:val="22"/>
          <w:shd w:val="clear" w:color="auto" w:fill="FFFFFF"/>
        </w:rPr>
        <w:t>.</w:t>
      </w:r>
    </w:p>
    <w:p w:rsidR="000467AB" w:rsidRPr="004675A8" w:rsidP="000467AB" w14:paraId="6FC4F43D" w14:textId="77777777">
      <w:pPr>
        <w:rPr>
          <w:sz w:val="22"/>
          <w:szCs w:val="22"/>
          <w:shd w:val="clear" w:color="auto" w:fill="FFFFFF"/>
        </w:rPr>
      </w:pPr>
    </w:p>
    <w:p w:rsidR="000467AB" w:rsidRPr="004675A8" w:rsidP="000467AB" w14:paraId="71DAC18B" w14:textId="77777777">
      <w:pPr>
        <w:rPr>
          <w:sz w:val="22"/>
          <w:szCs w:val="22"/>
          <w:shd w:val="clear" w:color="auto" w:fill="FFFFFF"/>
        </w:rPr>
      </w:pPr>
      <w:r w:rsidRPr="004675A8">
        <w:rPr>
          <w:sz w:val="22"/>
          <w:szCs w:val="22"/>
          <w:shd w:val="clear" w:color="auto" w:fill="FFFFFF"/>
        </w:rPr>
        <w:t xml:space="preserve">11. </w:t>
      </w:r>
      <w:r w:rsidRPr="004675A8" w:rsidR="00B73C4B">
        <w:rPr>
          <w:b/>
          <w:bCs/>
          <w:sz w:val="22"/>
          <w:szCs w:val="22"/>
          <w:shd w:val="clear" w:color="auto" w:fill="FFFFFF"/>
        </w:rPr>
        <w:t>Justification for Sensitive Questions:</w:t>
      </w:r>
      <w:r w:rsidRPr="004675A8" w:rsidR="00B73C4B">
        <w:rPr>
          <w:sz w:val="22"/>
          <w:szCs w:val="22"/>
          <w:shd w:val="clear" w:color="auto" w:fill="FFFFFF"/>
        </w:rPr>
        <w:t xml:space="preserve"> </w:t>
      </w:r>
      <w:r w:rsidRPr="004675A8">
        <w:rPr>
          <w:sz w:val="22"/>
          <w:szCs w:val="22"/>
          <w:shd w:val="clear" w:color="auto" w:fill="FFFFFF"/>
        </w:rPr>
        <w:t>This collection of information does not address any private matters of a sensitive nature.</w:t>
      </w:r>
    </w:p>
    <w:p w:rsidR="007B32EE" w:rsidRPr="004675A8" w:rsidP="000467AB" w14:paraId="703FD539" w14:textId="77777777">
      <w:pPr>
        <w:rPr>
          <w:sz w:val="22"/>
          <w:szCs w:val="22"/>
          <w:shd w:val="clear" w:color="auto" w:fill="FFFFFF"/>
        </w:rPr>
      </w:pPr>
    </w:p>
    <w:p w:rsidR="000467AB" w:rsidRPr="004675A8" w:rsidP="000467AB" w14:paraId="5BE3E2EB" w14:textId="5D2834C7">
      <w:pPr>
        <w:rPr>
          <w:sz w:val="22"/>
          <w:szCs w:val="22"/>
          <w:shd w:val="clear" w:color="auto" w:fill="FFFFFF"/>
        </w:rPr>
      </w:pPr>
      <w:r w:rsidRPr="004675A8">
        <w:rPr>
          <w:sz w:val="22"/>
          <w:szCs w:val="22"/>
          <w:shd w:val="clear" w:color="auto" w:fill="FFFFFF"/>
        </w:rPr>
        <w:t xml:space="preserve">12. </w:t>
      </w:r>
      <w:r w:rsidRPr="004675A8" w:rsidR="00B73C4B">
        <w:rPr>
          <w:b/>
          <w:bCs/>
          <w:sz w:val="22"/>
          <w:szCs w:val="22"/>
          <w:shd w:val="clear" w:color="auto" w:fill="FFFFFF"/>
        </w:rPr>
        <w:t xml:space="preserve">Estimate of Burden </w:t>
      </w:r>
      <w:r w:rsidRPr="004675A8" w:rsidR="007D26ED">
        <w:rPr>
          <w:b/>
          <w:bCs/>
          <w:sz w:val="22"/>
          <w:szCs w:val="22"/>
          <w:shd w:val="clear" w:color="auto" w:fill="FFFFFF"/>
        </w:rPr>
        <w:t xml:space="preserve">and Burden </w:t>
      </w:r>
      <w:r w:rsidRPr="004675A8" w:rsidR="00B73C4B">
        <w:rPr>
          <w:b/>
          <w:bCs/>
          <w:sz w:val="22"/>
          <w:szCs w:val="22"/>
          <w:shd w:val="clear" w:color="auto" w:fill="FFFFFF"/>
        </w:rPr>
        <w:t>Hour</w:t>
      </w:r>
      <w:r w:rsidRPr="004675A8" w:rsidR="007D26ED">
        <w:rPr>
          <w:b/>
          <w:bCs/>
          <w:sz w:val="22"/>
          <w:szCs w:val="22"/>
          <w:shd w:val="clear" w:color="auto" w:fill="FFFFFF"/>
        </w:rPr>
        <w:t xml:space="preserve"> Cost</w:t>
      </w:r>
      <w:r w:rsidR="005D134B">
        <w:rPr>
          <w:b/>
          <w:bCs/>
          <w:sz w:val="22"/>
          <w:szCs w:val="22"/>
          <w:shd w:val="clear" w:color="auto" w:fill="FFFFFF"/>
        </w:rPr>
        <w:t>s</w:t>
      </w:r>
      <w:r w:rsidRPr="004675A8" w:rsidR="00B73C4B">
        <w:rPr>
          <w:b/>
          <w:bCs/>
          <w:sz w:val="22"/>
          <w:szCs w:val="22"/>
          <w:shd w:val="clear" w:color="auto" w:fill="FFFFFF"/>
        </w:rPr>
        <w:t>:</w:t>
      </w:r>
      <w:r w:rsidRPr="004675A8" w:rsidR="00B73C4B">
        <w:rPr>
          <w:sz w:val="22"/>
          <w:szCs w:val="22"/>
          <w:shd w:val="clear" w:color="auto" w:fill="FFFFFF"/>
        </w:rPr>
        <w:t xml:space="preserve"> </w:t>
      </w:r>
      <w:r w:rsidRPr="004675A8" w:rsidR="00B73C4B">
        <w:rPr>
          <w:spacing w:val="-3"/>
          <w:sz w:val="22"/>
          <w:szCs w:val="22"/>
        </w:rPr>
        <w:t>The following estimates are provided for public burden</w:t>
      </w:r>
      <w:r w:rsidRPr="004675A8" w:rsidR="007D26ED">
        <w:rPr>
          <w:spacing w:val="-3"/>
          <w:sz w:val="22"/>
          <w:szCs w:val="22"/>
        </w:rPr>
        <w:t>s</w:t>
      </w:r>
      <w:r w:rsidRPr="004675A8" w:rsidR="00B73C4B">
        <w:rPr>
          <w:spacing w:val="-3"/>
          <w:sz w:val="22"/>
          <w:szCs w:val="22"/>
        </w:rPr>
        <w:t xml:space="preserve"> for this information collection:</w:t>
      </w:r>
    </w:p>
    <w:p w:rsidR="000467AB" w:rsidRPr="004675A8" w:rsidP="000467AB" w14:paraId="50852AE9" w14:textId="77777777">
      <w:pPr>
        <w:rPr>
          <w:strike/>
          <w:sz w:val="22"/>
          <w:szCs w:val="22"/>
          <w:shd w:val="clear" w:color="auto" w:fill="FFFFFF"/>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0"/>
        <w:gridCol w:w="1260"/>
        <w:gridCol w:w="1620"/>
        <w:gridCol w:w="990"/>
        <w:gridCol w:w="1530"/>
        <w:gridCol w:w="1350"/>
      </w:tblGrid>
      <w:tr w14:paraId="0BCE7A3B" w14:textId="77777777" w:rsidTr="003911B3">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52"/>
          <w:tblHeader/>
        </w:trPr>
        <w:tc>
          <w:tcPr>
            <w:tcW w:w="2070" w:type="dxa"/>
          </w:tcPr>
          <w:p w:rsidR="000107FD" w:rsidRPr="004675A8" w:rsidP="000467AB" w14:paraId="1FCC08CF" w14:textId="77777777">
            <w:pPr>
              <w:rPr>
                <w:b/>
                <w:bCs/>
                <w:sz w:val="22"/>
                <w:szCs w:val="22"/>
              </w:rPr>
            </w:pPr>
          </w:p>
          <w:p w:rsidR="000107FD" w:rsidRPr="004675A8" w:rsidP="000467AB" w14:paraId="717AB0B5" w14:textId="77777777">
            <w:pPr>
              <w:rPr>
                <w:b/>
                <w:bCs/>
                <w:sz w:val="22"/>
                <w:szCs w:val="22"/>
              </w:rPr>
            </w:pPr>
          </w:p>
          <w:p w:rsidR="000107FD" w:rsidRPr="004675A8" w:rsidP="000467AB" w14:paraId="0ADA02D9" w14:textId="77777777">
            <w:pPr>
              <w:rPr>
                <w:b/>
                <w:bCs/>
                <w:sz w:val="22"/>
                <w:szCs w:val="22"/>
              </w:rPr>
            </w:pPr>
          </w:p>
          <w:p w:rsidR="000467AB" w:rsidRPr="004675A8" w:rsidP="000467AB" w14:paraId="68ABF24E" w14:textId="514AAFA5">
            <w:pPr>
              <w:rPr>
                <w:b/>
                <w:bCs/>
                <w:sz w:val="22"/>
                <w:szCs w:val="22"/>
              </w:rPr>
            </w:pPr>
            <w:r>
              <w:rPr>
                <w:b/>
                <w:bCs/>
                <w:sz w:val="22"/>
                <w:szCs w:val="22"/>
              </w:rPr>
              <w:t>Type</w:t>
            </w:r>
          </w:p>
        </w:tc>
        <w:tc>
          <w:tcPr>
            <w:tcW w:w="1440" w:type="dxa"/>
          </w:tcPr>
          <w:p w:rsidR="000107FD" w:rsidRPr="004675A8" w:rsidP="000467AB" w14:paraId="277B925F" w14:textId="77777777">
            <w:pPr>
              <w:rPr>
                <w:b/>
                <w:bCs/>
                <w:sz w:val="22"/>
                <w:szCs w:val="22"/>
              </w:rPr>
            </w:pPr>
          </w:p>
          <w:p w:rsidR="000107FD" w:rsidRPr="004675A8" w:rsidP="000467AB" w14:paraId="4AAB1FE7" w14:textId="77777777">
            <w:pPr>
              <w:rPr>
                <w:b/>
                <w:bCs/>
                <w:sz w:val="22"/>
                <w:szCs w:val="22"/>
              </w:rPr>
            </w:pPr>
          </w:p>
          <w:p w:rsidR="000467AB" w:rsidRPr="004675A8" w:rsidP="000467AB" w14:paraId="21F3AF25" w14:textId="77777777">
            <w:pPr>
              <w:rPr>
                <w:b/>
                <w:bCs/>
                <w:sz w:val="22"/>
                <w:szCs w:val="22"/>
              </w:rPr>
            </w:pPr>
            <w:r w:rsidRPr="004675A8">
              <w:rPr>
                <w:b/>
                <w:bCs/>
                <w:sz w:val="22"/>
                <w:szCs w:val="22"/>
              </w:rPr>
              <w:t>Number of Respondents</w:t>
            </w:r>
          </w:p>
        </w:tc>
        <w:tc>
          <w:tcPr>
            <w:tcW w:w="1260" w:type="dxa"/>
          </w:tcPr>
          <w:p w:rsidR="000107FD" w:rsidRPr="004675A8" w:rsidP="000467AB" w14:paraId="1C92EA32" w14:textId="77777777">
            <w:pPr>
              <w:rPr>
                <w:b/>
                <w:bCs/>
                <w:sz w:val="22"/>
                <w:szCs w:val="22"/>
              </w:rPr>
            </w:pPr>
          </w:p>
          <w:p w:rsidR="000107FD" w:rsidRPr="004675A8" w:rsidP="000467AB" w14:paraId="4B2F4C24" w14:textId="77777777">
            <w:pPr>
              <w:rPr>
                <w:b/>
                <w:bCs/>
                <w:sz w:val="22"/>
                <w:szCs w:val="22"/>
              </w:rPr>
            </w:pPr>
          </w:p>
          <w:p w:rsidR="000467AB" w:rsidRPr="004675A8" w:rsidP="000467AB" w14:paraId="7088E1F5" w14:textId="77777777">
            <w:pPr>
              <w:rPr>
                <w:b/>
                <w:bCs/>
                <w:sz w:val="22"/>
                <w:szCs w:val="22"/>
              </w:rPr>
            </w:pPr>
            <w:r w:rsidRPr="004675A8">
              <w:rPr>
                <w:b/>
                <w:bCs/>
                <w:sz w:val="22"/>
                <w:szCs w:val="22"/>
              </w:rPr>
              <w:t>Number of Responses</w:t>
            </w:r>
          </w:p>
        </w:tc>
        <w:tc>
          <w:tcPr>
            <w:tcW w:w="1620" w:type="dxa"/>
          </w:tcPr>
          <w:p w:rsidR="000107FD" w:rsidRPr="004675A8" w:rsidP="000467AB" w14:paraId="4E516EE3" w14:textId="77777777">
            <w:pPr>
              <w:rPr>
                <w:b/>
                <w:bCs/>
                <w:sz w:val="22"/>
                <w:szCs w:val="22"/>
              </w:rPr>
            </w:pPr>
          </w:p>
          <w:p w:rsidR="000107FD" w:rsidRPr="004675A8" w:rsidP="000467AB" w14:paraId="2517D01C" w14:textId="77777777">
            <w:pPr>
              <w:rPr>
                <w:b/>
                <w:bCs/>
                <w:sz w:val="22"/>
                <w:szCs w:val="22"/>
              </w:rPr>
            </w:pPr>
          </w:p>
          <w:p w:rsidR="000467AB" w:rsidRPr="004675A8" w:rsidP="000467AB" w14:paraId="1D978D41" w14:textId="77777777">
            <w:pPr>
              <w:rPr>
                <w:b/>
                <w:bCs/>
                <w:sz w:val="22"/>
                <w:szCs w:val="22"/>
              </w:rPr>
            </w:pPr>
            <w:r w:rsidRPr="004675A8">
              <w:rPr>
                <w:b/>
                <w:bCs/>
                <w:sz w:val="22"/>
                <w:szCs w:val="22"/>
              </w:rPr>
              <w:t>Burden Hours of Respondents</w:t>
            </w:r>
          </w:p>
        </w:tc>
        <w:tc>
          <w:tcPr>
            <w:tcW w:w="990" w:type="dxa"/>
          </w:tcPr>
          <w:p w:rsidR="000107FD" w:rsidRPr="004675A8" w:rsidP="000467AB" w14:paraId="5A12AA3D" w14:textId="77777777">
            <w:pPr>
              <w:rPr>
                <w:b/>
                <w:bCs/>
                <w:sz w:val="22"/>
                <w:szCs w:val="22"/>
              </w:rPr>
            </w:pPr>
          </w:p>
          <w:p w:rsidR="000467AB" w:rsidRPr="004675A8" w:rsidP="000467AB" w14:paraId="1919C5C5" w14:textId="77777777">
            <w:pPr>
              <w:rPr>
                <w:b/>
                <w:bCs/>
                <w:sz w:val="22"/>
                <w:szCs w:val="22"/>
              </w:rPr>
            </w:pPr>
            <w:r w:rsidRPr="004675A8">
              <w:rPr>
                <w:b/>
                <w:bCs/>
                <w:sz w:val="22"/>
                <w:szCs w:val="22"/>
              </w:rPr>
              <w:t>Annual Burden Hours</w:t>
            </w:r>
          </w:p>
        </w:tc>
        <w:tc>
          <w:tcPr>
            <w:tcW w:w="1530" w:type="dxa"/>
          </w:tcPr>
          <w:p w:rsidR="000107FD" w:rsidRPr="004675A8" w:rsidP="000467AB" w14:paraId="0CC4E7B8" w14:textId="77777777">
            <w:pPr>
              <w:rPr>
                <w:b/>
                <w:bCs/>
                <w:sz w:val="22"/>
                <w:szCs w:val="22"/>
              </w:rPr>
            </w:pPr>
          </w:p>
          <w:p w:rsidR="000107FD" w:rsidRPr="004675A8" w:rsidP="000467AB" w14:paraId="78FA2674" w14:textId="77777777">
            <w:pPr>
              <w:rPr>
                <w:b/>
                <w:bCs/>
                <w:sz w:val="22"/>
                <w:szCs w:val="22"/>
              </w:rPr>
            </w:pPr>
          </w:p>
          <w:p w:rsidR="000467AB" w:rsidRPr="004675A8" w:rsidP="000467AB" w14:paraId="2FA21B37" w14:textId="77777777">
            <w:pPr>
              <w:rPr>
                <w:b/>
                <w:bCs/>
                <w:sz w:val="22"/>
                <w:szCs w:val="22"/>
              </w:rPr>
            </w:pPr>
            <w:r w:rsidRPr="004675A8">
              <w:rPr>
                <w:b/>
                <w:bCs/>
                <w:sz w:val="22"/>
                <w:szCs w:val="22"/>
              </w:rPr>
              <w:t>Hourly Salary of Respondents</w:t>
            </w:r>
            <w:r>
              <w:rPr>
                <w:rStyle w:val="FootnoteReference"/>
                <w:b/>
                <w:bCs/>
                <w:sz w:val="22"/>
                <w:szCs w:val="22"/>
              </w:rPr>
              <w:footnoteReference w:id="17"/>
            </w:r>
          </w:p>
        </w:tc>
        <w:tc>
          <w:tcPr>
            <w:tcW w:w="1350" w:type="dxa"/>
          </w:tcPr>
          <w:p w:rsidR="000107FD" w:rsidRPr="004675A8" w:rsidP="000467AB" w14:paraId="49F7B4AC" w14:textId="77777777">
            <w:pPr>
              <w:rPr>
                <w:b/>
                <w:bCs/>
                <w:sz w:val="22"/>
                <w:szCs w:val="22"/>
              </w:rPr>
            </w:pPr>
          </w:p>
          <w:p w:rsidR="000107FD" w:rsidRPr="004675A8" w:rsidP="000467AB" w14:paraId="3EDAFE08" w14:textId="77777777">
            <w:pPr>
              <w:rPr>
                <w:b/>
                <w:bCs/>
                <w:sz w:val="22"/>
                <w:szCs w:val="22"/>
              </w:rPr>
            </w:pPr>
          </w:p>
          <w:p w:rsidR="000467AB" w:rsidRPr="004675A8" w:rsidP="000467AB" w14:paraId="725040AF" w14:textId="77777777">
            <w:pPr>
              <w:rPr>
                <w:b/>
                <w:bCs/>
                <w:sz w:val="22"/>
                <w:szCs w:val="22"/>
              </w:rPr>
            </w:pPr>
            <w:r w:rsidRPr="004675A8">
              <w:rPr>
                <w:b/>
                <w:bCs/>
                <w:sz w:val="22"/>
                <w:szCs w:val="22"/>
              </w:rPr>
              <w:t>Annual In-House Cost</w:t>
            </w:r>
          </w:p>
        </w:tc>
      </w:tr>
      <w:tr w14:paraId="5E115249" w14:textId="77777777" w:rsidTr="002350DD">
        <w:tblPrEx>
          <w:tblW w:w="10260" w:type="dxa"/>
          <w:tblInd w:w="198" w:type="dxa"/>
          <w:tblLayout w:type="fixed"/>
          <w:tblLook w:val="0000"/>
        </w:tblPrEx>
        <w:trPr>
          <w:trHeight w:val="332"/>
        </w:trPr>
        <w:tc>
          <w:tcPr>
            <w:tcW w:w="2070" w:type="dxa"/>
          </w:tcPr>
          <w:p w:rsidR="000467AB" w:rsidRPr="004675A8" w:rsidP="000467AB" w14:paraId="0B33D844" w14:textId="77777777">
            <w:pPr>
              <w:rPr>
                <w:sz w:val="22"/>
                <w:szCs w:val="22"/>
              </w:rPr>
            </w:pPr>
            <w:r w:rsidRPr="004675A8">
              <w:rPr>
                <w:sz w:val="22"/>
                <w:szCs w:val="22"/>
              </w:rPr>
              <w:t>AM</w:t>
            </w:r>
            <w:r w:rsidRPr="004675A8" w:rsidR="00173B50">
              <w:rPr>
                <w:sz w:val="22"/>
                <w:szCs w:val="22"/>
              </w:rPr>
              <w:t>/</w:t>
            </w:r>
            <w:r w:rsidRPr="004675A8">
              <w:rPr>
                <w:sz w:val="22"/>
                <w:szCs w:val="22"/>
              </w:rPr>
              <w:t>FM Hybrid</w:t>
            </w:r>
            <w:r w:rsidRPr="004675A8" w:rsidR="00173B50">
              <w:rPr>
                <w:sz w:val="22"/>
                <w:szCs w:val="22"/>
              </w:rPr>
              <w:t xml:space="preserve"> </w:t>
            </w:r>
            <w:r w:rsidRPr="004675A8" w:rsidR="00EE0F7D">
              <w:rPr>
                <w:sz w:val="22"/>
                <w:szCs w:val="22"/>
              </w:rPr>
              <w:t xml:space="preserve"> Notifications</w:t>
            </w:r>
            <w:r w:rsidRPr="004675A8" w:rsidR="00173B50">
              <w:rPr>
                <w:sz w:val="22"/>
                <w:szCs w:val="22"/>
              </w:rPr>
              <w:t xml:space="preserve">: </w:t>
            </w:r>
            <w:r w:rsidRPr="004675A8" w:rsidR="00714C4F">
              <w:rPr>
                <w:sz w:val="22"/>
                <w:szCs w:val="22"/>
              </w:rPr>
              <w:t xml:space="preserve"> 73.406</w:t>
            </w:r>
          </w:p>
        </w:tc>
        <w:tc>
          <w:tcPr>
            <w:tcW w:w="1440" w:type="dxa"/>
          </w:tcPr>
          <w:p w:rsidR="000467AB" w:rsidRPr="004675A8" w:rsidP="000467AB" w14:paraId="5EFC7055" w14:textId="77777777">
            <w:pPr>
              <w:rPr>
                <w:sz w:val="22"/>
                <w:szCs w:val="22"/>
              </w:rPr>
            </w:pPr>
            <w:r w:rsidRPr="004675A8">
              <w:rPr>
                <w:sz w:val="22"/>
                <w:szCs w:val="22"/>
              </w:rPr>
              <w:t>115</w:t>
            </w:r>
          </w:p>
        </w:tc>
        <w:tc>
          <w:tcPr>
            <w:tcW w:w="1260" w:type="dxa"/>
          </w:tcPr>
          <w:p w:rsidR="000467AB" w:rsidRPr="004675A8" w:rsidP="000467AB" w14:paraId="156E5F99" w14:textId="77777777">
            <w:pPr>
              <w:rPr>
                <w:sz w:val="22"/>
                <w:szCs w:val="22"/>
              </w:rPr>
            </w:pPr>
            <w:r w:rsidRPr="004675A8">
              <w:rPr>
                <w:sz w:val="22"/>
                <w:szCs w:val="22"/>
              </w:rPr>
              <w:t>115</w:t>
            </w:r>
          </w:p>
        </w:tc>
        <w:tc>
          <w:tcPr>
            <w:tcW w:w="1620" w:type="dxa"/>
          </w:tcPr>
          <w:p w:rsidR="000467AB" w:rsidRPr="004675A8" w:rsidP="000467AB" w14:paraId="46562794" w14:textId="05ADA8E7">
            <w:pPr>
              <w:rPr>
                <w:sz w:val="22"/>
                <w:szCs w:val="22"/>
              </w:rPr>
            </w:pPr>
            <w:r>
              <w:rPr>
                <w:sz w:val="22"/>
                <w:szCs w:val="22"/>
              </w:rPr>
              <w:t>1</w:t>
            </w:r>
          </w:p>
        </w:tc>
        <w:tc>
          <w:tcPr>
            <w:tcW w:w="990" w:type="dxa"/>
          </w:tcPr>
          <w:p w:rsidR="000467AB" w:rsidRPr="004675A8" w:rsidP="000467AB" w14:paraId="72393F0A" w14:textId="72356C0C">
            <w:pPr>
              <w:rPr>
                <w:sz w:val="22"/>
                <w:szCs w:val="22"/>
              </w:rPr>
            </w:pPr>
            <w:r>
              <w:rPr>
                <w:sz w:val="22"/>
                <w:szCs w:val="22"/>
              </w:rPr>
              <w:t>115</w:t>
            </w:r>
          </w:p>
        </w:tc>
        <w:tc>
          <w:tcPr>
            <w:tcW w:w="1530" w:type="dxa"/>
          </w:tcPr>
          <w:p w:rsidR="000467AB" w:rsidRPr="004675A8" w:rsidP="000467AB" w14:paraId="19346084" w14:textId="77777777">
            <w:pPr>
              <w:rPr>
                <w:sz w:val="22"/>
                <w:szCs w:val="22"/>
              </w:rPr>
            </w:pPr>
            <w:r w:rsidRPr="004675A8">
              <w:rPr>
                <w:sz w:val="22"/>
                <w:szCs w:val="22"/>
              </w:rPr>
              <w:t>$48.08</w:t>
            </w:r>
          </w:p>
        </w:tc>
        <w:tc>
          <w:tcPr>
            <w:tcW w:w="1350" w:type="dxa"/>
          </w:tcPr>
          <w:p w:rsidR="000467AB" w:rsidRPr="004675A8" w:rsidP="000467AB" w14:paraId="0967616D" w14:textId="772EB2C8">
            <w:pPr>
              <w:rPr>
                <w:sz w:val="22"/>
                <w:szCs w:val="22"/>
              </w:rPr>
            </w:pPr>
            <w:r w:rsidRPr="00E93C25">
              <w:rPr>
                <w:sz w:val="22"/>
                <w:szCs w:val="22"/>
              </w:rPr>
              <w:t>$</w:t>
            </w:r>
            <w:r w:rsidR="00F4041B">
              <w:rPr>
                <w:sz w:val="22"/>
                <w:szCs w:val="22"/>
              </w:rPr>
              <w:t>5,529.20</w:t>
            </w:r>
          </w:p>
        </w:tc>
      </w:tr>
      <w:tr w14:paraId="56C92F6B" w14:textId="77777777" w:rsidTr="003911B3">
        <w:tblPrEx>
          <w:tblW w:w="10260" w:type="dxa"/>
          <w:tblInd w:w="198" w:type="dxa"/>
          <w:tblLayout w:type="fixed"/>
          <w:tblLook w:val="0000"/>
        </w:tblPrEx>
        <w:tc>
          <w:tcPr>
            <w:tcW w:w="2070" w:type="dxa"/>
          </w:tcPr>
          <w:p w:rsidR="00714C4F" w:rsidRPr="004675A8" w:rsidP="000467AB" w14:paraId="598EA37E" w14:textId="18684F80">
            <w:pPr>
              <w:rPr>
                <w:sz w:val="22"/>
                <w:szCs w:val="22"/>
              </w:rPr>
            </w:pPr>
            <w:r w:rsidRPr="004675A8">
              <w:rPr>
                <w:sz w:val="22"/>
                <w:szCs w:val="22"/>
              </w:rPr>
              <w:t>AM All-Digita</w:t>
            </w:r>
            <w:r w:rsidRPr="004675A8" w:rsidR="00C56636">
              <w:rPr>
                <w:sz w:val="22"/>
                <w:szCs w:val="22"/>
              </w:rPr>
              <w:t xml:space="preserve">l </w:t>
            </w:r>
            <w:r w:rsidRPr="004675A8" w:rsidR="003305D4">
              <w:rPr>
                <w:sz w:val="22"/>
                <w:szCs w:val="22"/>
              </w:rPr>
              <w:t xml:space="preserve">Notifications &amp; </w:t>
            </w:r>
            <w:r w:rsidRPr="004675A8" w:rsidR="00C56636">
              <w:rPr>
                <w:sz w:val="22"/>
                <w:szCs w:val="22"/>
              </w:rPr>
              <w:t>Attachment</w:t>
            </w:r>
            <w:r w:rsidRPr="004675A8" w:rsidR="00EE0F7D">
              <w:rPr>
                <w:sz w:val="22"/>
                <w:szCs w:val="22"/>
              </w:rPr>
              <w:t>s</w:t>
            </w:r>
            <w:r w:rsidRPr="004675A8" w:rsidR="00951221">
              <w:rPr>
                <w:sz w:val="22"/>
                <w:szCs w:val="22"/>
              </w:rPr>
              <w:t>:</w:t>
            </w:r>
            <w:r w:rsidRPr="004675A8">
              <w:rPr>
                <w:sz w:val="22"/>
                <w:szCs w:val="22"/>
              </w:rPr>
              <w:t xml:space="preserve"> </w:t>
            </w:r>
            <w:r w:rsidRPr="004675A8" w:rsidR="00456FF7">
              <w:rPr>
                <w:sz w:val="22"/>
                <w:szCs w:val="22"/>
              </w:rPr>
              <w:t>73.406</w:t>
            </w:r>
            <w:r w:rsidRPr="004675A8" w:rsidR="00173B50">
              <w:rPr>
                <w:sz w:val="22"/>
                <w:szCs w:val="22"/>
              </w:rPr>
              <w:t>(a),(b)</w:t>
            </w:r>
            <w:r w:rsidR="007B621C">
              <w:rPr>
                <w:sz w:val="22"/>
                <w:szCs w:val="22"/>
              </w:rPr>
              <w:t>,(c)</w:t>
            </w:r>
            <w:r w:rsidRPr="004675A8" w:rsidR="00341F78">
              <w:rPr>
                <w:sz w:val="22"/>
                <w:szCs w:val="22"/>
              </w:rPr>
              <w:t xml:space="preserve"> </w:t>
            </w:r>
          </w:p>
        </w:tc>
        <w:tc>
          <w:tcPr>
            <w:tcW w:w="1440" w:type="dxa"/>
          </w:tcPr>
          <w:p w:rsidR="00714C4F" w:rsidRPr="004675A8" w:rsidP="000467AB" w14:paraId="502304F8" w14:textId="77777777">
            <w:pPr>
              <w:rPr>
                <w:sz w:val="22"/>
                <w:szCs w:val="22"/>
              </w:rPr>
            </w:pPr>
            <w:r w:rsidRPr="004675A8">
              <w:rPr>
                <w:sz w:val="22"/>
                <w:szCs w:val="22"/>
              </w:rPr>
              <w:t>20</w:t>
            </w:r>
          </w:p>
        </w:tc>
        <w:tc>
          <w:tcPr>
            <w:tcW w:w="1260" w:type="dxa"/>
          </w:tcPr>
          <w:p w:rsidR="00714C4F" w:rsidRPr="004675A8" w:rsidP="000467AB" w14:paraId="6A828305" w14:textId="77777777">
            <w:pPr>
              <w:rPr>
                <w:sz w:val="22"/>
                <w:szCs w:val="22"/>
              </w:rPr>
            </w:pPr>
            <w:r w:rsidRPr="004675A8">
              <w:rPr>
                <w:sz w:val="22"/>
                <w:szCs w:val="22"/>
              </w:rPr>
              <w:t>20</w:t>
            </w:r>
          </w:p>
        </w:tc>
        <w:tc>
          <w:tcPr>
            <w:tcW w:w="1620" w:type="dxa"/>
          </w:tcPr>
          <w:p w:rsidR="00714C4F" w:rsidRPr="004675A8" w:rsidP="000467AB" w14:paraId="2BE94A5B" w14:textId="77777777">
            <w:pPr>
              <w:rPr>
                <w:sz w:val="22"/>
                <w:szCs w:val="22"/>
              </w:rPr>
            </w:pPr>
            <w:r w:rsidRPr="004675A8">
              <w:rPr>
                <w:sz w:val="22"/>
                <w:szCs w:val="22"/>
              </w:rPr>
              <w:t>2</w:t>
            </w:r>
          </w:p>
        </w:tc>
        <w:tc>
          <w:tcPr>
            <w:tcW w:w="990" w:type="dxa"/>
          </w:tcPr>
          <w:p w:rsidR="00714C4F" w:rsidRPr="004675A8" w:rsidP="000467AB" w14:paraId="2FD66258" w14:textId="77777777">
            <w:pPr>
              <w:rPr>
                <w:sz w:val="22"/>
                <w:szCs w:val="22"/>
              </w:rPr>
            </w:pPr>
            <w:r w:rsidRPr="004675A8">
              <w:rPr>
                <w:sz w:val="22"/>
                <w:szCs w:val="22"/>
              </w:rPr>
              <w:t>40</w:t>
            </w:r>
          </w:p>
        </w:tc>
        <w:tc>
          <w:tcPr>
            <w:tcW w:w="1530" w:type="dxa"/>
          </w:tcPr>
          <w:p w:rsidR="00714C4F" w:rsidRPr="004675A8" w:rsidP="000467AB" w14:paraId="4E87A947" w14:textId="77777777">
            <w:pPr>
              <w:rPr>
                <w:sz w:val="22"/>
                <w:szCs w:val="22"/>
              </w:rPr>
            </w:pPr>
            <w:r w:rsidRPr="004675A8">
              <w:rPr>
                <w:sz w:val="22"/>
                <w:szCs w:val="22"/>
              </w:rPr>
              <w:t>$48.08</w:t>
            </w:r>
          </w:p>
        </w:tc>
        <w:tc>
          <w:tcPr>
            <w:tcW w:w="1350" w:type="dxa"/>
          </w:tcPr>
          <w:p w:rsidR="00714C4F" w:rsidRPr="004675A8" w:rsidP="000467AB" w14:paraId="4575E46E" w14:textId="77777777">
            <w:pPr>
              <w:rPr>
                <w:sz w:val="22"/>
                <w:szCs w:val="22"/>
              </w:rPr>
            </w:pPr>
            <w:r w:rsidRPr="004675A8">
              <w:rPr>
                <w:sz w:val="22"/>
                <w:szCs w:val="22"/>
              </w:rPr>
              <w:t>$1,923.20</w:t>
            </w:r>
          </w:p>
        </w:tc>
      </w:tr>
      <w:tr w14:paraId="7B8D8114" w14:textId="77777777" w:rsidTr="003911B3">
        <w:tblPrEx>
          <w:tblW w:w="10260" w:type="dxa"/>
          <w:tblInd w:w="198" w:type="dxa"/>
          <w:tblLayout w:type="fixed"/>
          <w:tblLook w:val="0000"/>
        </w:tblPrEx>
        <w:tc>
          <w:tcPr>
            <w:tcW w:w="2070" w:type="dxa"/>
          </w:tcPr>
          <w:p w:rsidR="004C221E" w:rsidRPr="002F6E2A" w:rsidP="000467AB" w14:paraId="5792B29E" w14:textId="6709B643">
            <w:pPr>
              <w:rPr>
                <w:sz w:val="22"/>
                <w:szCs w:val="22"/>
              </w:rPr>
            </w:pPr>
            <w:r w:rsidRPr="002F6E2A">
              <w:rPr>
                <w:sz w:val="22"/>
                <w:szCs w:val="22"/>
              </w:rPr>
              <w:t xml:space="preserve">FM </w:t>
            </w:r>
            <w:r w:rsidRPr="002F6E2A" w:rsidR="00BC0841">
              <w:rPr>
                <w:sz w:val="22"/>
                <w:szCs w:val="22"/>
              </w:rPr>
              <w:t>Asymmetric Sideband Operation Notifications</w:t>
            </w:r>
            <w:r w:rsidR="004A2574">
              <w:rPr>
                <w:sz w:val="22"/>
                <w:szCs w:val="22"/>
              </w:rPr>
              <w:t>:</w:t>
            </w:r>
          </w:p>
          <w:p w:rsidR="00B17FE6" w:rsidRPr="004675A8" w:rsidP="000467AB" w14:paraId="35C96A65" w14:textId="5E8AC4EE">
            <w:pPr>
              <w:rPr>
                <w:sz w:val="22"/>
                <w:szCs w:val="22"/>
              </w:rPr>
            </w:pPr>
            <w:r>
              <w:rPr>
                <w:szCs w:val="22"/>
              </w:rPr>
              <w:t>73.406(d)</w:t>
            </w:r>
          </w:p>
        </w:tc>
        <w:tc>
          <w:tcPr>
            <w:tcW w:w="1440" w:type="dxa"/>
          </w:tcPr>
          <w:p w:rsidR="004C221E" w:rsidRPr="004675A8" w:rsidP="000467AB" w14:paraId="0B036DD3" w14:textId="55EFA280">
            <w:pPr>
              <w:rPr>
                <w:sz w:val="22"/>
                <w:szCs w:val="22"/>
              </w:rPr>
            </w:pPr>
            <w:r>
              <w:rPr>
                <w:sz w:val="22"/>
                <w:szCs w:val="22"/>
              </w:rPr>
              <w:t>50</w:t>
            </w:r>
          </w:p>
        </w:tc>
        <w:tc>
          <w:tcPr>
            <w:tcW w:w="1260" w:type="dxa"/>
          </w:tcPr>
          <w:p w:rsidR="004C221E" w:rsidRPr="004675A8" w:rsidP="000467AB" w14:paraId="1D98F5EC" w14:textId="26D962DE">
            <w:pPr>
              <w:rPr>
                <w:sz w:val="22"/>
                <w:szCs w:val="22"/>
              </w:rPr>
            </w:pPr>
            <w:r>
              <w:rPr>
                <w:sz w:val="22"/>
                <w:szCs w:val="22"/>
              </w:rPr>
              <w:t>50</w:t>
            </w:r>
          </w:p>
        </w:tc>
        <w:tc>
          <w:tcPr>
            <w:tcW w:w="1620" w:type="dxa"/>
          </w:tcPr>
          <w:p w:rsidR="004C221E" w:rsidRPr="004675A8" w:rsidP="000467AB" w14:paraId="101F100A" w14:textId="126391CF">
            <w:pPr>
              <w:rPr>
                <w:sz w:val="22"/>
                <w:szCs w:val="22"/>
              </w:rPr>
            </w:pPr>
            <w:r>
              <w:rPr>
                <w:sz w:val="22"/>
                <w:szCs w:val="22"/>
              </w:rPr>
              <w:t>2</w:t>
            </w:r>
          </w:p>
        </w:tc>
        <w:tc>
          <w:tcPr>
            <w:tcW w:w="990" w:type="dxa"/>
          </w:tcPr>
          <w:p w:rsidR="004C221E" w:rsidRPr="004675A8" w:rsidP="000467AB" w14:paraId="12B7170B" w14:textId="33BF76F3">
            <w:pPr>
              <w:rPr>
                <w:sz w:val="22"/>
                <w:szCs w:val="22"/>
              </w:rPr>
            </w:pPr>
            <w:r>
              <w:rPr>
                <w:sz w:val="22"/>
                <w:szCs w:val="22"/>
              </w:rPr>
              <w:t>100</w:t>
            </w:r>
          </w:p>
        </w:tc>
        <w:tc>
          <w:tcPr>
            <w:tcW w:w="1530" w:type="dxa"/>
          </w:tcPr>
          <w:p w:rsidR="004C221E" w:rsidRPr="004675A8" w:rsidP="000467AB" w14:paraId="14FBB872" w14:textId="591C527A">
            <w:pPr>
              <w:rPr>
                <w:sz w:val="22"/>
                <w:szCs w:val="22"/>
              </w:rPr>
            </w:pPr>
            <w:r>
              <w:rPr>
                <w:sz w:val="22"/>
                <w:szCs w:val="22"/>
              </w:rPr>
              <w:t>$48.08</w:t>
            </w:r>
          </w:p>
        </w:tc>
        <w:tc>
          <w:tcPr>
            <w:tcW w:w="1350" w:type="dxa"/>
          </w:tcPr>
          <w:p w:rsidR="004C221E" w:rsidRPr="004675A8" w:rsidP="000467AB" w14:paraId="17DFB0C7" w14:textId="729ED2C2">
            <w:pPr>
              <w:rPr>
                <w:sz w:val="22"/>
                <w:szCs w:val="22"/>
              </w:rPr>
            </w:pPr>
            <w:r>
              <w:rPr>
                <w:sz w:val="22"/>
                <w:szCs w:val="22"/>
              </w:rPr>
              <w:t>$4,808.00</w:t>
            </w:r>
          </w:p>
        </w:tc>
      </w:tr>
      <w:tr w14:paraId="42F0308E" w14:textId="77777777" w:rsidTr="003911B3">
        <w:tblPrEx>
          <w:tblW w:w="10260" w:type="dxa"/>
          <w:tblInd w:w="198" w:type="dxa"/>
          <w:tblLayout w:type="fixed"/>
          <w:tblLook w:val="0000"/>
        </w:tblPrEx>
        <w:tc>
          <w:tcPr>
            <w:tcW w:w="2070" w:type="dxa"/>
          </w:tcPr>
          <w:p w:rsidR="000467AB" w:rsidRPr="004675A8" w:rsidP="000467AB" w14:paraId="7F2D0571" w14:textId="77777777">
            <w:pPr>
              <w:rPr>
                <w:sz w:val="22"/>
                <w:szCs w:val="22"/>
              </w:rPr>
            </w:pPr>
          </w:p>
        </w:tc>
        <w:tc>
          <w:tcPr>
            <w:tcW w:w="1440" w:type="dxa"/>
          </w:tcPr>
          <w:p w:rsidR="000467AB" w:rsidRPr="004675A8" w:rsidP="000467AB" w14:paraId="7D36BDA1" w14:textId="77777777">
            <w:pPr>
              <w:rPr>
                <w:sz w:val="22"/>
                <w:szCs w:val="22"/>
              </w:rPr>
            </w:pPr>
          </w:p>
        </w:tc>
        <w:tc>
          <w:tcPr>
            <w:tcW w:w="1260" w:type="dxa"/>
          </w:tcPr>
          <w:p w:rsidR="000467AB" w:rsidRPr="004675A8" w:rsidP="000467AB" w14:paraId="3815B3D0" w14:textId="77777777">
            <w:pPr>
              <w:rPr>
                <w:sz w:val="22"/>
                <w:szCs w:val="22"/>
              </w:rPr>
            </w:pPr>
          </w:p>
        </w:tc>
        <w:tc>
          <w:tcPr>
            <w:tcW w:w="1620" w:type="dxa"/>
          </w:tcPr>
          <w:p w:rsidR="000467AB" w:rsidRPr="004675A8" w:rsidP="000467AB" w14:paraId="33A002D0" w14:textId="77777777">
            <w:pPr>
              <w:rPr>
                <w:sz w:val="22"/>
                <w:szCs w:val="22"/>
              </w:rPr>
            </w:pPr>
          </w:p>
        </w:tc>
        <w:tc>
          <w:tcPr>
            <w:tcW w:w="990" w:type="dxa"/>
          </w:tcPr>
          <w:p w:rsidR="000467AB" w:rsidRPr="004675A8" w:rsidP="000467AB" w14:paraId="1C98ADA5" w14:textId="77777777">
            <w:pPr>
              <w:rPr>
                <w:sz w:val="22"/>
                <w:szCs w:val="22"/>
              </w:rPr>
            </w:pPr>
          </w:p>
        </w:tc>
        <w:tc>
          <w:tcPr>
            <w:tcW w:w="1530" w:type="dxa"/>
          </w:tcPr>
          <w:p w:rsidR="000467AB" w:rsidRPr="004675A8" w:rsidP="000467AB" w14:paraId="284A62BE" w14:textId="77777777">
            <w:pPr>
              <w:rPr>
                <w:sz w:val="22"/>
                <w:szCs w:val="22"/>
              </w:rPr>
            </w:pPr>
          </w:p>
        </w:tc>
        <w:tc>
          <w:tcPr>
            <w:tcW w:w="1350" w:type="dxa"/>
          </w:tcPr>
          <w:p w:rsidR="000467AB" w:rsidRPr="004675A8" w:rsidP="000467AB" w14:paraId="48BAD7A8" w14:textId="77777777">
            <w:pPr>
              <w:rPr>
                <w:sz w:val="22"/>
                <w:szCs w:val="22"/>
              </w:rPr>
            </w:pPr>
          </w:p>
        </w:tc>
      </w:tr>
      <w:tr w14:paraId="124B2A0C" w14:textId="77777777" w:rsidTr="003911B3">
        <w:tblPrEx>
          <w:tblW w:w="10260" w:type="dxa"/>
          <w:tblInd w:w="198" w:type="dxa"/>
          <w:tblLayout w:type="fixed"/>
          <w:tblLook w:val="0000"/>
        </w:tblPrEx>
        <w:tc>
          <w:tcPr>
            <w:tcW w:w="2070" w:type="dxa"/>
          </w:tcPr>
          <w:p w:rsidR="000467AB" w:rsidRPr="004675A8" w:rsidP="000467AB" w14:paraId="1383A057" w14:textId="39413FF5">
            <w:pPr>
              <w:rPr>
                <w:b/>
                <w:sz w:val="22"/>
                <w:szCs w:val="22"/>
              </w:rPr>
            </w:pPr>
          </w:p>
        </w:tc>
        <w:tc>
          <w:tcPr>
            <w:tcW w:w="1440" w:type="dxa"/>
          </w:tcPr>
          <w:p w:rsidR="000467AB" w:rsidRPr="004675A8" w:rsidP="000467AB" w14:paraId="3BAADA89" w14:textId="77777777">
            <w:pPr>
              <w:rPr>
                <w:sz w:val="22"/>
                <w:szCs w:val="22"/>
              </w:rPr>
            </w:pPr>
          </w:p>
        </w:tc>
        <w:tc>
          <w:tcPr>
            <w:tcW w:w="1260" w:type="dxa"/>
          </w:tcPr>
          <w:p w:rsidR="000467AB" w:rsidRPr="004675A8" w:rsidP="000467AB" w14:paraId="248E84B3" w14:textId="77777777">
            <w:pPr>
              <w:rPr>
                <w:sz w:val="22"/>
                <w:szCs w:val="22"/>
              </w:rPr>
            </w:pPr>
          </w:p>
        </w:tc>
        <w:tc>
          <w:tcPr>
            <w:tcW w:w="1620" w:type="dxa"/>
          </w:tcPr>
          <w:p w:rsidR="000467AB" w:rsidRPr="004675A8" w:rsidP="000467AB" w14:paraId="0A859315" w14:textId="77777777">
            <w:pPr>
              <w:rPr>
                <w:sz w:val="22"/>
                <w:szCs w:val="22"/>
              </w:rPr>
            </w:pPr>
          </w:p>
        </w:tc>
        <w:tc>
          <w:tcPr>
            <w:tcW w:w="990" w:type="dxa"/>
          </w:tcPr>
          <w:p w:rsidR="000467AB" w:rsidRPr="004675A8" w:rsidP="000467AB" w14:paraId="41684E1E" w14:textId="77777777">
            <w:pPr>
              <w:rPr>
                <w:sz w:val="22"/>
                <w:szCs w:val="22"/>
              </w:rPr>
            </w:pPr>
          </w:p>
        </w:tc>
        <w:tc>
          <w:tcPr>
            <w:tcW w:w="1530" w:type="dxa"/>
          </w:tcPr>
          <w:p w:rsidR="000467AB" w:rsidRPr="004675A8" w:rsidP="000467AB" w14:paraId="5989A54C" w14:textId="77777777">
            <w:pPr>
              <w:rPr>
                <w:sz w:val="22"/>
                <w:szCs w:val="22"/>
              </w:rPr>
            </w:pPr>
          </w:p>
        </w:tc>
        <w:tc>
          <w:tcPr>
            <w:tcW w:w="1350" w:type="dxa"/>
          </w:tcPr>
          <w:p w:rsidR="000467AB" w:rsidRPr="004675A8" w:rsidP="000467AB" w14:paraId="10972AA1" w14:textId="77777777">
            <w:pPr>
              <w:rPr>
                <w:sz w:val="22"/>
                <w:szCs w:val="22"/>
              </w:rPr>
            </w:pPr>
          </w:p>
        </w:tc>
      </w:tr>
      <w:tr w14:paraId="5A37DEC9" w14:textId="77777777" w:rsidTr="003911B3">
        <w:tblPrEx>
          <w:tblW w:w="10260" w:type="dxa"/>
          <w:tblInd w:w="198" w:type="dxa"/>
          <w:tblLayout w:type="fixed"/>
          <w:tblLook w:val="0000"/>
        </w:tblPrEx>
        <w:tc>
          <w:tcPr>
            <w:tcW w:w="2070" w:type="dxa"/>
          </w:tcPr>
          <w:p w:rsidR="000467AB" w:rsidRPr="004675A8" w:rsidP="000467AB" w14:paraId="6898D3BE" w14:textId="54F9ABA0">
            <w:pPr>
              <w:rPr>
                <w:sz w:val="22"/>
                <w:szCs w:val="22"/>
              </w:rPr>
            </w:pPr>
            <w:r w:rsidRPr="004675A8">
              <w:rPr>
                <w:sz w:val="22"/>
                <w:szCs w:val="22"/>
              </w:rPr>
              <w:t xml:space="preserve">Super-powered Stations </w:t>
            </w:r>
            <w:r w:rsidR="009D4E48">
              <w:rPr>
                <w:sz w:val="22"/>
                <w:szCs w:val="22"/>
              </w:rPr>
              <w:t xml:space="preserve">using Digital Notification Form 335 </w:t>
            </w:r>
            <w:r w:rsidRPr="004675A8">
              <w:rPr>
                <w:sz w:val="22"/>
                <w:szCs w:val="22"/>
              </w:rPr>
              <w:t xml:space="preserve">for any increase in </w:t>
            </w:r>
            <w:r w:rsidR="00FD4B88">
              <w:rPr>
                <w:sz w:val="22"/>
                <w:szCs w:val="22"/>
              </w:rPr>
              <w:t>d</w:t>
            </w:r>
            <w:r w:rsidRPr="004675A8">
              <w:rPr>
                <w:sz w:val="22"/>
                <w:szCs w:val="22"/>
              </w:rPr>
              <w:t>igital ERP</w:t>
            </w:r>
          </w:p>
        </w:tc>
        <w:tc>
          <w:tcPr>
            <w:tcW w:w="1440" w:type="dxa"/>
          </w:tcPr>
          <w:p w:rsidR="000467AB" w:rsidRPr="004675A8" w:rsidP="000467AB" w14:paraId="4A000181" w14:textId="77777777">
            <w:pPr>
              <w:rPr>
                <w:sz w:val="22"/>
                <w:szCs w:val="22"/>
              </w:rPr>
            </w:pPr>
            <w:r w:rsidRPr="004675A8">
              <w:rPr>
                <w:sz w:val="22"/>
                <w:szCs w:val="22"/>
              </w:rPr>
              <w:t>5</w:t>
            </w:r>
          </w:p>
        </w:tc>
        <w:tc>
          <w:tcPr>
            <w:tcW w:w="1260" w:type="dxa"/>
          </w:tcPr>
          <w:p w:rsidR="000467AB" w:rsidRPr="004675A8" w:rsidP="000467AB" w14:paraId="7D4697C3" w14:textId="77777777">
            <w:pPr>
              <w:rPr>
                <w:sz w:val="22"/>
                <w:szCs w:val="22"/>
              </w:rPr>
            </w:pPr>
            <w:r w:rsidRPr="004675A8">
              <w:rPr>
                <w:sz w:val="22"/>
                <w:szCs w:val="22"/>
              </w:rPr>
              <w:t>5</w:t>
            </w:r>
          </w:p>
        </w:tc>
        <w:tc>
          <w:tcPr>
            <w:tcW w:w="1620" w:type="dxa"/>
          </w:tcPr>
          <w:p w:rsidR="000467AB" w:rsidRPr="004675A8" w:rsidP="000467AB" w14:paraId="1839153E" w14:textId="77777777">
            <w:pPr>
              <w:rPr>
                <w:sz w:val="22"/>
                <w:szCs w:val="22"/>
              </w:rPr>
            </w:pPr>
            <w:r w:rsidRPr="004675A8">
              <w:rPr>
                <w:sz w:val="22"/>
                <w:szCs w:val="22"/>
              </w:rPr>
              <w:t>2</w:t>
            </w:r>
          </w:p>
        </w:tc>
        <w:tc>
          <w:tcPr>
            <w:tcW w:w="990" w:type="dxa"/>
          </w:tcPr>
          <w:p w:rsidR="000467AB" w:rsidRPr="004675A8" w:rsidP="000467AB" w14:paraId="60F0B9AC" w14:textId="77777777">
            <w:pPr>
              <w:rPr>
                <w:sz w:val="22"/>
                <w:szCs w:val="22"/>
              </w:rPr>
            </w:pPr>
            <w:r w:rsidRPr="004675A8">
              <w:rPr>
                <w:sz w:val="22"/>
                <w:szCs w:val="22"/>
              </w:rPr>
              <w:t>10</w:t>
            </w:r>
          </w:p>
        </w:tc>
        <w:tc>
          <w:tcPr>
            <w:tcW w:w="1530" w:type="dxa"/>
          </w:tcPr>
          <w:p w:rsidR="000467AB" w:rsidRPr="004675A8" w:rsidP="000467AB" w14:paraId="0E0FE6A3" w14:textId="77777777">
            <w:pPr>
              <w:rPr>
                <w:sz w:val="22"/>
                <w:szCs w:val="22"/>
              </w:rPr>
            </w:pPr>
            <w:r w:rsidRPr="004675A8">
              <w:rPr>
                <w:sz w:val="22"/>
                <w:szCs w:val="22"/>
              </w:rPr>
              <w:t>$48.08</w:t>
            </w:r>
          </w:p>
        </w:tc>
        <w:tc>
          <w:tcPr>
            <w:tcW w:w="1350" w:type="dxa"/>
          </w:tcPr>
          <w:p w:rsidR="000467AB" w:rsidRPr="004675A8" w:rsidP="00113112" w14:paraId="130FA4F4" w14:textId="77777777">
            <w:pPr>
              <w:rPr>
                <w:sz w:val="22"/>
                <w:szCs w:val="22"/>
              </w:rPr>
            </w:pPr>
            <w:r w:rsidRPr="004675A8">
              <w:rPr>
                <w:sz w:val="22"/>
                <w:szCs w:val="22"/>
              </w:rPr>
              <w:t>$4</w:t>
            </w:r>
            <w:r w:rsidRPr="004675A8" w:rsidR="00113112">
              <w:rPr>
                <w:sz w:val="22"/>
                <w:szCs w:val="22"/>
              </w:rPr>
              <w:t>80</w:t>
            </w:r>
            <w:r w:rsidRPr="004675A8">
              <w:rPr>
                <w:sz w:val="22"/>
                <w:szCs w:val="22"/>
              </w:rPr>
              <w:t>.</w:t>
            </w:r>
            <w:r w:rsidRPr="004675A8" w:rsidR="00113112">
              <w:rPr>
                <w:sz w:val="22"/>
                <w:szCs w:val="22"/>
              </w:rPr>
              <w:t>8</w:t>
            </w:r>
            <w:r w:rsidRPr="004675A8">
              <w:rPr>
                <w:sz w:val="22"/>
                <w:szCs w:val="22"/>
              </w:rPr>
              <w:t>0</w:t>
            </w:r>
          </w:p>
        </w:tc>
      </w:tr>
      <w:tr w14:paraId="74834D30" w14:textId="77777777" w:rsidTr="003911B3">
        <w:tblPrEx>
          <w:tblW w:w="10260" w:type="dxa"/>
          <w:tblInd w:w="198" w:type="dxa"/>
          <w:tblLayout w:type="fixed"/>
          <w:tblLook w:val="0000"/>
        </w:tblPrEx>
        <w:tc>
          <w:tcPr>
            <w:tcW w:w="2070" w:type="dxa"/>
          </w:tcPr>
          <w:p w:rsidR="000467AB" w:rsidRPr="004675A8" w:rsidP="000467AB" w14:paraId="2C6A9D10" w14:textId="58A64C97">
            <w:pPr>
              <w:rPr>
                <w:sz w:val="22"/>
                <w:szCs w:val="22"/>
              </w:rPr>
            </w:pPr>
            <w:r w:rsidRPr="00083C21">
              <w:rPr>
                <w:sz w:val="22"/>
                <w:szCs w:val="22"/>
              </w:rPr>
              <w:t xml:space="preserve">FM </w:t>
            </w:r>
            <w:r w:rsidR="00620AC0">
              <w:rPr>
                <w:sz w:val="22"/>
                <w:szCs w:val="22"/>
              </w:rPr>
              <w:t>S</w:t>
            </w:r>
            <w:r w:rsidRPr="00083C21">
              <w:rPr>
                <w:sz w:val="22"/>
                <w:szCs w:val="22"/>
              </w:rPr>
              <w:t xml:space="preserve">tation </w:t>
            </w:r>
            <w:r w:rsidR="006978C4">
              <w:rPr>
                <w:sz w:val="22"/>
                <w:szCs w:val="22"/>
              </w:rPr>
              <w:t>s</w:t>
            </w:r>
            <w:r w:rsidRPr="00083C21">
              <w:rPr>
                <w:sz w:val="22"/>
                <w:szCs w:val="22"/>
              </w:rPr>
              <w:t xml:space="preserve">eeking  </w:t>
            </w:r>
            <w:r w:rsidR="006978C4">
              <w:rPr>
                <w:sz w:val="22"/>
                <w:szCs w:val="22"/>
              </w:rPr>
              <w:t>i</w:t>
            </w:r>
            <w:r w:rsidRPr="00083C21">
              <w:rPr>
                <w:sz w:val="22"/>
                <w:szCs w:val="22"/>
              </w:rPr>
              <w:t xml:space="preserve">ncrease </w:t>
            </w:r>
            <w:r w:rsidR="0094186B">
              <w:rPr>
                <w:sz w:val="22"/>
                <w:szCs w:val="22"/>
              </w:rPr>
              <w:t>in</w:t>
            </w:r>
            <w:r>
              <w:rPr>
                <w:sz w:val="22"/>
                <w:szCs w:val="22"/>
              </w:rPr>
              <w:t xml:space="preserve"> </w:t>
            </w:r>
            <w:r w:rsidR="006978C4">
              <w:rPr>
                <w:sz w:val="22"/>
                <w:szCs w:val="22"/>
              </w:rPr>
              <w:t>t</w:t>
            </w:r>
            <w:r w:rsidRPr="00083C21">
              <w:rPr>
                <w:sz w:val="22"/>
                <w:szCs w:val="22"/>
              </w:rPr>
              <w:t xml:space="preserve">otal </w:t>
            </w:r>
            <w:r w:rsidR="006978C4">
              <w:rPr>
                <w:sz w:val="22"/>
                <w:szCs w:val="22"/>
              </w:rPr>
              <w:t>d</w:t>
            </w:r>
            <w:r w:rsidRPr="00083C21">
              <w:rPr>
                <w:sz w:val="22"/>
                <w:szCs w:val="22"/>
              </w:rPr>
              <w:t>igital E</w:t>
            </w:r>
            <w:r w:rsidR="00620AC0">
              <w:rPr>
                <w:sz w:val="22"/>
                <w:szCs w:val="22"/>
              </w:rPr>
              <w:t xml:space="preserve">RP </w:t>
            </w:r>
            <w:r w:rsidR="006978C4">
              <w:rPr>
                <w:sz w:val="22"/>
                <w:szCs w:val="22"/>
              </w:rPr>
              <w:t>a</w:t>
            </w:r>
            <w:r w:rsidRPr="00083C21">
              <w:rPr>
                <w:sz w:val="22"/>
                <w:szCs w:val="22"/>
              </w:rPr>
              <w:t xml:space="preserve">bove -14 </w:t>
            </w:r>
            <w:r w:rsidRPr="00083C21">
              <w:rPr>
                <w:sz w:val="22"/>
                <w:szCs w:val="22"/>
              </w:rPr>
              <w:t>dBc</w:t>
            </w:r>
            <w:r w:rsidRPr="00083C21">
              <w:rPr>
                <w:sz w:val="22"/>
                <w:szCs w:val="22"/>
              </w:rPr>
              <w:t xml:space="preserve"> </w:t>
            </w:r>
            <w:r w:rsidR="006978C4">
              <w:rPr>
                <w:sz w:val="22"/>
                <w:szCs w:val="22"/>
              </w:rPr>
              <w:t>u</w:t>
            </w:r>
            <w:r>
              <w:rPr>
                <w:sz w:val="22"/>
                <w:szCs w:val="22"/>
              </w:rPr>
              <w:t>sing</w:t>
            </w:r>
            <w:r w:rsidRPr="00083C21">
              <w:rPr>
                <w:sz w:val="22"/>
                <w:szCs w:val="22"/>
              </w:rPr>
              <w:t xml:space="preserve"> </w:t>
            </w:r>
            <w:r w:rsidR="00620AC0">
              <w:rPr>
                <w:sz w:val="22"/>
                <w:szCs w:val="22"/>
              </w:rPr>
              <w:t xml:space="preserve">Schedule </w:t>
            </w:r>
            <w:r w:rsidRPr="00083C21">
              <w:rPr>
                <w:sz w:val="22"/>
                <w:szCs w:val="22"/>
              </w:rPr>
              <w:t>335-FM</w:t>
            </w:r>
            <w:r w:rsidRPr="004675A8">
              <w:rPr>
                <w:sz w:val="22"/>
                <w:szCs w:val="22"/>
              </w:rPr>
              <w:t xml:space="preserve"> </w:t>
            </w:r>
            <w:r w:rsidR="006978C4">
              <w:rPr>
                <w:sz w:val="22"/>
                <w:szCs w:val="22"/>
              </w:rPr>
              <w:t>and</w:t>
            </w:r>
            <w:r>
              <w:rPr>
                <w:sz w:val="22"/>
                <w:szCs w:val="22"/>
              </w:rPr>
              <w:t xml:space="preserve"> </w:t>
            </w:r>
            <w:r w:rsidR="006978C4">
              <w:rPr>
                <w:sz w:val="22"/>
                <w:szCs w:val="22"/>
              </w:rPr>
              <w:t>Exhibit</w:t>
            </w:r>
            <w:r>
              <w:rPr>
                <w:sz w:val="22"/>
                <w:szCs w:val="22"/>
              </w:rPr>
              <w:t xml:space="preserve"> </w:t>
            </w:r>
          </w:p>
        </w:tc>
        <w:tc>
          <w:tcPr>
            <w:tcW w:w="1440" w:type="dxa"/>
          </w:tcPr>
          <w:p w:rsidR="000467AB" w:rsidRPr="004675A8" w:rsidP="000467AB" w14:paraId="111832B3" w14:textId="4F30A3B5">
            <w:pPr>
              <w:rPr>
                <w:sz w:val="22"/>
                <w:szCs w:val="22"/>
              </w:rPr>
            </w:pPr>
            <w:r>
              <w:rPr>
                <w:sz w:val="22"/>
                <w:szCs w:val="22"/>
              </w:rPr>
              <w:t>20</w:t>
            </w:r>
          </w:p>
        </w:tc>
        <w:tc>
          <w:tcPr>
            <w:tcW w:w="1260" w:type="dxa"/>
          </w:tcPr>
          <w:p w:rsidR="000467AB" w:rsidRPr="004675A8" w:rsidP="000467AB" w14:paraId="685DC63B" w14:textId="180534F1">
            <w:pPr>
              <w:rPr>
                <w:sz w:val="22"/>
                <w:szCs w:val="22"/>
              </w:rPr>
            </w:pPr>
            <w:r>
              <w:rPr>
                <w:sz w:val="22"/>
                <w:szCs w:val="22"/>
              </w:rPr>
              <w:t>20</w:t>
            </w:r>
          </w:p>
        </w:tc>
        <w:tc>
          <w:tcPr>
            <w:tcW w:w="1620" w:type="dxa"/>
          </w:tcPr>
          <w:p w:rsidR="000467AB" w:rsidRPr="004675A8" w:rsidP="000467AB" w14:paraId="708AB107" w14:textId="1ACCC164">
            <w:pPr>
              <w:rPr>
                <w:sz w:val="22"/>
                <w:szCs w:val="22"/>
              </w:rPr>
            </w:pPr>
            <w:r>
              <w:rPr>
                <w:sz w:val="22"/>
                <w:szCs w:val="22"/>
              </w:rPr>
              <w:t>2</w:t>
            </w:r>
          </w:p>
        </w:tc>
        <w:tc>
          <w:tcPr>
            <w:tcW w:w="990" w:type="dxa"/>
          </w:tcPr>
          <w:p w:rsidR="000467AB" w:rsidRPr="004675A8" w:rsidP="000467AB" w14:paraId="13B65374" w14:textId="0E3F0A03">
            <w:pPr>
              <w:rPr>
                <w:sz w:val="22"/>
                <w:szCs w:val="22"/>
              </w:rPr>
            </w:pPr>
            <w:r>
              <w:rPr>
                <w:sz w:val="22"/>
                <w:szCs w:val="22"/>
              </w:rPr>
              <w:t>40</w:t>
            </w:r>
          </w:p>
        </w:tc>
        <w:tc>
          <w:tcPr>
            <w:tcW w:w="1530" w:type="dxa"/>
          </w:tcPr>
          <w:p w:rsidR="000467AB" w:rsidRPr="004675A8" w:rsidP="000467AB" w14:paraId="54AC50FF" w14:textId="77777777">
            <w:pPr>
              <w:rPr>
                <w:sz w:val="22"/>
                <w:szCs w:val="22"/>
              </w:rPr>
            </w:pPr>
            <w:r w:rsidRPr="004675A8">
              <w:rPr>
                <w:sz w:val="22"/>
                <w:szCs w:val="22"/>
              </w:rPr>
              <w:t>$48.08</w:t>
            </w:r>
          </w:p>
        </w:tc>
        <w:tc>
          <w:tcPr>
            <w:tcW w:w="1350" w:type="dxa"/>
          </w:tcPr>
          <w:p w:rsidR="000467AB" w:rsidRPr="004675A8" w:rsidP="00113112" w14:paraId="71AC27E4" w14:textId="4422205F">
            <w:pPr>
              <w:rPr>
                <w:sz w:val="22"/>
                <w:szCs w:val="22"/>
              </w:rPr>
            </w:pPr>
            <w:r w:rsidRPr="004675A8">
              <w:rPr>
                <w:sz w:val="22"/>
                <w:szCs w:val="22"/>
              </w:rPr>
              <w:t>$</w:t>
            </w:r>
            <w:r w:rsidR="00586F15">
              <w:rPr>
                <w:sz w:val="22"/>
                <w:szCs w:val="22"/>
              </w:rPr>
              <w:t>1,923.20</w:t>
            </w:r>
          </w:p>
        </w:tc>
      </w:tr>
      <w:tr w14:paraId="2801CD57" w14:textId="77777777" w:rsidTr="003911B3">
        <w:tblPrEx>
          <w:tblW w:w="10260" w:type="dxa"/>
          <w:tblInd w:w="198" w:type="dxa"/>
          <w:tblLayout w:type="fixed"/>
          <w:tblLook w:val="0000"/>
        </w:tblPrEx>
        <w:tc>
          <w:tcPr>
            <w:tcW w:w="2070" w:type="dxa"/>
          </w:tcPr>
          <w:p w:rsidR="000467AB" w:rsidRPr="004675A8" w:rsidP="000467AB" w14:paraId="6C3511E9" w14:textId="7054BA4B">
            <w:pPr>
              <w:rPr>
                <w:sz w:val="22"/>
                <w:szCs w:val="22"/>
              </w:rPr>
            </w:pPr>
          </w:p>
        </w:tc>
        <w:tc>
          <w:tcPr>
            <w:tcW w:w="1440" w:type="dxa"/>
          </w:tcPr>
          <w:p w:rsidR="000467AB" w:rsidRPr="004675A8" w:rsidP="000467AB" w14:paraId="4AFD1201" w14:textId="7D7BD00B">
            <w:pPr>
              <w:rPr>
                <w:sz w:val="22"/>
                <w:szCs w:val="22"/>
              </w:rPr>
            </w:pPr>
          </w:p>
        </w:tc>
        <w:tc>
          <w:tcPr>
            <w:tcW w:w="1260" w:type="dxa"/>
          </w:tcPr>
          <w:p w:rsidR="000467AB" w:rsidRPr="004675A8" w:rsidP="000467AB" w14:paraId="69A87BAA" w14:textId="11E93F7E">
            <w:pPr>
              <w:rPr>
                <w:sz w:val="22"/>
                <w:szCs w:val="22"/>
              </w:rPr>
            </w:pPr>
          </w:p>
        </w:tc>
        <w:tc>
          <w:tcPr>
            <w:tcW w:w="1620" w:type="dxa"/>
          </w:tcPr>
          <w:p w:rsidR="000467AB" w:rsidRPr="004675A8" w:rsidP="000467AB" w14:paraId="7F9D17A6" w14:textId="3C35843D">
            <w:pPr>
              <w:rPr>
                <w:sz w:val="22"/>
                <w:szCs w:val="22"/>
              </w:rPr>
            </w:pPr>
          </w:p>
        </w:tc>
        <w:tc>
          <w:tcPr>
            <w:tcW w:w="990" w:type="dxa"/>
          </w:tcPr>
          <w:p w:rsidR="000467AB" w:rsidRPr="004675A8" w:rsidP="000467AB" w14:paraId="48A134EA" w14:textId="6C1EEC3A">
            <w:pPr>
              <w:rPr>
                <w:sz w:val="22"/>
                <w:szCs w:val="22"/>
              </w:rPr>
            </w:pPr>
          </w:p>
        </w:tc>
        <w:tc>
          <w:tcPr>
            <w:tcW w:w="1530" w:type="dxa"/>
          </w:tcPr>
          <w:p w:rsidR="000467AB" w:rsidRPr="004675A8" w:rsidP="000467AB" w14:paraId="6B77C75A" w14:textId="795965A0">
            <w:pPr>
              <w:rPr>
                <w:sz w:val="22"/>
                <w:szCs w:val="22"/>
              </w:rPr>
            </w:pPr>
          </w:p>
        </w:tc>
        <w:tc>
          <w:tcPr>
            <w:tcW w:w="1350" w:type="dxa"/>
          </w:tcPr>
          <w:p w:rsidR="000467AB" w:rsidRPr="004675A8" w:rsidP="000467AB" w14:paraId="6D27B96F" w14:textId="759CB55D">
            <w:pPr>
              <w:rPr>
                <w:sz w:val="22"/>
                <w:szCs w:val="22"/>
              </w:rPr>
            </w:pPr>
          </w:p>
        </w:tc>
      </w:tr>
      <w:tr w14:paraId="4C52A843" w14:textId="77777777" w:rsidTr="003911B3">
        <w:tblPrEx>
          <w:tblW w:w="10260" w:type="dxa"/>
          <w:tblInd w:w="198" w:type="dxa"/>
          <w:tblLayout w:type="fixed"/>
          <w:tblLook w:val="0000"/>
        </w:tblPrEx>
        <w:tc>
          <w:tcPr>
            <w:tcW w:w="2070" w:type="dxa"/>
          </w:tcPr>
          <w:p w:rsidR="000467AB" w:rsidRPr="004675A8" w:rsidP="000467AB" w14:paraId="682F3960" w14:textId="08DE6320">
            <w:pPr>
              <w:rPr>
                <w:sz w:val="22"/>
                <w:szCs w:val="22"/>
              </w:rPr>
            </w:pPr>
          </w:p>
        </w:tc>
        <w:tc>
          <w:tcPr>
            <w:tcW w:w="1440" w:type="dxa"/>
          </w:tcPr>
          <w:p w:rsidR="000467AB" w:rsidRPr="004675A8" w:rsidP="000467AB" w14:paraId="76B90F9B" w14:textId="568D792C">
            <w:pPr>
              <w:rPr>
                <w:sz w:val="22"/>
                <w:szCs w:val="22"/>
              </w:rPr>
            </w:pPr>
          </w:p>
        </w:tc>
        <w:tc>
          <w:tcPr>
            <w:tcW w:w="1260" w:type="dxa"/>
          </w:tcPr>
          <w:p w:rsidR="000467AB" w:rsidRPr="004675A8" w:rsidP="000467AB" w14:paraId="3498B78D" w14:textId="0C6E6FD1">
            <w:pPr>
              <w:rPr>
                <w:sz w:val="22"/>
                <w:szCs w:val="22"/>
              </w:rPr>
            </w:pPr>
          </w:p>
        </w:tc>
        <w:tc>
          <w:tcPr>
            <w:tcW w:w="1620" w:type="dxa"/>
          </w:tcPr>
          <w:p w:rsidR="000467AB" w:rsidRPr="004675A8" w:rsidP="000467AB" w14:paraId="61C67B01" w14:textId="03C46ECF">
            <w:pPr>
              <w:rPr>
                <w:sz w:val="22"/>
                <w:szCs w:val="22"/>
              </w:rPr>
            </w:pPr>
          </w:p>
        </w:tc>
        <w:tc>
          <w:tcPr>
            <w:tcW w:w="990" w:type="dxa"/>
          </w:tcPr>
          <w:p w:rsidR="000467AB" w:rsidRPr="004675A8" w:rsidP="000467AB" w14:paraId="1669CCF4" w14:textId="21DBB26C">
            <w:pPr>
              <w:rPr>
                <w:sz w:val="22"/>
                <w:szCs w:val="22"/>
              </w:rPr>
            </w:pPr>
          </w:p>
        </w:tc>
        <w:tc>
          <w:tcPr>
            <w:tcW w:w="1530" w:type="dxa"/>
          </w:tcPr>
          <w:p w:rsidR="000467AB" w:rsidRPr="004675A8" w:rsidP="000467AB" w14:paraId="73E85C38" w14:textId="0458AE0F">
            <w:pPr>
              <w:rPr>
                <w:sz w:val="22"/>
                <w:szCs w:val="22"/>
              </w:rPr>
            </w:pPr>
          </w:p>
        </w:tc>
        <w:tc>
          <w:tcPr>
            <w:tcW w:w="1350" w:type="dxa"/>
          </w:tcPr>
          <w:p w:rsidR="000467AB" w:rsidRPr="004675A8" w:rsidP="000467AB" w14:paraId="3426B74C" w14:textId="591A1A3D">
            <w:pPr>
              <w:rPr>
                <w:sz w:val="22"/>
                <w:szCs w:val="22"/>
              </w:rPr>
            </w:pPr>
          </w:p>
        </w:tc>
      </w:tr>
      <w:tr w14:paraId="384AE86B" w14:textId="77777777" w:rsidTr="003911B3">
        <w:tblPrEx>
          <w:tblW w:w="10260" w:type="dxa"/>
          <w:tblInd w:w="198" w:type="dxa"/>
          <w:tblLayout w:type="fixed"/>
          <w:tblLook w:val="0000"/>
        </w:tblPrEx>
        <w:tc>
          <w:tcPr>
            <w:tcW w:w="2070" w:type="dxa"/>
          </w:tcPr>
          <w:p w:rsidR="000467AB" w:rsidRPr="004675A8" w:rsidP="000467AB" w14:paraId="1A0E0163" w14:textId="77777777">
            <w:pPr>
              <w:rPr>
                <w:sz w:val="22"/>
                <w:szCs w:val="22"/>
              </w:rPr>
            </w:pPr>
            <w:r w:rsidRPr="004675A8">
              <w:rPr>
                <w:sz w:val="22"/>
                <w:szCs w:val="22"/>
              </w:rPr>
              <w:t>Interference Complaints</w:t>
            </w:r>
          </w:p>
        </w:tc>
        <w:tc>
          <w:tcPr>
            <w:tcW w:w="1440" w:type="dxa"/>
          </w:tcPr>
          <w:p w:rsidR="000467AB" w:rsidRPr="004675A8" w:rsidP="000467AB" w14:paraId="2657EDC9" w14:textId="596D771E">
            <w:pPr>
              <w:rPr>
                <w:sz w:val="22"/>
                <w:szCs w:val="22"/>
              </w:rPr>
            </w:pPr>
            <w:r>
              <w:rPr>
                <w:sz w:val="22"/>
                <w:szCs w:val="22"/>
              </w:rPr>
              <w:t>5</w:t>
            </w:r>
          </w:p>
        </w:tc>
        <w:tc>
          <w:tcPr>
            <w:tcW w:w="1260" w:type="dxa"/>
          </w:tcPr>
          <w:p w:rsidR="000467AB" w:rsidRPr="004675A8" w:rsidP="000467AB" w14:paraId="164A020D" w14:textId="577F9563">
            <w:pPr>
              <w:rPr>
                <w:sz w:val="22"/>
                <w:szCs w:val="22"/>
              </w:rPr>
            </w:pPr>
            <w:r>
              <w:rPr>
                <w:sz w:val="22"/>
                <w:szCs w:val="22"/>
              </w:rPr>
              <w:t>5</w:t>
            </w:r>
          </w:p>
        </w:tc>
        <w:tc>
          <w:tcPr>
            <w:tcW w:w="1620" w:type="dxa"/>
          </w:tcPr>
          <w:p w:rsidR="000467AB" w:rsidRPr="004675A8" w:rsidP="000467AB" w14:paraId="303D71E2" w14:textId="77777777">
            <w:pPr>
              <w:rPr>
                <w:sz w:val="22"/>
                <w:szCs w:val="22"/>
              </w:rPr>
            </w:pPr>
            <w:r w:rsidRPr="004675A8">
              <w:rPr>
                <w:sz w:val="22"/>
                <w:szCs w:val="22"/>
              </w:rPr>
              <w:t>8</w:t>
            </w:r>
          </w:p>
        </w:tc>
        <w:tc>
          <w:tcPr>
            <w:tcW w:w="990" w:type="dxa"/>
          </w:tcPr>
          <w:p w:rsidR="000467AB" w:rsidRPr="004675A8" w:rsidP="000467AB" w14:paraId="4046B7AE" w14:textId="2C058B78">
            <w:pPr>
              <w:rPr>
                <w:sz w:val="22"/>
                <w:szCs w:val="22"/>
              </w:rPr>
            </w:pPr>
            <w:r>
              <w:rPr>
                <w:sz w:val="22"/>
                <w:szCs w:val="22"/>
              </w:rPr>
              <w:t>4</w:t>
            </w:r>
            <w:r w:rsidRPr="004675A8" w:rsidR="00634116">
              <w:rPr>
                <w:sz w:val="22"/>
                <w:szCs w:val="22"/>
              </w:rPr>
              <w:t>0</w:t>
            </w:r>
          </w:p>
        </w:tc>
        <w:tc>
          <w:tcPr>
            <w:tcW w:w="1530" w:type="dxa"/>
          </w:tcPr>
          <w:p w:rsidR="000467AB" w:rsidRPr="004675A8" w:rsidP="000467AB" w14:paraId="74015A1C" w14:textId="77777777">
            <w:pPr>
              <w:rPr>
                <w:sz w:val="22"/>
                <w:szCs w:val="22"/>
              </w:rPr>
            </w:pPr>
            <w:r w:rsidRPr="004675A8">
              <w:rPr>
                <w:sz w:val="22"/>
                <w:szCs w:val="22"/>
              </w:rPr>
              <w:t>$48.08</w:t>
            </w:r>
          </w:p>
        </w:tc>
        <w:tc>
          <w:tcPr>
            <w:tcW w:w="1350" w:type="dxa"/>
          </w:tcPr>
          <w:p w:rsidR="000467AB" w:rsidRPr="004675A8" w:rsidP="000467AB" w14:paraId="72EAE472" w14:textId="15BE2651">
            <w:pPr>
              <w:rPr>
                <w:sz w:val="22"/>
                <w:szCs w:val="22"/>
              </w:rPr>
            </w:pPr>
            <w:r w:rsidRPr="004675A8">
              <w:rPr>
                <w:sz w:val="22"/>
                <w:szCs w:val="22"/>
              </w:rPr>
              <w:t>$</w:t>
            </w:r>
            <w:r w:rsidR="006E45CC">
              <w:rPr>
                <w:sz w:val="22"/>
                <w:szCs w:val="22"/>
              </w:rPr>
              <w:t>1,923.20</w:t>
            </w:r>
          </w:p>
        </w:tc>
      </w:tr>
      <w:tr w14:paraId="33D3D25D" w14:textId="77777777" w:rsidTr="003911B3">
        <w:tblPrEx>
          <w:tblW w:w="10260" w:type="dxa"/>
          <w:tblInd w:w="198" w:type="dxa"/>
          <w:tblLayout w:type="fixed"/>
          <w:tblLook w:val="0000"/>
        </w:tblPrEx>
        <w:tc>
          <w:tcPr>
            <w:tcW w:w="2070" w:type="dxa"/>
          </w:tcPr>
          <w:p w:rsidR="000467AB" w:rsidRPr="0097684C" w:rsidP="000467AB" w14:paraId="559DE18C" w14:textId="6CCF71CB">
            <w:pPr>
              <w:rPr>
                <w:b/>
                <w:sz w:val="22"/>
                <w:szCs w:val="22"/>
              </w:rPr>
            </w:pPr>
            <w:r w:rsidRPr="0097684C">
              <w:rPr>
                <w:b/>
                <w:sz w:val="22"/>
                <w:szCs w:val="22"/>
              </w:rPr>
              <w:t>Totals:</w:t>
            </w:r>
          </w:p>
        </w:tc>
        <w:tc>
          <w:tcPr>
            <w:tcW w:w="1440" w:type="dxa"/>
          </w:tcPr>
          <w:p w:rsidR="000467AB" w:rsidRPr="0097684C" w:rsidP="00D90910" w14:paraId="257A74FE" w14:textId="6B0DD721">
            <w:pPr>
              <w:rPr>
                <w:b/>
                <w:sz w:val="22"/>
                <w:szCs w:val="22"/>
              </w:rPr>
            </w:pPr>
            <w:r w:rsidRPr="0097684C">
              <w:rPr>
                <w:b/>
                <w:sz w:val="22"/>
                <w:szCs w:val="22"/>
              </w:rPr>
              <w:t>215</w:t>
            </w:r>
          </w:p>
        </w:tc>
        <w:tc>
          <w:tcPr>
            <w:tcW w:w="1260" w:type="dxa"/>
          </w:tcPr>
          <w:p w:rsidR="000107FD" w:rsidRPr="0097684C" w:rsidP="000467AB" w14:paraId="65E6ED24" w14:textId="0D030540">
            <w:pPr>
              <w:rPr>
                <w:b/>
                <w:sz w:val="22"/>
                <w:szCs w:val="22"/>
              </w:rPr>
            </w:pPr>
            <w:r w:rsidRPr="0097684C">
              <w:rPr>
                <w:b/>
                <w:sz w:val="22"/>
                <w:szCs w:val="22"/>
              </w:rPr>
              <w:t>215</w:t>
            </w:r>
          </w:p>
          <w:p w:rsidR="000467AB" w:rsidRPr="0097684C" w:rsidP="000467AB" w14:paraId="6724791C" w14:textId="206CAAC1">
            <w:pPr>
              <w:rPr>
                <w:b/>
                <w:sz w:val="22"/>
                <w:szCs w:val="22"/>
              </w:rPr>
            </w:pPr>
          </w:p>
        </w:tc>
        <w:tc>
          <w:tcPr>
            <w:tcW w:w="1620" w:type="dxa"/>
          </w:tcPr>
          <w:p w:rsidR="000467AB" w:rsidRPr="0097684C" w:rsidP="000467AB" w14:paraId="7D470AC0" w14:textId="6D4D640A">
            <w:pPr>
              <w:rPr>
                <w:b/>
                <w:sz w:val="22"/>
                <w:szCs w:val="22"/>
              </w:rPr>
            </w:pPr>
            <w:r w:rsidRPr="0097684C">
              <w:rPr>
                <w:b/>
                <w:sz w:val="22"/>
                <w:szCs w:val="22"/>
              </w:rPr>
              <w:t xml:space="preserve"> </w:t>
            </w:r>
            <w:r w:rsidRPr="0097684C" w:rsidR="00D90910">
              <w:rPr>
                <w:b/>
                <w:sz w:val="22"/>
                <w:szCs w:val="22"/>
              </w:rPr>
              <w:t>17</w:t>
            </w:r>
          </w:p>
        </w:tc>
        <w:tc>
          <w:tcPr>
            <w:tcW w:w="990" w:type="dxa"/>
          </w:tcPr>
          <w:p w:rsidR="000467AB" w:rsidRPr="0097684C" w:rsidP="000467AB" w14:paraId="297450F3" w14:textId="76EAC759">
            <w:pPr>
              <w:rPr>
                <w:b/>
                <w:sz w:val="22"/>
                <w:szCs w:val="22"/>
              </w:rPr>
            </w:pPr>
            <w:r w:rsidRPr="0097684C">
              <w:rPr>
                <w:b/>
                <w:sz w:val="22"/>
                <w:szCs w:val="22"/>
              </w:rPr>
              <w:t>345</w:t>
            </w:r>
          </w:p>
        </w:tc>
        <w:tc>
          <w:tcPr>
            <w:tcW w:w="1530" w:type="dxa"/>
          </w:tcPr>
          <w:p w:rsidR="000467AB" w:rsidRPr="0097684C" w:rsidP="000467AB" w14:paraId="6E525503" w14:textId="12613E75">
            <w:pPr>
              <w:rPr>
                <w:b/>
                <w:sz w:val="22"/>
                <w:szCs w:val="22"/>
              </w:rPr>
            </w:pPr>
            <w:r w:rsidRPr="0097684C">
              <w:rPr>
                <w:b/>
                <w:sz w:val="22"/>
                <w:szCs w:val="22"/>
              </w:rPr>
              <w:t>$48.08</w:t>
            </w:r>
          </w:p>
        </w:tc>
        <w:tc>
          <w:tcPr>
            <w:tcW w:w="1350" w:type="dxa"/>
          </w:tcPr>
          <w:p w:rsidR="000467AB" w:rsidRPr="0097684C" w:rsidP="000467AB" w14:paraId="4041B544" w14:textId="3186659A">
            <w:pPr>
              <w:rPr>
                <w:b/>
                <w:sz w:val="22"/>
                <w:szCs w:val="22"/>
              </w:rPr>
            </w:pPr>
            <w:r w:rsidRPr="003A4DEF">
              <w:rPr>
                <w:b/>
                <w:sz w:val="22"/>
                <w:szCs w:val="22"/>
              </w:rPr>
              <w:t>$</w:t>
            </w:r>
            <w:r w:rsidRPr="003A4DEF" w:rsidR="00D90910">
              <w:rPr>
                <w:b/>
                <w:sz w:val="22"/>
                <w:szCs w:val="22"/>
              </w:rPr>
              <w:t>1</w:t>
            </w:r>
            <w:r w:rsidRPr="003A4DEF" w:rsidR="00970D37">
              <w:rPr>
                <w:b/>
                <w:sz w:val="22"/>
                <w:szCs w:val="22"/>
              </w:rPr>
              <w:t>6,587.60</w:t>
            </w:r>
          </w:p>
        </w:tc>
      </w:tr>
    </w:tbl>
    <w:p w:rsidR="000467AB" w:rsidRPr="004675A8" w:rsidP="000467AB" w14:paraId="6039F96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B52A35" w:rsidRPr="004675A8" w:rsidP="000467AB" w14:paraId="2B21A0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4675A8" w:rsidP="000467AB" w14:paraId="44064FC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b/>
          <w:spacing w:val="-3"/>
          <w:sz w:val="22"/>
          <w:szCs w:val="22"/>
        </w:rPr>
        <w:t xml:space="preserve">13. Annual Cost Burden to Respondents: </w:t>
      </w:r>
      <w:r w:rsidRPr="004675A8">
        <w:rPr>
          <w:spacing w:val="-3"/>
          <w:sz w:val="22"/>
          <w:szCs w:val="22"/>
        </w:rPr>
        <w:t xml:space="preserve"> </w:t>
      </w:r>
      <w:r w:rsidRPr="004675A8" w:rsidR="000107FD">
        <w:rPr>
          <w:spacing w:val="-3"/>
          <w:sz w:val="22"/>
          <w:szCs w:val="22"/>
        </w:rPr>
        <w:t xml:space="preserve">The respondent will </w:t>
      </w:r>
      <w:r w:rsidRPr="004675A8" w:rsidR="00113112">
        <w:rPr>
          <w:spacing w:val="-3"/>
          <w:sz w:val="22"/>
          <w:szCs w:val="22"/>
        </w:rPr>
        <w:t xml:space="preserve">also </w:t>
      </w:r>
      <w:r w:rsidRPr="004675A8" w:rsidR="000107FD">
        <w:rPr>
          <w:spacing w:val="-3"/>
          <w:sz w:val="22"/>
          <w:szCs w:val="22"/>
        </w:rPr>
        <w:t>hire engineering and legal consultants to help fulfill the various information collection requirements contained in this collection.</w:t>
      </w:r>
      <w:r>
        <w:rPr>
          <w:rStyle w:val="FootnoteReference"/>
          <w:spacing w:val="-3"/>
          <w:sz w:val="22"/>
          <w:szCs w:val="22"/>
        </w:rPr>
        <w:footnoteReference w:id="18"/>
      </w:r>
    </w:p>
    <w:p w:rsidR="000467AB" w:rsidRPr="004675A8" w:rsidP="000467AB" w14:paraId="41BD412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7"/>
        <w:gridCol w:w="23"/>
        <w:gridCol w:w="1057"/>
        <w:gridCol w:w="23"/>
        <w:gridCol w:w="1417"/>
        <w:gridCol w:w="1620"/>
        <w:gridCol w:w="23"/>
        <w:gridCol w:w="1777"/>
        <w:gridCol w:w="23"/>
        <w:gridCol w:w="1800"/>
      </w:tblGrid>
      <w:tr w14:paraId="72B44652" w14:textId="77777777" w:rsidTr="007A3E48">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20" w:type="dxa"/>
            <w:gridSpan w:val="2"/>
          </w:tcPr>
          <w:p w:rsidR="000467AB" w:rsidP="000467AB" w14:paraId="33E8F2BD" w14:textId="77777777">
            <w:pPr>
              <w:suppressAutoHyphens/>
              <w:rPr>
                <w:b/>
                <w:spacing w:val="-3"/>
                <w:sz w:val="22"/>
                <w:szCs w:val="22"/>
              </w:rPr>
            </w:pPr>
            <w:r w:rsidRPr="004675A8">
              <w:rPr>
                <w:b/>
                <w:spacing w:val="-3"/>
                <w:sz w:val="22"/>
                <w:szCs w:val="22"/>
              </w:rPr>
              <w:t>Type</w:t>
            </w:r>
          </w:p>
          <w:p w:rsidR="001154EF" w:rsidP="000467AB" w14:paraId="2C6C2D5C" w14:textId="77777777">
            <w:pPr>
              <w:suppressAutoHyphens/>
              <w:rPr>
                <w:b/>
                <w:spacing w:val="-3"/>
                <w:sz w:val="22"/>
                <w:szCs w:val="22"/>
              </w:rPr>
            </w:pPr>
          </w:p>
          <w:p w:rsidR="001154EF" w:rsidRPr="004675A8" w:rsidP="000467AB" w14:paraId="147A26E1" w14:textId="77777777">
            <w:pPr>
              <w:suppressAutoHyphens/>
              <w:rPr>
                <w:b/>
                <w:spacing w:val="-3"/>
                <w:sz w:val="22"/>
                <w:szCs w:val="22"/>
              </w:rPr>
            </w:pPr>
          </w:p>
        </w:tc>
        <w:tc>
          <w:tcPr>
            <w:tcW w:w="1080" w:type="dxa"/>
            <w:gridSpan w:val="2"/>
          </w:tcPr>
          <w:p w:rsidR="000467AB" w:rsidRPr="004675A8" w:rsidP="000467AB" w14:paraId="2D323CD0" w14:textId="77777777">
            <w:pPr>
              <w:rPr>
                <w:b/>
                <w:sz w:val="22"/>
                <w:szCs w:val="22"/>
              </w:rPr>
            </w:pPr>
            <w:r w:rsidRPr="004675A8">
              <w:rPr>
                <w:b/>
                <w:sz w:val="22"/>
                <w:szCs w:val="22"/>
              </w:rPr>
              <w:t>Number of Forms</w:t>
            </w:r>
          </w:p>
        </w:tc>
        <w:tc>
          <w:tcPr>
            <w:tcW w:w="1417" w:type="dxa"/>
          </w:tcPr>
          <w:p w:rsidR="000467AB" w:rsidRPr="004675A8" w:rsidP="000467AB" w14:paraId="7B53BE71" w14:textId="77777777">
            <w:pPr>
              <w:rPr>
                <w:b/>
                <w:sz w:val="22"/>
                <w:szCs w:val="22"/>
              </w:rPr>
            </w:pPr>
            <w:r w:rsidRPr="004675A8">
              <w:rPr>
                <w:b/>
                <w:sz w:val="22"/>
                <w:szCs w:val="22"/>
              </w:rPr>
              <w:t>Consultant’s Burden</w:t>
            </w:r>
          </w:p>
        </w:tc>
        <w:tc>
          <w:tcPr>
            <w:tcW w:w="1643" w:type="dxa"/>
            <w:gridSpan w:val="2"/>
          </w:tcPr>
          <w:p w:rsidR="000467AB" w:rsidRPr="004675A8" w:rsidP="000467AB" w14:paraId="56BDEECF" w14:textId="77777777">
            <w:pPr>
              <w:rPr>
                <w:b/>
                <w:sz w:val="22"/>
                <w:szCs w:val="22"/>
              </w:rPr>
            </w:pPr>
            <w:r w:rsidRPr="004675A8">
              <w:rPr>
                <w:b/>
                <w:sz w:val="22"/>
                <w:szCs w:val="22"/>
              </w:rPr>
              <w:t>Total Annual Burden Hours</w:t>
            </w:r>
          </w:p>
        </w:tc>
        <w:tc>
          <w:tcPr>
            <w:tcW w:w="1800" w:type="dxa"/>
            <w:gridSpan w:val="2"/>
          </w:tcPr>
          <w:p w:rsidR="000467AB" w:rsidRPr="004675A8" w:rsidP="000467AB" w14:paraId="4F7F5B7B" w14:textId="77777777">
            <w:pPr>
              <w:rPr>
                <w:b/>
                <w:sz w:val="22"/>
                <w:szCs w:val="22"/>
              </w:rPr>
            </w:pPr>
            <w:r w:rsidRPr="004675A8">
              <w:rPr>
                <w:b/>
                <w:sz w:val="22"/>
                <w:szCs w:val="22"/>
              </w:rPr>
              <w:t xml:space="preserve">Consultant’s Hourly Fee </w:t>
            </w:r>
          </w:p>
        </w:tc>
        <w:tc>
          <w:tcPr>
            <w:tcW w:w="1800" w:type="dxa"/>
          </w:tcPr>
          <w:p w:rsidR="000467AB" w:rsidRPr="004675A8" w:rsidP="000467AB" w14:paraId="63E5672E" w14:textId="77777777">
            <w:pPr>
              <w:rPr>
                <w:b/>
                <w:sz w:val="22"/>
                <w:szCs w:val="22"/>
              </w:rPr>
            </w:pPr>
            <w:r w:rsidRPr="004675A8">
              <w:rPr>
                <w:b/>
                <w:sz w:val="22"/>
                <w:szCs w:val="22"/>
              </w:rPr>
              <w:t>Cost Burden</w:t>
            </w:r>
          </w:p>
        </w:tc>
      </w:tr>
      <w:tr w14:paraId="1822BA0E" w14:textId="77777777" w:rsidTr="00AF2E02">
        <w:tblPrEx>
          <w:tblW w:w="10260" w:type="dxa"/>
          <w:tblInd w:w="198" w:type="dxa"/>
          <w:tblLayout w:type="fixed"/>
          <w:tblLook w:val="01E0"/>
        </w:tblPrEx>
        <w:trPr>
          <w:tblHeader/>
        </w:trPr>
        <w:tc>
          <w:tcPr>
            <w:tcW w:w="10260" w:type="dxa"/>
            <w:gridSpan w:val="10"/>
          </w:tcPr>
          <w:p w:rsidR="007756C9" w:rsidRPr="007756C9" w:rsidP="007A3E48" w14:paraId="6D4C032D" w14:textId="2AE2317C">
            <w:pPr>
              <w:rPr>
                <w:b/>
                <w:bCs/>
                <w:sz w:val="22"/>
                <w:szCs w:val="22"/>
              </w:rPr>
            </w:pPr>
            <w:r w:rsidRPr="004A2574">
              <w:rPr>
                <w:b/>
                <w:bCs/>
                <w:sz w:val="22"/>
                <w:szCs w:val="22"/>
              </w:rPr>
              <w:t>AM/FM Hybrid Notifications</w:t>
            </w:r>
          </w:p>
        </w:tc>
      </w:tr>
      <w:tr w14:paraId="071D3BF1" w14:textId="77777777" w:rsidTr="007A3E48">
        <w:tblPrEx>
          <w:tblW w:w="10260" w:type="dxa"/>
          <w:tblInd w:w="198" w:type="dxa"/>
          <w:tblLayout w:type="fixed"/>
          <w:tblLook w:val="01E0"/>
        </w:tblPrEx>
        <w:trPr>
          <w:tblHeader/>
        </w:trPr>
        <w:tc>
          <w:tcPr>
            <w:tcW w:w="2497" w:type="dxa"/>
          </w:tcPr>
          <w:p w:rsidR="007A3E48" w:rsidRPr="004675A8" w:rsidP="007A3E48" w14:paraId="3B04DEBC" w14:textId="79A980E9">
            <w:pPr>
              <w:rPr>
                <w:sz w:val="22"/>
                <w:szCs w:val="22"/>
              </w:rPr>
            </w:pPr>
            <w:r w:rsidRPr="004675A8">
              <w:rPr>
                <w:sz w:val="22"/>
                <w:szCs w:val="22"/>
              </w:rPr>
              <w:t>Engineering Consultant</w:t>
            </w:r>
          </w:p>
        </w:tc>
        <w:tc>
          <w:tcPr>
            <w:tcW w:w="1080" w:type="dxa"/>
            <w:gridSpan w:val="2"/>
          </w:tcPr>
          <w:p w:rsidR="007A3E48" w:rsidRPr="004675A8" w:rsidP="007A3E48" w14:paraId="44E1B8F3" w14:textId="38A28C1B">
            <w:pPr>
              <w:rPr>
                <w:sz w:val="22"/>
                <w:szCs w:val="22"/>
              </w:rPr>
            </w:pPr>
            <w:r>
              <w:rPr>
                <w:sz w:val="22"/>
                <w:szCs w:val="22"/>
              </w:rPr>
              <w:t>115</w:t>
            </w:r>
          </w:p>
        </w:tc>
        <w:tc>
          <w:tcPr>
            <w:tcW w:w="1440" w:type="dxa"/>
            <w:gridSpan w:val="2"/>
          </w:tcPr>
          <w:p w:rsidR="007A3E48" w:rsidRPr="004675A8" w:rsidP="007A3E48" w14:paraId="22811646" w14:textId="59CF6169">
            <w:pPr>
              <w:rPr>
                <w:sz w:val="22"/>
                <w:szCs w:val="22"/>
              </w:rPr>
            </w:pPr>
            <w:r>
              <w:rPr>
                <w:sz w:val="22"/>
                <w:szCs w:val="22"/>
              </w:rPr>
              <w:t xml:space="preserve">1 </w:t>
            </w:r>
            <w:r>
              <w:rPr>
                <w:sz w:val="22"/>
                <w:szCs w:val="22"/>
              </w:rPr>
              <w:t>hr</w:t>
            </w:r>
          </w:p>
        </w:tc>
        <w:tc>
          <w:tcPr>
            <w:tcW w:w="1620" w:type="dxa"/>
          </w:tcPr>
          <w:p w:rsidR="007A3E48" w:rsidRPr="004675A8" w:rsidP="007A3E48" w14:paraId="4D4046A8" w14:textId="0EF49D2C">
            <w:pPr>
              <w:rPr>
                <w:sz w:val="22"/>
                <w:szCs w:val="22"/>
              </w:rPr>
            </w:pPr>
            <w:r>
              <w:rPr>
                <w:sz w:val="22"/>
                <w:szCs w:val="22"/>
              </w:rPr>
              <w:t xml:space="preserve">115 </w:t>
            </w:r>
            <w:r>
              <w:rPr>
                <w:sz w:val="22"/>
                <w:szCs w:val="22"/>
              </w:rPr>
              <w:t>hr</w:t>
            </w:r>
            <w:r w:rsidR="007756C9">
              <w:rPr>
                <w:sz w:val="22"/>
                <w:szCs w:val="22"/>
              </w:rPr>
              <w:t>s</w:t>
            </w:r>
          </w:p>
        </w:tc>
        <w:tc>
          <w:tcPr>
            <w:tcW w:w="1800" w:type="dxa"/>
            <w:gridSpan w:val="2"/>
          </w:tcPr>
          <w:p w:rsidR="007A3E48" w:rsidRPr="004675A8" w:rsidP="007A3E48" w14:paraId="35E382F5" w14:textId="22E60D15">
            <w:pPr>
              <w:rPr>
                <w:sz w:val="22"/>
                <w:szCs w:val="22"/>
              </w:rPr>
            </w:pPr>
            <w:r>
              <w:rPr>
                <w:sz w:val="22"/>
                <w:szCs w:val="22"/>
              </w:rPr>
              <w:t>$250.00</w:t>
            </w:r>
          </w:p>
        </w:tc>
        <w:tc>
          <w:tcPr>
            <w:tcW w:w="1823" w:type="dxa"/>
            <w:gridSpan w:val="2"/>
          </w:tcPr>
          <w:p w:rsidR="007A3E48" w:rsidRPr="004675A8" w:rsidP="007A3E48" w14:paraId="0AA8C1BE" w14:textId="7A1E5B82">
            <w:pPr>
              <w:rPr>
                <w:sz w:val="22"/>
                <w:szCs w:val="22"/>
              </w:rPr>
            </w:pPr>
            <w:r>
              <w:rPr>
                <w:sz w:val="22"/>
                <w:szCs w:val="22"/>
              </w:rPr>
              <w:t>$28,750</w:t>
            </w:r>
          </w:p>
        </w:tc>
      </w:tr>
      <w:tr w14:paraId="3E4F7766" w14:textId="77777777" w:rsidTr="007A3E48">
        <w:tblPrEx>
          <w:tblW w:w="10260" w:type="dxa"/>
          <w:tblInd w:w="198" w:type="dxa"/>
          <w:tblLayout w:type="fixed"/>
          <w:tblLook w:val="01E0"/>
        </w:tblPrEx>
        <w:trPr>
          <w:tblHeader/>
        </w:trPr>
        <w:tc>
          <w:tcPr>
            <w:tcW w:w="2497" w:type="dxa"/>
          </w:tcPr>
          <w:p w:rsidR="007A3E48" w:rsidRPr="004675A8" w:rsidP="007A3E48" w14:paraId="36D8C74D" w14:textId="77777777">
            <w:pPr>
              <w:rPr>
                <w:sz w:val="22"/>
                <w:szCs w:val="22"/>
              </w:rPr>
            </w:pPr>
          </w:p>
        </w:tc>
        <w:tc>
          <w:tcPr>
            <w:tcW w:w="1080" w:type="dxa"/>
            <w:gridSpan w:val="2"/>
          </w:tcPr>
          <w:p w:rsidR="007A3E48" w:rsidP="007A3E48" w14:paraId="3562A958" w14:textId="77777777">
            <w:pPr>
              <w:rPr>
                <w:sz w:val="22"/>
                <w:szCs w:val="22"/>
              </w:rPr>
            </w:pPr>
          </w:p>
        </w:tc>
        <w:tc>
          <w:tcPr>
            <w:tcW w:w="1440" w:type="dxa"/>
            <w:gridSpan w:val="2"/>
          </w:tcPr>
          <w:p w:rsidR="007A3E48" w:rsidP="007A3E48" w14:paraId="25075CAD" w14:textId="77777777">
            <w:pPr>
              <w:rPr>
                <w:sz w:val="22"/>
                <w:szCs w:val="22"/>
              </w:rPr>
            </w:pPr>
          </w:p>
        </w:tc>
        <w:tc>
          <w:tcPr>
            <w:tcW w:w="1620" w:type="dxa"/>
          </w:tcPr>
          <w:p w:rsidR="007A3E48" w:rsidP="007A3E48" w14:paraId="267B2C2B" w14:textId="77777777">
            <w:pPr>
              <w:rPr>
                <w:sz w:val="22"/>
                <w:szCs w:val="22"/>
              </w:rPr>
            </w:pPr>
          </w:p>
        </w:tc>
        <w:tc>
          <w:tcPr>
            <w:tcW w:w="1800" w:type="dxa"/>
            <w:gridSpan w:val="2"/>
          </w:tcPr>
          <w:p w:rsidR="007A3E48" w:rsidP="007A3E48" w14:paraId="5E5A46DC" w14:textId="77777777">
            <w:pPr>
              <w:rPr>
                <w:sz w:val="22"/>
                <w:szCs w:val="22"/>
              </w:rPr>
            </w:pPr>
          </w:p>
        </w:tc>
        <w:tc>
          <w:tcPr>
            <w:tcW w:w="1823" w:type="dxa"/>
            <w:gridSpan w:val="2"/>
          </w:tcPr>
          <w:p w:rsidR="007A3E48" w:rsidP="007A3E48" w14:paraId="485D4C93" w14:textId="77777777">
            <w:pPr>
              <w:rPr>
                <w:sz w:val="22"/>
                <w:szCs w:val="22"/>
              </w:rPr>
            </w:pPr>
          </w:p>
        </w:tc>
      </w:tr>
      <w:tr w14:paraId="457457AF" w14:textId="77777777" w:rsidTr="007A3E48">
        <w:tblPrEx>
          <w:tblW w:w="10260" w:type="dxa"/>
          <w:tblInd w:w="198" w:type="dxa"/>
          <w:tblLayout w:type="fixed"/>
          <w:tblLook w:val="01E0"/>
        </w:tblPrEx>
        <w:trPr>
          <w:tblHeader/>
        </w:trPr>
        <w:tc>
          <w:tcPr>
            <w:tcW w:w="2497" w:type="dxa"/>
          </w:tcPr>
          <w:p w:rsidR="007756C9" w:rsidRPr="004675A8" w:rsidP="007A3E48" w14:paraId="5D5D8459" w14:textId="77777777">
            <w:pPr>
              <w:rPr>
                <w:sz w:val="22"/>
                <w:szCs w:val="22"/>
              </w:rPr>
            </w:pPr>
          </w:p>
        </w:tc>
        <w:tc>
          <w:tcPr>
            <w:tcW w:w="1080" w:type="dxa"/>
            <w:gridSpan w:val="2"/>
          </w:tcPr>
          <w:p w:rsidR="007756C9" w:rsidP="007A3E48" w14:paraId="67AB41D7" w14:textId="77777777">
            <w:pPr>
              <w:rPr>
                <w:sz w:val="22"/>
                <w:szCs w:val="22"/>
              </w:rPr>
            </w:pPr>
          </w:p>
        </w:tc>
        <w:tc>
          <w:tcPr>
            <w:tcW w:w="1440" w:type="dxa"/>
            <w:gridSpan w:val="2"/>
          </w:tcPr>
          <w:p w:rsidR="007756C9" w:rsidP="007A3E48" w14:paraId="3009CA72" w14:textId="77777777">
            <w:pPr>
              <w:rPr>
                <w:sz w:val="22"/>
                <w:szCs w:val="22"/>
              </w:rPr>
            </w:pPr>
          </w:p>
        </w:tc>
        <w:tc>
          <w:tcPr>
            <w:tcW w:w="1620" w:type="dxa"/>
          </w:tcPr>
          <w:p w:rsidR="007756C9" w:rsidP="007A3E48" w14:paraId="02A83C21" w14:textId="77777777">
            <w:pPr>
              <w:rPr>
                <w:sz w:val="22"/>
                <w:szCs w:val="22"/>
              </w:rPr>
            </w:pPr>
          </w:p>
        </w:tc>
        <w:tc>
          <w:tcPr>
            <w:tcW w:w="1800" w:type="dxa"/>
            <w:gridSpan w:val="2"/>
          </w:tcPr>
          <w:p w:rsidR="007756C9" w:rsidP="007A3E48" w14:paraId="0B1760C2" w14:textId="77777777">
            <w:pPr>
              <w:rPr>
                <w:sz w:val="22"/>
                <w:szCs w:val="22"/>
              </w:rPr>
            </w:pPr>
          </w:p>
        </w:tc>
        <w:tc>
          <w:tcPr>
            <w:tcW w:w="1823" w:type="dxa"/>
            <w:gridSpan w:val="2"/>
          </w:tcPr>
          <w:p w:rsidR="007756C9" w:rsidP="007A3E48" w14:paraId="1AE7B0BF" w14:textId="77777777">
            <w:pPr>
              <w:rPr>
                <w:sz w:val="22"/>
                <w:szCs w:val="22"/>
              </w:rPr>
            </w:pPr>
          </w:p>
        </w:tc>
      </w:tr>
      <w:tr w14:paraId="6828E0D5" w14:textId="77777777" w:rsidTr="00B83145">
        <w:tblPrEx>
          <w:tblW w:w="10260" w:type="dxa"/>
          <w:tblInd w:w="198" w:type="dxa"/>
          <w:tblLayout w:type="fixed"/>
          <w:tblLook w:val="01E0"/>
        </w:tblPrEx>
        <w:trPr>
          <w:tblHeader/>
        </w:trPr>
        <w:tc>
          <w:tcPr>
            <w:tcW w:w="10260" w:type="dxa"/>
            <w:gridSpan w:val="10"/>
          </w:tcPr>
          <w:p w:rsidR="007756C9" w:rsidP="007A3E48" w14:paraId="30CDF47B" w14:textId="34EEB50E">
            <w:pPr>
              <w:rPr>
                <w:sz w:val="22"/>
                <w:szCs w:val="22"/>
              </w:rPr>
            </w:pPr>
            <w:r>
              <w:rPr>
                <w:b/>
                <w:spacing w:val="-3"/>
                <w:sz w:val="22"/>
                <w:szCs w:val="22"/>
              </w:rPr>
              <w:t>AM All-Digital u</w:t>
            </w:r>
            <w:r w:rsidRPr="004675A8">
              <w:rPr>
                <w:b/>
                <w:spacing w:val="-3"/>
                <w:sz w:val="22"/>
                <w:szCs w:val="22"/>
              </w:rPr>
              <w:t xml:space="preserve">sing Digital Notification </w:t>
            </w:r>
            <w:r>
              <w:rPr>
                <w:b/>
                <w:spacing w:val="-3"/>
                <w:sz w:val="22"/>
                <w:szCs w:val="22"/>
              </w:rPr>
              <w:t>Schedule</w:t>
            </w:r>
            <w:r w:rsidRPr="004675A8">
              <w:rPr>
                <w:b/>
                <w:spacing w:val="-3"/>
                <w:sz w:val="22"/>
                <w:szCs w:val="22"/>
              </w:rPr>
              <w:t xml:space="preserve"> 335-AM </w:t>
            </w:r>
            <w:r>
              <w:rPr>
                <w:b/>
                <w:spacing w:val="-3"/>
                <w:sz w:val="22"/>
                <w:szCs w:val="22"/>
              </w:rPr>
              <w:t>&amp;</w:t>
            </w:r>
            <w:r w:rsidRPr="004675A8">
              <w:rPr>
                <w:b/>
                <w:spacing w:val="-3"/>
                <w:sz w:val="22"/>
                <w:szCs w:val="22"/>
              </w:rPr>
              <w:t xml:space="preserve"> Attachments</w:t>
            </w:r>
          </w:p>
        </w:tc>
      </w:tr>
      <w:tr w14:paraId="18DE9338" w14:textId="77777777" w:rsidTr="007A3E48">
        <w:tblPrEx>
          <w:tblW w:w="10260" w:type="dxa"/>
          <w:tblInd w:w="198" w:type="dxa"/>
          <w:tblLayout w:type="fixed"/>
          <w:tblLook w:val="01E0"/>
        </w:tblPrEx>
        <w:trPr>
          <w:tblHeader/>
        </w:trPr>
        <w:tc>
          <w:tcPr>
            <w:tcW w:w="2497" w:type="dxa"/>
          </w:tcPr>
          <w:p w:rsidR="007756C9" w:rsidRPr="004675A8" w:rsidP="007A3E48" w14:paraId="76429C83" w14:textId="67524AFE">
            <w:pPr>
              <w:rPr>
                <w:sz w:val="22"/>
                <w:szCs w:val="22"/>
              </w:rPr>
            </w:pPr>
            <w:r>
              <w:rPr>
                <w:sz w:val="22"/>
                <w:szCs w:val="22"/>
              </w:rPr>
              <w:t>Engineering Consultant</w:t>
            </w:r>
          </w:p>
        </w:tc>
        <w:tc>
          <w:tcPr>
            <w:tcW w:w="1080" w:type="dxa"/>
            <w:gridSpan w:val="2"/>
          </w:tcPr>
          <w:p w:rsidR="007756C9" w:rsidP="007A3E48" w14:paraId="747B3C68" w14:textId="221CDF9D">
            <w:pPr>
              <w:rPr>
                <w:sz w:val="22"/>
                <w:szCs w:val="22"/>
              </w:rPr>
            </w:pPr>
            <w:r>
              <w:rPr>
                <w:sz w:val="22"/>
                <w:szCs w:val="22"/>
              </w:rPr>
              <w:t>20</w:t>
            </w:r>
          </w:p>
        </w:tc>
        <w:tc>
          <w:tcPr>
            <w:tcW w:w="1440" w:type="dxa"/>
            <w:gridSpan w:val="2"/>
          </w:tcPr>
          <w:p w:rsidR="007756C9" w:rsidP="007A3E48" w14:paraId="36C9547F" w14:textId="3DAA8C15">
            <w:pPr>
              <w:rPr>
                <w:sz w:val="22"/>
                <w:szCs w:val="22"/>
              </w:rPr>
            </w:pPr>
            <w:r>
              <w:rPr>
                <w:sz w:val="22"/>
                <w:szCs w:val="22"/>
              </w:rPr>
              <w:t xml:space="preserve">1 </w:t>
            </w:r>
            <w:r>
              <w:rPr>
                <w:sz w:val="22"/>
                <w:szCs w:val="22"/>
              </w:rPr>
              <w:t>hr</w:t>
            </w:r>
          </w:p>
        </w:tc>
        <w:tc>
          <w:tcPr>
            <w:tcW w:w="1620" w:type="dxa"/>
          </w:tcPr>
          <w:p w:rsidR="007756C9" w:rsidP="007A3E48" w14:paraId="64BB6992" w14:textId="5F099DB9">
            <w:pPr>
              <w:rPr>
                <w:sz w:val="22"/>
                <w:szCs w:val="22"/>
              </w:rPr>
            </w:pPr>
            <w:r>
              <w:rPr>
                <w:sz w:val="22"/>
                <w:szCs w:val="22"/>
              </w:rPr>
              <w:t xml:space="preserve">20 </w:t>
            </w:r>
            <w:r>
              <w:rPr>
                <w:sz w:val="22"/>
                <w:szCs w:val="22"/>
              </w:rPr>
              <w:t>hrs</w:t>
            </w:r>
          </w:p>
        </w:tc>
        <w:tc>
          <w:tcPr>
            <w:tcW w:w="1800" w:type="dxa"/>
            <w:gridSpan w:val="2"/>
          </w:tcPr>
          <w:p w:rsidR="007756C9" w:rsidP="007A3E48" w14:paraId="04CDF34A" w14:textId="6813D03C">
            <w:pPr>
              <w:rPr>
                <w:sz w:val="22"/>
                <w:szCs w:val="22"/>
              </w:rPr>
            </w:pPr>
            <w:r>
              <w:rPr>
                <w:sz w:val="22"/>
                <w:szCs w:val="22"/>
              </w:rPr>
              <w:t>$250.00</w:t>
            </w:r>
          </w:p>
        </w:tc>
        <w:tc>
          <w:tcPr>
            <w:tcW w:w="1823" w:type="dxa"/>
            <w:gridSpan w:val="2"/>
          </w:tcPr>
          <w:p w:rsidR="007756C9" w:rsidP="007A3E48" w14:paraId="6BFB0AEA" w14:textId="35E4E2D0">
            <w:pPr>
              <w:rPr>
                <w:sz w:val="22"/>
                <w:szCs w:val="22"/>
              </w:rPr>
            </w:pPr>
            <w:r>
              <w:rPr>
                <w:sz w:val="22"/>
                <w:szCs w:val="22"/>
              </w:rPr>
              <w:t>$5,000</w:t>
            </w:r>
          </w:p>
        </w:tc>
      </w:tr>
      <w:tr w14:paraId="4571DCC9" w14:textId="77777777" w:rsidTr="007A3E48">
        <w:tblPrEx>
          <w:tblW w:w="10260" w:type="dxa"/>
          <w:tblInd w:w="198" w:type="dxa"/>
          <w:tblLayout w:type="fixed"/>
          <w:tblLook w:val="01E0"/>
        </w:tblPrEx>
        <w:trPr>
          <w:tblHeader/>
        </w:trPr>
        <w:tc>
          <w:tcPr>
            <w:tcW w:w="2497" w:type="dxa"/>
          </w:tcPr>
          <w:p w:rsidR="007756C9" w:rsidP="007A3E48" w14:paraId="3C5C576A" w14:textId="77777777">
            <w:pPr>
              <w:rPr>
                <w:sz w:val="22"/>
                <w:szCs w:val="22"/>
              </w:rPr>
            </w:pPr>
          </w:p>
        </w:tc>
        <w:tc>
          <w:tcPr>
            <w:tcW w:w="1080" w:type="dxa"/>
            <w:gridSpan w:val="2"/>
          </w:tcPr>
          <w:p w:rsidR="007756C9" w:rsidP="007A3E48" w14:paraId="3D925BD8" w14:textId="77777777">
            <w:pPr>
              <w:rPr>
                <w:sz w:val="22"/>
                <w:szCs w:val="22"/>
              </w:rPr>
            </w:pPr>
          </w:p>
        </w:tc>
        <w:tc>
          <w:tcPr>
            <w:tcW w:w="1440" w:type="dxa"/>
            <w:gridSpan w:val="2"/>
          </w:tcPr>
          <w:p w:rsidR="007756C9" w:rsidP="007A3E48" w14:paraId="32DA3B3F" w14:textId="77777777">
            <w:pPr>
              <w:rPr>
                <w:sz w:val="22"/>
                <w:szCs w:val="22"/>
              </w:rPr>
            </w:pPr>
          </w:p>
        </w:tc>
        <w:tc>
          <w:tcPr>
            <w:tcW w:w="1620" w:type="dxa"/>
          </w:tcPr>
          <w:p w:rsidR="007756C9" w:rsidP="007A3E48" w14:paraId="791FA830" w14:textId="77777777">
            <w:pPr>
              <w:rPr>
                <w:sz w:val="22"/>
                <w:szCs w:val="22"/>
              </w:rPr>
            </w:pPr>
          </w:p>
        </w:tc>
        <w:tc>
          <w:tcPr>
            <w:tcW w:w="1800" w:type="dxa"/>
            <w:gridSpan w:val="2"/>
          </w:tcPr>
          <w:p w:rsidR="007756C9" w:rsidP="007A3E48" w14:paraId="4E844481" w14:textId="77777777">
            <w:pPr>
              <w:rPr>
                <w:sz w:val="22"/>
                <w:szCs w:val="22"/>
              </w:rPr>
            </w:pPr>
          </w:p>
        </w:tc>
        <w:tc>
          <w:tcPr>
            <w:tcW w:w="1823" w:type="dxa"/>
            <w:gridSpan w:val="2"/>
          </w:tcPr>
          <w:p w:rsidR="007756C9" w:rsidP="007A3E48" w14:paraId="4344E77F" w14:textId="77777777">
            <w:pPr>
              <w:rPr>
                <w:sz w:val="22"/>
                <w:szCs w:val="22"/>
              </w:rPr>
            </w:pPr>
          </w:p>
        </w:tc>
      </w:tr>
      <w:tr w14:paraId="7017F51A" w14:textId="77777777" w:rsidTr="007A3E48">
        <w:tblPrEx>
          <w:tblW w:w="10260" w:type="dxa"/>
          <w:tblInd w:w="198" w:type="dxa"/>
          <w:tblLayout w:type="fixed"/>
          <w:tblLook w:val="01E0"/>
        </w:tblPrEx>
        <w:trPr>
          <w:tblHeader/>
        </w:trPr>
        <w:tc>
          <w:tcPr>
            <w:tcW w:w="2497" w:type="dxa"/>
          </w:tcPr>
          <w:p w:rsidR="007756C9" w:rsidP="007A3E48" w14:paraId="6BFF7E78" w14:textId="77777777">
            <w:pPr>
              <w:rPr>
                <w:sz w:val="22"/>
                <w:szCs w:val="22"/>
              </w:rPr>
            </w:pPr>
          </w:p>
        </w:tc>
        <w:tc>
          <w:tcPr>
            <w:tcW w:w="1080" w:type="dxa"/>
            <w:gridSpan w:val="2"/>
          </w:tcPr>
          <w:p w:rsidR="007756C9" w:rsidP="007A3E48" w14:paraId="43A3A566" w14:textId="77777777">
            <w:pPr>
              <w:rPr>
                <w:sz w:val="22"/>
                <w:szCs w:val="22"/>
              </w:rPr>
            </w:pPr>
          </w:p>
        </w:tc>
        <w:tc>
          <w:tcPr>
            <w:tcW w:w="1440" w:type="dxa"/>
            <w:gridSpan w:val="2"/>
          </w:tcPr>
          <w:p w:rsidR="007756C9" w:rsidP="007A3E48" w14:paraId="780D11CB" w14:textId="77777777">
            <w:pPr>
              <w:rPr>
                <w:sz w:val="22"/>
                <w:szCs w:val="22"/>
              </w:rPr>
            </w:pPr>
          </w:p>
        </w:tc>
        <w:tc>
          <w:tcPr>
            <w:tcW w:w="1620" w:type="dxa"/>
          </w:tcPr>
          <w:p w:rsidR="007756C9" w:rsidP="007A3E48" w14:paraId="28708D7C" w14:textId="77777777">
            <w:pPr>
              <w:rPr>
                <w:sz w:val="22"/>
                <w:szCs w:val="22"/>
              </w:rPr>
            </w:pPr>
          </w:p>
        </w:tc>
        <w:tc>
          <w:tcPr>
            <w:tcW w:w="1800" w:type="dxa"/>
            <w:gridSpan w:val="2"/>
          </w:tcPr>
          <w:p w:rsidR="007756C9" w:rsidP="007A3E48" w14:paraId="00F0A7E4" w14:textId="77777777">
            <w:pPr>
              <w:rPr>
                <w:sz w:val="22"/>
                <w:szCs w:val="22"/>
              </w:rPr>
            </w:pPr>
          </w:p>
        </w:tc>
        <w:tc>
          <w:tcPr>
            <w:tcW w:w="1823" w:type="dxa"/>
            <w:gridSpan w:val="2"/>
          </w:tcPr>
          <w:p w:rsidR="007756C9" w:rsidP="007A3E48" w14:paraId="2B658123" w14:textId="77777777">
            <w:pPr>
              <w:rPr>
                <w:sz w:val="22"/>
                <w:szCs w:val="22"/>
              </w:rPr>
            </w:pPr>
          </w:p>
        </w:tc>
      </w:tr>
      <w:tr w14:paraId="0612B3CF" w14:textId="77777777" w:rsidTr="00512E59">
        <w:tblPrEx>
          <w:tblW w:w="10260" w:type="dxa"/>
          <w:tblInd w:w="198" w:type="dxa"/>
          <w:tblLayout w:type="fixed"/>
          <w:tblLook w:val="01E0"/>
        </w:tblPrEx>
        <w:trPr>
          <w:tblHeader/>
        </w:trPr>
        <w:tc>
          <w:tcPr>
            <w:tcW w:w="10260" w:type="dxa"/>
            <w:gridSpan w:val="10"/>
          </w:tcPr>
          <w:p w:rsidR="007756C9" w:rsidP="007A3E48" w14:paraId="4C842F2D" w14:textId="50BF0392">
            <w:pPr>
              <w:rPr>
                <w:sz w:val="22"/>
                <w:szCs w:val="22"/>
              </w:rPr>
            </w:pPr>
            <w:r w:rsidRPr="00723E13">
              <w:rPr>
                <w:b/>
                <w:bCs/>
                <w:sz w:val="22"/>
                <w:szCs w:val="22"/>
              </w:rPr>
              <w:t>FM</w:t>
            </w:r>
            <w:r>
              <w:rPr>
                <w:sz w:val="22"/>
                <w:szCs w:val="22"/>
              </w:rPr>
              <w:t xml:space="preserve"> </w:t>
            </w:r>
            <w:r>
              <w:rPr>
                <w:b/>
                <w:spacing w:val="-3"/>
                <w:sz w:val="22"/>
                <w:szCs w:val="22"/>
              </w:rPr>
              <w:t>Asymmetric Sideband Operation Notifications Schedule 335-FM</w:t>
            </w:r>
          </w:p>
        </w:tc>
      </w:tr>
      <w:tr w14:paraId="3A3D85B4" w14:textId="77777777" w:rsidTr="007A3E48">
        <w:tblPrEx>
          <w:tblW w:w="10260" w:type="dxa"/>
          <w:tblInd w:w="198" w:type="dxa"/>
          <w:tblLayout w:type="fixed"/>
          <w:tblLook w:val="01E0"/>
        </w:tblPrEx>
        <w:trPr>
          <w:tblHeader/>
        </w:trPr>
        <w:tc>
          <w:tcPr>
            <w:tcW w:w="2497" w:type="dxa"/>
          </w:tcPr>
          <w:p w:rsidR="007A3E48" w:rsidRPr="004675A8" w:rsidP="007A3E48" w14:paraId="5BF92026" w14:textId="794A199D">
            <w:pPr>
              <w:rPr>
                <w:sz w:val="22"/>
                <w:szCs w:val="22"/>
              </w:rPr>
            </w:pPr>
            <w:r>
              <w:rPr>
                <w:bCs/>
                <w:spacing w:val="-3"/>
                <w:sz w:val="22"/>
                <w:szCs w:val="22"/>
              </w:rPr>
              <w:t>Engine</w:t>
            </w:r>
            <w:r w:rsidRPr="00896FB1">
              <w:rPr>
                <w:bCs/>
                <w:spacing w:val="-3"/>
                <w:sz w:val="22"/>
                <w:szCs w:val="22"/>
              </w:rPr>
              <w:t xml:space="preserve">ering Consultant </w:t>
            </w:r>
            <w:r>
              <w:rPr>
                <w:bCs/>
                <w:spacing w:val="-3"/>
                <w:sz w:val="22"/>
                <w:szCs w:val="22"/>
              </w:rPr>
              <w:t xml:space="preserve">          </w:t>
            </w:r>
          </w:p>
        </w:tc>
        <w:tc>
          <w:tcPr>
            <w:tcW w:w="1080" w:type="dxa"/>
            <w:gridSpan w:val="2"/>
          </w:tcPr>
          <w:p w:rsidR="007A3E48" w:rsidP="007A3E48" w14:paraId="7F533B3A" w14:textId="77F3D9E7">
            <w:pPr>
              <w:rPr>
                <w:sz w:val="22"/>
                <w:szCs w:val="22"/>
              </w:rPr>
            </w:pPr>
            <w:r>
              <w:rPr>
                <w:sz w:val="22"/>
                <w:szCs w:val="22"/>
              </w:rPr>
              <w:t>50</w:t>
            </w:r>
          </w:p>
        </w:tc>
        <w:tc>
          <w:tcPr>
            <w:tcW w:w="1440" w:type="dxa"/>
            <w:gridSpan w:val="2"/>
          </w:tcPr>
          <w:p w:rsidR="007A3E48" w:rsidP="007A3E48" w14:paraId="37140FB7" w14:textId="288EB92B">
            <w:pPr>
              <w:rPr>
                <w:sz w:val="22"/>
                <w:szCs w:val="22"/>
              </w:rPr>
            </w:pPr>
            <w:r>
              <w:rPr>
                <w:sz w:val="22"/>
                <w:szCs w:val="22"/>
              </w:rPr>
              <w:t>2hr</w:t>
            </w:r>
            <w:r w:rsidR="00807F5F">
              <w:rPr>
                <w:sz w:val="22"/>
                <w:szCs w:val="22"/>
              </w:rPr>
              <w:t>s</w:t>
            </w:r>
          </w:p>
        </w:tc>
        <w:tc>
          <w:tcPr>
            <w:tcW w:w="1620" w:type="dxa"/>
          </w:tcPr>
          <w:p w:rsidR="007A3E48" w:rsidP="007A3E48" w14:paraId="17ABABD6" w14:textId="3A8769A0">
            <w:pPr>
              <w:rPr>
                <w:sz w:val="22"/>
                <w:szCs w:val="22"/>
              </w:rPr>
            </w:pPr>
            <w:r>
              <w:rPr>
                <w:sz w:val="22"/>
                <w:szCs w:val="22"/>
              </w:rPr>
              <w:t xml:space="preserve">100 </w:t>
            </w:r>
            <w:r>
              <w:rPr>
                <w:sz w:val="22"/>
                <w:szCs w:val="22"/>
              </w:rPr>
              <w:t>hr</w:t>
            </w:r>
            <w:r w:rsidR="00B34E1C">
              <w:rPr>
                <w:sz w:val="22"/>
                <w:szCs w:val="22"/>
              </w:rPr>
              <w:t>s</w:t>
            </w:r>
          </w:p>
        </w:tc>
        <w:tc>
          <w:tcPr>
            <w:tcW w:w="1800" w:type="dxa"/>
            <w:gridSpan w:val="2"/>
          </w:tcPr>
          <w:p w:rsidR="007A3E48" w:rsidP="007A3E48" w14:paraId="2FEBE7BE" w14:textId="24501F06">
            <w:pPr>
              <w:rPr>
                <w:sz w:val="22"/>
                <w:szCs w:val="22"/>
              </w:rPr>
            </w:pPr>
            <w:r>
              <w:rPr>
                <w:sz w:val="22"/>
                <w:szCs w:val="22"/>
              </w:rPr>
              <w:t>$250.00</w:t>
            </w:r>
          </w:p>
        </w:tc>
        <w:tc>
          <w:tcPr>
            <w:tcW w:w="1823" w:type="dxa"/>
            <w:gridSpan w:val="2"/>
          </w:tcPr>
          <w:p w:rsidR="007A3E48" w:rsidP="007A3E48" w14:paraId="082623F1" w14:textId="0F607BB3">
            <w:pPr>
              <w:rPr>
                <w:sz w:val="22"/>
                <w:szCs w:val="22"/>
              </w:rPr>
            </w:pPr>
            <w:r>
              <w:rPr>
                <w:sz w:val="22"/>
                <w:szCs w:val="22"/>
              </w:rPr>
              <w:t>$25,000</w:t>
            </w:r>
          </w:p>
        </w:tc>
      </w:tr>
      <w:tr w14:paraId="2FCA909C" w14:textId="77777777" w:rsidTr="007A3E48">
        <w:tblPrEx>
          <w:tblW w:w="10260" w:type="dxa"/>
          <w:tblInd w:w="198" w:type="dxa"/>
          <w:tblLayout w:type="fixed"/>
          <w:tblLook w:val="01E0"/>
        </w:tblPrEx>
        <w:trPr>
          <w:tblHeader/>
        </w:trPr>
        <w:tc>
          <w:tcPr>
            <w:tcW w:w="2497" w:type="dxa"/>
          </w:tcPr>
          <w:p w:rsidR="007A3E48" w:rsidRPr="004675A8" w:rsidP="007A3E48" w14:paraId="29908E84" w14:textId="77777777">
            <w:pPr>
              <w:rPr>
                <w:sz w:val="22"/>
                <w:szCs w:val="22"/>
              </w:rPr>
            </w:pPr>
          </w:p>
        </w:tc>
        <w:tc>
          <w:tcPr>
            <w:tcW w:w="1080" w:type="dxa"/>
            <w:gridSpan w:val="2"/>
          </w:tcPr>
          <w:p w:rsidR="007A3E48" w:rsidP="007A3E48" w14:paraId="29B824D6" w14:textId="77777777">
            <w:pPr>
              <w:rPr>
                <w:sz w:val="22"/>
                <w:szCs w:val="22"/>
              </w:rPr>
            </w:pPr>
          </w:p>
        </w:tc>
        <w:tc>
          <w:tcPr>
            <w:tcW w:w="1440" w:type="dxa"/>
            <w:gridSpan w:val="2"/>
          </w:tcPr>
          <w:p w:rsidR="007A3E48" w:rsidP="007A3E48" w14:paraId="1869F924" w14:textId="77777777">
            <w:pPr>
              <w:rPr>
                <w:sz w:val="22"/>
                <w:szCs w:val="22"/>
              </w:rPr>
            </w:pPr>
          </w:p>
        </w:tc>
        <w:tc>
          <w:tcPr>
            <w:tcW w:w="1620" w:type="dxa"/>
          </w:tcPr>
          <w:p w:rsidR="007A3E48" w:rsidP="007A3E48" w14:paraId="348793EC" w14:textId="77777777">
            <w:pPr>
              <w:rPr>
                <w:sz w:val="22"/>
                <w:szCs w:val="22"/>
              </w:rPr>
            </w:pPr>
          </w:p>
        </w:tc>
        <w:tc>
          <w:tcPr>
            <w:tcW w:w="1800" w:type="dxa"/>
            <w:gridSpan w:val="2"/>
          </w:tcPr>
          <w:p w:rsidR="007A3E48" w:rsidP="007A3E48" w14:paraId="5042A744" w14:textId="77777777">
            <w:pPr>
              <w:rPr>
                <w:sz w:val="22"/>
                <w:szCs w:val="22"/>
              </w:rPr>
            </w:pPr>
          </w:p>
        </w:tc>
        <w:tc>
          <w:tcPr>
            <w:tcW w:w="1823" w:type="dxa"/>
            <w:gridSpan w:val="2"/>
          </w:tcPr>
          <w:p w:rsidR="007A3E48" w:rsidP="007A3E48" w14:paraId="2817B013" w14:textId="77777777">
            <w:pPr>
              <w:rPr>
                <w:sz w:val="22"/>
                <w:szCs w:val="22"/>
              </w:rPr>
            </w:pPr>
          </w:p>
        </w:tc>
      </w:tr>
      <w:tr w14:paraId="54787D18" w14:textId="77777777" w:rsidTr="007A3E48">
        <w:tblPrEx>
          <w:tblW w:w="10260" w:type="dxa"/>
          <w:tblInd w:w="198" w:type="dxa"/>
          <w:tblLayout w:type="fixed"/>
          <w:tblLook w:val="01E0"/>
        </w:tblPrEx>
        <w:trPr>
          <w:tblHeader/>
        </w:trPr>
        <w:tc>
          <w:tcPr>
            <w:tcW w:w="2520" w:type="dxa"/>
            <w:gridSpan w:val="2"/>
          </w:tcPr>
          <w:p w:rsidR="007A3E48" w:rsidRPr="004675A8" w:rsidP="007A3E48" w14:paraId="561D0E83" w14:textId="77777777">
            <w:pPr>
              <w:suppressAutoHyphens/>
              <w:rPr>
                <w:b/>
                <w:spacing w:val="-3"/>
                <w:sz w:val="22"/>
                <w:szCs w:val="22"/>
              </w:rPr>
            </w:pPr>
          </w:p>
        </w:tc>
        <w:tc>
          <w:tcPr>
            <w:tcW w:w="1080" w:type="dxa"/>
            <w:gridSpan w:val="2"/>
          </w:tcPr>
          <w:p w:rsidR="007A3E48" w:rsidRPr="004675A8" w:rsidP="007A3E48" w14:paraId="33C28EE2" w14:textId="77777777">
            <w:pPr>
              <w:rPr>
                <w:b/>
                <w:sz w:val="22"/>
                <w:szCs w:val="22"/>
              </w:rPr>
            </w:pPr>
          </w:p>
        </w:tc>
        <w:tc>
          <w:tcPr>
            <w:tcW w:w="1417" w:type="dxa"/>
          </w:tcPr>
          <w:p w:rsidR="007A3E48" w:rsidRPr="004675A8" w:rsidP="007A3E48" w14:paraId="49F03F08" w14:textId="77777777">
            <w:pPr>
              <w:rPr>
                <w:b/>
                <w:sz w:val="22"/>
                <w:szCs w:val="22"/>
              </w:rPr>
            </w:pPr>
          </w:p>
        </w:tc>
        <w:tc>
          <w:tcPr>
            <w:tcW w:w="1643" w:type="dxa"/>
            <w:gridSpan w:val="2"/>
          </w:tcPr>
          <w:p w:rsidR="007A3E48" w:rsidRPr="004675A8" w:rsidP="007A3E48" w14:paraId="20AEE1F6" w14:textId="77777777">
            <w:pPr>
              <w:rPr>
                <w:b/>
                <w:sz w:val="22"/>
                <w:szCs w:val="22"/>
              </w:rPr>
            </w:pPr>
          </w:p>
        </w:tc>
        <w:tc>
          <w:tcPr>
            <w:tcW w:w="1800" w:type="dxa"/>
            <w:gridSpan w:val="2"/>
          </w:tcPr>
          <w:p w:rsidR="007A3E48" w:rsidRPr="004675A8" w:rsidP="007A3E48" w14:paraId="701F5BDA" w14:textId="77777777">
            <w:pPr>
              <w:rPr>
                <w:b/>
                <w:sz w:val="22"/>
                <w:szCs w:val="22"/>
              </w:rPr>
            </w:pPr>
          </w:p>
        </w:tc>
        <w:tc>
          <w:tcPr>
            <w:tcW w:w="1800" w:type="dxa"/>
          </w:tcPr>
          <w:p w:rsidR="007A3E48" w:rsidRPr="004675A8" w:rsidP="007A3E48" w14:paraId="7E13B0F4" w14:textId="77777777">
            <w:pPr>
              <w:rPr>
                <w:b/>
                <w:sz w:val="22"/>
                <w:szCs w:val="22"/>
              </w:rPr>
            </w:pPr>
          </w:p>
        </w:tc>
      </w:tr>
      <w:tr w14:paraId="6EFB5FCD" w14:textId="77777777">
        <w:tblPrEx>
          <w:tblW w:w="10260" w:type="dxa"/>
          <w:tblInd w:w="198" w:type="dxa"/>
          <w:tblLayout w:type="fixed"/>
          <w:tblLook w:val="01E0"/>
        </w:tblPrEx>
        <w:tc>
          <w:tcPr>
            <w:tcW w:w="10260" w:type="dxa"/>
            <w:gridSpan w:val="10"/>
          </w:tcPr>
          <w:p w:rsidR="007A3E48" w:rsidRPr="004675A8" w:rsidP="007A3E48" w14:paraId="2D63F6AF" w14:textId="44A4A8B0">
            <w:pPr>
              <w:suppressAutoHyphens/>
              <w:rPr>
                <w:spacing w:val="-3"/>
                <w:sz w:val="22"/>
                <w:szCs w:val="22"/>
              </w:rPr>
            </w:pPr>
            <w:r w:rsidRPr="004675A8">
              <w:rPr>
                <w:b/>
                <w:spacing w:val="-3"/>
                <w:sz w:val="22"/>
                <w:szCs w:val="22"/>
              </w:rPr>
              <w:t>Super-Powered Stations</w:t>
            </w:r>
          </w:p>
        </w:tc>
      </w:tr>
      <w:tr w14:paraId="1C92B715" w14:textId="77777777" w:rsidTr="007A3E48">
        <w:tblPrEx>
          <w:tblW w:w="10260" w:type="dxa"/>
          <w:tblInd w:w="198" w:type="dxa"/>
          <w:tblLayout w:type="fixed"/>
          <w:tblLook w:val="01E0"/>
        </w:tblPrEx>
        <w:tc>
          <w:tcPr>
            <w:tcW w:w="2520" w:type="dxa"/>
            <w:gridSpan w:val="2"/>
          </w:tcPr>
          <w:p w:rsidR="007A3E48" w:rsidRPr="004675A8" w:rsidP="007A3E48" w14:paraId="3C973F92" w14:textId="77777777">
            <w:pPr>
              <w:rPr>
                <w:sz w:val="22"/>
                <w:szCs w:val="22"/>
              </w:rPr>
            </w:pPr>
            <w:r w:rsidRPr="004675A8">
              <w:rPr>
                <w:sz w:val="22"/>
                <w:szCs w:val="22"/>
              </w:rPr>
              <w:t>Engineering Consultant</w:t>
            </w:r>
          </w:p>
        </w:tc>
        <w:tc>
          <w:tcPr>
            <w:tcW w:w="1080" w:type="dxa"/>
            <w:gridSpan w:val="2"/>
          </w:tcPr>
          <w:p w:rsidR="007A3E48" w:rsidRPr="004675A8" w:rsidP="007A3E48" w14:paraId="116EA6DF" w14:textId="77777777">
            <w:pPr>
              <w:rPr>
                <w:sz w:val="22"/>
                <w:szCs w:val="22"/>
              </w:rPr>
            </w:pPr>
            <w:r w:rsidRPr="004675A8">
              <w:rPr>
                <w:sz w:val="22"/>
                <w:szCs w:val="22"/>
              </w:rPr>
              <w:t>5</w:t>
            </w:r>
          </w:p>
        </w:tc>
        <w:tc>
          <w:tcPr>
            <w:tcW w:w="1417" w:type="dxa"/>
          </w:tcPr>
          <w:p w:rsidR="007A3E48" w:rsidRPr="004675A8" w:rsidP="007A3E48" w14:paraId="5D0482E4" w14:textId="77777777">
            <w:pPr>
              <w:suppressAutoHyphens/>
              <w:rPr>
                <w:spacing w:val="-3"/>
                <w:sz w:val="22"/>
                <w:szCs w:val="22"/>
              </w:rPr>
            </w:pPr>
            <w:r w:rsidRPr="004675A8">
              <w:rPr>
                <w:spacing w:val="-3"/>
                <w:sz w:val="22"/>
                <w:szCs w:val="22"/>
              </w:rPr>
              <w:t xml:space="preserve">6 </w:t>
            </w:r>
            <w:r w:rsidRPr="004675A8">
              <w:rPr>
                <w:spacing w:val="-3"/>
                <w:sz w:val="22"/>
                <w:szCs w:val="22"/>
              </w:rPr>
              <w:t>hrs</w:t>
            </w:r>
          </w:p>
        </w:tc>
        <w:tc>
          <w:tcPr>
            <w:tcW w:w="1643" w:type="dxa"/>
            <w:gridSpan w:val="2"/>
          </w:tcPr>
          <w:p w:rsidR="007A3E48" w:rsidRPr="004675A8" w:rsidP="007A3E48" w14:paraId="111E426B" w14:textId="77777777">
            <w:pPr>
              <w:suppressAutoHyphens/>
              <w:rPr>
                <w:spacing w:val="-3"/>
                <w:sz w:val="22"/>
                <w:szCs w:val="22"/>
              </w:rPr>
            </w:pPr>
            <w:r w:rsidRPr="004675A8">
              <w:rPr>
                <w:spacing w:val="-3"/>
                <w:sz w:val="22"/>
                <w:szCs w:val="22"/>
              </w:rPr>
              <w:t xml:space="preserve">30 </w:t>
            </w:r>
            <w:r w:rsidRPr="004675A8">
              <w:rPr>
                <w:spacing w:val="-3"/>
                <w:sz w:val="22"/>
                <w:szCs w:val="22"/>
              </w:rPr>
              <w:t>hrs</w:t>
            </w:r>
          </w:p>
        </w:tc>
        <w:tc>
          <w:tcPr>
            <w:tcW w:w="1800" w:type="dxa"/>
            <w:gridSpan w:val="2"/>
          </w:tcPr>
          <w:p w:rsidR="007A3E48" w:rsidRPr="004675A8" w:rsidP="007A3E48" w14:paraId="50E6B153" w14:textId="77777777">
            <w:pPr>
              <w:suppressAutoHyphens/>
              <w:rPr>
                <w:spacing w:val="-3"/>
                <w:sz w:val="22"/>
                <w:szCs w:val="22"/>
              </w:rPr>
            </w:pPr>
            <w:r w:rsidRPr="004675A8">
              <w:rPr>
                <w:spacing w:val="-3"/>
                <w:sz w:val="22"/>
                <w:szCs w:val="22"/>
              </w:rPr>
              <w:t>$250.00</w:t>
            </w:r>
          </w:p>
        </w:tc>
        <w:tc>
          <w:tcPr>
            <w:tcW w:w="1800" w:type="dxa"/>
          </w:tcPr>
          <w:p w:rsidR="007A3E48" w:rsidRPr="004675A8" w:rsidP="007A3E48" w14:paraId="3D2DAEAB" w14:textId="77777777">
            <w:pPr>
              <w:suppressAutoHyphens/>
              <w:rPr>
                <w:spacing w:val="-3"/>
                <w:sz w:val="22"/>
                <w:szCs w:val="22"/>
              </w:rPr>
            </w:pPr>
            <w:r w:rsidRPr="004675A8">
              <w:rPr>
                <w:spacing w:val="-3"/>
                <w:sz w:val="22"/>
                <w:szCs w:val="22"/>
              </w:rPr>
              <w:t>$7,500</w:t>
            </w:r>
          </w:p>
        </w:tc>
      </w:tr>
      <w:tr w14:paraId="3219923A" w14:textId="77777777" w:rsidTr="007A3E48">
        <w:tblPrEx>
          <w:tblW w:w="10260" w:type="dxa"/>
          <w:tblInd w:w="198" w:type="dxa"/>
          <w:tblLayout w:type="fixed"/>
          <w:tblLook w:val="01E0"/>
        </w:tblPrEx>
        <w:tc>
          <w:tcPr>
            <w:tcW w:w="2520" w:type="dxa"/>
            <w:gridSpan w:val="2"/>
          </w:tcPr>
          <w:p w:rsidR="007A3E48" w:rsidRPr="004675A8" w:rsidP="007A3E48" w14:paraId="438655C1" w14:textId="352E18E9">
            <w:pPr>
              <w:rPr>
                <w:sz w:val="22"/>
                <w:szCs w:val="22"/>
              </w:rPr>
            </w:pPr>
          </w:p>
        </w:tc>
        <w:tc>
          <w:tcPr>
            <w:tcW w:w="1080" w:type="dxa"/>
            <w:gridSpan w:val="2"/>
          </w:tcPr>
          <w:p w:rsidR="007A3E48" w:rsidRPr="004675A8" w:rsidP="007A3E48" w14:paraId="13949EA3" w14:textId="447E7CB5">
            <w:pPr>
              <w:rPr>
                <w:sz w:val="22"/>
                <w:szCs w:val="22"/>
              </w:rPr>
            </w:pPr>
          </w:p>
        </w:tc>
        <w:tc>
          <w:tcPr>
            <w:tcW w:w="1417" w:type="dxa"/>
          </w:tcPr>
          <w:p w:rsidR="007A3E48" w:rsidRPr="004675A8" w:rsidP="007A3E48" w14:paraId="47969EAB" w14:textId="43831255">
            <w:pPr>
              <w:suppressAutoHyphens/>
              <w:rPr>
                <w:spacing w:val="-3"/>
                <w:sz w:val="22"/>
                <w:szCs w:val="22"/>
              </w:rPr>
            </w:pPr>
          </w:p>
        </w:tc>
        <w:tc>
          <w:tcPr>
            <w:tcW w:w="1643" w:type="dxa"/>
            <w:gridSpan w:val="2"/>
          </w:tcPr>
          <w:p w:rsidR="007A3E48" w:rsidRPr="004675A8" w:rsidP="007A3E48" w14:paraId="7851DC96" w14:textId="166313E8">
            <w:pPr>
              <w:suppressAutoHyphens/>
              <w:rPr>
                <w:spacing w:val="-3"/>
                <w:sz w:val="22"/>
                <w:szCs w:val="22"/>
              </w:rPr>
            </w:pPr>
          </w:p>
        </w:tc>
        <w:tc>
          <w:tcPr>
            <w:tcW w:w="1800" w:type="dxa"/>
            <w:gridSpan w:val="2"/>
          </w:tcPr>
          <w:p w:rsidR="007A3E48" w:rsidRPr="004675A8" w:rsidP="007A3E48" w14:paraId="778857DB" w14:textId="71FF7AA1">
            <w:pPr>
              <w:suppressAutoHyphens/>
              <w:rPr>
                <w:spacing w:val="-3"/>
                <w:sz w:val="22"/>
                <w:szCs w:val="22"/>
              </w:rPr>
            </w:pPr>
          </w:p>
        </w:tc>
        <w:tc>
          <w:tcPr>
            <w:tcW w:w="1800" w:type="dxa"/>
          </w:tcPr>
          <w:p w:rsidR="007A3E48" w:rsidRPr="004675A8" w:rsidP="007A3E48" w14:paraId="449F6604" w14:textId="71105A09">
            <w:pPr>
              <w:suppressAutoHyphens/>
              <w:rPr>
                <w:spacing w:val="-3"/>
                <w:sz w:val="22"/>
                <w:szCs w:val="22"/>
              </w:rPr>
            </w:pPr>
          </w:p>
        </w:tc>
      </w:tr>
      <w:tr w14:paraId="18D02130" w14:textId="77777777" w:rsidTr="007A3E48">
        <w:tblPrEx>
          <w:tblW w:w="10260" w:type="dxa"/>
          <w:tblInd w:w="198" w:type="dxa"/>
          <w:tblLayout w:type="fixed"/>
          <w:tblLook w:val="01E0"/>
        </w:tblPrEx>
        <w:tc>
          <w:tcPr>
            <w:tcW w:w="2520" w:type="dxa"/>
            <w:gridSpan w:val="2"/>
          </w:tcPr>
          <w:p w:rsidR="007A3E48" w:rsidRPr="004675A8" w:rsidP="007A3E48" w14:paraId="79550B10" w14:textId="77777777">
            <w:pPr>
              <w:rPr>
                <w:spacing w:val="-3"/>
                <w:sz w:val="22"/>
                <w:szCs w:val="22"/>
              </w:rPr>
            </w:pPr>
          </w:p>
        </w:tc>
        <w:tc>
          <w:tcPr>
            <w:tcW w:w="1080" w:type="dxa"/>
            <w:gridSpan w:val="2"/>
          </w:tcPr>
          <w:p w:rsidR="007A3E48" w:rsidRPr="004675A8" w:rsidP="007A3E48" w14:paraId="4E965188" w14:textId="77777777">
            <w:pPr>
              <w:rPr>
                <w:sz w:val="22"/>
                <w:szCs w:val="22"/>
              </w:rPr>
            </w:pPr>
          </w:p>
        </w:tc>
        <w:tc>
          <w:tcPr>
            <w:tcW w:w="1417" w:type="dxa"/>
          </w:tcPr>
          <w:p w:rsidR="007A3E48" w:rsidRPr="004675A8" w:rsidP="007A3E48" w14:paraId="77C2BDD2" w14:textId="77777777">
            <w:pPr>
              <w:suppressAutoHyphens/>
              <w:rPr>
                <w:spacing w:val="-3"/>
                <w:sz w:val="22"/>
                <w:szCs w:val="22"/>
              </w:rPr>
            </w:pPr>
          </w:p>
        </w:tc>
        <w:tc>
          <w:tcPr>
            <w:tcW w:w="1643" w:type="dxa"/>
            <w:gridSpan w:val="2"/>
          </w:tcPr>
          <w:p w:rsidR="007A3E48" w:rsidRPr="004675A8" w:rsidP="007A3E48" w14:paraId="04F92551" w14:textId="77777777">
            <w:pPr>
              <w:suppressAutoHyphens/>
              <w:rPr>
                <w:spacing w:val="-3"/>
                <w:sz w:val="22"/>
                <w:szCs w:val="22"/>
              </w:rPr>
            </w:pPr>
          </w:p>
        </w:tc>
        <w:tc>
          <w:tcPr>
            <w:tcW w:w="1800" w:type="dxa"/>
            <w:gridSpan w:val="2"/>
          </w:tcPr>
          <w:p w:rsidR="007A3E48" w:rsidRPr="004675A8" w:rsidP="007A3E48" w14:paraId="651949FF" w14:textId="77777777">
            <w:pPr>
              <w:suppressAutoHyphens/>
              <w:rPr>
                <w:spacing w:val="-3"/>
                <w:sz w:val="22"/>
                <w:szCs w:val="22"/>
              </w:rPr>
            </w:pPr>
          </w:p>
        </w:tc>
        <w:tc>
          <w:tcPr>
            <w:tcW w:w="1800" w:type="dxa"/>
          </w:tcPr>
          <w:p w:rsidR="007A3E48" w:rsidRPr="004675A8" w:rsidP="007A3E48" w14:paraId="1638B6F9" w14:textId="77777777">
            <w:pPr>
              <w:suppressAutoHyphens/>
              <w:rPr>
                <w:spacing w:val="-3"/>
                <w:sz w:val="22"/>
                <w:szCs w:val="22"/>
              </w:rPr>
            </w:pPr>
          </w:p>
        </w:tc>
      </w:tr>
      <w:tr w14:paraId="27DD819F" w14:textId="77777777">
        <w:tblPrEx>
          <w:tblW w:w="10260" w:type="dxa"/>
          <w:tblInd w:w="198" w:type="dxa"/>
          <w:tblLayout w:type="fixed"/>
          <w:tblLook w:val="01E0"/>
        </w:tblPrEx>
        <w:tc>
          <w:tcPr>
            <w:tcW w:w="10260" w:type="dxa"/>
            <w:gridSpan w:val="10"/>
          </w:tcPr>
          <w:p w:rsidR="007A3E48" w:rsidRPr="004675A8" w:rsidP="007A3E48" w14:paraId="0395E0CB" w14:textId="77EBE9C0">
            <w:pPr>
              <w:suppressAutoHyphens/>
              <w:rPr>
                <w:spacing w:val="-3"/>
                <w:sz w:val="22"/>
                <w:szCs w:val="22"/>
              </w:rPr>
            </w:pPr>
            <w:r w:rsidRPr="00EB1EFC">
              <w:rPr>
                <w:b/>
                <w:bCs/>
                <w:sz w:val="22"/>
                <w:szCs w:val="22"/>
              </w:rPr>
              <w:t xml:space="preserve">FM Station seeking increase in total digital ERP above -14 </w:t>
            </w:r>
            <w:r w:rsidRPr="00EB1EFC">
              <w:rPr>
                <w:b/>
                <w:bCs/>
                <w:sz w:val="22"/>
                <w:szCs w:val="22"/>
              </w:rPr>
              <w:t>dBc</w:t>
            </w:r>
            <w:r w:rsidRPr="00EB1EFC">
              <w:rPr>
                <w:b/>
                <w:bCs/>
                <w:sz w:val="22"/>
                <w:szCs w:val="22"/>
              </w:rPr>
              <w:t xml:space="preserve"> using Schedule 335-FM and Exhibit</w:t>
            </w:r>
          </w:p>
        </w:tc>
      </w:tr>
      <w:tr w14:paraId="22C0F932" w14:textId="77777777" w:rsidTr="007A3E48">
        <w:tblPrEx>
          <w:tblW w:w="10260" w:type="dxa"/>
          <w:tblInd w:w="198" w:type="dxa"/>
          <w:tblLayout w:type="fixed"/>
          <w:tblLook w:val="01E0"/>
        </w:tblPrEx>
        <w:tc>
          <w:tcPr>
            <w:tcW w:w="2520" w:type="dxa"/>
            <w:gridSpan w:val="2"/>
          </w:tcPr>
          <w:p w:rsidR="007A3E48" w:rsidRPr="004675A8" w:rsidP="007A3E48" w14:paraId="77C27B3D" w14:textId="77777777">
            <w:pPr>
              <w:rPr>
                <w:sz w:val="22"/>
                <w:szCs w:val="22"/>
              </w:rPr>
            </w:pPr>
            <w:r w:rsidRPr="004675A8">
              <w:rPr>
                <w:sz w:val="22"/>
                <w:szCs w:val="22"/>
              </w:rPr>
              <w:t>Engineering Consultant</w:t>
            </w:r>
          </w:p>
        </w:tc>
        <w:tc>
          <w:tcPr>
            <w:tcW w:w="1080" w:type="dxa"/>
            <w:gridSpan w:val="2"/>
          </w:tcPr>
          <w:p w:rsidR="007A3E48" w:rsidRPr="004675A8" w:rsidP="007A3E48" w14:paraId="7AFEC220" w14:textId="433E7B2F">
            <w:pPr>
              <w:rPr>
                <w:sz w:val="22"/>
                <w:szCs w:val="22"/>
              </w:rPr>
            </w:pPr>
            <w:r>
              <w:rPr>
                <w:sz w:val="22"/>
                <w:szCs w:val="22"/>
              </w:rPr>
              <w:t>2</w:t>
            </w:r>
            <w:r w:rsidRPr="004675A8">
              <w:rPr>
                <w:sz w:val="22"/>
                <w:szCs w:val="22"/>
              </w:rPr>
              <w:t>0</w:t>
            </w:r>
          </w:p>
        </w:tc>
        <w:tc>
          <w:tcPr>
            <w:tcW w:w="1417" w:type="dxa"/>
          </w:tcPr>
          <w:p w:rsidR="007A3E48" w:rsidRPr="004675A8" w:rsidP="007A3E48" w14:paraId="1A6A4648" w14:textId="4F0886CD">
            <w:pPr>
              <w:suppressAutoHyphens/>
              <w:rPr>
                <w:spacing w:val="-3"/>
                <w:sz w:val="22"/>
                <w:szCs w:val="22"/>
              </w:rPr>
            </w:pPr>
            <w:r>
              <w:rPr>
                <w:spacing w:val="-3"/>
                <w:sz w:val="22"/>
                <w:szCs w:val="22"/>
              </w:rPr>
              <w:t>2</w:t>
            </w:r>
            <w:r w:rsidRPr="004675A8">
              <w:rPr>
                <w:spacing w:val="-3"/>
                <w:sz w:val="22"/>
                <w:szCs w:val="22"/>
              </w:rPr>
              <w:t xml:space="preserve"> </w:t>
            </w:r>
            <w:r w:rsidRPr="004675A8">
              <w:rPr>
                <w:spacing w:val="-3"/>
                <w:sz w:val="22"/>
                <w:szCs w:val="22"/>
              </w:rPr>
              <w:t>hr</w:t>
            </w:r>
            <w:r>
              <w:rPr>
                <w:spacing w:val="-3"/>
                <w:sz w:val="22"/>
                <w:szCs w:val="22"/>
              </w:rPr>
              <w:t>s</w:t>
            </w:r>
          </w:p>
        </w:tc>
        <w:tc>
          <w:tcPr>
            <w:tcW w:w="1643" w:type="dxa"/>
            <w:gridSpan w:val="2"/>
          </w:tcPr>
          <w:p w:rsidR="007A3E48" w:rsidRPr="004675A8" w:rsidP="007A3E48" w14:paraId="7A16E6FC" w14:textId="5ED923F7">
            <w:pPr>
              <w:suppressAutoHyphens/>
              <w:rPr>
                <w:spacing w:val="-3"/>
                <w:sz w:val="22"/>
                <w:szCs w:val="22"/>
              </w:rPr>
            </w:pPr>
            <w:r>
              <w:rPr>
                <w:spacing w:val="-3"/>
                <w:sz w:val="22"/>
                <w:szCs w:val="22"/>
              </w:rPr>
              <w:t>4</w:t>
            </w:r>
            <w:r w:rsidRPr="004675A8">
              <w:rPr>
                <w:spacing w:val="-3"/>
                <w:sz w:val="22"/>
                <w:szCs w:val="22"/>
              </w:rPr>
              <w:t>0</w:t>
            </w:r>
            <w:r>
              <w:rPr>
                <w:spacing w:val="-3"/>
                <w:sz w:val="22"/>
                <w:szCs w:val="22"/>
              </w:rPr>
              <w:t xml:space="preserve"> </w:t>
            </w:r>
            <w:r>
              <w:rPr>
                <w:spacing w:val="-3"/>
                <w:sz w:val="22"/>
                <w:szCs w:val="22"/>
              </w:rPr>
              <w:t>hrs</w:t>
            </w:r>
          </w:p>
        </w:tc>
        <w:tc>
          <w:tcPr>
            <w:tcW w:w="1800" w:type="dxa"/>
            <w:gridSpan w:val="2"/>
          </w:tcPr>
          <w:p w:rsidR="007A3E48" w:rsidRPr="004675A8" w:rsidP="007A3E48" w14:paraId="5BA83F8A" w14:textId="77777777">
            <w:pPr>
              <w:suppressAutoHyphens/>
              <w:rPr>
                <w:spacing w:val="-3"/>
                <w:sz w:val="22"/>
                <w:szCs w:val="22"/>
              </w:rPr>
            </w:pPr>
            <w:r w:rsidRPr="004675A8">
              <w:rPr>
                <w:spacing w:val="-3"/>
                <w:sz w:val="22"/>
                <w:szCs w:val="22"/>
              </w:rPr>
              <w:t>$250.00</w:t>
            </w:r>
          </w:p>
        </w:tc>
        <w:tc>
          <w:tcPr>
            <w:tcW w:w="1800" w:type="dxa"/>
          </w:tcPr>
          <w:p w:rsidR="007A3E48" w:rsidRPr="004675A8" w:rsidP="007A3E48" w14:paraId="609A83D9" w14:textId="7466AB3D">
            <w:pPr>
              <w:suppressAutoHyphens/>
              <w:rPr>
                <w:spacing w:val="-3"/>
                <w:sz w:val="22"/>
                <w:szCs w:val="22"/>
              </w:rPr>
            </w:pPr>
            <w:r w:rsidRPr="004675A8">
              <w:rPr>
                <w:spacing w:val="-3"/>
                <w:sz w:val="22"/>
                <w:szCs w:val="22"/>
              </w:rPr>
              <w:t>$</w:t>
            </w:r>
            <w:r>
              <w:rPr>
                <w:spacing w:val="-3"/>
                <w:sz w:val="22"/>
                <w:szCs w:val="22"/>
              </w:rPr>
              <w:t>10,000</w:t>
            </w:r>
          </w:p>
        </w:tc>
      </w:tr>
      <w:tr w14:paraId="5B07E1FE" w14:textId="77777777" w:rsidTr="007A3E48">
        <w:tblPrEx>
          <w:tblW w:w="10260" w:type="dxa"/>
          <w:tblInd w:w="198" w:type="dxa"/>
          <w:tblLayout w:type="fixed"/>
          <w:tblLook w:val="01E0"/>
        </w:tblPrEx>
        <w:tc>
          <w:tcPr>
            <w:tcW w:w="2520" w:type="dxa"/>
            <w:gridSpan w:val="2"/>
          </w:tcPr>
          <w:p w:rsidR="007A3E48" w:rsidRPr="004675A8" w:rsidP="007A3E48" w14:paraId="6024B314" w14:textId="4A110003">
            <w:pPr>
              <w:rPr>
                <w:sz w:val="22"/>
                <w:szCs w:val="22"/>
              </w:rPr>
            </w:pPr>
          </w:p>
        </w:tc>
        <w:tc>
          <w:tcPr>
            <w:tcW w:w="1080" w:type="dxa"/>
            <w:gridSpan w:val="2"/>
          </w:tcPr>
          <w:p w:rsidR="007A3E48" w:rsidRPr="004675A8" w:rsidP="007A3E48" w14:paraId="7AF6DDC7" w14:textId="093A3F25">
            <w:pPr>
              <w:rPr>
                <w:sz w:val="22"/>
                <w:szCs w:val="22"/>
              </w:rPr>
            </w:pPr>
          </w:p>
        </w:tc>
        <w:tc>
          <w:tcPr>
            <w:tcW w:w="1417" w:type="dxa"/>
          </w:tcPr>
          <w:p w:rsidR="007A3E48" w:rsidRPr="004675A8" w:rsidP="007A3E48" w14:paraId="6BA7217D" w14:textId="1A952FEE">
            <w:pPr>
              <w:suppressAutoHyphens/>
              <w:rPr>
                <w:spacing w:val="-3"/>
                <w:sz w:val="22"/>
                <w:szCs w:val="22"/>
              </w:rPr>
            </w:pPr>
          </w:p>
        </w:tc>
        <w:tc>
          <w:tcPr>
            <w:tcW w:w="1643" w:type="dxa"/>
            <w:gridSpan w:val="2"/>
          </w:tcPr>
          <w:p w:rsidR="007A3E48" w:rsidRPr="004675A8" w:rsidP="007A3E48" w14:paraId="05BC9E8B" w14:textId="685C8DDB">
            <w:pPr>
              <w:suppressAutoHyphens/>
              <w:rPr>
                <w:spacing w:val="-3"/>
                <w:sz w:val="22"/>
                <w:szCs w:val="22"/>
              </w:rPr>
            </w:pPr>
          </w:p>
        </w:tc>
        <w:tc>
          <w:tcPr>
            <w:tcW w:w="1800" w:type="dxa"/>
            <w:gridSpan w:val="2"/>
          </w:tcPr>
          <w:p w:rsidR="007A3E48" w:rsidRPr="004675A8" w:rsidP="007A3E48" w14:paraId="301ADDCA" w14:textId="41BB06F1">
            <w:pPr>
              <w:suppressAutoHyphens/>
              <w:rPr>
                <w:spacing w:val="-3"/>
                <w:sz w:val="22"/>
                <w:szCs w:val="22"/>
              </w:rPr>
            </w:pPr>
          </w:p>
        </w:tc>
        <w:tc>
          <w:tcPr>
            <w:tcW w:w="1800" w:type="dxa"/>
          </w:tcPr>
          <w:p w:rsidR="007A3E48" w:rsidRPr="004675A8" w:rsidP="007A3E48" w14:paraId="11BB5711" w14:textId="19C1CF12">
            <w:pPr>
              <w:suppressAutoHyphens/>
              <w:rPr>
                <w:spacing w:val="-3"/>
                <w:sz w:val="22"/>
                <w:szCs w:val="22"/>
              </w:rPr>
            </w:pPr>
          </w:p>
        </w:tc>
      </w:tr>
      <w:tr w14:paraId="49AAA19F" w14:textId="77777777" w:rsidTr="007A3E48">
        <w:tblPrEx>
          <w:tblW w:w="10260" w:type="dxa"/>
          <w:tblInd w:w="198" w:type="dxa"/>
          <w:tblLayout w:type="fixed"/>
          <w:tblLook w:val="01E0"/>
        </w:tblPrEx>
        <w:tc>
          <w:tcPr>
            <w:tcW w:w="2520" w:type="dxa"/>
            <w:gridSpan w:val="2"/>
          </w:tcPr>
          <w:p w:rsidR="007A3E48" w:rsidRPr="004675A8" w:rsidP="007A3E48" w14:paraId="1C5F610F" w14:textId="77777777">
            <w:pPr>
              <w:rPr>
                <w:spacing w:val="-3"/>
                <w:sz w:val="22"/>
                <w:szCs w:val="22"/>
              </w:rPr>
            </w:pPr>
          </w:p>
        </w:tc>
        <w:tc>
          <w:tcPr>
            <w:tcW w:w="1080" w:type="dxa"/>
            <w:gridSpan w:val="2"/>
          </w:tcPr>
          <w:p w:rsidR="007A3E48" w:rsidRPr="004675A8" w:rsidP="007A3E48" w14:paraId="121B43C9" w14:textId="77777777">
            <w:pPr>
              <w:rPr>
                <w:sz w:val="22"/>
                <w:szCs w:val="22"/>
              </w:rPr>
            </w:pPr>
          </w:p>
        </w:tc>
        <w:tc>
          <w:tcPr>
            <w:tcW w:w="1417" w:type="dxa"/>
          </w:tcPr>
          <w:p w:rsidR="007A3E48" w:rsidRPr="004675A8" w:rsidP="007A3E48" w14:paraId="3B042680" w14:textId="77777777">
            <w:pPr>
              <w:suppressAutoHyphens/>
              <w:rPr>
                <w:spacing w:val="-3"/>
                <w:sz w:val="22"/>
                <w:szCs w:val="22"/>
              </w:rPr>
            </w:pPr>
          </w:p>
        </w:tc>
        <w:tc>
          <w:tcPr>
            <w:tcW w:w="1643" w:type="dxa"/>
            <w:gridSpan w:val="2"/>
          </w:tcPr>
          <w:p w:rsidR="007A3E48" w:rsidRPr="004675A8" w:rsidP="007A3E48" w14:paraId="2945C3FC" w14:textId="77777777">
            <w:pPr>
              <w:suppressAutoHyphens/>
              <w:rPr>
                <w:spacing w:val="-3"/>
                <w:sz w:val="22"/>
                <w:szCs w:val="22"/>
              </w:rPr>
            </w:pPr>
          </w:p>
        </w:tc>
        <w:tc>
          <w:tcPr>
            <w:tcW w:w="1800" w:type="dxa"/>
            <w:gridSpan w:val="2"/>
          </w:tcPr>
          <w:p w:rsidR="007A3E48" w:rsidRPr="004675A8" w:rsidP="007A3E48" w14:paraId="747C58F6" w14:textId="77777777">
            <w:pPr>
              <w:suppressAutoHyphens/>
              <w:rPr>
                <w:spacing w:val="-3"/>
                <w:sz w:val="22"/>
                <w:szCs w:val="22"/>
              </w:rPr>
            </w:pPr>
          </w:p>
        </w:tc>
        <w:tc>
          <w:tcPr>
            <w:tcW w:w="1800" w:type="dxa"/>
          </w:tcPr>
          <w:p w:rsidR="007A3E48" w:rsidRPr="004675A8" w:rsidP="007A3E48" w14:paraId="616DBAF8" w14:textId="77777777">
            <w:pPr>
              <w:suppressAutoHyphens/>
              <w:rPr>
                <w:spacing w:val="-3"/>
                <w:sz w:val="22"/>
                <w:szCs w:val="22"/>
              </w:rPr>
            </w:pPr>
          </w:p>
        </w:tc>
      </w:tr>
      <w:tr w14:paraId="58AF3F78" w14:textId="77777777">
        <w:tblPrEx>
          <w:tblW w:w="10260" w:type="dxa"/>
          <w:tblInd w:w="198" w:type="dxa"/>
          <w:tblLayout w:type="fixed"/>
          <w:tblLook w:val="01E0"/>
        </w:tblPrEx>
        <w:tc>
          <w:tcPr>
            <w:tcW w:w="10260" w:type="dxa"/>
            <w:gridSpan w:val="10"/>
          </w:tcPr>
          <w:p w:rsidR="007A3E48" w:rsidRPr="004675A8" w:rsidP="007A3E48" w14:paraId="32072F53" w14:textId="77777777">
            <w:pPr>
              <w:suppressAutoHyphens/>
              <w:rPr>
                <w:spacing w:val="-3"/>
                <w:sz w:val="22"/>
                <w:szCs w:val="22"/>
              </w:rPr>
            </w:pPr>
            <w:r w:rsidRPr="004675A8">
              <w:rPr>
                <w:b/>
                <w:spacing w:val="-3"/>
                <w:sz w:val="22"/>
                <w:szCs w:val="22"/>
              </w:rPr>
              <w:t>Interference Complaints:</w:t>
            </w:r>
          </w:p>
        </w:tc>
      </w:tr>
      <w:tr w14:paraId="64E50C8A" w14:textId="77777777" w:rsidTr="007A3E48">
        <w:tblPrEx>
          <w:tblW w:w="10260" w:type="dxa"/>
          <w:tblInd w:w="198" w:type="dxa"/>
          <w:tblLayout w:type="fixed"/>
          <w:tblLook w:val="01E0"/>
        </w:tblPrEx>
        <w:tc>
          <w:tcPr>
            <w:tcW w:w="2520" w:type="dxa"/>
            <w:gridSpan w:val="2"/>
          </w:tcPr>
          <w:p w:rsidR="007A3E48" w:rsidRPr="004675A8" w:rsidP="007A3E48" w14:paraId="5622C0E6" w14:textId="77777777">
            <w:pPr>
              <w:rPr>
                <w:sz w:val="22"/>
                <w:szCs w:val="22"/>
              </w:rPr>
            </w:pPr>
            <w:r w:rsidRPr="004675A8">
              <w:rPr>
                <w:sz w:val="22"/>
                <w:szCs w:val="22"/>
              </w:rPr>
              <w:t>Engineering Consultant</w:t>
            </w:r>
          </w:p>
        </w:tc>
        <w:tc>
          <w:tcPr>
            <w:tcW w:w="1080" w:type="dxa"/>
            <w:gridSpan w:val="2"/>
          </w:tcPr>
          <w:p w:rsidR="007A3E48" w:rsidRPr="004675A8" w:rsidP="007A3E48" w14:paraId="0E4F1D63" w14:textId="59352F88">
            <w:pPr>
              <w:rPr>
                <w:sz w:val="22"/>
                <w:szCs w:val="22"/>
              </w:rPr>
            </w:pPr>
            <w:r>
              <w:rPr>
                <w:sz w:val="22"/>
                <w:szCs w:val="22"/>
              </w:rPr>
              <w:t>5</w:t>
            </w:r>
          </w:p>
        </w:tc>
        <w:tc>
          <w:tcPr>
            <w:tcW w:w="1417" w:type="dxa"/>
          </w:tcPr>
          <w:p w:rsidR="007A3E48" w:rsidRPr="004675A8" w:rsidP="007A3E48" w14:paraId="0C270CAD" w14:textId="77777777">
            <w:pPr>
              <w:suppressAutoHyphens/>
              <w:rPr>
                <w:spacing w:val="-3"/>
                <w:sz w:val="22"/>
                <w:szCs w:val="22"/>
              </w:rPr>
            </w:pPr>
            <w:r w:rsidRPr="004675A8">
              <w:rPr>
                <w:spacing w:val="-3"/>
                <w:sz w:val="22"/>
                <w:szCs w:val="22"/>
              </w:rPr>
              <w:t xml:space="preserve">32 </w:t>
            </w:r>
            <w:r w:rsidRPr="004675A8">
              <w:rPr>
                <w:spacing w:val="-3"/>
                <w:sz w:val="22"/>
                <w:szCs w:val="22"/>
              </w:rPr>
              <w:t>hrs</w:t>
            </w:r>
          </w:p>
        </w:tc>
        <w:tc>
          <w:tcPr>
            <w:tcW w:w="1643" w:type="dxa"/>
            <w:gridSpan w:val="2"/>
          </w:tcPr>
          <w:p w:rsidR="007A3E48" w:rsidRPr="004675A8" w:rsidP="007A3E48" w14:paraId="511DF4AE" w14:textId="4DF6ED3C">
            <w:pPr>
              <w:suppressAutoHyphens/>
              <w:rPr>
                <w:spacing w:val="-3"/>
                <w:sz w:val="22"/>
                <w:szCs w:val="22"/>
              </w:rPr>
            </w:pPr>
            <w:r>
              <w:rPr>
                <w:spacing w:val="-3"/>
                <w:sz w:val="22"/>
                <w:szCs w:val="22"/>
              </w:rPr>
              <w:t xml:space="preserve">160 </w:t>
            </w:r>
            <w:r>
              <w:rPr>
                <w:spacing w:val="-3"/>
                <w:sz w:val="22"/>
                <w:szCs w:val="22"/>
              </w:rPr>
              <w:t>hrs</w:t>
            </w:r>
          </w:p>
        </w:tc>
        <w:tc>
          <w:tcPr>
            <w:tcW w:w="1800" w:type="dxa"/>
            <w:gridSpan w:val="2"/>
          </w:tcPr>
          <w:p w:rsidR="007A3E48" w:rsidRPr="004675A8" w:rsidP="007A3E48" w14:paraId="05409B05" w14:textId="77777777">
            <w:pPr>
              <w:suppressAutoHyphens/>
              <w:rPr>
                <w:spacing w:val="-3"/>
                <w:sz w:val="22"/>
                <w:szCs w:val="22"/>
              </w:rPr>
            </w:pPr>
            <w:r w:rsidRPr="004675A8">
              <w:rPr>
                <w:spacing w:val="-3"/>
                <w:sz w:val="22"/>
                <w:szCs w:val="22"/>
              </w:rPr>
              <w:t>$250.00</w:t>
            </w:r>
          </w:p>
        </w:tc>
        <w:tc>
          <w:tcPr>
            <w:tcW w:w="1800" w:type="dxa"/>
          </w:tcPr>
          <w:p w:rsidR="007A3E48" w:rsidRPr="004675A8" w:rsidP="007A3E48" w14:paraId="1A87C032" w14:textId="67C8A99C">
            <w:pPr>
              <w:suppressAutoHyphens/>
              <w:rPr>
                <w:spacing w:val="-3"/>
                <w:sz w:val="22"/>
                <w:szCs w:val="22"/>
              </w:rPr>
            </w:pPr>
            <w:r w:rsidRPr="004675A8">
              <w:rPr>
                <w:spacing w:val="-3"/>
                <w:sz w:val="22"/>
                <w:szCs w:val="22"/>
              </w:rPr>
              <w:t>$</w:t>
            </w:r>
            <w:r>
              <w:rPr>
                <w:spacing w:val="-3"/>
                <w:sz w:val="22"/>
                <w:szCs w:val="22"/>
              </w:rPr>
              <w:t>4</w:t>
            </w:r>
            <w:r w:rsidRPr="004675A8">
              <w:rPr>
                <w:spacing w:val="-3"/>
                <w:sz w:val="22"/>
                <w:szCs w:val="22"/>
              </w:rPr>
              <w:t>0,000</w:t>
            </w:r>
          </w:p>
        </w:tc>
      </w:tr>
      <w:tr w14:paraId="20451B41" w14:textId="77777777" w:rsidTr="007A3E48">
        <w:tblPrEx>
          <w:tblW w:w="10260" w:type="dxa"/>
          <w:tblInd w:w="198" w:type="dxa"/>
          <w:tblLayout w:type="fixed"/>
          <w:tblLook w:val="01E0"/>
        </w:tblPrEx>
        <w:tc>
          <w:tcPr>
            <w:tcW w:w="2520" w:type="dxa"/>
            <w:gridSpan w:val="2"/>
          </w:tcPr>
          <w:p w:rsidR="007A3E48" w:rsidRPr="004675A8" w:rsidP="007A3E48" w14:paraId="421EE3D2" w14:textId="77777777">
            <w:pPr>
              <w:rPr>
                <w:sz w:val="22"/>
                <w:szCs w:val="22"/>
              </w:rPr>
            </w:pPr>
            <w:r w:rsidRPr="004675A8">
              <w:rPr>
                <w:spacing w:val="-3"/>
                <w:sz w:val="22"/>
                <w:szCs w:val="22"/>
              </w:rPr>
              <w:t>Outside Attorney</w:t>
            </w:r>
          </w:p>
        </w:tc>
        <w:tc>
          <w:tcPr>
            <w:tcW w:w="1080" w:type="dxa"/>
            <w:gridSpan w:val="2"/>
          </w:tcPr>
          <w:p w:rsidR="007A3E48" w:rsidRPr="004675A8" w:rsidP="007A3E48" w14:paraId="3616D963" w14:textId="686D5DD4">
            <w:pPr>
              <w:rPr>
                <w:sz w:val="22"/>
                <w:szCs w:val="22"/>
              </w:rPr>
            </w:pPr>
            <w:r>
              <w:rPr>
                <w:sz w:val="22"/>
                <w:szCs w:val="22"/>
              </w:rPr>
              <w:t>5</w:t>
            </w:r>
          </w:p>
        </w:tc>
        <w:tc>
          <w:tcPr>
            <w:tcW w:w="1417" w:type="dxa"/>
          </w:tcPr>
          <w:p w:rsidR="007A3E48" w:rsidRPr="004675A8" w:rsidP="007A3E48" w14:paraId="259E8C99" w14:textId="77777777">
            <w:pPr>
              <w:suppressAutoHyphens/>
              <w:rPr>
                <w:spacing w:val="-3"/>
                <w:sz w:val="22"/>
                <w:szCs w:val="22"/>
              </w:rPr>
            </w:pPr>
            <w:r w:rsidRPr="004675A8">
              <w:rPr>
                <w:spacing w:val="-3"/>
                <w:sz w:val="22"/>
                <w:szCs w:val="22"/>
              </w:rPr>
              <w:t xml:space="preserve">8 </w:t>
            </w:r>
            <w:r w:rsidRPr="004675A8">
              <w:rPr>
                <w:spacing w:val="-3"/>
                <w:sz w:val="22"/>
                <w:szCs w:val="22"/>
              </w:rPr>
              <w:t>hrs</w:t>
            </w:r>
          </w:p>
        </w:tc>
        <w:tc>
          <w:tcPr>
            <w:tcW w:w="1643" w:type="dxa"/>
            <w:gridSpan w:val="2"/>
          </w:tcPr>
          <w:p w:rsidR="007A3E48" w:rsidRPr="004675A8" w:rsidP="007A3E48" w14:paraId="4E84970F" w14:textId="32CB13B5">
            <w:pPr>
              <w:suppressAutoHyphens/>
              <w:rPr>
                <w:spacing w:val="-3"/>
                <w:sz w:val="22"/>
                <w:szCs w:val="22"/>
              </w:rPr>
            </w:pPr>
            <w:r>
              <w:rPr>
                <w:spacing w:val="-3"/>
                <w:sz w:val="22"/>
                <w:szCs w:val="22"/>
              </w:rPr>
              <w:t>4</w:t>
            </w:r>
            <w:r w:rsidRPr="004675A8">
              <w:rPr>
                <w:spacing w:val="-3"/>
                <w:sz w:val="22"/>
                <w:szCs w:val="22"/>
              </w:rPr>
              <w:t>0</w:t>
            </w:r>
            <w:r>
              <w:rPr>
                <w:spacing w:val="-3"/>
                <w:sz w:val="22"/>
                <w:szCs w:val="22"/>
              </w:rPr>
              <w:t xml:space="preserve"> </w:t>
            </w:r>
            <w:r>
              <w:rPr>
                <w:spacing w:val="-3"/>
                <w:sz w:val="22"/>
                <w:szCs w:val="22"/>
              </w:rPr>
              <w:t>hrs</w:t>
            </w:r>
          </w:p>
        </w:tc>
        <w:tc>
          <w:tcPr>
            <w:tcW w:w="1800" w:type="dxa"/>
            <w:gridSpan w:val="2"/>
          </w:tcPr>
          <w:p w:rsidR="007A3E48" w:rsidRPr="004675A8" w:rsidP="007A3E48" w14:paraId="4FA3ED3F" w14:textId="77777777">
            <w:pPr>
              <w:suppressAutoHyphens/>
              <w:rPr>
                <w:spacing w:val="-3"/>
                <w:sz w:val="22"/>
                <w:szCs w:val="22"/>
              </w:rPr>
            </w:pPr>
            <w:r w:rsidRPr="004675A8">
              <w:rPr>
                <w:spacing w:val="-3"/>
                <w:sz w:val="22"/>
                <w:szCs w:val="22"/>
              </w:rPr>
              <w:t>$300.00</w:t>
            </w:r>
          </w:p>
        </w:tc>
        <w:tc>
          <w:tcPr>
            <w:tcW w:w="1800" w:type="dxa"/>
          </w:tcPr>
          <w:p w:rsidR="007A3E48" w:rsidRPr="004675A8" w:rsidP="007A3E48" w14:paraId="5ED158B6" w14:textId="1D0765FF">
            <w:pPr>
              <w:suppressAutoHyphens/>
              <w:rPr>
                <w:spacing w:val="-3"/>
                <w:sz w:val="22"/>
                <w:szCs w:val="22"/>
              </w:rPr>
            </w:pPr>
            <w:r w:rsidRPr="004675A8">
              <w:rPr>
                <w:spacing w:val="-3"/>
                <w:sz w:val="22"/>
                <w:szCs w:val="22"/>
              </w:rPr>
              <w:t>$</w:t>
            </w:r>
            <w:r>
              <w:rPr>
                <w:spacing w:val="-3"/>
                <w:sz w:val="22"/>
                <w:szCs w:val="22"/>
              </w:rPr>
              <w:t>12</w:t>
            </w:r>
            <w:r w:rsidRPr="004675A8">
              <w:rPr>
                <w:spacing w:val="-3"/>
                <w:sz w:val="22"/>
                <w:szCs w:val="22"/>
              </w:rPr>
              <w:t>,000</w:t>
            </w:r>
          </w:p>
        </w:tc>
      </w:tr>
      <w:tr w14:paraId="7031781E" w14:textId="77777777" w:rsidTr="007A3E48">
        <w:tblPrEx>
          <w:tblW w:w="10260" w:type="dxa"/>
          <w:tblInd w:w="198" w:type="dxa"/>
          <w:tblLayout w:type="fixed"/>
          <w:tblLook w:val="01E0"/>
        </w:tblPrEx>
        <w:tc>
          <w:tcPr>
            <w:tcW w:w="2520" w:type="dxa"/>
            <w:gridSpan w:val="2"/>
          </w:tcPr>
          <w:p w:rsidR="007A3E48" w:rsidRPr="004675A8" w:rsidP="007A3E48" w14:paraId="16335DFD" w14:textId="77777777">
            <w:pPr>
              <w:rPr>
                <w:spacing w:val="-3"/>
                <w:sz w:val="22"/>
                <w:szCs w:val="22"/>
              </w:rPr>
            </w:pPr>
          </w:p>
        </w:tc>
        <w:tc>
          <w:tcPr>
            <w:tcW w:w="1080" w:type="dxa"/>
            <w:gridSpan w:val="2"/>
          </w:tcPr>
          <w:p w:rsidR="007A3E48" w:rsidRPr="004675A8" w:rsidP="007A3E48" w14:paraId="4BA9706D" w14:textId="77777777">
            <w:pPr>
              <w:rPr>
                <w:sz w:val="22"/>
                <w:szCs w:val="22"/>
              </w:rPr>
            </w:pPr>
          </w:p>
        </w:tc>
        <w:tc>
          <w:tcPr>
            <w:tcW w:w="1417" w:type="dxa"/>
          </w:tcPr>
          <w:p w:rsidR="007A3E48" w:rsidRPr="004675A8" w:rsidP="007A3E48" w14:paraId="3E4AE44F" w14:textId="77777777">
            <w:pPr>
              <w:suppressAutoHyphens/>
              <w:rPr>
                <w:spacing w:val="-3"/>
                <w:sz w:val="22"/>
                <w:szCs w:val="22"/>
              </w:rPr>
            </w:pPr>
          </w:p>
        </w:tc>
        <w:tc>
          <w:tcPr>
            <w:tcW w:w="1643" w:type="dxa"/>
            <w:gridSpan w:val="2"/>
          </w:tcPr>
          <w:p w:rsidR="007A3E48" w:rsidRPr="004675A8" w:rsidP="007A3E48" w14:paraId="5A2574F4" w14:textId="77777777">
            <w:pPr>
              <w:suppressAutoHyphens/>
              <w:rPr>
                <w:spacing w:val="-3"/>
                <w:sz w:val="22"/>
                <w:szCs w:val="22"/>
              </w:rPr>
            </w:pPr>
          </w:p>
        </w:tc>
        <w:tc>
          <w:tcPr>
            <w:tcW w:w="1800" w:type="dxa"/>
            <w:gridSpan w:val="2"/>
          </w:tcPr>
          <w:p w:rsidR="007A3E48" w:rsidRPr="004675A8" w:rsidP="007A3E48" w14:paraId="6A048EB4" w14:textId="77777777">
            <w:pPr>
              <w:suppressAutoHyphens/>
              <w:rPr>
                <w:spacing w:val="-3"/>
                <w:sz w:val="22"/>
                <w:szCs w:val="22"/>
              </w:rPr>
            </w:pPr>
          </w:p>
        </w:tc>
        <w:tc>
          <w:tcPr>
            <w:tcW w:w="1800" w:type="dxa"/>
          </w:tcPr>
          <w:p w:rsidR="007A3E48" w:rsidRPr="004675A8" w:rsidP="007A3E48" w14:paraId="4BE375F8" w14:textId="77777777">
            <w:pPr>
              <w:suppressAutoHyphens/>
              <w:rPr>
                <w:spacing w:val="-3"/>
                <w:sz w:val="22"/>
                <w:szCs w:val="22"/>
              </w:rPr>
            </w:pPr>
          </w:p>
        </w:tc>
      </w:tr>
      <w:tr w14:paraId="39739711" w14:textId="77777777" w:rsidTr="007A3E48">
        <w:tblPrEx>
          <w:tblW w:w="10260" w:type="dxa"/>
          <w:tblInd w:w="198" w:type="dxa"/>
          <w:tblLayout w:type="fixed"/>
          <w:tblLook w:val="01E0"/>
        </w:tblPrEx>
        <w:tc>
          <w:tcPr>
            <w:tcW w:w="2520" w:type="dxa"/>
            <w:gridSpan w:val="2"/>
          </w:tcPr>
          <w:p w:rsidR="007A3E48" w:rsidRPr="0097684C" w:rsidP="007A3E48" w14:paraId="34DA0C9D" w14:textId="77777777">
            <w:pPr>
              <w:rPr>
                <w:b/>
                <w:spacing w:val="-3"/>
                <w:sz w:val="22"/>
                <w:szCs w:val="22"/>
              </w:rPr>
            </w:pPr>
            <w:r w:rsidRPr="0097684C">
              <w:rPr>
                <w:b/>
                <w:spacing w:val="-3"/>
                <w:sz w:val="22"/>
                <w:szCs w:val="22"/>
              </w:rPr>
              <w:t xml:space="preserve">                    TOTAL:</w:t>
            </w:r>
          </w:p>
        </w:tc>
        <w:tc>
          <w:tcPr>
            <w:tcW w:w="1080" w:type="dxa"/>
            <w:gridSpan w:val="2"/>
          </w:tcPr>
          <w:p w:rsidR="007A3E48" w:rsidRPr="0097684C" w:rsidP="007A3E48" w14:paraId="2C22A44D" w14:textId="33E17432">
            <w:pPr>
              <w:rPr>
                <w:sz w:val="22"/>
                <w:szCs w:val="22"/>
              </w:rPr>
            </w:pPr>
            <w:r>
              <w:rPr>
                <w:sz w:val="22"/>
                <w:szCs w:val="22"/>
              </w:rPr>
              <w:t>220</w:t>
            </w:r>
          </w:p>
        </w:tc>
        <w:tc>
          <w:tcPr>
            <w:tcW w:w="1417" w:type="dxa"/>
          </w:tcPr>
          <w:p w:rsidR="007A3E48" w:rsidRPr="0097684C" w:rsidP="007A3E48" w14:paraId="4805D977" w14:textId="20B71D4B">
            <w:pPr>
              <w:suppressAutoHyphens/>
              <w:rPr>
                <w:spacing w:val="-3"/>
                <w:sz w:val="22"/>
                <w:szCs w:val="22"/>
              </w:rPr>
            </w:pPr>
            <w:r w:rsidRPr="0097684C">
              <w:rPr>
                <w:spacing w:val="-3"/>
                <w:sz w:val="22"/>
                <w:szCs w:val="22"/>
              </w:rPr>
              <w:t>52</w:t>
            </w:r>
          </w:p>
        </w:tc>
        <w:tc>
          <w:tcPr>
            <w:tcW w:w="1643" w:type="dxa"/>
            <w:gridSpan w:val="2"/>
          </w:tcPr>
          <w:p w:rsidR="007A3E48" w:rsidRPr="0097684C" w:rsidP="007A3E48" w14:paraId="23748C9D" w14:textId="5C93B4D6">
            <w:pPr>
              <w:suppressAutoHyphens/>
              <w:rPr>
                <w:spacing w:val="-3"/>
                <w:sz w:val="22"/>
                <w:szCs w:val="22"/>
              </w:rPr>
            </w:pPr>
            <w:r w:rsidRPr="0097684C">
              <w:rPr>
                <w:spacing w:val="-3"/>
                <w:sz w:val="22"/>
                <w:szCs w:val="22"/>
              </w:rPr>
              <w:t>505</w:t>
            </w:r>
          </w:p>
        </w:tc>
        <w:tc>
          <w:tcPr>
            <w:tcW w:w="1800" w:type="dxa"/>
            <w:gridSpan w:val="2"/>
          </w:tcPr>
          <w:p w:rsidR="007A3E48" w:rsidRPr="0097684C" w:rsidP="007A3E48" w14:paraId="49432978" w14:textId="77777777">
            <w:pPr>
              <w:suppressAutoHyphens/>
              <w:rPr>
                <w:spacing w:val="-3"/>
                <w:sz w:val="22"/>
                <w:szCs w:val="22"/>
              </w:rPr>
            </w:pPr>
          </w:p>
        </w:tc>
        <w:tc>
          <w:tcPr>
            <w:tcW w:w="1800" w:type="dxa"/>
          </w:tcPr>
          <w:p w:rsidR="007A3E48" w:rsidRPr="0097684C" w:rsidP="007A3E48" w14:paraId="309AB08B" w14:textId="7D603F9B">
            <w:pPr>
              <w:suppressAutoHyphens/>
              <w:rPr>
                <w:b/>
                <w:spacing w:val="-3"/>
                <w:sz w:val="22"/>
                <w:szCs w:val="22"/>
              </w:rPr>
            </w:pPr>
            <w:r w:rsidRPr="0097684C">
              <w:rPr>
                <w:b/>
                <w:spacing w:val="-3"/>
                <w:sz w:val="22"/>
                <w:szCs w:val="22"/>
              </w:rPr>
              <w:t>$128,250</w:t>
            </w:r>
          </w:p>
        </w:tc>
      </w:tr>
    </w:tbl>
    <w:p w:rsidR="00BF1F08" w:rsidP="000467AB" w14:paraId="121A1F9D" w14:textId="77777777">
      <w:pPr>
        <w:shd w:val="clear" w:color="auto" w:fill="FFFFFF"/>
        <w:tabs>
          <w:tab w:val="left" w:pos="-720"/>
        </w:tabs>
        <w:suppressAutoHyphens/>
        <w:ind w:right="-270"/>
        <w:rPr>
          <w:spacing w:val="-3"/>
          <w:sz w:val="22"/>
          <w:szCs w:val="22"/>
        </w:rPr>
      </w:pPr>
    </w:p>
    <w:p w:rsidR="00B41C20" w:rsidRPr="004675A8" w:rsidP="000467AB" w14:paraId="66496A64" w14:textId="77777777">
      <w:pPr>
        <w:shd w:val="clear" w:color="auto" w:fill="FFFFFF"/>
        <w:tabs>
          <w:tab w:val="left" w:pos="-720"/>
        </w:tabs>
        <w:suppressAutoHyphens/>
        <w:ind w:right="-270"/>
        <w:rPr>
          <w:spacing w:val="-3"/>
          <w:sz w:val="22"/>
          <w:szCs w:val="22"/>
        </w:rPr>
      </w:pPr>
    </w:p>
    <w:p w:rsidR="000467AB" w:rsidRPr="003A4DEF" w:rsidP="000467AB" w14:paraId="0F3B921F" w14:textId="4964A761">
      <w:pPr>
        <w:shd w:val="clear" w:color="auto" w:fill="FFFFFF"/>
        <w:tabs>
          <w:tab w:val="left" w:pos="-720"/>
        </w:tabs>
        <w:suppressAutoHyphens/>
        <w:ind w:right="-270"/>
        <w:rPr>
          <w:spacing w:val="-3"/>
          <w:sz w:val="22"/>
          <w:szCs w:val="22"/>
        </w:rPr>
      </w:pPr>
      <w:r w:rsidRPr="004675A8">
        <w:rPr>
          <w:spacing w:val="-3"/>
          <w:sz w:val="22"/>
          <w:szCs w:val="22"/>
        </w:rPr>
        <w:t xml:space="preserve">14.  </w:t>
      </w:r>
      <w:r w:rsidRPr="004675A8">
        <w:rPr>
          <w:b/>
          <w:spacing w:val="-3"/>
          <w:sz w:val="22"/>
          <w:szCs w:val="22"/>
        </w:rPr>
        <w:t xml:space="preserve">Cost to Federal Government: </w:t>
      </w:r>
      <w:r w:rsidRPr="004675A8">
        <w:rPr>
          <w:spacing w:val="-3"/>
          <w:sz w:val="22"/>
          <w:szCs w:val="22"/>
        </w:rPr>
        <w:t>The</w:t>
      </w:r>
      <w:r w:rsidRPr="004675A8" w:rsidR="00BF1F08">
        <w:rPr>
          <w:spacing w:val="-3"/>
          <w:sz w:val="22"/>
          <w:szCs w:val="22"/>
        </w:rPr>
        <w:t xml:space="preserve"> FCC</w:t>
      </w:r>
      <w:r w:rsidRPr="004675A8">
        <w:rPr>
          <w:spacing w:val="-3"/>
          <w:sz w:val="22"/>
          <w:szCs w:val="22"/>
        </w:rPr>
        <w:t xml:space="preserve"> will use </w:t>
      </w:r>
      <w:r w:rsidRPr="004675A8">
        <w:rPr>
          <w:spacing w:val="-3"/>
          <w:sz w:val="22"/>
          <w:szCs w:val="22"/>
          <w:shd w:val="clear" w:color="auto" w:fill="FFFFFF"/>
        </w:rPr>
        <w:t xml:space="preserve">professional staff at the </w:t>
      </w:r>
      <w:r w:rsidRPr="004675A8" w:rsidR="003E04F0">
        <w:rPr>
          <w:spacing w:val="-3"/>
          <w:sz w:val="22"/>
          <w:szCs w:val="22"/>
          <w:shd w:val="clear" w:color="auto" w:fill="FFFFFF"/>
        </w:rPr>
        <w:t xml:space="preserve">GS-15/Step </w:t>
      </w:r>
      <w:r w:rsidRPr="003A4DEF" w:rsidR="003E04F0">
        <w:rPr>
          <w:spacing w:val="-3"/>
          <w:sz w:val="22"/>
          <w:szCs w:val="22"/>
          <w:shd w:val="clear" w:color="auto" w:fill="FFFFFF"/>
        </w:rPr>
        <w:t>5 ($</w:t>
      </w:r>
      <w:r w:rsidRPr="003A4DEF" w:rsidR="00F72393">
        <w:rPr>
          <w:spacing w:val="-3"/>
          <w:sz w:val="22"/>
          <w:szCs w:val="22"/>
          <w:shd w:val="clear" w:color="auto" w:fill="FFFFFF"/>
        </w:rPr>
        <w:t>8</w:t>
      </w:r>
      <w:r w:rsidRPr="003A4DEF" w:rsidR="00970D37">
        <w:rPr>
          <w:spacing w:val="-3"/>
          <w:sz w:val="22"/>
          <w:szCs w:val="22"/>
          <w:shd w:val="clear" w:color="auto" w:fill="FFFFFF"/>
        </w:rPr>
        <w:t>9.04</w:t>
      </w:r>
      <w:r w:rsidRPr="003A4DEF" w:rsidR="0085141C">
        <w:rPr>
          <w:spacing w:val="-3"/>
          <w:sz w:val="22"/>
          <w:szCs w:val="22"/>
          <w:shd w:val="clear" w:color="auto" w:fill="FFFFFF"/>
        </w:rPr>
        <w:t>/</w:t>
      </w:r>
      <w:r w:rsidRPr="003A4DEF" w:rsidR="009D2B73">
        <w:rPr>
          <w:spacing w:val="-3"/>
          <w:sz w:val="22"/>
          <w:szCs w:val="22"/>
          <w:shd w:val="clear" w:color="auto" w:fill="FFFFFF"/>
        </w:rPr>
        <w:t xml:space="preserve">hour), </w:t>
      </w:r>
      <w:r w:rsidRPr="003A4DEF" w:rsidR="003E04F0">
        <w:rPr>
          <w:spacing w:val="-3"/>
          <w:sz w:val="22"/>
          <w:szCs w:val="22"/>
          <w:shd w:val="clear" w:color="auto" w:fill="FFFFFF"/>
        </w:rPr>
        <w:t>GS-14/Step 5 ($</w:t>
      </w:r>
      <w:r w:rsidRPr="003A4DEF" w:rsidR="00970D37">
        <w:rPr>
          <w:spacing w:val="-3"/>
          <w:sz w:val="22"/>
          <w:szCs w:val="22"/>
          <w:shd w:val="clear" w:color="auto" w:fill="FFFFFF"/>
        </w:rPr>
        <w:t>75.70</w:t>
      </w:r>
      <w:r w:rsidRPr="003A4DEF">
        <w:rPr>
          <w:spacing w:val="-3"/>
          <w:sz w:val="22"/>
          <w:szCs w:val="22"/>
          <w:shd w:val="clear" w:color="auto" w:fill="FFFFFF"/>
        </w:rPr>
        <w:t xml:space="preserve">/hour), </w:t>
      </w:r>
      <w:r w:rsidRPr="003A4DEF">
        <w:rPr>
          <w:spacing w:val="-3"/>
          <w:sz w:val="22"/>
          <w:szCs w:val="22"/>
        </w:rPr>
        <w:t xml:space="preserve">paraprofessional staff GS-11/Step </w:t>
      </w:r>
      <w:r w:rsidRPr="003A4DEF" w:rsidR="007B32EE">
        <w:rPr>
          <w:spacing w:val="-3"/>
          <w:sz w:val="22"/>
          <w:szCs w:val="22"/>
        </w:rPr>
        <w:t>5 (</w:t>
      </w:r>
      <w:r w:rsidRPr="003A4DEF" w:rsidR="003E04F0">
        <w:rPr>
          <w:spacing w:val="-3"/>
          <w:sz w:val="22"/>
          <w:szCs w:val="22"/>
        </w:rPr>
        <w:t>$</w:t>
      </w:r>
      <w:r w:rsidRPr="003A4DEF" w:rsidR="002346B6">
        <w:rPr>
          <w:spacing w:val="-3"/>
          <w:sz w:val="22"/>
          <w:szCs w:val="22"/>
        </w:rPr>
        <w:t>42.68</w:t>
      </w:r>
      <w:r w:rsidRPr="003A4DEF">
        <w:rPr>
          <w:spacing w:val="-3"/>
          <w:sz w:val="22"/>
          <w:szCs w:val="22"/>
        </w:rPr>
        <w:t xml:space="preserve">/hour), and </w:t>
      </w:r>
      <w:r w:rsidRPr="003A4DEF" w:rsidR="003E04F0">
        <w:rPr>
          <w:spacing w:val="-3"/>
          <w:sz w:val="22"/>
          <w:szCs w:val="22"/>
        </w:rPr>
        <w:t>clerical staff GS-5/Step 5 ($</w:t>
      </w:r>
      <w:r w:rsidRPr="003A4DEF" w:rsidR="00970D37">
        <w:rPr>
          <w:spacing w:val="-3"/>
          <w:sz w:val="22"/>
          <w:szCs w:val="22"/>
        </w:rPr>
        <w:t>24.52</w:t>
      </w:r>
      <w:r w:rsidRPr="003A4DEF" w:rsidR="002346B6">
        <w:rPr>
          <w:spacing w:val="-3"/>
          <w:sz w:val="22"/>
          <w:szCs w:val="22"/>
        </w:rPr>
        <w:t>/hour)</w:t>
      </w:r>
      <w:r w:rsidRPr="003A4DEF" w:rsidR="002346B6">
        <w:rPr>
          <w:spacing w:val="-3"/>
          <w:sz w:val="22"/>
          <w:szCs w:val="22"/>
        </w:rPr>
        <w:tab/>
      </w:r>
      <w:r w:rsidRPr="003A4DEF" w:rsidR="002346B6">
        <w:rPr>
          <w:spacing w:val="-3"/>
          <w:sz w:val="22"/>
          <w:szCs w:val="22"/>
        </w:rPr>
        <w:tab/>
      </w:r>
      <w:r w:rsidRPr="003A4DEF" w:rsidR="002346B6">
        <w:rPr>
          <w:spacing w:val="-3"/>
          <w:sz w:val="22"/>
          <w:szCs w:val="22"/>
        </w:rPr>
        <w:tab/>
      </w:r>
      <w:r w:rsidRPr="003A4DEF">
        <w:rPr>
          <w:spacing w:val="-3"/>
          <w:sz w:val="22"/>
          <w:szCs w:val="22"/>
        </w:rPr>
        <w:t xml:space="preserve"> </w:t>
      </w:r>
    </w:p>
    <w:p w:rsidR="000467AB" w:rsidRPr="003A4DEF" w:rsidP="000467AB" w14:paraId="7B6158B2" w14:textId="77777777">
      <w:pPr>
        <w:rPr>
          <w:b/>
          <w:sz w:val="22"/>
          <w:szCs w:val="22"/>
        </w:rPr>
      </w:pPr>
    </w:p>
    <w:p w:rsidR="003814C6" w:rsidRPr="003A4DEF" w:rsidP="003814C6" w14:paraId="70DED806" w14:textId="5D4F853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3A4DEF">
        <w:rPr>
          <w:b/>
          <w:spacing w:val="-3"/>
          <w:sz w:val="22"/>
          <w:szCs w:val="22"/>
        </w:rPr>
        <w:t>AM/FM Hybrid Notifications using Schedule 335-FM or Schedule 335-AM:</w:t>
      </w:r>
      <w:r w:rsidRPr="003A4DEF">
        <w:rPr>
          <w:rStyle w:val="FootnoteReference"/>
          <w:spacing w:val="-3"/>
          <w:sz w:val="22"/>
          <w:szCs w:val="22"/>
          <w:shd w:val="clear" w:color="auto" w:fill="FFFFFF"/>
        </w:rPr>
        <w:t xml:space="preserve"> </w:t>
      </w:r>
      <w:r>
        <w:rPr>
          <w:rStyle w:val="FootnoteReference"/>
          <w:spacing w:val="-3"/>
          <w:sz w:val="22"/>
          <w:szCs w:val="22"/>
          <w:shd w:val="clear" w:color="auto" w:fill="FFFFFF"/>
        </w:rPr>
        <w:footnoteReference w:id="19"/>
      </w:r>
    </w:p>
    <w:p w:rsidR="003814C6" w:rsidRPr="003A4DEF" w:rsidP="003814C6" w14:paraId="30125F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3814C6" w:rsidRPr="003A4DEF" w:rsidP="003814C6" w14:paraId="4BE10597" w14:textId="0BDB6B7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3A4DEF">
        <w:rPr>
          <w:b/>
          <w:sz w:val="22"/>
          <w:szCs w:val="22"/>
        </w:rPr>
        <w:t xml:space="preserve">           </w:t>
      </w:r>
      <w:r w:rsidRPr="003A4DEF">
        <w:rPr>
          <w:spacing w:val="-3"/>
          <w:sz w:val="22"/>
          <w:szCs w:val="22"/>
          <w:shd w:val="clear" w:color="auto" w:fill="FFFFFF"/>
        </w:rPr>
        <w:t>Professional</w:t>
      </w:r>
      <w:r w:rsidRPr="003A4DEF">
        <w:rPr>
          <w:spacing w:val="-3"/>
          <w:sz w:val="22"/>
          <w:szCs w:val="22"/>
          <w:shd w:val="clear" w:color="auto" w:fill="FFFFFF"/>
        </w:rPr>
        <w:tab/>
      </w:r>
      <w:r w:rsidRPr="003A4DEF">
        <w:rPr>
          <w:spacing w:val="-3"/>
          <w:sz w:val="22"/>
          <w:szCs w:val="22"/>
          <w:shd w:val="clear" w:color="auto" w:fill="FFFFFF"/>
        </w:rPr>
        <w:tab/>
        <w:t>1 hour x $7</w:t>
      </w:r>
      <w:r w:rsidRPr="003A4DEF" w:rsidR="00970D37">
        <w:rPr>
          <w:spacing w:val="-3"/>
          <w:sz w:val="22"/>
          <w:szCs w:val="22"/>
          <w:shd w:val="clear" w:color="auto" w:fill="FFFFFF"/>
        </w:rPr>
        <w:t>5.70</w:t>
      </w:r>
      <w:r w:rsidRPr="003A4DEF">
        <w:rPr>
          <w:spacing w:val="-3"/>
          <w:sz w:val="22"/>
          <w:szCs w:val="22"/>
          <w:shd w:val="clear" w:color="auto" w:fill="FFFFFF"/>
        </w:rPr>
        <w:t xml:space="preserve"> x 100</w:t>
      </w:r>
      <w:r w:rsidRPr="003A4DEF">
        <w:rPr>
          <w:spacing w:val="-3"/>
          <w:sz w:val="22"/>
          <w:szCs w:val="22"/>
        </w:rPr>
        <w:t xml:space="preserve"> = </w:t>
      </w:r>
      <w:r w:rsidRPr="003A4DEF">
        <w:rPr>
          <w:spacing w:val="-3"/>
          <w:sz w:val="22"/>
          <w:szCs w:val="22"/>
        </w:rPr>
        <w:tab/>
      </w:r>
      <w:r w:rsidRPr="003A4DEF">
        <w:rPr>
          <w:spacing w:val="-3"/>
          <w:sz w:val="22"/>
          <w:szCs w:val="22"/>
        </w:rPr>
        <w:tab/>
      </w:r>
      <w:r w:rsidRPr="003A4DEF">
        <w:rPr>
          <w:spacing w:val="-3"/>
          <w:sz w:val="22"/>
          <w:szCs w:val="22"/>
        </w:rPr>
        <w:tab/>
        <w:t xml:space="preserve">$  </w:t>
      </w:r>
      <w:r w:rsidRPr="003A4DEF" w:rsidR="00DA4F14">
        <w:rPr>
          <w:spacing w:val="-3"/>
          <w:sz w:val="22"/>
          <w:szCs w:val="22"/>
        </w:rPr>
        <w:t>7,</w:t>
      </w:r>
      <w:r w:rsidRPr="003A4DEF" w:rsidR="00970D37">
        <w:rPr>
          <w:spacing w:val="-3"/>
          <w:sz w:val="22"/>
          <w:szCs w:val="22"/>
        </w:rPr>
        <w:t>570</w:t>
      </w:r>
      <w:r w:rsidRPr="003A4DEF" w:rsidR="00DA4F14">
        <w:rPr>
          <w:spacing w:val="-3"/>
          <w:sz w:val="22"/>
          <w:szCs w:val="22"/>
        </w:rPr>
        <w:t>.00</w:t>
      </w:r>
      <w:r w:rsidRPr="003A4DEF">
        <w:rPr>
          <w:spacing w:val="-3"/>
          <w:sz w:val="22"/>
          <w:szCs w:val="22"/>
        </w:rPr>
        <w:t xml:space="preserve"> </w:t>
      </w:r>
    </w:p>
    <w:p w:rsidR="003814C6" w:rsidRPr="003A4DEF" w:rsidP="003814C6" w14:paraId="12A06267" w14:textId="2DDE091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3A4DEF">
        <w:rPr>
          <w:spacing w:val="-3"/>
          <w:sz w:val="22"/>
          <w:szCs w:val="22"/>
        </w:rPr>
        <w:tab/>
        <w:t>Professional</w:t>
      </w:r>
      <w:r w:rsidRPr="003A4DEF">
        <w:rPr>
          <w:spacing w:val="-3"/>
          <w:sz w:val="22"/>
          <w:szCs w:val="22"/>
        </w:rPr>
        <w:tab/>
      </w:r>
      <w:r w:rsidRPr="003A4DEF">
        <w:rPr>
          <w:spacing w:val="-3"/>
          <w:sz w:val="22"/>
          <w:szCs w:val="22"/>
        </w:rPr>
        <w:tab/>
        <w:t>1 hour x $8</w:t>
      </w:r>
      <w:r w:rsidRPr="003A4DEF" w:rsidR="00970D37">
        <w:rPr>
          <w:spacing w:val="-3"/>
          <w:sz w:val="22"/>
          <w:szCs w:val="22"/>
        </w:rPr>
        <w:t>9.04</w:t>
      </w:r>
      <w:r w:rsidRPr="003A4DEF">
        <w:rPr>
          <w:spacing w:val="-3"/>
          <w:sz w:val="22"/>
          <w:szCs w:val="22"/>
        </w:rPr>
        <w:t xml:space="preserve"> x 15 =</w:t>
      </w:r>
      <w:r w:rsidRPr="003A4DEF">
        <w:rPr>
          <w:spacing w:val="-3"/>
          <w:sz w:val="22"/>
          <w:szCs w:val="22"/>
        </w:rPr>
        <w:tab/>
      </w:r>
      <w:r w:rsidRPr="003A4DEF">
        <w:rPr>
          <w:spacing w:val="-3"/>
          <w:sz w:val="22"/>
          <w:szCs w:val="22"/>
        </w:rPr>
        <w:tab/>
      </w:r>
      <w:r w:rsidRPr="003A4DEF">
        <w:rPr>
          <w:spacing w:val="-3"/>
          <w:sz w:val="22"/>
          <w:szCs w:val="22"/>
        </w:rPr>
        <w:tab/>
      </w:r>
      <w:r w:rsidRPr="003A4DEF">
        <w:rPr>
          <w:spacing w:val="-3"/>
          <w:sz w:val="22"/>
          <w:szCs w:val="22"/>
          <w:u w:val="single"/>
        </w:rPr>
        <w:t xml:space="preserve">$  </w:t>
      </w:r>
      <w:r w:rsidRPr="003A4DEF" w:rsidR="00970D37">
        <w:rPr>
          <w:spacing w:val="-3"/>
          <w:sz w:val="22"/>
          <w:szCs w:val="22"/>
          <w:u w:val="single"/>
        </w:rPr>
        <w:t>1</w:t>
      </w:r>
      <w:r w:rsidRPr="003A4DEF" w:rsidR="00DA4F14">
        <w:rPr>
          <w:spacing w:val="-3"/>
          <w:sz w:val="22"/>
          <w:szCs w:val="22"/>
          <w:u w:val="single"/>
        </w:rPr>
        <w:t>,</w:t>
      </w:r>
      <w:r w:rsidRPr="003A4DEF" w:rsidR="00970D37">
        <w:rPr>
          <w:spacing w:val="-3"/>
          <w:sz w:val="22"/>
          <w:szCs w:val="22"/>
          <w:u w:val="single"/>
        </w:rPr>
        <w:t>335.60</w:t>
      </w:r>
    </w:p>
    <w:p w:rsidR="003814C6" w:rsidRPr="004675A8" w:rsidP="003814C6" w14:paraId="2DEBB627" w14:textId="3A0F1A6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3A4DEF">
        <w:rPr>
          <w:b/>
          <w:spacing w:val="-3"/>
          <w:sz w:val="22"/>
          <w:szCs w:val="22"/>
        </w:rPr>
        <w:tab/>
        <w:t>TOTAL</w:t>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t xml:space="preserve">$ </w:t>
      </w:r>
      <w:r w:rsidRPr="003A4DEF" w:rsidR="00AB583B">
        <w:rPr>
          <w:b/>
          <w:spacing w:val="-3"/>
          <w:sz w:val="22"/>
          <w:szCs w:val="22"/>
        </w:rPr>
        <w:t xml:space="preserve"> </w:t>
      </w:r>
      <w:r w:rsidRPr="003A4DEF" w:rsidR="00970D37">
        <w:rPr>
          <w:b/>
          <w:spacing w:val="-3"/>
          <w:sz w:val="22"/>
          <w:szCs w:val="22"/>
        </w:rPr>
        <w:t>8,905.60</w:t>
      </w:r>
    </w:p>
    <w:p w:rsidR="00703FE5" w:rsidP="000467AB" w14:paraId="37D490A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p>
    <w:p w:rsidR="0056479C" w:rsidRPr="004675A8" w:rsidP="000467AB" w14:paraId="53E3A801" w14:textId="02C76E0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4675A8">
        <w:rPr>
          <w:b/>
          <w:sz w:val="22"/>
          <w:szCs w:val="22"/>
        </w:rPr>
        <w:t xml:space="preserve">AM All-digital using Digital Notification Form </w:t>
      </w:r>
      <w:r w:rsidRPr="004675A8" w:rsidR="00226710">
        <w:rPr>
          <w:b/>
          <w:sz w:val="22"/>
          <w:szCs w:val="22"/>
        </w:rPr>
        <w:t xml:space="preserve">2100, Schedule </w:t>
      </w:r>
      <w:r w:rsidRPr="004675A8">
        <w:rPr>
          <w:b/>
          <w:sz w:val="22"/>
          <w:szCs w:val="22"/>
        </w:rPr>
        <w:t>335-AM plus Attachments</w:t>
      </w:r>
      <w:r w:rsidRPr="004675A8" w:rsidR="00750832">
        <w:rPr>
          <w:b/>
          <w:sz w:val="22"/>
          <w:szCs w:val="22"/>
        </w:rPr>
        <w:t>:</w:t>
      </w:r>
    </w:p>
    <w:p w:rsidR="0056479C" w:rsidRPr="004675A8" w:rsidP="0056479C" w14:paraId="5B1DBB41" w14:textId="70BD500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shd w:val="clear" w:color="auto" w:fill="FFFFFF"/>
        </w:rPr>
        <w:tab/>
      </w:r>
      <w:r w:rsidRPr="004675A8">
        <w:rPr>
          <w:spacing w:val="-3"/>
          <w:sz w:val="22"/>
          <w:szCs w:val="22"/>
          <w:shd w:val="clear" w:color="auto" w:fill="FFFFFF"/>
        </w:rPr>
        <w:tab/>
      </w:r>
    </w:p>
    <w:p w:rsidR="0056479C" w:rsidRPr="003A4DEF" w:rsidP="0056479C" w14:paraId="1EA59A89" w14:textId="0FD3760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4675A8">
        <w:rPr>
          <w:spacing w:val="-3"/>
          <w:sz w:val="22"/>
          <w:szCs w:val="22"/>
        </w:rPr>
        <w:tab/>
        <w:t>Professional</w:t>
      </w:r>
      <w:r w:rsidRPr="004675A8">
        <w:rPr>
          <w:spacing w:val="-3"/>
          <w:sz w:val="22"/>
          <w:szCs w:val="22"/>
        </w:rPr>
        <w:tab/>
      </w:r>
      <w:r w:rsidRPr="004675A8">
        <w:rPr>
          <w:spacing w:val="-3"/>
          <w:sz w:val="22"/>
          <w:szCs w:val="22"/>
        </w:rPr>
        <w:tab/>
      </w:r>
      <w:r w:rsidR="00A35EEC">
        <w:rPr>
          <w:spacing w:val="-3"/>
          <w:sz w:val="22"/>
          <w:szCs w:val="22"/>
        </w:rPr>
        <w:t>2</w:t>
      </w:r>
      <w:r w:rsidRPr="004675A8">
        <w:rPr>
          <w:spacing w:val="-3"/>
          <w:sz w:val="22"/>
          <w:szCs w:val="22"/>
        </w:rPr>
        <w:t xml:space="preserve"> hour x $</w:t>
      </w:r>
      <w:r w:rsidRPr="003A4DEF" w:rsidR="00343E5E">
        <w:rPr>
          <w:spacing w:val="-3"/>
          <w:sz w:val="22"/>
          <w:szCs w:val="22"/>
        </w:rPr>
        <w:t>8</w:t>
      </w:r>
      <w:r w:rsidRPr="003A4DEF" w:rsidR="00970D37">
        <w:rPr>
          <w:spacing w:val="-3"/>
          <w:sz w:val="22"/>
          <w:szCs w:val="22"/>
        </w:rPr>
        <w:t>9.04</w:t>
      </w:r>
      <w:r w:rsidRPr="003A4DEF">
        <w:rPr>
          <w:spacing w:val="-3"/>
          <w:sz w:val="22"/>
          <w:szCs w:val="22"/>
        </w:rPr>
        <w:t xml:space="preserve"> x </w:t>
      </w:r>
      <w:r w:rsidRPr="003A4DEF" w:rsidR="002F1EEE">
        <w:rPr>
          <w:spacing w:val="-3"/>
          <w:sz w:val="22"/>
          <w:szCs w:val="22"/>
        </w:rPr>
        <w:t>20</w:t>
      </w:r>
      <w:r w:rsidRPr="003A4DEF">
        <w:rPr>
          <w:spacing w:val="-3"/>
          <w:sz w:val="22"/>
          <w:szCs w:val="22"/>
        </w:rPr>
        <w:t xml:space="preserve"> =</w:t>
      </w:r>
      <w:r w:rsidRPr="003A4DEF">
        <w:rPr>
          <w:spacing w:val="-3"/>
          <w:sz w:val="22"/>
          <w:szCs w:val="22"/>
        </w:rPr>
        <w:tab/>
      </w:r>
      <w:r w:rsidRPr="003A4DEF">
        <w:rPr>
          <w:spacing w:val="-3"/>
          <w:sz w:val="22"/>
          <w:szCs w:val="22"/>
        </w:rPr>
        <w:tab/>
      </w:r>
      <w:r w:rsidRPr="003A4DEF">
        <w:rPr>
          <w:spacing w:val="-3"/>
          <w:sz w:val="22"/>
          <w:szCs w:val="22"/>
        </w:rPr>
        <w:tab/>
      </w:r>
      <w:r w:rsidRPr="003A4DEF">
        <w:rPr>
          <w:spacing w:val="-3"/>
          <w:sz w:val="22"/>
          <w:szCs w:val="22"/>
          <w:u w:val="single"/>
        </w:rPr>
        <w:t xml:space="preserve">$ </w:t>
      </w:r>
      <w:r w:rsidRPr="003A4DEF" w:rsidR="002F1EEE">
        <w:rPr>
          <w:spacing w:val="-3"/>
          <w:sz w:val="22"/>
          <w:szCs w:val="22"/>
          <w:u w:val="single"/>
        </w:rPr>
        <w:t xml:space="preserve"> </w:t>
      </w:r>
      <w:r w:rsidRPr="003A4DEF" w:rsidR="00703FE5">
        <w:rPr>
          <w:spacing w:val="-3"/>
          <w:sz w:val="22"/>
          <w:szCs w:val="22"/>
          <w:u w:val="single"/>
        </w:rPr>
        <w:t>3</w:t>
      </w:r>
      <w:r w:rsidRPr="003A4DEF" w:rsidR="002F1EEE">
        <w:rPr>
          <w:spacing w:val="-3"/>
          <w:sz w:val="22"/>
          <w:szCs w:val="22"/>
          <w:u w:val="single"/>
        </w:rPr>
        <w:t>,</w:t>
      </w:r>
      <w:r w:rsidRPr="003A4DEF" w:rsidR="00970D37">
        <w:rPr>
          <w:spacing w:val="-3"/>
          <w:sz w:val="22"/>
          <w:szCs w:val="22"/>
          <w:u w:val="single"/>
        </w:rPr>
        <w:t>561.6</w:t>
      </w:r>
      <w:r w:rsidRPr="003A4DEF" w:rsidR="002F1EEE">
        <w:rPr>
          <w:spacing w:val="-3"/>
          <w:sz w:val="22"/>
          <w:szCs w:val="22"/>
          <w:u w:val="single"/>
        </w:rPr>
        <w:t>0</w:t>
      </w:r>
    </w:p>
    <w:p w:rsidR="003E2102" w:rsidRPr="003A4DEF" w:rsidP="000467AB" w14:paraId="56C66D52" w14:textId="379277F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3A4DEF">
        <w:rPr>
          <w:b/>
          <w:sz w:val="22"/>
          <w:szCs w:val="22"/>
        </w:rPr>
        <w:tab/>
        <w:t>TOTAL</w:t>
      </w:r>
      <w:r w:rsidRPr="003A4DEF">
        <w:rPr>
          <w:b/>
          <w:sz w:val="22"/>
          <w:szCs w:val="22"/>
        </w:rPr>
        <w:tab/>
      </w:r>
      <w:r w:rsidRPr="003A4DEF">
        <w:rPr>
          <w:b/>
          <w:sz w:val="22"/>
          <w:szCs w:val="22"/>
        </w:rPr>
        <w:tab/>
      </w:r>
      <w:r w:rsidRPr="003A4DEF">
        <w:rPr>
          <w:b/>
          <w:sz w:val="22"/>
          <w:szCs w:val="22"/>
        </w:rPr>
        <w:tab/>
      </w:r>
      <w:r w:rsidRPr="003A4DEF">
        <w:rPr>
          <w:b/>
          <w:sz w:val="22"/>
          <w:szCs w:val="22"/>
        </w:rPr>
        <w:tab/>
      </w:r>
      <w:r w:rsidRPr="003A4DEF">
        <w:rPr>
          <w:b/>
          <w:sz w:val="22"/>
          <w:szCs w:val="22"/>
        </w:rPr>
        <w:tab/>
      </w:r>
      <w:r w:rsidRPr="003A4DEF">
        <w:rPr>
          <w:b/>
          <w:sz w:val="22"/>
          <w:szCs w:val="22"/>
        </w:rPr>
        <w:tab/>
      </w:r>
      <w:r w:rsidRPr="003A4DEF">
        <w:rPr>
          <w:b/>
          <w:sz w:val="22"/>
          <w:szCs w:val="22"/>
        </w:rPr>
        <w:tab/>
      </w:r>
      <w:r w:rsidRPr="003A4DEF">
        <w:rPr>
          <w:b/>
          <w:sz w:val="22"/>
          <w:szCs w:val="22"/>
        </w:rPr>
        <w:tab/>
        <w:t xml:space="preserve">$ </w:t>
      </w:r>
      <w:r w:rsidRPr="003A4DEF" w:rsidR="00422A7E">
        <w:rPr>
          <w:b/>
          <w:sz w:val="22"/>
          <w:szCs w:val="22"/>
        </w:rPr>
        <w:t xml:space="preserve"> 3,</w:t>
      </w:r>
      <w:r w:rsidRPr="003A4DEF" w:rsidR="00970D37">
        <w:rPr>
          <w:b/>
          <w:sz w:val="22"/>
          <w:szCs w:val="22"/>
        </w:rPr>
        <w:t>561.6</w:t>
      </w:r>
      <w:r w:rsidRPr="003A4DEF" w:rsidR="00422A7E">
        <w:rPr>
          <w:b/>
          <w:sz w:val="22"/>
          <w:szCs w:val="22"/>
        </w:rPr>
        <w:t>0</w:t>
      </w:r>
    </w:p>
    <w:p w:rsidR="00D82B07" w:rsidRPr="003A4DEF" w:rsidP="00456B23" w14:paraId="36D63F8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D82B07" w:rsidRPr="003A4DEF" w:rsidP="00D82B07" w14:paraId="46FD22D7" w14:textId="1AF71B3A">
      <w:pPr>
        <w:rPr>
          <w:b/>
          <w:spacing w:val="-3"/>
          <w:sz w:val="22"/>
          <w:szCs w:val="22"/>
        </w:rPr>
      </w:pPr>
      <w:r w:rsidRPr="003A4DEF">
        <w:rPr>
          <w:b/>
          <w:spacing w:val="-3"/>
          <w:sz w:val="22"/>
          <w:szCs w:val="22"/>
        </w:rPr>
        <w:t>FM Asymmetric Sideband Operation Notifications, Schedule 335-FM</w:t>
      </w:r>
    </w:p>
    <w:p w:rsidR="00D82B07" w:rsidRPr="003A4DEF" w:rsidP="00456B23" w14:paraId="1D0DBCC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p>
    <w:p w:rsidR="00D82B07" w:rsidRPr="003A4DEF" w:rsidP="00456B23" w14:paraId="6E207CD9" w14:textId="6C3FF5A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3A4DEF">
        <w:rPr>
          <w:b/>
          <w:sz w:val="22"/>
          <w:szCs w:val="22"/>
        </w:rPr>
        <w:tab/>
      </w:r>
      <w:r w:rsidRPr="003A4DEF">
        <w:rPr>
          <w:spacing w:val="-3"/>
          <w:sz w:val="22"/>
          <w:szCs w:val="22"/>
          <w:shd w:val="clear" w:color="auto" w:fill="FFFFFF"/>
        </w:rPr>
        <w:t>Professional</w:t>
      </w:r>
      <w:r w:rsidRPr="003A4DEF">
        <w:rPr>
          <w:spacing w:val="-3"/>
          <w:sz w:val="22"/>
          <w:szCs w:val="22"/>
          <w:shd w:val="clear" w:color="auto" w:fill="FFFFFF"/>
        </w:rPr>
        <w:tab/>
      </w:r>
      <w:r w:rsidRPr="003A4DEF">
        <w:rPr>
          <w:spacing w:val="-3"/>
          <w:sz w:val="22"/>
          <w:szCs w:val="22"/>
          <w:shd w:val="clear" w:color="auto" w:fill="FFFFFF"/>
        </w:rPr>
        <w:tab/>
        <w:t>2</w:t>
      </w:r>
      <w:r w:rsidRPr="003A4DEF">
        <w:rPr>
          <w:spacing w:val="-3"/>
          <w:sz w:val="22"/>
          <w:szCs w:val="22"/>
        </w:rPr>
        <w:t xml:space="preserve"> hours x $</w:t>
      </w:r>
      <w:r w:rsidRPr="003A4DEF" w:rsidR="00970D37">
        <w:rPr>
          <w:spacing w:val="-3"/>
          <w:sz w:val="22"/>
          <w:szCs w:val="22"/>
        </w:rPr>
        <w:t>75.70</w:t>
      </w:r>
      <w:r w:rsidRPr="003A4DEF">
        <w:rPr>
          <w:spacing w:val="-3"/>
          <w:sz w:val="22"/>
          <w:szCs w:val="22"/>
        </w:rPr>
        <w:t xml:space="preserve">/hour x 50 = </w:t>
      </w:r>
      <w:r w:rsidRPr="003A4DEF">
        <w:rPr>
          <w:spacing w:val="-3"/>
          <w:sz w:val="22"/>
          <w:szCs w:val="22"/>
        </w:rPr>
        <w:tab/>
      </w:r>
      <w:r w:rsidRPr="003A4DEF">
        <w:rPr>
          <w:spacing w:val="-3"/>
          <w:sz w:val="22"/>
          <w:szCs w:val="22"/>
        </w:rPr>
        <w:tab/>
      </w:r>
      <w:r w:rsidRPr="003A4DEF">
        <w:rPr>
          <w:spacing w:val="-3"/>
          <w:sz w:val="22"/>
          <w:szCs w:val="22"/>
          <w:u w:val="single"/>
        </w:rPr>
        <w:t xml:space="preserve">$  </w:t>
      </w:r>
      <w:r w:rsidRPr="003A4DEF" w:rsidR="00CD473B">
        <w:rPr>
          <w:spacing w:val="-3"/>
          <w:sz w:val="22"/>
          <w:szCs w:val="22"/>
          <w:u w:val="single"/>
        </w:rPr>
        <w:t>7,</w:t>
      </w:r>
      <w:r w:rsidRPr="003A4DEF" w:rsidR="00970D37">
        <w:rPr>
          <w:spacing w:val="-3"/>
          <w:sz w:val="22"/>
          <w:szCs w:val="22"/>
          <w:u w:val="single"/>
        </w:rPr>
        <w:t>570.00</w:t>
      </w:r>
      <w:r w:rsidRPr="003A4DEF">
        <w:rPr>
          <w:spacing w:val="-3"/>
          <w:sz w:val="22"/>
          <w:szCs w:val="22"/>
          <w:u w:val="single"/>
        </w:rPr>
        <w:t xml:space="preserve">  </w:t>
      </w:r>
    </w:p>
    <w:p w:rsidR="0031157B" w:rsidRPr="003A4DEF" w:rsidP="0031157B" w14:paraId="458F60B3" w14:textId="6FDF58D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3A4DEF">
        <w:rPr>
          <w:b/>
          <w:sz w:val="22"/>
          <w:szCs w:val="22"/>
        </w:rPr>
        <w:tab/>
      </w:r>
      <w:r w:rsidRPr="003A4DEF">
        <w:rPr>
          <w:b/>
          <w:spacing w:val="-3"/>
          <w:sz w:val="22"/>
          <w:szCs w:val="22"/>
        </w:rPr>
        <w:t>TOTAL</w:t>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t xml:space="preserve">$  </w:t>
      </w:r>
      <w:r w:rsidRPr="003A4DEF" w:rsidR="00CD473B">
        <w:rPr>
          <w:b/>
          <w:spacing w:val="-3"/>
          <w:sz w:val="22"/>
          <w:szCs w:val="22"/>
        </w:rPr>
        <w:t>7,</w:t>
      </w:r>
      <w:r w:rsidRPr="003A4DEF" w:rsidR="00970D37">
        <w:rPr>
          <w:b/>
          <w:spacing w:val="-3"/>
          <w:sz w:val="22"/>
          <w:szCs w:val="22"/>
        </w:rPr>
        <w:t>570</w:t>
      </w:r>
      <w:r w:rsidRPr="003A4DEF" w:rsidR="00CD473B">
        <w:rPr>
          <w:b/>
          <w:spacing w:val="-3"/>
          <w:sz w:val="22"/>
          <w:szCs w:val="22"/>
        </w:rPr>
        <w:t>.00</w:t>
      </w:r>
      <w:r w:rsidRPr="003A4DEF">
        <w:rPr>
          <w:b/>
          <w:spacing w:val="-3"/>
          <w:sz w:val="22"/>
          <w:szCs w:val="22"/>
        </w:rPr>
        <w:t xml:space="preserve"> </w:t>
      </w:r>
    </w:p>
    <w:p w:rsidR="00C2617E" w:rsidRPr="003A4DEF" w:rsidP="0031157B" w14:paraId="1FCDF8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745278" w:rsidRPr="003A4DEF" w:rsidP="00745278" w14:paraId="5E5EEB0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z w:val="22"/>
          <w:szCs w:val="22"/>
        </w:rPr>
      </w:pPr>
      <w:r w:rsidRPr="003A4DEF">
        <w:rPr>
          <w:b/>
          <w:sz w:val="22"/>
          <w:szCs w:val="22"/>
        </w:rPr>
        <w:t>Super-Powered Stations Electronic Notifications:</w:t>
      </w:r>
    </w:p>
    <w:p w:rsidR="00745278" w:rsidRPr="003A4DEF" w:rsidP="00745278" w14:paraId="7A6A4FE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3A4DEF">
        <w:rPr>
          <w:b/>
          <w:sz w:val="22"/>
          <w:szCs w:val="22"/>
        </w:rPr>
        <w:t xml:space="preserve">     </w:t>
      </w:r>
    </w:p>
    <w:p w:rsidR="00745278" w:rsidRPr="003A4DEF" w:rsidP="00745278" w14:paraId="5B88B9F2" w14:textId="548A893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3A4DEF">
        <w:rPr>
          <w:spacing w:val="-3"/>
          <w:sz w:val="22"/>
          <w:szCs w:val="22"/>
          <w:shd w:val="clear" w:color="auto" w:fill="FFFFFF"/>
        </w:rPr>
        <w:tab/>
        <w:t>Professional</w:t>
      </w:r>
      <w:r w:rsidRPr="003A4DEF">
        <w:rPr>
          <w:spacing w:val="-3"/>
          <w:sz w:val="22"/>
          <w:szCs w:val="22"/>
          <w:shd w:val="clear" w:color="auto" w:fill="FFFFFF"/>
        </w:rPr>
        <w:tab/>
      </w:r>
      <w:r w:rsidRPr="003A4DEF">
        <w:rPr>
          <w:spacing w:val="-3"/>
          <w:sz w:val="22"/>
          <w:szCs w:val="22"/>
          <w:shd w:val="clear" w:color="auto" w:fill="FFFFFF"/>
        </w:rPr>
        <w:tab/>
      </w:r>
      <w:r w:rsidRPr="003A4DEF">
        <w:rPr>
          <w:spacing w:val="-3"/>
          <w:sz w:val="22"/>
          <w:szCs w:val="22"/>
        </w:rPr>
        <w:t>4 hours x $7</w:t>
      </w:r>
      <w:r w:rsidRPr="003A4DEF" w:rsidR="00970D37">
        <w:rPr>
          <w:spacing w:val="-3"/>
          <w:sz w:val="22"/>
          <w:szCs w:val="22"/>
        </w:rPr>
        <w:t>5.70</w:t>
      </w:r>
      <w:r w:rsidRPr="003A4DEF">
        <w:rPr>
          <w:spacing w:val="-3"/>
          <w:sz w:val="22"/>
          <w:szCs w:val="22"/>
        </w:rPr>
        <w:t xml:space="preserve">/hour x 5 = </w:t>
      </w:r>
      <w:r w:rsidRPr="003A4DEF">
        <w:rPr>
          <w:spacing w:val="-3"/>
          <w:sz w:val="22"/>
          <w:szCs w:val="22"/>
        </w:rPr>
        <w:tab/>
      </w:r>
      <w:r w:rsidRPr="003A4DEF">
        <w:rPr>
          <w:spacing w:val="-3"/>
          <w:sz w:val="22"/>
          <w:szCs w:val="22"/>
        </w:rPr>
        <w:tab/>
      </w:r>
      <w:r w:rsidRPr="003A4DEF">
        <w:rPr>
          <w:spacing w:val="-3"/>
          <w:sz w:val="22"/>
          <w:szCs w:val="22"/>
          <w:u w:val="single"/>
        </w:rPr>
        <w:t>$    1,</w:t>
      </w:r>
      <w:r w:rsidRPr="003A4DEF" w:rsidR="0081106D">
        <w:rPr>
          <w:spacing w:val="-3"/>
          <w:sz w:val="22"/>
          <w:szCs w:val="22"/>
          <w:u w:val="single"/>
        </w:rPr>
        <w:t>514.00</w:t>
      </w:r>
    </w:p>
    <w:p w:rsidR="00745278" w:rsidRPr="003A4DEF" w:rsidP="0031157B" w14:paraId="48594354" w14:textId="348D44A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3A4DEF">
        <w:rPr>
          <w:b/>
          <w:spacing w:val="-3"/>
          <w:sz w:val="22"/>
          <w:szCs w:val="22"/>
        </w:rPr>
        <w:tab/>
        <w:t>TOTAL</w:t>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t>$    1,</w:t>
      </w:r>
      <w:r w:rsidRPr="003A4DEF" w:rsidR="0081106D">
        <w:rPr>
          <w:b/>
          <w:spacing w:val="-3"/>
          <w:sz w:val="22"/>
          <w:szCs w:val="22"/>
        </w:rPr>
        <w:t>514.00</w:t>
      </w:r>
    </w:p>
    <w:p w:rsidR="00745278" w:rsidRPr="003A4DEF" w:rsidP="0031157B" w14:paraId="6DB5468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2"/>
          <w:szCs w:val="22"/>
        </w:rPr>
      </w:pPr>
    </w:p>
    <w:p w:rsidR="00830F29" w:rsidRPr="003A4DEF" w:rsidP="0031157B" w14:paraId="71CB690D" w14:textId="3AA3903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2"/>
          <w:szCs w:val="22"/>
        </w:rPr>
      </w:pPr>
      <w:r w:rsidRPr="003A4DEF">
        <w:rPr>
          <w:b/>
          <w:bCs/>
          <w:sz w:val="22"/>
          <w:szCs w:val="22"/>
        </w:rPr>
        <w:t xml:space="preserve">FM Station seeking increase in total digital ERP above -14 </w:t>
      </w:r>
      <w:r w:rsidRPr="003A4DEF">
        <w:rPr>
          <w:b/>
          <w:bCs/>
          <w:sz w:val="22"/>
          <w:szCs w:val="22"/>
        </w:rPr>
        <w:t>dBc</w:t>
      </w:r>
      <w:r w:rsidRPr="003A4DEF">
        <w:rPr>
          <w:b/>
          <w:bCs/>
          <w:sz w:val="22"/>
          <w:szCs w:val="22"/>
        </w:rPr>
        <w:t xml:space="preserve"> using Schedule 335-FM and </w:t>
      </w:r>
      <w:r w:rsidRPr="003A4DEF">
        <w:rPr>
          <w:b/>
          <w:bCs/>
          <w:sz w:val="22"/>
          <w:szCs w:val="22"/>
        </w:rPr>
        <w:t>Exhibi</w:t>
      </w:r>
    </w:p>
    <w:p w:rsidR="00C2617E" w:rsidRPr="003A4DEF" w:rsidP="0031157B" w14:paraId="7999B4B1" w14:textId="4F11E05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3A4DEF">
        <w:rPr>
          <w:b/>
          <w:spacing w:val="-3"/>
          <w:sz w:val="22"/>
          <w:szCs w:val="22"/>
        </w:rPr>
        <w:tab/>
      </w:r>
      <w:r w:rsidRPr="003A4DEF" w:rsidR="00AA3E2B">
        <w:rPr>
          <w:spacing w:val="-3"/>
          <w:sz w:val="22"/>
          <w:szCs w:val="22"/>
          <w:shd w:val="clear" w:color="auto" w:fill="FFFFFF"/>
        </w:rPr>
        <w:t>Professional</w:t>
      </w:r>
      <w:r w:rsidRPr="003A4DEF" w:rsidR="00AA3E2B">
        <w:rPr>
          <w:spacing w:val="-3"/>
          <w:sz w:val="22"/>
          <w:szCs w:val="22"/>
          <w:shd w:val="clear" w:color="auto" w:fill="FFFFFF"/>
        </w:rPr>
        <w:tab/>
      </w:r>
      <w:r w:rsidRPr="003A4DEF" w:rsidR="00AA3E2B">
        <w:rPr>
          <w:spacing w:val="-3"/>
          <w:sz w:val="22"/>
          <w:szCs w:val="22"/>
          <w:shd w:val="clear" w:color="auto" w:fill="FFFFFF"/>
        </w:rPr>
        <w:tab/>
        <w:t>2</w:t>
      </w:r>
      <w:r w:rsidRPr="003A4DEF" w:rsidR="00AA3E2B">
        <w:rPr>
          <w:spacing w:val="-3"/>
          <w:sz w:val="22"/>
          <w:szCs w:val="22"/>
        </w:rPr>
        <w:t xml:space="preserve"> hours x $7</w:t>
      </w:r>
      <w:r w:rsidRPr="003A4DEF" w:rsidR="0081106D">
        <w:rPr>
          <w:spacing w:val="-3"/>
          <w:sz w:val="22"/>
          <w:szCs w:val="22"/>
        </w:rPr>
        <w:t>5.70</w:t>
      </w:r>
      <w:r w:rsidRPr="003A4DEF" w:rsidR="00AA3E2B">
        <w:rPr>
          <w:spacing w:val="-3"/>
          <w:sz w:val="22"/>
          <w:szCs w:val="22"/>
        </w:rPr>
        <w:t>/hour x 20 =</w:t>
      </w:r>
      <w:r w:rsidRPr="003A4DEF">
        <w:rPr>
          <w:spacing w:val="-3"/>
          <w:sz w:val="22"/>
          <w:szCs w:val="22"/>
        </w:rPr>
        <w:tab/>
      </w:r>
      <w:r w:rsidRPr="003A4DEF">
        <w:rPr>
          <w:spacing w:val="-3"/>
          <w:sz w:val="22"/>
          <w:szCs w:val="22"/>
        </w:rPr>
        <w:tab/>
      </w:r>
      <w:r w:rsidRPr="003A4DEF">
        <w:rPr>
          <w:spacing w:val="-3"/>
          <w:sz w:val="22"/>
          <w:szCs w:val="22"/>
          <w:u w:val="single"/>
        </w:rPr>
        <w:t xml:space="preserve">$ </w:t>
      </w:r>
      <w:r w:rsidRPr="003A4DEF" w:rsidR="0081106D">
        <w:rPr>
          <w:spacing w:val="-3"/>
          <w:sz w:val="22"/>
          <w:szCs w:val="22"/>
          <w:u w:val="single"/>
        </w:rPr>
        <w:t>3,028.00</w:t>
      </w:r>
    </w:p>
    <w:p w:rsidR="00BC36A9" w:rsidRPr="003A4DEF" w:rsidP="00BC36A9" w14:paraId="191067D9" w14:textId="19E776AB">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3A4DEF">
        <w:rPr>
          <w:b/>
          <w:sz w:val="22"/>
          <w:szCs w:val="22"/>
        </w:rPr>
        <w:tab/>
      </w:r>
      <w:r w:rsidRPr="003A4DEF">
        <w:rPr>
          <w:b/>
          <w:spacing w:val="-3"/>
          <w:sz w:val="22"/>
          <w:szCs w:val="22"/>
        </w:rPr>
        <w:t>TOTAL</w:t>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t xml:space="preserve">$ </w:t>
      </w:r>
      <w:r w:rsidRPr="003A4DEF" w:rsidR="0081106D">
        <w:rPr>
          <w:b/>
          <w:spacing w:val="-3"/>
          <w:sz w:val="22"/>
          <w:szCs w:val="22"/>
        </w:rPr>
        <w:t>3,028.00</w:t>
      </w:r>
      <w:r w:rsidRPr="003A4DEF">
        <w:rPr>
          <w:b/>
          <w:spacing w:val="-3"/>
          <w:sz w:val="22"/>
          <w:szCs w:val="22"/>
        </w:rPr>
        <w:t xml:space="preserve">   </w:t>
      </w:r>
    </w:p>
    <w:p w:rsidR="000467AB" w:rsidRPr="003A4DEF" w:rsidP="000467AB" w14:paraId="667E9B02" w14:textId="15D97D4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bookmarkStart w:id="2" w:name="OLE_LINK1"/>
      <w:bookmarkStart w:id="3" w:name="OLE_LINK2"/>
    </w:p>
    <w:bookmarkEnd w:id="2"/>
    <w:bookmarkEnd w:id="3"/>
    <w:p w:rsidR="000467AB" w:rsidRPr="003A4DEF" w:rsidP="000467AB" w14:paraId="5B2B45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
          <w:spacing w:val="-3"/>
          <w:sz w:val="22"/>
          <w:szCs w:val="22"/>
        </w:rPr>
      </w:pPr>
      <w:r w:rsidRPr="003A4DEF">
        <w:rPr>
          <w:b/>
          <w:spacing w:val="-3"/>
          <w:sz w:val="22"/>
          <w:szCs w:val="22"/>
        </w:rPr>
        <w:t>Interference Complaints:</w:t>
      </w:r>
    </w:p>
    <w:p w:rsidR="000467AB" w:rsidRPr="003A4DEF" w:rsidP="000467AB" w14:paraId="7C9BE3BF" w14:textId="0FAEA89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z w:val="22"/>
          <w:szCs w:val="22"/>
        </w:rPr>
      </w:pPr>
      <w:r w:rsidRPr="003A4DEF">
        <w:rPr>
          <w:b/>
          <w:sz w:val="22"/>
          <w:szCs w:val="22"/>
        </w:rPr>
        <w:t xml:space="preserve">        </w:t>
      </w:r>
    </w:p>
    <w:p w:rsidR="000467AB" w:rsidRPr="003A4DEF" w:rsidP="000467AB" w14:paraId="037D243B" w14:textId="6154AF0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3A4DEF">
        <w:rPr>
          <w:spacing w:val="-3"/>
          <w:sz w:val="22"/>
          <w:szCs w:val="22"/>
          <w:shd w:val="clear" w:color="auto" w:fill="FFFFFF"/>
        </w:rPr>
        <w:tab/>
        <w:t>Professional</w:t>
      </w:r>
      <w:r w:rsidRPr="003A4DEF">
        <w:rPr>
          <w:spacing w:val="-3"/>
          <w:sz w:val="22"/>
          <w:szCs w:val="22"/>
          <w:shd w:val="clear" w:color="auto" w:fill="FFFFFF"/>
        </w:rPr>
        <w:tab/>
      </w:r>
      <w:r w:rsidRPr="003A4DEF">
        <w:rPr>
          <w:spacing w:val="-3"/>
          <w:sz w:val="22"/>
          <w:szCs w:val="22"/>
          <w:shd w:val="clear" w:color="auto" w:fill="FFFFFF"/>
        </w:rPr>
        <w:tab/>
      </w:r>
      <w:r w:rsidRPr="003A4DEF" w:rsidR="003E04F0">
        <w:rPr>
          <w:spacing w:val="-3"/>
          <w:sz w:val="22"/>
          <w:szCs w:val="22"/>
        </w:rPr>
        <w:t>16 hours x $</w:t>
      </w:r>
      <w:r w:rsidRPr="003A4DEF" w:rsidR="00422A7E">
        <w:rPr>
          <w:spacing w:val="-3"/>
          <w:sz w:val="22"/>
          <w:szCs w:val="22"/>
        </w:rPr>
        <w:t>7</w:t>
      </w:r>
      <w:r w:rsidRPr="003A4DEF" w:rsidR="0081106D">
        <w:rPr>
          <w:spacing w:val="-3"/>
          <w:sz w:val="22"/>
          <w:szCs w:val="22"/>
        </w:rPr>
        <w:t>5.70</w:t>
      </w:r>
      <w:r w:rsidRPr="003A4DEF">
        <w:rPr>
          <w:spacing w:val="-3"/>
          <w:sz w:val="22"/>
          <w:szCs w:val="22"/>
        </w:rPr>
        <w:t xml:space="preserve">/hour x </w:t>
      </w:r>
      <w:r w:rsidRPr="003A4DEF" w:rsidR="00350BB6">
        <w:rPr>
          <w:spacing w:val="-3"/>
          <w:sz w:val="22"/>
          <w:szCs w:val="22"/>
        </w:rPr>
        <w:t>5</w:t>
      </w:r>
      <w:r w:rsidRPr="003A4DEF">
        <w:rPr>
          <w:spacing w:val="-3"/>
          <w:sz w:val="22"/>
          <w:szCs w:val="22"/>
        </w:rPr>
        <w:t xml:space="preserve"> = </w:t>
      </w:r>
      <w:r w:rsidRPr="003A4DEF">
        <w:rPr>
          <w:spacing w:val="-3"/>
          <w:sz w:val="22"/>
          <w:szCs w:val="22"/>
        </w:rPr>
        <w:tab/>
      </w:r>
      <w:r w:rsidRPr="003A4DEF">
        <w:rPr>
          <w:spacing w:val="-3"/>
          <w:sz w:val="22"/>
          <w:szCs w:val="22"/>
        </w:rPr>
        <w:tab/>
      </w:r>
      <w:r w:rsidRPr="003A4DEF" w:rsidR="00865EA3">
        <w:rPr>
          <w:spacing w:val="-3"/>
          <w:sz w:val="22"/>
          <w:szCs w:val="22"/>
          <w:u w:val="single"/>
        </w:rPr>
        <w:t>$</w:t>
      </w:r>
      <w:r w:rsidRPr="003A4DEF" w:rsidR="00DE3DF8">
        <w:rPr>
          <w:spacing w:val="-3"/>
          <w:sz w:val="22"/>
          <w:szCs w:val="22"/>
          <w:u w:val="single"/>
        </w:rPr>
        <w:t xml:space="preserve"> </w:t>
      </w:r>
      <w:r w:rsidRPr="003A4DEF" w:rsidR="0081106D">
        <w:rPr>
          <w:spacing w:val="-3"/>
          <w:sz w:val="22"/>
          <w:szCs w:val="22"/>
          <w:u w:val="single"/>
        </w:rPr>
        <w:t>6,056.00</w:t>
      </w:r>
    </w:p>
    <w:p w:rsidR="000467AB" w:rsidRPr="003A4DEF" w:rsidP="000467AB" w14:paraId="72E39910" w14:textId="2D77605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3A4DEF">
        <w:rPr>
          <w:b/>
          <w:spacing w:val="-3"/>
          <w:sz w:val="22"/>
          <w:szCs w:val="22"/>
        </w:rPr>
        <w:tab/>
        <w:t>TOTAL</w:t>
      </w:r>
      <w:r w:rsidRPr="003A4DEF">
        <w:rPr>
          <w:b/>
          <w:spacing w:val="-3"/>
          <w:sz w:val="22"/>
          <w:szCs w:val="22"/>
        </w:rPr>
        <w:tab/>
      </w:r>
      <w:r w:rsidRPr="003A4DEF">
        <w:rPr>
          <w:b/>
          <w:spacing w:val="-3"/>
          <w:sz w:val="22"/>
          <w:szCs w:val="22"/>
        </w:rPr>
        <w:tab/>
      </w:r>
      <w:r w:rsidRPr="003A4DEF" w:rsidR="00865EA3">
        <w:rPr>
          <w:b/>
          <w:spacing w:val="-3"/>
          <w:sz w:val="22"/>
          <w:szCs w:val="22"/>
        </w:rPr>
        <w:tab/>
      </w:r>
      <w:r w:rsidRPr="003A4DEF" w:rsidR="00865EA3">
        <w:rPr>
          <w:b/>
          <w:spacing w:val="-3"/>
          <w:sz w:val="22"/>
          <w:szCs w:val="22"/>
        </w:rPr>
        <w:tab/>
      </w:r>
      <w:r w:rsidRPr="003A4DEF" w:rsidR="00865EA3">
        <w:rPr>
          <w:b/>
          <w:spacing w:val="-3"/>
          <w:sz w:val="22"/>
          <w:szCs w:val="22"/>
        </w:rPr>
        <w:tab/>
      </w:r>
      <w:r w:rsidRPr="003A4DEF" w:rsidR="00865EA3">
        <w:rPr>
          <w:b/>
          <w:spacing w:val="-3"/>
          <w:sz w:val="22"/>
          <w:szCs w:val="22"/>
        </w:rPr>
        <w:tab/>
      </w:r>
      <w:r w:rsidRPr="003A4DEF" w:rsidR="00865EA3">
        <w:rPr>
          <w:b/>
          <w:spacing w:val="-3"/>
          <w:sz w:val="22"/>
          <w:szCs w:val="22"/>
        </w:rPr>
        <w:tab/>
      </w:r>
      <w:r w:rsidRPr="003A4DEF" w:rsidR="00865EA3">
        <w:rPr>
          <w:b/>
          <w:spacing w:val="-3"/>
          <w:sz w:val="22"/>
          <w:szCs w:val="22"/>
        </w:rPr>
        <w:tab/>
        <w:t>$</w:t>
      </w:r>
      <w:r w:rsidRPr="003A4DEF" w:rsidR="00DE3DF8">
        <w:rPr>
          <w:b/>
          <w:spacing w:val="-3"/>
          <w:sz w:val="22"/>
          <w:szCs w:val="22"/>
        </w:rPr>
        <w:t xml:space="preserve"> </w:t>
      </w:r>
      <w:r w:rsidRPr="003A4DEF" w:rsidR="0081106D">
        <w:rPr>
          <w:b/>
          <w:spacing w:val="-3"/>
          <w:sz w:val="22"/>
          <w:szCs w:val="22"/>
        </w:rPr>
        <w:t>6,056.00</w:t>
      </w:r>
    </w:p>
    <w:p w:rsidR="00653E61" w:rsidRPr="003A4DEF" w:rsidP="000467AB" w14:paraId="2073EC68" w14:textId="77777777">
      <w:pPr>
        <w:shd w:val="clear" w:color="auto" w:fill="FFFFFF"/>
        <w:tabs>
          <w:tab w:val="left" w:pos="-720"/>
        </w:tabs>
        <w:suppressAutoHyphens/>
        <w:ind w:right="-270"/>
        <w:outlineLvl w:val="0"/>
        <w:rPr>
          <w:b/>
          <w:spacing w:val="-3"/>
          <w:sz w:val="22"/>
          <w:szCs w:val="22"/>
        </w:rPr>
      </w:pPr>
    </w:p>
    <w:p w:rsidR="000467AB" w:rsidRPr="003A4DEF" w:rsidP="000467AB" w14:paraId="1A411359" w14:textId="7E58143A">
      <w:pPr>
        <w:shd w:val="clear" w:color="auto" w:fill="FFFFFF"/>
        <w:tabs>
          <w:tab w:val="left" w:pos="-720"/>
        </w:tabs>
        <w:suppressAutoHyphens/>
        <w:ind w:right="-270"/>
        <w:outlineLvl w:val="0"/>
        <w:rPr>
          <w:b/>
          <w:spacing w:val="-3"/>
          <w:sz w:val="22"/>
          <w:szCs w:val="22"/>
        </w:rPr>
      </w:pP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r>
      <w:r w:rsidRPr="003A4DEF" w:rsidR="0097684C">
        <w:rPr>
          <w:b/>
          <w:spacing w:val="-3"/>
          <w:sz w:val="22"/>
          <w:szCs w:val="22"/>
        </w:rPr>
        <w:t>T</w:t>
      </w:r>
      <w:r w:rsidRPr="003A4DEF">
        <w:rPr>
          <w:b/>
          <w:spacing w:val="-3"/>
          <w:sz w:val="22"/>
          <w:szCs w:val="22"/>
        </w:rPr>
        <w:t xml:space="preserve">otal </w:t>
      </w:r>
      <w:r w:rsidRPr="003A4DEF" w:rsidR="0097684C">
        <w:rPr>
          <w:b/>
          <w:spacing w:val="-3"/>
          <w:sz w:val="22"/>
          <w:szCs w:val="22"/>
        </w:rPr>
        <w:t>C</w:t>
      </w:r>
      <w:r w:rsidRPr="003A4DEF">
        <w:rPr>
          <w:b/>
          <w:spacing w:val="-3"/>
          <w:sz w:val="22"/>
          <w:szCs w:val="22"/>
        </w:rPr>
        <w:t>ost:</w:t>
      </w:r>
      <w:r w:rsidRPr="003A4DEF">
        <w:rPr>
          <w:b/>
          <w:spacing w:val="-3"/>
          <w:sz w:val="22"/>
          <w:szCs w:val="22"/>
        </w:rPr>
        <w:tab/>
      </w:r>
      <w:r w:rsidRPr="003A4DEF">
        <w:rPr>
          <w:b/>
          <w:spacing w:val="-3"/>
          <w:sz w:val="22"/>
          <w:szCs w:val="22"/>
        </w:rPr>
        <w:tab/>
      </w:r>
      <w:r w:rsidRPr="003A4DEF">
        <w:rPr>
          <w:b/>
          <w:spacing w:val="-3"/>
          <w:sz w:val="22"/>
          <w:szCs w:val="22"/>
        </w:rPr>
        <w:tab/>
      </w:r>
      <w:r w:rsidRPr="003A4DEF">
        <w:rPr>
          <w:b/>
          <w:spacing w:val="-3"/>
          <w:sz w:val="22"/>
          <w:szCs w:val="22"/>
        </w:rPr>
        <w:tab/>
        <w:t>$</w:t>
      </w:r>
      <w:r w:rsidRPr="003A4DEF" w:rsidR="0081106D">
        <w:rPr>
          <w:b/>
          <w:spacing w:val="-3"/>
          <w:sz w:val="22"/>
          <w:szCs w:val="22"/>
        </w:rPr>
        <w:t>30,635.20</w:t>
      </w:r>
    </w:p>
    <w:p w:rsidR="000467AB" w:rsidRPr="003A4DEF" w:rsidP="000467AB" w14:paraId="4D8FEE56" w14:textId="77777777">
      <w:pPr>
        <w:shd w:val="clear" w:color="auto" w:fill="FFFFFF"/>
        <w:tabs>
          <w:tab w:val="left" w:pos="-720"/>
        </w:tabs>
        <w:suppressAutoHyphens/>
        <w:ind w:right="-270"/>
        <w:rPr>
          <w:b/>
          <w:spacing w:val="-3"/>
          <w:sz w:val="22"/>
          <w:szCs w:val="22"/>
        </w:rPr>
      </w:pPr>
    </w:p>
    <w:p w:rsidR="000467AB" w:rsidRPr="003A4DEF" w:rsidP="000467AB" w14:paraId="25B72B24" w14:textId="5C3D81CA">
      <w:pPr>
        <w:rPr>
          <w:sz w:val="22"/>
          <w:szCs w:val="22"/>
        </w:rPr>
      </w:pPr>
      <w:r w:rsidRPr="003A4DEF">
        <w:rPr>
          <w:sz w:val="22"/>
          <w:szCs w:val="22"/>
        </w:rPr>
        <w:t xml:space="preserve">15. </w:t>
      </w:r>
      <w:bookmarkStart w:id="4" w:name="_Hlk55901116"/>
      <w:r w:rsidRPr="003A4DEF" w:rsidR="00403C66">
        <w:rPr>
          <w:b/>
          <w:sz w:val="22"/>
          <w:szCs w:val="22"/>
          <w:shd w:val="clear" w:color="auto" w:fill="FFFFFF"/>
        </w:rPr>
        <w:t>Reason for Changes in Burden</w:t>
      </w:r>
      <w:r w:rsidRPr="003A4DEF" w:rsidR="000363B7">
        <w:rPr>
          <w:b/>
          <w:sz w:val="22"/>
          <w:szCs w:val="22"/>
          <w:shd w:val="clear" w:color="auto" w:fill="FFFFFF"/>
        </w:rPr>
        <w:t>s</w:t>
      </w:r>
      <w:r w:rsidRPr="003A4DEF" w:rsidR="00403C66">
        <w:rPr>
          <w:b/>
          <w:sz w:val="22"/>
          <w:szCs w:val="22"/>
          <w:shd w:val="clear" w:color="auto" w:fill="FFFFFF"/>
        </w:rPr>
        <w:t xml:space="preserve"> or Cost</w:t>
      </w:r>
      <w:r w:rsidRPr="003A4DEF" w:rsidR="000363B7">
        <w:rPr>
          <w:b/>
          <w:sz w:val="22"/>
          <w:szCs w:val="22"/>
          <w:shd w:val="clear" w:color="auto" w:fill="FFFFFF"/>
        </w:rPr>
        <w:t>s</w:t>
      </w:r>
      <w:r w:rsidRPr="003A4DEF" w:rsidR="00403C66">
        <w:rPr>
          <w:b/>
          <w:sz w:val="22"/>
          <w:szCs w:val="22"/>
          <w:shd w:val="clear" w:color="auto" w:fill="FFFFFF"/>
        </w:rPr>
        <w:t>:</w:t>
      </w:r>
      <w:r w:rsidRPr="003A4DEF" w:rsidR="00403C66">
        <w:rPr>
          <w:sz w:val="22"/>
          <w:szCs w:val="22"/>
        </w:rPr>
        <w:t xml:space="preserve"> </w:t>
      </w:r>
      <w:r w:rsidRPr="003A4DEF" w:rsidR="000363B7">
        <w:rPr>
          <w:sz w:val="22"/>
          <w:szCs w:val="22"/>
        </w:rPr>
        <w:t xml:space="preserve"> </w:t>
      </w:r>
      <w:r w:rsidRPr="003A4DEF" w:rsidR="00237201">
        <w:rPr>
          <w:bCs/>
          <w:sz w:val="22"/>
          <w:szCs w:val="22"/>
        </w:rPr>
        <w:t xml:space="preserve">This submission is being made to OMB for approval of new or modified Information Collection requirements stemming from the </w:t>
      </w:r>
      <w:r w:rsidRPr="003A4DEF" w:rsidR="00237201">
        <w:rPr>
          <w:i/>
          <w:iCs/>
          <w:sz w:val="22"/>
          <w:szCs w:val="22"/>
        </w:rPr>
        <w:t>FM Digital First R&amp;O</w:t>
      </w:r>
      <w:r w:rsidRPr="003A4DEF" w:rsidR="00237201">
        <w:rPr>
          <w:bCs/>
          <w:sz w:val="22"/>
          <w:szCs w:val="22"/>
        </w:rPr>
        <w:t xml:space="preserve">.  </w:t>
      </w:r>
      <w:bookmarkEnd w:id="4"/>
      <w:r w:rsidRPr="003A4DEF" w:rsidR="00807F5F">
        <w:rPr>
          <w:bCs/>
          <w:sz w:val="22"/>
          <w:szCs w:val="22"/>
        </w:rPr>
        <w:t xml:space="preserve">As reflected in this </w:t>
      </w:r>
      <w:r w:rsidRPr="003A4DEF" w:rsidR="00745278">
        <w:rPr>
          <w:bCs/>
          <w:sz w:val="22"/>
          <w:szCs w:val="22"/>
        </w:rPr>
        <w:t>revised collection</w:t>
      </w:r>
      <w:r w:rsidRPr="003A4DEF" w:rsidR="00807F5F">
        <w:rPr>
          <w:bCs/>
          <w:sz w:val="22"/>
          <w:szCs w:val="22"/>
        </w:rPr>
        <w:t>, the use of the</w:t>
      </w:r>
      <w:r w:rsidRPr="003A4DEF" w:rsidR="00807F5F">
        <w:rPr>
          <w:sz w:val="22"/>
          <w:szCs w:val="22"/>
        </w:rPr>
        <w:t xml:space="preserve"> Schedule 335-FM </w:t>
      </w:r>
      <w:r w:rsidRPr="003A4DEF" w:rsidR="00EA1BEF">
        <w:rPr>
          <w:sz w:val="22"/>
          <w:szCs w:val="22"/>
        </w:rPr>
        <w:t xml:space="preserve">for </w:t>
      </w:r>
      <w:r w:rsidRPr="003A4DEF" w:rsidR="00807F5F">
        <w:rPr>
          <w:sz w:val="22"/>
          <w:szCs w:val="22"/>
        </w:rPr>
        <w:t>all notifications relating to digital FM operations</w:t>
      </w:r>
      <w:r w:rsidRPr="003A4DEF" w:rsidR="00807F5F">
        <w:rPr>
          <w:bCs/>
          <w:sz w:val="22"/>
          <w:szCs w:val="22"/>
        </w:rPr>
        <w:t xml:space="preserve"> </w:t>
      </w:r>
      <w:r w:rsidRPr="003A4DEF" w:rsidR="00745278">
        <w:rPr>
          <w:bCs/>
          <w:sz w:val="22"/>
          <w:szCs w:val="22"/>
        </w:rPr>
        <w:t>offers significant reductions in annual burdens and costs.</w:t>
      </w:r>
      <w:r w:rsidRPr="003A4DEF" w:rsidR="00EB4F20">
        <w:rPr>
          <w:bCs/>
          <w:sz w:val="22"/>
          <w:szCs w:val="22"/>
        </w:rPr>
        <w:t xml:space="preserve">  There are program changes/reductions in the following figures:  -55 to the number of respondents, -55 to the annual number of responses, -145 to the annual burden hours and -68,750 to the annual cost.</w:t>
      </w:r>
    </w:p>
    <w:p w:rsidR="003E04F0" w:rsidRPr="003A4DEF" w:rsidP="000467AB" w14:paraId="7EFECC01" w14:textId="77777777">
      <w:pPr>
        <w:rPr>
          <w:sz w:val="22"/>
          <w:szCs w:val="22"/>
        </w:rPr>
      </w:pPr>
    </w:p>
    <w:p w:rsidR="00EB4F20" w:rsidRPr="003A4DEF" w:rsidP="000467AB" w14:paraId="75EEF0B6" w14:textId="37576B3A">
      <w:pPr>
        <w:rPr>
          <w:sz w:val="22"/>
          <w:szCs w:val="22"/>
        </w:rPr>
      </w:pPr>
      <w:r w:rsidRPr="003A4DEF">
        <w:rPr>
          <w:sz w:val="22"/>
          <w:szCs w:val="22"/>
        </w:rPr>
        <w:t>There are no adjustments to this collection.</w:t>
      </w:r>
    </w:p>
    <w:p w:rsidR="00EB4F20" w:rsidRPr="003A4DEF" w:rsidP="000467AB" w14:paraId="778B3C87" w14:textId="77777777">
      <w:pPr>
        <w:rPr>
          <w:sz w:val="22"/>
          <w:szCs w:val="22"/>
        </w:rPr>
      </w:pPr>
    </w:p>
    <w:p w:rsidR="000467AB" w:rsidRPr="003A4DEF" w:rsidP="000467AB" w14:paraId="0FE550F5" w14:textId="77777777">
      <w:pPr>
        <w:rPr>
          <w:sz w:val="22"/>
          <w:szCs w:val="22"/>
        </w:rPr>
      </w:pPr>
      <w:r w:rsidRPr="003A4DEF">
        <w:rPr>
          <w:sz w:val="22"/>
          <w:szCs w:val="22"/>
        </w:rPr>
        <w:t xml:space="preserve">16. </w:t>
      </w:r>
      <w:r w:rsidRPr="003A4DEF" w:rsidR="00D858E3">
        <w:rPr>
          <w:b/>
          <w:spacing w:val="-3"/>
          <w:sz w:val="22"/>
          <w:szCs w:val="22"/>
        </w:rPr>
        <w:t>Plans for Publication:</w:t>
      </w:r>
      <w:r w:rsidRPr="003A4DEF" w:rsidR="00063108">
        <w:rPr>
          <w:b/>
          <w:spacing w:val="-3"/>
          <w:sz w:val="22"/>
          <w:szCs w:val="22"/>
        </w:rPr>
        <w:t xml:space="preserve"> </w:t>
      </w:r>
      <w:r w:rsidRPr="003A4DEF">
        <w:rPr>
          <w:sz w:val="22"/>
          <w:szCs w:val="22"/>
        </w:rPr>
        <w:t xml:space="preserve">The data </w:t>
      </w:r>
      <w:r w:rsidRPr="003A4DEF" w:rsidR="000363B7">
        <w:rPr>
          <w:sz w:val="22"/>
          <w:szCs w:val="22"/>
        </w:rPr>
        <w:t>is electronically filed and is available to the public.</w:t>
      </w:r>
    </w:p>
    <w:p w:rsidR="000467AB" w:rsidRPr="003A4DEF" w:rsidP="000467AB" w14:paraId="6B5F6D97" w14:textId="77777777">
      <w:pPr>
        <w:rPr>
          <w:sz w:val="22"/>
          <w:szCs w:val="22"/>
        </w:rPr>
      </w:pPr>
    </w:p>
    <w:p w:rsidR="000467AB" w:rsidRPr="003A4DEF" w:rsidP="000467AB" w14:paraId="46FC2899" w14:textId="79D8AD84">
      <w:pPr>
        <w:rPr>
          <w:sz w:val="22"/>
          <w:szCs w:val="22"/>
        </w:rPr>
      </w:pPr>
      <w:r w:rsidRPr="003A4DEF">
        <w:rPr>
          <w:sz w:val="22"/>
          <w:szCs w:val="22"/>
        </w:rPr>
        <w:t>17.</w:t>
      </w:r>
      <w:r w:rsidRPr="003A4DEF" w:rsidR="00403C66">
        <w:rPr>
          <w:sz w:val="22"/>
          <w:szCs w:val="22"/>
        </w:rPr>
        <w:t xml:space="preserve"> </w:t>
      </w:r>
      <w:r w:rsidRPr="003A4DEF" w:rsidR="00D858E3">
        <w:rPr>
          <w:b/>
          <w:spacing w:val="-3"/>
          <w:sz w:val="22"/>
          <w:szCs w:val="22"/>
        </w:rPr>
        <w:t>Display of OMB Approval Date</w:t>
      </w:r>
      <w:r w:rsidRPr="003A4DEF" w:rsidR="00D858E3">
        <w:rPr>
          <w:spacing w:val="-3"/>
          <w:sz w:val="22"/>
          <w:szCs w:val="22"/>
        </w:rPr>
        <w:t xml:space="preserve">: </w:t>
      </w:r>
      <w:r w:rsidRPr="003A4DEF" w:rsidR="00403C66">
        <w:rPr>
          <w:spacing w:val="-3"/>
          <w:sz w:val="22"/>
          <w:szCs w:val="22"/>
        </w:rPr>
        <w:t>We</w:t>
      </w:r>
      <w:r w:rsidRPr="003A4DEF" w:rsidR="000751E1">
        <w:rPr>
          <w:spacing w:val="-3"/>
          <w:sz w:val="22"/>
          <w:szCs w:val="22"/>
        </w:rPr>
        <w:t xml:space="preserve"> are</w:t>
      </w:r>
      <w:r w:rsidRPr="003A4DEF" w:rsidR="00864DA9">
        <w:rPr>
          <w:spacing w:val="-3"/>
          <w:sz w:val="22"/>
          <w:szCs w:val="22"/>
        </w:rPr>
        <w:t xml:space="preserve"> seeking</w:t>
      </w:r>
      <w:r w:rsidRPr="003A4DEF" w:rsidR="000751E1">
        <w:rPr>
          <w:spacing w:val="-3"/>
          <w:sz w:val="22"/>
          <w:szCs w:val="22"/>
        </w:rPr>
        <w:t xml:space="preserve"> continued</w:t>
      </w:r>
      <w:r w:rsidRPr="003A4DEF" w:rsidR="009C6476">
        <w:rPr>
          <w:spacing w:val="-3"/>
          <w:sz w:val="22"/>
          <w:szCs w:val="22"/>
        </w:rPr>
        <w:t xml:space="preserve"> approval to not display the</w:t>
      </w:r>
      <w:r w:rsidRPr="003A4DEF" w:rsidR="00403C66">
        <w:rPr>
          <w:spacing w:val="-3"/>
          <w:sz w:val="22"/>
          <w:szCs w:val="22"/>
        </w:rPr>
        <w:t xml:space="preserve"> expiration date on</w:t>
      </w:r>
      <w:r w:rsidRPr="003A4DEF" w:rsidR="008B3AD3">
        <w:rPr>
          <w:spacing w:val="-3"/>
          <w:sz w:val="22"/>
          <w:szCs w:val="22"/>
        </w:rPr>
        <w:t xml:space="preserve"> FCC For</w:t>
      </w:r>
      <w:r w:rsidRPr="003A4DEF" w:rsidR="00403C66">
        <w:rPr>
          <w:spacing w:val="-3"/>
          <w:sz w:val="22"/>
          <w:szCs w:val="22"/>
        </w:rPr>
        <w:t>m</w:t>
      </w:r>
      <w:r w:rsidRPr="003A4DEF" w:rsidR="00226710">
        <w:rPr>
          <w:spacing w:val="-3"/>
          <w:sz w:val="22"/>
          <w:szCs w:val="22"/>
        </w:rPr>
        <w:t xml:space="preserve"> 2100,</w:t>
      </w:r>
      <w:r w:rsidRPr="003A4DEF" w:rsidR="00CA26E1">
        <w:rPr>
          <w:spacing w:val="-3"/>
          <w:sz w:val="22"/>
          <w:szCs w:val="22"/>
        </w:rPr>
        <w:t xml:space="preserve"> </w:t>
      </w:r>
      <w:r w:rsidRPr="003A4DEF" w:rsidR="00226710">
        <w:rPr>
          <w:spacing w:val="-3"/>
          <w:sz w:val="22"/>
          <w:szCs w:val="22"/>
        </w:rPr>
        <w:t xml:space="preserve">Schedules </w:t>
      </w:r>
      <w:r w:rsidRPr="003A4DEF" w:rsidR="00864DA9">
        <w:rPr>
          <w:spacing w:val="-3"/>
          <w:sz w:val="22"/>
          <w:szCs w:val="22"/>
        </w:rPr>
        <w:t>335-FM and 335-AM</w:t>
      </w:r>
      <w:r w:rsidRPr="003A4DEF" w:rsidR="00403C66">
        <w:rPr>
          <w:spacing w:val="-3"/>
          <w:sz w:val="22"/>
          <w:szCs w:val="22"/>
        </w:rPr>
        <w:t>. This will obviate the need for the Commission to update electronic forms upon the expiration of the clearance.</w:t>
      </w:r>
      <w:r w:rsidRPr="003A4DEF" w:rsidR="00DE263A">
        <w:rPr>
          <w:spacing w:val="-3"/>
          <w:sz w:val="22"/>
          <w:szCs w:val="22"/>
        </w:rPr>
        <w:t xml:space="preserve">  </w:t>
      </w:r>
      <w:r w:rsidRPr="003A4DEF" w:rsidR="00403C66">
        <w:rPr>
          <w:spacing w:val="-3"/>
          <w:sz w:val="22"/>
          <w:szCs w:val="22"/>
        </w:rPr>
        <w:t xml:space="preserve">OMB approval of the expiration date of the information collection will be displayed </w:t>
      </w:r>
      <w:r w:rsidRPr="003A4DEF" w:rsidR="00486AC2">
        <w:rPr>
          <w:spacing w:val="-3"/>
          <w:sz w:val="22"/>
          <w:szCs w:val="22"/>
        </w:rPr>
        <w:t>on OMB’s website.</w:t>
      </w:r>
    </w:p>
    <w:p w:rsidR="000467AB" w:rsidRPr="003A4DEF" w:rsidP="000467AB" w14:paraId="52AE6167" w14:textId="77777777">
      <w:pPr>
        <w:rPr>
          <w:sz w:val="22"/>
          <w:szCs w:val="22"/>
        </w:rPr>
      </w:pPr>
    </w:p>
    <w:p w:rsidR="000467AB" w:rsidRPr="003A4DEF" w:rsidP="000467AB" w14:paraId="06DB94DF" w14:textId="77777777">
      <w:pPr>
        <w:rPr>
          <w:sz w:val="22"/>
          <w:szCs w:val="22"/>
        </w:rPr>
      </w:pPr>
      <w:r w:rsidRPr="003A4DEF">
        <w:rPr>
          <w:sz w:val="22"/>
          <w:szCs w:val="22"/>
        </w:rPr>
        <w:t xml:space="preserve">18. </w:t>
      </w:r>
      <w:r w:rsidRPr="003A4DEF" w:rsidR="00D858E3">
        <w:rPr>
          <w:b/>
          <w:spacing w:val="-3"/>
          <w:sz w:val="22"/>
          <w:szCs w:val="22"/>
        </w:rPr>
        <w:t>Exceptions to the Certification Statement</w:t>
      </w:r>
      <w:r w:rsidRPr="003A4DEF" w:rsidR="00D858E3">
        <w:rPr>
          <w:spacing w:val="-3"/>
          <w:sz w:val="22"/>
          <w:szCs w:val="22"/>
        </w:rPr>
        <w:t xml:space="preserve">: </w:t>
      </w:r>
      <w:r w:rsidRPr="003A4DEF">
        <w:rPr>
          <w:sz w:val="22"/>
          <w:szCs w:val="22"/>
        </w:rPr>
        <w:t>There are no exceptions to the Certification Statement.</w:t>
      </w:r>
    </w:p>
    <w:p w:rsidR="000467AB" w:rsidRPr="003A4DEF" w:rsidP="000467AB" w14:paraId="30EAEA6E" w14:textId="77777777">
      <w:pPr>
        <w:rPr>
          <w:sz w:val="22"/>
          <w:szCs w:val="22"/>
        </w:rPr>
      </w:pPr>
    </w:p>
    <w:p w:rsidR="000467AB" w:rsidRPr="003A4DEF" w:rsidP="000467AB" w14:paraId="3F305960" w14:textId="77777777">
      <w:pPr>
        <w:outlineLvl w:val="0"/>
        <w:rPr>
          <w:sz w:val="22"/>
          <w:szCs w:val="22"/>
        </w:rPr>
      </w:pPr>
      <w:r w:rsidRPr="003A4DEF">
        <w:rPr>
          <w:b/>
          <w:sz w:val="22"/>
          <w:szCs w:val="22"/>
        </w:rPr>
        <w:t>B. Collections of Information Employing Statistical Methods</w:t>
      </w:r>
      <w:r w:rsidRPr="003A4DEF">
        <w:rPr>
          <w:sz w:val="22"/>
          <w:szCs w:val="22"/>
        </w:rPr>
        <w:t>.</w:t>
      </w:r>
    </w:p>
    <w:p w:rsidR="000467AB" w:rsidRPr="003A4DEF" w:rsidP="000467AB" w14:paraId="3CE1826E" w14:textId="77777777">
      <w:pPr>
        <w:ind w:left="720"/>
        <w:rPr>
          <w:sz w:val="22"/>
          <w:szCs w:val="22"/>
        </w:rPr>
      </w:pPr>
    </w:p>
    <w:p w:rsidR="000467AB" w:rsidRPr="004675A8" w:rsidP="000467AB" w14:paraId="32558589" w14:textId="77777777">
      <w:pPr>
        <w:outlineLvl w:val="0"/>
        <w:rPr>
          <w:sz w:val="22"/>
          <w:szCs w:val="22"/>
        </w:rPr>
      </w:pPr>
      <w:r w:rsidRPr="003A4DEF">
        <w:rPr>
          <w:sz w:val="22"/>
          <w:szCs w:val="22"/>
        </w:rPr>
        <w:t>No statistical methods are employed.</w:t>
      </w:r>
    </w:p>
    <w:p w:rsidR="000467AB" w:rsidRPr="004675A8" w:rsidP="000467AB" w14:paraId="15F0AEDD" w14:textId="77777777">
      <w:pPr>
        <w:ind w:left="360"/>
        <w:rPr>
          <w:sz w:val="22"/>
          <w:szCs w:val="22"/>
        </w:rPr>
      </w:pPr>
    </w:p>
    <w:p w:rsidR="000467AB" w:rsidRPr="004675A8" w:rsidP="000467AB" w14:paraId="4D7122CF" w14:textId="77777777">
      <w:pPr>
        <w:ind w:left="360"/>
        <w:rPr>
          <w:b/>
          <w:sz w:val="22"/>
          <w:szCs w:val="22"/>
        </w:rPr>
      </w:pPr>
    </w:p>
    <w:sectPr w:rsidSect="000467AB">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P="000467AB" w14:paraId="0EBD320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4D32" w14:paraId="0B35D6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CF4526" w:rsidP="000467AB" w14:paraId="1B0C124C" w14:textId="77777777">
    <w:pPr>
      <w:pStyle w:val="Footer"/>
      <w:framePr w:wrap="around" w:vAnchor="text" w:hAnchor="margin" w:xAlign="center" w:y="1"/>
      <w:rPr>
        <w:rStyle w:val="PageNumber"/>
        <w:sz w:val="20"/>
      </w:rPr>
    </w:pPr>
    <w:r w:rsidRPr="00CF4526">
      <w:rPr>
        <w:rStyle w:val="PageNumber"/>
        <w:sz w:val="20"/>
      </w:rPr>
      <w:fldChar w:fldCharType="begin"/>
    </w:r>
    <w:r w:rsidRPr="00CF4526">
      <w:rPr>
        <w:rStyle w:val="PageNumber"/>
        <w:sz w:val="20"/>
      </w:rPr>
      <w:instrText xml:space="preserve">PAGE  </w:instrText>
    </w:r>
    <w:r w:rsidRPr="00CF4526">
      <w:rPr>
        <w:rStyle w:val="PageNumber"/>
        <w:sz w:val="20"/>
      </w:rPr>
      <w:fldChar w:fldCharType="separate"/>
    </w:r>
    <w:r w:rsidR="00E54C7F">
      <w:rPr>
        <w:rStyle w:val="PageNumber"/>
        <w:noProof/>
        <w:sz w:val="20"/>
      </w:rPr>
      <w:t>1</w:t>
    </w:r>
    <w:r w:rsidRPr="00CF4526">
      <w:rPr>
        <w:rStyle w:val="PageNumber"/>
        <w:sz w:val="20"/>
      </w:rPr>
      <w:fldChar w:fldCharType="end"/>
    </w:r>
  </w:p>
  <w:p w:rsidR="007E4D32" w14:paraId="3926B6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3CC1" w14:paraId="74AC07DC" w14:textId="77777777">
      <w:r>
        <w:separator/>
      </w:r>
    </w:p>
  </w:footnote>
  <w:footnote w:type="continuationSeparator" w:id="1">
    <w:p w:rsidR="00C13CC1" w14:paraId="2147662B" w14:textId="77777777">
      <w:r>
        <w:continuationSeparator/>
      </w:r>
    </w:p>
  </w:footnote>
  <w:footnote w:id="2">
    <w:p w:rsidR="00DB2F5E" w:rsidRPr="009922A5" w14:paraId="31D3F299" w14:textId="5A3694D3">
      <w:pPr>
        <w:pStyle w:val="FootnoteText"/>
      </w:pPr>
      <w:r w:rsidRPr="009922A5">
        <w:rPr>
          <w:rStyle w:val="FootnoteReference"/>
        </w:rPr>
        <w:footnoteRef/>
      </w:r>
      <w:r w:rsidRPr="009922A5">
        <w:t xml:space="preserve"> </w:t>
      </w:r>
      <w:r w:rsidRPr="009922A5">
        <w:rPr>
          <w:i/>
          <w:iCs/>
          <w:spacing w:val="-2"/>
        </w:rPr>
        <w:t>Modifying Rules for FM Terrestrial Digital Audio Broadcasting Systems</w:t>
      </w:r>
      <w:r w:rsidRPr="009922A5">
        <w:t>, MB Docket No. 22-405, First Report and Order, FCC 24-105 (rel. Sept. 25, 2024) (</w:t>
      </w:r>
      <w:r w:rsidRPr="009922A5">
        <w:rPr>
          <w:i/>
        </w:rPr>
        <w:t>FM Digital First R&amp;O</w:t>
      </w:r>
      <w:r w:rsidRPr="009922A5">
        <w:t>).</w:t>
      </w:r>
    </w:p>
  </w:footnote>
  <w:footnote w:id="3">
    <w:p w:rsidR="0015389E" w14:paraId="7AF9BBE0" w14:textId="094734F0">
      <w:pPr>
        <w:pStyle w:val="FootnoteText"/>
      </w:pPr>
      <w:r>
        <w:rPr>
          <w:rStyle w:val="FootnoteReference"/>
        </w:rPr>
        <w:footnoteRef/>
      </w:r>
      <w:r>
        <w:t xml:space="preserve"> </w:t>
      </w:r>
      <w:r w:rsidRPr="00083C21">
        <w:rPr>
          <w:szCs w:val="22"/>
        </w:rPr>
        <w:t xml:space="preserve">The </w:t>
      </w:r>
      <w:r w:rsidRPr="00083C21">
        <w:rPr>
          <w:i/>
          <w:iCs/>
          <w:szCs w:val="22"/>
        </w:rPr>
        <w:t>FM Digital First R&amp;O</w:t>
      </w:r>
      <w:r w:rsidRPr="00083C21">
        <w:rPr>
          <w:szCs w:val="22"/>
        </w:rPr>
        <w:t xml:space="preserve"> also enables any FM licensee operating facilities under experimental or special temporary authorizations, which are compliant with the rules adopted in this proceeding, to transition to asymmetric sideband operation by filing Schedule 335-FM notification</w:t>
      </w:r>
      <w:r>
        <w:rPr>
          <w:szCs w:val="22"/>
        </w:rPr>
        <w:t>s</w:t>
      </w:r>
      <w:r w:rsidRPr="00083C21">
        <w:rPr>
          <w:szCs w:val="22"/>
        </w:rPr>
        <w:t xml:space="preserve"> after the effective date of the adopted rules.  </w:t>
      </w:r>
    </w:p>
  </w:footnote>
  <w:footnote w:id="4">
    <w:p w:rsidR="002B1283" w:rsidRPr="004D3913" w:rsidP="002B1283" w14:paraId="07F4051E" w14:textId="77777777">
      <w:pPr>
        <w:pStyle w:val="FootnoteText"/>
        <w:ind w:right="-270"/>
      </w:pPr>
      <w:r w:rsidRPr="0073390F">
        <w:rPr>
          <w:rStyle w:val="FootnoteReference"/>
        </w:rPr>
        <w:footnoteRef/>
      </w:r>
      <w:r w:rsidRPr="0073390F">
        <w:t xml:space="preserve"> 47 CFR §§ 73.404, 73.406.</w:t>
      </w:r>
    </w:p>
  </w:footnote>
  <w:footnote w:id="5">
    <w:p w:rsidR="00B74C8C" w:rsidP="00F73847" w14:paraId="7E23E88E" w14:textId="79B44F0F">
      <w:r w:rsidRPr="00B74C8C">
        <w:rPr>
          <w:rStyle w:val="FootnoteReference"/>
          <w:sz w:val="20"/>
        </w:rPr>
        <w:footnoteRef/>
      </w:r>
      <w:r w:rsidRPr="00B74C8C">
        <w:rPr>
          <w:sz w:val="20"/>
        </w:rPr>
        <w:t xml:space="preserve"> </w:t>
      </w:r>
      <w:r>
        <w:rPr>
          <w:sz w:val="20"/>
        </w:rPr>
        <w:t xml:space="preserve">The </w:t>
      </w:r>
      <w:r w:rsidRPr="00B74C8C">
        <w:rPr>
          <w:i/>
          <w:iCs/>
          <w:sz w:val="20"/>
        </w:rPr>
        <w:t>FM Digital First R&amp;O</w:t>
      </w:r>
      <w:r w:rsidRPr="00B74C8C">
        <w:rPr>
          <w:sz w:val="20"/>
        </w:rPr>
        <w:t xml:space="preserve"> makes an exception, however, for digital FM stations operating on Channels 296 - 300 (107.1 - 107.9 MHz), at the top of the FM broadcast band, which must continue to seek experimental authorization for asymmetric sideband operation.  This is deemed necessary to protect users in the lower frequencies of the Aeronautical Radio Navigation Spectrum (ARNS) from possible interference resulting from higher power on an upper digital sideband</w:t>
      </w:r>
      <w:r w:rsidR="00F73847">
        <w:rPr>
          <w:sz w:val="20"/>
        </w:rPr>
        <w:t>.</w:t>
      </w:r>
    </w:p>
  </w:footnote>
  <w:footnote w:id="6">
    <w:p w:rsidR="004342C5" w:rsidRPr="00A37B41" w:rsidP="004342C5" w14:paraId="11C6AF88" w14:textId="329E9852">
      <w:pPr>
        <w:pStyle w:val="FootnoteText"/>
      </w:pPr>
      <w:r w:rsidRPr="00A37B41">
        <w:rPr>
          <w:rStyle w:val="FootnoteReference"/>
        </w:rPr>
        <w:footnoteRef/>
      </w:r>
      <w:r w:rsidRPr="00A37B41">
        <w:t xml:space="preserve"> </w:t>
      </w:r>
      <w:r w:rsidR="00F73847">
        <w:t>L</w:t>
      </w:r>
      <w:r w:rsidRPr="00A37B41">
        <w:t xml:space="preserve">icensees will </w:t>
      </w:r>
      <w:r w:rsidR="00E50D32">
        <w:t xml:space="preserve">now </w:t>
      </w:r>
      <w:r w:rsidRPr="00A37B41">
        <w:t xml:space="preserve">use Schedule 335-FM to provide the Commission with all notifications relating to digital </w:t>
      </w:r>
      <w:r w:rsidR="00F73847">
        <w:t xml:space="preserve">FM </w:t>
      </w:r>
      <w:r w:rsidRPr="00A37B41">
        <w:t xml:space="preserve">operations.  As part of that notification, an FM station initiating operation with total digital power in excess of -14 </w:t>
      </w:r>
      <w:r w:rsidRPr="00A37B41">
        <w:t>dBc</w:t>
      </w:r>
      <w:r w:rsidRPr="00A37B41">
        <w:t xml:space="preserve"> will also be required to certify that the proposed FM digital power is permitted for each digital sideband.  Licensees must use the table set forth in revised section 73.404(f) of our rules.  The licensee shall also attach to Schedule 335-FM an exhibit, which must include a plot of the relevant most restrictive interfering contour(s) of the digital station and the protected contour(s) of the most restrictive upper/lower first-adjacent-channel station(s).</w:t>
      </w:r>
    </w:p>
  </w:footnote>
  <w:footnote w:id="7">
    <w:p w:rsidR="004342C5" w:rsidRPr="00A37B41" w:rsidP="004342C5" w14:paraId="16AD8023" w14:textId="77777777">
      <w:pPr>
        <w:pStyle w:val="FootnoteText"/>
        <w:widowControl w:val="0"/>
      </w:pPr>
      <w:r w:rsidRPr="00A37B41">
        <w:rPr>
          <w:rStyle w:val="FootnoteReference"/>
        </w:rPr>
        <w:footnoteRef/>
      </w:r>
      <w:r w:rsidRPr="00A37B41">
        <w:t xml:space="preserve"> In other words, an FM digital station not currently operating with total digital ERP above -14 </w:t>
      </w:r>
      <w:r w:rsidRPr="00A37B41">
        <w:t>dBc</w:t>
      </w:r>
      <w:r w:rsidRPr="00A37B41">
        <w:t xml:space="preserve"> need not report further digital power reductions.</w:t>
      </w:r>
    </w:p>
  </w:footnote>
  <w:footnote w:id="8">
    <w:p w:rsidR="004342C5" w:rsidRPr="008A7952" w:rsidP="004342C5" w14:paraId="19196CCC" w14:textId="6AEB4485">
      <w:pPr>
        <w:pStyle w:val="FootnoteText"/>
        <w:widowControl w:val="0"/>
      </w:pPr>
      <w:r w:rsidRPr="00A37B41">
        <w:rPr>
          <w:rStyle w:val="FootnoteReference"/>
        </w:rPr>
        <w:footnoteRef/>
      </w:r>
      <w:r w:rsidRPr="00A37B41">
        <w:t xml:space="preserve"> </w:t>
      </w:r>
      <w:r w:rsidRPr="008A7952" w:rsidR="00280ACE">
        <w:rPr>
          <w:i/>
          <w:iCs/>
        </w:rPr>
        <w:t xml:space="preserve">See </w:t>
      </w:r>
      <w:r w:rsidRPr="008A7952" w:rsidR="008A7952">
        <w:rPr>
          <w:i/>
          <w:iCs/>
        </w:rPr>
        <w:t>2010</w:t>
      </w:r>
      <w:r w:rsidRPr="008A7952" w:rsidR="008A7952">
        <w:t xml:space="preserve"> </w:t>
      </w:r>
      <w:r w:rsidRPr="008A7952" w:rsidR="008A7952">
        <w:rPr>
          <w:i/>
          <w:iCs/>
        </w:rPr>
        <w:t>Digital Audio Broadcasting</w:t>
      </w:r>
      <w:r w:rsidRPr="008A7952" w:rsidR="008A7952">
        <w:t xml:space="preserve"> </w:t>
      </w:r>
      <w:r w:rsidRPr="008A7952" w:rsidR="008A7952">
        <w:rPr>
          <w:i/>
          <w:iCs/>
        </w:rPr>
        <w:t>Order</w:t>
      </w:r>
      <w:r w:rsidRPr="008A7952" w:rsidR="008A7952">
        <w:t>, DA 10-208, MM Docket 99-325</w:t>
      </w:r>
      <w:r w:rsidRPr="008A7952">
        <w:t xml:space="preserve">, 25 FCC </w:t>
      </w:r>
      <w:r w:rsidRPr="008A7952">
        <w:t>Rcd</w:t>
      </w:r>
      <w:r w:rsidRPr="008A7952">
        <w:t xml:space="preserve"> </w:t>
      </w:r>
      <w:r w:rsidR="006F31B0">
        <w:t xml:space="preserve">1182, </w:t>
      </w:r>
      <w:r w:rsidRPr="008A7952">
        <w:t>1190, para. 20</w:t>
      </w:r>
      <w:r w:rsidR="003A495E">
        <w:t xml:space="preserve"> (MB 2010).</w:t>
      </w:r>
      <w:r w:rsidRPr="008A7952">
        <w:t xml:space="preserve">  </w:t>
      </w:r>
    </w:p>
  </w:footnote>
  <w:footnote w:id="9">
    <w:p w:rsidR="008D2AF7" w14:paraId="4565A1F3" w14:textId="19C13E25">
      <w:pPr>
        <w:pStyle w:val="FootnoteText"/>
      </w:pPr>
      <w:r>
        <w:rPr>
          <w:rStyle w:val="FootnoteReference"/>
        </w:rPr>
        <w:footnoteRef/>
      </w:r>
      <w:r>
        <w:t xml:space="preserve"> </w:t>
      </w:r>
      <w:r w:rsidRPr="004D3913">
        <w:t>47 CFR § 73.</w:t>
      </w:r>
      <w:r>
        <w:t>404(e) and (f).</w:t>
      </w:r>
    </w:p>
  </w:footnote>
  <w:footnote w:id="10">
    <w:p w:rsidR="00241AB0" w:rsidRPr="004D3913" w:rsidP="00241AB0" w14:paraId="69F40F93" w14:textId="77777777">
      <w:pPr>
        <w:pStyle w:val="FootnoteText"/>
        <w:ind w:right="-270"/>
      </w:pPr>
      <w:r w:rsidRPr="004D3913">
        <w:rPr>
          <w:rStyle w:val="FootnoteReference"/>
        </w:rPr>
        <w:footnoteRef/>
      </w:r>
      <w:r w:rsidRPr="004D3913">
        <w:t xml:space="preserve"> 47 CFR §73.</w:t>
      </w:r>
      <w:r>
        <w:t>406(d)(5) and (6).</w:t>
      </w:r>
    </w:p>
  </w:footnote>
  <w:footnote w:id="11">
    <w:p w:rsidR="00A4391D" w:rsidRPr="004675A8" w:rsidP="00A4391D" w14:paraId="1ADEDAD2" w14:textId="77777777">
      <w:pPr>
        <w:pStyle w:val="FootnoteText"/>
      </w:pPr>
      <w:r w:rsidRPr="004675A8">
        <w:rPr>
          <w:rStyle w:val="FootnoteReference"/>
        </w:rPr>
        <w:footnoteRef/>
      </w:r>
      <w:r w:rsidRPr="004675A8">
        <w:t xml:space="preserve"> </w:t>
      </w:r>
      <w:r w:rsidRPr="004675A8">
        <w:rPr>
          <w:i/>
          <w:iCs/>
        </w:rPr>
        <w:t>All-Digital AM Broadcasting; Revitalization of the AM Radio Service</w:t>
      </w:r>
      <w:r w:rsidRPr="004675A8">
        <w:t>, Report and Order, FCC 20-</w:t>
      </w:r>
      <w:r w:rsidRPr="004675A8" w:rsidR="00C3771F">
        <w:t>154</w:t>
      </w:r>
      <w:r w:rsidRPr="004675A8">
        <w:t xml:space="preserve">, MB </w:t>
      </w:r>
      <w:r w:rsidRPr="004675A8">
        <w:t>Dkts</w:t>
      </w:r>
      <w:r w:rsidRPr="004675A8">
        <w:t>. 19-311, 13-249 (</w:t>
      </w:r>
      <w:r w:rsidRPr="004675A8" w:rsidR="00903FB4">
        <w:t>rel. Oct. 2</w:t>
      </w:r>
      <w:r w:rsidRPr="004675A8" w:rsidR="00397726">
        <w:t>8</w:t>
      </w:r>
      <w:r w:rsidRPr="004675A8" w:rsidR="00903FB4">
        <w:t xml:space="preserve">, </w:t>
      </w:r>
      <w:r w:rsidRPr="004675A8">
        <w:t>2020) (</w:t>
      </w:r>
      <w:bookmarkStart w:id="0" w:name="_Hlk37390432"/>
      <w:r w:rsidRPr="004675A8">
        <w:rPr>
          <w:i/>
          <w:iCs/>
        </w:rPr>
        <w:t>All Digital AM Broadcasting Report and Order</w:t>
      </w:r>
      <w:bookmarkEnd w:id="0"/>
      <w:r w:rsidRPr="004675A8">
        <w:t>).</w:t>
      </w:r>
    </w:p>
  </w:footnote>
  <w:footnote w:id="12">
    <w:p w:rsidR="0099381A" w:rsidRPr="004675A8" w14:paraId="727D6FD2" w14:textId="5EB09A20">
      <w:pPr>
        <w:pStyle w:val="FootnoteText"/>
      </w:pPr>
      <w:r w:rsidRPr="004675A8">
        <w:rPr>
          <w:rStyle w:val="FootnoteReference"/>
        </w:rPr>
        <w:footnoteRef/>
      </w:r>
      <w:r w:rsidRPr="004675A8">
        <w:t xml:space="preserve"> </w:t>
      </w:r>
      <w:r w:rsidRPr="004675A8" w:rsidR="00DB46B7">
        <w:t>At the time of adoption,</w:t>
      </w:r>
      <w:r w:rsidRPr="004675A8" w:rsidR="003448BD">
        <w:t xml:space="preserve"> such notification</w:t>
      </w:r>
      <w:r w:rsidRPr="004675A8" w:rsidR="00F478A2">
        <w:t>s</w:t>
      </w:r>
      <w:r w:rsidRPr="004675A8" w:rsidR="003448BD">
        <w:t xml:space="preserve"> </w:t>
      </w:r>
      <w:r w:rsidRPr="004675A8" w:rsidR="00DB46B7">
        <w:t xml:space="preserve">were </w:t>
      </w:r>
      <w:r w:rsidRPr="004675A8" w:rsidR="003508E4">
        <w:t xml:space="preserve"> </w:t>
      </w:r>
      <w:r w:rsidRPr="004675A8" w:rsidR="003448BD">
        <w:t xml:space="preserve">submitted </w:t>
      </w:r>
      <w:r w:rsidRPr="004675A8" w:rsidR="00D3244C">
        <w:t>in</w:t>
      </w:r>
      <w:r w:rsidRPr="004675A8" w:rsidR="003448BD">
        <w:t xml:space="preserve"> the Bureau’s Consolidated Database System (CDBS). </w:t>
      </w:r>
      <w:r w:rsidR="009638B0">
        <w:t>T</w:t>
      </w:r>
      <w:r w:rsidRPr="004675A8" w:rsidR="003448BD">
        <w:t>he Bureau</w:t>
      </w:r>
      <w:r w:rsidRPr="004675A8" w:rsidR="00B06A92">
        <w:t xml:space="preserve"> has now transitioned these notification forms</w:t>
      </w:r>
      <w:r w:rsidRPr="004675A8" w:rsidR="003448BD">
        <w:t xml:space="preserve"> from</w:t>
      </w:r>
      <w:r w:rsidRPr="004675A8" w:rsidR="00F478A2">
        <w:t xml:space="preserve"> </w:t>
      </w:r>
      <w:r w:rsidRPr="004675A8" w:rsidR="003448BD">
        <w:t xml:space="preserve">the CDBS database to the Licensing and Management System (LMS) database. Therefore, this notification requirement </w:t>
      </w:r>
      <w:r w:rsidRPr="004675A8" w:rsidR="00B06A92">
        <w:t>now applies</w:t>
      </w:r>
      <w:r w:rsidRPr="004675A8" w:rsidR="003448BD">
        <w:t xml:space="preserve"> to the LMS database. </w:t>
      </w:r>
    </w:p>
  </w:footnote>
  <w:footnote w:id="13">
    <w:p w:rsidR="00011193" w:rsidRPr="004675A8" w14:paraId="5137BAB5" w14:textId="77777777">
      <w:pPr>
        <w:pStyle w:val="FootnoteText"/>
      </w:pPr>
      <w:r w:rsidRPr="004675A8">
        <w:rPr>
          <w:rStyle w:val="FootnoteReference"/>
        </w:rPr>
        <w:footnoteRef/>
      </w:r>
      <w:r w:rsidRPr="004675A8">
        <w:t xml:space="preserve"> </w:t>
      </w:r>
      <w:r w:rsidRPr="004675A8">
        <w:rPr>
          <w:i/>
          <w:iCs/>
        </w:rPr>
        <w:t>All Digital AM Broadcasting Report and Order</w:t>
      </w:r>
      <w:r w:rsidRPr="004675A8">
        <w:t xml:space="preserve"> at para. 37.</w:t>
      </w:r>
      <w:r w:rsidRPr="004675A8" w:rsidR="00A3710B">
        <w:t xml:space="preserve">  </w:t>
      </w:r>
    </w:p>
  </w:footnote>
  <w:footnote w:id="14">
    <w:p w:rsidR="00A7063A" w:rsidRPr="004675A8" w14:paraId="62028F7D" w14:textId="77777777">
      <w:pPr>
        <w:pStyle w:val="FootnoteText"/>
      </w:pPr>
      <w:r w:rsidRPr="004675A8">
        <w:rPr>
          <w:rStyle w:val="FootnoteReference"/>
        </w:rPr>
        <w:footnoteRef/>
      </w:r>
      <w:r w:rsidRPr="004675A8">
        <w:t xml:space="preserve"> 47 CFR </w:t>
      </w:r>
      <w:r w:rsidRPr="004675A8" w:rsidR="00811527">
        <w:t xml:space="preserve">§ </w:t>
      </w:r>
      <w:r w:rsidRPr="004675A8">
        <w:t>73.406</w:t>
      </w:r>
      <w:r w:rsidRPr="004675A8" w:rsidR="00811527">
        <w:t xml:space="preserve"> Notification</w:t>
      </w:r>
      <w:r w:rsidRPr="004675A8">
        <w:t>.</w:t>
      </w:r>
    </w:p>
  </w:footnote>
  <w:footnote w:id="15">
    <w:p w:rsidR="00474A1A" w:rsidRPr="004675A8" w:rsidP="00474A1A" w14:paraId="1747912B" w14:textId="0321B9E4">
      <w:pPr>
        <w:pStyle w:val="FootnoteText"/>
      </w:pPr>
      <w:r w:rsidRPr="004675A8">
        <w:rPr>
          <w:rStyle w:val="FootnoteReference"/>
        </w:rPr>
        <w:footnoteRef/>
      </w:r>
      <w:r w:rsidRPr="004675A8">
        <w:t xml:space="preserve"> </w:t>
      </w:r>
      <w:r w:rsidRPr="004675A8">
        <w:rPr>
          <w:rStyle w:val="documentbody"/>
        </w:rPr>
        <w:t>Licensees request</w:t>
      </w:r>
      <w:r w:rsidR="00821FAC">
        <w:rPr>
          <w:rStyle w:val="documentbody"/>
        </w:rPr>
        <w:t>ed</w:t>
      </w:r>
      <w:r w:rsidRPr="004675A8">
        <w:rPr>
          <w:rStyle w:val="documentbody"/>
        </w:rPr>
        <w:t xml:space="preserve"> </w:t>
      </w:r>
      <w:r w:rsidRPr="004675A8">
        <w:rPr>
          <w:rStyle w:val="searchterm"/>
        </w:rPr>
        <w:t>special temporary authority</w:t>
      </w:r>
      <w:r w:rsidRPr="004675A8">
        <w:rPr>
          <w:rStyle w:val="documentbody"/>
        </w:rPr>
        <w:t xml:space="preserve"> (STA) to operate new or modified equipment.  The requests must contain complete details about the proposed operation and the circumstances that fully justify grant of STA.</w:t>
      </w:r>
    </w:p>
  </w:footnote>
  <w:footnote w:id="16">
    <w:p w:rsidR="00474A1A" w:rsidRPr="004675A8" w:rsidP="00474A1A" w14:paraId="2F98E189" w14:textId="77777777">
      <w:pPr>
        <w:pStyle w:val="FootnoteText"/>
      </w:pPr>
      <w:r w:rsidRPr="004675A8">
        <w:rPr>
          <w:rStyle w:val="FootnoteReference"/>
        </w:rPr>
        <w:footnoteRef/>
      </w:r>
      <w:r w:rsidRPr="004675A8">
        <w:t xml:space="preserve"> IBOC digital operations permit the licensee to introduce digital operation efficiently and rapidly.</w:t>
      </w:r>
    </w:p>
  </w:footnote>
  <w:footnote w:id="17">
    <w:p w:rsidR="007E4D32" w:rsidRPr="004675A8" w:rsidP="000467AB" w14:paraId="1711001E" w14:textId="77777777">
      <w:pPr>
        <w:pStyle w:val="FootnoteText"/>
      </w:pPr>
      <w:r w:rsidRPr="004675A8">
        <w:rPr>
          <w:rStyle w:val="FootnoteReference"/>
        </w:rPr>
        <w:footnoteRef/>
      </w:r>
      <w:r w:rsidRPr="004675A8">
        <w:t xml:space="preserve"> The Commission estimates the average salary at $100,000/year or $48.08/hour for in-house personnel who include the station manager, engineer</w:t>
      </w:r>
      <w:r w:rsidRPr="004675A8" w:rsidR="003911B3">
        <w:t>,</w:t>
      </w:r>
      <w:r w:rsidRPr="004675A8">
        <w:t xml:space="preserve"> and attorney.  </w:t>
      </w:r>
    </w:p>
  </w:footnote>
  <w:footnote w:id="18">
    <w:p w:rsidR="007E4D32" w:rsidRPr="004675A8" w:rsidP="000467AB" w14:paraId="023E2CFC" w14:textId="77777777">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pacing w:val="-3"/>
          <w:sz w:val="20"/>
        </w:rPr>
      </w:pPr>
      <w:r w:rsidRPr="004675A8">
        <w:rPr>
          <w:rStyle w:val="FootnoteReference"/>
          <w:sz w:val="20"/>
        </w:rPr>
        <w:footnoteRef/>
      </w:r>
      <w:r w:rsidRPr="004675A8">
        <w:rPr>
          <w:sz w:val="20"/>
        </w:rPr>
        <w:t xml:space="preserve"> There is no filing fee associated with this collection.</w:t>
      </w:r>
      <w:r w:rsidRPr="004675A8" w:rsidR="003911B3">
        <w:rPr>
          <w:sz w:val="20"/>
        </w:rPr>
        <w:t xml:space="preserve">  </w:t>
      </w:r>
      <w:r w:rsidRPr="004675A8">
        <w:rPr>
          <w:sz w:val="20"/>
        </w:rPr>
        <w:t>47 CFR § 1.1104.</w:t>
      </w:r>
      <w:r w:rsidRPr="004675A8" w:rsidR="003911B3">
        <w:rPr>
          <w:spacing w:val="-3"/>
          <w:sz w:val="20"/>
        </w:rPr>
        <w:t xml:space="preserve">  </w:t>
      </w:r>
      <w:r w:rsidRPr="004675A8">
        <w:rPr>
          <w:spacing w:val="-3"/>
          <w:sz w:val="20"/>
        </w:rPr>
        <w:t xml:space="preserve">Also, consultants are not needed for the information collection requirements contained under </w:t>
      </w:r>
      <w:r w:rsidRPr="004675A8" w:rsidR="003911B3">
        <w:rPr>
          <w:spacing w:val="-3"/>
          <w:sz w:val="20"/>
        </w:rPr>
        <w:t>s</w:t>
      </w:r>
      <w:r w:rsidRPr="004675A8">
        <w:rPr>
          <w:spacing w:val="-3"/>
          <w:sz w:val="20"/>
        </w:rPr>
        <w:t xml:space="preserve">ection </w:t>
      </w:r>
      <w:r w:rsidRPr="004675A8">
        <w:rPr>
          <w:sz w:val="20"/>
        </w:rPr>
        <w:t>73.404(b)</w:t>
      </w:r>
      <w:r w:rsidRPr="004675A8" w:rsidR="00D70FB1">
        <w:rPr>
          <w:sz w:val="20"/>
        </w:rPr>
        <w:t>.</w:t>
      </w:r>
      <w:r w:rsidRPr="004675A8">
        <w:rPr>
          <w:spacing w:val="-3"/>
          <w:sz w:val="20"/>
        </w:rPr>
        <w:t xml:space="preserve">  Those requirements will be fulfilled by in-house staff and are covered under question 12 of this supporting statement.  We estimate that the consulting engineer will have an average salary of $250/hour and the outside attorney will charge approximately $300/hour.</w:t>
      </w:r>
    </w:p>
    <w:p w:rsidR="007E4D32" w:rsidRPr="004675A8" w14:paraId="265067DC" w14:textId="77777777">
      <w:pPr>
        <w:pStyle w:val="FootnoteText"/>
      </w:pPr>
    </w:p>
  </w:footnote>
  <w:footnote w:id="19">
    <w:p w:rsidR="003814C6" w:rsidP="003814C6" w14:paraId="46B7BA81" w14:textId="77777777">
      <w:pPr>
        <w:pStyle w:val="FootnoteText"/>
      </w:pPr>
      <w:r w:rsidRPr="004675A8">
        <w:rPr>
          <w:rStyle w:val="FootnoteReference"/>
        </w:rPr>
        <w:footnoteRef/>
      </w:r>
      <w:r w:rsidRPr="004675A8">
        <w:t xml:space="preserve"> Staff members at the GS-14 and 15 grade</w:t>
      </w:r>
      <w:r>
        <w:t xml:space="preserve"> levels are involved with the review of digital notifications.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7D33C4" w:rsidP="000467AB" w14:paraId="3116EE83" w14:textId="42E179DE">
    <w:pPr>
      <w:rPr>
        <w:b/>
      </w:rPr>
    </w:pPr>
    <w:r w:rsidRPr="007D33C4">
      <w:rPr>
        <w:b/>
      </w:rPr>
      <w:t xml:space="preserve">OMB </w:t>
    </w:r>
    <w:r>
      <w:rPr>
        <w:b/>
      </w:rPr>
      <w:t xml:space="preserve">Control Number:  </w:t>
    </w:r>
    <w:r w:rsidRPr="007D33C4">
      <w:rPr>
        <w:b/>
      </w:rPr>
      <w:t>3060-</w:t>
    </w:r>
    <w:r>
      <w:rPr>
        <w:b/>
      </w:rPr>
      <w:t>1034</w:t>
    </w:r>
    <w:r w:rsidRPr="007D33C4">
      <w:rPr>
        <w:b/>
      </w:rPr>
      <w:tab/>
    </w:r>
    <w:r w:rsidRPr="007D33C4">
      <w:rPr>
        <w:b/>
      </w:rPr>
      <w:tab/>
    </w:r>
    <w:r w:rsidRPr="007D33C4">
      <w:rPr>
        <w:b/>
      </w:rPr>
      <w:tab/>
    </w:r>
    <w:r w:rsidRPr="007D33C4">
      <w:rPr>
        <w:b/>
      </w:rPr>
      <w:tab/>
    </w:r>
    <w:r w:rsidRPr="007D33C4">
      <w:rPr>
        <w:b/>
      </w:rPr>
      <w:tab/>
    </w:r>
    <w:r w:rsidR="00636490">
      <w:rPr>
        <w:b/>
      </w:rPr>
      <w:tab/>
    </w:r>
    <w:r w:rsidR="003A4DEF">
      <w:rPr>
        <w:b/>
      </w:rPr>
      <w:t>February</w:t>
    </w:r>
    <w:r w:rsidR="0066596D">
      <w:rPr>
        <w:b/>
      </w:rPr>
      <w:t xml:space="preserve"> 2025</w:t>
    </w:r>
  </w:p>
  <w:p w:rsidR="007E4D32" w:rsidRPr="006F4E01" w:rsidP="000467AB" w14:paraId="57C8D39B" w14:textId="05B41BF2">
    <w:r>
      <w:rPr>
        <w:b/>
      </w:rPr>
      <w:t xml:space="preserve">Title: </w:t>
    </w:r>
    <w:r w:rsidRPr="00A91AE5">
      <w:rPr>
        <w:b/>
      </w:rPr>
      <w:t>Digital Audio Broadcasting Systems and their Impact on the Terrestrial Radio Broadcast Service</w:t>
    </w:r>
    <w:r>
      <w:rPr>
        <w:b/>
      </w:rPr>
      <w:t xml:space="preserve">; </w:t>
    </w:r>
    <w:r w:rsidR="005E18DD">
      <w:rPr>
        <w:b/>
      </w:rPr>
      <w:t xml:space="preserve">Form 2100, Schedule 335-FM – FM </w:t>
    </w:r>
    <w:r>
      <w:rPr>
        <w:b/>
      </w:rPr>
      <w:t>Digital Notification</w:t>
    </w:r>
    <w:r w:rsidR="005E18DD">
      <w:rPr>
        <w:b/>
      </w:rPr>
      <w:t>;</w:t>
    </w:r>
    <w:r w:rsidR="00EB41B4">
      <w:rPr>
        <w:b/>
      </w:rPr>
      <w:t xml:space="preserve"> </w:t>
    </w:r>
    <w:r w:rsidR="005E18DD">
      <w:rPr>
        <w:b/>
      </w:rPr>
      <w:t xml:space="preserve"> Form 2100, Schedule 335-AM – AM Digital Notification</w:t>
    </w:r>
  </w:p>
  <w:p w:rsidR="007E4D32" w14:paraId="4E6ACE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FCD7981"/>
    <w:multiLevelType w:val="hybridMultilevel"/>
    <w:tmpl w:val="B5C70483"/>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Narro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Narro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Narro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FA8648F"/>
    <w:multiLevelType w:val="hybridMultilevel"/>
    <w:tmpl w:val="13BEDB96"/>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02068"/>
    <w:multiLevelType w:val="hybridMultilevel"/>
    <w:tmpl w:val="F81A9E5C"/>
    <w:lvl w:ilvl="0">
      <w:start w:val="2"/>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306AEC"/>
    <w:multiLevelType w:val="hybridMultilevel"/>
    <w:tmpl w:val="BD760A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8E26BD"/>
    <w:multiLevelType w:val="hybridMultilevel"/>
    <w:tmpl w:val="350C9F6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E265934"/>
    <w:multiLevelType w:val="multilevel"/>
    <w:tmpl w:val="6E34588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1BB4266"/>
    <w:multiLevelType w:val="multilevel"/>
    <w:tmpl w:val="6EDEDE6C"/>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1F56672"/>
    <w:multiLevelType w:val="hybridMultilevel"/>
    <w:tmpl w:val="7EBC55BE"/>
    <w:lvl w:ilvl="0">
      <w:start w:val="1"/>
      <w:numFmt w:val="lowerLetter"/>
      <w:lvlText w:val="(%1)"/>
      <w:lvlJc w:val="left"/>
      <w:pPr>
        <w:ind w:left="1134" w:hanging="360"/>
      </w:pPr>
      <w:rPr>
        <w:rFonts w:hint="default"/>
      </w:r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DF0B80"/>
    <w:multiLevelType w:val="hybridMultilevel"/>
    <w:tmpl w:val="A1CA2A4B"/>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284E7AE4"/>
    <w:multiLevelType w:val="hybridMultilevel"/>
    <w:tmpl w:val="AA20199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8E75B36"/>
    <w:multiLevelType w:val="hybridMultilevel"/>
    <w:tmpl w:val="FC5C04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B96208"/>
    <w:multiLevelType w:val="multilevel"/>
    <w:tmpl w:val="1ED419C2"/>
    <w:lvl w:ilvl="0">
      <w:start w:val="1"/>
      <w:numFmt w:val="decimal"/>
      <w:pStyle w:val="1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C37E08B"/>
    <w:multiLevelType w:val="hybridMultilevel"/>
    <w:tmpl w:val="561FB725"/>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6">
    <w:nsid w:val="36383A3A"/>
    <w:multiLevelType w:val="hybridMultilevel"/>
    <w:tmpl w:val="3EA802D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4C74CA"/>
    <w:multiLevelType w:val="hybridMultilevel"/>
    <w:tmpl w:val="C52227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4A47D80"/>
    <w:multiLevelType w:val="hybridMultilevel"/>
    <w:tmpl w:val="F126021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45441003"/>
    <w:multiLevelType w:val="hybridMultilevel"/>
    <w:tmpl w:val="E438D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76C3CBA"/>
    <w:multiLevelType w:val="hybridMultilevel"/>
    <w:tmpl w:val="7FB4C0C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D0565CC"/>
    <w:multiLevelType w:val="hybridMultilevel"/>
    <w:tmpl w:val="01A223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2B5DC7"/>
    <w:multiLevelType w:val="hybridMultilevel"/>
    <w:tmpl w:val="B234F3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10E20D9"/>
    <w:multiLevelType w:val="hybridMultilevel"/>
    <w:tmpl w:val="A3DE11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5">
    <w:nsid w:val="74907C0A"/>
    <w:multiLevelType w:val="hybridMultilevel"/>
    <w:tmpl w:val="CB4A9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8B17B96"/>
    <w:multiLevelType w:val="hybridMultilevel"/>
    <w:tmpl w:val="89E22812"/>
    <w:lvl w:ilvl="0">
      <w:start w:val="1"/>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6299384">
    <w:abstractNumId w:val="13"/>
  </w:num>
  <w:num w:numId="2" w16cid:durableId="467169961">
    <w:abstractNumId w:val="7"/>
  </w:num>
  <w:num w:numId="3" w16cid:durableId="933319818">
    <w:abstractNumId w:val="16"/>
  </w:num>
  <w:num w:numId="4" w16cid:durableId="1586720275">
    <w:abstractNumId w:val="11"/>
  </w:num>
  <w:num w:numId="5" w16cid:durableId="1802378762">
    <w:abstractNumId w:val="23"/>
  </w:num>
  <w:num w:numId="6" w16cid:durableId="1771779471">
    <w:abstractNumId w:val="6"/>
  </w:num>
  <w:num w:numId="7" w16cid:durableId="449981860">
    <w:abstractNumId w:val="18"/>
  </w:num>
  <w:num w:numId="8" w16cid:durableId="64568138">
    <w:abstractNumId w:val="17"/>
  </w:num>
  <w:num w:numId="9" w16cid:durableId="1510608025">
    <w:abstractNumId w:val="22"/>
  </w:num>
  <w:num w:numId="10" w16cid:durableId="741566182">
    <w:abstractNumId w:val="5"/>
  </w:num>
  <w:num w:numId="11" w16cid:durableId="1591305515">
    <w:abstractNumId w:val="12"/>
  </w:num>
  <w:num w:numId="12" w16cid:durableId="1622613595">
    <w:abstractNumId w:val="3"/>
  </w:num>
  <w:num w:numId="13" w16cid:durableId="1953391337">
    <w:abstractNumId w:val="19"/>
  </w:num>
  <w:num w:numId="14" w16cid:durableId="1441728467">
    <w:abstractNumId w:val="15"/>
  </w:num>
  <w:num w:numId="15" w16cid:durableId="228466492">
    <w:abstractNumId w:val="1"/>
  </w:num>
  <w:num w:numId="16" w16cid:durableId="49817013">
    <w:abstractNumId w:val="4"/>
  </w:num>
  <w:num w:numId="17" w16cid:durableId="470944179">
    <w:abstractNumId w:val="25"/>
  </w:num>
  <w:num w:numId="18" w16cid:durableId="2036271690">
    <w:abstractNumId w:val="21"/>
  </w:num>
  <w:num w:numId="19" w16cid:durableId="1540164969">
    <w:abstractNumId w:val="20"/>
  </w:num>
  <w:num w:numId="20" w16cid:durableId="901909225">
    <w:abstractNumId w:val="26"/>
  </w:num>
  <w:num w:numId="21" w16cid:durableId="793602233">
    <w:abstractNumId w:val="10"/>
  </w:num>
  <w:num w:numId="22" w16cid:durableId="925922704">
    <w:abstractNumId w:val="0"/>
  </w:num>
  <w:num w:numId="23" w16cid:durableId="1824003303">
    <w:abstractNumId w:val="14"/>
  </w:num>
  <w:num w:numId="24" w16cid:durableId="153840696">
    <w:abstractNumId w:val="8"/>
  </w:num>
  <w:num w:numId="25" w16cid:durableId="857154552">
    <w:abstractNumId w:val="24"/>
  </w:num>
  <w:num w:numId="26" w16cid:durableId="1665931140">
    <w:abstractNumId w:val="9"/>
  </w:num>
  <w:num w:numId="27" w16cid:durableId="1326933321">
    <w:abstractNumId w:val="24"/>
    <w:lvlOverride w:ilvl="0">
      <w:startOverride w:val="1"/>
    </w:lvlOverride>
  </w:num>
  <w:num w:numId="28" w16cid:durableId="1662467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FB"/>
    <w:rsid w:val="00004D26"/>
    <w:rsid w:val="000077CA"/>
    <w:rsid w:val="00007935"/>
    <w:rsid w:val="000107FD"/>
    <w:rsid w:val="00011193"/>
    <w:rsid w:val="00013716"/>
    <w:rsid w:val="00013DBB"/>
    <w:rsid w:val="00013FF2"/>
    <w:rsid w:val="000363B7"/>
    <w:rsid w:val="00037798"/>
    <w:rsid w:val="0004318E"/>
    <w:rsid w:val="000467AB"/>
    <w:rsid w:val="00051D89"/>
    <w:rsid w:val="000552E3"/>
    <w:rsid w:val="00063108"/>
    <w:rsid w:val="00064F08"/>
    <w:rsid w:val="00066A35"/>
    <w:rsid w:val="000731E7"/>
    <w:rsid w:val="000751E1"/>
    <w:rsid w:val="0008037D"/>
    <w:rsid w:val="00083C21"/>
    <w:rsid w:val="00086519"/>
    <w:rsid w:val="000923B1"/>
    <w:rsid w:val="000A3BDF"/>
    <w:rsid w:val="000B00F9"/>
    <w:rsid w:val="000B2F5C"/>
    <w:rsid w:val="000C6224"/>
    <w:rsid w:val="000C7FDB"/>
    <w:rsid w:val="000D2343"/>
    <w:rsid w:val="000E2367"/>
    <w:rsid w:val="000E666B"/>
    <w:rsid w:val="000F2FD0"/>
    <w:rsid w:val="000F7417"/>
    <w:rsid w:val="001076DF"/>
    <w:rsid w:val="00113112"/>
    <w:rsid w:val="0011389C"/>
    <w:rsid w:val="00114AAA"/>
    <w:rsid w:val="001154EF"/>
    <w:rsid w:val="001249E8"/>
    <w:rsid w:val="0013138C"/>
    <w:rsid w:val="00136920"/>
    <w:rsid w:val="001417BF"/>
    <w:rsid w:val="00152DCA"/>
    <w:rsid w:val="0015389E"/>
    <w:rsid w:val="001634D0"/>
    <w:rsid w:val="00170709"/>
    <w:rsid w:val="00171045"/>
    <w:rsid w:val="00173B50"/>
    <w:rsid w:val="00194C5B"/>
    <w:rsid w:val="001B6A15"/>
    <w:rsid w:val="001C2330"/>
    <w:rsid w:val="001C31A4"/>
    <w:rsid w:val="001C6E91"/>
    <w:rsid w:val="001C6FD0"/>
    <w:rsid w:val="001D315F"/>
    <w:rsid w:val="001D7194"/>
    <w:rsid w:val="001E7C71"/>
    <w:rsid w:val="001F3325"/>
    <w:rsid w:val="00204B99"/>
    <w:rsid w:val="00205A64"/>
    <w:rsid w:val="0021092C"/>
    <w:rsid w:val="0021241B"/>
    <w:rsid w:val="00214E0C"/>
    <w:rsid w:val="00223F5F"/>
    <w:rsid w:val="00226710"/>
    <w:rsid w:val="00227492"/>
    <w:rsid w:val="002346B6"/>
    <w:rsid w:val="00234C3B"/>
    <w:rsid w:val="002350DD"/>
    <w:rsid w:val="00237201"/>
    <w:rsid w:val="0023762A"/>
    <w:rsid w:val="00241AB0"/>
    <w:rsid w:val="00242567"/>
    <w:rsid w:val="0025168F"/>
    <w:rsid w:val="00251847"/>
    <w:rsid w:val="00256321"/>
    <w:rsid w:val="00257672"/>
    <w:rsid w:val="00260522"/>
    <w:rsid w:val="00271360"/>
    <w:rsid w:val="00274D4C"/>
    <w:rsid w:val="00276921"/>
    <w:rsid w:val="00276940"/>
    <w:rsid w:val="00280ACE"/>
    <w:rsid w:val="0028643D"/>
    <w:rsid w:val="0029576F"/>
    <w:rsid w:val="002A600A"/>
    <w:rsid w:val="002B1283"/>
    <w:rsid w:val="002B1B71"/>
    <w:rsid w:val="002C0F57"/>
    <w:rsid w:val="002C3FF1"/>
    <w:rsid w:val="002D4BF5"/>
    <w:rsid w:val="002E179D"/>
    <w:rsid w:val="002E2D3E"/>
    <w:rsid w:val="002E4543"/>
    <w:rsid w:val="002F1EEE"/>
    <w:rsid w:val="002F48C9"/>
    <w:rsid w:val="002F677C"/>
    <w:rsid w:val="002F6E2A"/>
    <w:rsid w:val="0030173C"/>
    <w:rsid w:val="0031157B"/>
    <w:rsid w:val="00311BED"/>
    <w:rsid w:val="00322140"/>
    <w:rsid w:val="00326ED9"/>
    <w:rsid w:val="003305D4"/>
    <w:rsid w:val="00332F53"/>
    <w:rsid w:val="00337F17"/>
    <w:rsid w:val="003412FB"/>
    <w:rsid w:val="00341F78"/>
    <w:rsid w:val="00343E5E"/>
    <w:rsid w:val="003448BD"/>
    <w:rsid w:val="00347BE9"/>
    <w:rsid w:val="003508E4"/>
    <w:rsid w:val="00350BB6"/>
    <w:rsid w:val="0035197E"/>
    <w:rsid w:val="0035219E"/>
    <w:rsid w:val="0035258C"/>
    <w:rsid w:val="00354782"/>
    <w:rsid w:val="00355307"/>
    <w:rsid w:val="0037408F"/>
    <w:rsid w:val="00374421"/>
    <w:rsid w:val="003814C6"/>
    <w:rsid w:val="003863EB"/>
    <w:rsid w:val="003911B3"/>
    <w:rsid w:val="0039236B"/>
    <w:rsid w:val="003935D1"/>
    <w:rsid w:val="00397726"/>
    <w:rsid w:val="003A495E"/>
    <w:rsid w:val="003A4DE0"/>
    <w:rsid w:val="003A4DEF"/>
    <w:rsid w:val="003B572C"/>
    <w:rsid w:val="003C0111"/>
    <w:rsid w:val="003E04F0"/>
    <w:rsid w:val="003E1067"/>
    <w:rsid w:val="003E2102"/>
    <w:rsid w:val="003E3564"/>
    <w:rsid w:val="003F4801"/>
    <w:rsid w:val="004035C5"/>
    <w:rsid w:val="00403C66"/>
    <w:rsid w:val="0040461B"/>
    <w:rsid w:val="00410E5B"/>
    <w:rsid w:val="0041214B"/>
    <w:rsid w:val="00412427"/>
    <w:rsid w:val="00414D8B"/>
    <w:rsid w:val="00422A7E"/>
    <w:rsid w:val="0042587D"/>
    <w:rsid w:val="0042685A"/>
    <w:rsid w:val="004342C5"/>
    <w:rsid w:val="004349D4"/>
    <w:rsid w:val="00443E21"/>
    <w:rsid w:val="004445DC"/>
    <w:rsid w:val="0045433F"/>
    <w:rsid w:val="004544FB"/>
    <w:rsid w:val="00456B23"/>
    <w:rsid w:val="00456FF7"/>
    <w:rsid w:val="004675A8"/>
    <w:rsid w:val="00472964"/>
    <w:rsid w:val="00473A96"/>
    <w:rsid w:val="00474A1A"/>
    <w:rsid w:val="00475B9D"/>
    <w:rsid w:val="004810EE"/>
    <w:rsid w:val="004833C8"/>
    <w:rsid w:val="00486AC2"/>
    <w:rsid w:val="004A2574"/>
    <w:rsid w:val="004A7E70"/>
    <w:rsid w:val="004B70A6"/>
    <w:rsid w:val="004B7400"/>
    <w:rsid w:val="004C221E"/>
    <w:rsid w:val="004D3913"/>
    <w:rsid w:val="004D48FF"/>
    <w:rsid w:val="004E2D09"/>
    <w:rsid w:val="004E4E67"/>
    <w:rsid w:val="004F5F80"/>
    <w:rsid w:val="004F6677"/>
    <w:rsid w:val="00501236"/>
    <w:rsid w:val="00504D3B"/>
    <w:rsid w:val="00504E30"/>
    <w:rsid w:val="00505426"/>
    <w:rsid w:val="00516628"/>
    <w:rsid w:val="0053255E"/>
    <w:rsid w:val="005443BB"/>
    <w:rsid w:val="0055388E"/>
    <w:rsid w:val="005545E6"/>
    <w:rsid w:val="00554F24"/>
    <w:rsid w:val="00554F7D"/>
    <w:rsid w:val="00556DE4"/>
    <w:rsid w:val="00560CEA"/>
    <w:rsid w:val="0056479C"/>
    <w:rsid w:val="00566A84"/>
    <w:rsid w:val="00576E63"/>
    <w:rsid w:val="005861FB"/>
    <w:rsid w:val="00586F15"/>
    <w:rsid w:val="005900A2"/>
    <w:rsid w:val="005A3F58"/>
    <w:rsid w:val="005B0E1C"/>
    <w:rsid w:val="005B1EC6"/>
    <w:rsid w:val="005B2317"/>
    <w:rsid w:val="005B63BB"/>
    <w:rsid w:val="005C0C93"/>
    <w:rsid w:val="005C3B49"/>
    <w:rsid w:val="005D134B"/>
    <w:rsid w:val="005D148F"/>
    <w:rsid w:val="005D59B9"/>
    <w:rsid w:val="005D6C9B"/>
    <w:rsid w:val="005E18DD"/>
    <w:rsid w:val="005E415B"/>
    <w:rsid w:val="005E5FC6"/>
    <w:rsid w:val="005F35CB"/>
    <w:rsid w:val="005F4539"/>
    <w:rsid w:val="00620AC0"/>
    <w:rsid w:val="0062212C"/>
    <w:rsid w:val="00625790"/>
    <w:rsid w:val="00631188"/>
    <w:rsid w:val="00631D66"/>
    <w:rsid w:val="00634116"/>
    <w:rsid w:val="00634E93"/>
    <w:rsid w:val="00635782"/>
    <w:rsid w:val="00636490"/>
    <w:rsid w:val="00641F85"/>
    <w:rsid w:val="006426E5"/>
    <w:rsid w:val="00644B30"/>
    <w:rsid w:val="0064537A"/>
    <w:rsid w:val="00647385"/>
    <w:rsid w:val="00650EE6"/>
    <w:rsid w:val="00651822"/>
    <w:rsid w:val="006519A8"/>
    <w:rsid w:val="00653E61"/>
    <w:rsid w:val="00654E41"/>
    <w:rsid w:val="00661EA9"/>
    <w:rsid w:val="0066596D"/>
    <w:rsid w:val="00686AB1"/>
    <w:rsid w:val="00692A2D"/>
    <w:rsid w:val="00692A51"/>
    <w:rsid w:val="006978C4"/>
    <w:rsid w:val="006A06AB"/>
    <w:rsid w:val="006A2998"/>
    <w:rsid w:val="006A3BBE"/>
    <w:rsid w:val="006A5C8A"/>
    <w:rsid w:val="006A73C8"/>
    <w:rsid w:val="006B4B9F"/>
    <w:rsid w:val="006C173B"/>
    <w:rsid w:val="006C18ED"/>
    <w:rsid w:val="006C506E"/>
    <w:rsid w:val="006C5F51"/>
    <w:rsid w:val="006D0051"/>
    <w:rsid w:val="006D5EE4"/>
    <w:rsid w:val="006E21B5"/>
    <w:rsid w:val="006E45CC"/>
    <w:rsid w:val="006E4BD5"/>
    <w:rsid w:val="006F0F41"/>
    <w:rsid w:val="006F31B0"/>
    <w:rsid w:val="006F3606"/>
    <w:rsid w:val="006F4E01"/>
    <w:rsid w:val="0070025C"/>
    <w:rsid w:val="00703540"/>
    <w:rsid w:val="00703FE5"/>
    <w:rsid w:val="00706FE2"/>
    <w:rsid w:val="00706FFD"/>
    <w:rsid w:val="00707400"/>
    <w:rsid w:val="00714C4F"/>
    <w:rsid w:val="00723E13"/>
    <w:rsid w:val="00731349"/>
    <w:rsid w:val="0073390F"/>
    <w:rsid w:val="00736C9C"/>
    <w:rsid w:val="00740961"/>
    <w:rsid w:val="0074323C"/>
    <w:rsid w:val="00745278"/>
    <w:rsid w:val="00745553"/>
    <w:rsid w:val="00750832"/>
    <w:rsid w:val="00751903"/>
    <w:rsid w:val="0075660E"/>
    <w:rsid w:val="007756C9"/>
    <w:rsid w:val="00775BCE"/>
    <w:rsid w:val="00785AB6"/>
    <w:rsid w:val="007A0D24"/>
    <w:rsid w:val="007A281E"/>
    <w:rsid w:val="007A3E48"/>
    <w:rsid w:val="007B2B8F"/>
    <w:rsid w:val="007B32EE"/>
    <w:rsid w:val="007B621C"/>
    <w:rsid w:val="007C0453"/>
    <w:rsid w:val="007C517A"/>
    <w:rsid w:val="007D26ED"/>
    <w:rsid w:val="007D33C4"/>
    <w:rsid w:val="007D39E7"/>
    <w:rsid w:val="007D4137"/>
    <w:rsid w:val="007D436D"/>
    <w:rsid w:val="007E34CD"/>
    <w:rsid w:val="007E4D32"/>
    <w:rsid w:val="007F08CE"/>
    <w:rsid w:val="007F78B3"/>
    <w:rsid w:val="00807F5F"/>
    <w:rsid w:val="0081106D"/>
    <w:rsid w:val="00811527"/>
    <w:rsid w:val="00821FAC"/>
    <w:rsid w:val="00830F29"/>
    <w:rsid w:val="00841CC6"/>
    <w:rsid w:val="00846F75"/>
    <w:rsid w:val="0085141C"/>
    <w:rsid w:val="00864DA9"/>
    <w:rsid w:val="00865EA3"/>
    <w:rsid w:val="00875920"/>
    <w:rsid w:val="0087638C"/>
    <w:rsid w:val="00877890"/>
    <w:rsid w:val="008858A3"/>
    <w:rsid w:val="0089024D"/>
    <w:rsid w:val="008931D4"/>
    <w:rsid w:val="00893D20"/>
    <w:rsid w:val="008948CA"/>
    <w:rsid w:val="00896FB1"/>
    <w:rsid w:val="008A2250"/>
    <w:rsid w:val="008A6C24"/>
    <w:rsid w:val="008A754F"/>
    <w:rsid w:val="008A7952"/>
    <w:rsid w:val="008B1059"/>
    <w:rsid w:val="008B1598"/>
    <w:rsid w:val="008B3AD3"/>
    <w:rsid w:val="008B540B"/>
    <w:rsid w:val="008B5766"/>
    <w:rsid w:val="008C40D8"/>
    <w:rsid w:val="008C7D8A"/>
    <w:rsid w:val="008D0C53"/>
    <w:rsid w:val="008D2AF7"/>
    <w:rsid w:val="008D6CCC"/>
    <w:rsid w:val="008E053F"/>
    <w:rsid w:val="008F1CEC"/>
    <w:rsid w:val="008F28DF"/>
    <w:rsid w:val="008F6013"/>
    <w:rsid w:val="008F6DBA"/>
    <w:rsid w:val="00900004"/>
    <w:rsid w:val="00901C5F"/>
    <w:rsid w:val="00903FB4"/>
    <w:rsid w:val="009050A6"/>
    <w:rsid w:val="00913579"/>
    <w:rsid w:val="00916749"/>
    <w:rsid w:val="00916E96"/>
    <w:rsid w:val="00917BB3"/>
    <w:rsid w:val="00920FD3"/>
    <w:rsid w:val="00923E3E"/>
    <w:rsid w:val="00930FD0"/>
    <w:rsid w:val="00936914"/>
    <w:rsid w:val="0094186B"/>
    <w:rsid w:val="00943EB9"/>
    <w:rsid w:val="00945435"/>
    <w:rsid w:val="00951221"/>
    <w:rsid w:val="00962EBC"/>
    <w:rsid w:val="009638B0"/>
    <w:rsid w:val="00970D37"/>
    <w:rsid w:val="00976513"/>
    <w:rsid w:val="0097684C"/>
    <w:rsid w:val="00983086"/>
    <w:rsid w:val="009865A9"/>
    <w:rsid w:val="009916B7"/>
    <w:rsid w:val="009922A5"/>
    <w:rsid w:val="0099381A"/>
    <w:rsid w:val="009A12A5"/>
    <w:rsid w:val="009A1381"/>
    <w:rsid w:val="009C2FDA"/>
    <w:rsid w:val="009C3C67"/>
    <w:rsid w:val="009C6476"/>
    <w:rsid w:val="009C728E"/>
    <w:rsid w:val="009D2B73"/>
    <w:rsid w:val="009D4E48"/>
    <w:rsid w:val="009E34A1"/>
    <w:rsid w:val="009F1099"/>
    <w:rsid w:val="009F169B"/>
    <w:rsid w:val="009F7DE2"/>
    <w:rsid w:val="00A02CB2"/>
    <w:rsid w:val="00A10367"/>
    <w:rsid w:val="00A10F8B"/>
    <w:rsid w:val="00A11BE8"/>
    <w:rsid w:val="00A138D4"/>
    <w:rsid w:val="00A15F22"/>
    <w:rsid w:val="00A17AD9"/>
    <w:rsid w:val="00A20ABE"/>
    <w:rsid w:val="00A2425C"/>
    <w:rsid w:val="00A25CB8"/>
    <w:rsid w:val="00A35EEC"/>
    <w:rsid w:val="00A3710B"/>
    <w:rsid w:val="00A37B41"/>
    <w:rsid w:val="00A41FF1"/>
    <w:rsid w:val="00A4391D"/>
    <w:rsid w:val="00A5466E"/>
    <w:rsid w:val="00A64D9F"/>
    <w:rsid w:val="00A65EA8"/>
    <w:rsid w:val="00A660AE"/>
    <w:rsid w:val="00A67081"/>
    <w:rsid w:val="00A7063A"/>
    <w:rsid w:val="00A72E5F"/>
    <w:rsid w:val="00A832FC"/>
    <w:rsid w:val="00A84F7E"/>
    <w:rsid w:val="00A91AE5"/>
    <w:rsid w:val="00AA3E2B"/>
    <w:rsid w:val="00AA605B"/>
    <w:rsid w:val="00AB22E8"/>
    <w:rsid w:val="00AB3E24"/>
    <w:rsid w:val="00AB583B"/>
    <w:rsid w:val="00AB5B0E"/>
    <w:rsid w:val="00AC21B1"/>
    <w:rsid w:val="00AC74F3"/>
    <w:rsid w:val="00AE0DC2"/>
    <w:rsid w:val="00AE2B19"/>
    <w:rsid w:val="00AE64E0"/>
    <w:rsid w:val="00AE681C"/>
    <w:rsid w:val="00AF00B7"/>
    <w:rsid w:val="00AF136E"/>
    <w:rsid w:val="00B04806"/>
    <w:rsid w:val="00B06A92"/>
    <w:rsid w:val="00B154F7"/>
    <w:rsid w:val="00B15FE2"/>
    <w:rsid w:val="00B17FE6"/>
    <w:rsid w:val="00B34657"/>
    <w:rsid w:val="00B34E1C"/>
    <w:rsid w:val="00B35D41"/>
    <w:rsid w:val="00B41C20"/>
    <w:rsid w:val="00B50225"/>
    <w:rsid w:val="00B51945"/>
    <w:rsid w:val="00B52A35"/>
    <w:rsid w:val="00B53380"/>
    <w:rsid w:val="00B5691D"/>
    <w:rsid w:val="00B648E1"/>
    <w:rsid w:val="00B65914"/>
    <w:rsid w:val="00B65D85"/>
    <w:rsid w:val="00B6669E"/>
    <w:rsid w:val="00B73C4B"/>
    <w:rsid w:val="00B74C8C"/>
    <w:rsid w:val="00B750ED"/>
    <w:rsid w:val="00B77989"/>
    <w:rsid w:val="00B827CC"/>
    <w:rsid w:val="00B82D36"/>
    <w:rsid w:val="00B938CF"/>
    <w:rsid w:val="00BA0342"/>
    <w:rsid w:val="00BB0285"/>
    <w:rsid w:val="00BB2D12"/>
    <w:rsid w:val="00BB395A"/>
    <w:rsid w:val="00BB4BE5"/>
    <w:rsid w:val="00BC03E0"/>
    <w:rsid w:val="00BC0841"/>
    <w:rsid w:val="00BC36A9"/>
    <w:rsid w:val="00BD3E2D"/>
    <w:rsid w:val="00BF1C23"/>
    <w:rsid w:val="00BF1F08"/>
    <w:rsid w:val="00BF609E"/>
    <w:rsid w:val="00C010F7"/>
    <w:rsid w:val="00C10205"/>
    <w:rsid w:val="00C11539"/>
    <w:rsid w:val="00C1227B"/>
    <w:rsid w:val="00C139B4"/>
    <w:rsid w:val="00C13CC1"/>
    <w:rsid w:val="00C16EFE"/>
    <w:rsid w:val="00C201E2"/>
    <w:rsid w:val="00C2617E"/>
    <w:rsid w:val="00C3771F"/>
    <w:rsid w:val="00C43FB2"/>
    <w:rsid w:val="00C4649B"/>
    <w:rsid w:val="00C527E6"/>
    <w:rsid w:val="00C53E8D"/>
    <w:rsid w:val="00C54EBC"/>
    <w:rsid w:val="00C56636"/>
    <w:rsid w:val="00C669C7"/>
    <w:rsid w:val="00C678BF"/>
    <w:rsid w:val="00C7494E"/>
    <w:rsid w:val="00C826FB"/>
    <w:rsid w:val="00C848F7"/>
    <w:rsid w:val="00C85469"/>
    <w:rsid w:val="00C9392A"/>
    <w:rsid w:val="00C953D0"/>
    <w:rsid w:val="00C96EBF"/>
    <w:rsid w:val="00CA26E1"/>
    <w:rsid w:val="00CA2844"/>
    <w:rsid w:val="00CA62D6"/>
    <w:rsid w:val="00CB1789"/>
    <w:rsid w:val="00CB292F"/>
    <w:rsid w:val="00CB4ECB"/>
    <w:rsid w:val="00CC520A"/>
    <w:rsid w:val="00CD21A7"/>
    <w:rsid w:val="00CD2809"/>
    <w:rsid w:val="00CD473B"/>
    <w:rsid w:val="00CD6A30"/>
    <w:rsid w:val="00CF3417"/>
    <w:rsid w:val="00CF4526"/>
    <w:rsid w:val="00CF7782"/>
    <w:rsid w:val="00CF78A3"/>
    <w:rsid w:val="00D02320"/>
    <w:rsid w:val="00D04370"/>
    <w:rsid w:val="00D1500A"/>
    <w:rsid w:val="00D15650"/>
    <w:rsid w:val="00D23859"/>
    <w:rsid w:val="00D31E02"/>
    <w:rsid w:val="00D3244C"/>
    <w:rsid w:val="00D5335A"/>
    <w:rsid w:val="00D70FB1"/>
    <w:rsid w:val="00D82B07"/>
    <w:rsid w:val="00D858E3"/>
    <w:rsid w:val="00D87827"/>
    <w:rsid w:val="00D90910"/>
    <w:rsid w:val="00D911BC"/>
    <w:rsid w:val="00D915BF"/>
    <w:rsid w:val="00D91BA3"/>
    <w:rsid w:val="00DA2EDA"/>
    <w:rsid w:val="00DA4F14"/>
    <w:rsid w:val="00DB2313"/>
    <w:rsid w:val="00DB2D7D"/>
    <w:rsid w:val="00DB2F5E"/>
    <w:rsid w:val="00DB46B7"/>
    <w:rsid w:val="00DC2C94"/>
    <w:rsid w:val="00DC4D3A"/>
    <w:rsid w:val="00DC6626"/>
    <w:rsid w:val="00DE263A"/>
    <w:rsid w:val="00DE3DF8"/>
    <w:rsid w:val="00DE792E"/>
    <w:rsid w:val="00DE7E6D"/>
    <w:rsid w:val="00DF5DA7"/>
    <w:rsid w:val="00DF69D0"/>
    <w:rsid w:val="00E03908"/>
    <w:rsid w:val="00E04AA7"/>
    <w:rsid w:val="00E1200C"/>
    <w:rsid w:val="00E244ED"/>
    <w:rsid w:val="00E340FB"/>
    <w:rsid w:val="00E4265C"/>
    <w:rsid w:val="00E453C0"/>
    <w:rsid w:val="00E50D32"/>
    <w:rsid w:val="00E54C7F"/>
    <w:rsid w:val="00E64280"/>
    <w:rsid w:val="00E64894"/>
    <w:rsid w:val="00E72A5E"/>
    <w:rsid w:val="00E77150"/>
    <w:rsid w:val="00E81E6C"/>
    <w:rsid w:val="00E93C25"/>
    <w:rsid w:val="00E94FC4"/>
    <w:rsid w:val="00E96A87"/>
    <w:rsid w:val="00EA1BEF"/>
    <w:rsid w:val="00EA6733"/>
    <w:rsid w:val="00EB1B9B"/>
    <w:rsid w:val="00EB1EFC"/>
    <w:rsid w:val="00EB41B4"/>
    <w:rsid w:val="00EB47D9"/>
    <w:rsid w:val="00EB4F20"/>
    <w:rsid w:val="00EC159F"/>
    <w:rsid w:val="00EC6A48"/>
    <w:rsid w:val="00EE0F7D"/>
    <w:rsid w:val="00EE22D8"/>
    <w:rsid w:val="00F07A66"/>
    <w:rsid w:val="00F11F64"/>
    <w:rsid w:val="00F21CE9"/>
    <w:rsid w:val="00F22754"/>
    <w:rsid w:val="00F26639"/>
    <w:rsid w:val="00F27109"/>
    <w:rsid w:val="00F346D6"/>
    <w:rsid w:val="00F350DC"/>
    <w:rsid w:val="00F4041B"/>
    <w:rsid w:val="00F45897"/>
    <w:rsid w:val="00F478A2"/>
    <w:rsid w:val="00F50669"/>
    <w:rsid w:val="00F64020"/>
    <w:rsid w:val="00F64F74"/>
    <w:rsid w:val="00F72393"/>
    <w:rsid w:val="00F73847"/>
    <w:rsid w:val="00F75E59"/>
    <w:rsid w:val="00F80501"/>
    <w:rsid w:val="00F8346E"/>
    <w:rsid w:val="00F85736"/>
    <w:rsid w:val="00F903F3"/>
    <w:rsid w:val="00F97145"/>
    <w:rsid w:val="00FA30CE"/>
    <w:rsid w:val="00FA3BF7"/>
    <w:rsid w:val="00FA5422"/>
    <w:rsid w:val="00FB0D59"/>
    <w:rsid w:val="00FB2107"/>
    <w:rsid w:val="00FB3DC2"/>
    <w:rsid w:val="00FB6B27"/>
    <w:rsid w:val="00FC44E8"/>
    <w:rsid w:val="00FD4B88"/>
    <w:rsid w:val="00FF0EBC"/>
    <w:rsid w:val="00FF124F"/>
    <w:rsid w:val="00FF2896"/>
    <w:rsid w:val="00FF75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9E752E"/>
  <w15:chartTrackingRefBased/>
  <w15:docId w15:val="{5DF7E601-5FFB-4F17-AB78-2B180E76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726F9E"/>
    <w:pPr>
      <w:keepNext/>
      <w:spacing w:before="240" w:after="60"/>
      <w:outlineLvl w:val="0"/>
    </w:pPr>
    <w:rPr>
      <w:rFonts w:ascii="Arial" w:hAnsi="Arial" w:cs="Arial"/>
      <w:b/>
      <w:bCs/>
      <w:kern w:val="32"/>
      <w:sz w:val="32"/>
      <w:szCs w:val="32"/>
    </w:rPr>
  </w:style>
  <w:style w:type="paragraph" w:styleId="Heading2">
    <w:name w:val="heading 2"/>
    <w:aliases w:val="1.1 heading"/>
    <w:basedOn w:val="Normal"/>
    <w:next w:val="Normal"/>
    <w:autoRedefine/>
    <w:qFormat/>
    <w:rsid w:val="000341AD"/>
    <w:pPr>
      <w:keepNext/>
      <w:widowControl w:val="0"/>
      <w:numPr>
        <w:ilvl w:val="1"/>
        <w:numId w:val="2"/>
      </w:numPr>
      <w:spacing w:after="220"/>
      <w:outlineLvl w:val="1"/>
    </w:pPr>
    <w:rPr>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1">
    <w:name w:val="1 Heading 1"/>
    <w:basedOn w:val="Heading1"/>
    <w:next w:val="BodyText"/>
    <w:rsid w:val="00726F9E"/>
    <w:pPr>
      <w:pageBreakBefore/>
      <w:numPr>
        <w:numId w:val="1"/>
      </w:numPr>
      <w:pBdr>
        <w:top w:val="single" w:sz="6" w:space="1" w:color="auto"/>
        <w:bottom w:val="single" w:sz="6" w:space="1" w:color="auto"/>
      </w:pBdr>
      <w:shd w:val="solid" w:color="auto" w:fill="auto"/>
      <w:spacing w:before="0" w:after="240"/>
    </w:pPr>
    <w:rPr>
      <w:rFonts w:ascii="Arial Black" w:hAnsi="Arial Black" w:cs="Times New Roman"/>
      <w:b w:val="0"/>
      <w:bCs w:val="0"/>
      <w:color w:val="FFFFFF"/>
      <w:kern w:val="0"/>
      <w:sz w:val="24"/>
      <w:szCs w:val="20"/>
    </w:rPr>
  </w:style>
  <w:style w:type="paragraph" w:styleId="BodyText">
    <w:name w:val="Body Text"/>
    <w:basedOn w:val="Normal"/>
    <w:rsid w:val="00726F9E"/>
    <w:pPr>
      <w:spacing w:after="120"/>
    </w:pPr>
  </w:style>
  <w:style w:type="paragraph" w:styleId="Footer">
    <w:name w:val="footer"/>
    <w:basedOn w:val="Normal"/>
    <w:link w:val="FooterChar"/>
    <w:uiPriority w:val="99"/>
    <w:rsid w:val="005756AF"/>
    <w:pPr>
      <w:tabs>
        <w:tab w:val="center" w:pos="4320"/>
        <w:tab w:val="right" w:pos="8640"/>
      </w:tabs>
    </w:pPr>
  </w:style>
  <w:style w:type="character" w:styleId="PageNumber">
    <w:name w:val="page number"/>
    <w:basedOn w:val="DefaultParagraphFont"/>
    <w:rsid w:val="005756AF"/>
  </w:style>
  <w:style w:type="paragraph" w:styleId="Header">
    <w:name w:val="header"/>
    <w:basedOn w:val="Normal"/>
    <w:rsid w:val="001D7120"/>
    <w:pPr>
      <w:tabs>
        <w:tab w:val="center" w:pos="4320"/>
        <w:tab w:val="right" w:pos="8640"/>
      </w:tabs>
    </w:pPr>
  </w:style>
  <w:style w:type="paragraph" w:styleId="BalloonText">
    <w:name w:val="Balloon Text"/>
    <w:basedOn w:val="Normal"/>
    <w:semiHidden/>
    <w:rsid w:val="0040162A"/>
    <w:rPr>
      <w:rFonts w:ascii="Tahoma" w:hAnsi="Tahoma" w:cs="Tahoma"/>
      <w:sz w:val="16"/>
      <w:szCs w:val="16"/>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rsid w:val="00B57440"/>
    <w:rPr>
      <w:sz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B57440"/>
    <w:rPr>
      <w:vertAlign w:val="superscript"/>
    </w:rPr>
  </w:style>
  <w:style w:type="character" w:customStyle="1" w:styleId="documentbody">
    <w:name w:val="documentbody"/>
    <w:basedOn w:val="DefaultParagraphFont"/>
    <w:rsid w:val="007A508F"/>
  </w:style>
  <w:style w:type="character" w:customStyle="1" w:styleId="searchterm">
    <w:name w:val="searchterm"/>
    <w:basedOn w:val="DefaultParagraphFont"/>
    <w:rsid w:val="007A508F"/>
  </w:style>
  <w:style w:type="paragraph" w:styleId="BodyText2">
    <w:name w:val="Body Text 2"/>
    <w:basedOn w:val="Normal"/>
    <w:link w:val="BodyText2Char"/>
    <w:rsid w:val="0043129E"/>
    <w:pPr>
      <w:widowControl w:val="0"/>
      <w:snapToGrid w:val="0"/>
      <w:spacing w:after="120" w:line="480" w:lineRule="auto"/>
    </w:pPr>
    <w:rPr>
      <w:rFonts w:ascii="CG Omega" w:hAnsi="CG Omega"/>
      <w:sz w:val="16"/>
    </w:rPr>
  </w:style>
  <w:style w:type="character" w:customStyle="1" w:styleId="BodyText2Char">
    <w:name w:val="Body Text 2 Char"/>
    <w:link w:val="BodyText2"/>
    <w:rsid w:val="0043129E"/>
    <w:rPr>
      <w:rFonts w:ascii="CG Omega" w:hAnsi="CG Omega"/>
      <w:sz w:val="16"/>
    </w:rPr>
  </w:style>
  <w:style w:type="character" w:customStyle="1" w:styleId="FootnoteTextChar1">
    <w:name w:val="Footnote Text Char1"/>
    <w:aliases w:val="Footnote Text Char Char,Footnote Text Char Char Char Char1 Char,Footnote Text Char Char Char Char1 Char1 Char Char,Footnote Text Char Char1 Char Char,Footnote Text Char1 Char Char,Footnote Text Char1 Char Char1 Char1 Char Char"/>
    <w:basedOn w:val="DefaultParagraphFont"/>
    <w:link w:val="FootnoteText"/>
    <w:rsid w:val="0043129E"/>
  </w:style>
  <w:style w:type="paragraph" w:styleId="DocumentMap">
    <w:name w:val="Document Map"/>
    <w:basedOn w:val="Normal"/>
    <w:link w:val="DocumentMapChar"/>
    <w:rsid w:val="007425BC"/>
    <w:rPr>
      <w:rFonts w:ascii="Lucida Grande" w:hAnsi="Lucida Grande"/>
      <w:szCs w:val="24"/>
    </w:rPr>
  </w:style>
  <w:style w:type="character" w:customStyle="1" w:styleId="DocumentMapChar">
    <w:name w:val="Document Map Char"/>
    <w:link w:val="DocumentMap"/>
    <w:rsid w:val="007425BC"/>
    <w:rPr>
      <w:rFonts w:ascii="Lucida Grande" w:hAnsi="Lucida Grande"/>
      <w:sz w:val="24"/>
      <w:szCs w:val="24"/>
    </w:rPr>
  </w:style>
  <w:style w:type="paragraph" w:customStyle="1" w:styleId="Default">
    <w:name w:val="Default"/>
    <w:rsid w:val="0099381A"/>
    <w:pPr>
      <w:autoSpaceDE w:val="0"/>
      <w:autoSpaceDN w:val="0"/>
      <w:adjustRightInd w:val="0"/>
    </w:pPr>
    <w:rPr>
      <w:color w:val="000000"/>
      <w:sz w:val="24"/>
      <w:szCs w:val="24"/>
    </w:rPr>
  </w:style>
  <w:style w:type="character" w:styleId="CommentReference">
    <w:name w:val="annotation reference"/>
    <w:rsid w:val="00B5691D"/>
    <w:rPr>
      <w:sz w:val="16"/>
      <w:szCs w:val="16"/>
    </w:rPr>
  </w:style>
  <w:style w:type="paragraph" w:styleId="CommentText">
    <w:name w:val="annotation text"/>
    <w:basedOn w:val="Normal"/>
    <w:link w:val="CommentTextChar"/>
    <w:rsid w:val="00B5691D"/>
    <w:rPr>
      <w:sz w:val="20"/>
    </w:rPr>
  </w:style>
  <w:style w:type="character" w:customStyle="1" w:styleId="CommentTextChar">
    <w:name w:val="Comment Text Char"/>
    <w:basedOn w:val="DefaultParagraphFont"/>
    <w:link w:val="CommentText"/>
    <w:rsid w:val="00B5691D"/>
  </w:style>
  <w:style w:type="paragraph" w:styleId="CommentSubject">
    <w:name w:val="annotation subject"/>
    <w:basedOn w:val="CommentText"/>
    <w:next w:val="CommentText"/>
    <w:link w:val="CommentSubjectChar"/>
    <w:rsid w:val="00B5691D"/>
    <w:rPr>
      <w:b/>
      <w:bCs/>
    </w:rPr>
  </w:style>
  <w:style w:type="character" w:customStyle="1" w:styleId="CommentSubjectChar">
    <w:name w:val="Comment Subject Char"/>
    <w:link w:val="CommentSubject"/>
    <w:rsid w:val="00B5691D"/>
    <w:rPr>
      <w:b/>
      <w:bCs/>
    </w:rPr>
  </w:style>
  <w:style w:type="paragraph" w:styleId="ListParagraph">
    <w:name w:val="List Paragraph"/>
    <w:basedOn w:val="Normal"/>
    <w:uiPriority w:val="34"/>
    <w:qFormat/>
    <w:rsid w:val="000552E3"/>
    <w:pPr>
      <w:ind w:left="720"/>
    </w:pPr>
  </w:style>
  <w:style w:type="paragraph" w:customStyle="1" w:styleId="ParaNum">
    <w:name w:val="ParaNum"/>
    <w:basedOn w:val="Normal"/>
    <w:link w:val="ParaNumChar1"/>
    <w:rsid w:val="00923E3E"/>
    <w:pPr>
      <w:widowControl w:val="0"/>
      <w:numPr>
        <w:numId w:val="25"/>
      </w:numPr>
      <w:tabs>
        <w:tab w:val="clear" w:pos="1080"/>
        <w:tab w:val="num" w:pos="1440"/>
      </w:tabs>
      <w:spacing w:after="120"/>
    </w:pPr>
    <w:rPr>
      <w:snapToGrid w:val="0"/>
      <w:kern w:val="28"/>
      <w:sz w:val="22"/>
    </w:rPr>
  </w:style>
  <w:style w:type="character" w:customStyle="1" w:styleId="EquationCaption">
    <w:name w:val="_Equation Caption"/>
    <w:rsid w:val="00923E3E"/>
  </w:style>
  <w:style w:type="character" w:customStyle="1" w:styleId="ParaNumChar1">
    <w:name w:val="ParaNum Char1"/>
    <w:link w:val="ParaNum"/>
    <w:locked/>
    <w:rsid w:val="00923E3E"/>
    <w:rPr>
      <w:snapToGrid w:val="0"/>
      <w:kern w:val="28"/>
      <w:sz w:val="22"/>
    </w:rPr>
  </w:style>
  <w:style w:type="paragraph" w:styleId="Revision">
    <w:name w:val="Revision"/>
    <w:hidden/>
    <w:uiPriority w:val="99"/>
    <w:semiHidden/>
    <w:rsid w:val="00A72E5F"/>
    <w:rPr>
      <w:sz w:val="24"/>
    </w:rPr>
  </w:style>
  <w:style w:type="character" w:customStyle="1" w:styleId="FooterChar">
    <w:name w:val="Footer Char"/>
    <w:link w:val="Footer"/>
    <w:uiPriority w:val="99"/>
    <w:rsid w:val="00083C21"/>
    <w:rPr>
      <w:sz w:val="24"/>
    </w:rPr>
  </w:style>
  <w:style w:type="paragraph" w:customStyle="1" w:styleId="indent-2">
    <w:name w:val="indent-2"/>
    <w:basedOn w:val="Normal"/>
    <w:rsid w:val="00083C21"/>
    <w:pPr>
      <w:spacing w:before="100" w:beforeAutospacing="1" w:after="100" w:afterAutospacing="1"/>
    </w:pPr>
    <w:rPr>
      <w:szCs w:val="24"/>
    </w:rPr>
  </w:style>
  <w:style w:type="character" w:customStyle="1" w:styleId="cf01">
    <w:name w:val="cf01"/>
    <w:basedOn w:val="DefaultParagraphFont"/>
    <w:rsid w:val="008C7D8A"/>
    <w:rPr>
      <w:rFonts w:ascii="Segoe UI" w:hAnsi="Segoe UI" w:cs="Segoe UI" w:hint="default"/>
      <w:sz w:val="18"/>
      <w:szCs w:val="18"/>
    </w:rPr>
  </w:style>
  <w:style w:type="character" w:customStyle="1" w:styleId="cf11">
    <w:name w:val="cf11"/>
    <w:basedOn w:val="DefaultParagraphFont"/>
    <w:rsid w:val="008C7D8A"/>
    <w:rPr>
      <w:rFonts w:ascii="Segoe UI" w:hAnsi="Segoe UI" w:cs="Segoe UI" w:hint="default"/>
      <w:color w:val="0000FF"/>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3CDD8-FE7B-444D-980E-CE7E0D07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4128</Words>
  <Characters>23532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OMB 3060-XXXX</vt:lpstr>
    </vt:vector>
  </TitlesOfParts>
  <Company>Federal Communications Commission</Company>
  <LinksUpToDate>false</LinksUpToDate>
  <CharactersWithSpaces>27605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3060-XXXX</dc:title>
  <dc:creator>agallaghe</dc:creator>
  <cp:lastModifiedBy>Cathy Williams</cp:lastModifiedBy>
  <cp:revision>3</cp:revision>
  <cp:lastPrinted>2024-11-05T13:32:00Z</cp:lastPrinted>
  <dcterms:created xsi:type="dcterms:W3CDTF">2024-11-21T15:55:00Z</dcterms:created>
  <dcterms:modified xsi:type="dcterms:W3CDTF">2025-02-13T22:44:00Z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oFAAohepTGvwTLjuA/fHBBkqI/aWkHINF6paX14p0MUzpNXXQpObbrcHey1IqM5up+uDCm44x92QunN8
hPsijCEzsj394E06cKK84EZGmvWM0lz3leUDCU4j49BCpKxSNpSNFto2gv03JwkLJaCBoMXQCQaw
mqQOrjqZnyRP3F8jNfjZOiWgKP45NZDY+29TBb8wWwsFIr/SXKAALh9G48vhnjp8c7EV8eSaht4l
Y/OiCKiqHEtjWMSWB</vt:lpwstr>
  </property>
  <property fmtid="{D5CDD505-2E9C-101B-9397-08002B2CF9AE}" pid="4" name="MAIL_MSG_ID2">
    <vt:lpwstr>49woew+kAbDNz8DzDwZSwly6qQMh/U6iD+vtQv+2EjbRWOKyi7yHpFhH8B3
Z3Xz3+fvdgn0AVGbYMjBBHIu4dDt3WK+3TMrlu+VAArVDeOg</vt:lpwstr>
  </property>
  <property fmtid="{D5CDD505-2E9C-101B-9397-08002B2CF9AE}" pid="5" name="RESPONSE_SENDER_NAME">
    <vt:lpwstr>sAAA4E8dREqJqIrNfikMwKEkqq7B/pa+gbg17LjNITE/EWw=</vt:lpwstr>
  </property>
</Properties>
</file>