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7F03" w:rsidR="0003313F" w:rsidP="0003313F" w:rsidRDefault="00B83573" w14:paraId="51A85A9F" w14:textId="77777777">
      <w:pPr>
        <w:jc w:val="center"/>
        <w:rPr>
          <w:i/>
          <w:iCs/>
          <w:sz w:val="24"/>
        </w:rPr>
      </w:pPr>
      <w:r w:rsidRPr="00CB7F03">
        <w:rPr>
          <w:b/>
          <w:i/>
          <w:iCs/>
          <w:sz w:val="24"/>
        </w:rPr>
        <w:t xml:space="preserve">SUPPORTING STATEMENT:  </w:t>
      </w:r>
      <w:r w:rsidRPr="00CB7F03">
        <w:rPr>
          <w:i/>
          <w:iCs/>
          <w:sz w:val="24"/>
        </w:rPr>
        <w:t>PART A</w:t>
      </w:r>
    </w:p>
    <w:p w:rsidRPr="00CB7F03" w:rsidR="00B83573" w:rsidP="0003313F" w:rsidRDefault="00B83573" w14:paraId="42A9728F" w14:textId="77777777">
      <w:pPr>
        <w:jc w:val="center"/>
        <w:rPr>
          <w:i/>
          <w:iCs/>
          <w:sz w:val="24"/>
        </w:rPr>
      </w:pPr>
    </w:p>
    <w:p w:rsidR="00B83573" w:rsidP="0003313F" w:rsidRDefault="00B83573" w14:paraId="799CA7E5" w14:textId="77777777">
      <w:pPr>
        <w:jc w:val="center"/>
        <w:rPr>
          <w:i/>
          <w:iCs/>
          <w:sz w:val="24"/>
        </w:rPr>
      </w:pPr>
    </w:p>
    <w:p w:rsidR="00E61792" w:rsidP="0003313F" w:rsidRDefault="00E61792" w14:paraId="09E1F521" w14:textId="77777777">
      <w:pPr>
        <w:jc w:val="center"/>
        <w:rPr>
          <w:i/>
          <w:iCs/>
          <w:sz w:val="24"/>
        </w:rPr>
      </w:pPr>
    </w:p>
    <w:p w:rsidR="00E61792" w:rsidP="0003313F" w:rsidRDefault="00E61792" w14:paraId="3C85AD0F" w14:textId="77777777">
      <w:pPr>
        <w:jc w:val="center"/>
        <w:rPr>
          <w:i/>
          <w:iCs/>
          <w:sz w:val="24"/>
        </w:rPr>
      </w:pPr>
    </w:p>
    <w:p w:rsidR="00E61792" w:rsidP="0003313F" w:rsidRDefault="00E61792" w14:paraId="6F4CE985" w14:textId="77777777">
      <w:pPr>
        <w:jc w:val="center"/>
        <w:rPr>
          <w:i/>
          <w:iCs/>
          <w:sz w:val="24"/>
        </w:rPr>
      </w:pPr>
    </w:p>
    <w:p w:rsidR="00E61792" w:rsidP="0003313F" w:rsidRDefault="00E61792" w14:paraId="74A781AF" w14:textId="77777777">
      <w:pPr>
        <w:jc w:val="center"/>
        <w:rPr>
          <w:i/>
          <w:iCs/>
          <w:sz w:val="24"/>
        </w:rPr>
      </w:pPr>
    </w:p>
    <w:p w:rsidRPr="00CB7F03" w:rsidR="00E61792" w:rsidP="0003313F" w:rsidRDefault="00E61792" w14:paraId="592705D7" w14:textId="77777777">
      <w:pPr>
        <w:jc w:val="center"/>
        <w:rPr>
          <w:i/>
          <w:iCs/>
          <w:sz w:val="24"/>
        </w:rPr>
      </w:pPr>
    </w:p>
    <w:p w:rsidRPr="00CB7F03" w:rsidR="00B83573" w:rsidP="00B83573" w:rsidRDefault="00B83573" w14:paraId="4917FF44" w14:textId="77777777">
      <w:pPr>
        <w:jc w:val="center"/>
        <w:rPr>
          <w:b/>
          <w:bCs/>
          <w:sz w:val="24"/>
        </w:rPr>
      </w:pPr>
      <w:r w:rsidRPr="00CB7F03">
        <w:rPr>
          <w:b/>
          <w:bCs/>
          <w:sz w:val="24"/>
        </w:rPr>
        <w:t>The National Violent Death Reporting System</w:t>
      </w:r>
    </w:p>
    <w:p w:rsidRPr="00CB7F03" w:rsidR="00B83573" w:rsidP="0003313F" w:rsidRDefault="00B83573" w14:paraId="38A8BEB4" w14:textId="77777777">
      <w:pPr>
        <w:jc w:val="center"/>
        <w:rPr>
          <w:sz w:val="24"/>
        </w:rPr>
      </w:pPr>
    </w:p>
    <w:p w:rsidRPr="00CB7F03" w:rsidR="0003313F" w:rsidP="0003313F" w:rsidRDefault="008C3D77" w14:paraId="3CA8C18E" w14:textId="77777777">
      <w:pPr>
        <w:jc w:val="center"/>
        <w:rPr>
          <w:sz w:val="24"/>
        </w:rPr>
      </w:pPr>
      <w:r w:rsidRPr="00CB7F03">
        <w:rPr>
          <w:sz w:val="24"/>
        </w:rPr>
        <w:t>OMB</w:t>
      </w:r>
      <w:r w:rsidRPr="00CB7F03" w:rsidR="0003313F">
        <w:rPr>
          <w:sz w:val="24"/>
        </w:rPr>
        <w:t># 0920-0607</w:t>
      </w:r>
    </w:p>
    <w:p w:rsidRPr="00CB7F03" w:rsidR="0003313F" w:rsidP="0003313F" w:rsidRDefault="0003313F" w14:paraId="311626F9" w14:textId="77777777">
      <w:pPr>
        <w:rPr>
          <w:sz w:val="24"/>
        </w:rPr>
      </w:pPr>
    </w:p>
    <w:p w:rsidRPr="00CB7F03" w:rsidR="0003313F" w:rsidP="0003313F" w:rsidRDefault="0003313F" w14:paraId="39E1F5C0" w14:textId="77777777">
      <w:pPr>
        <w:rPr>
          <w:sz w:val="24"/>
        </w:rPr>
      </w:pPr>
    </w:p>
    <w:p w:rsidR="0003313F" w:rsidP="0003313F" w:rsidRDefault="0003313F" w14:paraId="2C9D91AE" w14:textId="77777777">
      <w:pPr>
        <w:jc w:val="center"/>
        <w:rPr>
          <w:sz w:val="24"/>
        </w:rPr>
      </w:pPr>
    </w:p>
    <w:p w:rsidR="00E61792" w:rsidP="0003313F" w:rsidRDefault="00E61792" w14:paraId="33EA8C44" w14:textId="77777777">
      <w:pPr>
        <w:jc w:val="center"/>
        <w:rPr>
          <w:sz w:val="24"/>
        </w:rPr>
      </w:pPr>
    </w:p>
    <w:p w:rsidRPr="00CB7F03" w:rsidR="00E61792" w:rsidP="0003313F" w:rsidRDefault="00E61792" w14:paraId="4813CE31" w14:textId="77777777">
      <w:pPr>
        <w:jc w:val="center"/>
        <w:rPr>
          <w:sz w:val="24"/>
        </w:rPr>
      </w:pPr>
    </w:p>
    <w:p w:rsidRPr="00114EB5" w:rsidR="00704E07" w:rsidP="00704E07" w:rsidRDefault="00172465" w14:paraId="3AD9FE33" w14:textId="77777777">
      <w:pPr>
        <w:jc w:val="center"/>
        <w:rPr>
          <w:sz w:val="24"/>
        </w:rPr>
      </w:pPr>
      <w:r>
        <w:rPr>
          <w:sz w:val="24"/>
        </w:rPr>
        <w:t xml:space="preserve">October </w:t>
      </w:r>
      <w:r w:rsidR="00612337">
        <w:rPr>
          <w:sz w:val="24"/>
        </w:rPr>
        <w:t>2</w:t>
      </w:r>
      <w:r w:rsidR="00D8034C">
        <w:rPr>
          <w:sz w:val="24"/>
        </w:rPr>
        <w:t>9</w:t>
      </w:r>
      <w:r>
        <w:rPr>
          <w:sz w:val="24"/>
        </w:rPr>
        <w:t>, 2021</w:t>
      </w:r>
    </w:p>
    <w:p w:rsidR="0003313F" w:rsidP="0003313F" w:rsidRDefault="0003313F" w14:paraId="57F9C08B" w14:textId="77777777">
      <w:pPr>
        <w:jc w:val="center"/>
        <w:rPr>
          <w:sz w:val="24"/>
        </w:rPr>
      </w:pPr>
    </w:p>
    <w:p w:rsidR="00E61792" w:rsidP="0003313F" w:rsidRDefault="00E61792" w14:paraId="235C826B" w14:textId="77777777">
      <w:pPr>
        <w:jc w:val="center"/>
        <w:rPr>
          <w:sz w:val="24"/>
        </w:rPr>
      </w:pPr>
    </w:p>
    <w:p w:rsidRPr="00CB7F03" w:rsidR="00E61792" w:rsidP="0003313F" w:rsidRDefault="00E61792" w14:paraId="2F040842" w14:textId="77777777">
      <w:pPr>
        <w:jc w:val="center"/>
        <w:rPr>
          <w:sz w:val="24"/>
        </w:rPr>
      </w:pPr>
    </w:p>
    <w:p w:rsidRPr="00CB7F03" w:rsidR="00B83573" w:rsidP="00E25CA7" w:rsidRDefault="00B83573" w14:paraId="48BD8718" w14:textId="77777777">
      <w:pPr>
        <w:jc w:val="center"/>
        <w:rPr>
          <w:sz w:val="24"/>
        </w:rPr>
      </w:pPr>
      <w:r w:rsidRPr="00CB7F03">
        <w:rPr>
          <w:sz w:val="24"/>
        </w:rPr>
        <w:t>Point of Contact</w:t>
      </w:r>
      <w:r w:rsidRPr="00CB7F03" w:rsidR="00E966D9">
        <w:rPr>
          <w:sz w:val="24"/>
        </w:rPr>
        <w:t>:</w:t>
      </w:r>
    </w:p>
    <w:p w:rsidRPr="00CB7F03" w:rsidR="00E25CA7" w:rsidP="00E25CA7" w:rsidRDefault="00762605" w14:paraId="29F4899F" w14:textId="77777777">
      <w:pPr>
        <w:jc w:val="center"/>
        <w:rPr>
          <w:sz w:val="24"/>
        </w:rPr>
      </w:pPr>
      <w:r>
        <w:rPr>
          <w:sz w:val="24"/>
        </w:rPr>
        <w:t>Janet Blair</w:t>
      </w:r>
      <w:r w:rsidR="001D72AD">
        <w:rPr>
          <w:sz w:val="24"/>
        </w:rPr>
        <w:t>, PhD MPH</w:t>
      </w:r>
    </w:p>
    <w:p w:rsidRPr="00CB7F03" w:rsidR="00E25CA7" w:rsidP="00E25CA7" w:rsidRDefault="00E25CA7" w14:paraId="255073CD" w14:textId="77777777">
      <w:pPr>
        <w:jc w:val="center"/>
        <w:rPr>
          <w:sz w:val="24"/>
        </w:rPr>
      </w:pPr>
      <w:r w:rsidRPr="00CB7F03">
        <w:rPr>
          <w:sz w:val="24"/>
        </w:rPr>
        <w:t>Center</w:t>
      </w:r>
      <w:r w:rsidR="00FD107A">
        <w:rPr>
          <w:sz w:val="24"/>
        </w:rPr>
        <w:t>s</w:t>
      </w:r>
      <w:r w:rsidRPr="00CB7F03">
        <w:rPr>
          <w:sz w:val="24"/>
        </w:rPr>
        <w:t xml:space="preserve"> for Disease Control and Prevention</w:t>
      </w:r>
    </w:p>
    <w:p w:rsidRPr="00CB7F03" w:rsidR="00E25CA7" w:rsidP="00E25CA7" w:rsidRDefault="00E25CA7" w14:paraId="1A774D8D" w14:textId="77777777">
      <w:pPr>
        <w:jc w:val="center"/>
        <w:rPr>
          <w:sz w:val="24"/>
        </w:rPr>
      </w:pPr>
      <w:r w:rsidRPr="00CB7F03">
        <w:rPr>
          <w:sz w:val="24"/>
        </w:rPr>
        <w:t>4770 Buford Highway</w:t>
      </w:r>
    </w:p>
    <w:p w:rsidRPr="00CB7F03" w:rsidR="00E25CA7" w:rsidP="00E25CA7" w:rsidRDefault="00E25CA7" w14:paraId="6DE6D809" w14:textId="77777777">
      <w:pPr>
        <w:jc w:val="center"/>
        <w:rPr>
          <w:sz w:val="24"/>
        </w:rPr>
      </w:pPr>
      <w:r w:rsidRPr="00CB7F03">
        <w:rPr>
          <w:sz w:val="24"/>
        </w:rPr>
        <w:t>Atlanta, GA 30341</w:t>
      </w:r>
    </w:p>
    <w:p w:rsidRPr="00CB7F03" w:rsidR="00E25CA7" w:rsidP="00E25CA7" w:rsidRDefault="00E25CA7" w14:paraId="4BFACBDA" w14:textId="77777777">
      <w:pPr>
        <w:jc w:val="center"/>
        <w:rPr>
          <w:sz w:val="24"/>
        </w:rPr>
      </w:pPr>
      <w:r w:rsidRPr="00CB7F03">
        <w:rPr>
          <w:sz w:val="24"/>
        </w:rPr>
        <w:t xml:space="preserve">MS </w:t>
      </w:r>
      <w:r w:rsidR="00FD107A">
        <w:rPr>
          <w:sz w:val="24"/>
        </w:rPr>
        <w:t>S106-10</w:t>
      </w:r>
    </w:p>
    <w:p w:rsidRPr="00CB7F03" w:rsidR="00E25CA7" w:rsidP="00E25CA7" w:rsidRDefault="00E25CA7" w14:paraId="6F6B4A53" w14:textId="77777777">
      <w:pPr>
        <w:jc w:val="center"/>
        <w:rPr>
          <w:sz w:val="24"/>
        </w:rPr>
      </w:pPr>
      <w:r w:rsidRPr="00CB7F03">
        <w:rPr>
          <w:sz w:val="24"/>
        </w:rPr>
        <w:t>Phone: 770-488-</w:t>
      </w:r>
      <w:r w:rsidR="00762605">
        <w:rPr>
          <w:sz w:val="24"/>
        </w:rPr>
        <w:t>0049</w:t>
      </w:r>
    </w:p>
    <w:p w:rsidRPr="00CB7F03" w:rsidR="00E25CA7" w:rsidP="00E25CA7" w:rsidRDefault="00E25CA7" w14:paraId="020F5415" w14:textId="77777777">
      <w:pPr>
        <w:jc w:val="center"/>
        <w:rPr>
          <w:sz w:val="24"/>
        </w:rPr>
      </w:pPr>
      <w:r w:rsidRPr="00CB7F03">
        <w:rPr>
          <w:sz w:val="24"/>
        </w:rPr>
        <w:t>Fax: 770-488-4349</w:t>
      </w:r>
    </w:p>
    <w:p w:rsidR="00E25CA7" w:rsidP="00E25CA7" w:rsidRDefault="00E25CA7" w14:paraId="21195BE8" w14:textId="77777777">
      <w:pPr>
        <w:jc w:val="center"/>
        <w:rPr>
          <w:sz w:val="24"/>
        </w:rPr>
      </w:pPr>
      <w:r w:rsidRPr="00CB7F03">
        <w:rPr>
          <w:sz w:val="24"/>
        </w:rPr>
        <w:t xml:space="preserve">Email: </w:t>
      </w:r>
      <w:hyperlink w:history="1" r:id="rId8">
        <w:r w:rsidRPr="00824FCC" w:rsidR="00727D9B">
          <w:rPr>
            <w:rStyle w:val="Hyperlink"/>
            <w:sz w:val="24"/>
          </w:rPr>
          <w:t>ZUD5@cdc.gov</w:t>
        </w:r>
      </w:hyperlink>
    </w:p>
    <w:p w:rsidRPr="00CB7F03" w:rsidR="00727D9B" w:rsidP="00E25CA7" w:rsidRDefault="00727D9B" w14:paraId="64E7A88D" w14:textId="77777777">
      <w:pPr>
        <w:jc w:val="center"/>
        <w:rPr>
          <w:sz w:val="24"/>
        </w:rPr>
      </w:pPr>
    </w:p>
    <w:p w:rsidRPr="00CB7F03" w:rsidR="00704E07" w:rsidP="00704E07" w:rsidRDefault="00704E07" w14:paraId="263A0ED4" w14:textId="77777777">
      <w:pPr>
        <w:jc w:val="center"/>
        <w:rPr>
          <w:b/>
          <w:bCs/>
          <w:sz w:val="24"/>
        </w:rPr>
      </w:pPr>
    </w:p>
    <w:p w:rsidRPr="00CB7F03" w:rsidR="00704E07" w:rsidP="00704E07" w:rsidRDefault="00704E07" w14:paraId="1C579A2F" w14:textId="77777777">
      <w:pPr>
        <w:jc w:val="center"/>
        <w:rPr>
          <w:b/>
          <w:bCs/>
          <w:sz w:val="24"/>
        </w:rPr>
      </w:pPr>
    </w:p>
    <w:p w:rsidR="00704E07" w:rsidP="00704E07" w:rsidRDefault="00704E07" w14:paraId="67C2B545" w14:textId="77777777">
      <w:pPr>
        <w:tabs>
          <w:tab w:val="left" w:pos="-1440"/>
        </w:tabs>
        <w:ind w:left="1440" w:hanging="1440"/>
        <w:jc w:val="center"/>
        <w:rPr>
          <w:b/>
          <w:bCs/>
          <w:sz w:val="24"/>
        </w:rPr>
      </w:pPr>
      <w:r w:rsidRPr="00CB7F03">
        <w:rPr>
          <w:b/>
          <w:bCs/>
          <w:sz w:val="24"/>
        </w:rPr>
        <w:br w:type="page"/>
      </w:r>
      <w:r w:rsidRPr="00CB7F03">
        <w:rPr>
          <w:b/>
          <w:sz w:val="24"/>
        </w:rPr>
        <w:lastRenderedPageBreak/>
        <w:t>TABL</w:t>
      </w:r>
      <w:r w:rsidRPr="00CB7F03">
        <w:rPr>
          <w:b/>
          <w:bCs/>
          <w:sz w:val="24"/>
        </w:rPr>
        <w:t>E OF CONTENTS</w:t>
      </w:r>
    </w:p>
    <w:p w:rsidRPr="00CB7F03" w:rsidR="00466E62" w:rsidP="00704E07" w:rsidRDefault="00466E62" w14:paraId="33B0FABF" w14:textId="77777777">
      <w:pPr>
        <w:tabs>
          <w:tab w:val="left" w:pos="-1440"/>
        </w:tabs>
        <w:ind w:left="1440" w:hanging="1440"/>
        <w:jc w:val="center"/>
        <w:rPr>
          <w:sz w:val="24"/>
        </w:rPr>
      </w:pPr>
    </w:p>
    <w:p w:rsidRPr="00CB7F03" w:rsidR="00704E07" w:rsidP="003824C0" w:rsidRDefault="00704E07" w14:paraId="279053B2" w14:textId="77777777">
      <w:pPr>
        <w:numPr>
          <w:ilvl w:val="0"/>
          <w:numId w:val="6"/>
        </w:numPr>
        <w:tabs>
          <w:tab w:val="left" w:pos="720"/>
          <w:tab w:val="right" w:leader="dot" w:pos="9360"/>
        </w:tabs>
        <w:rPr>
          <w:sz w:val="24"/>
        </w:rPr>
      </w:pPr>
      <w:r w:rsidRPr="00CB7F03">
        <w:rPr>
          <w:sz w:val="24"/>
        </w:rPr>
        <w:t>JUSTIFICATION</w:t>
      </w:r>
    </w:p>
    <w:p w:rsidRPr="00CB7F03" w:rsidR="00441D23" w:rsidP="00F003FE" w:rsidRDefault="00441D23" w14:paraId="66E79320" w14:textId="77777777">
      <w:pPr>
        <w:tabs>
          <w:tab w:val="left" w:pos="720"/>
          <w:tab w:val="right" w:leader="dot" w:pos="9360"/>
        </w:tabs>
        <w:ind w:left="360"/>
        <w:rPr>
          <w:sz w:val="24"/>
        </w:rPr>
      </w:pPr>
      <w:r w:rsidRPr="00CB7F03">
        <w:rPr>
          <w:sz w:val="24"/>
        </w:rPr>
        <w:tab/>
      </w:r>
    </w:p>
    <w:p w:rsidRPr="00CB7F03" w:rsidR="00704E07" w:rsidP="009E657F" w:rsidRDefault="009E657F" w14:paraId="5D042D0E" w14:textId="77777777">
      <w:pPr>
        <w:tabs>
          <w:tab w:val="left" w:pos="720"/>
          <w:tab w:val="left" w:pos="1440"/>
          <w:tab w:val="right" w:leader="dot" w:pos="9360"/>
        </w:tabs>
        <w:ind w:left="1440" w:hanging="1440"/>
        <w:rPr>
          <w:sz w:val="24"/>
        </w:rPr>
      </w:pPr>
      <w:r w:rsidRPr="00CB7F03">
        <w:rPr>
          <w:sz w:val="24"/>
        </w:rPr>
        <w:tab/>
      </w:r>
      <w:r w:rsidRPr="00CB7F03" w:rsidR="00704E07">
        <w:rPr>
          <w:sz w:val="24"/>
        </w:rPr>
        <w:t>1.</w:t>
      </w:r>
      <w:r w:rsidRPr="00CB7F03" w:rsidR="00704E07">
        <w:rPr>
          <w:sz w:val="24"/>
        </w:rPr>
        <w:tab/>
        <w:t>Circumstances Making the Collection of Information Necessary</w:t>
      </w:r>
    </w:p>
    <w:p w:rsidRPr="00CB7F03" w:rsidR="00704E07" w:rsidP="00704E07" w:rsidRDefault="00704E07" w14:paraId="04416AA6" w14:textId="77777777">
      <w:pPr>
        <w:tabs>
          <w:tab w:val="left" w:pos="720"/>
          <w:tab w:val="left" w:pos="1440"/>
          <w:tab w:val="right" w:leader="dot" w:pos="9360"/>
        </w:tabs>
        <w:rPr>
          <w:sz w:val="24"/>
        </w:rPr>
      </w:pPr>
      <w:r w:rsidRPr="00CB7F03">
        <w:rPr>
          <w:sz w:val="24"/>
        </w:rPr>
        <w:tab/>
        <w:t>2.</w:t>
      </w:r>
      <w:r w:rsidRPr="00CB7F03">
        <w:rPr>
          <w:sz w:val="24"/>
        </w:rPr>
        <w:tab/>
        <w:t>Purpose and Use of Information Collection</w:t>
      </w:r>
    </w:p>
    <w:p w:rsidRPr="00CB7F03" w:rsidR="00704E07" w:rsidP="009E657F" w:rsidRDefault="00704E07" w14:paraId="5CA51FBF" w14:textId="77777777">
      <w:pPr>
        <w:tabs>
          <w:tab w:val="left" w:pos="720"/>
          <w:tab w:val="left" w:pos="1440"/>
          <w:tab w:val="right" w:leader="dot" w:pos="9360"/>
        </w:tabs>
        <w:ind w:left="1440" w:hanging="1440"/>
        <w:rPr>
          <w:sz w:val="24"/>
        </w:rPr>
      </w:pPr>
      <w:r w:rsidRPr="00CB7F03">
        <w:rPr>
          <w:sz w:val="24"/>
        </w:rPr>
        <w:tab/>
        <w:t>3.</w:t>
      </w:r>
      <w:r w:rsidRPr="00CB7F03">
        <w:rPr>
          <w:sz w:val="24"/>
        </w:rPr>
        <w:tab/>
        <w:t>Use of Improved Information Technology and Burden Reduction</w:t>
      </w:r>
    </w:p>
    <w:p w:rsidRPr="00CB7F03" w:rsidR="009E657F" w:rsidP="009E657F" w:rsidRDefault="009E657F" w14:paraId="45BFBA21" w14:textId="77777777">
      <w:pPr>
        <w:tabs>
          <w:tab w:val="left" w:pos="720"/>
          <w:tab w:val="left" w:pos="1440"/>
          <w:tab w:val="right" w:leader="dot" w:pos="9360"/>
        </w:tabs>
        <w:ind w:left="1440" w:hanging="1440"/>
        <w:rPr>
          <w:sz w:val="24"/>
        </w:rPr>
      </w:pPr>
      <w:r w:rsidRPr="00CB7F03">
        <w:rPr>
          <w:sz w:val="24"/>
        </w:rPr>
        <w:tab/>
      </w:r>
      <w:r w:rsidRPr="00CB7F03" w:rsidR="00704E07">
        <w:rPr>
          <w:sz w:val="24"/>
        </w:rPr>
        <w:t>4.</w:t>
      </w:r>
      <w:r w:rsidRPr="00CB7F03" w:rsidR="00704E07">
        <w:rPr>
          <w:sz w:val="24"/>
        </w:rPr>
        <w:tab/>
        <w:t>Efforts to Identify Duplication and Use of Similar Information</w:t>
      </w:r>
    </w:p>
    <w:p w:rsidRPr="00CB7F03" w:rsidR="00704E07" w:rsidP="00704E07" w:rsidRDefault="00704E07" w14:paraId="6754525C" w14:textId="77777777">
      <w:pPr>
        <w:tabs>
          <w:tab w:val="left" w:pos="720"/>
          <w:tab w:val="left" w:pos="1440"/>
          <w:tab w:val="right" w:leader="dot" w:pos="9360"/>
        </w:tabs>
        <w:rPr>
          <w:sz w:val="24"/>
        </w:rPr>
      </w:pPr>
      <w:r w:rsidRPr="00CB7F03">
        <w:rPr>
          <w:sz w:val="24"/>
        </w:rPr>
        <w:tab/>
        <w:t>5.</w:t>
      </w:r>
      <w:r w:rsidRPr="00CB7F03">
        <w:rPr>
          <w:sz w:val="24"/>
        </w:rPr>
        <w:tab/>
        <w:t>Impact on Small Business or Other Small Entities</w:t>
      </w:r>
    </w:p>
    <w:p w:rsidRPr="00CB7F03" w:rsidR="00704E07" w:rsidP="003824C0" w:rsidRDefault="00704E07" w14:paraId="28E8937A" w14:textId="77777777">
      <w:pPr>
        <w:widowControl/>
        <w:numPr>
          <w:ilvl w:val="0"/>
          <w:numId w:val="3"/>
        </w:numPr>
        <w:tabs>
          <w:tab w:val="left" w:pos="720"/>
          <w:tab w:val="left" w:pos="1440"/>
          <w:tab w:val="right" w:leader="dot" w:pos="9360"/>
        </w:tabs>
        <w:autoSpaceDE/>
        <w:autoSpaceDN/>
        <w:adjustRightInd/>
        <w:rPr>
          <w:sz w:val="24"/>
        </w:rPr>
      </w:pPr>
      <w:r w:rsidRPr="00CB7F03">
        <w:rPr>
          <w:sz w:val="24"/>
        </w:rPr>
        <w:t xml:space="preserve">  </w:t>
      </w:r>
      <w:r w:rsidRPr="00CB7F03">
        <w:rPr>
          <w:sz w:val="24"/>
        </w:rPr>
        <w:tab/>
        <w:t xml:space="preserve">Consequences of </w:t>
      </w:r>
      <w:r w:rsidRPr="00CB7F03" w:rsidR="00681956">
        <w:rPr>
          <w:sz w:val="24"/>
        </w:rPr>
        <w:t xml:space="preserve">Collecting the Information Less </w:t>
      </w:r>
      <w:r w:rsidRPr="00CB7F03">
        <w:rPr>
          <w:sz w:val="24"/>
        </w:rPr>
        <w:t>Frequently</w:t>
      </w:r>
    </w:p>
    <w:p w:rsidRPr="00CB7F03" w:rsidR="00704E07" w:rsidP="003824C0" w:rsidRDefault="00704E07" w14:paraId="7D6E730D" w14:textId="77777777">
      <w:pPr>
        <w:pStyle w:val="Level1"/>
        <w:widowControl/>
        <w:numPr>
          <w:ilvl w:val="0"/>
          <w:numId w:val="3"/>
        </w:numPr>
        <w:tabs>
          <w:tab w:val="left" w:pos="720"/>
          <w:tab w:val="right" w:leader="dot" w:pos="9360"/>
        </w:tabs>
        <w:ind w:left="1440" w:hanging="720"/>
        <w:outlineLvl w:val="9"/>
        <w:rPr>
          <w:sz w:val="24"/>
        </w:rPr>
      </w:pPr>
      <w:r w:rsidRPr="00CB7F03">
        <w:rPr>
          <w:sz w:val="24"/>
        </w:rPr>
        <w:t>Special Circumstances Relating to Guidelines of 5 CFR 1320.5</w:t>
      </w:r>
    </w:p>
    <w:p w:rsidRPr="00CB7F03" w:rsidR="00704E07" w:rsidP="003824C0" w:rsidRDefault="00704E07" w14:paraId="1140C1B8" w14:textId="77777777">
      <w:pPr>
        <w:pStyle w:val="Level2"/>
        <w:widowControl/>
        <w:numPr>
          <w:ilvl w:val="1"/>
          <w:numId w:val="4"/>
        </w:numPr>
        <w:tabs>
          <w:tab w:val="right" w:leader="dot" w:pos="9360"/>
        </w:tabs>
        <w:ind w:left="1440" w:hanging="720"/>
        <w:rPr>
          <w:sz w:val="24"/>
        </w:rPr>
      </w:pPr>
      <w:r w:rsidRPr="00CB7F03">
        <w:rPr>
          <w:sz w:val="24"/>
        </w:rPr>
        <w:t xml:space="preserve">Comments in Response to the Federal Register Notice and </w:t>
      </w:r>
      <w:r w:rsidRPr="00CB7F03" w:rsidR="00FD17A0">
        <w:rPr>
          <w:sz w:val="24"/>
        </w:rPr>
        <w:t xml:space="preserve">Efforts to Consult Outside the </w:t>
      </w:r>
      <w:r w:rsidRPr="00CB7F03">
        <w:rPr>
          <w:sz w:val="24"/>
        </w:rPr>
        <w:t>Agency</w:t>
      </w:r>
    </w:p>
    <w:p w:rsidRPr="00CB7F03" w:rsidR="00704E07" w:rsidP="009E657F" w:rsidRDefault="00704E07" w14:paraId="7C547D64" w14:textId="77777777">
      <w:pPr>
        <w:numPr>
          <w:ilvl w:val="12"/>
          <w:numId w:val="0"/>
        </w:numPr>
        <w:tabs>
          <w:tab w:val="left" w:pos="720"/>
          <w:tab w:val="left" w:pos="1440"/>
          <w:tab w:val="right" w:leader="dot" w:pos="9360"/>
        </w:tabs>
        <w:ind w:left="1440" w:hanging="1440"/>
        <w:rPr>
          <w:sz w:val="24"/>
        </w:rPr>
      </w:pPr>
      <w:r w:rsidRPr="00CB7F03">
        <w:rPr>
          <w:sz w:val="24"/>
        </w:rPr>
        <w:tab/>
        <w:t>9.</w:t>
      </w:r>
      <w:r w:rsidRPr="00CB7F03">
        <w:rPr>
          <w:sz w:val="24"/>
        </w:rPr>
        <w:tab/>
        <w:t>Explanation of Any Payment or Gift to Respondents</w:t>
      </w:r>
    </w:p>
    <w:p w:rsidRPr="00CB7F03" w:rsidR="00704E07" w:rsidP="009E657F" w:rsidRDefault="00704E07" w14:paraId="505B6574" w14:textId="77777777">
      <w:pPr>
        <w:numPr>
          <w:ilvl w:val="12"/>
          <w:numId w:val="0"/>
        </w:numPr>
        <w:tabs>
          <w:tab w:val="left" w:pos="720"/>
          <w:tab w:val="left" w:pos="1440"/>
          <w:tab w:val="right" w:leader="dot" w:pos="9360"/>
        </w:tabs>
        <w:ind w:left="1440" w:hanging="1440"/>
        <w:rPr>
          <w:sz w:val="24"/>
        </w:rPr>
      </w:pPr>
      <w:r w:rsidRPr="00CB7F03">
        <w:rPr>
          <w:sz w:val="24"/>
        </w:rPr>
        <w:tab/>
        <w:t>10.</w:t>
      </w:r>
      <w:r w:rsidRPr="00CB7F03">
        <w:rPr>
          <w:sz w:val="24"/>
        </w:rPr>
        <w:tab/>
      </w:r>
      <w:r w:rsidRPr="00CB7F03" w:rsidR="00F17ECD">
        <w:rPr>
          <w:sz w:val="24"/>
        </w:rPr>
        <w:t xml:space="preserve">Protection of the </w:t>
      </w:r>
      <w:r w:rsidRPr="00CB7F03" w:rsidR="00666362">
        <w:rPr>
          <w:sz w:val="24"/>
        </w:rPr>
        <w:t>Privacy and</w:t>
      </w:r>
      <w:r w:rsidRPr="00CB7F03" w:rsidR="00F17ECD">
        <w:rPr>
          <w:sz w:val="24"/>
        </w:rPr>
        <w:t xml:space="preserve"> Confidentiality of Information </w:t>
      </w:r>
      <w:r w:rsidRPr="00CB7F03" w:rsidR="00FD17A0">
        <w:rPr>
          <w:sz w:val="24"/>
        </w:rPr>
        <w:t xml:space="preserve">Provided by </w:t>
      </w:r>
      <w:r w:rsidRPr="00CB7F03" w:rsidR="00666362">
        <w:rPr>
          <w:sz w:val="24"/>
        </w:rPr>
        <w:t>Respondents</w:t>
      </w:r>
      <w:r w:rsidRPr="00CB7F03" w:rsidDel="00F17ECD" w:rsidR="00F17ECD">
        <w:rPr>
          <w:sz w:val="24"/>
        </w:rPr>
        <w:t xml:space="preserve"> </w:t>
      </w:r>
    </w:p>
    <w:p w:rsidRPr="00CB7F03" w:rsidR="00704E07" w:rsidP="00704E07" w:rsidRDefault="00704E07" w14:paraId="5D50045B" w14:textId="77777777">
      <w:pPr>
        <w:numPr>
          <w:ilvl w:val="12"/>
          <w:numId w:val="0"/>
        </w:numPr>
        <w:tabs>
          <w:tab w:val="left" w:pos="720"/>
          <w:tab w:val="left" w:pos="1440"/>
          <w:tab w:val="right" w:leader="dot" w:pos="9360"/>
        </w:tabs>
        <w:rPr>
          <w:sz w:val="24"/>
        </w:rPr>
      </w:pPr>
      <w:r w:rsidRPr="00CB7F03">
        <w:rPr>
          <w:sz w:val="24"/>
        </w:rPr>
        <w:tab/>
        <w:t>11.</w:t>
      </w:r>
      <w:r w:rsidRPr="00CB7F03">
        <w:rPr>
          <w:sz w:val="24"/>
        </w:rPr>
        <w:tab/>
      </w:r>
      <w:r w:rsidRPr="00CB7F03" w:rsidR="00F17ECD">
        <w:rPr>
          <w:sz w:val="24"/>
        </w:rPr>
        <w:t xml:space="preserve">Institutional Review Board (IRB) </w:t>
      </w:r>
      <w:r w:rsidRPr="00CB7F03" w:rsidR="00666362">
        <w:rPr>
          <w:sz w:val="24"/>
        </w:rPr>
        <w:t>and Justification</w:t>
      </w:r>
      <w:r w:rsidRPr="00CB7F03" w:rsidR="00F17ECD">
        <w:rPr>
          <w:sz w:val="24"/>
        </w:rPr>
        <w:t xml:space="preserve"> for Sensitive Questions</w:t>
      </w:r>
      <w:r w:rsidRPr="00CB7F03" w:rsidDel="00F17ECD" w:rsidR="00F17ECD">
        <w:rPr>
          <w:sz w:val="24"/>
        </w:rPr>
        <w:t xml:space="preserve"> </w:t>
      </w:r>
    </w:p>
    <w:p w:rsidRPr="00CB7F03" w:rsidR="00704E07" w:rsidP="00704E07" w:rsidRDefault="00704E07" w14:paraId="61C40281" w14:textId="77777777">
      <w:pPr>
        <w:numPr>
          <w:ilvl w:val="12"/>
          <w:numId w:val="0"/>
        </w:numPr>
        <w:tabs>
          <w:tab w:val="left" w:pos="720"/>
          <w:tab w:val="left" w:pos="1440"/>
          <w:tab w:val="right" w:leader="dot" w:pos="9360"/>
        </w:tabs>
        <w:rPr>
          <w:sz w:val="24"/>
        </w:rPr>
      </w:pPr>
      <w:r w:rsidRPr="00CB7F03">
        <w:rPr>
          <w:sz w:val="24"/>
        </w:rPr>
        <w:tab/>
        <w:t>12.</w:t>
      </w:r>
      <w:r w:rsidRPr="00CB7F03">
        <w:rPr>
          <w:sz w:val="24"/>
        </w:rPr>
        <w:tab/>
        <w:t xml:space="preserve">Estimates of Annualized Burden Hours and Costs </w:t>
      </w:r>
    </w:p>
    <w:p w:rsidRPr="00CB7F03" w:rsidR="00704E07" w:rsidP="00704E07" w:rsidRDefault="00704E07" w14:paraId="37A0FAD6" w14:textId="77777777">
      <w:pPr>
        <w:numPr>
          <w:ilvl w:val="12"/>
          <w:numId w:val="0"/>
        </w:numPr>
        <w:tabs>
          <w:tab w:val="left" w:pos="720"/>
          <w:tab w:val="left" w:pos="1440"/>
          <w:tab w:val="right" w:leader="dot" w:pos="9360"/>
        </w:tabs>
        <w:rPr>
          <w:sz w:val="24"/>
        </w:rPr>
      </w:pPr>
      <w:r w:rsidRPr="00CB7F03">
        <w:rPr>
          <w:sz w:val="24"/>
        </w:rPr>
        <w:tab/>
        <w:t>13.</w:t>
      </w:r>
      <w:r w:rsidRPr="00CB7F03">
        <w:rPr>
          <w:sz w:val="24"/>
        </w:rPr>
        <w:tab/>
        <w:t xml:space="preserve">Estimates of Other Total Annual </w:t>
      </w:r>
      <w:r w:rsidRPr="00CB7F03" w:rsidR="003E1E0B">
        <w:rPr>
          <w:sz w:val="24"/>
        </w:rPr>
        <w:t xml:space="preserve">Cost Burden </w:t>
      </w:r>
      <w:r w:rsidRPr="00CB7F03">
        <w:rPr>
          <w:sz w:val="24"/>
        </w:rPr>
        <w:t xml:space="preserve">to Respondents or </w:t>
      </w:r>
      <w:r w:rsidRPr="00CB7F03" w:rsidR="00666362">
        <w:rPr>
          <w:sz w:val="24"/>
        </w:rPr>
        <w:t>Record-keepers</w:t>
      </w:r>
      <w:r w:rsidRPr="00CB7F03">
        <w:rPr>
          <w:sz w:val="24"/>
        </w:rPr>
        <w:t xml:space="preserve"> </w:t>
      </w:r>
    </w:p>
    <w:p w:rsidRPr="00CB7F03" w:rsidR="00704E07" w:rsidP="00704E07" w:rsidRDefault="00704E07" w14:paraId="35C3B3C4" w14:textId="77777777">
      <w:pPr>
        <w:numPr>
          <w:ilvl w:val="12"/>
          <w:numId w:val="0"/>
        </w:numPr>
        <w:tabs>
          <w:tab w:val="left" w:pos="720"/>
          <w:tab w:val="left" w:pos="1440"/>
          <w:tab w:val="right" w:leader="dot" w:pos="9360"/>
        </w:tabs>
        <w:rPr>
          <w:sz w:val="24"/>
        </w:rPr>
      </w:pPr>
      <w:r w:rsidRPr="00CB7F03">
        <w:rPr>
          <w:sz w:val="24"/>
        </w:rPr>
        <w:tab/>
        <w:t>14.</w:t>
      </w:r>
      <w:r w:rsidRPr="00CB7F03">
        <w:rPr>
          <w:sz w:val="24"/>
        </w:rPr>
        <w:tab/>
        <w:t xml:space="preserve">Annualized Cost to the Federal Government </w:t>
      </w:r>
    </w:p>
    <w:p w:rsidRPr="00CB7F03" w:rsidR="00704E07" w:rsidP="00704E07" w:rsidRDefault="00704E07" w14:paraId="2FD43FBE" w14:textId="77777777">
      <w:pPr>
        <w:numPr>
          <w:ilvl w:val="12"/>
          <w:numId w:val="0"/>
        </w:numPr>
        <w:tabs>
          <w:tab w:val="left" w:pos="720"/>
          <w:tab w:val="left" w:pos="1440"/>
          <w:tab w:val="right" w:leader="dot" w:pos="9360"/>
        </w:tabs>
        <w:rPr>
          <w:sz w:val="24"/>
        </w:rPr>
      </w:pPr>
      <w:r w:rsidRPr="00CB7F03">
        <w:rPr>
          <w:sz w:val="24"/>
        </w:rPr>
        <w:tab/>
        <w:t>15.</w:t>
      </w:r>
      <w:r w:rsidRPr="00CB7F03">
        <w:rPr>
          <w:sz w:val="24"/>
        </w:rPr>
        <w:tab/>
        <w:t>Explanation for Program Changes or Adjustment</w:t>
      </w:r>
      <w:r w:rsidRPr="00CB7F03" w:rsidR="003E1E0B">
        <w:rPr>
          <w:sz w:val="24"/>
        </w:rPr>
        <w:t>s</w:t>
      </w:r>
      <w:r w:rsidRPr="00CB7F03">
        <w:rPr>
          <w:sz w:val="24"/>
        </w:rPr>
        <w:t xml:space="preserve"> </w:t>
      </w:r>
    </w:p>
    <w:p w:rsidRPr="00CB7F03" w:rsidR="00704E07" w:rsidP="00704E07" w:rsidRDefault="00704E07" w14:paraId="7C9E382F" w14:textId="77777777">
      <w:pPr>
        <w:numPr>
          <w:ilvl w:val="12"/>
          <w:numId w:val="0"/>
        </w:numPr>
        <w:tabs>
          <w:tab w:val="left" w:pos="720"/>
          <w:tab w:val="left" w:pos="1440"/>
          <w:tab w:val="right" w:leader="dot" w:pos="9360"/>
        </w:tabs>
        <w:ind w:left="1440" w:hanging="720"/>
        <w:rPr>
          <w:sz w:val="24"/>
        </w:rPr>
      </w:pPr>
      <w:r w:rsidRPr="00CB7F03">
        <w:rPr>
          <w:sz w:val="24"/>
        </w:rPr>
        <w:t xml:space="preserve">16. </w:t>
      </w:r>
      <w:r w:rsidRPr="00CB7F03">
        <w:rPr>
          <w:sz w:val="24"/>
        </w:rPr>
        <w:tab/>
        <w:t xml:space="preserve">Plans for Tabulation and Publication and Project Time Schedule </w:t>
      </w:r>
    </w:p>
    <w:p w:rsidRPr="00CB7F03" w:rsidR="00704E07" w:rsidP="00704E07" w:rsidRDefault="00A832B9" w14:paraId="5CDE4CF2" w14:textId="77777777">
      <w:pPr>
        <w:numPr>
          <w:ilvl w:val="12"/>
          <w:numId w:val="0"/>
        </w:numPr>
        <w:tabs>
          <w:tab w:val="left" w:pos="720"/>
          <w:tab w:val="right" w:leader="dot" w:pos="9360"/>
        </w:tabs>
        <w:ind w:left="1440" w:hanging="720"/>
        <w:rPr>
          <w:sz w:val="24"/>
        </w:rPr>
      </w:pPr>
      <w:r w:rsidRPr="00CB7F03">
        <w:rPr>
          <w:sz w:val="24"/>
        </w:rPr>
        <w:t xml:space="preserve">17        </w:t>
      </w:r>
      <w:r w:rsidRPr="00CB7F03" w:rsidR="00704E07">
        <w:rPr>
          <w:sz w:val="24"/>
        </w:rPr>
        <w:t>Reason(s) Display of OMB Expiration Date Display is Inappropriate</w:t>
      </w:r>
    </w:p>
    <w:p w:rsidRPr="00CB7F03" w:rsidR="00704E07" w:rsidP="00704E07" w:rsidRDefault="00704E07" w14:paraId="573AD314" w14:textId="77777777">
      <w:pPr>
        <w:numPr>
          <w:ilvl w:val="12"/>
          <w:numId w:val="0"/>
        </w:numPr>
        <w:tabs>
          <w:tab w:val="left" w:pos="720"/>
          <w:tab w:val="left" w:pos="1440"/>
          <w:tab w:val="right" w:leader="dot" w:pos="9360"/>
        </w:tabs>
        <w:ind w:left="1440" w:hanging="720"/>
        <w:rPr>
          <w:sz w:val="24"/>
        </w:rPr>
      </w:pPr>
      <w:r w:rsidRPr="00CB7F03">
        <w:rPr>
          <w:sz w:val="24"/>
        </w:rPr>
        <w:t xml:space="preserve">18.  </w:t>
      </w:r>
      <w:r w:rsidRPr="00CB7F03">
        <w:rPr>
          <w:sz w:val="24"/>
        </w:rPr>
        <w:tab/>
        <w:t>Exceptions to Certification for Paperwork Reduction Act Submissions</w:t>
      </w:r>
    </w:p>
    <w:p w:rsidRPr="00CB7F03" w:rsidR="00704E07" w:rsidP="00704E07" w:rsidRDefault="00704E07" w14:paraId="06C08714" w14:textId="77777777">
      <w:pPr>
        <w:numPr>
          <w:ilvl w:val="12"/>
          <w:numId w:val="0"/>
        </w:numPr>
        <w:tabs>
          <w:tab w:val="left" w:pos="-1209"/>
          <w:tab w:val="left" w:pos="-604"/>
          <w:tab w:val="left" w:pos="1"/>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ab/>
      </w:r>
    </w:p>
    <w:p w:rsidR="00C86123" w:rsidP="00466E62" w:rsidRDefault="00C86123" w14:paraId="230AB175" w14:textId="77777777">
      <w:pPr>
        <w:numPr>
          <w:ilvl w:val="12"/>
          <w:numId w:val="0"/>
        </w:numPr>
        <w:tabs>
          <w:tab w:val="left" w:pos="-1209"/>
          <w:tab w:val="left" w:pos="-604"/>
          <w:tab w:val="left" w:pos="1"/>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sz w:val="24"/>
        </w:rPr>
      </w:pPr>
    </w:p>
    <w:p w:rsidR="00C86123" w:rsidP="00C86123" w:rsidRDefault="00C86123" w14:paraId="6C4688E7" w14:textId="77777777">
      <w:pPr>
        <w:numPr>
          <w:ilvl w:val="12"/>
          <w:numId w:val="0"/>
        </w:numPr>
        <w:tabs>
          <w:tab w:val="left" w:pos="-1209"/>
          <w:tab w:val="left" w:pos="-604"/>
          <w:tab w:val="left" w:pos="1"/>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sz w:val="24"/>
        </w:rPr>
      </w:pPr>
      <w:r>
        <w:rPr>
          <w:sz w:val="24"/>
        </w:rPr>
        <w:t>LIST OF ATTACHMENTS</w:t>
      </w:r>
    </w:p>
    <w:p w:rsidRPr="00C3342F" w:rsidR="00C86123" w:rsidP="00C86123" w:rsidRDefault="00C86123" w14:paraId="68FEF6FC"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09" w:hanging="489"/>
        <w:rPr>
          <w:sz w:val="24"/>
        </w:rPr>
      </w:pPr>
      <w:r w:rsidRPr="00C3342F">
        <w:rPr>
          <w:sz w:val="24"/>
        </w:rPr>
        <w:t xml:space="preserve">1.     Authorizing laws </w:t>
      </w:r>
    </w:p>
    <w:p w:rsidRPr="00C3342F" w:rsidR="007922CE" w:rsidP="000F5EC4" w:rsidRDefault="000F5EC4" w14:paraId="1855FF23"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sz w:val="24"/>
        </w:rPr>
      </w:pPr>
      <w:r>
        <w:rPr>
          <w:sz w:val="24"/>
        </w:rPr>
        <w:tab/>
        <w:t>1A.</w:t>
      </w:r>
      <w:r>
        <w:rPr>
          <w:sz w:val="24"/>
        </w:rPr>
        <w:tab/>
      </w:r>
      <w:r w:rsidRPr="00196FE8" w:rsidR="007922CE">
        <w:rPr>
          <w:sz w:val="24"/>
        </w:rPr>
        <w:t xml:space="preserve">FY21 </w:t>
      </w:r>
      <w:r w:rsidR="00196FE8">
        <w:rPr>
          <w:sz w:val="24"/>
        </w:rPr>
        <w:t>A</w:t>
      </w:r>
      <w:r w:rsidRPr="00196FE8" w:rsidR="007922CE">
        <w:rPr>
          <w:sz w:val="24"/>
        </w:rPr>
        <w:t xml:space="preserve">ppropriations </w:t>
      </w:r>
      <w:r w:rsidR="00196FE8">
        <w:rPr>
          <w:sz w:val="24"/>
        </w:rPr>
        <w:t>B</w:t>
      </w:r>
      <w:r w:rsidRPr="00196FE8" w:rsidR="007922CE">
        <w:rPr>
          <w:sz w:val="24"/>
        </w:rPr>
        <w:t>ill</w:t>
      </w:r>
    </w:p>
    <w:p w:rsidRPr="00C3342F" w:rsidR="00C86123" w:rsidP="00C86123" w:rsidRDefault="00C86123" w14:paraId="3629902C"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3342F">
        <w:rPr>
          <w:sz w:val="24"/>
        </w:rPr>
        <w:t>2.</w:t>
      </w:r>
      <w:r w:rsidRPr="00C3342F">
        <w:rPr>
          <w:sz w:val="24"/>
        </w:rPr>
        <w:tab/>
        <w:t>Published 60 Day Federal Register Notice</w:t>
      </w:r>
    </w:p>
    <w:p w:rsidRPr="00C3342F" w:rsidR="00C86123" w:rsidP="00C86123" w:rsidRDefault="00C86123" w14:paraId="738CB322"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3342F">
        <w:rPr>
          <w:sz w:val="24"/>
        </w:rPr>
        <w:t xml:space="preserve">3. </w:t>
      </w:r>
      <w:r w:rsidRPr="00C3342F">
        <w:rPr>
          <w:sz w:val="24"/>
        </w:rPr>
        <w:tab/>
        <w:t xml:space="preserve">Public Comment </w:t>
      </w:r>
    </w:p>
    <w:p w:rsidRPr="00C3342F" w:rsidR="00C86123" w:rsidP="00C86123" w:rsidRDefault="00C86123" w14:paraId="77C126AB"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3342F">
        <w:rPr>
          <w:sz w:val="24"/>
        </w:rPr>
        <w:t xml:space="preserve">4. </w:t>
      </w:r>
      <w:r w:rsidRPr="00C3342F">
        <w:rPr>
          <w:sz w:val="24"/>
        </w:rPr>
        <w:tab/>
        <w:t>Privacy Impact Assessment (PIA)</w:t>
      </w:r>
    </w:p>
    <w:p w:rsidRPr="00C3342F" w:rsidR="00C86123" w:rsidP="00C86123" w:rsidRDefault="00C86123" w14:paraId="47F5701F"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3342F">
        <w:rPr>
          <w:sz w:val="24"/>
        </w:rPr>
        <w:t xml:space="preserve">5.     Non-Research Determination </w:t>
      </w:r>
    </w:p>
    <w:p w:rsidRPr="00C3342F" w:rsidR="00C86123" w:rsidP="00C86123" w:rsidRDefault="00C86123" w14:paraId="2DDB34CC"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3342F">
        <w:rPr>
          <w:sz w:val="24"/>
        </w:rPr>
        <w:t xml:space="preserve">6. </w:t>
      </w:r>
      <w:r w:rsidRPr="00C3342F">
        <w:rPr>
          <w:sz w:val="24"/>
        </w:rPr>
        <w:tab/>
        <w:t>NVDRS Web-based Data Entry Screenshots</w:t>
      </w:r>
    </w:p>
    <w:p w:rsidRPr="00C3342F" w:rsidR="007922CE" w:rsidP="00C86123" w:rsidRDefault="00C3342F" w14:paraId="4D85404A"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Pr>
          <w:sz w:val="24"/>
        </w:rPr>
        <w:t>7.</w:t>
      </w:r>
      <w:r w:rsidRPr="00C3342F" w:rsidR="007922CE">
        <w:rPr>
          <w:sz w:val="24"/>
        </w:rPr>
        <w:tab/>
        <w:t xml:space="preserve">NVDRS Web-Based Data Entry Public Safety Officer Suicide Reporting </w:t>
      </w:r>
    </w:p>
    <w:p w:rsidR="00C86123" w:rsidP="00C86123" w:rsidRDefault="007922CE" w14:paraId="0C0029FB"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3342F">
        <w:rPr>
          <w:sz w:val="24"/>
        </w:rPr>
        <w:t>8</w:t>
      </w:r>
      <w:r w:rsidRPr="00C3342F" w:rsidR="00C86123">
        <w:rPr>
          <w:sz w:val="24"/>
        </w:rPr>
        <w:t>.</w:t>
      </w:r>
      <w:r w:rsidRPr="00C3342F" w:rsidR="00C86123">
        <w:rPr>
          <w:sz w:val="24"/>
        </w:rPr>
        <w:tab/>
        <w:t>NVDRS Data Elements (NVDRS variables)</w:t>
      </w:r>
    </w:p>
    <w:p w:rsidRPr="00C3342F" w:rsidR="00C3342F" w:rsidP="00C3342F" w:rsidRDefault="00C3342F" w14:paraId="7D574684"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Pr>
          <w:sz w:val="24"/>
        </w:rPr>
        <w:t>9</w:t>
      </w:r>
      <w:r w:rsidRPr="00C3342F">
        <w:rPr>
          <w:sz w:val="24"/>
        </w:rPr>
        <w:t xml:space="preserve">. </w:t>
      </w:r>
      <w:r w:rsidRPr="00C3342F">
        <w:rPr>
          <w:sz w:val="24"/>
        </w:rPr>
        <w:tab/>
        <w:t>NVDRS Web Coding Manual, v. 5.4.1</w:t>
      </w:r>
    </w:p>
    <w:p w:rsidR="00C86123" w:rsidP="007E450C" w:rsidRDefault="007E450C" w14:paraId="183928F9" w14:textId="7777777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sz w:val="24"/>
        </w:rPr>
      </w:pPr>
      <w:r>
        <w:rPr>
          <w:sz w:val="24"/>
        </w:rPr>
        <w:tab/>
      </w:r>
      <w:r w:rsidR="00C3342F">
        <w:rPr>
          <w:sz w:val="24"/>
        </w:rPr>
        <w:t>10</w:t>
      </w:r>
      <w:r w:rsidRPr="00C3342F" w:rsidR="00C86123">
        <w:rPr>
          <w:sz w:val="24"/>
        </w:rPr>
        <w:t xml:space="preserve">. </w:t>
      </w:r>
      <w:r w:rsidRPr="00C3342F" w:rsidR="00C86123">
        <w:rPr>
          <w:sz w:val="24"/>
        </w:rPr>
        <w:tab/>
        <w:t>NVDRS Reports to OMB</w:t>
      </w:r>
    </w:p>
    <w:p w:rsidR="001C26B3" w:rsidP="00C3342F" w:rsidRDefault="001C26B3" w14:paraId="63E5850A" w14:textId="77777777">
      <w:pPr>
        <w:tabs>
          <w:tab w:val="left" w:pos="-1440"/>
        </w:tabs>
        <w:rPr>
          <w:b/>
          <w:bCs/>
          <w:sz w:val="24"/>
        </w:rPr>
      </w:pPr>
    </w:p>
    <w:p w:rsidR="00C3342F" w:rsidP="00C3342F" w:rsidRDefault="00C3342F" w14:paraId="772DAD64" w14:textId="77777777">
      <w:pPr>
        <w:tabs>
          <w:tab w:val="left" w:pos="-1440"/>
        </w:tabs>
        <w:rPr>
          <w:b/>
          <w:bCs/>
          <w:sz w:val="24"/>
        </w:rPr>
      </w:pPr>
    </w:p>
    <w:p w:rsidR="00C3342F" w:rsidP="00C3342F" w:rsidRDefault="00C3342F" w14:paraId="2E61D096" w14:textId="77777777">
      <w:pPr>
        <w:tabs>
          <w:tab w:val="left" w:pos="-1440"/>
        </w:tabs>
        <w:rPr>
          <w:b/>
          <w:bCs/>
          <w:sz w:val="24"/>
        </w:rPr>
      </w:pPr>
    </w:p>
    <w:p w:rsidR="00C3342F" w:rsidP="00C3342F" w:rsidRDefault="00C3342F" w14:paraId="798BDCAF" w14:textId="77777777">
      <w:pPr>
        <w:tabs>
          <w:tab w:val="left" w:pos="-1440"/>
        </w:tabs>
        <w:rPr>
          <w:b/>
          <w:bCs/>
          <w:sz w:val="24"/>
        </w:rPr>
      </w:pPr>
    </w:p>
    <w:p w:rsidR="00C3342F" w:rsidP="00C3342F" w:rsidRDefault="00C3342F" w14:paraId="059E2FBF" w14:textId="77777777">
      <w:pPr>
        <w:tabs>
          <w:tab w:val="left" w:pos="-1440"/>
        </w:tabs>
        <w:rPr>
          <w:b/>
          <w:bCs/>
          <w:sz w:val="24"/>
        </w:rPr>
      </w:pPr>
    </w:p>
    <w:p w:rsidR="00C3342F" w:rsidP="00C3342F" w:rsidRDefault="00C3342F" w14:paraId="209A63C4" w14:textId="77777777">
      <w:pPr>
        <w:tabs>
          <w:tab w:val="left" w:pos="-1440"/>
        </w:tabs>
        <w:rPr>
          <w:b/>
          <w:bCs/>
          <w:sz w:val="24"/>
        </w:rPr>
      </w:pPr>
    </w:p>
    <w:p w:rsidR="00466E62" w:rsidRDefault="00466E62" w14:paraId="5DF22494" w14:textId="77777777">
      <w:pPr>
        <w:tabs>
          <w:tab w:val="left" w:pos="-1440"/>
        </w:tabs>
        <w:ind w:left="1440" w:hanging="1440"/>
        <w:rPr>
          <w:b/>
          <w:bCs/>
          <w:sz w:val="24"/>
        </w:rPr>
      </w:pPr>
    </w:p>
    <w:p w:rsidR="00C3342F" w:rsidRDefault="00C3342F" w14:paraId="2D721B75" w14:textId="77777777">
      <w:pPr>
        <w:tabs>
          <w:tab w:val="left" w:pos="-1440"/>
        </w:tabs>
        <w:ind w:left="1440" w:hanging="1440"/>
        <w:rPr>
          <w:b/>
          <w:bCs/>
          <w:sz w:val="24"/>
        </w:rPr>
      </w:pPr>
    </w:p>
    <w:p w:rsidR="00C3342F" w:rsidRDefault="00C3342F" w14:paraId="0D941B3E" w14:textId="77777777">
      <w:pPr>
        <w:tabs>
          <w:tab w:val="left" w:pos="-1440"/>
        </w:tabs>
        <w:ind w:left="1440" w:hanging="1440"/>
        <w:rPr>
          <w:b/>
          <w:bCs/>
          <w:sz w:val="24"/>
        </w:rPr>
      </w:pPr>
      <w:r>
        <w:rPr>
          <w:b/>
          <w:bCs/>
          <w:sz w:val="24"/>
        </w:rPr>
        <w:lastRenderedPageBreak/>
        <w:t>Summary Table</w:t>
      </w:r>
    </w:p>
    <w:p w:rsidR="00C3342F" w:rsidRDefault="00C3342F" w14:paraId="05E5D4CC" w14:textId="77777777">
      <w:pPr>
        <w:tabs>
          <w:tab w:val="left" w:pos="-1440"/>
        </w:tabs>
        <w:ind w:left="1440" w:hanging="1440"/>
        <w:rPr>
          <w:b/>
          <w:bCs/>
          <w:sz w:val="24"/>
        </w:rPr>
      </w:pPr>
    </w:p>
    <w:p w:rsidR="00C3342F" w:rsidRDefault="00C3342F" w14:paraId="5D213D38" w14:textId="77777777">
      <w:pPr>
        <w:tabs>
          <w:tab w:val="left" w:pos="-1440"/>
        </w:tabs>
        <w:ind w:left="1440" w:hanging="1440"/>
        <w:rPr>
          <w:b/>
          <w:bCs/>
          <w:sz w:val="24"/>
        </w:rPr>
      </w:pPr>
    </w:p>
    <w:p w:rsidRPr="00CB7F03" w:rsidR="00B2481C" w:rsidRDefault="00B2481C" w14:paraId="5F368680" w14:textId="77777777">
      <w:pPr>
        <w:tabs>
          <w:tab w:val="left" w:pos="-1440"/>
        </w:tabs>
        <w:ind w:left="1440" w:hanging="1440"/>
        <w:rPr>
          <w:b/>
          <w:bCs/>
          <w:sz w:val="24"/>
        </w:rPr>
      </w:pPr>
    </w:p>
    <w:p w:rsidR="00FD17A0" w:rsidRDefault="00FD17A0" w14:paraId="49D2D1B0" w14:textId="77777777">
      <w:pPr>
        <w:tabs>
          <w:tab w:val="left" w:pos="-1440"/>
        </w:tabs>
        <w:ind w:left="1440" w:hanging="1440"/>
        <w:rPr>
          <w:b/>
          <w:bCs/>
          <w:sz w:val="24"/>
        </w:rPr>
      </w:pPr>
    </w:p>
    <w:p w:rsidRPr="00CB7F03" w:rsidR="00CD7D1C" w:rsidRDefault="005F729B" w14:paraId="37C32A13" w14:textId="77777777">
      <w:pPr>
        <w:tabs>
          <w:tab w:val="left" w:pos="-1440"/>
        </w:tabs>
        <w:ind w:left="1440" w:hanging="1440"/>
        <w:rPr>
          <w:b/>
          <w:bCs/>
          <w:sz w:val="24"/>
        </w:rPr>
      </w:pPr>
      <w:r w:rsidRPr="00CB7F03">
        <w:rPr>
          <w:noProof/>
          <w:sz w:val="24"/>
        </w:rPr>
        <w:pict w14:anchorId="7892F137">
          <v:shapetype id="_x0000_t202" coordsize="21600,21600" o:spt="202" path="m,l,21600r21600,l21600,xe">
            <v:stroke joinstyle="miter"/>
            <v:path gradientshapeok="t" o:connecttype="rect"/>
          </v:shapetype>
          <v:shape id="Text Box 2" style="position:absolute;left:0;text-align:left;margin-left:3.85pt;margin-top:-36.9pt;width:520pt;height:509.7pt;z-index:251657728;visibility:visible;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">
            <v:textbox style="mso-next-textbox:#Text Box 2">
              <w:txbxContent>
                <w:p w:rsidR="00631350" w:rsidP="005F729B" w:rsidRDefault="00631350" w14:paraId="073DBE39" w14:textId="77777777">
                  <w:pPr>
                    <w:pStyle w:val="ListParagraph"/>
                    <w:numPr>
                      <w:ilvl w:val="0"/>
                      <w:numId w:val="12"/>
                    </w:numPr>
                    <w:spacing w:after="200" w:line="276" w:lineRule="auto"/>
                    <w:jc w:val="both"/>
                    <w:rPr>
                      <w:rFonts w:ascii="Times New Roman" w:hAnsi="Times New Roman"/>
                    </w:rPr>
                  </w:pPr>
                  <w:r w:rsidRPr="005F729B">
                    <w:rPr>
                      <w:rFonts w:ascii="Times New Roman" w:hAnsi="Times New Roman"/>
                    </w:rPr>
                    <w:t>Goal of the project:  This is a revision request for the National Violent Death Reporting System (NVDRS</w:t>
                  </w:r>
                  <w:r w:rsidRPr="0043674A">
                    <w:rPr>
                      <w:rFonts w:ascii="Times New Roman" w:hAnsi="Times New Roman"/>
                    </w:rPr>
                    <w:t xml:space="preserve"> - OMB# 0920-0607). NVDRS is a state-based surveillance system developed to monitor the occurrence of violent deaths (i.e., homicide, suicide, deaths due to legal intervention, deaths of undetermined intent, and unintentional firearm deaths) in the United States (U.S.) by collecting comprehensive data from multiple sources (e.g., death certificates, coroner/medical examiner reports, law enforcement reports) into a useable, anonymous database.</w:t>
                  </w:r>
                  <w:bookmarkStart w:name="_Hlk76470654" w:id="0"/>
                  <w:r>
                    <w:rPr>
                      <w:rFonts w:ascii="Times New Roman" w:hAnsi="Times New Roman"/>
                    </w:rPr>
                    <w:t xml:space="preserve"> </w:t>
                  </w:r>
                  <w:r w:rsidRPr="004D4C85">
                    <w:rPr>
                      <w:rFonts w:ascii="Times New Roman" w:hAnsi="Times New Roman"/>
                    </w:rPr>
                    <w:t>The purpose of this revision is five-fold to: 1) implement updates to the web-based system to improve performance, functionality, and accessibility, 2) add 13 new data elements to the web-based system, 3) add School Associated Violent Death (SAVD) module as part of the NVDRS web-based system, 4) add new variables to NVDRS 2.3 software, and 5) add</w:t>
                  </w:r>
                  <w:r>
                    <w:rPr>
                      <w:rFonts w:ascii="Times New Roman" w:hAnsi="Times New Roman"/>
                    </w:rPr>
                    <w:t xml:space="preserve"> </w:t>
                  </w:r>
                  <w:r w:rsidRPr="004D4C85">
                    <w:rPr>
                      <w:rFonts w:ascii="Times New Roman" w:hAnsi="Times New Roman"/>
                    </w:rPr>
                    <w:t>a Public Safety Officer suicide module as part of  the NVDRS web-based system.</w:t>
                  </w:r>
                  <w:bookmarkEnd w:id="0"/>
                  <w:r>
                    <w:rPr>
                      <w:rFonts w:ascii="Times New Roman" w:hAnsi="Times New Roman"/>
                    </w:rPr>
                    <w:t xml:space="preserve"> </w:t>
                  </w:r>
                </w:p>
                <w:p w:rsidRPr="004D4C85" w:rsidR="00631350" w:rsidP="005F729B" w:rsidRDefault="00631350" w14:paraId="66B757E3" w14:textId="77777777">
                  <w:pPr>
                    <w:pStyle w:val="ListParagraph"/>
                    <w:spacing w:after="200" w:line="276" w:lineRule="auto"/>
                    <w:jc w:val="both"/>
                    <w:rPr>
                      <w:rFonts w:ascii="Times New Roman" w:hAnsi="Times New Roman"/>
                      <w:highlight w:val="yellow"/>
                    </w:rPr>
                  </w:pPr>
                </w:p>
                <w:p w:rsidR="00631350" w:rsidP="00DE3D86" w:rsidRDefault="00631350" w14:paraId="22B38EBC" w14:textId="77777777">
                  <w:pPr>
                    <w:pStyle w:val="ListParagraph"/>
                    <w:numPr>
                      <w:ilvl w:val="0"/>
                      <w:numId w:val="12"/>
                    </w:numPr>
                    <w:spacing w:after="200" w:line="276" w:lineRule="auto"/>
                    <w:jc w:val="both"/>
                    <w:rPr>
                      <w:rFonts w:ascii="Times New Roman" w:hAnsi="Times New Roman"/>
                    </w:rPr>
                  </w:pPr>
                  <w:r w:rsidRPr="0043674A">
                    <w:rPr>
                      <w:rFonts w:ascii="Times New Roman" w:hAnsi="Times New Roman" w:eastAsia="Times New Roman"/>
                    </w:rPr>
                    <w:t>Intended Use of the Resulting Data: Comprehensive</w:t>
                  </w:r>
                  <w:r w:rsidRPr="0043674A">
                    <w:rPr>
                      <w:rFonts w:ascii="Times New Roman" w:hAnsi="Times New Roman"/>
                    </w:rPr>
                    <w:t xml:space="preserve"> surveillance data on violent deaths are needed to describe and characterize such incidents, describe the associated risk factors and circumstances that precipitated the incident, and inform prevention programs, policies, and practices at the local, state, and national levels. </w:t>
                  </w:r>
                </w:p>
                <w:p w:rsidR="00631350" w:rsidP="005F729B" w:rsidRDefault="00631350" w14:paraId="5D779205" w14:textId="77777777">
                  <w:pPr>
                    <w:pStyle w:val="ListParagraph"/>
                    <w:rPr>
                      <w:rFonts w:ascii="Times New Roman" w:hAnsi="Times New Roman"/>
                    </w:rPr>
                  </w:pPr>
                </w:p>
                <w:p w:rsidR="00631350" w:rsidP="00194006" w:rsidRDefault="00631350" w14:paraId="4F29ADD8" w14:textId="77777777">
                  <w:pPr>
                    <w:pStyle w:val="ListParagraph"/>
                    <w:numPr>
                      <w:ilvl w:val="0"/>
                      <w:numId w:val="12"/>
                    </w:numPr>
                    <w:spacing w:after="200" w:line="276" w:lineRule="auto"/>
                    <w:jc w:val="both"/>
                    <w:rPr>
                      <w:rFonts w:ascii="Times New Roman" w:hAnsi="Times New Roman"/>
                    </w:rPr>
                  </w:pPr>
                  <w:r w:rsidRPr="0043674A">
                    <w:rPr>
                      <w:rFonts w:ascii="Times New Roman" w:hAnsi="Times New Roman"/>
                    </w:rPr>
                    <w:t xml:space="preserve">Methods to be Used to Collect: For NVDRS, each state, District of Columbia, and U.S. territory (referred to hereinafter as “states”) is funded to abstract standard data elements from three primary data sources: death certificates, coroner/medical examiner reports, and law enforcement reports into a web-based data entry system, supplied by CDC. </w:t>
                  </w:r>
                </w:p>
                <w:p w:rsidR="00631350" w:rsidP="005F729B" w:rsidRDefault="00631350" w14:paraId="0CFF241E" w14:textId="77777777">
                  <w:pPr>
                    <w:pStyle w:val="ListParagraph"/>
                    <w:rPr>
                      <w:rFonts w:ascii="Times New Roman" w:hAnsi="Times New Roman"/>
                    </w:rPr>
                  </w:pPr>
                </w:p>
                <w:p w:rsidR="00631350" w:rsidP="00DE3D86" w:rsidRDefault="00631350" w14:paraId="331954E9" w14:textId="77777777">
                  <w:pPr>
                    <w:pStyle w:val="ListParagraph"/>
                    <w:numPr>
                      <w:ilvl w:val="0"/>
                      <w:numId w:val="12"/>
                    </w:numPr>
                    <w:spacing w:after="200" w:line="276" w:lineRule="auto"/>
                    <w:jc w:val="both"/>
                    <w:rPr>
                      <w:rFonts w:ascii="Times New Roman" w:hAnsi="Times New Roman"/>
                    </w:rPr>
                  </w:pPr>
                  <w:r w:rsidRPr="0043674A">
                    <w:rPr>
                      <w:rFonts w:ascii="Times New Roman" w:hAnsi="Times New Roman"/>
                    </w:rPr>
                    <w:t>The subpopulation to be studied: Individuals who die from a violent death.</w:t>
                  </w:r>
                </w:p>
                <w:p w:rsidR="00631350" w:rsidP="005F729B" w:rsidRDefault="00631350" w14:paraId="6DDB4975" w14:textId="77777777">
                  <w:pPr>
                    <w:pStyle w:val="ListParagraph"/>
                    <w:rPr>
                      <w:rFonts w:ascii="Times New Roman" w:hAnsi="Times New Roman"/>
                    </w:rPr>
                  </w:pPr>
                </w:p>
                <w:p w:rsidR="00631350" w:rsidP="005F729B" w:rsidRDefault="00631350" w14:paraId="109DED0A" w14:textId="77777777">
                  <w:pPr>
                    <w:pStyle w:val="ListParagraph"/>
                    <w:numPr>
                      <w:ilvl w:val="0"/>
                      <w:numId w:val="12"/>
                    </w:numPr>
                    <w:spacing w:after="200" w:line="276" w:lineRule="auto"/>
                    <w:jc w:val="both"/>
                  </w:pPr>
                  <w:r w:rsidRPr="005F729B">
                    <w:rPr>
                      <w:rFonts w:ascii="Times New Roman" w:hAnsi="Times New Roman"/>
                    </w:rPr>
                    <w:t xml:space="preserve">How data will be analyzed: NVDRS is an ongoing surveillance system that captures annual violent death counts and circumstances that precipitate each violent incident. CDC aggregates de-identified data from each state into one national database that is analyzed and released in annual reports and other publications. Descriptive analyses such as frequencies and rates will be employed. A restricted access database is available for researchers to request access to NVDRS data for analysis and a web-based query system is open for public use that allows for electronic querying of data.  </w:t>
                  </w:r>
                </w:p>
              </w:txbxContent>
            </v:textbox>
          </v:shape>
        </w:pict>
      </w:r>
    </w:p>
    <w:p w:rsidRPr="00CB7F03" w:rsidR="00E966D9" w:rsidRDefault="00E966D9" w14:paraId="5531EC46" w14:textId="77777777">
      <w:pPr>
        <w:tabs>
          <w:tab w:val="left" w:pos="-1440"/>
        </w:tabs>
        <w:ind w:left="1440" w:hanging="1440"/>
        <w:rPr>
          <w:b/>
          <w:bCs/>
          <w:sz w:val="24"/>
        </w:rPr>
      </w:pPr>
    </w:p>
    <w:p w:rsidRPr="00CB7F03" w:rsidR="005D70CF" w:rsidRDefault="005D70CF" w14:paraId="77421D4E" w14:textId="77777777">
      <w:pPr>
        <w:tabs>
          <w:tab w:val="left" w:pos="-1440"/>
        </w:tabs>
        <w:ind w:left="1440" w:hanging="1440"/>
        <w:rPr>
          <w:b/>
          <w:bCs/>
          <w:sz w:val="24"/>
        </w:rPr>
      </w:pPr>
    </w:p>
    <w:p w:rsidRPr="00CB7F03" w:rsidR="00B2481C" w:rsidP="00F003FE" w:rsidRDefault="00B2481C" w14:paraId="3E6B3E69" w14:textId="77777777">
      <w:pPr>
        <w:pStyle w:val="Level1"/>
        <w:numPr>
          <w:ilvl w:val="0"/>
          <w:numId w:val="0"/>
        </w:numPr>
        <w:tabs>
          <w:tab w:val="left" w:pos="-1440"/>
        </w:tabs>
        <w:ind w:left="720" w:hanging="720"/>
        <w:rPr>
          <w:b/>
          <w:bCs/>
          <w:sz w:val="24"/>
        </w:rPr>
      </w:pPr>
    </w:p>
    <w:p w:rsidRPr="00CB7F03" w:rsidR="00B2481C" w:rsidP="00F003FE" w:rsidRDefault="00B2481C" w14:paraId="33460C66" w14:textId="77777777">
      <w:pPr>
        <w:pStyle w:val="Level1"/>
        <w:numPr>
          <w:ilvl w:val="0"/>
          <w:numId w:val="0"/>
        </w:numPr>
        <w:tabs>
          <w:tab w:val="left" w:pos="-1440"/>
        </w:tabs>
        <w:ind w:left="720" w:hanging="720"/>
        <w:rPr>
          <w:b/>
          <w:bCs/>
          <w:sz w:val="24"/>
        </w:rPr>
      </w:pPr>
    </w:p>
    <w:p w:rsidRPr="00CB7F03" w:rsidR="00B2481C" w:rsidP="00F003FE" w:rsidRDefault="00B2481C" w14:paraId="21567F1F" w14:textId="77777777">
      <w:pPr>
        <w:pStyle w:val="Level1"/>
        <w:numPr>
          <w:ilvl w:val="0"/>
          <w:numId w:val="0"/>
        </w:numPr>
        <w:tabs>
          <w:tab w:val="left" w:pos="-1440"/>
        </w:tabs>
        <w:ind w:left="720" w:hanging="720"/>
        <w:rPr>
          <w:b/>
          <w:bCs/>
          <w:sz w:val="24"/>
        </w:rPr>
      </w:pPr>
    </w:p>
    <w:p w:rsidRPr="00CB7F03" w:rsidR="00B2481C" w:rsidP="00F003FE" w:rsidRDefault="00B2481C" w14:paraId="0E57887B" w14:textId="77777777">
      <w:pPr>
        <w:pStyle w:val="Level1"/>
        <w:numPr>
          <w:ilvl w:val="0"/>
          <w:numId w:val="0"/>
        </w:numPr>
        <w:tabs>
          <w:tab w:val="left" w:pos="-1440"/>
        </w:tabs>
        <w:ind w:left="720" w:hanging="720"/>
        <w:rPr>
          <w:b/>
          <w:bCs/>
          <w:sz w:val="24"/>
        </w:rPr>
      </w:pPr>
    </w:p>
    <w:p w:rsidRPr="00CB7F03" w:rsidR="00B2481C" w:rsidP="00F003FE" w:rsidRDefault="00B2481C" w14:paraId="4F1B7D59" w14:textId="77777777">
      <w:pPr>
        <w:pStyle w:val="Level1"/>
        <w:numPr>
          <w:ilvl w:val="0"/>
          <w:numId w:val="0"/>
        </w:numPr>
        <w:tabs>
          <w:tab w:val="left" w:pos="-1440"/>
        </w:tabs>
        <w:ind w:left="720" w:hanging="720"/>
        <w:rPr>
          <w:b/>
          <w:bCs/>
          <w:sz w:val="24"/>
        </w:rPr>
      </w:pPr>
    </w:p>
    <w:p w:rsidRPr="00CB7F03" w:rsidR="00B2481C" w:rsidP="00F003FE" w:rsidRDefault="00B2481C" w14:paraId="6CA48EAE" w14:textId="77777777">
      <w:pPr>
        <w:pStyle w:val="Level1"/>
        <w:numPr>
          <w:ilvl w:val="0"/>
          <w:numId w:val="0"/>
        </w:numPr>
        <w:tabs>
          <w:tab w:val="left" w:pos="-1440"/>
        </w:tabs>
        <w:ind w:left="720" w:hanging="720"/>
        <w:rPr>
          <w:b/>
          <w:bCs/>
          <w:sz w:val="24"/>
        </w:rPr>
      </w:pPr>
    </w:p>
    <w:p w:rsidRPr="00CB7F03" w:rsidR="00B2481C" w:rsidP="00F003FE" w:rsidRDefault="00B2481C" w14:paraId="000290C4" w14:textId="77777777">
      <w:pPr>
        <w:pStyle w:val="Level1"/>
        <w:numPr>
          <w:ilvl w:val="0"/>
          <w:numId w:val="0"/>
        </w:numPr>
        <w:tabs>
          <w:tab w:val="left" w:pos="-1440"/>
        </w:tabs>
        <w:ind w:left="720" w:hanging="720"/>
        <w:rPr>
          <w:b/>
          <w:bCs/>
          <w:sz w:val="24"/>
        </w:rPr>
      </w:pPr>
    </w:p>
    <w:p w:rsidRPr="00CB7F03" w:rsidR="00B2481C" w:rsidP="00F003FE" w:rsidRDefault="00B2481C" w14:paraId="7D7863E0" w14:textId="77777777">
      <w:pPr>
        <w:pStyle w:val="Level1"/>
        <w:numPr>
          <w:ilvl w:val="0"/>
          <w:numId w:val="0"/>
        </w:numPr>
        <w:tabs>
          <w:tab w:val="left" w:pos="-1440"/>
        </w:tabs>
        <w:ind w:left="720" w:hanging="720"/>
        <w:rPr>
          <w:b/>
          <w:bCs/>
          <w:sz w:val="24"/>
        </w:rPr>
      </w:pPr>
    </w:p>
    <w:p w:rsidRPr="00CB7F03" w:rsidR="00B2481C" w:rsidP="00F003FE" w:rsidRDefault="00B2481C" w14:paraId="0E9C7CD1" w14:textId="77777777">
      <w:pPr>
        <w:pStyle w:val="Level1"/>
        <w:numPr>
          <w:ilvl w:val="0"/>
          <w:numId w:val="0"/>
        </w:numPr>
        <w:tabs>
          <w:tab w:val="left" w:pos="-1440"/>
        </w:tabs>
        <w:ind w:left="720" w:hanging="720"/>
        <w:rPr>
          <w:b/>
          <w:bCs/>
          <w:sz w:val="24"/>
        </w:rPr>
      </w:pPr>
    </w:p>
    <w:p w:rsidRPr="00CB7F03" w:rsidR="00B2481C" w:rsidP="00F003FE" w:rsidRDefault="00B2481C" w14:paraId="246D29AE" w14:textId="77777777">
      <w:pPr>
        <w:pStyle w:val="Level1"/>
        <w:numPr>
          <w:ilvl w:val="0"/>
          <w:numId w:val="0"/>
        </w:numPr>
        <w:tabs>
          <w:tab w:val="left" w:pos="-1440"/>
        </w:tabs>
        <w:ind w:left="720" w:hanging="720"/>
        <w:rPr>
          <w:b/>
          <w:bCs/>
          <w:sz w:val="24"/>
        </w:rPr>
      </w:pPr>
    </w:p>
    <w:p w:rsidRPr="00CB7F03" w:rsidR="00B2481C" w:rsidP="00F003FE" w:rsidRDefault="00B2481C" w14:paraId="0AE4C431" w14:textId="77777777">
      <w:pPr>
        <w:pStyle w:val="Level1"/>
        <w:numPr>
          <w:ilvl w:val="0"/>
          <w:numId w:val="0"/>
        </w:numPr>
        <w:tabs>
          <w:tab w:val="left" w:pos="-1440"/>
        </w:tabs>
        <w:ind w:left="720"/>
        <w:rPr>
          <w:b/>
          <w:bCs/>
          <w:sz w:val="24"/>
        </w:rPr>
      </w:pPr>
    </w:p>
    <w:p w:rsidRPr="00CB7F03" w:rsidR="00B2481C" w:rsidP="00F003FE" w:rsidRDefault="00B2481C" w14:paraId="05474653" w14:textId="77777777">
      <w:pPr>
        <w:pStyle w:val="Level1"/>
        <w:numPr>
          <w:ilvl w:val="0"/>
          <w:numId w:val="0"/>
        </w:numPr>
        <w:tabs>
          <w:tab w:val="left" w:pos="-1440"/>
        </w:tabs>
        <w:ind w:left="720"/>
        <w:rPr>
          <w:b/>
          <w:bCs/>
          <w:sz w:val="24"/>
        </w:rPr>
      </w:pPr>
    </w:p>
    <w:p w:rsidRPr="00CB7F03" w:rsidR="00B2481C" w:rsidP="00F003FE" w:rsidRDefault="00B2481C" w14:paraId="1A618C50" w14:textId="77777777">
      <w:pPr>
        <w:pStyle w:val="Level1"/>
        <w:numPr>
          <w:ilvl w:val="0"/>
          <w:numId w:val="0"/>
        </w:numPr>
        <w:tabs>
          <w:tab w:val="left" w:pos="-1440"/>
        </w:tabs>
        <w:ind w:left="720"/>
        <w:rPr>
          <w:b/>
          <w:bCs/>
          <w:sz w:val="24"/>
        </w:rPr>
      </w:pPr>
    </w:p>
    <w:p w:rsidRPr="00CB7F03" w:rsidR="00B2481C" w:rsidP="00F003FE" w:rsidRDefault="00B2481C" w14:paraId="2B508858" w14:textId="77777777">
      <w:pPr>
        <w:pStyle w:val="Level1"/>
        <w:numPr>
          <w:ilvl w:val="0"/>
          <w:numId w:val="0"/>
        </w:numPr>
        <w:tabs>
          <w:tab w:val="left" w:pos="-1440"/>
        </w:tabs>
        <w:ind w:left="720"/>
        <w:rPr>
          <w:b/>
          <w:bCs/>
          <w:sz w:val="24"/>
        </w:rPr>
      </w:pPr>
    </w:p>
    <w:p w:rsidRPr="00CB7F03" w:rsidR="00B2481C" w:rsidP="00F003FE" w:rsidRDefault="00B2481C" w14:paraId="4B8B630C" w14:textId="77777777">
      <w:pPr>
        <w:pStyle w:val="Level1"/>
        <w:numPr>
          <w:ilvl w:val="0"/>
          <w:numId w:val="0"/>
        </w:numPr>
        <w:tabs>
          <w:tab w:val="left" w:pos="-1440"/>
        </w:tabs>
        <w:ind w:left="720"/>
        <w:rPr>
          <w:b/>
          <w:bCs/>
          <w:sz w:val="24"/>
        </w:rPr>
      </w:pPr>
    </w:p>
    <w:p w:rsidRPr="00CB7F03" w:rsidR="00B2481C" w:rsidP="00F003FE" w:rsidRDefault="00B2481C" w14:paraId="3D639D59" w14:textId="77777777">
      <w:pPr>
        <w:pStyle w:val="Level1"/>
        <w:numPr>
          <w:ilvl w:val="0"/>
          <w:numId w:val="0"/>
        </w:numPr>
        <w:tabs>
          <w:tab w:val="left" w:pos="-1440"/>
        </w:tabs>
        <w:ind w:left="720"/>
        <w:rPr>
          <w:b/>
          <w:bCs/>
          <w:sz w:val="24"/>
        </w:rPr>
      </w:pPr>
    </w:p>
    <w:p w:rsidRPr="00CB7F03" w:rsidR="00B2481C" w:rsidP="00F003FE" w:rsidRDefault="00B2481C" w14:paraId="31983EF1" w14:textId="77777777">
      <w:pPr>
        <w:pStyle w:val="Level1"/>
        <w:numPr>
          <w:ilvl w:val="0"/>
          <w:numId w:val="0"/>
        </w:numPr>
        <w:tabs>
          <w:tab w:val="left" w:pos="-1440"/>
        </w:tabs>
        <w:ind w:left="720"/>
        <w:rPr>
          <w:b/>
          <w:bCs/>
          <w:sz w:val="24"/>
        </w:rPr>
      </w:pPr>
    </w:p>
    <w:p w:rsidRPr="00CB7F03" w:rsidR="00B925EF" w:rsidP="00F003FE" w:rsidRDefault="00B925EF" w14:paraId="38B374B3" w14:textId="77777777">
      <w:pPr>
        <w:pStyle w:val="Level1"/>
        <w:numPr>
          <w:ilvl w:val="0"/>
          <w:numId w:val="0"/>
        </w:numPr>
        <w:tabs>
          <w:tab w:val="left" w:pos="-1440"/>
        </w:tabs>
        <w:ind w:left="720"/>
        <w:rPr>
          <w:b/>
          <w:bCs/>
          <w:sz w:val="24"/>
        </w:rPr>
      </w:pPr>
    </w:p>
    <w:p w:rsidRPr="00CB7F03" w:rsidR="00B925EF" w:rsidP="00F003FE" w:rsidRDefault="00B925EF" w14:paraId="5790C600" w14:textId="77777777">
      <w:pPr>
        <w:pStyle w:val="Level1"/>
        <w:numPr>
          <w:ilvl w:val="0"/>
          <w:numId w:val="0"/>
        </w:numPr>
        <w:tabs>
          <w:tab w:val="left" w:pos="-1440"/>
        </w:tabs>
        <w:ind w:left="720"/>
        <w:rPr>
          <w:b/>
          <w:bCs/>
          <w:sz w:val="24"/>
        </w:rPr>
      </w:pPr>
    </w:p>
    <w:p w:rsidRPr="00CB7F03" w:rsidR="009925B5" w:rsidP="00F003FE" w:rsidRDefault="009925B5" w14:paraId="6808D912" w14:textId="77777777">
      <w:pPr>
        <w:pStyle w:val="Level1"/>
        <w:numPr>
          <w:ilvl w:val="0"/>
          <w:numId w:val="0"/>
        </w:numPr>
        <w:tabs>
          <w:tab w:val="left" w:pos="-1440"/>
        </w:tabs>
        <w:ind w:left="720"/>
        <w:rPr>
          <w:b/>
          <w:bCs/>
          <w:sz w:val="24"/>
        </w:rPr>
      </w:pPr>
    </w:p>
    <w:p w:rsidRPr="00CB7F03" w:rsidR="009925B5" w:rsidP="00F003FE" w:rsidRDefault="009925B5" w14:paraId="367C7709" w14:textId="77777777">
      <w:pPr>
        <w:pStyle w:val="Level1"/>
        <w:numPr>
          <w:ilvl w:val="0"/>
          <w:numId w:val="0"/>
        </w:numPr>
        <w:tabs>
          <w:tab w:val="left" w:pos="-1440"/>
        </w:tabs>
        <w:ind w:left="720"/>
        <w:rPr>
          <w:b/>
          <w:bCs/>
          <w:sz w:val="24"/>
        </w:rPr>
      </w:pPr>
    </w:p>
    <w:p w:rsidRPr="00CB7F03" w:rsidR="009925B5" w:rsidP="00F003FE" w:rsidRDefault="009925B5" w14:paraId="5FEF5289" w14:textId="77777777">
      <w:pPr>
        <w:pStyle w:val="Level1"/>
        <w:numPr>
          <w:ilvl w:val="0"/>
          <w:numId w:val="0"/>
        </w:numPr>
        <w:tabs>
          <w:tab w:val="left" w:pos="-1440"/>
        </w:tabs>
        <w:ind w:left="720"/>
        <w:rPr>
          <w:b/>
          <w:bCs/>
          <w:sz w:val="24"/>
        </w:rPr>
      </w:pPr>
    </w:p>
    <w:p w:rsidRPr="00CB7F03" w:rsidR="005031BD" w:rsidP="0011433E" w:rsidRDefault="005031BD" w14:paraId="7B3E296F" w14:textId="77777777">
      <w:pPr>
        <w:ind w:left="360"/>
        <w:rPr>
          <w:b/>
          <w:bCs/>
          <w:sz w:val="24"/>
        </w:rPr>
      </w:pPr>
    </w:p>
    <w:p w:rsidRPr="00CB7F03" w:rsidR="005031BD" w:rsidP="0011433E" w:rsidRDefault="005031BD" w14:paraId="1AC87519" w14:textId="77777777">
      <w:pPr>
        <w:ind w:left="360"/>
        <w:rPr>
          <w:b/>
          <w:bCs/>
          <w:sz w:val="24"/>
        </w:rPr>
      </w:pPr>
    </w:p>
    <w:p w:rsidRPr="00CB7F03" w:rsidR="005031BD" w:rsidP="0011433E" w:rsidRDefault="005031BD" w14:paraId="1740F79B" w14:textId="77777777">
      <w:pPr>
        <w:ind w:left="360"/>
        <w:rPr>
          <w:b/>
          <w:bCs/>
          <w:sz w:val="24"/>
        </w:rPr>
      </w:pPr>
    </w:p>
    <w:p w:rsidRPr="00CB7F03" w:rsidR="007145F2" w:rsidP="0011433E" w:rsidRDefault="007145F2" w14:paraId="3267BFA3" w14:textId="77777777">
      <w:pPr>
        <w:ind w:left="360"/>
        <w:rPr>
          <w:b/>
          <w:bCs/>
          <w:sz w:val="24"/>
        </w:rPr>
      </w:pPr>
    </w:p>
    <w:p w:rsidRPr="000238B7" w:rsidR="002E3089" w:rsidP="0011433E" w:rsidRDefault="002E3089" w14:paraId="512FB13F" w14:textId="77777777">
      <w:pPr>
        <w:ind w:left="360"/>
        <w:rPr>
          <w:b/>
          <w:bCs/>
          <w:sz w:val="24"/>
        </w:rPr>
      </w:pPr>
    </w:p>
    <w:p w:rsidRPr="000238B7" w:rsidR="002E3089" w:rsidP="0011433E" w:rsidRDefault="002E3089" w14:paraId="2DAFA058" w14:textId="77777777">
      <w:pPr>
        <w:ind w:left="360"/>
        <w:rPr>
          <w:b/>
          <w:bCs/>
          <w:sz w:val="24"/>
        </w:rPr>
      </w:pPr>
    </w:p>
    <w:p w:rsidRPr="00E45A9A" w:rsidR="00CB7F03" w:rsidP="00CB7F03" w:rsidRDefault="00CB7F03" w14:paraId="45A71D5F" w14:textId="77777777">
      <w:pPr>
        <w:ind w:left="360"/>
        <w:rPr>
          <w:b/>
          <w:bCs/>
          <w:sz w:val="24"/>
        </w:rPr>
      </w:pPr>
    </w:p>
    <w:p w:rsidRPr="00E45A9A" w:rsidR="00CB7F03" w:rsidP="00CB7F03" w:rsidRDefault="00CB7F03" w14:paraId="371E9157" w14:textId="77777777">
      <w:pPr>
        <w:ind w:left="360"/>
        <w:rPr>
          <w:b/>
          <w:bCs/>
          <w:sz w:val="24"/>
        </w:rPr>
      </w:pPr>
    </w:p>
    <w:p w:rsidR="00CB7F03" w:rsidP="00CB7F03" w:rsidRDefault="00CB7F03" w14:paraId="2ABA898D" w14:textId="77777777">
      <w:pPr>
        <w:ind w:left="360"/>
        <w:rPr>
          <w:b/>
          <w:bCs/>
          <w:sz w:val="24"/>
        </w:rPr>
      </w:pPr>
    </w:p>
    <w:p w:rsidR="000238B7" w:rsidP="00CB7F03" w:rsidRDefault="000238B7" w14:paraId="513BC2FC" w14:textId="77777777">
      <w:pPr>
        <w:ind w:left="360"/>
        <w:rPr>
          <w:b/>
          <w:bCs/>
          <w:sz w:val="24"/>
        </w:rPr>
      </w:pPr>
    </w:p>
    <w:p w:rsidRPr="000238B7" w:rsidR="000238B7" w:rsidP="00CB7F03" w:rsidRDefault="000238B7" w14:paraId="7CB41270" w14:textId="77777777">
      <w:pPr>
        <w:ind w:left="360"/>
        <w:rPr>
          <w:b/>
          <w:bCs/>
          <w:sz w:val="24"/>
        </w:rPr>
      </w:pPr>
    </w:p>
    <w:p w:rsidR="00CB7F03" w:rsidP="00CB7F03" w:rsidRDefault="00CB7F03" w14:paraId="23344B2D" w14:textId="77777777">
      <w:pPr>
        <w:ind w:left="360"/>
        <w:rPr>
          <w:b/>
          <w:bCs/>
          <w:sz w:val="24"/>
        </w:rPr>
      </w:pPr>
    </w:p>
    <w:p w:rsidR="000238B7" w:rsidP="00CB7F03" w:rsidRDefault="000238B7" w14:paraId="2834B3D3" w14:textId="77777777">
      <w:pPr>
        <w:ind w:left="360"/>
        <w:rPr>
          <w:b/>
          <w:bCs/>
          <w:sz w:val="24"/>
        </w:rPr>
      </w:pPr>
    </w:p>
    <w:p w:rsidR="000238B7" w:rsidP="00CB7F03" w:rsidRDefault="000238B7" w14:paraId="08E35B28" w14:textId="77777777">
      <w:pPr>
        <w:ind w:left="360"/>
        <w:rPr>
          <w:b/>
          <w:bCs/>
          <w:sz w:val="24"/>
        </w:rPr>
      </w:pPr>
    </w:p>
    <w:p w:rsidR="00F039F8" w:rsidP="00CB7F03" w:rsidRDefault="00F039F8" w14:paraId="152CB52C" w14:textId="77777777">
      <w:pPr>
        <w:ind w:left="360"/>
        <w:rPr>
          <w:b/>
          <w:bCs/>
          <w:sz w:val="24"/>
        </w:rPr>
      </w:pPr>
    </w:p>
    <w:p w:rsidR="00AE3F4A" w:rsidP="00CB7F03" w:rsidRDefault="00AE3F4A" w14:paraId="6F2F0FD4" w14:textId="77777777">
      <w:pPr>
        <w:ind w:left="360"/>
        <w:rPr>
          <w:b/>
          <w:bCs/>
          <w:sz w:val="24"/>
        </w:rPr>
      </w:pPr>
    </w:p>
    <w:p w:rsidRPr="000238B7" w:rsidR="00B2481C" w:rsidP="006770D4" w:rsidRDefault="0079762A" w14:paraId="7B7F36B7" w14:textId="77777777">
      <w:pPr>
        <w:numPr>
          <w:ilvl w:val="0"/>
          <w:numId w:val="2"/>
        </w:numPr>
        <w:rPr>
          <w:b/>
          <w:bCs/>
          <w:sz w:val="24"/>
        </w:rPr>
      </w:pPr>
      <w:r w:rsidRPr="000238B7">
        <w:rPr>
          <w:b/>
          <w:bCs/>
          <w:sz w:val="24"/>
        </w:rPr>
        <w:lastRenderedPageBreak/>
        <w:t>JUSTIFICATION</w:t>
      </w:r>
    </w:p>
    <w:p w:rsidRPr="000238B7" w:rsidR="001C26B3" w:rsidRDefault="001C26B3" w14:paraId="5A6310AD" w14:textId="77777777">
      <w:pPr>
        <w:rPr>
          <w:sz w:val="24"/>
        </w:rPr>
      </w:pPr>
    </w:p>
    <w:p w:rsidR="004D4C85" w:rsidP="00196FE8" w:rsidRDefault="00C915EA" w14:paraId="2583A2FA" w14:textId="77777777">
      <w:pPr>
        <w:rPr>
          <w:sz w:val="24"/>
          <w:szCs w:val="20"/>
        </w:rPr>
      </w:pPr>
      <w:r w:rsidRPr="00E45A9A">
        <w:rPr>
          <w:sz w:val="24"/>
          <w:szCs w:val="20"/>
        </w:rPr>
        <w:t>This is a revision request for the currently approved National Violent Death Reporting System (NVDRS) - OMB# 0920-0607, expiration date</w:t>
      </w:r>
      <w:r w:rsidR="0050145B">
        <w:rPr>
          <w:sz w:val="24"/>
          <w:szCs w:val="20"/>
        </w:rPr>
        <w:t xml:space="preserve"> 7/</w:t>
      </w:r>
      <w:r w:rsidR="00710911">
        <w:rPr>
          <w:sz w:val="24"/>
          <w:szCs w:val="20"/>
        </w:rPr>
        <w:t>31/</w:t>
      </w:r>
      <w:r w:rsidR="00466E62">
        <w:rPr>
          <w:sz w:val="24"/>
          <w:szCs w:val="20"/>
        </w:rPr>
        <w:t>20</w:t>
      </w:r>
      <w:r w:rsidR="00710911">
        <w:rPr>
          <w:sz w:val="24"/>
          <w:szCs w:val="20"/>
        </w:rPr>
        <w:t>23</w:t>
      </w:r>
      <w:r w:rsidRPr="00E45A9A">
        <w:rPr>
          <w:sz w:val="24"/>
          <w:szCs w:val="20"/>
        </w:rPr>
        <w:t xml:space="preserve">. </w:t>
      </w:r>
      <w:r w:rsidRPr="00BD6652" w:rsidR="000238B7">
        <w:rPr>
          <w:sz w:val="24"/>
          <w:szCs w:val="20"/>
        </w:rPr>
        <w:t xml:space="preserve">With this revision, CDC </w:t>
      </w:r>
      <w:r w:rsidR="00D531F6">
        <w:rPr>
          <w:sz w:val="24"/>
          <w:szCs w:val="20"/>
        </w:rPr>
        <w:t>is</w:t>
      </w:r>
      <w:r w:rsidRPr="00BD6652" w:rsidR="000238B7">
        <w:rPr>
          <w:sz w:val="24"/>
          <w:szCs w:val="20"/>
        </w:rPr>
        <w:t xml:space="preserve"> </w:t>
      </w:r>
      <w:r w:rsidRPr="00D531F6" w:rsidR="00D531F6">
        <w:rPr>
          <w:sz w:val="24"/>
          <w:szCs w:val="20"/>
        </w:rPr>
        <w:t>requesting</w:t>
      </w:r>
      <w:r w:rsidRPr="00BD6652" w:rsidR="000238B7">
        <w:rPr>
          <w:sz w:val="24"/>
          <w:szCs w:val="20"/>
        </w:rPr>
        <w:t xml:space="preserve"> OMB approval for an additional 3 years to continue data collection efforts.</w:t>
      </w:r>
      <w:r w:rsidRPr="00E45A9A" w:rsidR="000238B7">
        <w:rPr>
          <w:sz w:val="24"/>
          <w:szCs w:val="20"/>
        </w:rPr>
        <w:t xml:space="preserve"> Extensions and revisions have been requested in the past; CDC received initial OMB approval in November 2004 and renewals in January 2007, November 2009, September 2012, June 2013, </w:t>
      </w:r>
      <w:r w:rsidRPr="00E45A9A" w:rsidR="00252923">
        <w:rPr>
          <w:sz w:val="24"/>
          <w:szCs w:val="20"/>
        </w:rPr>
        <w:t>October</w:t>
      </w:r>
      <w:r w:rsidRPr="00E45A9A" w:rsidR="000238B7">
        <w:rPr>
          <w:sz w:val="24"/>
          <w:szCs w:val="20"/>
        </w:rPr>
        <w:t xml:space="preserve"> 2014</w:t>
      </w:r>
      <w:r w:rsidR="0079179B">
        <w:rPr>
          <w:sz w:val="24"/>
          <w:szCs w:val="20"/>
        </w:rPr>
        <w:t xml:space="preserve">, </w:t>
      </w:r>
      <w:r w:rsidR="00252923">
        <w:rPr>
          <w:sz w:val="24"/>
          <w:szCs w:val="20"/>
        </w:rPr>
        <w:t>November</w:t>
      </w:r>
      <w:r w:rsidR="0079179B">
        <w:rPr>
          <w:sz w:val="24"/>
          <w:szCs w:val="20"/>
        </w:rPr>
        <w:t xml:space="preserve"> 2017</w:t>
      </w:r>
      <w:r w:rsidR="00762605">
        <w:rPr>
          <w:sz w:val="24"/>
          <w:szCs w:val="20"/>
        </w:rPr>
        <w:t xml:space="preserve">, and </w:t>
      </w:r>
      <w:r w:rsidR="0050145B">
        <w:rPr>
          <w:sz w:val="24"/>
          <w:szCs w:val="20"/>
        </w:rPr>
        <w:t>July 2020</w:t>
      </w:r>
      <w:r w:rsidRPr="00E45A9A" w:rsidR="000238B7">
        <w:rPr>
          <w:sz w:val="24"/>
          <w:szCs w:val="20"/>
        </w:rPr>
        <w:t>.</w:t>
      </w:r>
      <w:r w:rsidR="004D4C85">
        <w:rPr>
          <w:sz w:val="24"/>
          <w:szCs w:val="20"/>
        </w:rPr>
        <w:t xml:space="preserve"> </w:t>
      </w:r>
      <w:r w:rsidR="0012044C">
        <w:rPr>
          <w:sz w:val="24"/>
          <w:szCs w:val="20"/>
        </w:rPr>
        <w:t>The last revision</w:t>
      </w:r>
      <w:r w:rsidR="008A15C1">
        <w:rPr>
          <w:sz w:val="24"/>
          <w:szCs w:val="20"/>
        </w:rPr>
        <w:t xml:space="preserve"> request that was </w:t>
      </w:r>
      <w:r w:rsidR="0012044C">
        <w:rPr>
          <w:sz w:val="24"/>
          <w:szCs w:val="20"/>
        </w:rPr>
        <w:t xml:space="preserve">approved in July 2020 was to </w:t>
      </w:r>
      <w:r w:rsidRPr="0012044C" w:rsidR="0012044C">
        <w:rPr>
          <w:sz w:val="24"/>
          <w:szCs w:val="20"/>
        </w:rPr>
        <w:t>1) implement updates to the web-based system to improve performance, functionality, and accessibility, 2) add new data elements to the system</w:t>
      </w:r>
      <w:r w:rsidR="00324BFA">
        <w:rPr>
          <w:sz w:val="24"/>
          <w:szCs w:val="20"/>
        </w:rPr>
        <w:t>,</w:t>
      </w:r>
      <w:r w:rsidRPr="0012044C" w:rsidR="0012044C">
        <w:rPr>
          <w:sz w:val="24"/>
          <w:szCs w:val="20"/>
        </w:rPr>
        <w:t xml:space="preserve"> and </w:t>
      </w:r>
      <w:r w:rsidR="0018597E">
        <w:rPr>
          <w:sz w:val="24"/>
          <w:szCs w:val="20"/>
        </w:rPr>
        <w:t xml:space="preserve">3) </w:t>
      </w:r>
      <w:r w:rsidR="00324BFA">
        <w:rPr>
          <w:sz w:val="24"/>
          <w:szCs w:val="20"/>
        </w:rPr>
        <w:t xml:space="preserve">make </w:t>
      </w:r>
      <w:r w:rsidRPr="0012044C" w:rsidR="0012044C">
        <w:rPr>
          <w:sz w:val="24"/>
          <w:szCs w:val="20"/>
        </w:rPr>
        <w:t xml:space="preserve">minimal revisions to the NVDRS coding manual. </w:t>
      </w:r>
      <w:bookmarkStart w:name="_Hlk76984307" w:id="1"/>
    </w:p>
    <w:p w:rsidR="004D4C85" w:rsidP="00196FE8" w:rsidRDefault="004D4C85" w14:paraId="46101A66" w14:textId="77777777">
      <w:pPr>
        <w:rPr>
          <w:sz w:val="24"/>
          <w:szCs w:val="20"/>
        </w:rPr>
      </w:pPr>
    </w:p>
    <w:p w:rsidR="00B654AC" w:rsidP="00196FE8" w:rsidRDefault="009E144B" w14:paraId="72D1A321" w14:textId="77777777">
      <w:pPr>
        <w:rPr>
          <w:sz w:val="24"/>
          <w:szCs w:val="20"/>
        </w:rPr>
      </w:pPr>
      <w:r w:rsidRPr="004D4C85">
        <w:rPr>
          <w:sz w:val="24"/>
          <w:szCs w:val="20"/>
        </w:rPr>
        <w:t xml:space="preserve">This revision </w:t>
      </w:r>
      <w:r w:rsidRPr="004D4C85" w:rsidR="009B00A7">
        <w:rPr>
          <w:sz w:val="24"/>
          <w:szCs w:val="20"/>
        </w:rPr>
        <w:t xml:space="preserve">request </w:t>
      </w:r>
      <w:r w:rsidRPr="004D4C85">
        <w:rPr>
          <w:sz w:val="24"/>
          <w:szCs w:val="20"/>
        </w:rPr>
        <w:t xml:space="preserve">is </w:t>
      </w:r>
      <w:r w:rsidRPr="004D4C85" w:rsidR="00A81E2F">
        <w:rPr>
          <w:sz w:val="24"/>
          <w:szCs w:val="20"/>
        </w:rPr>
        <w:t xml:space="preserve">for several changes </w:t>
      </w:r>
      <w:r w:rsidRPr="004D4C85">
        <w:rPr>
          <w:sz w:val="24"/>
          <w:szCs w:val="20"/>
        </w:rPr>
        <w:t>to the system</w:t>
      </w:r>
      <w:r w:rsidRPr="004D4C85" w:rsidR="00A81E2F">
        <w:rPr>
          <w:sz w:val="24"/>
          <w:szCs w:val="20"/>
        </w:rPr>
        <w:t xml:space="preserve">: 1) </w:t>
      </w:r>
      <w:r w:rsidR="005C6740">
        <w:rPr>
          <w:sz w:val="24"/>
          <w:szCs w:val="20"/>
        </w:rPr>
        <w:t>I</w:t>
      </w:r>
      <w:r w:rsidRPr="004D4C85" w:rsidR="00A81E2F">
        <w:rPr>
          <w:sz w:val="24"/>
          <w:szCs w:val="20"/>
        </w:rPr>
        <w:t>mplementation of updates to the web-based system to improve performance, functionality, and accessibilit</w:t>
      </w:r>
      <w:r w:rsidR="00482CB9">
        <w:rPr>
          <w:sz w:val="24"/>
          <w:szCs w:val="20"/>
        </w:rPr>
        <w:t xml:space="preserve">y; </w:t>
      </w:r>
      <w:r w:rsidRPr="004D4C85" w:rsidR="00A81E2F">
        <w:rPr>
          <w:sz w:val="24"/>
          <w:szCs w:val="20"/>
        </w:rPr>
        <w:t>2</w:t>
      </w:r>
      <w:r w:rsidRPr="004D4C85">
        <w:rPr>
          <w:sz w:val="24"/>
          <w:szCs w:val="20"/>
        </w:rPr>
        <w:t xml:space="preserve">) </w:t>
      </w:r>
      <w:bookmarkStart w:name="_Hlk77600780" w:id="2"/>
      <w:r w:rsidR="005C6740">
        <w:rPr>
          <w:sz w:val="24"/>
          <w:szCs w:val="20"/>
        </w:rPr>
        <w:t>A</w:t>
      </w:r>
      <w:r w:rsidRPr="004D4C85" w:rsidR="00A81E2F">
        <w:rPr>
          <w:sz w:val="24"/>
          <w:szCs w:val="20"/>
        </w:rPr>
        <w:t>dding</w:t>
      </w:r>
      <w:bookmarkEnd w:id="2"/>
      <w:r w:rsidRPr="004D4C85" w:rsidR="00A81E2F">
        <w:rPr>
          <w:sz w:val="24"/>
          <w:szCs w:val="20"/>
        </w:rPr>
        <w:t xml:space="preserve"> </w:t>
      </w:r>
      <w:r w:rsidRPr="004D4C85" w:rsidR="0045384B">
        <w:rPr>
          <w:sz w:val="24"/>
          <w:szCs w:val="20"/>
        </w:rPr>
        <w:t>t</w:t>
      </w:r>
      <w:r w:rsidRPr="004D4C85">
        <w:rPr>
          <w:sz w:val="24"/>
          <w:szCs w:val="20"/>
        </w:rPr>
        <w:t xml:space="preserve">hirteen </w:t>
      </w:r>
      <w:r w:rsidRPr="004D4C85" w:rsidR="003968F1">
        <w:rPr>
          <w:sz w:val="24"/>
          <w:szCs w:val="20"/>
        </w:rPr>
        <w:t xml:space="preserve">new data elements </w:t>
      </w:r>
      <w:r w:rsidRPr="004D4C85" w:rsidR="00A81E2F">
        <w:rPr>
          <w:sz w:val="24"/>
          <w:szCs w:val="20"/>
        </w:rPr>
        <w:t>t</w:t>
      </w:r>
      <w:r w:rsidRPr="004D4C85" w:rsidR="003968F1">
        <w:rPr>
          <w:sz w:val="24"/>
          <w:szCs w:val="20"/>
        </w:rPr>
        <w:t xml:space="preserve">o the </w:t>
      </w:r>
      <w:r w:rsidRPr="004D4C85" w:rsidR="00B44821">
        <w:rPr>
          <w:sz w:val="24"/>
          <w:szCs w:val="20"/>
        </w:rPr>
        <w:t xml:space="preserve">web-based </w:t>
      </w:r>
      <w:r w:rsidRPr="004D4C85" w:rsidR="003968F1">
        <w:rPr>
          <w:sz w:val="24"/>
          <w:szCs w:val="20"/>
        </w:rPr>
        <w:t>system: housing instability, history of non-suicidal self injury/self harm, household known to local authorities, caregiver use of corporal punishment contributed to child death, children present and/or witnessed fatal incident, prior child protective services report on child victim’s household, substance abuse in child victim’s household, caregiver burden, history</w:t>
      </w:r>
      <w:r w:rsidRPr="004D4C85" w:rsidR="00B83C7A">
        <w:rPr>
          <w:sz w:val="24"/>
          <w:szCs w:val="20"/>
        </w:rPr>
        <w:t xml:space="preserve"> </w:t>
      </w:r>
      <w:r w:rsidRPr="004D4C85" w:rsidR="003968F1">
        <w:rPr>
          <w:sz w:val="24"/>
          <w:szCs w:val="20"/>
        </w:rPr>
        <w:t>of traumatic brain injury, family stressor, life transition/loss of independent living, non-adherence to mental health/substance abuse treatment, and disaster exposure (revisions to existing variable)</w:t>
      </w:r>
      <w:r w:rsidR="00482CB9">
        <w:rPr>
          <w:sz w:val="24"/>
          <w:szCs w:val="20"/>
        </w:rPr>
        <w:t xml:space="preserve">; </w:t>
      </w:r>
      <w:r w:rsidRPr="004D4C85" w:rsidR="00A81E2F">
        <w:rPr>
          <w:sz w:val="24"/>
          <w:szCs w:val="20"/>
        </w:rPr>
        <w:t>3</w:t>
      </w:r>
      <w:r w:rsidRPr="004D4C85">
        <w:rPr>
          <w:sz w:val="24"/>
          <w:szCs w:val="20"/>
        </w:rPr>
        <w:t xml:space="preserve">) </w:t>
      </w:r>
      <w:r w:rsidR="005C6740">
        <w:rPr>
          <w:sz w:val="24"/>
          <w:szCs w:val="20"/>
        </w:rPr>
        <w:t>A</w:t>
      </w:r>
      <w:r w:rsidRPr="004D4C85" w:rsidR="005C6740">
        <w:rPr>
          <w:sz w:val="24"/>
          <w:szCs w:val="20"/>
        </w:rPr>
        <w:t xml:space="preserve">dding </w:t>
      </w:r>
      <w:r w:rsidRPr="004D4C85">
        <w:rPr>
          <w:sz w:val="24"/>
          <w:szCs w:val="20"/>
        </w:rPr>
        <w:t>t</w:t>
      </w:r>
      <w:r w:rsidRPr="004D4C85" w:rsidR="00B44821">
        <w:rPr>
          <w:sz w:val="24"/>
          <w:szCs w:val="20"/>
        </w:rPr>
        <w:t xml:space="preserve">he School Associated Violent Death </w:t>
      </w:r>
      <w:r w:rsidRPr="004D4C85" w:rsidR="00C95420">
        <w:rPr>
          <w:sz w:val="24"/>
          <w:szCs w:val="20"/>
        </w:rPr>
        <w:t xml:space="preserve">(SAVD) </w:t>
      </w:r>
      <w:r w:rsidRPr="004D4C85" w:rsidR="00B44821">
        <w:rPr>
          <w:sz w:val="24"/>
          <w:szCs w:val="20"/>
        </w:rPr>
        <w:t xml:space="preserve">module (only applicable to school-related incidents meeting certain inclusion criteria) to NVDRS Software 2.2 in order to capture such incidents. A screenshot of this module is available in </w:t>
      </w:r>
      <w:r w:rsidRPr="00D36F0A" w:rsidR="00B44821">
        <w:rPr>
          <w:sz w:val="24"/>
          <w:szCs w:val="20"/>
        </w:rPr>
        <w:t xml:space="preserve">Attachment </w:t>
      </w:r>
      <w:r w:rsidRPr="00D36F0A" w:rsidR="00A438A8">
        <w:rPr>
          <w:sz w:val="24"/>
          <w:szCs w:val="20"/>
        </w:rPr>
        <w:t>6.</w:t>
      </w:r>
      <w:r w:rsidRPr="00D36F0A">
        <w:rPr>
          <w:sz w:val="24"/>
          <w:szCs w:val="20"/>
        </w:rPr>
        <w:t xml:space="preserve"> </w:t>
      </w:r>
      <w:r w:rsidRPr="00D36F0A" w:rsidR="005C6740">
        <w:rPr>
          <w:sz w:val="24"/>
          <w:szCs w:val="20"/>
        </w:rPr>
        <w:t>The</w:t>
      </w:r>
      <w:r w:rsidRPr="004D4C85" w:rsidR="005C6740">
        <w:rPr>
          <w:sz w:val="24"/>
          <w:szCs w:val="20"/>
        </w:rPr>
        <w:t xml:space="preserve"> SAVD module</w:t>
      </w:r>
      <w:r w:rsidR="005C6740">
        <w:rPr>
          <w:sz w:val="24"/>
          <w:szCs w:val="20"/>
        </w:rPr>
        <w:t xml:space="preserve"> </w:t>
      </w:r>
      <w:r w:rsidRPr="004D4C85" w:rsidR="005C6740">
        <w:rPr>
          <w:sz w:val="24"/>
          <w:szCs w:val="20"/>
        </w:rPr>
        <w:t>will be a tab in the NVDRS web-based system that only applies to</w:t>
      </w:r>
      <w:r w:rsidR="005C6740">
        <w:rPr>
          <w:sz w:val="24"/>
          <w:szCs w:val="20"/>
        </w:rPr>
        <w:t xml:space="preserve"> SAVD</w:t>
      </w:r>
      <w:r w:rsidR="00482CB9">
        <w:rPr>
          <w:sz w:val="24"/>
          <w:szCs w:val="20"/>
        </w:rPr>
        <w:t xml:space="preserve">; </w:t>
      </w:r>
      <w:r w:rsidRPr="004D4C85" w:rsidR="00A81E2F">
        <w:rPr>
          <w:sz w:val="24"/>
          <w:szCs w:val="20"/>
        </w:rPr>
        <w:t>4</w:t>
      </w:r>
      <w:r w:rsidRPr="004D4C85">
        <w:rPr>
          <w:sz w:val="24"/>
          <w:szCs w:val="20"/>
        </w:rPr>
        <w:t xml:space="preserve">) </w:t>
      </w:r>
      <w:r w:rsidR="005C6740">
        <w:rPr>
          <w:sz w:val="24"/>
          <w:szCs w:val="20"/>
        </w:rPr>
        <w:t>A</w:t>
      </w:r>
      <w:r w:rsidRPr="004D4C85" w:rsidR="005C6740">
        <w:rPr>
          <w:sz w:val="24"/>
          <w:szCs w:val="20"/>
        </w:rPr>
        <w:t xml:space="preserve">dding </w:t>
      </w:r>
      <w:r w:rsidRPr="004D4C85" w:rsidR="00A438A8">
        <w:rPr>
          <w:sz w:val="24"/>
          <w:szCs w:val="20"/>
        </w:rPr>
        <w:t>new variables that have been</w:t>
      </w:r>
      <w:r w:rsidRPr="004D4C85" w:rsidR="0095647B">
        <w:rPr>
          <w:sz w:val="24"/>
          <w:szCs w:val="20"/>
        </w:rPr>
        <w:t xml:space="preserve"> incorporated</w:t>
      </w:r>
      <w:r w:rsidRPr="004D4C85" w:rsidR="00A438A8">
        <w:rPr>
          <w:sz w:val="24"/>
          <w:szCs w:val="20"/>
        </w:rPr>
        <w:t xml:space="preserve"> </w:t>
      </w:r>
      <w:r w:rsidRPr="004D4C85" w:rsidR="0095647B">
        <w:rPr>
          <w:sz w:val="24"/>
          <w:szCs w:val="20"/>
        </w:rPr>
        <w:t>in</w:t>
      </w:r>
      <w:r w:rsidRPr="004D4C85" w:rsidR="00A438A8">
        <w:rPr>
          <w:sz w:val="24"/>
          <w:szCs w:val="20"/>
        </w:rPr>
        <w:t>to NVDRS 2.3 software</w:t>
      </w:r>
      <w:r w:rsidR="00584C94">
        <w:rPr>
          <w:sz w:val="24"/>
          <w:szCs w:val="20"/>
        </w:rPr>
        <w:t>.</w:t>
      </w:r>
      <w:r w:rsidRPr="004D4C85" w:rsidR="00A438A8">
        <w:rPr>
          <w:sz w:val="24"/>
          <w:szCs w:val="20"/>
        </w:rPr>
        <w:t xml:space="preserve"> These variables </w:t>
      </w:r>
      <w:proofErr w:type="gramStart"/>
      <w:r w:rsidRPr="004D4C85" w:rsidR="00A438A8">
        <w:rPr>
          <w:sz w:val="24"/>
          <w:szCs w:val="20"/>
        </w:rPr>
        <w:t>are</w:t>
      </w:r>
      <w:r w:rsidRPr="004D4C85" w:rsidR="007B3A4E">
        <w:rPr>
          <w:sz w:val="24"/>
          <w:szCs w:val="20"/>
        </w:rPr>
        <w:t>:</w:t>
      </w:r>
      <w:proofErr w:type="gramEnd"/>
      <w:r w:rsidRPr="004D4C85" w:rsidR="00A438A8">
        <w:rPr>
          <w:sz w:val="24"/>
          <w:szCs w:val="20"/>
        </w:rPr>
        <w:t xml:space="preserve"> </w:t>
      </w:r>
      <w:r w:rsidRPr="004D4C85" w:rsidR="0045384B">
        <w:rPr>
          <w:sz w:val="24"/>
          <w:szCs w:val="20"/>
        </w:rPr>
        <w:t>vi</w:t>
      </w:r>
      <w:r w:rsidRPr="004D4C85" w:rsidR="00A438A8">
        <w:rPr>
          <w:sz w:val="24"/>
          <w:szCs w:val="20"/>
        </w:rPr>
        <w:t>ctim known to local authorities, no substance(s) given as cause of death (on toxicology tab) and type of physical health problem</w:t>
      </w:r>
      <w:r w:rsidRPr="004D4C85" w:rsidR="009C2250">
        <w:rPr>
          <w:sz w:val="24"/>
          <w:szCs w:val="20"/>
        </w:rPr>
        <w:t>.</w:t>
      </w:r>
      <w:r w:rsidRPr="004D4C85" w:rsidR="00727D9B">
        <w:rPr>
          <w:sz w:val="24"/>
          <w:szCs w:val="20"/>
        </w:rPr>
        <w:t xml:space="preserve"> </w:t>
      </w:r>
      <w:r w:rsidRPr="004D4C85" w:rsidR="009C2250">
        <w:rPr>
          <w:sz w:val="24"/>
          <w:szCs w:val="20"/>
        </w:rPr>
        <w:t xml:space="preserve">In </w:t>
      </w:r>
      <w:proofErr w:type="gramStart"/>
      <w:r w:rsidRPr="004D4C85" w:rsidR="009C2250">
        <w:rPr>
          <w:sz w:val="24"/>
          <w:szCs w:val="20"/>
        </w:rPr>
        <w:t>addition</w:t>
      </w:r>
      <w:r w:rsidR="00482CB9">
        <w:rPr>
          <w:sz w:val="24"/>
          <w:szCs w:val="20"/>
        </w:rPr>
        <w:t>;</w:t>
      </w:r>
      <w:proofErr w:type="gramEnd"/>
      <w:r w:rsidR="00482CB9">
        <w:rPr>
          <w:sz w:val="24"/>
          <w:szCs w:val="20"/>
        </w:rPr>
        <w:t xml:space="preserve"> </w:t>
      </w:r>
      <w:r w:rsidRPr="004D4C85" w:rsidR="00A81E2F">
        <w:rPr>
          <w:sz w:val="24"/>
          <w:szCs w:val="20"/>
        </w:rPr>
        <w:t>5</w:t>
      </w:r>
      <w:r w:rsidRPr="004D4C85">
        <w:rPr>
          <w:sz w:val="24"/>
          <w:szCs w:val="20"/>
        </w:rPr>
        <w:t xml:space="preserve">) </w:t>
      </w:r>
      <w:r w:rsidR="005C6740">
        <w:rPr>
          <w:sz w:val="24"/>
          <w:szCs w:val="20"/>
        </w:rPr>
        <w:t>A</w:t>
      </w:r>
      <w:r w:rsidRPr="004D4C85" w:rsidR="005C6740">
        <w:rPr>
          <w:sz w:val="24"/>
          <w:szCs w:val="20"/>
        </w:rPr>
        <w:t xml:space="preserve">dding </w:t>
      </w:r>
      <w:r w:rsidR="005C6740">
        <w:rPr>
          <w:sz w:val="24"/>
          <w:szCs w:val="20"/>
        </w:rPr>
        <w:t xml:space="preserve">the </w:t>
      </w:r>
      <w:r w:rsidRPr="004D4C85" w:rsidR="005C6740">
        <w:rPr>
          <w:sz w:val="24"/>
          <w:szCs w:val="20"/>
        </w:rPr>
        <w:t>Public Safety Officer Suicide Reporting modul</w:t>
      </w:r>
      <w:r w:rsidR="005C6740">
        <w:rPr>
          <w:sz w:val="24"/>
          <w:szCs w:val="20"/>
        </w:rPr>
        <w:t xml:space="preserve">e, </w:t>
      </w:r>
      <w:r w:rsidRPr="004D4C85" w:rsidR="00A438A8">
        <w:rPr>
          <w:sz w:val="24"/>
          <w:szCs w:val="20"/>
        </w:rPr>
        <w:t xml:space="preserve">to the system to capture more detailed information </w:t>
      </w:r>
      <w:r w:rsidRPr="004D4C85" w:rsidR="009C2250">
        <w:rPr>
          <w:sz w:val="24"/>
          <w:szCs w:val="20"/>
        </w:rPr>
        <w:t xml:space="preserve">on </w:t>
      </w:r>
      <w:r w:rsidRPr="004D4C85" w:rsidR="00A438A8">
        <w:rPr>
          <w:sz w:val="24"/>
          <w:szCs w:val="20"/>
        </w:rPr>
        <w:t>suicide</w:t>
      </w:r>
      <w:r w:rsidRPr="004D4C85" w:rsidR="009C2250">
        <w:rPr>
          <w:sz w:val="24"/>
          <w:szCs w:val="20"/>
        </w:rPr>
        <w:t>s</w:t>
      </w:r>
      <w:r w:rsidRPr="004D4C85" w:rsidR="00A438A8">
        <w:rPr>
          <w:sz w:val="24"/>
          <w:szCs w:val="20"/>
        </w:rPr>
        <w:t xml:space="preserve"> among public safety officers. This module will include information </w:t>
      </w:r>
      <w:r w:rsidRPr="00D36F0A" w:rsidR="00A438A8">
        <w:rPr>
          <w:sz w:val="24"/>
          <w:szCs w:val="20"/>
        </w:rPr>
        <w:t>specific to first responders and build</w:t>
      </w:r>
      <w:r w:rsidRPr="00D36F0A" w:rsidR="006357D6">
        <w:rPr>
          <w:sz w:val="24"/>
          <w:szCs w:val="20"/>
        </w:rPr>
        <w:t>s</w:t>
      </w:r>
      <w:r w:rsidRPr="00D36F0A" w:rsidR="00A438A8">
        <w:rPr>
          <w:sz w:val="24"/>
          <w:szCs w:val="20"/>
        </w:rPr>
        <w:t xml:space="preserve"> upon elements collected as part of current NVDRS</w:t>
      </w:r>
      <w:r w:rsidRPr="00D36F0A" w:rsidR="00727D9B">
        <w:rPr>
          <w:sz w:val="24"/>
          <w:szCs w:val="20"/>
        </w:rPr>
        <w:t xml:space="preserve"> (see Attachment </w:t>
      </w:r>
      <w:r w:rsidRPr="00D36F0A" w:rsidR="00C3342F">
        <w:rPr>
          <w:sz w:val="24"/>
          <w:szCs w:val="20"/>
        </w:rPr>
        <w:t>7</w:t>
      </w:r>
      <w:r w:rsidRPr="00D36F0A" w:rsidR="00727D9B">
        <w:rPr>
          <w:sz w:val="24"/>
          <w:szCs w:val="20"/>
        </w:rPr>
        <w:t>)</w:t>
      </w:r>
      <w:r w:rsidRPr="00D36F0A" w:rsidR="00A438A8">
        <w:rPr>
          <w:sz w:val="24"/>
          <w:szCs w:val="20"/>
        </w:rPr>
        <w:t xml:space="preserve">. </w:t>
      </w:r>
      <w:r w:rsidRPr="00D36F0A" w:rsidR="006357D6">
        <w:rPr>
          <w:sz w:val="24"/>
          <w:szCs w:val="20"/>
        </w:rPr>
        <w:t>Like</w:t>
      </w:r>
      <w:r w:rsidRPr="004D4C85" w:rsidR="006357D6">
        <w:rPr>
          <w:sz w:val="24"/>
          <w:szCs w:val="20"/>
        </w:rPr>
        <w:t xml:space="preserve"> the SAVD module, it will be a tab in the </w:t>
      </w:r>
      <w:r w:rsidRPr="004D4C85" w:rsidR="009B00A7">
        <w:rPr>
          <w:sz w:val="24"/>
          <w:szCs w:val="20"/>
        </w:rPr>
        <w:t xml:space="preserve">NVDRS web-based </w:t>
      </w:r>
      <w:r w:rsidRPr="004D4C85" w:rsidR="006357D6">
        <w:rPr>
          <w:sz w:val="24"/>
          <w:szCs w:val="20"/>
        </w:rPr>
        <w:t>system</w:t>
      </w:r>
      <w:r w:rsidRPr="004D4C85" w:rsidR="00C95420">
        <w:rPr>
          <w:sz w:val="24"/>
          <w:szCs w:val="20"/>
        </w:rPr>
        <w:t xml:space="preserve"> that only applies to a subset of </w:t>
      </w:r>
      <w:r w:rsidRPr="004D4C85" w:rsidR="007E674F">
        <w:rPr>
          <w:sz w:val="24"/>
          <w:szCs w:val="20"/>
        </w:rPr>
        <w:t>incidents</w:t>
      </w:r>
      <w:r w:rsidRPr="004D4C85" w:rsidR="006357D6">
        <w:rPr>
          <w:sz w:val="24"/>
          <w:szCs w:val="20"/>
        </w:rPr>
        <w:t xml:space="preserve">. </w:t>
      </w:r>
    </w:p>
    <w:p w:rsidR="00B654AC" w:rsidP="00196FE8" w:rsidRDefault="00B654AC" w14:paraId="6F6C0E4A" w14:textId="77777777">
      <w:pPr>
        <w:rPr>
          <w:sz w:val="24"/>
          <w:szCs w:val="20"/>
        </w:rPr>
      </w:pPr>
    </w:p>
    <w:p w:rsidR="000B6408" w:rsidP="00196FE8" w:rsidRDefault="00C41B03" w14:paraId="1F6D1CE7" w14:textId="77777777">
      <w:pPr>
        <w:rPr>
          <w:sz w:val="24"/>
          <w:szCs w:val="20"/>
        </w:rPr>
      </w:pPr>
      <w:r w:rsidRPr="004D4C85">
        <w:rPr>
          <w:sz w:val="24"/>
          <w:szCs w:val="20"/>
        </w:rPr>
        <w:t xml:space="preserve">A software update, version 2.3, includes: 1) capability to transfer cases from one state to another, to assist collaboration on border-crossing incidents </w:t>
      </w:r>
      <w:r w:rsidR="00584C94">
        <w:rPr>
          <w:sz w:val="24"/>
          <w:szCs w:val="20"/>
        </w:rPr>
        <w:t xml:space="preserve">and </w:t>
      </w:r>
      <w:r w:rsidRPr="004D4C85">
        <w:rPr>
          <w:sz w:val="24"/>
          <w:szCs w:val="20"/>
        </w:rPr>
        <w:t xml:space="preserve">2) generation of custom data export files on demand </w:t>
      </w:r>
      <w:bookmarkEnd w:id="1"/>
      <w:proofErr w:type="gramStart"/>
      <w:r w:rsidRPr="004D4C85" w:rsidR="00111B8C">
        <w:rPr>
          <w:sz w:val="24"/>
          <w:szCs w:val="20"/>
        </w:rPr>
        <w:t>The</w:t>
      </w:r>
      <w:proofErr w:type="gramEnd"/>
      <w:r w:rsidRPr="004D4C85" w:rsidR="00111B8C">
        <w:rPr>
          <w:sz w:val="24"/>
          <w:szCs w:val="20"/>
        </w:rPr>
        <w:t xml:space="preserve"> new variables described </w:t>
      </w:r>
      <w:r w:rsidRPr="004D4C85">
        <w:rPr>
          <w:sz w:val="24"/>
          <w:szCs w:val="20"/>
        </w:rPr>
        <w:t xml:space="preserve">in </w:t>
      </w:r>
      <w:r w:rsidRPr="004D4C85" w:rsidR="001B10D5">
        <w:rPr>
          <w:sz w:val="24"/>
          <w:szCs w:val="20"/>
        </w:rPr>
        <w:t>updates</w:t>
      </w:r>
      <w:r w:rsidRPr="004D4C85" w:rsidR="00111B8C">
        <w:rPr>
          <w:sz w:val="24"/>
          <w:szCs w:val="20"/>
        </w:rPr>
        <w:t xml:space="preserve"> (2) and (4) </w:t>
      </w:r>
      <w:r w:rsidRPr="004D4C85" w:rsidR="001B10D5">
        <w:rPr>
          <w:sz w:val="24"/>
          <w:szCs w:val="20"/>
        </w:rPr>
        <w:t xml:space="preserve">were needed </w:t>
      </w:r>
      <w:r w:rsidRPr="004D4C85" w:rsidR="007E674F">
        <w:rPr>
          <w:sz w:val="24"/>
          <w:szCs w:val="20"/>
        </w:rPr>
        <w:t>in response to feedback from</w:t>
      </w:r>
      <w:r w:rsidR="004C4905">
        <w:rPr>
          <w:sz w:val="24"/>
          <w:szCs w:val="20"/>
        </w:rPr>
        <w:t xml:space="preserve"> violent death reporting system</w:t>
      </w:r>
      <w:r w:rsidRPr="004D4C85" w:rsidR="007E674F">
        <w:rPr>
          <w:sz w:val="24"/>
          <w:szCs w:val="20"/>
        </w:rPr>
        <w:t xml:space="preserve"> abstractors and discussions among NVDRS scientific and Information Technology staff about how to better capture this information. </w:t>
      </w:r>
    </w:p>
    <w:p w:rsidR="005C6740" w:rsidP="00196FE8" w:rsidRDefault="005C6740" w14:paraId="37FA92AD" w14:textId="77777777">
      <w:pPr>
        <w:rPr>
          <w:sz w:val="24"/>
          <w:szCs w:val="20"/>
        </w:rPr>
      </w:pPr>
    </w:p>
    <w:p w:rsidR="005C6740" w:rsidP="00196FE8" w:rsidRDefault="005C6740" w14:paraId="22D9B8A3" w14:textId="77777777">
      <w:pPr>
        <w:rPr>
          <w:sz w:val="24"/>
          <w:szCs w:val="20"/>
        </w:rPr>
      </w:pPr>
      <w:r>
        <w:rPr>
          <w:sz w:val="24"/>
          <w:szCs w:val="20"/>
        </w:rPr>
        <w:t>In conclusion, t</w:t>
      </w:r>
      <w:r w:rsidRPr="00194C29">
        <w:rPr>
          <w:sz w:val="24"/>
          <w:szCs w:val="20"/>
        </w:rPr>
        <w:t>his latest revision request is for the following: 1) to implement updates to the web-based system to improve performance, functionality, accessibility, content and flow, 2) to add 13 new data elements to the system</w:t>
      </w:r>
      <w:r>
        <w:rPr>
          <w:sz w:val="24"/>
          <w:szCs w:val="20"/>
        </w:rPr>
        <w:t xml:space="preserve"> (aforementioned in this section)</w:t>
      </w:r>
      <w:r w:rsidRPr="00194C29">
        <w:rPr>
          <w:sz w:val="24"/>
          <w:szCs w:val="20"/>
        </w:rPr>
        <w:t xml:space="preserve">, 3) to add a School Associated Violent Death module as part of the NVDRS web-based system, </w:t>
      </w:r>
      <w:r>
        <w:rPr>
          <w:sz w:val="24"/>
          <w:szCs w:val="20"/>
        </w:rPr>
        <w:t xml:space="preserve">4) to add 3 data elements in an upcoming release of the NVDRS 2.3 web-based system software, </w:t>
      </w:r>
      <w:r w:rsidRPr="00194C29">
        <w:rPr>
          <w:sz w:val="24"/>
          <w:szCs w:val="20"/>
        </w:rPr>
        <w:t xml:space="preserve">and </w:t>
      </w:r>
      <w:r>
        <w:rPr>
          <w:sz w:val="24"/>
          <w:szCs w:val="20"/>
        </w:rPr>
        <w:t>5</w:t>
      </w:r>
      <w:r w:rsidRPr="00194C29">
        <w:rPr>
          <w:sz w:val="24"/>
          <w:szCs w:val="20"/>
        </w:rPr>
        <w:t>) to add a Public Safety Officer Reporting module to the syste</w:t>
      </w:r>
      <w:r>
        <w:rPr>
          <w:sz w:val="24"/>
          <w:szCs w:val="20"/>
        </w:rPr>
        <w:t>m</w:t>
      </w:r>
      <w:r w:rsidR="00C4233F">
        <w:rPr>
          <w:sz w:val="24"/>
          <w:szCs w:val="20"/>
        </w:rPr>
        <w:t>.</w:t>
      </w:r>
      <w:r>
        <w:rPr>
          <w:sz w:val="24"/>
          <w:szCs w:val="20"/>
        </w:rPr>
        <w:t xml:space="preserve"> </w:t>
      </w:r>
      <w:r w:rsidRPr="007B7D55">
        <w:rPr>
          <w:sz w:val="24"/>
          <w:szCs w:val="20"/>
        </w:rPr>
        <w:t xml:space="preserve">The estimated change in burden from the last OMB submission is </w:t>
      </w:r>
      <w:r w:rsidRPr="00D94396" w:rsidR="000B3F2C">
        <w:rPr>
          <w:sz w:val="24"/>
          <w:szCs w:val="20"/>
        </w:rPr>
        <w:t>5,287</w:t>
      </w:r>
      <w:r w:rsidRPr="00D94396">
        <w:rPr>
          <w:sz w:val="24"/>
          <w:szCs w:val="20"/>
        </w:rPr>
        <w:t xml:space="preserve"> hours</w:t>
      </w:r>
      <w:r w:rsidRPr="00D94396" w:rsidR="000B3F2C">
        <w:rPr>
          <w:sz w:val="24"/>
          <w:szCs w:val="20"/>
        </w:rPr>
        <w:t xml:space="preserve"> (41,827 present request – 36,540 previous approval)</w:t>
      </w:r>
      <w:r w:rsidRPr="00D94396">
        <w:rPr>
          <w:sz w:val="24"/>
          <w:szCs w:val="20"/>
        </w:rPr>
        <w:t>.</w:t>
      </w:r>
    </w:p>
    <w:p w:rsidRPr="004D4C85" w:rsidR="005C6740" w:rsidP="004D4C85" w:rsidRDefault="005C6740" w14:paraId="158D0B20" w14:textId="77777777">
      <w:pPr>
        <w:ind w:left="720"/>
        <w:rPr>
          <w:sz w:val="24"/>
          <w:szCs w:val="20"/>
        </w:rPr>
      </w:pPr>
    </w:p>
    <w:p w:rsidR="00B31662" w:rsidP="00B31662" w:rsidRDefault="00EE2F3F" w14:paraId="5EF09028" w14:textId="77777777">
      <w:pPr>
        <w:rPr>
          <w:sz w:val="24"/>
          <w:szCs w:val="20"/>
        </w:rPr>
      </w:pPr>
      <w:r>
        <w:rPr>
          <w:sz w:val="24"/>
          <w:szCs w:val="20"/>
        </w:rPr>
        <w:t xml:space="preserve">The SAVD module </w:t>
      </w:r>
      <w:r w:rsidR="00C4233F">
        <w:rPr>
          <w:sz w:val="24"/>
          <w:szCs w:val="20"/>
        </w:rPr>
        <w:t xml:space="preserve">is </w:t>
      </w:r>
      <w:r w:rsidR="009F6F51">
        <w:rPr>
          <w:sz w:val="24"/>
          <w:szCs w:val="20"/>
        </w:rPr>
        <w:t>being added</w:t>
      </w:r>
      <w:r>
        <w:rPr>
          <w:sz w:val="24"/>
          <w:szCs w:val="20"/>
        </w:rPr>
        <w:t xml:space="preserve"> due to planned dissolution of the </w:t>
      </w:r>
      <w:r w:rsidR="00A81E2F">
        <w:rPr>
          <w:sz w:val="24"/>
          <w:szCs w:val="20"/>
        </w:rPr>
        <w:t>SAVD</w:t>
      </w:r>
      <w:r>
        <w:rPr>
          <w:sz w:val="24"/>
          <w:szCs w:val="20"/>
        </w:rPr>
        <w:t xml:space="preserve"> Surveillance System (SAVD-SS).</w:t>
      </w:r>
      <w:r w:rsidR="00A81E2F">
        <w:rPr>
          <w:sz w:val="24"/>
          <w:szCs w:val="20"/>
        </w:rPr>
        <w:t xml:space="preserve"> </w:t>
      </w:r>
      <w:r>
        <w:rPr>
          <w:sz w:val="24"/>
          <w:szCs w:val="20"/>
        </w:rPr>
        <w:t xml:space="preserve">SAVD-SS </w:t>
      </w:r>
      <w:r w:rsidRPr="004D4C85">
        <w:rPr>
          <w:sz w:val="24"/>
          <w:szCs w:val="20"/>
        </w:rPr>
        <w:t>(OMB</w:t>
      </w:r>
      <w:r w:rsidRPr="004D4C85" w:rsidR="00C41B03">
        <w:rPr>
          <w:sz w:val="24"/>
          <w:szCs w:val="20"/>
        </w:rPr>
        <w:t># 0920-0604</w:t>
      </w:r>
      <w:r w:rsidRPr="004D4C85">
        <w:rPr>
          <w:sz w:val="24"/>
          <w:szCs w:val="20"/>
        </w:rPr>
        <w:t xml:space="preserve">) currently </w:t>
      </w:r>
      <w:r w:rsidRPr="004D4C85" w:rsidR="009C47A6">
        <w:rPr>
          <w:sz w:val="24"/>
          <w:szCs w:val="20"/>
        </w:rPr>
        <w:t>monitors school-</w:t>
      </w:r>
      <w:r w:rsidRPr="009C47A6" w:rsidR="009C47A6">
        <w:rPr>
          <w:sz w:val="24"/>
          <w:szCs w:val="20"/>
        </w:rPr>
        <w:t xml:space="preserve">associated violent deaths across the U.S. </w:t>
      </w:r>
      <w:r>
        <w:rPr>
          <w:sz w:val="24"/>
          <w:szCs w:val="20"/>
        </w:rPr>
        <w:t>by abstracting data from media reports.</w:t>
      </w:r>
      <w:r w:rsidRPr="009C47A6" w:rsidR="009C47A6">
        <w:rPr>
          <w:sz w:val="24"/>
          <w:szCs w:val="20"/>
        </w:rPr>
        <w:t xml:space="preserve"> SAVD-SS presents the most recent data available </w:t>
      </w:r>
      <w:r w:rsidRPr="009C47A6" w:rsidR="009F6F51">
        <w:rPr>
          <w:sz w:val="24"/>
          <w:szCs w:val="20"/>
        </w:rPr>
        <w:t>on</w:t>
      </w:r>
      <w:r w:rsidR="009C47A6">
        <w:rPr>
          <w:sz w:val="24"/>
          <w:szCs w:val="20"/>
        </w:rPr>
        <w:t xml:space="preserve"> </w:t>
      </w:r>
      <w:r w:rsidRPr="009C47A6" w:rsidR="009C47A6">
        <w:rPr>
          <w:sz w:val="24"/>
          <w:szCs w:val="20"/>
        </w:rPr>
        <w:t>school-associated violent deaths</w:t>
      </w:r>
      <w:r w:rsidR="009C47A6">
        <w:rPr>
          <w:sz w:val="24"/>
          <w:szCs w:val="20"/>
        </w:rPr>
        <w:t xml:space="preserve">, </w:t>
      </w:r>
      <w:r w:rsidRPr="009C47A6" w:rsidR="009C47A6">
        <w:rPr>
          <w:sz w:val="24"/>
          <w:szCs w:val="20"/>
        </w:rPr>
        <w:t>common features of these events</w:t>
      </w:r>
      <w:r w:rsidR="009C47A6">
        <w:rPr>
          <w:sz w:val="24"/>
          <w:szCs w:val="20"/>
        </w:rPr>
        <w:t xml:space="preserve">, </w:t>
      </w:r>
      <w:r w:rsidRPr="009C47A6" w:rsidR="009C47A6">
        <w:rPr>
          <w:sz w:val="24"/>
          <w:szCs w:val="20"/>
        </w:rPr>
        <w:t>risk factors for perpetration and victimization</w:t>
      </w:r>
      <w:r w:rsidR="009C47A6">
        <w:rPr>
          <w:sz w:val="24"/>
          <w:szCs w:val="20"/>
        </w:rPr>
        <w:t xml:space="preserve">. </w:t>
      </w:r>
      <w:r w:rsidRPr="009C47A6" w:rsidR="009C47A6">
        <w:rPr>
          <w:sz w:val="24"/>
          <w:szCs w:val="20"/>
        </w:rPr>
        <w:t>These data play an important role in assessing national trends in school-associated violent deaths and helping inform efforts to prevent fatal school violenc</w:t>
      </w:r>
      <w:r w:rsidR="00D97A2A">
        <w:rPr>
          <w:sz w:val="24"/>
          <w:szCs w:val="20"/>
        </w:rPr>
        <w:t>e.</w:t>
      </w:r>
      <w:r>
        <w:rPr>
          <w:sz w:val="24"/>
          <w:szCs w:val="20"/>
        </w:rPr>
        <w:t xml:space="preserve"> NVDRS has </w:t>
      </w:r>
      <w:r w:rsidR="00A37565">
        <w:rPr>
          <w:sz w:val="24"/>
          <w:szCs w:val="20"/>
        </w:rPr>
        <w:t xml:space="preserve">always </w:t>
      </w:r>
      <w:r>
        <w:rPr>
          <w:sz w:val="24"/>
          <w:szCs w:val="20"/>
        </w:rPr>
        <w:t>collected data about these violent deaths. To address duplication,</w:t>
      </w:r>
      <w:r w:rsidR="00143184">
        <w:rPr>
          <w:sz w:val="24"/>
          <w:szCs w:val="20"/>
        </w:rPr>
        <w:t xml:space="preserve"> once NVDRS achieves full national coverage,</w:t>
      </w:r>
      <w:r>
        <w:rPr>
          <w:sz w:val="24"/>
          <w:szCs w:val="20"/>
        </w:rPr>
        <w:t xml:space="preserve"> the SAVD-SS will </w:t>
      </w:r>
      <w:r w:rsidR="00F678B9">
        <w:rPr>
          <w:sz w:val="24"/>
          <w:szCs w:val="20"/>
        </w:rPr>
        <w:t xml:space="preserve">eventually </w:t>
      </w:r>
      <w:r>
        <w:rPr>
          <w:sz w:val="24"/>
          <w:szCs w:val="20"/>
        </w:rPr>
        <w:t xml:space="preserve">be phased out and the </w:t>
      </w:r>
      <w:r w:rsidR="00D97A2A">
        <w:rPr>
          <w:sz w:val="24"/>
          <w:szCs w:val="20"/>
        </w:rPr>
        <w:t>SAVD module in NVDRS will capture in depth information about such incidents.</w:t>
      </w:r>
      <w:r>
        <w:rPr>
          <w:sz w:val="24"/>
          <w:szCs w:val="20"/>
        </w:rPr>
        <w:t xml:space="preserve"> This change </w:t>
      </w:r>
      <w:r w:rsidR="00C4233F">
        <w:rPr>
          <w:sz w:val="24"/>
          <w:szCs w:val="20"/>
        </w:rPr>
        <w:t xml:space="preserve">is </w:t>
      </w:r>
      <w:r w:rsidR="00F678B9">
        <w:rPr>
          <w:sz w:val="24"/>
          <w:szCs w:val="20"/>
        </w:rPr>
        <w:t xml:space="preserve">being </w:t>
      </w:r>
      <w:r>
        <w:rPr>
          <w:sz w:val="24"/>
          <w:szCs w:val="20"/>
        </w:rPr>
        <w:t xml:space="preserve">made as NVDRS has almost </w:t>
      </w:r>
      <w:r w:rsidRPr="00EE2F3F">
        <w:rPr>
          <w:sz w:val="24"/>
          <w:szCs w:val="20"/>
        </w:rPr>
        <w:t>achieved full nationwide coverage</w:t>
      </w:r>
      <w:r>
        <w:rPr>
          <w:sz w:val="24"/>
          <w:szCs w:val="20"/>
        </w:rPr>
        <w:t xml:space="preserve">. In the areas of the nation </w:t>
      </w:r>
      <w:r w:rsidR="00F678B9">
        <w:rPr>
          <w:sz w:val="24"/>
          <w:szCs w:val="20"/>
        </w:rPr>
        <w:t xml:space="preserve">where </w:t>
      </w:r>
      <w:r>
        <w:rPr>
          <w:sz w:val="24"/>
          <w:szCs w:val="20"/>
        </w:rPr>
        <w:t xml:space="preserve">NVDRS </w:t>
      </w:r>
      <w:r w:rsidR="00E40A4C">
        <w:rPr>
          <w:sz w:val="24"/>
          <w:szCs w:val="20"/>
        </w:rPr>
        <w:t>does not have coverage, the SAVD-SS will collect data about these school-associated violent deaths.</w:t>
      </w:r>
      <w:r w:rsidRPr="005F729B" w:rsidR="005F729B">
        <w:t xml:space="preserve"> </w:t>
      </w:r>
      <w:r w:rsidR="00C4233F">
        <w:rPr>
          <w:sz w:val="24"/>
          <w:szCs w:val="20"/>
        </w:rPr>
        <w:t>T</w:t>
      </w:r>
      <w:r w:rsidRPr="005F729B" w:rsidR="005F729B">
        <w:rPr>
          <w:sz w:val="24"/>
          <w:szCs w:val="20"/>
        </w:rPr>
        <w:t xml:space="preserve">he addition of the SAVD module </w:t>
      </w:r>
      <w:r w:rsidR="00433AE2">
        <w:rPr>
          <w:sz w:val="24"/>
          <w:szCs w:val="20"/>
        </w:rPr>
        <w:t xml:space="preserve">in NVDRS </w:t>
      </w:r>
      <w:r w:rsidRPr="005F729B" w:rsidR="005F729B">
        <w:rPr>
          <w:sz w:val="24"/>
          <w:szCs w:val="20"/>
        </w:rPr>
        <w:t>will allow for capture of more detailed information and eliminate any redundancy with the School Associated Violent Death Surveillance System (SAVD-SS).</w:t>
      </w:r>
      <w:r w:rsidR="005F729B">
        <w:rPr>
          <w:sz w:val="24"/>
          <w:szCs w:val="20"/>
        </w:rPr>
        <w:t xml:space="preserve"> </w:t>
      </w:r>
      <w:r w:rsidR="00B654AC">
        <w:rPr>
          <w:sz w:val="24"/>
          <w:szCs w:val="20"/>
        </w:rPr>
        <w:t>C</w:t>
      </w:r>
      <w:r w:rsidRPr="005F729B" w:rsidR="005F729B">
        <w:rPr>
          <w:sz w:val="24"/>
          <w:szCs w:val="20"/>
        </w:rPr>
        <w:t xml:space="preserve">DC will </w:t>
      </w:r>
      <w:r w:rsidR="00B654AC">
        <w:rPr>
          <w:sz w:val="24"/>
          <w:szCs w:val="20"/>
        </w:rPr>
        <w:t xml:space="preserve">continue </w:t>
      </w:r>
      <w:r w:rsidRPr="005F729B" w:rsidR="005F729B">
        <w:rPr>
          <w:sz w:val="24"/>
          <w:szCs w:val="20"/>
        </w:rPr>
        <w:t xml:space="preserve">collecting detailed data on school associated violent deaths via two different platforms with different methodologies. </w:t>
      </w:r>
      <w:r w:rsidRPr="005F729B" w:rsidR="009F6F51">
        <w:rPr>
          <w:sz w:val="24"/>
          <w:szCs w:val="20"/>
        </w:rPr>
        <w:t>Most</w:t>
      </w:r>
      <w:r w:rsidRPr="005F729B" w:rsidR="005F729B">
        <w:rPr>
          <w:sz w:val="24"/>
          <w:szCs w:val="20"/>
        </w:rPr>
        <w:t xml:space="preserve"> data on school-related violent deaths will be collected via the</w:t>
      </w:r>
      <w:r w:rsidR="00D94396">
        <w:rPr>
          <w:sz w:val="24"/>
          <w:szCs w:val="20"/>
        </w:rPr>
        <w:t xml:space="preserve"> </w:t>
      </w:r>
      <w:r w:rsidRPr="005F729B" w:rsidR="009F6F51">
        <w:rPr>
          <w:sz w:val="24"/>
          <w:szCs w:val="20"/>
        </w:rPr>
        <w:t>NVDRS</w:t>
      </w:r>
      <w:r w:rsidR="00433AE2">
        <w:rPr>
          <w:sz w:val="24"/>
          <w:szCs w:val="20"/>
        </w:rPr>
        <w:t xml:space="preserve"> SAVD module.</w:t>
      </w:r>
      <w:r w:rsidRPr="005F729B" w:rsidR="009F6F51">
        <w:rPr>
          <w:sz w:val="24"/>
          <w:szCs w:val="20"/>
        </w:rPr>
        <w:t xml:space="preserve"> </w:t>
      </w:r>
      <w:r w:rsidR="00433AE2">
        <w:rPr>
          <w:sz w:val="24"/>
          <w:szCs w:val="20"/>
        </w:rPr>
        <w:t xml:space="preserve">The </w:t>
      </w:r>
      <w:r w:rsidRPr="005F729B" w:rsidR="005F729B">
        <w:rPr>
          <w:sz w:val="24"/>
          <w:szCs w:val="20"/>
        </w:rPr>
        <w:t xml:space="preserve">SAVD-SS, which is an ongoing surveillance system of school associated violent deaths in the United States, will be </w:t>
      </w:r>
      <w:r w:rsidR="00433AE2">
        <w:rPr>
          <w:sz w:val="24"/>
          <w:szCs w:val="20"/>
        </w:rPr>
        <w:t xml:space="preserve">used </w:t>
      </w:r>
      <w:r w:rsidRPr="005F729B" w:rsidR="005F729B">
        <w:rPr>
          <w:sz w:val="24"/>
          <w:szCs w:val="20"/>
        </w:rPr>
        <w:t>for data collection regarding these deaths in the areas not yet covered by NVDRS. SAVD-SS staff will abstract information from published press reports concerning each school-associated violent death. The SAVD-SS activity is expected to conclude once NVDRS has achieved full national coverage. Some of the NVDRS states with large numbers of violent deaths (e.g., CA, FL, TX) are not yet nationwide</w:t>
      </w:r>
      <w:r w:rsidR="006E4935">
        <w:rPr>
          <w:sz w:val="24"/>
          <w:szCs w:val="20"/>
        </w:rPr>
        <w:t>.</w:t>
      </w:r>
    </w:p>
    <w:p w:rsidRPr="00CA1AA2" w:rsidR="00377BE5" w:rsidP="00B31662" w:rsidRDefault="00377BE5" w14:paraId="4DD73DF3" w14:textId="77777777">
      <w:pPr>
        <w:rPr>
          <w:sz w:val="24"/>
        </w:rPr>
      </w:pPr>
    </w:p>
    <w:p w:rsidR="00905D0B" w:rsidP="00A37565" w:rsidRDefault="00B654AC" w14:paraId="557070F0" w14:textId="77777777">
      <w:pPr>
        <w:pStyle w:val="xmsonormal"/>
        <w:rPr>
          <w:rFonts w:ascii="Times New Roman" w:hAnsi="Times New Roman" w:eastAsia="Times New Roman" w:cs="Times New Roman"/>
          <w:sz w:val="24"/>
          <w:szCs w:val="20"/>
        </w:rPr>
      </w:pPr>
      <w:r w:rsidRPr="00C163A1">
        <w:rPr>
          <w:rFonts w:ascii="Times New Roman" w:hAnsi="Times New Roman" w:eastAsia="Times New Roman" w:cs="Times New Roman"/>
          <w:sz w:val="24"/>
          <w:szCs w:val="20"/>
        </w:rPr>
        <w:t xml:space="preserve">Authority for CDC’s National Center for Injury Prevention and Control to collect these data is granted by Section 301 of the Public Health Service Act (42 U.S.C. 241) (Attachment </w:t>
      </w:r>
      <w:r w:rsidR="002518DD">
        <w:rPr>
          <w:rFonts w:ascii="Times New Roman" w:hAnsi="Times New Roman" w:eastAsia="Times New Roman" w:cs="Times New Roman"/>
          <w:sz w:val="24"/>
          <w:szCs w:val="20"/>
        </w:rPr>
        <w:t>1</w:t>
      </w:r>
      <w:r w:rsidRPr="00C163A1">
        <w:rPr>
          <w:rFonts w:ascii="Times New Roman" w:hAnsi="Times New Roman" w:eastAsia="Times New Roman" w:cs="Times New Roman"/>
          <w:sz w:val="24"/>
          <w:szCs w:val="20"/>
        </w:rPr>
        <w:t xml:space="preserve">). This act gives Federal health agencies, such as CDC, broad authority to collect data and carry out other public health activities, including this type </w:t>
      </w:r>
      <w:proofErr w:type="gramStart"/>
      <w:r w:rsidRPr="00C163A1">
        <w:rPr>
          <w:rFonts w:ascii="Times New Roman" w:hAnsi="Times New Roman" w:eastAsia="Times New Roman" w:cs="Times New Roman"/>
          <w:sz w:val="24"/>
          <w:szCs w:val="20"/>
        </w:rPr>
        <w:t xml:space="preserve">of </w:t>
      </w:r>
      <w:r w:rsidR="00905D0B">
        <w:rPr>
          <w:rFonts w:ascii="Times New Roman" w:hAnsi="Times New Roman" w:eastAsia="Times New Roman" w:cs="Times New Roman"/>
          <w:sz w:val="24"/>
          <w:szCs w:val="20"/>
        </w:rPr>
        <w:t xml:space="preserve"> surveillance</w:t>
      </w:r>
      <w:proofErr w:type="gramEnd"/>
      <w:r w:rsidR="00905D0B">
        <w:rPr>
          <w:rFonts w:ascii="Times New Roman" w:hAnsi="Times New Roman" w:eastAsia="Times New Roman" w:cs="Times New Roman"/>
          <w:sz w:val="24"/>
          <w:szCs w:val="20"/>
        </w:rPr>
        <w:t xml:space="preserve"> system</w:t>
      </w:r>
      <w:r w:rsidRPr="00C163A1">
        <w:rPr>
          <w:rFonts w:ascii="Times New Roman" w:hAnsi="Times New Roman" w:eastAsia="Times New Roman" w:cs="Times New Roman"/>
          <w:sz w:val="24"/>
          <w:szCs w:val="20"/>
        </w:rPr>
        <w:t>.</w:t>
      </w:r>
      <w:r w:rsidR="00377BE5">
        <w:rPr>
          <w:rFonts w:ascii="Times New Roman" w:hAnsi="Times New Roman" w:eastAsia="Times New Roman" w:cs="Times New Roman"/>
          <w:sz w:val="24"/>
          <w:szCs w:val="20"/>
        </w:rPr>
        <w:t xml:space="preserve"> </w:t>
      </w:r>
      <w:r w:rsidRPr="00C3342F" w:rsidR="007F432F">
        <w:rPr>
          <w:rFonts w:ascii="Times New Roman" w:hAnsi="Times New Roman" w:eastAsia="Times New Roman" w:cs="Times New Roman"/>
          <w:sz w:val="24"/>
          <w:szCs w:val="20"/>
        </w:rPr>
        <w:t>The Public Safety Officer Suicide Reporting Module is being created in response to appropriations language. This data collection allows for the assessment of suicide incidence in a safe, sensitive, anonymous, and effective manner to facilitate the study of successful interventions to reduce suicide incidence among public safety officers. The FY21 appropriations bill authorized and funded CDC to establish this system. From the bill’s conference report</w:t>
      </w:r>
      <w:r w:rsidRPr="00C3342F" w:rsidR="00905D0B">
        <w:rPr>
          <w:rFonts w:ascii="Times New Roman" w:hAnsi="Times New Roman" w:eastAsia="Times New Roman" w:cs="Times New Roman"/>
          <w:sz w:val="24"/>
          <w:szCs w:val="20"/>
        </w:rPr>
        <w:t xml:space="preserve"> </w:t>
      </w:r>
      <w:r w:rsidRPr="00377BE5" w:rsidR="00905D0B">
        <w:rPr>
          <w:rFonts w:ascii="Times New Roman" w:hAnsi="Times New Roman" w:eastAsia="Times New Roman" w:cs="Times New Roman"/>
          <w:sz w:val="24"/>
          <w:szCs w:val="20"/>
        </w:rPr>
        <w:t>(</w:t>
      </w:r>
      <w:r w:rsidRPr="00377BE5" w:rsidR="00ED0B84">
        <w:rPr>
          <w:rFonts w:ascii="Times New Roman" w:hAnsi="Times New Roman" w:eastAsia="Times New Roman" w:cs="Times New Roman"/>
          <w:sz w:val="24"/>
          <w:szCs w:val="20"/>
        </w:rPr>
        <w:t xml:space="preserve">Attachment 1A, </w:t>
      </w:r>
      <w:r w:rsidRPr="00377BE5" w:rsidR="00905D0B">
        <w:rPr>
          <w:rFonts w:ascii="Times New Roman" w:hAnsi="Times New Roman" w:eastAsia="Times New Roman" w:cs="Times New Roman"/>
          <w:sz w:val="24"/>
          <w:szCs w:val="20"/>
        </w:rPr>
        <w:t>page 75)</w:t>
      </w:r>
    </w:p>
    <w:p w:rsidR="00E40A4C" w:rsidP="00905D0B" w:rsidRDefault="00E40A4C" w14:paraId="55A982F9" w14:textId="77777777">
      <w:pPr>
        <w:rPr>
          <w:sz w:val="24"/>
          <w:szCs w:val="20"/>
        </w:rPr>
      </w:pPr>
    </w:p>
    <w:p w:rsidRPr="004D4C85" w:rsidR="00066E9D" w:rsidP="00905D0B" w:rsidRDefault="00066E9D" w14:paraId="631277DA" w14:textId="77777777">
      <w:pPr>
        <w:tabs>
          <w:tab w:val="left" w:pos="-1440"/>
        </w:tabs>
        <w:ind w:left="360"/>
        <w:rPr>
          <w:sz w:val="24"/>
          <w:szCs w:val="20"/>
        </w:rPr>
      </w:pPr>
    </w:p>
    <w:p w:rsidRPr="004D4C85" w:rsidR="001C26B3" w:rsidP="00905D0B" w:rsidRDefault="001C26B3" w14:paraId="568CC787" w14:textId="77777777">
      <w:pPr>
        <w:numPr>
          <w:ilvl w:val="0"/>
          <w:numId w:val="8"/>
        </w:numPr>
        <w:tabs>
          <w:tab w:val="left" w:pos="-1440"/>
        </w:tabs>
        <w:ind w:left="360"/>
        <w:rPr>
          <w:sz w:val="24"/>
          <w:szCs w:val="20"/>
        </w:rPr>
      </w:pPr>
      <w:r w:rsidRPr="004D4C85">
        <w:rPr>
          <w:sz w:val="24"/>
          <w:szCs w:val="20"/>
        </w:rPr>
        <w:t>Circumstances Making the Collection of Information Necessary</w:t>
      </w:r>
    </w:p>
    <w:p w:rsidRPr="004D4C85" w:rsidR="00BA5775" w:rsidP="00905D0B" w:rsidRDefault="00BA5775" w14:paraId="71CF5E02" w14:textId="77777777">
      <w:pPr>
        <w:ind w:left="360"/>
        <w:rPr>
          <w:sz w:val="24"/>
          <w:szCs w:val="20"/>
        </w:rPr>
      </w:pPr>
    </w:p>
    <w:p w:rsidRPr="005C6740" w:rsidR="00C33AA4" w:rsidP="00905D0B" w:rsidRDefault="00C915EA" w14:paraId="3B565602" w14:textId="77777777">
      <w:pPr>
        <w:rPr>
          <w:sz w:val="24"/>
          <w:szCs w:val="20"/>
        </w:rPr>
      </w:pPr>
      <w:r w:rsidRPr="005C6740">
        <w:rPr>
          <w:sz w:val="24"/>
          <w:szCs w:val="20"/>
        </w:rPr>
        <w:t>Background</w:t>
      </w:r>
    </w:p>
    <w:p w:rsidRPr="005C6740" w:rsidR="002F508B" w:rsidP="00905D0B" w:rsidRDefault="002F508B" w14:paraId="7A2E5820" w14:textId="77777777">
      <w:pPr>
        <w:rPr>
          <w:sz w:val="24"/>
          <w:szCs w:val="20"/>
        </w:rPr>
      </w:pPr>
    </w:p>
    <w:p w:rsidRPr="005C6740" w:rsidR="00BE2A99" w:rsidP="00905D0B" w:rsidRDefault="00C915EA" w14:paraId="5EF7B5D0" w14:textId="77777777">
      <w:pPr>
        <w:pStyle w:val="CommentText"/>
        <w:rPr>
          <w:sz w:val="24"/>
        </w:rPr>
      </w:pPr>
      <w:r w:rsidRPr="00E45A9A">
        <w:rPr>
          <w:sz w:val="24"/>
        </w:rPr>
        <w:t xml:space="preserve">Violence is a major public health problem. The World Health Organization has estimated </w:t>
      </w:r>
      <w:proofErr w:type="gramStart"/>
      <w:r w:rsidRPr="00E45A9A">
        <w:rPr>
          <w:sz w:val="24"/>
        </w:rPr>
        <w:t xml:space="preserve">that  </w:t>
      </w:r>
      <w:r w:rsidR="003F41F5">
        <w:rPr>
          <w:sz w:val="24"/>
        </w:rPr>
        <w:t>703,000</w:t>
      </w:r>
      <w:proofErr w:type="gramEnd"/>
      <w:r w:rsidR="003F41F5">
        <w:rPr>
          <w:sz w:val="24"/>
        </w:rPr>
        <w:t xml:space="preserve"> </w:t>
      </w:r>
      <w:r w:rsidRPr="00E45A9A">
        <w:rPr>
          <w:sz w:val="24"/>
        </w:rPr>
        <w:t xml:space="preserve">suicides </w:t>
      </w:r>
      <w:r w:rsidR="003F41F5">
        <w:rPr>
          <w:sz w:val="24"/>
        </w:rPr>
        <w:t>occurred in 2019 worldwide</w:t>
      </w:r>
      <w:r w:rsidR="003F41F5">
        <w:rPr>
          <w:sz w:val="24"/>
          <w:vertAlign w:val="superscript"/>
        </w:rPr>
        <w:t>i</w:t>
      </w:r>
      <w:r w:rsidR="003F41F5">
        <w:rPr>
          <w:sz w:val="24"/>
        </w:rPr>
        <w:t xml:space="preserve"> </w:t>
      </w:r>
      <w:r w:rsidRPr="00E45A9A">
        <w:rPr>
          <w:sz w:val="24"/>
        </w:rPr>
        <w:t xml:space="preserve">and </w:t>
      </w:r>
      <w:r w:rsidR="003F41F5">
        <w:rPr>
          <w:sz w:val="24"/>
        </w:rPr>
        <w:t xml:space="preserve"> 464,000</w:t>
      </w:r>
      <w:r w:rsidRPr="00E45A9A" w:rsidR="00866F9F">
        <w:rPr>
          <w:sz w:val="24"/>
        </w:rPr>
        <w:t xml:space="preserve"> homicides</w:t>
      </w:r>
      <w:r w:rsidRPr="00E45A9A">
        <w:rPr>
          <w:sz w:val="24"/>
        </w:rPr>
        <w:t xml:space="preserve"> occurred in </w:t>
      </w:r>
      <w:r w:rsidR="003F41F5">
        <w:rPr>
          <w:sz w:val="24"/>
        </w:rPr>
        <w:t xml:space="preserve">2017 </w:t>
      </w:r>
      <w:r w:rsidRPr="00E45A9A">
        <w:rPr>
          <w:sz w:val="24"/>
        </w:rPr>
        <w:t xml:space="preserve"> </w:t>
      </w:r>
      <w:r w:rsidRPr="00E45A9A" w:rsidR="000C44F8">
        <w:rPr>
          <w:sz w:val="24"/>
        </w:rPr>
        <w:t>worldwide</w:t>
      </w:r>
      <w:r w:rsidRPr="00377BE5" w:rsidR="000C44F8">
        <w:rPr>
          <w:sz w:val="24"/>
          <w:vertAlign w:val="superscript"/>
        </w:rPr>
        <w:t xml:space="preserve"> ii</w:t>
      </w:r>
      <w:r w:rsidRPr="00D72E06" w:rsidR="000C44F8">
        <w:rPr>
          <w:sz w:val="24"/>
        </w:rPr>
        <w:t>.</w:t>
      </w:r>
      <w:r w:rsidRPr="00E45A9A">
        <w:rPr>
          <w:sz w:val="24"/>
        </w:rPr>
        <w:t xml:space="preserve">  Violence against others or oneself is a major public health problem in the United </w:t>
      </w:r>
      <w:r w:rsidRPr="00E45A9A" w:rsidR="00252923">
        <w:rPr>
          <w:sz w:val="24"/>
        </w:rPr>
        <w:t>States and</w:t>
      </w:r>
      <w:r w:rsidRPr="00E45A9A" w:rsidR="00961095">
        <w:rPr>
          <w:sz w:val="24"/>
        </w:rPr>
        <w:t xml:space="preserve"> is</w:t>
      </w:r>
      <w:r w:rsidRPr="00E45A9A">
        <w:rPr>
          <w:sz w:val="24"/>
        </w:rPr>
        <w:t xml:space="preserve"> a particular problem for the young: suicide and </w:t>
      </w:r>
      <w:r w:rsidRPr="00E45A9A" w:rsidR="00252923">
        <w:rPr>
          <w:sz w:val="24"/>
        </w:rPr>
        <w:t>homicide were</w:t>
      </w:r>
      <w:r w:rsidR="00737847">
        <w:rPr>
          <w:sz w:val="24"/>
        </w:rPr>
        <w:t xml:space="preserve"> </w:t>
      </w:r>
      <w:r w:rsidRPr="00E45A9A">
        <w:rPr>
          <w:sz w:val="24"/>
        </w:rPr>
        <w:t xml:space="preserve">among </w:t>
      </w:r>
      <w:r w:rsidRPr="00E45A9A" w:rsidR="008972CA">
        <w:rPr>
          <w:sz w:val="24"/>
        </w:rPr>
        <w:t xml:space="preserve">the top </w:t>
      </w:r>
      <w:r w:rsidR="00DC2D2D">
        <w:rPr>
          <w:sz w:val="24"/>
        </w:rPr>
        <w:t>5</w:t>
      </w:r>
      <w:r w:rsidRPr="00E45A9A" w:rsidR="00DC2D2D">
        <w:rPr>
          <w:sz w:val="24"/>
        </w:rPr>
        <w:t xml:space="preserve"> </w:t>
      </w:r>
      <w:r w:rsidRPr="00E45A9A">
        <w:rPr>
          <w:sz w:val="24"/>
        </w:rPr>
        <w:t>leading causes of death for Americans</w:t>
      </w:r>
      <w:r w:rsidRPr="00E45A9A" w:rsidR="00F0398B">
        <w:rPr>
          <w:sz w:val="24"/>
        </w:rPr>
        <w:t xml:space="preserve"> </w:t>
      </w:r>
      <w:r w:rsidRPr="005C6740">
        <w:rPr>
          <w:sz w:val="24"/>
        </w:rPr>
        <w:t>1</w:t>
      </w:r>
      <w:r w:rsidRPr="005C6740" w:rsidR="00884B5F">
        <w:rPr>
          <w:sz w:val="24"/>
        </w:rPr>
        <w:t>0</w:t>
      </w:r>
      <w:r w:rsidRPr="005C6740">
        <w:rPr>
          <w:sz w:val="24"/>
        </w:rPr>
        <w:t xml:space="preserve">-34 </w:t>
      </w:r>
      <w:r w:rsidRPr="005C6740" w:rsidR="00884B5F">
        <w:rPr>
          <w:sz w:val="24"/>
        </w:rPr>
        <w:t xml:space="preserve">and 1-34 </w:t>
      </w:r>
      <w:r w:rsidRPr="005C6740">
        <w:rPr>
          <w:sz w:val="24"/>
        </w:rPr>
        <w:t xml:space="preserve">years of age in </w:t>
      </w:r>
      <w:r w:rsidRPr="005C6740" w:rsidR="00DC2D2D">
        <w:rPr>
          <w:sz w:val="24"/>
        </w:rPr>
        <w:t>201</w:t>
      </w:r>
      <w:r w:rsidRPr="005C6740" w:rsidR="0050145B">
        <w:rPr>
          <w:sz w:val="24"/>
        </w:rPr>
        <w:t>9</w:t>
      </w:r>
      <w:r w:rsidRPr="005C6740" w:rsidR="00884B5F">
        <w:rPr>
          <w:sz w:val="24"/>
        </w:rPr>
        <w:t>, respectively</w:t>
      </w:r>
      <w:r w:rsidRPr="00905D0B" w:rsidR="00464F0A">
        <w:rPr>
          <w:sz w:val="24"/>
          <w:vertAlign w:val="superscript"/>
        </w:rPr>
        <w:t>iii</w:t>
      </w:r>
      <w:r w:rsidRPr="005C6740">
        <w:rPr>
          <w:sz w:val="24"/>
        </w:rPr>
        <w:t>.</w:t>
      </w:r>
      <w:r w:rsidRPr="005C6740" w:rsidR="00E27ED5">
        <w:rPr>
          <w:sz w:val="24"/>
        </w:rPr>
        <w:t xml:space="preserve"> A key to preventing </w:t>
      </w:r>
      <w:r w:rsidRPr="005C6740" w:rsidR="008972CA">
        <w:rPr>
          <w:sz w:val="24"/>
        </w:rPr>
        <w:t xml:space="preserve">these </w:t>
      </w:r>
      <w:r w:rsidRPr="005C6740" w:rsidR="00E27ED5">
        <w:rPr>
          <w:sz w:val="24"/>
        </w:rPr>
        <w:t xml:space="preserve">violent deaths is to understand and target their </w:t>
      </w:r>
      <w:r w:rsidRPr="005C6740" w:rsidR="00866F9F">
        <w:rPr>
          <w:sz w:val="24"/>
        </w:rPr>
        <w:t>circumstances</w:t>
      </w:r>
      <w:r w:rsidRPr="005C6740" w:rsidR="00E27ED5">
        <w:rPr>
          <w:sz w:val="24"/>
        </w:rPr>
        <w:t xml:space="preserve"> (the “who</w:t>
      </w:r>
      <w:r w:rsidRPr="005C6740" w:rsidR="000428CA">
        <w:rPr>
          <w:sz w:val="24"/>
        </w:rPr>
        <w:t>,</w:t>
      </w:r>
      <w:r w:rsidRPr="005C6740" w:rsidR="00E27ED5">
        <w:rPr>
          <w:sz w:val="24"/>
        </w:rPr>
        <w:t>” “when</w:t>
      </w:r>
      <w:r w:rsidRPr="005C6740" w:rsidR="000428CA">
        <w:rPr>
          <w:sz w:val="24"/>
        </w:rPr>
        <w:t>,</w:t>
      </w:r>
      <w:r w:rsidRPr="005C6740" w:rsidR="00E27ED5">
        <w:rPr>
          <w:sz w:val="24"/>
        </w:rPr>
        <w:t>” “where</w:t>
      </w:r>
      <w:r w:rsidRPr="005C6740" w:rsidR="000428CA">
        <w:rPr>
          <w:sz w:val="24"/>
        </w:rPr>
        <w:t>,</w:t>
      </w:r>
      <w:r w:rsidRPr="005C6740" w:rsidR="00E27ED5">
        <w:rPr>
          <w:sz w:val="24"/>
        </w:rPr>
        <w:t xml:space="preserve">” and “how”). </w:t>
      </w:r>
    </w:p>
    <w:p w:rsidRPr="005C6740" w:rsidR="00A3119B" w:rsidP="00905D0B" w:rsidRDefault="00A3119B" w14:paraId="6006E5DF" w14:textId="77777777">
      <w:pPr>
        <w:rPr>
          <w:sz w:val="24"/>
          <w:szCs w:val="20"/>
        </w:rPr>
      </w:pPr>
    </w:p>
    <w:p w:rsidRPr="00E45A9A" w:rsidR="00C915EA" w:rsidP="00905D0B" w:rsidRDefault="00C915EA" w14:paraId="03AD78C7" w14:textId="77777777">
      <w:pPr>
        <w:rPr>
          <w:sz w:val="24"/>
        </w:rPr>
      </w:pPr>
      <w:r w:rsidRPr="005C6740">
        <w:rPr>
          <w:sz w:val="24"/>
          <w:szCs w:val="20"/>
        </w:rPr>
        <w:t xml:space="preserve">Given the </w:t>
      </w:r>
      <w:r w:rsidRPr="005C6740" w:rsidR="008972CA">
        <w:rPr>
          <w:sz w:val="24"/>
          <w:szCs w:val="20"/>
        </w:rPr>
        <w:t>magnitude</w:t>
      </w:r>
      <w:r w:rsidRPr="005C6740">
        <w:rPr>
          <w:sz w:val="24"/>
          <w:szCs w:val="20"/>
        </w:rPr>
        <w:t xml:space="preserve"> of the problem, it is noteworthy that no national surveillance system for violen</w:t>
      </w:r>
      <w:r w:rsidRPr="005C6740" w:rsidR="00884B5F">
        <w:rPr>
          <w:sz w:val="24"/>
          <w:szCs w:val="20"/>
        </w:rPr>
        <w:t xml:space="preserve">t </w:t>
      </w:r>
      <w:r w:rsidRPr="005C6740" w:rsidR="00A03F8A">
        <w:rPr>
          <w:sz w:val="24"/>
          <w:szCs w:val="20"/>
        </w:rPr>
        <w:t>deaths existed</w:t>
      </w:r>
      <w:r w:rsidRPr="005C6740">
        <w:rPr>
          <w:sz w:val="24"/>
          <w:szCs w:val="20"/>
        </w:rPr>
        <w:t xml:space="preserve"> in the </w:t>
      </w:r>
      <w:r w:rsidRPr="005C6740" w:rsidR="008972CA">
        <w:rPr>
          <w:sz w:val="24"/>
          <w:szCs w:val="20"/>
        </w:rPr>
        <w:t>U.S. until the NVDRS was developed</w:t>
      </w:r>
      <w:r w:rsidRPr="005C6740">
        <w:rPr>
          <w:sz w:val="24"/>
          <w:szCs w:val="20"/>
        </w:rPr>
        <w:t xml:space="preserve">. In contrast, the federal government supported extensive data collection efforts for </w:t>
      </w:r>
      <w:r w:rsidRPr="005C6740" w:rsidR="008972CA">
        <w:rPr>
          <w:sz w:val="24"/>
          <w:szCs w:val="20"/>
        </w:rPr>
        <w:t xml:space="preserve">several </w:t>
      </w:r>
      <w:r w:rsidRPr="005C6740">
        <w:rPr>
          <w:sz w:val="24"/>
          <w:szCs w:val="20"/>
        </w:rPr>
        <w:t>decades to record information about other leading causes of death.  For example, the National Highway Traffic Safety Administration has recorded the critical details of fatal motor vehicle crashes, which result</w:t>
      </w:r>
      <w:r w:rsidR="00366240">
        <w:rPr>
          <w:sz w:val="24"/>
          <w:szCs w:val="20"/>
        </w:rPr>
        <w:t>ed</w:t>
      </w:r>
      <w:r w:rsidRPr="005C6740">
        <w:rPr>
          <w:sz w:val="24"/>
          <w:szCs w:val="20"/>
        </w:rPr>
        <w:t xml:space="preserve"> in </w:t>
      </w:r>
      <w:r w:rsidRPr="00C3342F" w:rsidR="00366240">
        <w:rPr>
          <w:sz w:val="24"/>
          <w:szCs w:val="20"/>
        </w:rPr>
        <w:t>33</w:t>
      </w:r>
      <w:r w:rsidR="00366240">
        <w:rPr>
          <w:sz w:val="24"/>
          <w:szCs w:val="20"/>
        </w:rPr>
        <w:t xml:space="preserve">,244 </w:t>
      </w:r>
      <w:r w:rsidRPr="005C6740">
        <w:rPr>
          <w:sz w:val="24"/>
          <w:szCs w:val="20"/>
        </w:rPr>
        <w:t>deaths among U.S. residents</w:t>
      </w:r>
      <w:r w:rsidR="00366240">
        <w:rPr>
          <w:sz w:val="24"/>
          <w:szCs w:val="20"/>
        </w:rPr>
        <w:t xml:space="preserve"> in 2019</w:t>
      </w:r>
      <w:r w:rsidR="00366240">
        <w:rPr>
          <w:sz w:val="24"/>
          <w:szCs w:val="20"/>
          <w:vertAlign w:val="superscript"/>
        </w:rPr>
        <w:t>iv</w:t>
      </w:r>
      <w:r w:rsidRPr="005C6740">
        <w:rPr>
          <w:sz w:val="24"/>
          <w:szCs w:val="20"/>
        </w:rPr>
        <w:t>. That system, called the Fatality Analysis Reporting System (FARS), has existed since 1975. The result of this investment has been a better understa</w:t>
      </w:r>
      <w:r w:rsidRPr="00E45A9A">
        <w:rPr>
          <w:sz w:val="24"/>
        </w:rPr>
        <w:t>nding of the risk factors for motor vehicle deaths, information that has helped to target safety improvements that have led to a significant decline in motor vehicle fatalities since the 1970s</w:t>
      </w:r>
      <w:r w:rsidR="004606CC">
        <w:rPr>
          <w:sz w:val="24"/>
          <w:vertAlign w:val="superscript"/>
        </w:rPr>
        <w:t>v</w:t>
      </w:r>
      <w:r w:rsidRPr="00E45A9A">
        <w:rPr>
          <w:sz w:val="24"/>
        </w:rPr>
        <w:t xml:space="preserve">. </w:t>
      </w:r>
    </w:p>
    <w:p w:rsidRPr="00E45A9A" w:rsidR="00C915EA" w:rsidP="003F41F5" w:rsidRDefault="00C915EA" w14:paraId="30FF18D3" w14:textId="77777777">
      <w:pPr>
        <w:rPr>
          <w:sz w:val="24"/>
        </w:rPr>
      </w:pPr>
    </w:p>
    <w:p w:rsidRPr="00E45A9A" w:rsidR="00C915EA" w:rsidP="00377BE5" w:rsidRDefault="00C915EA" w14:paraId="456828C6" w14:textId="77777777">
      <w:pPr>
        <w:rPr>
          <w:sz w:val="24"/>
        </w:rPr>
      </w:pPr>
      <w:r w:rsidRPr="00E45A9A">
        <w:rPr>
          <w:sz w:val="24"/>
        </w:rPr>
        <w:t>Aware of the longstanding gap in information about violence, public health leaders and others have been pressing the need for a national surveillance system for violent deaths since 1989.  In 1999, the Institute of Medicine recommended that CDC develop a fatal intentional injury surveillance system modeled after FARS</w:t>
      </w:r>
      <w:r w:rsidRPr="00E45A9A" w:rsidR="005C1388">
        <w:rPr>
          <w:sz w:val="24"/>
          <w:vertAlign w:val="superscript"/>
        </w:rPr>
        <w:t>v</w:t>
      </w:r>
      <w:r w:rsidR="004606CC">
        <w:rPr>
          <w:sz w:val="24"/>
          <w:vertAlign w:val="superscript"/>
        </w:rPr>
        <w:t>i</w:t>
      </w:r>
      <w:r w:rsidRPr="00E45A9A">
        <w:rPr>
          <w:sz w:val="24"/>
        </w:rPr>
        <w:t xml:space="preserve">. That same year, six private foundations pooled their funds to demonstrate that data collection about violent deaths was feasible and useful.  They established the National Violent Injury Statistics System (NVISS). NVISS </w:t>
      </w:r>
      <w:r w:rsidRPr="00E45A9A" w:rsidR="008972CA">
        <w:rPr>
          <w:sz w:val="24"/>
        </w:rPr>
        <w:t>was</w:t>
      </w:r>
      <w:r w:rsidRPr="00E45A9A">
        <w:rPr>
          <w:sz w:val="24"/>
        </w:rPr>
        <w:t xml:space="preserve"> administered by the Harvard Injury Control Research Center and include</w:t>
      </w:r>
      <w:r w:rsidRPr="00E45A9A" w:rsidR="008972CA">
        <w:rPr>
          <w:sz w:val="24"/>
        </w:rPr>
        <w:t>d</w:t>
      </w:r>
      <w:r w:rsidRPr="00E45A9A">
        <w:rPr>
          <w:sz w:val="24"/>
        </w:rPr>
        <w:t xml:space="preserve"> 12 participating universities, health departments, and medical centers.  </w:t>
      </w:r>
    </w:p>
    <w:p w:rsidRPr="00E45A9A" w:rsidR="00C915EA" w:rsidP="003F41F5" w:rsidRDefault="00C915EA" w14:paraId="47F110C4" w14:textId="77777777">
      <w:pPr>
        <w:rPr>
          <w:sz w:val="24"/>
        </w:rPr>
      </w:pPr>
    </w:p>
    <w:p w:rsidR="00C915EA" w:rsidP="003F41F5" w:rsidRDefault="00C915EA" w14:paraId="061D0B12" w14:textId="77777777">
      <w:pPr>
        <w:rPr>
          <w:sz w:val="24"/>
        </w:rPr>
      </w:pPr>
      <w:r w:rsidRPr="00E45A9A">
        <w:rPr>
          <w:sz w:val="24"/>
        </w:rPr>
        <w:t xml:space="preserve">In 2000, dozens of medical associations, suicide prevention groups, child protection advocates, and family violence prevention organizations joined a coalition whose purpose was to secure federal funding to extend NVISS-like surveillance nationwide. </w:t>
      </w:r>
      <w:r w:rsidRPr="00E45A9A" w:rsidR="00274926">
        <w:rPr>
          <w:sz w:val="24"/>
        </w:rPr>
        <w:t xml:space="preserve">In fiscal year 2002, </w:t>
      </w:r>
      <w:r w:rsidRPr="00E45A9A" w:rsidR="00C36844">
        <w:rPr>
          <w:sz w:val="24"/>
        </w:rPr>
        <w:t xml:space="preserve">the first appropriation from </w:t>
      </w:r>
      <w:r w:rsidRPr="00E45A9A">
        <w:rPr>
          <w:sz w:val="24"/>
        </w:rPr>
        <w:t xml:space="preserve">Congress </w:t>
      </w:r>
      <w:r w:rsidRPr="00E45A9A" w:rsidR="00C36844">
        <w:rPr>
          <w:sz w:val="24"/>
        </w:rPr>
        <w:t xml:space="preserve">was </w:t>
      </w:r>
      <w:r w:rsidRPr="00E45A9A">
        <w:rPr>
          <w:sz w:val="24"/>
        </w:rPr>
        <w:t xml:space="preserve">approved </w:t>
      </w:r>
      <w:r w:rsidRPr="00E45A9A" w:rsidR="00C36844">
        <w:rPr>
          <w:sz w:val="24"/>
        </w:rPr>
        <w:t xml:space="preserve">for </w:t>
      </w:r>
      <w:r w:rsidRPr="00E45A9A">
        <w:rPr>
          <w:sz w:val="24"/>
        </w:rPr>
        <w:t>$1.5 million to start the new system, called the National Violent Death Reporting System (NVDRS)</w:t>
      </w:r>
      <w:r w:rsidRPr="00E45A9A" w:rsidR="005C1388">
        <w:rPr>
          <w:sz w:val="24"/>
          <w:vertAlign w:val="superscript"/>
        </w:rPr>
        <w:t>vi</w:t>
      </w:r>
      <w:r w:rsidR="00905D0B">
        <w:rPr>
          <w:sz w:val="24"/>
          <w:vertAlign w:val="superscript"/>
        </w:rPr>
        <w:t>i</w:t>
      </w:r>
      <w:r w:rsidRPr="00E45A9A">
        <w:rPr>
          <w:sz w:val="24"/>
        </w:rPr>
        <w:t xml:space="preserve">.   </w:t>
      </w:r>
    </w:p>
    <w:p w:rsidRPr="00E45A9A" w:rsidR="00DB5946" w:rsidP="00377BE5" w:rsidRDefault="00DB5946" w14:paraId="233E592E" w14:textId="77777777">
      <w:pPr>
        <w:rPr>
          <w:sz w:val="24"/>
        </w:rPr>
      </w:pPr>
    </w:p>
    <w:p w:rsidR="00E469B5" w:rsidP="00377BE5" w:rsidRDefault="00680136" w14:paraId="29EFF08F" w14:textId="77777777">
      <w:pPr>
        <w:rPr>
          <w:sz w:val="24"/>
        </w:rPr>
      </w:pPr>
      <w:r w:rsidRPr="00CB7F03">
        <w:rPr>
          <w:sz w:val="24"/>
        </w:rPr>
        <w:t xml:space="preserve">NVDRS is coordinated and funded at the federal level but is dependent on separate data collection efforts in each state managed by the state health </w:t>
      </w:r>
      <w:r w:rsidRPr="00CB7F03" w:rsidR="0077643E">
        <w:rPr>
          <w:sz w:val="24"/>
        </w:rPr>
        <w:t>departments</w:t>
      </w:r>
      <w:r w:rsidRPr="00CB7F03">
        <w:rPr>
          <w:sz w:val="24"/>
        </w:rPr>
        <w:t xml:space="preserve"> or their bona fide agent. </w:t>
      </w:r>
      <w:r w:rsidRPr="00CB7F03" w:rsidR="00A3119B">
        <w:rPr>
          <w:sz w:val="24"/>
        </w:rPr>
        <w:t xml:space="preserve">NVDRS </w:t>
      </w:r>
      <w:r w:rsidRPr="00CB7F03">
        <w:rPr>
          <w:sz w:val="24"/>
        </w:rPr>
        <w:t xml:space="preserve">collects data on </w:t>
      </w:r>
      <w:r w:rsidRPr="00CB7F03" w:rsidR="00A3119B">
        <w:rPr>
          <w:sz w:val="24"/>
        </w:rPr>
        <w:t>violent death</w:t>
      </w:r>
      <w:r w:rsidRPr="00CB7F03">
        <w:rPr>
          <w:sz w:val="24"/>
        </w:rPr>
        <w:t xml:space="preserve">, defined </w:t>
      </w:r>
      <w:r w:rsidRPr="00CB7F03" w:rsidR="00A3119B">
        <w:rPr>
          <w:sz w:val="24"/>
        </w:rPr>
        <w:t xml:space="preserve">as a death resulting from the intentional use of physical force or power (e.g., threats or intimidation) against oneself, another person, or against a group or community. This includes all homicides, suicides, and deaths occurring when law enforcement exerts deadly force in the line of duty. In addition, NVDRS states </w:t>
      </w:r>
      <w:r w:rsidRPr="00CB7F03" w:rsidR="00274926">
        <w:rPr>
          <w:sz w:val="24"/>
        </w:rPr>
        <w:t>are</w:t>
      </w:r>
      <w:r w:rsidRPr="00CB7F03" w:rsidR="00A3119B">
        <w:rPr>
          <w:sz w:val="24"/>
        </w:rPr>
        <w:t xml:space="preserve"> required to collect information about unintentional firearm injury deaths (i.e., incidents in which the person causing the injury did not intend to discharge the firearm) and on deaths where the intent cannot be determined ("undetermined deaths") but where there is evidence that force was used. Although these deaths are not considered violent deaths by the above definition, information is collected on these types of death because some of these deaths may have been violent. The collection of this data comes from three primary data sources: death certificates, </w:t>
      </w:r>
      <w:r w:rsidRPr="00CB7F03" w:rsidR="003D124E">
        <w:rPr>
          <w:sz w:val="24"/>
        </w:rPr>
        <w:t>coroner,</w:t>
      </w:r>
      <w:r w:rsidRPr="00CB7F03" w:rsidR="00A3119B">
        <w:rPr>
          <w:sz w:val="24"/>
        </w:rPr>
        <w:t xml:space="preserve"> or medical examiner reports (some states have coroner systems while others have medical examiner or combined systems)</w:t>
      </w:r>
      <w:r w:rsidR="00EB4DD8">
        <w:rPr>
          <w:sz w:val="24"/>
        </w:rPr>
        <w:t>,</w:t>
      </w:r>
      <w:r w:rsidRPr="00CB7F03" w:rsidR="00A3119B">
        <w:rPr>
          <w:sz w:val="24"/>
        </w:rPr>
        <w:t xml:space="preserve"> and law enforcement records. </w:t>
      </w:r>
      <w:r w:rsidRPr="00CB7F03" w:rsidR="00274926">
        <w:rPr>
          <w:sz w:val="24"/>
        </w:rPr>
        <w:t>Most states find it easiest to begin d</w:t>
      </w:r>
      <w:r w:rsidRPr="00CB7F03" w:rsidR="00CD1EF8">
        <w:rPr>
          <w:sz w:val="24"/>
        </w:rPr>
        <w:t>a</w:t>
      </w:r>
      <w:r w:rsidRPr="00CB7F03" w:rsidR="00274926">
        <w:rPr>
          <w:sz w:val="24"/>
        </w:rPr>
        <w:t xml:space="preserve">ta collection with death certificates because the state health department itself collects death certificates. </w:t>
      </w:r>
      <w:r w:rsidRPr="00CB7F03" w:rsidR="00085193">
        <w:rPr>
          <w:sz w:val="24"/>
        </w:rPr>
        <w:t xml:space="preserve">An average of </w:t>
      </w:r>
      <w:r w:rsidRPr="00CB7F03" w:rsidR="00274926">
        <w:rPr>
          <w:sz w:val="24"/>
        </w:rPr>
        <w:t xml:space="preserve">250 data </w:t>
      </w:r>
      <w:r w:rsidRPr="00CB7F03" w:rsidR="0077643E">
        <w:rPr>
          <w:sz w:val="24"/>
        </w:rPr>
        <w:t>elements</w:t>
      </w:r>
      <w:r w:rsidRPr="00CB7F03" w:rsidR="00274926">
        <w:rPr>
          <w:sz w:val="24"/>
        </w:rPr>
        <w:t xml:space="preserve"> are collect</w:t>
      </w:r>
      <w:r w:rsidRPr="00CB7F03" w:rsidR="00C36844">
        <w:rPr>
          <w:sz w:val="24"/>
        </w:rPr>
        <w:t>ed</w:t>
      </w:r>
      <w:r w:rsidRPr="00CB7F03" w:rsidR="00274926">
        <w:rPr>
          <w:sz w:val="24"/>
        </w:rPr>
        <w:t xml:space="preserve"> on each incident</w:t>
      </w:r>
      <w:r w:rsidR="00E469B5">
        <w:rPr>
          <w:sz w:val="24"/>
        </w:rPr>
        <w:t>.</w:t>
      </w:r>
      <w:r w:rsidRPr="002734A3" w:rsidR="002734A3">
        <w:t xml:space="preserve"> </w:t>
      </w:r>
      <w:r w:rsidRPr="002734A3" w:rsidR="002734A3">
        <w:rPr>
          <w:sz w:val="24"/>
        </w:rPr>
        <w:t xml:space="preserve">If all optional modules are </w:t>
      </w:r>
      <w:r w:rsidRPr="00C3342F" w:rsidR="002734A3">
        <w:rPr>
          <w:sz w:val="24"/>
        </w:rPr>
        <w:t>used</w:t>
      </w:r>
      <w:r w:rsidRPr="00C3342F" w:rsidR="003F41F5">
        <w:rPr>
          <w:sz w:val="24"/>
        </w:rPr>
        <w:t xml:space="preserve"> (which is highly unlikely)</w:t>
      </w:r>
      <w:r w:rsidRPr="00C3342F" w:rsidR="002734A3">
        <w:rPr>
          <w:sz w:val="24"/>
        </w:rPr>
        <w:t>,</w:t>
      </w:r>
      <w:r w:rsidRPr="002734A3" w:rsidR="002734A3">
        <w:rPr>
          <w:sz w:val="24"/>
        </w:rPr>
        <w:t xml:space="preserve"> up to 600 data elements </w:t>
      </w:r>
      <w:r w:rsidR="009476CE">
        <w:rPr>
          <w:sz w:val="24"/>
        </w:rPr>
        <w:t>(</w:t>
      </w:r>
      <w:r w:rsidRPr="001A3506" w:rsidR="00422F07">
        <w:rPr>
          <w:sz w:val="24"/>
        </w:rPr>
        <w:t>Att</w:t>
      </w:r>
      <w:r w:rsidR="00422F07">
        <w:rPr>
          <w:sz w:val="24"/>
        </w:rPr>
        <w:t>achment</w:t>
      </w:r>
      <w:r w:rsidRPr="001A3506" w:rsidR="00422F07">
        <w:rPr>
          <w:sz w:val="24"/>
        </w:rPr>
        <w:t xml:space="preserve"> </w:t>
      </w:r>
      <w:r w:rsidR="009476CE">
        <w:rPr>
          <w:sz w:val="24"/>
        </w:rPr>
        <w:t xml:space="preserve">8) </w:t>
      </w:r>
      <w:r w:rsidRPr="002734A3" w:rsidR="002734A3">
        <w:rPr>
          <w:sz w:val="24"/>
        </w:rPr>
        <w:t>could be collected per incident.</w:t>
      </w:r>
      <w:r w:rsidR="002734A3">
        <w:rPr>
          <w:sz w:val="24"/>
        </w:rPr>
        <w:t xml:space="preserve"> </w:t>
      </w:r>
    </w:p>
    <w:p w:rsidR="00377BE5" w:rsidP="00377BE5" w:rsidRDefault="00377BE5" w14:paraId="74EC7649" w14:textId="77777777">
      <w:pPr>
        <w:rPr>
          <w:sz w:val="24"/>
        </w:rPr>
      </w:pPr>
    </w:p>
    <w:p w:rsidR="00666E17" w:rsidP="00377BE5" w:rsidRDefault="00034ACC" w14:paraId="2E82D4A4" w14:textId="77777777">
      <w:pPr>
        <w:rPr>
          <w:color w:val="000000"/>
          <w:sz w:val="24"/>
        </w:rPr>
      </w:pPr>
      <w:r>
        <w:rPr>
          <w:sz w:val="24"/>
        </w:rPr>
        <w:lastRenderedPageBreak/>
        <w:t>W</w:t>
      </w:r>
      <w:r w:rsidRPr="00034ACC">
        <w:rPr>
          <w:sz w:val="24"/>
        </w:rPr>
        <w:t xml:space="preserve">henever a homicide or suicide occurs in or around school, it becomes a matter of particularly intense public interest and concern. </w:t>
      </w:r>
      <w:r w:rsidR="00F376C8">
        <w:rPr>
          <w:sz w:val="24"/>
        </w:rPr>
        <w:t xml:space="preserve">Data from the </w:t>
      </w:r>
      <w:r w:rsidRPr="002214DB" w:rsidR="00666E17">
        <w:rPr>
          <w:sz w:val="24"/>
        </w:rPr>
        <w:t>SAVD</w:t>
      </w:r>
      <w:r w:rsidR="00F376C8">
        <w:rPr>
          <w:sz w:val="24"/>
        </w:rPr>
        <w:t xml:space="preserve"> module </w:t>
      </w:r>
      <w:r w:rsidRPr="00F376C8" w:rsidR="00F376C8">
        <w:rPr>
          <w:sz w:val="24"/>
        </w:rPr>
        <w:t>will continue to contribute to the understanding of fatal violence associated with schools, guide further research in the area, and help direct ongoing and future prevention programs.</w:t>
      </w:r>
      <w:r w:rsidR="00F376C8">
        <w:rPr>
          <w:sz w:val="24"/>
        </w:rPr>
        <w:t xml:space="preserve"> The separate SAVD-SS </w:t>
      </w:r>
      <w:r w:rsidRPr="002214DB" w:rsidR="00666E17">
        <w:rPr>
          <w:sz w:val="24"/>
        </w:rPr>
        <w:t xml:space="preserve">data collection is authorized under Section 301 of the Public Health Service Act (42 USC 241) (Attachment </w:t>
      </w:r>
      <w:r w:rsidRPr="002214DB" w:rsidR="009B00A7">
        <w:rPr>
          <w:sz w:val="24"/>
        </w:rPr>
        <w:t>1</w:t>
      </w:r>
      <w:r w:rsidRPr="002214DB" w:rsidR="00666E17">
        <w:rPr>
          <w:sz w:val="24"/>
        </w:rPr>
        <w:t>) authorizes CDC to conduct research relating to the prevention and control of disease, Section 391 of the Public Health Service Act (42 USC 280b) Section 42 USC 242(k), and 42 USC 242(m)</w:t>
      </w:r>
      <w:r w:rsidRPr="002214DB" w:rsidR="009B00A7">
        <w:rPr>
          <w:color w:val="000000"/>
          <w:sz w:val="24"/>
        </w:rPr>
        <w:t>.</w:t>
      </w:r>
      <w:r w:rsidRPr="002214DB" w:rsidR="00666E17">
        <w:rPr>
          <w:color w:val="000000"/>
          <w:sz w:val="24"/>
        </w:rPr>
        <w:t xml:space="preserve"> The Confidentiality Assurance under this law protects the privacy of people and organizations taking part in this study. It keeps their names and other facts that can identify them from anyone who is not on the study staff.</w:t>
      </w:r>
      <w:r w:rsidR="00402554">
        <w:rPr>
          <w:color w:val="000000"/>
          <w:sz w:val="24"/>
        </w:rPr>
        <w:t xml:space="preserve"> </w:t>
      </w:r>
      <w:r w:rsidRPr="00402554" w:rsidR="00402554">
        <w:rPr>
          <w:color w:val="000000"/>
          <w:sz w:val="24"/>
        </w:rPr>
        <w:t xml:space="preserve">Data collection </w:t>
      </w:r>
      <w:r w:rsidR="00402554">
        <w:rPr>
          <w:color w:val="000000"/>
          <w:sz w:val="24"/>
        </w:rPr>
        <w:t xml:space="preserve">of school-associated violent deaths </w:t>
      </w:r>
      <w:r w:rsidRPr="00402554" w:rsidR="00402554">
        <w:rPr>
          <w:color w:val="000000"/>
          <w:sz w:val="24"/>
        </w:rPr>
        <w:t xml:space="preserve">will transition entirely to the NVDRS </w:t>
      </w:r>
      <w:r w:rsidR="00006535">
        <w:rPr>
          <w:color w:val="000000"/>
          <w:sz w:val="24"/>
        </w:rPr>
        <w:t xml:space="preserve">web-based system </w:t>
      </w:r>
      <w:r w:rsidRPr="00402554" w:rsidR="00402554">
        <w:rPr>
          <w:color w:val="000000"/>
          <w:sz w:val="24"/>
        </w:rPr>
        <w:t xml:space="preserve">once cases from 2020 are fully abstracted and there is the capability for nationwide coverage of the collection of </w:t>
      </w:r>
      <w:r w:rsidR="00402554">
        <w:rPr>
          <w:color w:val="000000"/>
          <w:sz w:val="24"/>
        </w:rPr>
        <w:t xml:space="preserve">these </w:t>
      </w:r>
      <w:r w:rsidRPr="00402554" w:rsidR="00402554">
        <w:rPr>
          <w:color w:val="000000"/>
          <w:sz w:val="24"/>
        </w:rPr>
        <w:t>deaths through NVDRS.</w:t>
      </w:r>
      <w:r w:rsidR="00006535">
        <w:rPr>
          <w:color w:val="000000"/>
          <w:sz w:val="24"/>
        </w:rPr>
        <w:t xml:space="preserve"> This is estimated to occur with the</w:t>
      </w:r>
      <w:r w:rsidR="00615B7C">
        <w:rPr>
          <w:color w:val="000000"/>
          <w:sz w:val="24"/>
        </w:rPr>
        <w:t xml:space="preserve"> 2025 NVDRS data collection cycle. </w:t>
      </w:r>
      <w:r w:rsidR="00006535">
        <w:rPr>
          <w:color w:val="000000"/>
          <w:sz w:val="24"/>
        </w:rPr>
        <w:t xml:space="preserve"> </w:t>
      </w:r>
    </w:p>
    <w:p w:rsidR="00615B7C" w:rsidP="00C90E2F" w:rsidRDefault="00615B7C" w14:paraId="6C2476CF" w14:textId="77777777">
      <w:pPr>
        <w:ind w:left="720"/>
        <w:rPr>
          <w:color w:val="000000"/>
          <w:sz w:val="24"/>
        </w:rPr>
      </w:pPr>
    </w:p>
    <w:p w:rsidR="002214DB" w:rsidP="00377BE5" w:rsidRDefault="00615B7C" w14:paraId="4DEEDE3B" w14:textId="77777777">
      <w:pPr>
        <w:rPr>
          <w:color w:val="000000"/>
          <w:sz w:val="24"/>
        </w:rPr>
      </w:pPr>
      <w:r>
        <w:rPr>
          <w:color w:val="000000"/>
          <w:sz w:val="24"/>
        </w:rPr>
        <w:t xml:space="preserve">These </w:t>
      </w:r>
      <w:r w:rsidR="00985C65">
        <w:rPr>
          <w:color w:val="000000"/>
          <w:sz w:val="24"/>
        </w:rPr>
        <w:t xml:space="preserve">system </w:t>
      </w:r>
      <w:r>
        <w:rPr>
          <w:color w:val="000000"/>
          <w:sz w:val="24"/>
        </w:rPr>
        <w:t xml:space="preserve">changes </w:t>
      </w:r>
      <w:r w:rsidR="00985C65">
        <w:rPr>
          <w:color w:val="000000"/>
          <w:sz w:val="24"/>
        </w:rPr>
        <w:t xml:space="preserve">(primarily module additions) </w:t>
      </w:r>
      <w:r>
        <w:rPr>
          <w:color w:val="000000"/>
          <w:sz w:val="24"/>
        </w:rPr>
        <w:t xml:space="preserve">may result in an increased burden in collecting data on violent </w:t>
      </w:r>
      <w:r w:rsidRPr="00F039F8">
        <w:rPr>
          <w:color w:val="000000"/>
          <w:sz w:val="24"/>
        </w:rPr>
        <w:t>dea</w:t>
      </w:r>
      <w:r w:rsidRPr="00F039F8" w:rsidR="00985C65">
        <w:rPr>
          <w:color w:val="000000"/>
          <w:sz w:val="24"/>
        </w:rPr>
        <w:t>ths (see Table A-12)</w:t>
      </w:r>
      <w:r w:rsidRPr="00F039F8">
        <w:rPr>
          <w:color w:val="000000"/>
          <w:sz w:val="24"/>
        </w:rPr>
        <w:t>.</w:t>
      </w:r>
      <w:r>
        <w:rPr>
          <w:color w:val="000000"/>
          <w:sz w:val="24"/>
        </w:rPr>
        <w:t xml:space="preserve"> </w:t>
      </w:r>
      <w:r w:rsidR="005F1F92">
        <w:rPr>
          <w:color w:val="000000"/>
          <w:sz w:val="24"/>
        </w:rPr>
        <w:t>Although the SAVD and Public Safety Officer Suicide Reporting System module will not be completed for every incident</w:t>
      </w:r>
      <w:r w:rsidR="00426CD7">
        <w:rPr>
          <w:color w:val="000000"/>
          <w:sz w:val="24"/>
        </w:rPr>
        <w:t>.</w:t>
      </w:r>
    </w:p>
    <w:p w:rsidR="005F729B" w:rsidP="00377BE5" w:rsidRDefault="005F729B" w14:paraId="5FD06129" w14:textId="77777777">
      <w:pPr>
        <w:rPr>
          <w:color w:val="000000"/>
          <w:sz w:val="24"/>
        </w:rPr>
      </w:pPr>
    </w:p>
    <w:p w:rsidRPr="002214DB" w:rsidR="00426CD7" w:rsidP="00905D0B" w:rsidRDefault="00426CD7" w14:paraId="582C5908" w14:textId="77777777">
      <w:pPr>
        <w:ind w:left="720"/>
        <w:rPr>
          <w:color w:val="000000"/>
        </w:rPr>
      </w:pPr>
    </w:p>
    <w:p w:rsidRPr="002214DB" w:rsidR="001C26B3" w:rsidP="00377BE5" w:rsidRDefault="001C26B3" w14:paraId="38605A67" w14:textId="77777777">
      <w:pPr>
        <w:numPr>
          <w:ilvl w:val="0"/>
          <w:numId w:val="8"/>
        </w:numPr>
        <w:tabs>
          <w:tab w:val="left" w:pos="-1440"/>
        </w:tabs>
        <w:ind w:left="360"/>
        <w:rPr>
          <w:sz w:val="24"/>
        </w:rPr>
      </w:pPr>
      <w:r w:rsidRPr="002214DB">
        <w:rPr>
          <w:b/>
          <w:bCs/>
          <w:sz w:val="24"/>
        </w:rPr>
        <w:t>Purpose and Use of Information Collection</w:t>
      </w:r>
    </w:p>
    <w:p w:rsidRPr="00CB7F03" w:rsidR="001C26B3" w:rsidP="00905D0B" w:rsidRDefault="001C26B3" w14:paraId="6378FABB" w14:textId="77777777">
      <w:pPr>
        <w:rPr>
          <w:sz w:val="24"/>
        </w:rPr>
      </w:pPr>
    </w:p>
    <w:p w:rsidRPr="00CB7F03" w:rsidR="001C26B3" w:rsidP="00377BE5" w:rsidRDefault="001C26B3" w14:paraId="3337C58E" w14:textId="77777777">
      <w:pPr>
        <w:rPr>
          <w:b/>
          <w:bCs/>
          <w:sz w:val="24"/>
        </w:rPr>
      </w:pPr>
      <w:r w:rsidRPr="00CB7F03">
        <w:rPr>
          <w:sz w:val="24"/>
        </w:rPr>
        <w:t>The pu</w:t>
      </w:r>
      <w:r w:rsidRPr="00CB7F03" w:rsidR="004F7B46">
        <w:rPr>
          <w:sz w:val="24"/>
        </w:rPr>
        <w:t>rpose of the program is to continue</w:t>
      </w:r>
      <w:r w:rsidRPr="00CB7F03">
        <w:rPr>
          <w:sz w:val="24"/>
        </w:rPr>
        <w:t xml:space="preserve"> establishing </w:t>
      </w:r>
      <w:r w:rsidRPr="00CB7F03" w:rsidR="00307377">
        <w:rPr>
          <w:sz w:val="24"/>
        </w:rPr>
        <w:t>and maintaining</w:t>
      </w:r>
      <w:r w:rsidRPr="00CB7F03" w:rsidR="004F7B46">
        <w:rPr>
          <w:sz w:val="24"/>
        </w:rPr>
        <w:t xml:space="preserve"> </w:t>
      </w:r>
      <w:r w:rsidRPr="00CB7F03">
        <w:rPr>
          <w:sz w:val="24"/>
        </w:rPr>
        <w:t>state violent death informat</w:t>
      </w:r>
      <w:r w:rsidRPr="00CB7F03" w:rsidR="00307377">
        <w:rPr>
          <w:sz w:val="24"/>
        </w:rPr>
        <w:t>ion collection systems that</w:t>
      </w:r>
      <w:r w:rsidRPr="00CB7F03">
        <w:rPr>
          <w:sz w:val="24"/>
        </w:rPr>
        <w:t xml:space="preserve"> form the basis of NVDRS. </w:t>
      </w:r>
      <w:r w:rsidRPr="00CB7F03" w:rsidR="00924AB2">
        <w:rPr>
          <w:sz w:val="24"/>
        </w:rPr>
        <w:t>T</w:t>
      </w:r>
      <w:r w:rsidRPr="00CB7F03">
        <w:rPr>
          <w:sz w:val="24"/>
        </w:rPr>
        <w:t xml:space="preserve">he purpose of NVDRS is to generate public health surveillance information at the national, state, and local levels that is more detailed, useful, and timely than is currently available. </w:t>
      </w:r>
      <w:r w:rsidRPr="00BD6652" w:rsidR="006E36E3">
        <w:rPr>
          <w:sz w:val="24"/>
        </w:rPr>
        <w:t xml:space="preserve">It is not enough to know the magnitude of violence. It is </w:t>
      </w:r>
      <w:r w:rsidRPr="00BD6652" w:rsidR="00866F9F">
        <w:rPr>
          <w:sz w:val="24"/>
        </w:rPr>
        <w:t>also</w:t>
      </w:r>
      <w:r w:rsidRPr="00BD6652" w:rsidR="006E36E3">
        <w:rPr>
          <w:sz w:val="24"/>
        </w:rPr>
        <w:t xml:space="preserve"> important to understand what factors protect people or put them at risk for experiencing violence. The collection of such information will help identify where prevention efforts need to be focused.</w:t>
      </w:r>
      <w:r w:rsidRPr="00CB7F03">
        <w:rPr>
          <w:sz w:val="24"/>
        </w:rPr>
        <w:t xml:space="preserve">  Without this information, violence prevention efforts are often based on anecdotal, nonscientific information. This program addresses the Healthy People 20</w:t>
      </w:r>
      <w:r w:rsidR="00E03A14">
        <w:rPr>
          <w:sz w:val="24"/>
        </w:rPr>
        <w:t>3</w:t>
      </w:r>
      <w:r w:rsidRPr="00CB7F03">
        <w:rPr>
          <w:sz w:val="24"/>
        </w:rPr>
        <w:t>0 focus area of Injury and Violence Prevention</w:t>
      </w:r>
      <w:r w:rsidR="007818ED">
        <w:rPr>
          <w:sz w:val="24"/>
          <w:vertAlign w:val="superscript"/>
        </w:rPr>
        <w:t>viii</w:t>
      </w:r>
      <w:r w:rsidRPr="00CB7F03">
        <w:rPr>
          <w:b/>
          <w:bCs/>
          <w:sz w:val="24"/>
        </w:rPr>
        <w:t>.</w:t>
      </w:r>
    </w:p>
    <w:p w:rsidRPr="00CB7F03" w:rsidR="00E13A37" w:rsidP="00905D0B" w:rsidRDefault="00E13A37" w14:paraId="7DA2A875" w14:textId="77777777">
      <w:pPr>
        <w:rPr>
          <w:b/>
          <w:bCs/>
          <w:sz w:val="24"/>
        </w:rPr>
      </w:pPr>
    </w:p>
    <w:p w:rsidR="008D3ADF" w:rsidP="008D53E0" w:rsidRDefault="008D3ADF" w14:paraId="64258278" w14:textId="77777777">
      <w:pPr>
        <w:rPr>
          <w:sz w:val="24"/>
        </w:rPr>
      </w:pPr>
      <w:r w:rsidRPr="00CB7F03">
        <w:rPr>
          <w:sz w:val="24"/>
        </w:rPr>
        <w:t xml:space="preserve">We need to continue this </w:t>
      </w:r>
      <w:r w:rsidRPr="00CB7F03" w:rsidR="0057320F">
        <w:rPr>
          <w:sz w:val="24"/>
        </w:rPr>
        <w:t>surveillance system</w:t>
      </w:r>
      <w:r w:rsidRPr="00CB7F03">
        <w:rPr>
          <w:sz w:val="24"/>
        </w:rPr>
        <w:t xml:space="preserve"> to </w:t>
      </w:r>
      <w:r w:rsidR="00905D0B">
        <w:rPr>
          <w:sz w:val="24"/>
        </w:rPr>
        <w:t xml:space="preserve">increase </w:t>
      </w:r>
      <w:r w:rsidRPr="00CB7F03">
        <w:rPr>
          <w:sz w:val="24"/>
        </w:rPr>
        <w:t>our knowledge regarding events that surround the occurrence of a violent death. States that currently collect this data are just beginning to experience the value of such a system. Violent death data gathered by states is being used to guide the development of reports</w:t>
      </w:r>
      <w:r w:rsidRPr="00CB7F03" w:rsidR="00283242">
        <w:rPr>
          <w:sz w:val="24"/>
        </w:rPr>
        <w:t xml:space="preserve">, modify </w:t>
      </w:r>
      <w:r w:rsidRPr="00CB7F03">
        <w:rPr>
          <w:sz w:val="24"/>
        </w:rPr>
        <w:t>annual prevention plans</w:t>
      </w:r>
      <w:r w:rsidRPr="00CB7F03" w:rsidR="00283242">
        <w:rPr>
          <w:sz w:val="24"/>
        </w:rPr>
        <w:t xml:space="preserve">, and inform </w:t>
      </w:r>
      <w:r w:rsidRPr="00CB7F03">
        <w:rPr>
          <w:sz w:val="24"/>
        </w:rPr>
        <w:t>prevention strategies. The system is helping s</w:t>
      </w:r>
      <w:r w:rsidRPr="00CB7F03" w:rsidR="004D1A94">
        <w:rPr>
          <w:sz w:val="24"/>
        </w:rPr>
        <w:t>tates to collabo</w:t>
      </w:r>
      <w:r w:rsidRPr="00CB7F03" w:rsidR="00DE1313">
        <w:rPr>
          <w:sz w:val="24"/>
        </w:rPr>
        <w:t>rate with data partners that have</w:t>
      </w:r>
      <w:r w:rsidRPr="00CB7F03" w:rsidR="004D1A94">
        <w:rPr>
          <w:sz w:val="24"/>
        </w:rPr>
        <w:t xml:space="preserve"> not existed in the past.  </w:t>
      </w:r>
    </w:p>
    <w:p w:rsidR="003871C9" w:rsidP="008D53E0" w:rsidRDefault="003871C9" w14:paraId="0E0B1A13" w14:textId="77777777">
      <w:pPr>
        <w:rPr>
          <w:sz w:val="24"/>
        </w:rPr>
      </w:pPr>
    </w:p>
    <w:p w:rsidR="008675CC" w:rsidP="008D53E0" w:rsidRDefault="003871C9" w14:paraId="5AF414A1" w14:textId="77777777">
      <w:pPr>
        <w:rPr>
          <w:sz w:val="24"/>
        </w:rPr>
      </w:pPr>
      <w:r>
        <w:rPr>
          <w:sz w:val="24"/>
        </w:rPr>
        <w:t xml:space="preserve">This </w:t>
      </w:r>
      <w:r w:rsidR="009E144B">
        <w:rPr>
          <w:sz w:val="24"/>
        </w:rPr>
        <w:t>update differs from what was requested in the pre</w:t>
      </w:r>
      <w:r w:rsidRPr="00F5056D" w:rsidR="009E144B">
        <w:rPr>
          <w:sz w:val="24"/>
        </w:rPr>
        <w:t xml:space="preserve">vious ICR in many ways. </w:t>
      </w:r>
      <w:r w:rsidRPr="00F5056D" w:rsidR="00852C69">
        <w:rPr>
          <w:sz w:val="24"/>
        </w:rPr>
        <w:t xml:space="preserve">There is a new module to NVDRS </w:t>
      </w:r>
      <w:r w:rsidRPr="00F5056D" w:rsidR="006770D4">
        <w:rPr>
          <w:sz w:val="24"/>
        </w:rPr>
        <w:t>en</w:t>
      </w:r>
      <w:r w:rsidRPr="00F5056D" w:rsidR="00852C69">
        <w:rPr>
          <w:sz w:val="24"/>
        </w:rPr>
        <w:t>titled the SAVD module</w:t>
      </w:r>
      <w:r w:rsidRPr="00F5056D" w:rsidR="003C454B">
        <w:rPr>
          <w:sz w:val="24"/>
        </w:rPr>
        <w:t>.</w:t>
      </w:r>
      <w:r w:rsidRPr="00F5056D" w:rsidR="00415145">
        <w:rPr>
          <w:sz w:val="24"/>
        </w:rPr>
        <w:t xml:space="preserve"> </w:t>
      </w:r>
      <w:r w:rsidRPr="00F5056D" w:rsidR="006770D4">
        <w:rPr>
          <w:sz w:val="24"/>
        </w:rPr>
        <w:t xml:space="preserve">Historic </w:t>
      </w:r>
      <w:r w:rsidRPr="00F5056D" w:rsidR="00433AE2">
        <w:rPr>
          <w:sz w:val="24"/>
        </w:rPr>
        <w:t>SAVD</w:t>
      </w:r>
      <w:r w:rsidRPr="00F5056D" w:rsidR="006770D4">
        <w:rPr>
          <w:sz w:val="24"/>
        </w:rPr>
        <w:t xml:space="preserve"> (SAVD-SS)</w:t>
      </w:r>
      <w:r w:rsidRPr="00F5056D" w:rsidR="00433AE2">
        <w:rPr>
          <w:sz w:val="24"/>
        </w:rPr>
        <w:t xml:space="preserve"> has</w:t>
      </w:r>
      <w:r w:rsidRPr="00843E96" w:rsidR="00433AE2">
        <w:rPr>
          <w:sz w:val="24"/>
        </w:rPr>
        <w:t xml:space="preserve"> been conducted since 1993. </w:t>
      </w:r>
      <w:r w:rsidRPr="008675CC" w:rsidR="008675CC">
        <w:rPr>
          <w:sz w:val="24"/>
        </w:rPr>
        <w:t>Since 1995, the U.S. Centers for Disease Control and Prevention, along with the U.S. Department of Education and the U.S. Department of Justice, have conducted an ongoing study of violent deaths that occur in and around elementary, middle, and secondary schools in the United States.  This study is known as the School Associated Violent Deaths Surveillance System (SAVD-SS).  A school-associated violent death is any homicide, suicide, or legal intervention death in the United States, between 1999 and the present, in which a fatal injury occurred</w:t>
      </w:r>
      <w:r w:rsidR="006770D4">
        <w:rPr>
          <w:sz w:val="24"/>
        </w:rPr>
        <w:t xml:space="preserve"> </w:t>
      </w:r>
      <w:r w:rsidRPr="008675CC" w:rsidR="008675CC">
        <w:rPr>
          <w:sz w:val="24"/>
        </w:rPr>
        <w:t>1</w:t>
      </w:r>
      <w:r w:rsidR="006770D4">
        <w:rPr>
          <w:sz w:val="24"/>
        </w:rPr>
        <w:t>)</w:t>
      </w:r>
      <w:r w:rsidRPr="008675CC" w:rsidR="008675CC">
        <w:rPr>
          <w:sz w:val="24"/>
        </w:rPr>
        <w:t xml:space="preserve"> on the property of a functioning public or private elementary, </w:t>
      </w:r>
      <w:proofErr w:type="gramStart"/>
      <w:r w:rsidRPr="008675CC" w:rsidR="008675CC">
        <w:rPr>
          <w:sz w:val="24"/>
        </w:rPr>
        <w:t>middle</w:t>
      </w:r>
      <w:proofErr w:type="gramEnd"/>
      <w:r w:rsidRPr="008675CC" w:rsidR="008675CC">
        <w:rPr>
          <w:sz w:val="24"/>
        </w:rPr>
        <w:t xml:space="preserve"> or secondary </w:t>
      </w:r>
      <w:r w:rsidRPr="008675CC" w:rsidR="008675CC">
        <w:rPr>
          <w:sz w:val="24"/>
        </w:rPr>
        <w:lastRenderedPageBreak/>
        <w:t>school,</w:t>
      </w:r>
      <w:r w:rsidR="006770D4">
        <w:rPr>
          <w:sz w:val="24"/>
        </w:rPr>
        <w:t xml:space="preserve"> </w:t>
      </w:r>
      <w:r w:rsidRPr="008675CC" w:rsidR="008675CC">
        <w:rPr>
          <w:sz w:val="24"/>
        </w:rPr>
        <w:t>2</w:t>
      </w:r>
      <w:r w:rsidR="006770D4">
        <w:rPr>
          <w:sz w:val="24"/>
        </w:rPr>
        <w:t>)</w:t>
      </w:r>
      <w:r w:rsidRPr="008675CC" w:rsidR="008675CC">
        <w:rPr>
          <w:sz w:val="24"/>
        </w:rPr>
        <w:t xml:space="preserve"> on the way to or from regular sessions at such a school, </w:t>
      </w:r>
      <w:r w:rsidR="006770D4">
        <w:rPr>
          <w:sz w:val="24"/>
        </w:rPr>
        <w:t xml:space="preserve">or 3) </w:t>
      </w:r>
      <w:r w:rsidRPr="008675CC" w:rsidR="008675CC">
        <w:rPr>
          <w:sz w:val="24"/>
        </w:rPr>
        <w:t>while attending or on the way to or from an official school-sponsored event.</w:t>
      </w:r>
      <w:r w:rsidR="006770D4">
        <w:rPr>
          <w:sz w:val="24"/>
        </w:rPr>
        <w:t xml:space="preserve"> </w:t>
      </w:r>
      <w:r w:rsidRPr="008675CC" w:rsidR="008675CC">
        <w:rPr>
          <w:sz w:val="24"/>
        </w:rPr>
        <w:t xml:space="preserve">This information includes, in part, the school history, legal history, family history, and psychological history on the victims and/or perpetrators.  The SAVD data are used by CDC scientists to help understand and prevent the occurrence school-associated violent deaths. The purpose of </w:t>
      </w:r>
      <w:r w:rsidR="006770D4">
        <w:rPr>
          <w:sz w:val="24"/>
        </w:rPr>
        <w:t xml:space="preserve">SAVD </w:t>
      </w:r>
      <w:r w:rsidRPr="008675CC" w:rsidR="008675CC">
        <w:rPr>
          <w:sz w:val="24"/>
        </w:rPr>
        <w:t xml:space="preserve">is to identify features common to these rare but very visible events, and to estimate the risk of school-related violent deaths.  </w:t>
      </w:r>
      <w:proofErr w:type="gramStart"/>
      <w:r w:rsidRPr="008675CC" w:rsidR="008675CC">
        <w:rPr>
          <w:sz w:val="24"/>
        </w:rPr>
        <w:t>In an effort to</w:t>
      </w:r>
      <w:proofErr w:type="gramEnd"/>
      <w:r w:rsidRPr="008675CC" w:rsidR="008675CC">
        <w:rPr>
          <w:sz w:val="24"/>
        </w:rPr>
        <w:t xml:space="preserve"> create a comprehensive and accurate database, it is important to gather pertinent information about all cases in the United States.  </w:t>
      </w:r>
      <w:proofErr w:type="gramStart"/>
      <w:r w:rsidRPr="008675CC" w:rsidR="008675CC">
        <w:rPr>
          <w:sz w:val="24"/>
        </w:rPr>
        <w:t>All of</w:t>
      </w:r>
      <w:proofErr w:type="gramEnd"/>
      <w:r w:rsidRPr="008675CC" w:rsidR="008675CC">
        <w:rPr>
          <w:sz w:val="24"/>
        </w:rPr>
        <w:t xml:space="preserve"> the data collected are safeguarded against disclosure, and historically, confidentiality has been assured.  The identities of individual victims, alleged offenders, their communities, their schools or any individual otherwise involved in the case are not be revealed in any published reports.</w:t>
      </w:r>
    </w:p>
    <w:p w:rsidRPr="009D107B" w:rsidR="007E450C" w:rsidP="008D53E0" w:rsidRDefault="007E450C" w14:paraId="60C85A80" w14:textId="77777777">
      <w:pPr>
        <w:rPr>
          <w:sz w:val="24"/>
        </w:rPr>
      </w:pPr>
    </w:p>
    <w:p w:rsidRPr="00F039F8" w:rsidR="00433AE2" w:rsidP="00121587" w:rsidRDefault="00433AE2" w14:paraId="0144BD91" w14:textId="77777777">
      <w:pPr>
        <w:rPr>
          <w:sz w:val="24"/>
        </w:rPr>
      </w:pPr>
      <w:r w:rsidRPr="00C3342F">
        <w:rPr>
          <w:sz w:val="24"/>
        </w:rPr>
        <w:t xml:space="preserve">Data collection </w:t>
      </w:r>
      <w:r w:rsidRPr="00C3342F" w:rsidR="003C454B">
        <w:rPr>
          <w:sz w:val="24"/>
        </w:rPr>
        <w:t xml:space="preserve">on school associated violent deaths that occur in </w:t>
      </w:r>
      <w:r w:rsidRPr="00C3342F">
        <w:rPr>
          <w:sz w:val="24"/>
        </w:rPr>
        <w:t>the 2022-2025 cycle will occur through two mechanisms: the historic SAVD and the NVDRS platform. Data collection will transition entirely to the NVDRS once cases from 2020 are fully abstracted and there is the capability for nationwide coverage of the collection of school-associated violent deaths through NVDRS. This may occur before</w:t>
      </w:r>
      <w:r w:rsidRPr="00973CDC">
        <w:rPr>
          <w:sz w:val="24"/>
        </w:rPr>
        <w:t xml:space="preserve"> the end of this study period. This data on school-associated violent deaths will be collected for the purposes of furthe</w:t>
      </w:r>
      <w:r w:rsidRPr="00F039F8">
        <w:rPr>
          <w:sz w:val="24"/>
        </w:rPr>
        <w:t xml:space="preserve">ring understanding of fatal violence associated with schools, guiding further research in this area, and helping to direct ongoing and future prevention programs. There is a positive need to continue the surveillance system to gather data for evaluation of ongoing school violence programs and guidance in the development of new school violence prevention programs. A possible negative consequence of not collecting data on school-associated violent deaths would be spending money on ineffective prevention programs because of inadequate data for program evaluation. Another important negative consequence would be continued high morbidity and mortality from school violence because of inaction resulting from inadequate knowledge about preventable risk factors. Lastly, this system addresses the Healthy People 2030 focus areas of Injury Prevention and Violence Prevention along with of the leading health indicators of reducing homicides and suicides. We are requesting to eliminate the use of abstracting information from law enforcement reports in the SAVD. The intent is </w:t>
      </w:r>
      <w:r w:rsidRPr="00F039F8" w:rsidR="003C454B">
        <w:rPr>
          <w:sz w:val="24"/>
        </w:rPr>
        <w:t xml:space="preserve">to </w:t>
      </w:r>
      <w:r w:rsidRPr="00F039F8">
        <w:rPr>
          <w:sz w:val="24"/>
        </w:rPr>
        <w:t>transition</w:t>
      </w:r>
      <w:r w:rsidRPr="00F039F8" w:rsidR="003C454B">
        <w:rPr>
          <w:sz w:val="24"/>
        </w:rPr>
        <w:t xml:space="preserve"> </w:t>
      </w:r>
      <w:r w:rsidRPr="00F039F8">
        <w:rPr>
          <w:sz w:val="24"/>
        </w:rPr>
        <w:t xml:space="preserve">data collection in two ways. First, NVDRS will collect data for the majority of the U.S. by funded recipients using the NVDRS school-associated violent </w:t>
      </w:r>
      <w:proofErr w:type="gramStart"/>
      <w:r w:rsidRPr="00F039F8">
        <w:rPr>
          <w:sz w:val="24"/>
        </w:rPr>
        <w:t>death  module</w:t>
      </w:r>
      <w:proofErr w:type="gramEnd"/>
      <w:r w:rsidRPr="00F039F8">
        <w:rPr>
          <w:sz w:val="24"/>
        </w:rPr>
        <w:t>. This module utilizes data abstracted from death certificates, coroner/medical examiner reports, and law enforcement reports. Second, SAVD study staff will abstract information from all remaining cases in select counties not currently captured by NVDRS using public media releases on school-associated deaths with no direct contact or materials from law enforcement.</w:t>
      </w:r>
    </w:p>
    <w:p w:rsidRPr="00F039F8" w:rsidR="00433AE2" w:rsidP="00905D0B" w:rsidRDefault="00433AE2" w14:paraId="452907B7" w14:textId="77777777">
      <w:pPr>
        <w:ind w:left="720"/>
        <w:rPr>
          <w:sz w:val="24"/>
        </w:rPr>
      </w:pPr>
    </w:p>
    <w:p w:rsidR="00433AE2" w:rsidP="007E450C" w:rsidRDefault="00433AE2" w14:paraId="5219DF7B" w14:textId="77777777">
      <w:pPr>
        <w:rPr>
          <w:sz w:val="24"/>
        </w:rPr>
      </w:pPr>
      <w:r w:rsidRPr="00F039F8">
        <w:rPr>
          <w:sz w:val="24"/>
        </w:rPr>
        <w:t>As mentioned in the previous section, data from the surveillance system have been used extensively to inform public officials, researchers, and the public in general. These data have appeared in several published reports that have been used to guide programmatic activities and evaluate interventions. A list of selected publications using data from the SAVD is presented</w:t>
      </w:r>
      <w:r w:rsidRPr="00C3342F" w:rsidR="00843E96">
        <w:rPr>
          <w:sz w:val="24"/>
        </w:rPr>
        <w:t xml:space="preserve"> below</w:t>
      </w:r>
      <w:r w:rsidRPr="00C3342F">
        <w:rPr>
          <w:sz w:val="24"/>
        </w:rPr>
        <w:t>.</w:t>
      </w:r>
    </w:p>
    <w:p w:rsidR="003C454B" w:rsidP="007E450C" w:rsidRDefault="003C454B" w14:paraId="459F5B7B" w14:textId="77777777">
      <w:pPr>
        <w:rPr>
          <w:sz w:val="24"/>
        </w:rPr>
      </w:pPr>
    </w:p>
    <w:p w:rsidR="003C454B" w:rsidP="007E450C" w:rsidRDefault="003C454B" w14:paraId="0D8569CF" w14:textId="77777777">
      <w:pPr>
        <w:rPr>
          <w:sz w:val="24"/>
        </w:rPr>
      </w:pPr>
      <w:r w:rsidRPr="003C454B">
        <w:rPr>
          <w:sz w:val="24"/>
        </w:rPr>
        <w:t xml:space="preserve">Data collected through </w:t>
      </w:r>
      <w:r w:rsidR="00827C0D">
        <w:rPr>
          <w:sz w:val="24"/>
        </w:rPr>
        <w:t xml:space="preserve">the </w:t>
      </w:r>
      <w:r>
        <w:rPr>
          <w:sz w:val="24"/>
        </w:rPr>
        <w:t xml:space="preserve">SAVD-SS </w:t>
      </w:r>
      <w:r w:rsidRPr="003C454B">
        <w:rPr>
          <w:sz w:val="24"/>
        </w:rPr>
        <w:t>surveillance system will be reviewed and used by CDC, the U.S. Department of Education, the U.S. Department of Justice, and other outside agencies and organizations. This information</w:t>
      </w:r>
      <w:r w:rsidR="00827C0D">
        <w:rPr>
          <w:sz w:val="24"/>
        </w:rPr>
        <w:t xml:space="preserve"> </w:t>
      </w:r>
      <w:r w:rsidRPr="003C454B">
        <w:rPr>
          <w:sz w:val="24"/>
        </w:rPr>
        <w:t xml:space="preserve">will be used in concert with other sources of information, such as National Center for Education Statistics school-level data, which will provide context </w:t>
      </w:r>
      <w:r w:rsidRPr="003C454B">
        <w:rPr>
          <w:sz w:val="24"/>
        </w:rPr>
        <w:lastRenderedPageBreak/>
        <w:t>regarding schools where school-associated violent deaths</w:t>
      </w:r>
      <w:r w:rsidR="00827C0D">
        <w:rPr>
          <w:sz w:val="24"/>
        </w:rPr>
        <w:t xml:space="preserve"> (</w:t>
      </w:r>
      <w:r w:rsidRPr="003C454B">
        <w:rPr>
          <w:sz w:val="24"/>
        </w:rPr>
        <w:t>SAVDs</w:t>
      </w:r>
      <w:r w:rsidR="00827C0D">
        <w:rPr>
          <w:sz w:val="24"/>
        </w:rPr>
        <w:t>)</w:t>
      </w:r>
      <w:r w:rsidRPr="003C454B">
        <w:rPr>
          <w:sz w:val="24"/>
        </w:rPr>
        <w:t xml:space="preserve"> take place (e.g., % free/reduced lunch, school locale [urban, rural, suburban]).  Further, the data collected under this revised ICR can be compared will be analyzed along with data collected through this surveillance system in previous years (approved under OMB# 0920-0604) </w:t>
      </w:r>
      <w:proofErr w:type="gramStart"/>
      <w:r w:rsidRPr="003C454B">
        <w:rPr>
          <w:sz w:val="24"/>
        </w:rPr>
        <w:t>in order to</w:t>
      </w:r>
      <w:proofErr w:type="gramEnd"/>
      <w:r w:rsidRPr="003C454B">
        <w:rPr>
          <w:sz w:val="24"/>
        </w:rPr>
        <w:t xml:space="preserve"> examine how conduct trend analyses related to SAVDs school-associated violent deaths have changed over an extended period of time. Data collected from 2021 and forward will be analyzed according to NVDRS standard methods with NVDRS data. There is no budgetary line item, contractor, or grantee associated with this surveillance system; all work is conducted by CDC staff.</w:t>
      </w:r>
    </w:p>
    <w:p w:rsidR="003871C9" w:rsidP="006770D4" w:rsidRDefault="003871C9" w14:paraId="5238E1CC" w14:textId="77777777">
      <w:pPr>
        <w:ind w:left="720"/>
        <w:rPr>
          <w:sz w:val="24"/>
        </w:rPr>
      </w:pPr>
    </w:p>
    <w:p w:rsidRPr="00CB7F03" w:rsidR="003871C9" w:rsidP="00121587" w:rsidRDefault="003871C9" w14:paraId="6B3B2067" w14:textId="77777777">
      <w:pPr>
        <w:rPr>
          <w:sz w:val="24"/>
        </w:rPr>
      </w:pPr>
      <w:bookmarkStart w:name="_Hlk76482739" w:id="3"/>
      <w:r>
        <w:rPr>
          <w:sz w:val="24"/>
        </w:rPr>
        <w:t xml:space="preserve">The Public Safety Officer Suicide reporting module will be added to collect more in-depth </w:t>
      </w:r>
      <w:proofErr w:type="gramStart"/>
      <w:r>
        <w:rPr>
          <w:sz w:val="24"/>
        </w:rPr>
        <w:t xml:space="preserve">information </w:t>
      </w:r>
      <w:r w:rsidR="007818ED">
        <w:rPr>
          <w:sz w:val="24"/>
        </w:rPr>
        <w:t xml:space="preserve"> </w:t>
      </w:r>
      <w:r w:rsidR="009F6F51">
        <w:rPr>
          <w:sz w:val="24"/>
        </w:rPr>
        <w:t>to</w:t>
      </w:r>
      <w:proofErr w:type="gramEnd"/>
      <w:r w:rsidR="005619FC">
        <w:rPr>
          <w:sz w:val="24"/>
        </w:rPr>
        <w:t xml:space="preserve"> </w:t>
      </w:r>
      <w:r w:rsidR="009B00A7">
        <w:rPr>
          <w:sz w:val="24"/>
        </w:rPr>
        <w:t xml:space="preserve">determine circumstances and other contextual factors for suicide among this population. </w:t>
      </w:r>
      <w:r w:rsidR="00A91D04">
        <w:rPr>
          <w:sz w:val="24"/>
        </w:rPr>
        <w:t>The goal of this data collection is to assess</w:t>
      </w:r>
      <w:r w:rsidRPr="00A91D04" w:rsidR="00A91D04">
        <w:rPr>
          <w:sz w:val="24"/>
        </w:rPr>
        <w:t xml:space="preserve"> suicide incidence </w:t>
      </w:r>
      <w:r w:rsidR="00183F88">
        <w:rPr>
          <w:sz w:val="24"/>
        </w:rPr>
        <w:t xml:space="preserve">and associated circumstances </w:t>
      </w:r>
      <w:r w:rsidRPr="00A91D04" w:rsidR="00A91D04">
        <w:rPr>
          <w:sz w:val="24"/>
        </w:rPr>
        <w:t>among public safety officers</w:t>
      </w:r>
      <w:r w:rsidR="00A91D04">
        <w:rPr>
          <w:sz w:val="24"/>
        </w:rPr>
        <w:t xml:space="preserve"> to</w:t>
      </w:r>
      <w:r w:rsidRPr="00A91D04" w:rsidR="00A91D04">
        <w:rPr>
          <w:sz w:val="24"/>
        </w:rPr>
        <w:t xml:space="preserve"> facilitat</w:t>
      </w:r>
      <w:r w:rsidR="00A91D04">
        <w:rPr>
          <w:sz w:val="24"/>
        </w:rPr>
        <w:t xml:space="preserve">e </w:t>
      </w:r>
      <w:r w:rsidRPr="00A91D04" w:rsidR="00A91D04">
        <w:rPr>
          <w:sz w:val="24"/>
        </w:rPr>
        <w:t xml:space="preserve">study of successful interventions to reduce suicide </w:t>
      </w:r>
      <w:r w:rsidR="00A91D04">
        <w:rPr>
          <w:sz w:val="24"/>
        </w:rPr>
        <w:t xml:space="preserve">incidence </w:t>
      </w:r>
      <w:r w:rsidRPr="00A91D04" w:rsidR="00A91D04">
        <w:rPr>
          <w:sz w:val="24"/>
        </w:rPr>
        <w:t>among public safety officers</w:t>
      </w:r>
      <w:r w:rsidR="00A91D04">
        <w:rPr>
          <w:sz w:val="24"/>
        </w:rPr>
        <w:t>.</w:t>
      </w:r>
      <w:r w:rsidR="003918F3">
        <w:rPr>
          <w:sz w:val="24"/>
        </w:rPr>
        <w:t xml:space="preserve"> This data will be reported to Congress on a biannual basis.</w:t>
      </w:r>
    </w:p>
    <w:bookmarkEnd w:id="3"/>
    <w:p w:rsidRPr="00CB7F03" w:rsidR="00076E97" w:rsidP="007818ED" w:rsidRDefault="00076E97" w14:paraId="565712B1" w14:textId="77777777">
      <w:pPr>
        <w:rPr>
          <w:sz w:val="24"/>
        </w:rPr>
      </w:pPr>
    </w:p>
    <w:p w:rsidRPr="00CB7F03" w:rsidR="00E47D30" w:rsidP="00121587" w:rsidRDefault="00D5410C" w14:paraId="6574F321" w14:textId="77777777">
      <w:pPr>
        <w:rPr>
          <w:sz w:val="24"/>
        </w:rPr>
      </w:pPr>
      <w:r w:rsidRPr="00CB7F03">
        <w:rPr>
          <w:sz w:val="24"/>
        </w:rPr>
        <w:t xml:space="preserve">Publications that have used </w:t>
      </w:r>
      <w:r w:rsidR="00A03462">
        <w:rPr>
          <w:sz w:val="24"/>
        </w:rPr>
        <w:t>National Violent Death Reporting System</w:t>
      </w:r>
      <w:r w:rsidRPr="00CB7F03" w:rsidR="00CA62EF">
        <w:rPr>
          <w:sz w:val="24"/>
        </w:rPr>
        <w:t xml:space="preserve"> data </w:t>
      </w:r>
      <w:r w:rsidRPr="00CB7F03">
        <w:rPr>
          <w:sz w:val="24"/>
        </w:rPr>
        <w:t>both at the state and national level</w:t>
      </w:r>
      <w:r w:rsidRPr="007818ED" w:rsidR="007818ED">
        <w:rPr>
          <w:sz w:val="24"/>
          <w:vertAlign w:val="superscript"/>
        </w:rPr>
        <w:t xml:space="preserve"> </w:t>
      </w:r>
      <w:r w:rsidR="007818ED">
        <w:rPr>
          <w:sz w:val="24"/>
          <w:vertAlign w:val="superscript"/>
        </w:rPr>
        <w:t>ix</w:t>
      </w:r>
      <w:r w:rsidRPr="00CB7F03">
        <w:rPr>
          <w:sz w:val="24"/>
        </w:rPr>
        <w:t xml:space="preserve"> </w:t>
      </w:r>
      <w:r w:rsidRPr="00CB7F03" w:rsidR="00E47D30">
        <w:rPr>
          <w:sz w:val="24"/>
        </w:rPr>
        <w:t>include:</w:t>
      </w:r>
    </w:p>
    <w:p w:rsidR="002D285D" w:rsidP="006770D4" w:rsidRDefault="002D285D" w14:paraId="52A0293B" w14:textId="77777777">
      <w:pPr>
        <w:ind w:left="720"/>
        <w:rPr>
          <w:i/>
          <w:sz w:val="24"/>
        </w:rPr>
      </w:pPr>
    </w:p>
    <w:p w:rsidRPr="00CB7F03" w:rsidR="00493623" w:rsidP="00F50F28" w:rsidRDefault="00CA62EF" w14:paraId="655A9A04" w14:textId="77777777">
      <w:pPr>
        <w:rPr>
          <w:i/>
          <w:sz w:val="24"/>
        </w:rPr>
      </w:pPr>
      <w:r w:rsidRPr="00CB7F03">
        <w:rPr>
          <w:i/>
          <w:sz w:val="24"/>
        </w:rPr>
        <w:t>M</w:t>
      </w:r>
      <w:r w:rsidRPr="00CB7F03" w:rsidR="00035342">
        <w:rPr>
          <w:i/>
          <w:sz w:val="24"/>
        </w:rPr>
        <w:t xml:space="preserve">orbidity and </w:t>
      </w:r>
      <w:r w:rsidRPr="00CB7F03">
        <w:rPr>
          <w:i/>
          <w:sz w:val="24"/>
        </w:rPr>
        <w:t>M</w:t>
      </w:r>
      <w:r w:rsidRPr="00CB7F03" w:rsidR="00035342">
        <w:rPr>
          <w:i/>
          <w:sz w:val="24"/>
        </w:rPr>
        <w:t xml:space="preserve">ortality </w:t>
      </w:r>
      <w:r w:rsidRPr="00CB7F03">
        <w:rPr>
          <w:i/>
          <w:sz w:val="24"/>
        </w:rPr>
        <w:t>W</w:t>
      </w:r>
      <w:r w:rsidRPr="00CB7F03" w:rsidR="00035342">
        <w:rPr>
          <w:i/>
          <w:sz w:val="24"/>
        </w:rPr>
        <w:t xml:space="preserve">eekly </w:t>
      </w:r>
      <w:r w:rsidRPr="00CB7F03">
        <w:rPr>
          <w:i/>
          <w:sz w:val="24"/>
        </w:rPr>
        <w:t>R</w:t>
      </w:r>
      <w:r w:rsidRPr="00CB7F03" w:rsidR="00035342">
        <w:rPr>
          <w:i/>
          <w:sz w:val="24"/>
        </w:rPr>
        <w:t>eports</w:t>
      </w:r>
      <w:r w:rsidRPr="00CB7F03" w:rsidR="00035342">
        <w:rPr>
          <w:sz w:val="24"/>
        </w:rPr>
        <w:t xml:space="preserve"> </w:t>
      </w:r>
      <w:r w:rsidRPr="00CB7F03" w:rsidR="00035342">
        <w:rPr>
          <w:i/>
          <w:sz w:val="24"/>
        </w:rPr>
        <w:t>(MMWRs)</w:t>
      </w:r>
    </w:p>
    <w:p w:rsidR="0050145B" w:rsidP="00F50F28" w:rsidRDefault="0050145B" w14:paraId="5FD386A2" w14:textId="77777777">
      <w:pPr>
        <w:numPr>
          <w:ilvl w:val="0"/>
          <w:numId w:val="7"/>
        </w:numPr>
        <w:ind w:left="720"/>
        <w:rPr>
          <w:sz w:val="24"/>
        </w:rPr>
      </w:pPr>
      <w:r>
        <w:rPr>
          <w:sz w:val="24"/>
        </w:rPr>
        <w:t xml:space="preserve">Suicide Rates by Industry and Occupation </w:t>
      </w:r>
      <w:r w:rsidRPr="006F372B">
        <w:rPr>
          <w:bCs/>
          <w:sz w:val="24"/>
        </w:rPr>
        <w:t>—</w:t>
      </w:r>
      <w:r>
        <w:rPr>
          <w:bCs/>
          <w:sz w:val="24"/>
        </w:rPr>
        <w:t xml:space="preserve"> National Violent Death Reporting System, 32 States, 2016</w:t>
      </w:r>
    </w:p>
    <w:p w:rsidRPr="00194EC1" w:rsidR="00371984" w:rsidP="00F50F28" w:rsidRDefault="006F372B" w14:paraId="50E0E65E" w14:textId="77777777">
      <w:pPr>
        <w:numPr>
          <w:ilvl w:val="0"/>
          <w:numId w:val="7"/>
        </w:numPr>
        <w:ind w:left="720"/>
        <w:rPr>
          <w:i/>
          <w:sz w:val="24"/>
        </w:rPr>
      </w:pPr>
      <w:r w:rsidRPr="006F372B">
        <w:rPr>
          <w:bCs/>
          <w:i/>
          <w:iCs/>
          <w:sz w:val="24"/>
        </w:rPr>
        <w:t>Vital Signs</w:t>
      </w:r>
      <w:r w:rsidRPr="006F372B">
        <w:rPr>
          <w:bCs/>
          <w:sz w:val="24"/>
        </w:rPr>
        <w:t xml:space="preserve">: Trends in State Suicide Rates </w:t>
      </w:r>
      <w:bookmarkStart w:name="_Hlk72491587" w:id="4"/>
      <w:r w:rsidRPr="006F372B">
        <w:rPr>
          <w:bCs/>
          <w:sz w:val="24"/>
        </w:rPr>
        <w:t>—</w:t>
      </w:r>
      <w:bookmarkEnd w:id="4"/>
      <w:r w:rsidRPr="006F372B">
        <w:rPr>
          <w:bCs/>
          <w:sz w:val="24"/>
        </w:rPr>
        <w:t xml:space="preserve"> United States, 1999–2016 and Circumstances Contributing to Suicide — 27 States, 2015</w:t>
      </w:r>
    </w:p>
    <w:p w:rsidRPr="00194EC1" w:rsidR="00371984" w:rsidP="00F50F28" w:rsidRDefault="006F372B" w14:paraId="5EF2851B" w14:textId="77777777">
      <w:pPr>
        <w:numPr>
          <w:ilvl w:val="0"/>
          <w:numId w:val="7"/>
        </w:numPr>
        <w:ind w:left="720"/>
        <w:rPr>
          <w:i/>
          <w:sz w:val="24"/>
        </w:rPr>
      </w:pPr>
      <w:r w:rsidRPr="006F372B">
        <w:rPr>
          <w:bCs/>
          <w:sz w:val="24"/>
        </w:rPr>
        <w:t>Suicides among American Indian/Alaska Natives</w:t>
      </w:r>
      <w:r w:rsidR="00664B81">
        <w:rPr>
          <w:bCs/>
          <w:sz w:val="24"/>
        </w:rPr>
        <w:t xml:space="preserve"> </w:t>
      </w:r>
      <w:r w:rsidRPr="006F372B">
        <w:rPr>
          <w:bCs/>
          <w:sz w:val="24"/>
        </w:rPr>
        <w:t>—National Violent Death Reporting System, 18 States, 2003-2014</w:t>
      </w:r>
    </w:p>
    <w:p w:rsidRPr="00194EC1" w:rsidR="00DC2D2D" w:rsidP="00F50F28" w:rsidRDefault="00DC2D2D" w14:paraId="18E9384C" w14:textId="77777777">
      <w:pPr>
        <w:numPr>
          <w:ilvl w:val="0"/>
          <w:numId w:val="7"/>
        </w:numPr>
        <w:ind w:left="720"/>
        <w:rPr>
          <w:i/>
          <w:sz w:val="24"/>
        </w:rPr>
      </w:pPr>
      <w:r w:rsidRPr="00371984">
        <w:rPr>
          <w:sz w:val="24"/>
        </w:rPr>
        <w:t xml:space="preserve">Racial and ethnic differences in homicides of adult women and the role of intimate partner violence </w:t>
      </w:r>
      <w:r w:rsidRPr="00CB7F03" w:rsidR="00664B81">
        <w:rPr>
          <w:sz w:val="24"/>
        </w:rPr>
        <w:t>─</w:t>
      </w:r>
      <w:r w:rsidRPr="00371984">
        <w:rPr>
          <w:sz w:val="24"/>
        </w:rPr>
        <w:t xml:space="preserve"> United States, 2003-2014 </w:t>
      </w:r>
    </w:p>
    <w:p w:rsidRPr="00CB7F03" w:rsidR="004A2713" w:rsidP="00F50F28" w:rsidRDefault="00493623" w14:paraId="46218D22" w14:textId="77777777">
      <w:pPr>
        <w:numPr>
          <w:ilvl w:val="0"/>
          <w:numId w:val="7"/>
        </w:numPr>
        <w:ind w:left="720"/>
        <w:rPr>
          <w:i/>
          <w:sz w:val="24"/>
        </w:rPr>
      </w:pPr>
      <w:r w:rsidRPr="00CB7F03">
        <w:rPr>
          <w:sz w:val="24"/>
        </w:rPr>
        <w:t>Gang Homicides ─</w:t>
      </w:r>
      <w:r w:rsidR="00664B81">
        <w:rPr>
          <w:sz w:val="24"/>
        </w:rPr>
        <w:t xml:space="preserve"> </w:t>
      </w:r>
      <w:r w:rsidRPr="00CB7F03">
        <w:rPr>
          <w:sz w:val="24"/>
        </w:rPr>
        <w:t>Five U.S. Cities, 2003-2008</w:t>
      </w:r>
    </w:p>
    <w:p w:rsidRPr="00CB7F03" w:rsidR="004A2713" w:rsidP="00F50F28" w:rsidRDefault="00493623" w14:paraId="10301CCF" w14:textId="77777777">
      <w:pPr>
        <w:numPr>
          <w:ilvl w:val="0"/>
          <w:numId w:val="7"/>
        </w:numPr>
        <w:ind w:left="720"/>
        <w:rPr>
          <w:i/>
          <w:sz w:val="24"/>
        </w:rPr>
      </w:pPr>
      <w:r w:rsidRPr="00CB7F03">
        <w:rPr>
          <w:sz w:val="24"/>
        </w:rPr>
        <w:t>Homicides</w:t>
      </w:r>
      <w:r w:rsidR="00664B81">
        <w:rPr>
          <w:sz w:val="24"/>
        </w:rPr>
        <w:t xml:space="preserve"> </w:t>
      </w:r>
      <w:r w:rsidRPr="00CB7F03">
        <w:rPr>
          <w:sz w:val="24"/>
        </w:rPr>
        <w:t>─ United States, 1999-2007</w:t>
      </w:r>
    </w:p>
    <w:p w:rsidRPr="00CB7F03" w:rsidR="004A2713" w:rsidP="00F50F28" w:rsidRDefault="00493623" w14:paraId="20CDE14E" w14:textId="77777777">
      <w:pPr>
        <w:numPr>
          <w:ilvl w:val="0"/>
          <w:numId w:val="7"/>
        </w:numPr>
        <w:ind w:left="720"/>
        <w:rPr>
          <w:i/>
          <w:sz w:val="24"/>
        </w:rPr>
      </w:pPr>
      <w:r w:rsidRPr="00CB7F03">
        <w:rPr>
          <w:sz w:val="24"/>
        </w:rPr>
        <w:t>Alcohol and Suicide Among Racial/Ethnic Populations ─ 17 States, 2005-2006</w:t>
      </w:r>
    </w:p>
    <w:p w:rsidRPr="00CB7F03" w:rsidR="004A2713" w:rsidP="00F50F28" w:rsidRDefault="00493623" w14:paraId="15493858" w14:textId="77777777">
      <w:pPr>
        <w:numPr>
          <w:ilvl w:val="0"/>
          <w:numId w:val="7"/>
        </w:numPr>
        <w:ind w:left="720"/>
        <w:rPr>
          <w:i/>
          <w:sz w:val="24"/>
        </w:rPr>
      </w:pPr>
      <w:r w:rsidRPr="00CB7F03">
        <w:rPr>
          <w:sz w:val="24"/>
        </w:rPr>
        <w:t>Toxicology Testing and Results for Suicide Victims ─13 States, 2004</w:t>
      </w:r>
    </w:p>
    <w:p w:rsidRPr="00CB7F03" w:rsidR="004A2713" w:rsidP="00F50F28" w:rsidRDefault="00CA62EF" w14:paraId="350334A1" w14:textId="77777777">
      <w:pPr>
        <w:numPr>
          <w:ilvl w:val="0"/>
          <w:numId w:val="7"/>
        </w:numPr>
        <w:ind w:left="720"/>
        <w:rPr>
          <w:i/>
          <w:sz w:val="24"/>
        </w:rPr>
      </w:pPr>
      <w:r w:rsidRPr="00CB7F03">
        <w:rPr>
          <w:sz w:val="24"/>
        </w:rPr>
        <w:t>Homicide</w:t>
      </w:r>
      <w:r w:rsidRPr="00CB7F03" w:rsidR="00493623">
        <w:rPr>
          <w:sz w:val="24"/>
        </w:rPr>
        <w:t xml:space="preserve"> and Suicides</w:t>
      </w:r>
      <w:r w:rsidR="00664B81">
        <w:rPr>
          <w:sz w:val="24"/>
        </w:rPr>
        <w:t xml:space="preserve"> </w:t>
      </w:r>
      <w:r w:rsidRPr="00CB7F03" w:rsidR="00493623">
        <w:rPr>
          <w:sz w:val="24"/>
        </w:rPr>
        <w:t xml:space="preserve">─ </w:t>
      </w:r>
      <w:r w:rsidRPr="00CB7F03" w:rsidR="00CE6540">
        <w:rPr>
          <w:sz w:val="24"/>
        </w:rPr>
        <w:t>NVDRS</w:t>
      </w:r>
      <w:r w:rsidRPr="00CB7F03" w:rsidR="00493623">
        <w:rPr>
          <w:sz w:val="24"/>
        </w:rPr>
        <w:t xml:space="preserve">, United States, </w:t>
      </w:r>
      <w:r w:rsidRPr="00CB7F03" w:rsidR="00CE6540">
        <w:rPr>
          <w:sz w:val="24"/>
        </w:rPr>
        <w:t>2003</w:t>
      </w:r>
      <w:r w:rsidRPr="00CB7F03" w:rsidR="00493623">
        <w:rPr>
          <w:sz w:val="24"/>
        </w:rPr>
        <w:t>-2004</w:t>
      </w:r>
      <w:r w:rsidRPr="00CB7F03" w:rsidR="00D5410C">
        <w:rPr>
          <w:sz w:val="24"/>
        </w:rPr>
        <w:t xml:space="preserve"> </w:t>
      </w:r>
    </w:p>
    <w:p w:rsidRPr="00CB7F03" w:rsidR="004A2713" w:rsidP="00F50F28" w:rsidRDefault="00CA62EF" w14:paraId="5706C1DA" w14:textId="77777777">
      <w:pPr>
        <w:numPr>
          <w:ilvl w:val="0"/>
          <w:numId w:val="7"/>
        </w:numPr>
        <w:ind w:left="720"/>
        <w:rPr>
          <w:i/>
          <w:sz w:val="24"/>
        </w:rPr>
      </w:pPr>
      <w:r w:rsidRPr="00CB7F03">
        <w:rPr>
          <w:sz w:val="24"/>
        </w:rPr>
        <w:t>Homicides an</w:t>
      </w:r>
      <w:r w:rsidRPr="00CB7F03" w:rsidR="00D5410C">
        <w:rPr>
          <w:sz w:val="24"/>
        </w:rPr>
        <w:t>d Suicide</w:t>
      </w:r>
      <w:r w:rsidRPr="00CB7F03" w:rsidR="00493623">
        <w:rPr>
          <w:sz w:val="24"/>
        </w:rPr>
        <w:t xml:space="preserve"> Rates</w:t>
      </w:r>
      <w:r w:rsidRPr="00CB7F03" w:rsidR="00D5410C">
        <w:rPr>
          <w:sz w:val="24"/>
        </w:rPr>
        <w:t xml:space="preserve"> </w:t>
      </w:r>
      <w:r w:rsidRPr="00CB7F03" w:rsidR="00664B81">
        <w:rPr>
          <w:sz w:val="24"/>
        </w:rPr>
        <w:t>─</w:t>
      </w:r>
      <w:r w:rsidRPr="00CB7F03" w:rsidR="00D5410C">
        <w:rPr>
          <w:sz w:val="24"/>
        </w:rPr>
        <w:t xml:space="preserve"> </w:t>
      </w:r>
      <w:r w:rsidRPr="00CB7F03">
        <w:rPr>
          <w:sz w:val="24"/>
        </w:rPr>
        <w:t>NVDRS</w:t>
      </w:r>
      <w:r w:rsidRPr="00CB7F03" w:rsidR="00493623">
        <w:rPr>
          <w:sz w:val="24"/>
        </w:rPr>
        <w:t xml:space="preserve">, Six States, </w:t>
      </w:r>
      <w:r w:rsidRPr="00CB7F03">
        <w:rPr>
          <w:sz w:val="24"/>
        </w:rPr>
        <w:t>2003</w:t>
      </w:r>
      <w:r w:rsidRPr="00CB7F03" w:rsidR="00230CB9">
        <w:rPr>
          <w:sz w:val="24"/>
        </w:rPr>
        <w:t xml:space="preserve">  </w:t>
      </w:r>
    </w:p>
    <w:p w:rsidRPr="00121587" w:rsidR="00FA0FAE" w:rsidP="00F50F28" w:rsidRDefault="002E2490" w14:paraId="3947BF55" w14:textId="77777777">
      <w:pPr>
        <w:numPr>
          <w:ilvl w:val="0"/>
          <w:numId w:val="7"/>
        </w:numPr>
        <w:ind w:left="720"/>
        <w:rPr>
          <w:i/>
          <w:sz w:val="24"/>
        </w:rPr>
      </w:pPr>
      <w:r w:rsidRPr="00CB7F03">
        <w:rPr>
          <w:sz w:val="24"/>
        </w:rPr>
        <w:t xml:space="preserve">Surveillance Summaries – </w:t>
      </w:r>
      <w:r w:rsidRPr="00CB7F03" w:rsidR="0083715C">
        <w:rPr>
          <w:i/>
          <w:sz w:val="24"/>
        </w:rPr>
        <w:t xml:space="preserve">Surveillance for Violent Deaths </w:t>
      </w:r>
      <w:r w:rsidRPr="00CB7F03">
        <w:rPr>
          <w:sz w:val="24"/>
        </w:rPr>
        <w:t xml:space="preserve">– </w:t>
      </w:r>
      <w:r w:rsidRPr="00CB7F03" w:rsidR="00CE6540">
        <w:rPr>
          <w:i/>
          <w:sz w:val="24"/>
        </w:rPr>
        <w:t>NVDRS</w:t>
      </w:r>
      <w:r w:rsidRPr="00CB7F03">
        <w:rPr>
          <w:sz w:val="24"/>
        </w:rPr>
        <w:t>, published</w:t>
      </w:r>
      <w:r w:rsidRPr="00CB7F03" w:rsidR="00493623">
        <w:rPr>
          <w:sz w:val="24"/>
        </w:rPr>
        <w:t xml:space="preserve"> </w:t>
      </w:r>
      <w:r w:rsidR="0050145B">
        <w:rPr>
          <w:sz w:val="24"/>
        </w:rPr>
        <w:t xml:space="preserve">Dec 2020, </w:t>
      </w:r>
      <w:r w:rsidR="000A76B4">
        <w:rPr>
          <w:sz w:val="24"/>
        </w:rPr>
        <w:t xml:space="preserve">Oct 2019, </w:t>
      </w:r>
      <w:r w:rsidR="00A10464">
        <w:rPr>
          <w:sz w:val="24"/>
        </w:rPr>
        <w:t xml:space="preserve">Sept 2018, Feb 2018, </w:t>
      </w:r>
      <w:r w:rsidRPr="00CB7F03" w:rsidR="00493623">
        <w:rPr>
          <w:sz w:val="24"/>
        </w:rPr>
        <w:t>Aug 2016, Jul 2016, Jan 2014, Sept 2012, Aug 2011, May 2010, Mar</w:t>
      </w:r>
      <w:r w:rsidRPr="00CB7F03">
        <w:rPr>
          <w:sz w:val="24"/>
        </w:rPr>
        <w:t xml:space="preserve"> </w:t>
      </w:r>
      <w:r w:rsidRPr="00CB7F03" w:rsidR="00493623">
        <w:rPr>
          <w:sz w:val="24"/>
        </w:rPr>
        <w:t>2009, Apr</w:t>
      </w:r>
      <w:r w:rsidRPr="00CB7F03">
        <w:rPr>
          <w:sz w:val="24"/>
        </w:rPr>
        <w:t xml:space="preserve"> </w:t>
      </w:r>
      <w:r w:rsidRPr="00CB7F03" w:rsidR="00493623">
        <w:rPr>
          <w:sz w:val="24"/>
        </w:rPr>
        <w:t>2008</w:t>
      </w:r>
    </w:p>
    <w:p w:rsidRPr="00CB7F03" w:rsidR="00121587" w:rsidP="00121587" w:rsidRDefault="00121587" w14:paraId="1083F261" w14:textId="77777777">
      <w:pPr>
        <w:ind w:left="720"/>
        <w:rPr>
          <w:i/>
          <w:sz w:val="24"/>
        </w:rPr>
      </w:pPr>
    </w:p>
    <w:p w:rsidRPr="00CB7F03" w:rsidR="004A2713" w:rsidP="007E450C" w:rsidRDefault="00D5410C" w14:paraId="30F62631" w14:textId="77777777">
      <w:pPr>
        <w:rPr>
          <w:sz w:val="24"/>
        </w:rPr>
      </w:pPr>
      <w:r w:rsidRPr="00CB7F03">
        <w:rPr>
          <w:i/>
          <w:sz w:val="24"/>
        </w:rPr>
        <w:t>State annual reports</w:t>
      </w:r>
      <w:r w:rsidRPr="00CB7F03" w:rsidR="00707F9F">
        <w:rPr>
          <w:sz w:val="24"/>
          <w:vertAlign w:val="superscript"/>
        </w:rPr>
        <w:t>x</w:t>
      </w:r>
      <w:r w:rsidRPr="00CB7F03" w:rsidR="00FA0FAE">
        <w:rPr>
          <w:sz w:val="24"/>
        </w:rPr>
        <w:t xml:space="preserve"> </w:t>
      </w:r>
      <w:r w:rsidRPr="00CB7F03" w:rsidR="002E2490">
        <w:rPr>
          <w:sz w:val="24"/>
        </w:rPr>
        <w:t xml:space="preserve"> </w:t>
      </w:r>
    </w:p>
    <w:p w:rsidR="00697F7B" w:rsidP="00F50F28" w:rsidRDefault="00697F7B" w14:paraId="6E23ED0E" w14:textId="77777777">
      <w:pPr>
        <w:numPr>
          <w:ilvl w:val="0"/>
          <w:numId w:val="10"/>
        </w:numPr>
        <w:ind w:left="720"/>
        <w:rPr>
          <w:sz w:val="24"/>
        </w:rPr>
      </w:pPr>
      <w:r w:rsidRPr="00CB7F03">
        <w:rPr>
          <w:sz w:val="24"/>
        </w:rPr>
        <w:t xml:space="preserve">AK, CO, CT, GA, KY, MD, MA, NJ, NM, NC, </w:t>
      </w:r>
      <w:r w:rsidRPr="00CB7F03" w:rsidR="002E2490">
        <w:rPr>
          <w:sz w:val="24"/>
        </w:rPr>
        <w:t>OH, OK, OR, RI, SC, UT, VA, WI</w:t>
      </w:r>
    </w:p>
    <w:p w:rsidR="00121587" w:rsidP="00F50F28" w:rsidRDefault="00121587" w14:paraId="734A2852" w14:textId="77777777">
      <w:pPr>
        <w:ind w:firstLine="360"/>
        <w:rPr>
          <w:i/>
          <w:sz w:val="24"/>
        </w:rPr>
      </w:pPr>
    </w:p>
    <w:p w:rsidR="002E2490" w:rsidP="007E450C" w:rsidRDefault="002E2490" w14:paraId="7EF9C3E7" w14:textId="77777777">
      <w:pPr>
        <w:rPr>
          <w:sz w:val="24"/>
        </w:rPr>
      </w:pPr>
      <w:r w:rsidRPr="00CB7F03">
        <w:rPr>
          <w:i/>
          <w:sz w:val="24"/>
        </w:rPr>
        <w:t>Supplements</w:t>
      </w:r>
      <w:r w:rsidRPr="00CB7F03" w:rsidR="009259D0">
        <w:rPr>
          <w:sz w:val="24"/>
        </w:rPr>
        <w:t>– Two</w:t>
      </w:r>
      <w:r w:rsidRPr="00CB7F03" w:rsidR="00697F7B">
        <w:rPr>
          <w:sz w:val="24"/>
        </w:rPr>
        <w:t xml:space="preserve"> </w:t>
      </w:r>
      <w:r w:rsidRPr="00CB7F03" w:rsidR="008C018E">
        <w:rPr>
          <w:sz w:val="24"/>
        </w:rPr>
        <w:t xml:space="preserve">scientific journal </w:t>
      </w:r>
      <w:r w:rsidRPr="00CB7F03" w:rsidR="00697F7B">
        <w:rPr>
          <w:sz w:val="24"/>
        </w:rPr>
        <w:t>s</w:t>
      </w:r>
      <w:r w:rsidRPr="00CB7F03" w:rsidR="00CA62EF">
        <w:rPr>
          <w:sz w:val="24"/>
        </w:rPr>
        <w:t>upplement</w:t>
      </w:r>
      <w:r w:rsidRPr="00CB7F03" w:rsidR="008C018E">
        <w:rPr>
          <w:sz w:val="24"/>
        </w:rPr>
        <w:t>s</w:t>
      </w:r>
      <w:r w:rsidRPr="00CB7F03" w:rsidR="00CA62EF">
        <w:rPr>
          <w:sz w:val="24"/>
        </w:rPr>
        <w:t xml:space="preserve"> </w:t>
      </w:r>
      <w:r w:rsidRPr="00CB7F03" w:rsidR="00697F7B">
        <w:rPr>
          <w:sz w:val="24"/>
        </w:rPr>
        <w:t>dedicated to NVDRS</w:t>
      </w:r>
      <w:r w:rsidR="00EB4DD8">
        <w:rPr>
          <w:sz w:val="24"/>
        </w:rPr>
        <w:t>:</w:t>
      </w:r>
    </w:p>
    <w:p w:rsidRPr="00CB7F03" w:rsidR="00121587" w:rsidP="00F50F28" w:rsidRDefault="00121587" w14:paraId="4EDD6755" w14:textId="77777777">
      <w:pPr>
        <w:ind w:firstLine="360"/>
        <w:rPr>
          <w:sz w:val="24"/>
        </w:rPr>
      </w:pPr>
    </w:p>
    <w:p w:rsidRPr="00CB7F03" w:rsidR="004A2713" w:rsidP="00F50F28" w:rsidRDefault="00697F7B" w14:paraId="1ED20FCF" w14:textId="77777777">
      <w:pPr>
        <w:numPr>
          <w:ilvl w:val="0"/>
          <w:numId w:val="10"/>
        </w:numPr>
        <w:ind w:left="720"/>
        <w:rPr>
          <w:i/>
          <w:sz w:val="24"/>
        </w:rPr>
      </w:pPr>
      <w:r w:rsidRPr="00CB7F03">
        <w:rPr>
          <w:i/>
          <w:sz w:val="24"/>
        </w:rPr>
        <w:t xml:space="preserve">American Journal of Preventive </w:t>
      </w:r>
      <w:r w:rsidRPr="00CB7F03" w:rsidR="000C44F8">
        <w:rPr>
          <w:i/>
          <w:sz w:val="24"/>
        </w:rPr>
        <w:t xml:space="preserve">Medicine </w:t>
      </w:r>
      <w:r w:rsidRPr="00CB7F03" w:rsidR="000C44F8">
        <w:rPr>
          <w:sz w:val="24"/>
        </w:rPr>
        <w:t>─</w:t>
      </w:r>
      <w:r w:rsidRPr="00CB7F03" w:rsidR="0077037E">
        <w:rPr>
          <w:i/>
          <w:sz w:val="24"/>
        </w:rPr>
        <w:t xml:space="preserve"> </w:t>
      </w:r>
      <w:r w:rsidRPr="00CB7F03" w:rsidR="0077037E">
        <w:rPr>
          <w:i/>
          <w:sz w:val="24"/>
          <w:lang w:val="en"/>
        </w:rPr>
        <w:t>National Violent Death Reporting System: Analyses and Commentary</w:t>
      </w:r>
      <w:r w:rsidRPr="00CB7F03">
        <w:rPr>
          <w:sz w:val="24"/>
        </w:rPr>
        <w:t>, November 2016</w:t>
      </w:r>
      <w:r w:rsidRPr="00CB7F03">
        <w:rPr>
          <w:i/>
          <w:sz w:val="24"/>
        </w:rPr>
        <w:t xml:space="preserve"> </w:t>
      </w:r>
    </w:p>
    <w:p w:rsidRPr="00CB7F03" w:rsidR="00070D7B" w:rsidP="00F50F28" w:rsidRDefault="00CA62EF" w14:paraId="7BB52933" w14:textId="77777777">
      <w:pPr>
        <w:numPr>
          <w:ilvl w:val="0"/>
          <w:numId w:val="10"/>
        </w:numPr>
        <w:ind w:left="720"/>
        <w:rPr>
          <w:i/>
          <w:sz w:val="24"/>
        </w:rPr>
      </w:pPr>
      <w:r w:rsidRPr="00CB7F03">
        <w:rPr>
          <w:i/>
          <w:sz w:val="24"/>
        </w:rPr>
        <w:lastRenderedPageBreak/>
        <w:t>Injury Prevention</w:t>
      </w:r>
      <w:r w:rsidRPr="00CB7F03">
        <w:rPr>
          <w:sz w:val="24"/>
        </w:rPr>
        <w:t xml:space="preserve"> </w:t>
      </w:r>
      <w:r w:rsidRPr="00CB7F03" w:rsidR="00697F7B">
        <w:rPr>
          <w:sz w:val="24"/>
        </w:rPr>
        <w:t>─</w:t>
      </w:r>
      <w:r w:rsidRPr="00CB7F03" w:rsidR="001D0E07">
        <w:rPr>
          <w:sz w:val="24"/>
        </w:rPr>
        <w:t xml:space="preserve"> </w:t>
      </w:r>
      <w:r w:rsidRPr="00CB7F03" w:rsidR="001D0E07">
        <w:rPr>
          <w:i/>
          <w:sz w:val="24"/>
        </w:rPr>
        <w:t>Deaths from Violence: A Look at 17 States</w:t>
      </w:r>
      <w:r w:rsidRPr="00CB7F03" w:rsidR="001D0E07">
        <w:rPr>
          <w:sz w:val="24"/>
        </w:rPr>
        <w:t xml:space="preserve"> – December 2008</w:t>
      </w:r>
    </w:p>
    <w:p w:rsidR="00F50F28" w:rsidP="00F50F28" w:rsidRDefault="00F50F28" w14:paraId="6FFA81C9" w14:textId="77777777">
      <w:pPr>
        <w:ind w:left="720"/>
        <w:rPr>
          <w:i/>
          <w:sz w:val="24"/>
        </w:rPr>
      </w:pPr>
    </w:p>
    <w:p w:rsidR="004A2713" w:rsidP="007E450C" w:rsidRDefault="002E2490" w14:paraId="7851EA63" w14:textId="77777777">
      <w:pPr>
        <w:rPr>
          <w:sz w:val="24"/>
        </w:rPr>
      </w:pPr>
      <w:r w:rsidRPr="00CB7F03">
        <w:rPr>
          <w:i/>
          <w:sz w:val="24"/>
        </w:rPr>
        <w:t>P</w:t>
      </w:r>
      <w:r w:rsidRPr="00CB7F03" w:rsidR="00350F32">
        <w:rPr>
          <w:i/>
          <w:sz w:val="24"/>
        </w:rPr>
        <w:t>eer-reviewed publication</w:t>
      </w:r>
      <w:r w:rsidRPr="00CB7F03" w:rsidR="00963CA9">
        <w:rPr>
          <w:i/>
          <w:sz w:val="24"/>
        </w:rPr>
        <w:t>s</w:t>
      </w:r>
      <w:r w:rsidRPr="00CB7F03" w:rsidR="00CD6704">
        <w:rPr>
          <w:i/>
          <w:sz w:val="24"/>
        </w:rPr>
        <w:t xml:space="preserve"> </w:t>
      </w:r>
      <w:r w:rsidRPr="00CB7F03" w:rsidR="000C44F8">
        <w:rPr>
          <w:sz w:val="24"/>
        </w:rPr>
        <w:t xml:space="preserve">– </w:t>
      </w:r>
      <w:r w:rsidR="000C44F8">
        <w:rPr>
          <w:sz w:val="24"/>
        </w:rPr>
        <w:t>Over</w:t>
      </w:r>
      <w:r w:rsidRPr="00CB7F03">
        <w:rPr>
          <w:sz w:val="24"/>
        </w:rPr>
        <w:t xml:space="preserve"> </w:t>
      </w:r>
      <w:r w:rsidRPr="00CB7F03" w:rsidR="00A2577B">
        <w:rPr>
          <w:sz w:val="24"/>
        </w:rPr>
        <w:t>80</w:t>
      </w:r>
      <w:r w:rsidRPr="00CB7F03">
        <w:rPr>
          <w:sz w:val="24"/>
        </w:rPr>
        <w:t xml:space="preserve"> peer-reviewed reports </w:t>
      </w:r>
      <w:r w:rsidRPr="00CB7F03" w:rsidR="00DD4A74">
        <w:rPr>
          <w:sz w:val="24"/>
        </w:rPr>
        <w:t>published between 2003</w:t>
      </w:r>
      <w:r w:rsidRPr="00CB7F03" w:rsidR="00085193">
        <w:rPr>
          <w:sz w:val="24"/>
        </w:rPr>
        <w:t xml:space="preserve"> and </w:t>
      </w:r>
      <w:r w:rsidRPr="00CB7F03" w:rsidR="00DD4A74">
        <w:rPr>
          <w:sz w:val="24"/>
        </w:rPr>
        <w:t>20</w:t>
      </w:r>
      <w:r w:rsidR="0050145B">
        <w:rPr>
          <w:sz w:val="24"/>
        </w:rPr>
        <w:t>21</w:t>
      </w:r>
      <w:r w:rsidRPr="00CB7F03" w:rsidR="00DD4A74">
        <w:rPr>
          <w:sz w:val="24"/>
        </w:rPr>
        <w:t xml:space="preserve"> </w:t>
      </w:r>
      <w:r w:rsidRPr="00CB7F03" w:rsidR="00350F32">
        <w:rPr>
          <w:sz w:val="24"/>
        </w:rPr>
        <w:t>by numerous researchers in the field of violence</w:t>
      </w:r>
      <w:r w:rsidRPr="00CB7F03">
        <w:rPr>
          <w:sz w:val="24"/>
        </w:rPr>
        <w:t xml:space="preserve"> </w:t>
      </w:r>
      <w:r w:rsidRPr="00CB7F03" w:rsidR="00350F32">
        <w:rPr>
          <w:sz w:val="24"/>
        </w:rPr>
        <w:t>prevention</w:t>
      </w:r>
      <w:r w:rsidRPr="00CB7F03" w:rsidR="00A2577B">
        <w:rPr>
          <w:sz w:val="24"/>
        </w:rPr>
        <w:t>,</w:t>
      </w:r>
      <w:r w:rsidRPr="00CB7F03">
        <w:rPr>
          <w:sz w:val="24"/>
        </w:rPr>
        <w:t xml:space="preserve"> including most recentl</w:t>
      </w:r>
      <w:r w:rsidRPr="00CB7F03" w:rsidR="004A2713">
        <w:rPr>
          <w:sz w:val="24"/>
        </w:rPr>
        <w:t>y</w:t>
      </w:r>
      <w:r w:rsidR="00EB4DD8">
        <w:rPr>
          <w:sz w:val="24"/>
        </w:rPr>
        <w:t>:</w:t>
      </w:r>
    </w:p>
    <w:p w:rsidR="007E450C" w:rsidP="007E450C" w:rsidRDefault="007E450C" w14:paraId="7999C73B" w14:textId="77777777">
      <w:pPr>
        <w:rPr>
          <w:sz w:val="24"/>
        </w:rPr>
      </w:pPr>
    </w:p>
    <w:p w:rsidR="00BA2D6E" w:rsidP="007E450C" w:rsidRDefault="00BA2D6E" w14:paraId="1B7D1899" w14:textId="77777777">
      <w:pPr>
        <w:numPr>
          <w:ilvl w:val="0"/>
          <w:numId w:val="10"/>
        </w:numPr>
        <w:ind w:left="720"/>
        <w:rPr>
          <w:sz w:val="24"/>
        </w:rPr>
      </w:pPr>
      <w:r w:rsidRPr="00BA2D6E">
        <w:rPr>
          <w:sz w:val="24"/>
        </w:rPr>
        <w:t xml:space="preserve">Robiner WN, Li T. Psychologist homicide victims: The National Violent Death Reporting System and other sources. </w:t>
      </w:r>
      <w:r w:rsidRPr="00121587">
        <w:rPr>
          <w:i/>
          <w:iCs/>
          <w:sz w:val="24"/>
        </w:rPr>
        <w:t>J Clin Psychol</w:t>
      </w:r>
      <w:r w:rsidRPr="00BA2D6E">
        <w:rPr>
          <w:sz w:val="24"/>
        </w:rPr>
        <w:t>. 2021 Jun 25. doi: 10.1002/jclp.23199. Epub ahead of print. PMID: 34171119.</w:t>
      </w:r>
    </w:p>
    <w:p w:rsidR="00BA2D6E" w:rsidP="007E450C" w:rsidRDefault="00BA2D6E" w14:paraId="29256A4B" w14:textId="77777777">
      <w:pPr>
        <w:numPr>
          <w:ilvl w:val="0"/>
          <w:numId w:val="10"/>
        </w:numPr>
        <w:ind w:left="720"/>
        <w:rPr>
          <w:sz w:val="24"/>
        </w:rPr>
      </w:pPr>
      <w:r w:rsidRPr="00BA2D6E">
        <w:rPr>
          <w:sz w:val="24"/>
        </w:rPr>
        <w:t xml:space="preserve">Culbreth R, Swahn MH, Osborne M, Brandenberger K, Kota K. Substance use and deaths by suicide: A latent class analysis of the National Violent Death Reporting System. </w:t>
      </w:r>
      <w:r w:rsidRPr="00121587">
        <w:rPr>
          <w:i/>
          <w:iCs/>
          <w:sz w:val="24"/>
        </w:rPr>
        <w:t>Prev Med</w:t>
      </w:r>
      <w:r w:rsidRPr="00BA2D6E">
        <w:rPr>
          <w:sz w:val="24"/>
        </w:rPr>
        <w:t>. 2021 Jun 10:106682. doi: 10.1016/j.ypmed.2021.106682. Epub ahead of print. PMID: 34119594.</w:t>
      </w:r>
    </w:p>
    <w:p w:rsidR="00BA2D6E" w:rsidP="007E450C" w:rsidRDefault="00BA2D6E" w14:paraId="1B6B8861" w14:textId="77777777">
      <w:pPr>
        <w:numPr>
          <w:ilvl w:val="0"/>
          <w:numId w:val="10"/>
        </w:numPr>
        <w:ind w:left="720"/>
        <w:rPr>
          <w:sz w:val="24"/>
        </w:rPr>
      </w:pPr>
      <w:r w:rsidRPr="00BA2D6E">
        <w:rPr>
          <w:sz w:val="24"/>
        </w:rPr>
        <w:t xml:space="preserve">Arseniev-Koehler A, Foster JG, </w:t>
      </w:r>
      <w:r>
        <w:rPr>
          <w:sz w:val="24"/>
        </w:rPr>
        <w:t>et al</w:t>
      </w:r>
      <w:r w:rsidRPr="00BA2D6E">
        <w:rPr>
          <w:sz w:val="24"/>
        </w:rPr>
        <w:t xml:space="preserve">. Aggression, Escalation, and Other Latent Themes in Legal Intervention Deaths of Non-Hispanic Black and White Men: Results From the 2003‒2017 National Violent Death Reporting System. </w:t>
      </w:r>
      <w:r w:rsidRPr="00121587">
        <w:rPr>
          <w:i/>
          <w:iCs/>
          <w:sz w:val="24"/>
        </w:rPr>
        <w:t>Am J Public Health</w:t>
      </w:r>
      <w:r w:rsidRPr="00BA2D6E">
        <w:rPr>
          <w:sz w:val="24"/>
        </w:rPr>
        <w:t xml:space="preserve">. 2021 May </w:t>
      </w:r>
      <w:proofErr w:type="gramStart"/>
      <w:r w:rsidRPr="00BA2D6E">
        <w:rPr>
          <w:sz w:val="24"/>
        </w:rPr>
        <w:t>13:e</w:t>
      </w:r>
      <w:proofErr w:type="gramEnd"/>
      <w:r w:rsidRPr="00BA2D6E">
        <w:rPr>
          <w:sz w:val="24"/>
        </w:rPr>
        <w:t>1-e9. doi: 10.2105/AJPH.2021.306312. Epub ahead of print. PMID: 33984244.</w:t>
      </w:r>
    </w:p>
    <w:p w:rsidR="00BA2D6E" w:rsidP="007E450C" w:rsidRDefault="00BA2D6E" w14:paraId="075BAF82" w14:textId="77777777">
      <w:pPr>
        <w:numPr>
          <w:ilvl w:val="0"/>
          <w:numId w:val="10"/>
        </w:numPr>
        <w:ind w:left="720"/>
        <w:rPr>
          <w:sz w:val="24"/>
        </w:rPr>
      </w:pPr>
      <w:r w:rsidRPr="00BA2D6E">
        <w:rPr>
          <w:sz w:val="24"/>
        </w:rPr>
        <w:t>Braun BI, Hafiz H, Singh S,</w:t>
      </w:r>
      <w:r>
        <w:rPr>
          <w:sz w:val="24"/>
        </w:rPr>
        <w:t xml:space="preserve"> et al</w:t>
      </w:r>
      <w:r w:rsidRPr="00BA2D6E">
        <w:rPr>
          <w:sz w:val="24"/>
        </w:rPr>
        <w:t xml:space="preserve">. Health Care Worker Violent Deaths in the Workplace: A Summary of Cases </w:t>
      </w:r>
      <w:proofErr w:type="gramStart"/>
      <w:r w:rsidRPr="00BA2D6E">
        <w:rPr>
          <w:sz w:val="24"/>
        </w:rPr>
        <w:t>From</w:t>
      </w:r>
      <w:proofErr w:type="gramEnd"/>
      <w:r w:rsidRPr="00BA2D6E">
        <w:rPr>
          <w:sz w:val="24"/>
        </w:rPr>
        <w:t xml:space="preserve"> the National Violent Death Reporting System. </w:t>
      </w:r>
      <w:r w:rsidRPr="00121587">
        <w:rPr>
          <w:i/>
          <w:iCs/>
          <w:sz w:val="24"/>
        </w:rPr>
        <w:t>Workplace Health Saf</w:t>
      </w:r>
      <w:r w:rsidRPr="00BA2D6E">
        <w:rPr>
          <w:sz w:val="24"/>
        </w:rPr>
        <w:t>. 2021 May 4:21650799211003824. doi: 10.1177/21650799211003824. Epub ahead of print. PMID: 33942679.</w:t>
      </w:r>
    </w:p>
    <w:p w:rsidR="009E5BE7" w:rsidP="007E450C" w:rsidRDefault="00BA2D6E" w14:paraId="6368BF87" w14:textId="77777777">
      <w:pPr>
        <w:numPr>
          <w:ilvl w:val="0"/>
          <w:numId w:val="10"/>
        </w:numPr>
        <w:ind w:left="720"/>
        <w:rPr>
          <w:sz w:val="24"/>
        </w:rPr>
      </w:pPr>
      <w:r w:rsidRPr="00BA2D6E">
        <w:rPr>
          <w:sz w:val="24"/>
        </w:rPr>
        <w:t xml:space="preserve">Ali B, Rockett IRH, Miller TR, </w:t>
      </w:r>
      <w:r>
        <w:rPr>
          <w:sz w:val="24"/>
        </w:rPr>
        <w:t>et al</w:t>
      </w:r>
      <w:r w:rsidRPr="00BA2D6E">
        <w:rPr>
          <w:sz w:val="24"/>
        </w:rPr>
        <w:t xml:space="preserve">. Racial/Ethnic Differences in Preceding Circumstances of Suicide and Potential Suicide Misclassification Among US Adolescents. </w:t>
      </w:r>
      <w:r w:rsidRPr="00121587">
        <w:rPr>
          <w:i/>
          <w:iCs/>
          <w:sz w:val="24"/>
        </w:rPr>
        <w:t>J Racial Ethn Health Disparities</w:t>
      </w:r>
      <w:r w:rsidRPr="00BA2D6E">
        <w:rPr>
          <w:sz w:val="24"/>
        </w:rPr>
        <w:t>. 2021 Jan 7. doi: 10.1007/s40615-020-00957-7. Epub ahead of print. PMID: 33415703.</w:t>
      </w:r>
    </w:p>
    <w:p w:rsidR="008B7A93" w:rsidP="007E450C" w:rsidRDefault="009E5BE7" w14:paraId="44888BD0" w14:textId="77777777">
      <w:pPr>
        <w:numPr>
          <w:ilvl w:val="0"/>
          <w:numId w:val="10"/>
        </w:numPr>
        <w:ind w:left="720"/>
        <w:rPr>
          <w:sz w:val="24"/>
        </w:rPr>
      </w:pPr>
      <w:r w:rsidRPr="009E5BE7">
        <w:rPr>
          <w:sz w:val="24"/>
        </w:rPr>
        <w:t xml:space="preserve">Carmichael H, Samuels JM, Jamison EC, Bol KA, Coleman JJ, Campion EM, Velopulos CG. Finding the elusive trauma denominator: Feasibility of combining data sets to quantify the true burden of firearm trauma. </w:t>
      </w:r>
      <w:r w:rsidRPr="00121587">
        <w:rPr>
          <w:i/>
          <w:iCs/>
          <w:sz w:val="24"/>
        </w:rPr>
        <w:t>J Trauma Acute Care Surg</w:t>
      </w:r>
      <w:r w:rsidRPr="009E5BE7">
        <w:rPr>
          <w:sz w:val="24"/>
        </w:rPr>
        <w:t>. 2021 Mar 1;90(3):466-470. doi: 10.1097/TA.0000000000003005. PMID: 33105286.</w:t>
      </w:r>
    </w:p>
    <w:p w:rsidRPr="00D43078" w:rsidR="008B7A93" w:rsidP="007E450C" w:rsidRDefault="008B7A93" w14:paraId="4568885F" w14:textId="77777777">
      <w:pPr>
        <w:numPr>
          <w:ilvl w:val="0"/>
          <w:numId w:val="10"/>
        </w:numPr>
        <w:ind w:left="720"/>
        <w:rPr>
          <w:sz w:val="24"/>
        </w:rPr>
      </w:pPr>
      <w:r w:rsidRPr="00D43078">
        <w:rPr>
          <w:sz w:val="24"/>
        </w:rPr>
        <w:t xml:space="preserve">Elkbuli A, Sutherland M, Shepherd A, Kinslow K, Liu H, Ang D, McKenney M. Factors Influencing US Physician and Surgeon Suicide Rates 2003-2017: Analysis of the CDC-National Violent Death Reporting System. </w:t>
      </w:r>
      <w:r w:rsidRPr="00121587">
        <w:rPr>
          <w:i/>
          <w:iCs/>
          <w:sz w:val="24"/>
        </w:rPr>
        <w:t>Ann Surg</w:t>
      </w:r>
      <w:r w:rsidRPr="00D43078">
        <w:rPr>
          <w:sz w:val="24"/>
        </w:rPr>
        <w:t>. 2020 Nov 4. doi: 10.1097/SLA.0000000000004575. Epub ahead of print. PMID: 33156059.</w:t>
      </w:r>
    </w:p>
    <w:p w:rsidRPr="00D43078" w:rsidR="00371984" w:rsidP="007E450C" w:rsidRDefault="00371984" w14:paraId="56448E3C" w14:textId="77777777">
      <w:pPr>
        <w:numPr>
          <w:ilvl w:val="0"/>
          <w:numId w:val="10"/>
        </w:numPr>
        <w:ind w:left="720"/>
        <w:rPr>
          <w:sz w:val="24"/>
        </w:rPr>
      </w:pPr>
      <w:r w:rsidRPr="00D43078">
        <w:rPr>
          <w:sz w:val="24"/>
        </w:rPr>
        <w:t>Lyons</w:t>
      </w:r>
      <w:r w:rsidRPr="00D43078" w:rsidR="009E5BE7">
        <w:rPr>
          <w:sz w:val="24"/>
        </w:rPr>
        <w:t xml:space="preserve"> </w:t>
      </w:r>
      <w:r w:rsidRPr="00D43078">
        <w:rPr>
          <w:sz w:val="24"/>
        </w:rPr>
        <w:t>B</w:t>
      </w:r>
      <w:r w:rsidRPr="00D43078" w:rsidR="00194EC1">
        <w:rPr>
          <w:sz w:val="24"/>
        </w:rPr>
        <w:t>H</w:t>
      </w:r>
      <w:r w:rsidRPr="00D43078" w:rsidR="009E5BE7">
        <w:rPr>
          <w:sz w:val="24"/>
        </w:rPr>
        <w:t xml:space="preserve">, </w:t>
      </w:r>
      <w:r w:rsidRPr="00D43078" w:rsidR="009E5BE7">
        <w:rPr>
          <w:color w:val="212121"/>
          <w:sz w:val="24"/>
          <w:lang w:val="en"/>
        </w:rPr>
        <w:t>Walters ML, Jack SPD,</w:t>
      </w:r>
      <w:r w:rsidRPr="00D43078" w:rsidR="009E5BE7">
        <w:rPr>
          <w:sz w:val="24"/>
        </w:rPr>
        <w:t xml:space="preserve"> et al</w:t>
      </w:r>
      <w:r w:rsidRPr="00D43078" w:rsidR="00194EC1">
        <w:rPr>
          <w:sz w:val="24"/>
        </w:rPr>
        <w:t>.</w:t>
      </w:r>
      <w:r w:rsidRPr="00D43078">
        <w:rPr>
          <w:sz w:val="24"/>
        </w:rPr>
        <w:t xml:space="preserve"> Suicides Among Lesbian and Gay Male Individuals: Findings </w:t>
      </w:r>
      <w:r w:rsidRPr="00D43078" w:rsidR="000C44F8">
        <w:rPr>
          <w:sz w:val="24"/>
        </w:rPr>
        <w:t>from</w:t>
      </w:r>
      <w:r w:rsidRPr="00D43078">
        <w:rPr>
          <w:sz w:val="24"/>
        </w:rPr>
        <w:t xml:space="preserve"> the National Violent Death Reporting System. </w:t>
      </w:r>
      <w:r w:rsidRPr="00121587">
        <w:rPr>
          <w:i/>
          <w:iCs/>
          <w:sz w:val="24"/>
        </w:rPr>
        <w:t xml:space="preserve">Am J </w:t>
      </w:r>
      <w:r w:rsidRPr="00121587" w:rsidR="00121587">
        <w:rPr>
          <w:i/>
          <w:iCs/>
          <w:sz w:val="24"/>
        </w:rPr>
        <w:t>Prev Med</w:t>
      </w:r>
      <w:r w:rsidRPr="00D43078">
        <w:rPr>
          <w:sz w:val="24"/>
        </w:rPr>
        <w:t>, 2019; 56(4), 512-521.</w:t>
      </w:r>
    </w:p>
    <w:p w:rsidRPr="00D43078" w:rsidR="00A10464" w:rsidP="007E450C" w:rsidRDefault="00A10464" w14:paraId="1F1178F4" w14:textId="77777777">
      <w:pPr>
        <w:numPr>
          <w:ilvl w:val="0"/>
          <w:numId w:val="11"/>
        </w:numPr>
        <w:ind w:left="720"/>
        <w:rPr>
          <w:sz w:val="24"/>
        </w:rPr>
      </w:pPr>
      <w:r w:rsidRPr="00D43078">
        <w:rPr>
          <w:sz w:val="24"/>
        </w:rPr>
        <w:t>Petrosky E</w:t>
      </w:r>
      <w:r w:rsidRPr="00D43078" w:rsidR="009E5BE7">
        <w:rPr>
          <w:sz w:val="24"/>
        </w:rPr>
        <w:t xml:space="preserve">, </w:t>
      </w:r>
      <w:r w:rsidRPr="00D43078" w:rsidR="009E5BE7">
        <w:rPr>
          <w:color w:val="212121"/>
          <w:sz w:val="24"/>
          <w:lang w:val="en"/>
        </w:rPr>
        <w:t>Harpaz R, Fowler KA,</w:t>
      </w:r>
      <w:r w:rsidRPr="00D43078" w:rsidR="009E5BE7">
        <w:rPr>
          <w:sz w:val="24"/>
        </w:rPr>
        <w:t xml:space="preserve"> et al.,</w:t>
      </w:r>
      <w:r w:rsidRPr="00D43078" w:rsidR="00194EC1">
        <w:rPr>
          <w:sz w:val="24"/>
        </w:rPr>
        <w:t xml:space="preserve"> </w:t>
      </w:r>
      <w:r w:rsidRPr="00D43078">
        <w:rPr>
          <w:sz w:val="24"/>
        </w:rPr>
        <w:t xml:space="preserve">Chronic Pain Among Suicide Decedents, 2003 to 2014: Findings </w:t>
      </w:r>
      <w:r w:rsidRPr="00D43078" w:rsidR="000C44F8">
        <w:rPr>
          <w:sz w:val="24"/>
        </w:rPr>
        <w:t>from</w:t>
      </w:r>
      <w:r w:rsidRPr="00D43078">
        <w:rPr>
          <w:sz w:val="24"/>
        </w:rPr>
        <w:t xml:space="preserve"> the National Violent Death Reporting System. </w:t>
      </w:r>
      <w:r w:rsidRPr="00121587" w:rsidR="00121587">
        <w:rPr>
          <w:i/>
          <w:iCs/>
          <w:sz w:val="24"/>
        </w:rPr>
        <w:t>Ann Intern Med.</w:t>
      </w:r>
      <w:r w:rsidR="00121587">
        <w:rPr>
          <w:sz w:val="24"/>
        </w:rPr>
        <w:t xml:space="preserve"> </w:t>
      </w:r>
      <w:r w:rsidRPr="00D43078">
        <w:rPr>
          <w:sz w:val="24"/>
        </w:rPr>
        <w:t>2018; 169(7):448-455.</w:t>
      </w:r>
    </w:p>
    <w:p w:rsidRPr="00D43078" w:rsidR="000A76B4" w:rsidP="007E450C" w:rsidRDefault="000A76B4" w14:paraId="7C59E45B" w14:textId="77777777">
      <w:pPr>
        <w:numPr>
          <w:ilvl w:val="0"/>
          <w:numId w:val="11"/>
        </w:numPr>
        <w:ind w:left="720"/>
        <w:rPr>
          <w:sz w:val="24"/>
        </w:rPr>
      </w:pPr>
      <w:r w:rsidRPr="00D43078">
        <w:rPr>
          <w:sz w:val="24"/>
        </w:rPr>
        <w:t>Fowler KA</w:t>
      </w:r>
      <w:r w:rsidRPr="00D43078" w:rsidR="009E5BE7">
        <w:rPr>
          <w:sz w:val="24"/>
        </w:rPr>
        <w:t xml:space="preserve">, </w:t>
      </w:r>
      <w:r w:rsidRPr="00D43078" w:rsidR="009E5BE7">
        <w:rPr>
          <w:color w:val="212121"/>
          <w:sz w:val="24"/>
          <w:lang w:val="en"/>
        </w:rPr>
        <w:t xml:space="preserve">Dahlberg LL, Haileyesus T, et al. </w:t>
      </w:r>
      <w:r w:rsidRPr="00D43078">
        <w:rPr>
          <w:sz w:val="24"/>
        </w:rPr>
        <w:t xml:space="preserve">Childhood Firearm Injuries in the United States. </w:t>
      </w:r>
      <w:r w:rsidRPr="00121587">
        <w:rPr>
          <w:i/>
          <w:iCs/>
          <w:sz w:val="24"/>
        </w:rPr>
        <w:t>Pediatrics</w:t>
      </w:r>
      <w:r w:rsidRPr="00D43078">
        <w:rPr>
          <w:sz w:val="24"/>
        </w:rPr>
        <w:t>.</w:t>
      </w:r>
      <w:r w:rsidR="00121587">
        <w:rPr>
          <w:sz w:val="24"/>
        </w:rPr>
        <w:t xml:space="preserve"> </w:t>
      </w:r>
      <w:r w:rsidRPr="00D43078">
        <w:rPr>
          <w:sz w:val="24"/>
        </w:rPr>
        <w:t>2017;140(1</w:t>
      </w:r>
      <w:proofErr w:type="gramStart"/>
      <w:r w:rsidRPr="00D43078">
        <w:rPr>
          <w:sz w:val="24"/>
        </w:rPr>
        <w:t>):e</w:t>
      </w:r>
      <w:proofErr w:type="gramEnd"/>
      <w:r w:rsidRPr="00D43078">
        <w:rPr>
          <w:sz w:val="24"/>
        </w:rPr>
        <w:t>20163486</w:t>
      </w:r>
      <w:r w:rsidRPr="00D43078" w:rsidR="0094084C">
        <w:rPr>
          <w:sz w:val="24"/>
        </w:rPr>
        <w:t xml:space="preserve"> doi: https://doi.org/10.1542/peds.2017-2298</w:t>
      </w:r>
    </w:p>
    <w:p w:rsidRPr="00D43078" w:rsidR="004A2713" w:rsidP="007E450C" w:rsidRDefault="00DD4A74" w14:paraId="1F9A6E59" w14:textId="77777777">
      <w:pPr>
        <w:numPr>
          <w:ilvl w:val="0"/>
          <w:numId w:val="11"/>
        </w:numPr>
        <w:ind w:left="720"/>
        <w:rPr>
          <w:sz w:val="24"/>
        </w:rPr>
      </w:pPr>
      <w:r w:rsidRPr="00D43078">
        <w:rPr>
          <w:sz w:val="24"/>
        </w:rPr>
        <w:t>Barber, C</w:t>
      </w:r>
      <w:r w:rsidRPr="00D43078" w:rsidR="009E5BE7">
        <w:rPr>
          <w:sz w:val="24"/>
        </w:rPr>
        <w:t xml:space="preserve">, </w:t>
      </w:r>
      <w:r w:rsidRPr="00D43078" w:rsidR="009E5BE7">
        <w:rPr>
          <w:color w:val="212121"/>
          <w:sz w:val="24"/>
          <w:lang w:val="en"/>
        </w:rPr>
        <w:t>Barber C, Azrael D, Cohen A, et al</w:t>
      </w:r>
      <w:r w:rsidRPr="00D43078">
        <w:rPr>
          <w:sz w:val="24"/>
        </w:rPr>
        <w:t xml:space="preserve">. Homicides by Police: Comparing Counts </w:t>
      </w:r>
      <w:r w:rsidRPr="00D43078" w:rsidR="000C44F8">
        <w:rPr>
          <w:sz w:val="24"/>
        </w:rPr>
        <w:t>from</w:t>
      </w:r>
      <w:r w:rsidRPr="00D43078">
        <w:rPr>
          <w:sz w:val="24"/>
        </w:rPr>
        <w:t xml:space="preserve"> the National Violent Death Reporting System, Vital </w:t>
      </w:r>
      <w:r w:rsidRPr="00D43078" w:rsidR="009259D0">
        <w:rPr>
          <w:sz w:val="24"/>
        </w:rPr>
        <w:t>Statistics</w:t>
      </w:r>
      <w:r w:rsidRPr="00D43078">
        <w:rPr>
          <w:sz w:val="24"/>
        </w:rPr>
        <w:t xml:space="preserve"> and Supplem</w:t>
      </w:r>
      <w:r w:rsidRPr="00D43078" w:rsidR="009259D0">
        <w:rPr>
          <w:sz w:val="24"/>
        </w:rPr>
        <w:t>en</w:t>
      </w:r>
      <w:r w:rsidRPr="00D43078">
        <w:rPr>
          <w:sz w:val="24"/>
        </w:rPr>
        <w:t xml:space="preserve">tary </w:t>
      </w:r>
      <w:r w:rsidRPr="00D43078" w:rsidR="009259D0">
        <w:rPr>
          <w:sz w:val="24"/>
        </w:rPr>
        <w:t>Homicide</w:t>
      </w:r>
      <w:r w:rsidRPr="00D43078">
        <w:rPr>
          <w:sz w:val="24"/>
        </w:rPr>
        <w:t xml:space="preserve"> Reports </w:t>
      </w:r>
      <w:r w:rsidRPr="00D43078">
        <w:rPr>
          <w:i/>
          <w:sz w:val="24"/>
        </w:rPr>
        <w:t>Am</w:t>
      </w:r>
      <w:r w:rsidR="00B8026F">
        <w:rPr>
          <w:i/>
          <w:sz w:val="24"/>
        </w:rPr>
        <w:t xml:space="preserve">. J. </w:t>
      </w:r>
      <w:r w:rsidRPr="00D43078">
        <w:rPr>
          <w:i/>
          <w:sz w:val="24"/>
        </w:rPr>
        <w:t xml:space="preserve">Public Health, 106(5). </w:t>
      </w:r>
      <w:r w:rsidRPr="00D43078">
        <w:rPr>
          <w:sz w:val="24"/>
        </w:rPr>
        <w:t>doi: 10.2105/AJPH.2016.303074</w:t>
      </w:r>
    </w:p>
    <w:p w:rsidRPr="00D43078" w:rsidR="004A2713" w:rsidP="007E450C" w:rsidRDefault="009E5BE7" w14:paraId="02880668" w14:textId="77777777">
      <w:pPr>
        <w:numPr>
          <w:ilvl w:val="0"/>
          <w:numId w:val="11"/>
        </w:numPr>
        <w:ind w:left="720"/>
        <w:rPr>
          <w:sz w:val="24"/>
        </w:rPr>
      </w:pPr>
      <w:r w:rsidRPr="00D43078">
        <w:rPr>
          <w:color w:val="212121"/>
          <w:sz w:val="24"/>
          <w:lang w:val="en"/>
        </w:rPr>
        <w:t xml:space="preserve">Schiff LB, Holland KM, Stone DM, et al. </w:t>
      </w:r>
      <w:r w:rsidRPr="00D43078" w:rsidR="00DD4A74">
        <w:rPr>
          <w:sz w:val="24"/>
        </w:rPr>
        <w:t xml:space="preserve">Acute and Chronic Risk Preceding Suicidal Crises Among Middle-Aged Men Without Known Mental Health and/or Substance Abuse Problems: An Exploratory Mixed-Methods Analysis. </w:t>
      </w:r>
      <w:r w:rsidRPr="00D43078" w:rsidR="00DD4A74">
        <w:rPr>
          <w:i/>
          <w:iCs/>
          <w:sz w:val="24"/>
        </w:rPr>
        <w:t xml:space="preserve">Crisis: The Journal of Crisis </w:t>
      </w:r>
      <w:r w:rsidRPr="00D43078" w:rsidR="00DD4A74">
        <w:rPr>
          <w:i/>
          <w:iCs/>
          <w:sz w:val="24"/>
        </w:rPr>
        <w:lastRenderedPageBreak/>
        <w:t>Intervention and Suicide Prevention</w:t>
      </w:r>
      <w:r w:rsidRPr="00D43078" w:rsidR="00DD4A74">
        <w:rPr>
          <w:sz w:val="24"/>
        </w:rPr>
        <w:t xml:space="preserve">. </w:t>
      </w:r>
      <w:r w:rsidRPr="00D43078" w:rsidR="006F372B">
        <w:rPr>
          <w:sz w:val="24"/>
        </w:rPr>
        <w:t>http://dx.doi.org/10.1027/0227-5910/a000329</w:t>
      </w:r>
      <w:r w:rsidRPr="00D43078" w:rsidR="004A2713">
        <w:rPr>
          <w:sz w:val="24"/>
        </w:rPr>
        <w:t xml:space="preserve">. </w:t>
      </w:r>
    </w:p>
    <w:p w:rsidRPr="00D43078" w:rsidR="00852C69" w:rsidP="007E450C" w:rsidRDefault="009E5BE7" w14:paraId="376A6E7E" w14:textId="77777777">
      <w:pPr>
        <w:numPr>
          <w:ilvl w:val="0"/>
          <w:numId w:val="11"/>
        </w:numPr>
        <w:ind w:left="720"/>
        <w:rPr>
          <w:sz w:val="24"/>
        </w:rPr>
      </w:pPr>
      <w:r w:rsidRPr="00D43078">
        <w:rPr>
          <w:color w:val="212121"/>
          <w:sz w:val="24"/>
          <w:lang w:val="en"/>
        </w:rPr>
        <w:t>Fowler KA, Gladden RM, Vagi KJ,</w:t>
      </w:r>
      <w:r w:rsidRPr="00D43078">
        <w:rPr>
          <w:sz w:val="24"/>
        </w:rPr>
        <w:t xml:space="preserve"> et al. </w:t>
      </w:r>
      <w:r w:rsidRPr="00D43078" w:rsidR="00DD4A74">
        <w:rPr>
          <w:sz w:val="24"/>
        </w:rPr>
        <w:t xml:space="preserve">Increase in Suicides Associated with Home </w:t>
      </w:r>
      <w:r w:rsidRPr="00D43078" w:rsidR="009259D0">
        <w:rPr>
          <w:sz w:val="24"/>
        </w:rPr>
        <w:t>Eviction</w:t>
      </w:r>
      <w:r w:rsidRPr="00D43078" w:rsidR="00DD4A74">
        <w:rPr>
          <w:sz w:val="24"/>
        </w:rPr>
        <w:t xml:space="preserve"> and Foreclosure During the US Housing Crisis: Findings from 16 National Violent Death Reporting System States, 2005-2010. </w:t>
      </w:r>
      <w:r w:rsidRPr="00D43078" w:rsidR="00DD4A74">
        <w:rPr>
          <w:i/>
          <w:sz w:val="24"/>
        </w:rPr>
        <w:t>Am</w:t>
      </w:r>
      <w:r w:rsidR="00B8026F">
        <w:rPr>
          <w:i/>
          <w:sz w:val="24"/>
        </w:rPr>
        <w:t>.</w:t>
      </w:r>
      <w:r w:rsidRPr="00D43078" w:rsidR="00DD4A74">
        <w:rPr>
          <w:i/>
          <w:sz w:val="24"/>
        </w:rPr>
        <w:t xml:space="preserve"> J</w:t>
      </w:r>
      <w:r w:rsidR="00B8026F">
        <w:rPr>
          <w:i/>
          <w:sz w:val="24"/>
        </w:rPr>
        <w:t>.</w:t>
      </w:r>
      <w:r w:rsidRPr="00D43078" w:rsidR="00DD4A74">
        <w:rPr>
          <w:i/>
          <w:sz w:val="24"/>
        </w:rPr>
        <w:t xml:space="preserve"> Public Health, 105:311–316. </w:t>
      </w:r>
      <w:r w:rsidRPr="00D43078" w:rsidR="00DD4A74">
        <w:rPr>
          <w:sz w:val="24"/>
        </w:rPr>
        <w:t xml:space="preserve">doi:10.2105/AJPH.2014.301945. </w:t>
      </w:r>
    </w:p>
    <w:p w:rsidR="009C47A6" w:rsidP="00F50F28" w:rsidRDefault="009C47A6" w14:paraId="091D9FC9" w14:textId="77777777">
      <w:pPr>
        <w:rPr>
          <w:sz w:val="24"/>
        </w:rPr>
      </w:pPr>
    </w:p>
    <w:p w:rsidR="00A81E2F" w:rsidP="00F50F28" w:rsidRDefault="009C47A6" w14:paraId="50879B7D" w14:textId="77777777">
      <w:pPr>
        <w:rPr>
          <w:sz w:val="24"/>
        </w:rPr>
      </w:pPr>
      <w:r w:rsidRPr="00D97A2A">
        <w:rPr>
          <w:sz w:val="24"/>
        </w:rPr>
        <w:t>Publications that have used</w:t>
      </w:r>
      <w:r w:rsidR="006E2E9D">
        <w:rPr>
          <w:sz w:val="24"/>
        </w:rPr>
        <w:t xml:space="preserve"> </w:t>
      </w:r>
      <w:r w:rsidRPr="00D97A2A">
        <w:rPr>
          <w:sz w:val="24"/>
        </w:rPr>
        <w:t>School Associated Violent Death</w:t>
      </w:r>
      <w:r w:rsidR="006E2E9D">
        <w:rPr>
          <w:sz w:val="24"/>
        </w:rPr>
        <w:t xml:space="preserve"> Surveillance System </w:t>
      </w:r>
      <w:r w:rsidRPr="00D97A2A">
        <w:rPr>
          <w:sz w:val="24"/>
        </w:rPr>
        <w:t xml:space="preserve">data </w:t>
      </w:r>
      <w:r w:rsidRPr="00D97A2A" w:rsidR="00D97A2A">
        <w:rPr>
          <w:sz w:val="24"/>
        </w:rPr>
        <w:t>include</w:t>
      </w:r>
      <w:r w:rsidR="00D97A2A">
        <w:rPr>
          <w:sz w:val="24"/>
        </w:rPr>
        <w:t>:</w:t>
      </w:r>
    </w:p>
    <w:p w:rsidR="00A81E2F" w:rsidP="009043A4" w:rsidRDefault="00A81E2F" w14:paraId="7D64F076" w14:textId="77777777">
      <w:pPr>
        <w:rPr>
          <w:sz w:val="24"/>
        </w:rPr>
      </w:pPr>
    </w:p>
    <w:p w:rsidR="00E52FD3" w:rsidP="009043A4" w:rsidRDefault="00E52FD3" w14:paraId="2469C7D8" w14:textId="77777777">
      <w:pPr>
        <w:rPr>
          <w:sz w:val="24"/>
        </w:rPr>
      </w:pPr>
      <w:r w:rsidRPr="00E52FD3">
        <w:rPr>
          <w:sz w:val="24"/>
        </w:rPr>
        <w:t xml:space="preserve">Holland KM, Hall JE, Wang J, et al. Characteristics of School-Associated Youth Homicides — United States, 1994–2018. </w:t>
      </w:r>
      <w:r w:rsidRPr="00121587">
        <w:rPr>
          <w:i/>
          <w:iCs/>
          <w:sz w:val="24"/>
        </w:rPr>
        <w:t>MMWR Morb Mortal Wkly Rep</w:t>
      </w:r>
      <w:r w:rsidRPr="00E52FD3">
        <w:rPr>
          <w:sz w:val="24"/>
        </w:rPr>
        <w:t xml:space="preserve"> </w:t>
      </w:r>
      <w:proofErr w:type="gramStart"/>
      <w:r w:rsidRPr="00E52FD3">
        <w:rPr>
          <w:sz w:val="24"/>
        </w:rPr>
        <w:t>2019;68:53</w:t>
      </w:r>
      <w:proofErr w:type="gramEnd"/>
      <w:r w:rsidRPr="00E52FD3">
        <w:rPr>
          <w:sz w:val="24"/>
        </w:rPr>
        <w:t xml:space="preserve">–60. DOI: </w:t>
      </w:r>
      <w:hyperlink w:history="1" r:id="rId9">
        <w:r w:rsidRPr="00195F06" w:rsidR="00195F06">
          <w:rPr>
            <w:rStyle w:val="Hyperlink"/>
            <w:sz w:val="24"/>
          </w:rPr>
          <w:t>http://dx.doi.org/10.15585/mmwr.mm6803a</w:t>
        </w:r>
        <w:r w:rsidRPr="00532FB6" w:rsidR="00195F06">
          <w:rPr>
            <w:rStyle w:val="Hyperlink"/>
            <w:sz w:val="24"/>
          </w:rPr>
          <w:t>1</w:t>
        </w:r>
      </w:hyperlink>
    </w:p>
    <w:p w:rsidR="00195F06" w:rsidP="009043A4" w:rsidRDefault="00195F06" w14:paraId="09246F61" w14:textId="77777777">
      <w:pPr>
        <w:rPr>
          <w:sz w:val="24"/>
        </w:rPr>
      </w:pPr>
    </w:p>
    <w:p w:rsidRPr="00195F06" w:rsidR="00195F06" w:rsidP="009043A4" w:rsidRDefault="00195F06" w14:paraId="55D1A1C5" w14:textId="77777777">
      <w:pPr>
        <w:rPr>
          <w:sz w:val="24"/>
        </w:rPr>
      </w:pPr>
      <w:r w:rsidRPr="009B00A7">
        <w:rPr>
          <w:color w:val="333333"/>
          <w:sz w:val="24"/>
          <w:lang w:val="en"/>
        </w:rPr>
        <w:t xml:space="preserve">Anderson M, Kaufman J, Simon TR, et al. School-Associated Violent Deaths in the United States, 1994-1999. </w:t>
      </w:r>
      <w:r w:rsidRPr="009B00A7">
        <w:rPr>
          <w:rStyle w:val="Emphasis"/>
          <w:color w:val="333333"/>
          <w:sz w:val="24"/>
          <w:lang w:val="en"/>
        </w:rPr>
        <w:t>JAMA.</w:t>
      </w:r>
      <w:r w:rsidRPr="009B00A7">
        <w:rPr>
          <w:color w:val="333333"/>
          <w:sz w:val="24"/>
          <w:lang w:val="en"/>
        </w:rPr>
        <w:t xml:space="preserve"> 2001;286(21):2695–2702. doi:10.1001/jama.286.21.2695</w:t>
      </w:r>
    </w:p>
    <w:p w:rsidRPr="009C47A6" w:rsidR="009C47A6" w:rsidP="00F50F28" w:rsidRDefault="009C47A6" w14:paraId="6637F1FC" w14:textId="77777777">
      <w:pPr>
        <w:rPr>
          <w:b/>
          <w:bCs/>
          <w:sz w:val="24"/>
        </w:rPr>
      </w:pPr>
    </w:p>
    <w:p w:rsidRPr="00CB7F03" w:rsidR="001C26B3" w:rsidP="00121587" w:rsidRDefault="001C26B3" w14:paraId="0B4B2E36" w14:textId="77777777">
      <w:pPr>
        <w:numPr>
          <w:ilvl w:val="0"/>
          <w:numId w:val="8"/>
        </w:numPr>
        <w:ind w:left="360"/>
        <w:rPr>
          <w:sz w:val="24"/>
        </w:rPr>
      </w:pPr>
      <w:r w:rsidRPr="00CB7F03">
        <w:rPr>
          <w:b/>
          <w:bCs/>
          <w:sz w:val="24"/>
        </w:rPr>
        <w:t>Use of Improved Information Technology and Burden Reduction</w:t>
      </w:r>
    </w:p>
    <w:p w:rsidRPr="00CB7F03" w:rsidR="001C26B3" w:rsidP="00121587" w:rsidRDefault="001C26B3" w14:paraId="5E38830A" w14:textId="77777777">
      <w:pPr>
        <w:rPr>
          <w:sz w:val="24"/>
        </w:rPr>
      </w:pPr>
    </w:p>
    <w:p w:rsidRPr="00CB7F03" w:rsidR="00B14AF9" w:rsidP="00B8026F" w:rsidRDefault="006E2E9D" w14:paraId="39080407" w14:textId="77777777">
      <w:pPr>
        <w:rPr>
          <w:sz w:val="24"/>
        </w:rPr>
      </w:pPr>
      <w:r>
        <w:rPr>
          <w:sz w:val="24"/>
        </w:rPr>
        <w:t>The NVDRS</w:t>
      </w:r>
      <w:r w:rsidRPr="00CB7F03" w:rsidR="005137B5">
        <w:rPr>
          <w:sz w:val="24"/>
        </w:rPr>
        <w:t xml:space="preserve"> transitioned </w:t>
      </w:r>
      <w:r w:rsidRPr="00CB7F03" w:rsidR="008C018E">
        <w:rPr>
          <w:sz w:val="24"/>
        </w:rPr>
        <w:t xml:space="preserve">in 2013 </w:t>
      </w:r>
      <w:r w:rsidRPr="00CB7F03" w:rsidR="005137B5">
        <w:rPr>
          <w:sz w:val="24"/>
        </w:rPr>
        <w:t>from a distributed software system with data entry housed in each state</w:t>
      </w:r>
      <w:r w:rsidRPr="00CB7F03" w:rsidR="00924AB2">
        <w:rPr>
          <w:sz w:val="24"/>
        </w:rPr>
        <w:t xml:space="preserve"> </w:t>
      </w:r>
      <w:r w:rsidRPr="00CB7F03" w:rsidR="005137B5">
        <w:rPr>
          <w:sz w:val="24"/>
        </w:rPr>
        <w:t xml:space="preserve">health department to a web-based data entry system </w:t>
      </w:r>
      <w:r w:rsidRPr="00CB7F03" w:rsidR="00283242">
        <w:rPr>
          <w:sz w:val="24"/>
        </w:rPr>
        <w:t>that uses a</w:t>
      </w:r>
      <w:r w:rsidRPr="00CB7F03" w:rsidR="005137B5">
        <w:rPr>
          <w:sz w:val="24"/>
        </w:rPr>
        <w:t xml:space="preserve"> streamlined coding system to facilitate data abstraction efficiency</w:t>
      </w:r>
      <w:r w:rsidRPr="00CB7F03" w:rsidR="002F5FDE">
        <w:rPr>
          <w:sz w:val="24"/>
        </w:rPr>
        <w:t>.</w:t>
      </w:r>
      <w:r w:rsidRPr="00CB7F03" w:rsidR="00DF773A">
        <w:rPr>
          <w:sz w:val="24"/>
        </w:rPr>
        <w:t xml:space="preserve"> </w:t>
      </w:r>
    </w:p>
    <w:p w:rsidRPr="00CB7F03" w:rsidR="004A2713" w:rsidP="00B8026F" w:rsidRDefault="004A2713" w14:paraId="038F61E1" w14:textId="77777777">
      <w:pPr>
        <w:rPr>
          <w:sz w:val="24"/>
        </w:rPr>
      </w:pPr>
    </w:p>
    <w:p w:rsidR="001C26B3" w:rsidP="00B8026F" w:rsidRDefault="00307377" w14:paraId="2EAAA658" w14:textId="77777777">
      <w:pPr>
        <w:rPr>
          <w:sz w:val="24"/>
        </w:rPr>
      </w:pPr>
      <w:r w:rsidRPr="00CB7F03">
        <w:rPr>
          <w:sz w:val="24"/>
        </w:rPr>
        <w:t>Data entry is</w:t>
      </w:r>
      <w:r w:rsidRPr="00CB7F03" w:rsidR="001C26B3">
        <w:rPr>
          <w:sz w:val="24"/>
        </w:rPr>
        <w:t xml:space="preserve"> accomplished in health department </w:t>
      </w:r>
      <w:r w:rsidR="00A03462">
        <w:rPr>
          <w:sz w:val="24"/>
        </w:rPr>
        <w:t xml:space="preserve">(or their bona fide agent’s) </w:t>
      </w:r>
      <w:r w:rsidRPr="00CB7F03" w:rsidR="001C26B3">
        <w:rPr>
          <w:sz w:val="24"/>
        </w:rPr>
        <w:t xml:space="preserve">offices or in the field in the offices of </w:t>
      </w:r>
      <w:r w:rsidRPr="00CB7F03" w:rsidR="008C018E">
        <w:rPr>
          <w:sz w:val="24"/>
        </w:rPr>
        <w:t xml:space="preserve">coroners, </w:t>
      </w:r>
      <w:r w:rsidRPr="00CB7F03" w:rsidR="001C26B3">
        <w:rPr>
          <w:sz w:val="24"/>
        </w:rPr>
        <w:t xml:space="preserve">medical </w:t>
      </w:r>
      <w:r w:rsidRPr="00CB7F03" w:rsidR="003D124E">
        <w:rPr>
          <w:sz w:val="24"/>
        </w:rPr>
        <w:t>examiners,</w:t>
      </w:r>
      <w:r w:rsidRPr="00CB7F03" w:rsidR="001C26B3">
        <w:rPr>
          <w:sz w:val="24"/>
        </w:rPr>
        <w:t xml:space="preserve"> and </w:t>
      </w:r>
      <w:r w:rsidRPr="00CB7F03" w:rsidR="008C018E">
        <w:rPr>
          <w:sz w:val="24"/>
        </w:rPr>
        <w:t xml:space="preserve">law enforcement </w:t>
      </w:r>
      <w:r w:rsidRPr="00CB7F03" w:rsidR="002F5FDE">
        <w:rPr>
          <w:sz w:val="24"/>
        </w:rPr>
        <w:t>via a secure internet platform</w:t>
      </w:r>
      <w:r w:rsidRPr="00CB7F03" w:rsidR="001C26B3">
        <w:rPr>
          <w:sz w:val="24"/>
        </w:rPr>
        <w:t xml:space="preserve">. </w:t>
      </w:r>
      <w:r w:rsidRPr="00CB7F03">
        <w:rPr>
          <w:sz w:val="24"/>
        </w:rPr>
        <w:t xml:space="preserve">States have the option of electronically importing death certificate and </w:t>
      </w:r>
      <w:r w:rsidRPr="00CB7F03" w:rsidR="003C5897">
        <w:rPr>
          <w:sz w:val="24"/>
        </w:rPr>
        <w:t xml:space="preserve">coroner/medical examiner </w:t>
      </w:r>
      <w:r w:rsidRPr="00CB7F03" w:rsidR="00236769">
        <w:rPr>
          <w:sz w:val="24"/>
        </w:rPr>
        <w:t>(</w:t>
      </w:r>
      <w:r w:rsidRPr="00CB7F03" w:rsidR="00283242">
        <w:rPr>
          <w:sz w:val="24"/>
        </w:rPr>
        <w:t>C</w:t>
      </w:r>
      <w:r w:rsidR="00B8026F">
        <w:rPr>
          <w:sz w:val="24"/>
        </w:rPr>
        <w:t>/</w:t>
      </w:r>
      <w:r w:rsidRPr="00CB7F03" w:rsidR="00283242">
        <w:rPr>
          <w:sz w:val="24"/>
        </w:rPr>
        <w:t>ME</w:t>
      </w:r>
      <w:r w:rsidRPr="00CB7F03" w:rsidR="00236769">
        <w:rPr>
          <w:sz w:val="24"/>
        </w:rPr>
        <w:t>)</w:t>
      </w:r>
      <w:r w:rsidRPr="00CB7F03" w:rsidR="006D22BF">
        <w:rPr>
          <w:sz w:val="24"/>
        </w:rPr>
        <w:t xml:space="preserve"> </w:t>
      </w:r>
      <w:r w:rsidRPr="00CB7F03">
        <w:rPr>
          <w:sz w:val="24"/>
        </w:rPr>
        <w:t>data into the system. The import function reduces the burden for manual entry and paper copies. Law enforcement data are manually entered from the records</w:t>
      </w:r>
      <w:r w:rsidRPr="00CB7F03" w:rsidR="001C26B3">
        <w:rPr>
          <w:sz w:val="24"/>
        </w:rPr>
        <w:t xml:space="preserve"> into the NVDRS </w:t>
      </w:r>
      <w:r w:rsidRPr="00CB7F03" w:rsidR="004C2DC9">
        <w:rPr>
          <w:sz w:val="24"/>
        </w:rPr>
        <w:t>web system</w:t>
      </w:r>
      <w:r w:rsidRPr="00CB7F03" w:rsidR="001C26B3">
        <w:rPr>
          <w:sz w:val="24"/>
        </w:rPr>
        <w:t xml:space="preserve">. </w:t>
      </w:r>
      <w:r w:rsidR="00457B82">
        <w:rPr>
          <w:sz w:val="24"/>
        </w:rPr>
        <w:t xml:space="preserve">Usually states manually enter </w:t>
      </w:r>
      <w:r w:rsidR="00B8026F">
        <w:rPr>
          <w:sz w:val="24"/>
        </w:rPr>
        <w:t>C/ME</w:t>
      </w:r>
      <w:r w:rsidR="00457B82">
        <w:rPr>
          <w:sz w:val="24"/>
        </w:rPr>
        <w:t xml:space="preserve"> data into the system. </w:t>
      </w:r>
      <w:r w:rsidRPr="00CB7F03" w:rsidR="005137B5">
        <w:rPr>
          <w:sz w:val="24"/>
        </w:rPr>
        <w:t xml:space="preserve">The data collection interface includes internal validation checks and other quality control measures. </w:t>
      </w:r>
      <w:r w:rsidR="008048C8">
        <w:rPr>
          <w:sz w:val="24"/>
        </w:rPr>
        <w:t>T</w:t>
      </w:r>
      <w:r w:rsidRPr="00CB7F03" w:rsidR="008048C8">
        <w:rPr>
          <w:sz w:val="24"/>
        </w:rPr>
        <w:t xml:space="preserve">o help increase data </w:t>
      </w:r>
      <w:r w:rsidRPr="00CB7F03" w:rsidR="00252923">
        <w:rPr>
          <w:sz w:val="24"/>
        </w:rPr>
        <w:t>quality,</w:t>
      </w:r>
      <w:r w:rsidR="008048C8">
        <w:rPr>
          <w:sz w:val="24"/>
        </w:rPr>
        <w:t xml:space="preserve"> s</w:t>
      </w:r>
      <w:r w:rsidRPr="00CB7F03" w:rsidR="005137B5">
        <w:rPr>
          <w:sz w:val="24"/>
        </w:rPr>
        <w:t xml:space="preserve">tate project personnel are provided coding training </w:t>
      </w:r>
      <w:r w:rsidRPr="00CB7F03" w:rsidR="00C57874">
        <w:rPr>
          <w:sz w:val="24"/>
        </w:rPr>
        <w:t xml:space="preserve">through a detailed coding </w:t>
      </w:r>
      <w:r w:rsidRPr="002B2668" w:rsidR="00C57874">
        <w:rPr>
          <w:sz w:val="24"/>
        </w:rPr>
        <w:t>manual</w:t>
      </w:r>
      <w:r w:rsidRPr="002B2668" w:rsidR="00631F79">
        <w:rPr>
          <w:sz w:val="24"/>
        </w:rPr>
        <w:t xml:space="preserve"> (</w:t>
      </w:r>
      <w:r w:rsidRPr="002B2668" w:rsidR="00422F07">
        <w:rPr>
          <w:sz w:val="24"/>
        </w:rPr>
        <w:t xml:space="preserve">Attachment </w:t>
      </w:r>
      <w:r w:rsidRPr="002B2668" w:rsidR="00C3342F">
        <w:rPr>
          <w:sz w:val="24"/>
        </w:rPr>
        <w:t>9</w:t>
      </w:r>
      <w:r w:rsidRPr="002B2668" w:rsidR="00631F79">
        <w:rPr>
          <w:sz w:val="24"/>
        </w:rPr>
        <w:t>)</w:t>
      </w:r>
      <w:r w:rsidRPr="002B2668" w:rsidR="00C57874">
        <w:rPr>
          <w:sz w:val="24"/>
        </w:rPr>
        <w:t>, online</w:t>
      </w:r>
      <w:r w:rsidRPr="00CB7F03" w:rsidR="00C57874">
        <w:rPr>
          <w:sz w:val="24"/>
        </w:rPr>
        <w:t xml:space="preserve"> help functions, webinars, </w:t>
      </w:r>
      <w:r w:rsidRPr="00CB7F03" w:rsidR="003C5897">
        <w:rPr>
          <w:sz w:val="24"/>
        </w:rPr>
        <w:t xml:space="preserve">monthly </w:t>
      </w:r>
      <w:r w:rsidRPr="00CB7F03" w:rsidR="00C57874">
        <w:rPr>
          <w:sz w:val="24"/>
        </w:rPr>
        <w:t>coding</w:t>
      </w:r>
      <w:r w:rsidRPr="00CB7F03" w:rsidR="003C5897">
        <w:rPr>
          <w:sz w:val="24"/>
        </w:rPr>
        <w:t xml:space="preserve"> workgroup </w:t>
      </w:r>
      <w:r w:rsidRPr="00CB7F03" w:rsidR="00252923">
        <w:rPr>
          <w:sz w:val="24"/>
        </w:rPr>
        <w:t>calls,</w:t>
      </w:r>
      <w:r w:rsidR="0094084C">
        <w:rPr>
          <w:sz w:val="24"/>
        </w:rPr>
        <w:t xml:space="preserve"> and</w:t>
      </w:r>
      <w:r w:rsidRPr="00CB7F03" w:rsidR="00252923">
        <w:rPr>
          <w:sz w:val="24"/>
        </w:rPr>
        <w:t xml:space="preserve"> the</w:t>
      </w:r>
      <w:r w:rsidRPr="00CB7F03" w:rsidR="003C5897">
        <w:rPr>
          <w:sz w:val="24"/>
        </w:rPr>
        <w:t xml:space="preserve"> NVDRS </w:t>
      </w:r>
      <w:r w:rsidR="00457B82">
        <w:rPr>
          <w:sz w:val="24"/>
        </w:rPr>
        <w:t xml:space="preserve">Coding </w:t>
      </w:r>
      <w:r w:rsidRPr="00CB7F03" w:rsidR="003C5897">
        <w:rPr>
          <w:sz w:val="24"/>
        </w:rPr>
        <w:t>Help Desk</w:t>
      </w:r>
      <w:r w:rsidRPr="00CB7F03" w:rsidR="005137B5">
        <w:rPr>
          <w:sz w:val="24"/>
        </w:rPr>
        <w:t>.</w:t>
      </w:r>
      <w:r w:rsidRPr="00CB7F03" w:rsidR="00C57874">
        <w:rPr>
          <w:sz w:val="24"/>
        </w:rPr>
        <w:t xml:space="preserve"> </w:t>
      </w:r>
      <w:r w:rsidR="00457B82">
        <w:rPr>
          <w:sz w:val="24"/>
        </w:rPr>
        <w:t>Software questions are addressed via monthly state calls and the NVDRS Software Help Desk</w:t>
      </w:r>
      <w:r w:rsidR="000F09C5">
        <w:rPr>
          <w:sz w:val="24"/>
        </w:rPr>
        <w:t xml:space="preserve">. </w:t>
      </w:r>
      <w:r w:rsidRPr="00CB7F03" w:rsidR="005137B5">
        <w:rPr>
          <w:sz w:val="24"/>
        </w:rPr>
        <w:t xml:space="preserve">Data are transmitted </w:t>
      </w:r>
      <w:r w:rsidRPr="00CB7F03" w:rsidR="003C5897">
        <w:rPr>
          <w:sz w:val="24"/>
        </w:rPr>
        <w:t xml:space="preserve">real time </w:t>
      </w:r>
      <w:r w:rsidRPr="00CB7F03" w:rsidR="005137B5">
        <w:rPr>
          <w:sz w:val="24"/>
        </w:rPr>
        <w:t xml:space="preserve">via the web to </w:t>
      </w:r>
      <w:r w:rsidR="00737847">
        <w:rPr>
          <w:sz w:val="24"/>
        </w:rPr>
        <w:t xml:space="preserve">the </w:t>
      </w:r>
      <w:r w:rsidRPr="00CB7F03" w:rsidR="005137B5">
        <w:rPr>
          <w:sz w:val="24"/>
        </w:rPr>
        <w:t xml:space="preserve">CDC-based server. </w:t>
      </w:r>
    </w:p>
    <w:p w:rsidR="003871C9" w:rsidP="00B8026F" w:rsidRDefault="003871C9" w14:paraId="63BC3AE2" w14:textId="77777777">
      <w:pPr>
        <w:rPr>
          <w:sz w:val="24"/>
        </w:rPr>
      </w:pPr>
    </w:p>
    <w:p w:rsidR="00D43078" w:rsidP="00B8026F" w:rsidRDefault="00F204DE" w14:paraId="472BE3CA" w14:textId="77777777">
      <w:pPr>
        <w:rPr>
          <w:sz w:val="24"/>
        </w:rPr>
      </w:pPr>
      <w:r>
        <w:rPr>
          <w:sz w:val="24"/>
        </w:rPr>
        <w:t>T</w:t>
      </w:r>
      <w:r w:rsidR="003871C9">
        <w:rPr>
          <w:sz w:val="24"/>
        </w:rPr>
        <w:t xml:space="preserve">he addition of the SAVD module </w:t>
      </w:r>
      <w:r w:rsidR="00195F06">
        <w:rPr>
          <w:sz w:val="24"/>
        </w:rPr>
        <w:t>in</w:t>
      </w:r>
      <w:r w:rsidR="009E5BE7">
        <w:rPr>
          <w:sz w:val="24"/>
        </w:rPr>
        <w:t xml:space="preserve"> the web-based system</w:t>
      </w:r>
      <w:r w:rsidR="00195F06">
        <w:rPr>
          <w:sz w:val="24"/>
        </w:rPr>
        <w:t xml:space="preserve"> </w:t>
      </w:r>
      <w:r w:rsidR="003871C9">
        <w:rPr>
          <w:sz w:val="24"/>
        </w:rPr>
        <w:t xml:space="preserve">will allow for more in-depth data collection about these types of incidents that occur. </w:t>
      </w:r>
      <w:r w:rsidR="00666E17">
        <w:rPr>
          <w:sz w:val="24"/>
        </w:rPr>
        <w:t xml:space="preserve">This transition of SAVD into the system will be more efficient in that all school associated violent deaths will eventually </w:t>
      </w:r>
    </w:p>
    <w:p w:rsidR="003871C9" w:rsidP="00B8026F" w:rsidRDefault="00666E17" w14:paraId="79CEA79A" w14:textId="77777777">
      <w:pPr>
        <w:rPr>
          <w:sz w:val="24"/>
        </w:rPr>
      </w:pPr>
      <w:r>
        <w:rPr>
          <w:sz w:val="24"/>
        </w:rPr>
        <w:t xml:space="preserve">be captured using NVDRS. The new public safety officer suicide reporting </w:t>
      </w:r>
      <w:r w:rsidRPr="00666E17">
        <w:rPr>
          <w:sz w:val="24"/>
        </w:rPr>
        <w:t xml:space="preserve">module will </w:t>
      </w:r>
      <w:r>
        <w:rPr>
          <w:sz w:val="24"/>
        </w:rPr>
        <w:t xml:space="preserve">also be part of the NVDRS system. </w:t>
      </w:r>
    </w:p>
    <w:p w:rsidR="000714A3" w:rsidP="00B8026F" w:rsidRDefault="000714A3" w14:paraId="0800BC61" w14:textId="77777777">
      <w:pPr>
        <w:rPr>
          <w:sz w:val="24"/>
        </w:rPr>
      </w:pPr>
    </w:p>
    <w:p w:rsidRPr="00CB7F03" w:rsidR="00997058" w:rsidP="00B8026F" w:rsidRDefault="00997058" w14:paraId="1F478B6A" w14:textId="77777777">
      <w:pPr>
        <w:rPr>
          <w:rFonts w:eastAsia="Calibri"/>
          <w:sz w:val="24"/>
        </w:rPr>
      </w:pPr>
    </w:p>
    <w:p w:rsidRPr="00CB7F03" w:rsidR="001C26B3" w:rsidP="00B8026F" w:rsidRDefault="001C26B3" w14:paraId="16BC2180" w14:textId="77777777">
      <w:pPr>
        <w:numPr>
          <w:ilvl w:val="0"/>
          <w:numId w:val="8"/>
        </w:numPr>
        <w:tabs>
          <w:tab w:val="left" w:pos="-1440"/>
        </w:tabs>
        <w:ind w:left="360"/>
        <w:rPr>
          <w:sz w:val="24"/>
        </w:rPr>
      </w:pPr>
      <w:r w:rsidRPr="00CB7F03">
        <w:rPr>
          <w:b/>
          <w:bCs/>
          <w:sz w:val="24"/>
        </w:rPr>
        <w:t>Efforts to Identify Duplication and Use of Similar Information</w:t>
      </w:r>
    </w:p>
    <w:p w:rsidRPr="00CB7F03" w:rsidR="001C26B3" w:rsidP="00B8026F" w:rsidRDefault="001C26B3" w14:paraId="4A5DE39F" w14:textId="77777777">
      <w:pPr>
        <w:rPr>
          <w:sz w:val="24"/>
        </w:rPr>
      </w:pPr>
    </w:p>
    <w:p w:rsidR="009F34B7" w:rsidP="00B8026F" w:rsidRDefault="00B230FD" w14:paraId="0EF2267A" w14:textId="77777777">
      <w:pPr>
        <w:rPr>
          <w:sz w:val="24"/>
        </w:rPr>
      </w:pPr>
      <w:r w:rsidRPr="00CB7F03">
        <w:rPr>
          <w:sz w:val="24"/>
        </w:rPr>
        <w:t xml:space="preserve">Continuous review of data collected and </w:t>
      </w:r>
      <w:r w:rsidRPr="00CB7F03" w:rsidR="00866F9F">
        <w:rPr>
          <w:sz w:val="24"/>
        </w:rPr>
        <w:t>disseminated</w:t>
      </w:r>
      <w:r w:rsidRPr="00CB7F03">
        <w:rPr>
          <w:sz w:val="24"/>
        </w:rPr>
        <w:t xml:space="preserve"> by private and public agencies indicates that there</w:t>
      </w:r>
      <w:r w:rsidRPr="00CB7F03" w:rsidR="001C26B3">
        <w:rPr>
          <w:sz w:val="24"/>
        </w:rPr>
        <w:t xml:space="preserve"> is no similar ongoing surveillance system in existence. </w:t>
      </w:r>
    </w:p>
    <w:p w:rsidRPr="00CB7F03" w:rsidR="00D531F6" w:rsidP="00B8026F" w:rsidRDefault="00D531F6" w14:paraId="7ABAD661" w14:textId="77777777">
      <w:pPr>
        <w:rPr>
          <w:sz w:val="24"/>
        </w:rPr>
      </w:pPr>
    </w:p>
    <w:p w:rsidR="00B8026F" w:rsidP="00B8026F" w:rsidRDefault="009F34B7" w14:paraId="6CBF530D" w14:textId="77777777">
      <w:pPr>
        <w:numPr>
          <w:ilvl w:val="0"/>
          <w:numId w:val="29"/>
        </w:numPr>
        <w:rPr>
          <w:sz w:val="24"/>
        </w:rPr>
      </w:pPr>
      <w:r w:rsidRPr="00CB7F03">
        <w:rPr>
          <w:sz w:val="24"/>
        </w:rPr>
        <w:lastRenderedPageBreak/>
        <w:t xml:space="preserve">The National Violent Injury Statistics System was a </w:t>
      </w:r>
      <w:r w:rsidRPr="00CB7F03" w:rsidR="003D124E">
        <w:rPr>
          <w:sz w:val="24"/>
        </w:rPr>
        <w:t>privately funded</w:t>
      </w:r>
      <w:r w:rsidRPr="00CB7F03">
        <w:rPr>
          <w:sz w:val="24"/>
        </w:rPr>
        <w:t xml:space="preserve"> data collection system that was expressly designed as a pilot test for NVDRS. The system ceased to collect data from its twelve local sites in 2004.</w:t>
      </w:r>
    </w:p>
    <w:p w:rsidR="00B8026F" w:rsidP="00B8026F" w:rsidRDefault="00B8026F" w14:paraId="02E217D5" w14:textId="77777777">
      <w:pPr>
        <w:ind w:left="720"/>
        <w:rPr>
          <w:sz w:val="24"/>
        </w:rPr>
      </w:pPr>
    </w:p>
    <w:p w:rsidR="00B8026F" w:rsidP="00B8026F" w:rsidRDefault="009F34B7" w14:paraId="36B8EE77" w14:textId="77777777">
      <w:pPr>
        <w:numPr>
          <w:ilvl w:val="0"/>
          <w:numId w:val="29"/>
        </w:numPr>
        <w:rPr>
          <w:sz w:val="24"/>
        </w:rPr>
      </w:pPr>
      <w:r w:rsidRPr="00B8026F">
        <w:rPr>
          <w:sz w:val="24"/>
        </w:rPr>
        <w:t xml:space="preserve">Death Certificates from the National Vital </w:t>
      </w:r>
      <w:r w:rsidRPr="00B8026F" w:rsidR="00866F9F">
        <w:rPr>
          <w:sz w:val="24"/>
        </w:rPr>
        <w:t>Statistics</w:t>
      </w:r>
      <w:r w:rsidRPr="00B8026F">
        <w:rPr>
          <w:sz w:val="24"/>
        </w:rPr>
        <w:t xml:space="preserve"> System records mainly counts deaths, </w:t>
      </w:r>
      <w:r w:rsidRPr="00B8026F" w:rsidR="005A4771">
        <w:rPr>
          <w:sz w:val="24"/>
        </w:rPr>
        <w:t xml:space="preserve">including homicide and suicide. The system only provides </w:t>
      </w:r>
      <w:r w:rsidRPr="00B8026F" w:rsidR="00884B5F">
        <w:rPr>
          <w:sz w:val="24"/>
        </w:rPr>
        <w:t>d</w:t>
      </w:r>
      <w:r w:rsidRPr="00B8026F" w:rsidR="00866F9F">
        <w:rPr>
          <w:sz w:val="24"/>
        </w:rPr>
        <w:t>ecedent</w:t>
      </w:r>
      <w:r w:rsidRPr="00B8026F">
        <w:rPr>
          <w:sz w:val="24"/>
        </w:rPr>
        <w:t xml:space="preserve"> demographics, inciden</w:t>
      </w:r>
      <w:r w:rsidRPr="00B8026F" w:rsidR="005A4771">
        <w:rPr>
          <w:sz w:val="24"/>
        </w:rPr>
        <w:t>t location</w:t>
      </w:r>
      <w:r w:rsidRPr="00B8026F" w:rsidR="00EB4DD8">
        <w:rPr>
          <w:sz w:val="24"/>
        </w:rPr>
        <w:t>,</w:t>
      </w:r>
      <w:r w:rsidRPr="00B8026F" w:rsidR="005A4771">
        <w:rPr>
          <w:sz w:val="24"/>
        </w:rPr>
        <w:t xml:space="preserve"> and method of death and does not provide information on risk factors for violent deaths, such as mental health and criminal history. </w:t>
      </w:r>
    </w:p>
    <w:p w:rsidR="00B8026F" w:rsidP="00B8026F" w:rsidRDefault="00B8026F" w14:paraId="6FA12BE3" w14:textId="77777777">
      <w:pPr>
        <w:pStyle w:val="ListParagraph"/>
      </w:pPr>
    </w:p>
    <w:p w:rsidR="00230343" w:rsidP="00230343" w:rsidRDefault="009F34B7" w14:paraId="151DA073" w14:textId="77777777">
      <w:pPr>
        <w:numPr>
          <w:ilvl w:val="0"/>
          <w:numId w:val="29"/>
        </w:numPr>
        <w:rPr>
          <w:sz w:val="24"/>
        </w:rPr>
      </w:pPr>
      <w:r w:rsidRPr="00B8026F">
        <w:rPr>
          <w:sz w:val="24"/>
        </w:rPr>
        <w:t xml:space="preserve">Local and Federal criminal justice agencies such as the Federal Bureau of Investigations provide slightly more information about homicides, but they do not routinely collect standardized information about suicides, which occur more frequently than </w:t>
      </w:r>
      <w:r w:rsidRPr="00B8026F" w:rsidR="00866F9F">
        <w:rPr>
          <w:sz w:val="24"/>
        </w:rPr>
        <w:t>homicides</w:t>
      </w:r>
      <w:r w:rsidRPr="00B8026F">
        <w:rPr>
          <w:sz w:val="24"/>
        </w:rPr>
        <w:t xml:space="preserve">. The FBI’s Supplemental </w:t>
      </w:r>
      <w:r w:rsidRPr="00B8026F" w:rsidR="00866F9F">
        <w:rPr>
          <w:sz w:val="24"/>
        </w:rPr>
        <w:t>Homicide</w:t>
      </w:r>
      <w:r w:rsidRPr="00B8026F">
        <w:rPr>
          <w:sz w:val="24"/>
        </w:rPr>
        <w:t xml:space="preserve"> Report (SHR) collects basic information about victim-suspect relationship and circumstances related to the homicide, however SHR does not link violent deaths that are part of one incident such as </w:t>
      </w:r>
      <w:r w:rsidRPr="00B8026F" w:rsidR="00866F9F">
        <w:rPr>
          <w:sz w:val="24"/>
        </w:rPr>
        <w:t>homicides</w:t>
      </w:r>
      <w:r w:rsidRPr="00B8026F">
        <w:rPr>
          <w:sz w:val="24"/>
        </w:rPr>
        <w:t xml:space="preserve">-suicides. SHR is also a voluntary system in which very few departments nationwide participate. The FBI’s National Incident Based Reporting System (NIBRS) provides slightly more information than SHR but covers less of the country that SHR. NIBRS also only provides data on </w:t>
      </w:r>
      <w:r w:rsidRPr="00B8026F" w:rsidR="00866F9F">
        <w:rPr>
          <w:sz w:val="24"/>
        </w:rPr>
        <w:t>homicides</w:t>
      </w:r>
      <w:r w:rsidRPr="00B8026F">
        <w:rPr>
          <w:sz w:val="24"/>
        </w:rPr>
        <w:t xml:space="preserve">. </w:t>
      </w:r>
    </w:p>
    <w:p w:rsidR="00230343" w:rsidP="00230343" w:rsidRDefault="00230343" w14:paraId="2CA10E5B" w14:textId="77777777">
      <w:pPr>
        <w:pStyle w:val="ListParagraph"/>
      </w:pPr>
    </w:p>
    <w:p w:rsidRPr="00230343" w:rsidR="002101BF" w:rsidP="00230343" w:rsidRDefault="009F34B7" w14:paraId="39B083D6" w14:textId="77777777">
      <w:pPr>
        <w:numPr>
          <w:ilvl w:val="0"/>
          <w:numId w:val="29"/>
        </w:numPr>
        <w:rPr>
          <w:sz w:val="24"/>
        </w:rPr>
      </w:pPr>
      <w:r w:rsidRPr="00230343">
        <w:rPr>
          <w:sz w:val="24"/>
        </w:rPr>
        <w:t>Other morbidity and mortality data systems only collect information on select outcomes in select populations. The Department of Defense Suicide Event Report (D</w:t>
      </w:r>
      <w:r w:rsidRPr="00230343" w:rsidR="00202927">
        <w:rPr>
          <w:sz w:val="24"/>
        </w:rPr>
        <w:t>o</w:t>
      </w:r>
      <w:r w:rsidRPr="00230343">
        <w:rPr>
          <w:sz w:val="24"/>
        </w:rPr>
        <w:t xml:space="preserve">DSER) collects data on suicides and suicidal behaviors among US military personnel. The Department of Justice’s Data collection systems such as the Deaths in Custody Reporting Program and the National Corrections Reporting Program all have the general purpose to report on health conditions and outcomes of persons in various correctional </w:t>
      </w:r>
      <w:r w:rsidRPr="00230343" w:rsidR="00866F9F">
        <w:rPr>
          <w:sz w:val="24"/>
        </w:rPr>
        <w:t>institutions</w:t>
      </w:r>
      <w:r w:rsidRPr="00230343">
        <w:rPr>
          <w:sz w:val="24"/>
        </w:rPr>
        <w:t xml:space="preserve"> or under the </w:t>
      </w:r>
      <w:r w:rsidRPr="00230343" w:rsidR="00866F9F">
        <w:rPr>
          <w:sz w:val="24"/>
        </w:rPr>
        <w:t>jurisdiction</w:t>
      </w:r>
      <w:r w:rsidRPr="00230343">
        <w:rPr>
          <w:sz w:val="24"/>
        </w:rPr>
        <w:t xml:space="preserve"> of law enforcement agencies. The National Intimate Partner and Sexual Violence Survey (NISVS) collects self-report data specifically on sexual violence, stalking</w:t>
      </w:r>
      <w:r w:rsidRPr="00230343" w:rsidR="00EB4DD8">
        <w:rPr>
          <w:sz w:val="24"/>
        </w:rPr>
        <w:t>,</w:t>
      </w:r>
      <w:r w:rsidRPr="00230343">
        <w:rPr>
          <w:sz w:val="24"/>
        </w:rPr>
        <w:t xml:space="preserve"> and intimate partner violence.  </w:t>
      </w:r>
    </w:p>
    <w:p w:rsidR="002101BF" w:rsidP="007E450C" w:rsidRDefault="002101BF" w14:paraId="43BE8D39" w14:textId="77777777">
      <w:pPr>
        <w:pStyle w:val="ListParagraph"/>
        <w:ind w:left="0"/>
      </w:pPr>
    </w:p>
    <w:p w:rsidR="00B86867" w:rsidP="007E450C" w:rsidRDefault="002101BF" w14:paraId="003C8D71" w14:textId="77777777">
      <w:pPr>
        <w:pStyle w:val="ListParagraph"/>
        <w:ind w:left="360"/>
        <w:rPr>
          <w:rFonts w:ascii="Times New Roman" w:hAnsi="Times New Roman"/>
        </w:rPr>
      </w:pPr>
      <w:r w:rsidRPr="005361AE">
        <w:rPr>
          <w:rFonts w:ascii="Times New Roman" w:hAnsi="Times New Roman"/>
        </w:rPr>
        <w:t xml:space="preserve">The School Associated Violent Death Surveillance System Data collection will </w:t>
      </w:r>
      <w:r w:rsidRPr="005361AE" w:rsidR="00BA2D6E">
        <w:rPr>
          <w:rFonts w:ascii="Times New Roman" w:hAnsi="Times New Roman"/>
        </w:rPr>
        <w:t xml:space="preserve">be phased out and all deaths will be captured in </w:t>
      </w:r>
      <w:r w:rsidRPr="005361AE">
        <w:rPr>
          <w:rFonts w:ascii="Times New Roman" w:hAnsi="Times New Roman"/>
        </w:rPr>
        <w:t xml:space="preserve">NVDRS once cases from 2020 are fully abstracted and there is the capability for nationwide coverage of the collection of school-associated violent deaths through the NVDRS SAVD module. To reduce duplication of efforts, </w:t>
      </w:r>
      <w:r w:rsidRPr="005361AE" w:rsidR="00BA2D6E">
        <w:rPr>
          <w:rFonts w:ascii="Times New Roman" w:hAnsi="Times New Roman"/>
        </w:rPr>
        <w:t xml:space="preserve">in the interim, </w:t>
      </w:r>
      <w:r w:rsidRPr="005361AE">
        <w:rPr>
          <w:rFonts w:ascii="Times New Roman" w:hAnsi="Times New Roman"/>
        </w:rPr>
        <w:t xml:space="preserve">NVDRS will collect data for </w:t>
      </w:r>
      <w:r w:rsidRPr="005361AE" w:rsidR="009F6F51">
        <w:rPr>
          <w:rFonts w:ascii="Times New Roman" w:hAnsi="Times New Roman"/>
        </w:rPr>
        <w:t>most of</w:t>
      </w:r>
      <w:r w:rsidRPr="005361AE">
        <w:rPr>
          <w:rFonts w:ascii="Times New Roman" w:hAnsi="Times New Roman"/>
        </w:rPr>
        <w:t xml:space="preserve"> the U.S. using the NVDRS SAVD module</w:t>
      </w:r>
      <w:r w:rsidRPr="005361AE" w:rsidR="00B86867">
        <w:rPr>
          <w:rFonts w:ascii="Times New Roman" w:hAnsi="Times New Roman"/>
        </w:rPr>
        <w:t>, which builds upon current NVDRS infrastructure</w:t>
      </w:r>
      <w:r w:rsidRPr="005361AE">
        <w:rPr>
          <w:rFonts w:ascii="Times New Roman" w:hAnsi="Times New Roman"/>
        </w:rPr>
        <w:t xml:space="preserve">. SAVD study staff will abstract information from all remaining cases in select counties not currently captured by NVDRS. Eventually, the goal is to capture all school-associated violent deaths through NVDRS which will eliminate any duplication of efforts. </w:t>
      </w:r>
    </w:p>
    <w:p w:rsidR="008260C3" w:rsidP="007E450C" w:rsidRDefault="008260C3" w14:paraId="2E0AD156" w14:textId="77777777">
      <w:pPr>
        <w:pStyle w:val="ListParagraph"/>
        <w:ind w:left="360"/>
        <w:rPr>
          <w:rFonts w:ascii="Times New Roman" w:hAnsi="Times New Roman"/>
        </w:rPr>
      </w:pPr>
    </w:p>
    <w:p w:rsidR="00B86867" w:rsidP="0020035C" w:rsidRDefault="008006FF" w14:paraId="700DAD4D" w14:textId="77777777">
      <w:pPr>
        <w:numPr>
          <w:ilvl w:val="0"/>
          <w:numId w:val="28"/>
        </w:numPr>
        <w:ind w:left="720"/>
        <w:rPr>
          <w:sz w:val="24"/>
        </w:rPr>
      </w:pPr>
      <w:r>
        <w:rPr>
          <w:sz w:val="24"/>
        </w:rPr>
        <w:t xml:space="preserve">Public safety personnel have been noted in the literature to be at an increased risk of suicide. </w:t>
      </w:r>
      <w:r w:rsidR="00B86867">
        <w:rPr>
          <w:sz w:val="24"/>
        </w:rPr>
        <w:t>Collecting information about suicides</w:t>
      </w:r>
      <w:r>
        <w:rPr>
          <w:sz w:val="24"/>
        </w:rPr>
        <w:t xml:space="preserve"> among this population</w:t>
      </w:r>
      <w:r w:rsidR="00B86867">
        <w:rPr>
          <w:sz w:val="24"/>
        </w:rPr>
        <w:t xml:space="preserve"> using the public safety officer module will allow for more detailed </w:t>
      </w:r>
      <w:r>
        <w:rPr>
          <w:sz w:val="24"/>
        </w:rPr>
        <w:t xml:space="preserve">analysis of the circumstances and other contextual factors </w:t>
      </w:r>
      <w:r w:rsidR="00B86867">
        <w:rPr>
          <w:sz w:val="24"/>
        </w:rPr>
        <w:t xml:space="preserve">regarding suicides in this population and will build upon current NVDRS infrastructure. </w:t>
      </w:r>
    </w:p>
    <w:p w:rsidRPr="002101BF" w:rsidR="009F34B7" w:rsidP="0020035C" w:rsidRDefault="009F34B7" w14:paraId="57BE6220" w14:textId="77777777">
      <w:pPr>
        <w:pStyle w:val="ListParagraph"/>
        <w:ind w:left="360"/>
        <w:rPr>
          <w:rFonts w:ascii="Times New Roman" w:hAnsi="Times New Roman"/>
        </w:rPr>
      </w:pPr>
    </w:p>
    <w:p w:rsidR="009F34B7" w:rsidP="0020035C" w:rsidRDefault="001410C9" w14:paraId="3DC748E8" w14:textId="77777777">
      <w:pPr>
        <w:pStyle w:val="ListParagraph"/>
        <w:spacing w:after="150"/>
        <w:ind w:left="360"/>
        <w:rPr>
          <w:rFonts w:ascii="Times New Roman" w:hAnsi="Times New Roman"/>
        </w:rPr>
      </w:pPr>
      <w:r w:rsidRPr="005B5C77">
        <w:rPr>
          <w:rFonts w:ascii="Times New Roman" w:hAnsi="Times New Roman"/>
        </w:rPr>
        <w:lastRenderedPageBreak/>
        <w:t xml:space="preserve">CDC’s State Unintentional Drug Overdose Reporting System (SUDORS) is a state-based surveillance system developed to provide more timely data on fatal opioid overdoses and in-depth </w:t>
      </w:r>
      <w:r w:rsidRPr="0036672D" w:rsidR="00866F9F">
        <w:rPr>
          <w:rFonts w:ascii="Times New Roman" w:hAnsi="Times New Roman"/>
        </w:rPr>
        <w:t>information</w:t>
      </w:r>
      <w:r w:rsidRPr="0036672D">
        <w:rPr>
          <w:rFonts w:ascii="Times New Roman" w:hAnsi="Times New Roman"/>
        </w:rPr>
        <w:t xml:space="preserve"> on risk factors. </w:t>
      </w:r>
      <w:r w:rsidRPr="0036672D" w:rsidR="005A4771">
        <w:rPr>
          <w:rFonts w:ascii="Times New Roman" w:hAnsi="Times New Roman"/>
        </w:rPr>
        <w:t xml:space="preserve">NVDRS does not collect information on unintentional drug overdoses. </w:t>
      </w:r>
      <w:r w:rsidRPr="004051F2">
        <w:rPr>
          <w:rFonts w:ascii="Times New Roman" w:hAnsi="Times New Roman"/>
        </w:rPr>
        <w:t>Although SUDORS added overdose-specific variable fields to the NVDRS web-based system</w:t>
      </w:r>
      <w:r w:rsidRPr="005B5C77">
        <w:rPr>
          <w:rFonts w:ascii="Times New Roman" w:hAnsi="Times New Roman"/>
        </w:rPr>
        <w:t xml:space="preserve">, the collection of this data is not part of NVDRS. </w:t>
      </w:r>
      <w:r w:rsidRPr="005B5C77" w:rsidR="005B5C77">
        <w:rPr>
          <w:rFonts w:ascii="Times New Roman" w:hAnsi="Times New Roman"/>
        </w:rPr>
        <w:t>NVDRS and SUDORS collect information on drug-related deaths of undetermined intent, although SUDORS does not collect law enforcement data on these incidents</w:t>
      </w:r>
      <w:r w:rsidR="008048C8">
        <w:rPr>
          <w:rFonts w:ascii="Times New Roman" w:hAnsi="Times New Roman"/>
        </w:rPr>
        <w:t>. SUDORS</w:t>
      </w:r>
      <w:r w:rsidRPr="005B5C77" w:rsidR="005B5C77">
        <w:rPr>
          <w:rFonts w:ascii="Times New Roman" w:hAnsi="Times New Roman"/>
        </w:rPr>
        <w:t xml:space="preserve"> has a shorter period for data collection</w:t>
      </w:r>
      <w:r w:rsidR="008048C8">
        <w:rPr>
          <w:rFonts w:ascii="Times New Roman" w:hAnsi="Times New Roman"/>
        </w:rPr>
        <w:t xml:space="preserve"> than does NVDRS</w:t>
      </w:r>
      <w:r w:rsidRPr="005B5C77" w:rsidR="005B5C77">
        <w:rPr>
          <w:rFonts w:ascii="Times New Roman" w:hAnsi="Times New Roman"/>
        </w:rPr>
        <w:t>. NVDRS has established regular meetings with colleagues</w:t>
      </w:r>
      <w:r w:rsidR="00A53F7F">
        <w:rPr>
          <w:rFonts w:ascii="Times New Roman" w:hAnsi="Times New Roman"/>
        </w:rPr>
        <w:t xml:space="preserve"> working on SUDORS and </w:t>
      </w:r>
      <w:r w:rsidR="00252923">
        <w:rPr>
          <w:rFonts w:ascii="Times New Roman" w:hAnsi="Times New Roman"/>
        </w:rPr>
        <w:t>is actively</w:t>
      </w:r>
      <w:r w:rsidRPr="005B5C77" w:rsidR="005B5C77">
        <w:rPr>
          <w:rFonts w:ascii="Times New Roman" w:hAnsi="Times New Roman"/>
        </w:rPr>
        <w:t xml:space="preserve"> communicating with SUDORS collea</w:t>
      </w:r>
      <w:r w:rsidR="005B5C77">
        <w:rPr>
          <w:rFonts w:ascii="Times New Roman" w:hAnsi="Times New Roman"/>
        </w:rPr>
        <w:t>gues</w:t>
      </w:r>
      <w:r w:rsidRPr="005B5C77" w:rsidR="005B5C77">
        <w:rPr>
          <w:rFonts w:ascii="Times New Roman" w:hAnsi="Times New Roman"/>
        </w:rPr>
        <w:t>.</w:t>
      </w:r>
    </w:p>
    <w:p w:rsidRPr="005B5C77" w:rsidR="00C3177A" w:rsidP="0020035C" w:rsidRDefault="00C3177A" w14:paraId="2144B99C" w14:textId="77777777">
      <w:pPr>
        <w:pStyle w:val="ListParagraph"/>
        <w:spacing w:after="150"/>
        <w:ind w:left="360"/>
        <w:rPr>
          <w:rFonts w:ascii="Times New Roman" w:hAnsi="Times New Roman"/>
        </w:rPr>
      </w:pPr>
    </w:p>
    <w:p w:rsidR="00845A46" w:rsidP="0020035C" w:rsidRDefault="009F34B7" w14:paraId="64915A87" w14:textId="77777777">
      <w:pPr>
        <w:pStyle w:val="ListParagraph"/>
        <w:spacing w:after="150"/>
        <w:ind w:left="360"/>
        <w:rPr>
          <w:rFonts w:ascii="Times New Roman" w:hAnsi="Times New Roman"/>
        </w:rPr>
      </w:pPr>
      <w:r w:rsidRPr="00CB7F03">
        <w:rPr>
          <w:rFonts w:ascii="Times New Roman" w:hAnsi="Times New Roman"/>
        </w:rPr>
        <w:t>Furthermore, n</w:t>
      </w:r>
      <w:r w:rsidRPr="00CB7F03" w:rsidR="00C71B5B">
        <w:rPr>
          <w:rFonts w:ascii="Times New Roman" w:hAnsi="Times New Roman"/>
        </w:rPr>
        <w:t xml:space="preserve">o system to date has attempted to combine information on violent deaths from such a variety of sources on such a scale. </w:t>
      </w:r>
      <w:r w:rsidRPr="00CB7F03">
        <w:rPr>
          <w:rFonts w:ascii="Times New Roman" w:hAnsi="Times New Roman"/>
        </w:rPr>
        <w:t xml:space="preserve">Prior to NVDRS’ launch, information on violent deaths (i.e., homicides, </w:t>
      </w:r>
      <w:r w:rsidRPr="00CB7F03" w:rsidR="00252923">
        <w:rPr>
          <w:rFonts w:ascii="Times New Roman" w:hAnsi="Times New Roman"/>
        </w:rPr>
        <w:t>suicides, legal</w:t>
      </w:r>
      <w:r w:rsidRPr="00CB7F03">
        <w:rPr>
          <w:rFonts w:ascii="Times New Roman" w:hAnsi="Times New Roman"/>
        </w:rPr>
        <w:t xml:space="preserve"> intervention</w:t>
      </w:r>
      <w:r w:rsidR="00202927">
        <w:rPr>
          <w:rFonts w:ascii="Times New Roman" w:hAnsi="Times New Roman"/>
        </w:rPr>
        <w:t>s</w:t>
      </w:r>
      <w:r w:rsidR="00F20A3D">
        <w:rPr>
          <w:rFonts w:ascii="Times New Roman" w:hAnsi="Times New Roman"/>
        </w:rPr>
        <w:t xml:space="preserve"> (excluding legal executions)</w:t>
      </w:r>
      <w:r w:rsidRPr="00CB7F03">
        <w:rPr>
          <w:rFonts w:ascii="Times New Roman" w:hAnsi="Times New Roman"/>
        </w:rPr>
        <w:t xml:space="preserve">, </w:t>
      </w:r>
      <w:r w:rsidR="00202927">
        <w:rPr>
          <w:rFonts w:ascii="Times New Roman" w:hAnsi="Times New Roman"/>
        </w:rPr>
        <w:t xml:space="preserve">and </w:t>
      </w:r>
      <w:r w:rsidRPr="00CB7F03">
        <w:rPr>
          <w:rFonts w:ascii="Times New Roman" w:hAnsi="Times New Roman"/>
        </w:rPr>
        <w:t>unintentional firearm</w:t>
      </w:r>
      <w:r w:rsidR="00202927">
        <w:rPr>
          <w:rFonts w:ascii="Times New Roman" w:hAnsi="Times New Roman"/>
        </w:rPr>
        <w:t xml:space="preserve"> deaths</w:t>
      </w:r>
      <w:r w:rsidRPr="00CB7F03">
        <w:rPr>
          <w:rFonts w:ascii="Times New Roman" w:hAnsi="Times New Roman"/>
        </w:rPr>
        <w:t xml:space="preserve">) was fragmented across a variety of databases and data sources and collected in a non-standardized manner. NVDRS solved this problem by allowing participating states to combine data from law enforcement reports, coroner/medical examiner reports, </w:t>
      </w:r>
      <w:r w:rsidR="00E464FE">
        <w:rPr>
          <w:rFonts w:ascii="Times New Roman" w:hAnsi="Times New Roman"/>
        </w:rPr>
        <w:t xml:space="preserve">and </w:t>
      </w:r>
      <w:r w:rsidRPr="00CB7F03">
        <w:rPr>
          <w:rFonts w:ascii="Times New Roman" w:hAnsi="Times New Roman"/>
        </w:rPr>
        <w:t xml:space="preserve">death </w:t>
      </w:r>
      <w:r w:rsidRPr="00CB7F03" w:rsidR="00252923">
        <w:rPr>
          <w:rFonts w:ascii="Times New Roman" w:hAnsi="Times New Roman"/>
        </w:rPr>
        <w:t>certificates into</w:t>
      </w:r>
      <w:r w:rsidRPr="00CB7F03">
        <w:rPr>
          <w:rFonts w:ascii="Times New Roman" w:hAnsi="Times New Roman"/>
        </w:rPr>
        <w:t xml:space="preserve"> a useable anonymous surveillance database. NVDRS provides a complete picture by 1) linking multiple deaths (e.g., multiple homicides, suicide pacts, and cases of homicide followed by the suicide of the suspect) into a single record</w:t>
      </w:r>
      <w:r w:rsidR="00EB4DD8">
        <w:rPr>
          <w:rFonts w:ascii="Times New Roman" w:hAnsi="Times New Roman"/>
        </w:rPr>
        <w:t>,</w:t>
      </w:r>
      <w:r w:rsidRPr="00CB7F03">
        <w:rPr>
          <w:rFonts w:ascii="Times New Roman" w:hAnsi="Times New Roman"/>
        </w:rPr>
        <w:t xml:space="preserve"> and 2) collecting information on who dies violently, where victims are killed, and when and how they are killed. </w:t>
      </w:r>
      <w:r w:rsidRPr="00CB7F03" w:rsidR="005318D3">
        <w:rPr>
          <w:rFonts w:ascii="Times New Roman" w:hAnsi="Times New Roman"/>
        </w:rPr>
        <w:t xml:space="preserve">NVDRS also collects information on the suspect and the relationship of the victim to the suspect to better characterize homicides.  </w:t>
      </w:r>
      <w:r w:rsidRPr="00CB7F03" w:rsidR="00CD1EF8">
        <w:rPr>
          <w:rFonts w:ascii="Times New Roman" w:hAnsi="Times New Roman"/>
        </w:rPr>
        <w:t>Finally</w:t>
      </w:r>
      <w:r w:rsidRPr="00CB7F03" w:rsidR="005318D3">
        <w:rPr>
          <w:rFonts w:ascii="Times New Roman" w:hAnsi="Times New Roman"/>
        </w:rPr>
        <w:t xml:space="preserve">, </w:t>
      </w:r>
      <w:r w:rsidRPr="00CB7F03">
        <w:rPr>
          <w:rFonts w:ascii="Times New Roman" w:hAnsi="Times New Roman"/>
        </w:rPr>
        <w:t xml:space="preserve">NVDRS is the first system to collect brief narratives that provide what factors contribute or precipitate the death, including victim-suspect relationship, mental health history, and personal stressors. </w:t>
      </w:r>
    </w:p>
    <w:p w:rsidR="00202927" w:rsidP="0020035C" w:rsidRDefault="00202927" w14:paraId="374AEA79" w14:textId="77777777">
      <w:pPr>
        <w:pStyle w:val="ListParagraph"/>
        <w:spacing w:after="150"/>
        <w:ind w:left="360"/>
        <w:rPr>
          <w:rFonts w:ascii="Times New Roman" w:hAnsi="Times New Roman"/>
        </w:rPr>
      </w:pPr>
    </w:p>
    <w:p w:rsidRPr="009B67BA" w:rsidR="009B67BA" w:rsidP="0020035C" w:rsidRDefault="002D285D" w14:paraId="50120058" w14:textId="77777777">
      <w:pPr>
        <w:pStyle w:val="ListParagraph"/>
        <w:spacing w:after="150"/>
        <w:ind w:left="360"/>
        <w:rPr>
          <w:rFonts w:ascii="Times New Roman" w:hAnsi="Times New Roman"/>
          <w:color w:val="000000"/>
        </w:rPr>
      </w:pPr>
      <w:r w:rsidRPr="00DB23CD">
        <w:rPr>
          <w:rFonts w:ascii="Times New Roman" w:hAnsi="Times New Roman"/>
        </w:rPr>
        <w:t>Currently, in efforts to comply with OMB requirements, NCIPC/NVDRS is engaged in ongoing dialogue with the National Center for Health Statistics</w:t>
      </w:r>
      <w:r w:rsidRPr="00DB23CD" w:rsidR="00D94261">
        <w:rPr>
          <w:rFonts w:ascii="Times New Roman" w:hAnsi="Times New Roman"/>
        </w:rPr>
        <w:t xml:space="preserve"> (NCHS)</w:t>
      </w:r>
      <w:r w:rsidRPr="00DB23CD">
        <w:rPr>
          <w:rFonts w:ascii="Times New Roman" w:hAnsi="Times New Roman"/>
        </w:rPr>
        <w:t xml:space="preserve"> concerning joint efforts to continue to work toward incremental improvement of timeliness and quality </w:t>
      </w:r>
      <w:r w:rsidRPr="00DB23CD" w:rsidR="00A03F8A">
        <w:rPr>
          <w:rFonts w:ascii="Times New Roman" w:hAnsi="Times New Roman"/>
        </w:rPr>
        <w:t xml:space="preserve">of </w:t>
      </w:r>
      <w:r w:rsidRPr="00816126">
        <w:rPr>
          <w:rFonts w:ascii="Times New Roman" w:hAnsi="Times New Roman"/>
        </w:rPr>
        <w:t xml:space="preserve">death certificate data. </w:t>
      </w:r>
      <w:bookmarkStart w:name="_Hlk85098333" w:id="5"/>
      <w:r w:rsidRPr="00816126">
        <w:rPr>
          <w:rFonts w:ascii="Times New Roman" w:hAnsi="Times New Roman"/>
        </w:rPr>
        <w:t xml:space="preserve">Scientists from NCHS have presented updates on the National Vital Statistics System (NVSS) at NVDRS Reverse Site Visits, in December 2014, May 2016, </w:t>
      </w:r>
      <w:r w:rsidRPr="001F5A44">
        <w:rPr>
          <w:rFonts w:ascii="Times New Roman" w:hAnsi="Times New Roman"/>
          <w:color w:val="000000"/>
        </w:rPr>
        <w:t>December 2016</w:t>
      </w:r>
      <w:r w:rsidRPr="001F5A44" w:rsidR="00D94261">
        <w:rPr>
          <w:rFonts w:ascii="Times New Roman" w:hAnsi="Times New Roman"/>
          <w:color w:val="000000"/>
        </w:rPr>
        <w:t xml:space="preserve">, </w:t>
      </w:r>
      <w:r w:rsidRPr="00C436E7" w:rsidR="00D94261">
        <w:rPr>
          <w:rFonts w:ascii="Times New Roman" w:hAnsi="Times New Roman"/>
          <w:color w:val="000000"/>
        </w:rPr>
        <w:t>May 2017</w:t>
      </w:r>
      <w:r w:rsidRPr="00816126" w:rsidR="0079179B">
        <w:rPr>
          <w:rFonts w:ascii="Times New Roman" w:hAnsi="Times New Roman"/>
          <w:color w:val="000000"/>
        </w:rPr>
        <w:t xml:space="preserve">, December </w:t>
      </w:r>
      <w:r w:rsidRPr="00816126" w:rsidR="003D124E">
        <w:rPr>
          <w:rFonts w:ascii="Times New Roman" w:hAnsi="Times New Roman"/>
          <w:color w:val="000000"/>
        </w:rPr>
        <w:t>2018, May</w:t>
      </w:r>
      <w:r w:rsidRPr="00816126" w:rsidR="0079179B">
        <w:rPr>
          <w:rFonts w:ascii="Times New Roman" w:hAnsi="Times New Roman"/>
          <w:color w:val="000000"/>
        </w:rPr>
        <w:t xml:space="preserve"> 2019</w:t>
      </w:r>
      <w:r w:rsidR="0094084C">
        <w:rPr>
          <w:rFonts w:ascii="Times New Roman" w:hAnsi="Times New Roman"/>
          <w:color w:val="000000"/>
        </w:rPr>
        <w:t>, and May 2021 (virtual meeting)</w:t>
      </w:r>
      <w:r w:rsidRPr="00DB23CD">
        <w:rPr>
          <w:rFonts w:ascii="Times New Roman" w:hAnsi="Times New Roman"/>
          <w:color w:val="000000"/>
        </w:rPr>
        <w:t xml:space="preserve">. </w:t>
      </w:r>
      <w:bookmarkEnd w:id="5"/>
      <w:r w:rsidRPr="00DB23CD">
        <w:rPr>
          <w:rFonts w:ascii="Times New Roman" w:hAnsi="Times New Roman"/>
          <w:color w:val="000000"/>
        </w:rPr>
        <w:t xml:space="preserve">During these NVDRS reverse site visits, NVDRS management staff also interfaced with NCHS for discussions about NVDRS. </w:t>
      </w:r>
      <w:r w:rsidR="00C3177A">
        <w:rPr>
          <w:rFonts w:ascii="Times New Roman" w:hAnsi="Times New Roman"/>
          <w:color w:val="000000"/>
        </w:rPr>
        <w:t xml:space="preserve">Reports of </w:t>
      </w:r>
      <w:r w:rsidR="00B62B61">
        <w:rPr>
          <w:rFonts w:ascii="Times New Roman" w:hAnsi="Times New Roman"/>
          <w:color w:val="000000"/>
        </w:rPr>
        <w:t xml:space="preserve">these </w:t>
      </w:r>
      <w:r w:rsidR="00252923">
        <w:rPr>
          <w:rFonts w:ascii="Times New Roman" w:hAnsi="Times New Roman"/>
          <w:color w:val="000000"/>
        </w:rPr>
        <w:t>efforts</w:t>
      </w:r>
      <w:r w:rsidR="00C3177A">
        <w:rPr>
          <w:rFonts w:ascii="Times New Roman" w:hAnsi="Times New Roman"/>
          <w:color w:val="000000"/>
        </w:rPr>
        <w:t xml:space="preserve"> </w:t>
      </w:r>
      <w:r w:rsidR="003D124E">
        <w:rPr>
          <w:rFonts w:ascii="Times New Roman" w:hAnsi="Times New Roman"/>
          <w:color w:val="000000"/>
        </w:rPr>
        <w:t xml:space="preserve">are </w:t>
      </w:r>
      <w:r w:rsidRPr="00C3342F" w:rsidR="003D124E">
        <w:rPr>
          <w:rFonts w:ascii="Times New Roman" w:hAnsi="Times New Roman"/>
          <w:color w:val="000000"/>
        </w:rPr>
        <w:t>provided</w:t>
      </w:r>
      <w:r w:rsidRPr="00C3342F" w:rsidR="00B139B5">
        <w:rPr>
          <w:rFonts w:ascii="Times New Roman" w:hAnsi="Times New Roman"/>
          <w:color w:val="000000"/>
        </w:rPr>
        <w:t xml:space="preserve"> (</w:t>
      </w:r>
      <w:r w:rsidRPr="00C3342F" w:rsidR="00422F07">
        <w:rPr>
          <w:rFonts w:ascii="Times New Roman" w:hAnsi="Times New Roman"/>
        </w:rPr>
        <w:t xml:space="preserve">Attachment </w:t>
      </w:r>
      <w:r w:rsidRPr="00C3342F" w:rsidR="00C3342F">
        <w:rPr>
          <w:rFonts w:ascii="Times New Roman" w:hAnsi="Times New Roman"/>
          <w:color w:val="000000"/>
        </w:rPr>
        <w:t>10</w:t>
      </w:r>
      <w:r w:rsidRPr="00C3342F" w:rsidR="00B139B5">
        <w:rPr>
          <w:rFonts w:ascii="Times New Roman" w:hAnsi="Times New Roman"/>
          <w:color w:val="000000"/>
        </w:rPr>
        <w:t>)</w:t>
      </w:r>
      <w:r w:rsidRPr="00C3342F" w:rsidR="00B62B61">
        <w:rPr>
          <w:rFonts w:ascii="Times New Roman" w:hAnsi="Times New Roman"/>
          <w:color w:val="000000"/>
        </w:rPr>
        <w:t>.</w:t>
      </w:r>
      <w:r w:rsidRPr="00C3342F" w:rsidR="00C3177A">
        <w:rPr>
          <w:rFonts w:ascii="Times New Roman" w:hAnsi="Times New Roman"/>
          <w:color w:val="000000"/>
        </w:rPr>
        <w:t xml:space="preserve"> </w:t>
      </w:r>
      <w:r w:rsidRPr="00C3342F" w:rsidR="00131C40">
        <w:rPr>
          <w:rFonts w:ascii="Times New Roman" w:hAnsi="Times New Roman"/>
          <w:color w:val="000000"/>
        </w:rPr>
        <w:t>NVDRS will continue to invite NCHS</w:t>
      </w:r>
      <w:r w:rsidRPr="00C3342F" w:rsidR="00D94261">
        <w:rPr>
          <w:rFonts w:ascii="Times New Roman" w:hAnsi="Times New Roman"/>
          <w:color w:val="000000"/>
        </w:rPr>
        <w:t xml:space="preserve"> to interface with </w:t>
      </w:r>
      <w:r w:rsidRPr="00C3342F" w:rsidR="00131C40">
        <w:rPr>
          <w:rFonts w:ascii="Times New Roman" w:hAnsi="Times New Roman"/>
          <w:color w:val="000000"/>
        </w:rPr>
        <w:t xml:space="preserve">NVDRS </w:t>
      </w:r>
      <w:r w:rsidRPr="00C3342F" w:rsidR="00D94261">
        <w:rPr>
          <w:rFonts w:ascii="Times New Roman" w:hAnsi="Times New Roman"/>
          <w:color w:val="000000"/>
        </w:rPr>
        <w:t xml:space="preserve">states to discuss any recent developments or issues </w:t>
      </w:r>
      <w:r w:rsidRPr="00C3342F" w:rsidR="00131C40">
        <w:rPr>
          <w:rFonts w:ascii="Times New Roman" w:hAnsi="Times New Roman"/>
          <w:color w:val="000000"/>
        </w:rPr>
        <w:t xml:space="preserve">with obtaining </w:t>
      </w:r>
      <w:r w:rsidRPr="00C3342F" w:rsidR="00A03F8A">
        <w:rPr>
          <w:rFonts w:ascii="Times New Roman" w:hAnsi="Times New Roman"/>
          <w:color w:val="000000"/>
        </w:rPr>
        <w:t>timely and accurate death cer</w:t>
      </w:r>
      <w:r w:rsidRPr="00816126" w:rsidR="00A03F8A">
        <w:rPr>
          <w:rFonts w:ascii="Times New Roman" w:hAnsi="Times New Roman"/>
          <w:color w:val="000000"/>
        </w:rPr>
        <w:t xml:space="preserve">tificate </w:t>
      </w:r>
      <w:r w:rsidRPr="00816126" w:rsidR="00131C40">
        <w:rPr>
          <w:rFonts w:ascii="Times New Roman" w:hAnsi="Times New Roman"/>
          <w:color w:val="000000"/>
        </w:rPr>
        <w:t>records</w:t>
      </w:r>
      <w:r w:rsidRPr="00816126" w:rsidR="00D94261">
        <w:rPr>
          <w:rFonts w:ascii="Times New Roman" w:hAnsi="Times New Roman"/>
          <w:color w:val="000000"/>
        </w:rPr>
        <w:t xml:space="preserve">. </w:t>
      </w:r>
    </w:p>
    <w:p w:rsidR="00202927" w:rsidP="0020035C" w:rsidRDefault="00A03F8A" w14:paraId="5DA40862" w14:textId="77777777">
      <w:pPr>
        <w:ind w:left="360"/>
        <w:rPr>
          <w:sz w:val="24"/>
        </w:rPr>
      </w:pPr>
      <w:r w:rsidRPr="000900B0">
        <w:rPr>
          <w:color w:val="000000"/>
          <w:sz w:val="24"/>
        </w:rPr>
        <w:t xml:space="preserve">NCIPC/NVDRS has </w:t>
      </w:r>
      <w:r w:rsidR="00252923">
        <w:rPr>
          <w:color w:val="000000"/>
          <w:sz w:val="24"/>
        </w:rPr>
        <w:t>continued</w:t>
      </w:r>
      <w:r w:rsidR="000900B0">
        <w:rPr>
          <w:color w:val="000000"/>
          <w:sz w:val="24"/>
        </w:rPr>
        <w:t xml:space="preserve"> to collaborate</w:t>
      </w:r>
      <w:r w:rsidRPr="000900B0">
        <w:rPr>
          <w:color w:val="000000"/>
          <w:sz w:val="24"/>
        </w:rPr>
        <w:t xml:space="preserve"> with NCHS </w:t>
      </w:r>
      <w:r w:rsidR="000900B0">
        <w:rPr>
          <w:color w:val="000000"/>
          <w:sz w:val="24"/>
        </w:rPr>
        <w:t xml:space="preserve">on </w:t>
      </w:r>
      <w:r w:rsidRPr="000900B0">
        <w:rPr>
          <w:color w:val="000000"/>
          <w:sz w:val="24"/>
        </w:rPr>
        <w:t xml:space="preserve">data integration. </w:t>
      </w:r>
      <w:r w:rsidRPr="000900B0" w:rsidR="002D285D">
        <w:rPr>
          <w:color w:val="000000"/>
          <w:sz w:val="24"/>
        </w:rPr>
        <w:t xml:space="preserve">In December 2016, NCHS briefed the CDC NCIPC Director on a project to integrate data from </w:t>
      </w:r>
      <w:r w:rsidR="00B8026F">
        <w:rPr>
          <w:color w:val="000000"/>
          <w:sz w:val="24"/>
        </w:rPr>
        <w:t>C/ME</w:t>
      </w:r>
      <w:r w:rsidRPr="000900B0" w:rsidR="002D285D">
        <w:rPr>
          <w:color w:val="000000"/>
          <w:sz w:val="24"/>
        </w:rPr>
        <w:t xml:space="preserve"> case management systems with other related public health reporting systems.</w:t>
      </w:r>
      <w:r w:rsidRPr="000900B0" w:rsidR="00344CDE">
        <w:rPr>
          <w:color w:val="000000"/>
          <w:sz w:val="24"/>
        </w:rPr>
        <w:t xml:space="preserve">  </w:t>
      </w:r>
      <w:r w:rsidRPr="000900B0" w:rsidR="00A46413">
        <w:rPr>
          <w:sz w:val="24"/>
        </w:rPr>
        <w:t xml:space="preserve">In November 2017, NVDRS </w:t>
      </w:r>
      <w:r w:rsidRPr="00816126" w:rsidR="00EC4272">
        <w:rPr>
          <w:sz w:val="24"/>
        </w:rPr>
        <w:t>took</w:t>
      </w:r>
      <w:r w:rsidRPr="00DB23CD" w:rsidR="00A46413">
        <w:rPr>
          <w:sz w:val="24"/>
        </w:rPr>
        <w:t xml:space="preserve"> part in an initial conceptual discussion with NCHS about their plans to implement electronic interoperability of </w:t>
      </w:r>
      <w:r w:rsidR="00B8026F">
        <w:rPr>
          <w:sz w:val="24"/>
        </w:rPr>
        <w:t>C/ME</w:t>
      </w:r>
      <w:r w:rsidRPr="00DB23CD" w:rsidR="00A46413">
        <w:rPr>
          <w:sz w:val="24"/>
        </w:rPr>
        <w:t xml:space="preserve"> case management systems and public health reporting systems, such as electronic death registration systems and death reporting systems (</w:t>
      </w:r>
      <w:r w:rsidRPr="00DB23CD" w:rsidR="009F6F51">
        <w:rPr>
          <w:sz w:val="24"/>
        </w:rPr>
        <w:t>e.g.,</w:t>
      </w:r>
      <w:r w:rsidRPr="00DB23CD" w:rsidR="00A46413">
        <w:rPr>
          <w:sz w:val="24"/>
        </w:rPr>
        <w:t xml:space="preserve"> NVDRS, SUDORS). </w:t>
      </w:r>
    </w:p>
    <w:p w:rsidR="00202927" w:rsidP="0020035C" w:rsidRDefault="00202927" w14:paraId="78E27E53" w14:textId="77777777">
      <w:pPr>
        <w:ind w:left="360"/>
        <w:rPr>
          <w:sz w:val="24"/>
        </w:rPr>
      </w:pPr>
    </w:p>
    <w:p w:rsidR="000900B0" w:rsidP="0020035C" w:rsidRDefault="00A46413" w14:paraId="2415377B" w14:textId="77777777">
      <w:pPr>
        <w:ind w:left="360"/>
        <w:rPr>
          <w:sz w:val="24"/>
        </w:rPr>
      </w:pPr>
      <w:r w:rsidRPr="00DB23CD">
        <w:rPr>
          <w:sz w:val="24"/>
        </w:rPr>
        <w:t xml:space="preserve">Further engagement between NCHS and NVDRS </w:t>
      </w:r>
      <w:r w:rsidRPr="00816126" w:rsidR="00EC4272">
        <w:rPr>
          <w:sz w:val="24"/>
        </w:rPr>
        <w:t xml:space="preserve">occurred in May </w:t>
      </w:r>
      <w:r w:rsidRPr="00816126" w:rsidR="00252923">
        <w:rPr>
          <w:sz w:val="24"/>
        </w:rPr>
        <w:t>2018, September</w:t>
      </w:r>
      <w:r w:rsidRPr="00816126" w:rsidR="00EC4272">
        <w:rPr>
          <w:sz w:val="24"/>
        </w:rPr>
        <w:t xml:space="preserve"> 2018, </w:t>
      </w:r>
      <w:r w:rsidRPr="00816126" w:rsidR="00DB23CD">
        <w:rPr>
          <w:sz w:val="24"/>
        </w:rPr>
        <w:t xml:space="preserve">and </w:t>
      </w:r>
      <w:r w:rsidRPr="00816126" w:rsidR="00EC4272">
        <w:rPr>
          <w:sz w:val="24"/>
        </w:rPr>
        <w:t>February 2019</w:t>
      </w:r>
      <w:r w:rsidRPr="00DB23CD">
        <w:rPr>
          <w:sz w:val="24"/>
        </w:rPr>
        <w:t xml:space="preserve"> </w:t>
      </w:r>
      <w:r w:rsidRPr="00816126" w:rsidR="00DB23CD">
        <w:rPr>
          <w:sz w:val="24"/>
        </w:rPr>
        <w:t>with NVDRS staff actively participating as members of the</w:t>
      </w:r>
      <w:r w:rsidR="00202927">
        <w:rPr>
          <w:sz w:val="24"/>
        </w:rPr>
        <w:t xml:space="preserve"> </w:t>
      </w:r>
      <w:r w:rsidR="00252923">
        <w:rPr>
          <w:sz w:val="24"/>
        </w:rPr>
        <w:t xml:space="preserve">ongoing </w:t>
      </w:r>
      <w:r w:rsidRPr="00816126" w:rsidR="00252923">
        <w:rPr>
          <w:sz w:val="24"/>
        </w:rPr>
        <w:t>NCHS</w:t>
      </w:r>
      <w:r w:rsidRPr="00DB23CD" w:rsidR="00DB23CD">
        <w:rPr>
          <w:sz w:val="24"/>
        </w:rPr>
        <w:t xml:space="preserve"> Data Implementers' </w:t>
      </w:r>
      <w:r w:rsidR="009B67BA">
        <w:rPr>
          <w:sz w:val="24"/>
        </w:rPr>
        <w:t>Workgroup</w:t>
      </w:r>
      <w:r w:rsidR="00202927">
        <w:rPr>
          <w:sz w:val="24"/>
        </w:rPr>
        <w:t xml:space="preserve"> led by NCHS</w:t>
      </w:r>
      <w:r w:rsidRPr="00DB23CD" w:rsidR="00DB23CD">
        <w:rPr>
          <w:sz w:val="24"/>
        </w:rPr>
        <w:t xml:space="preserve">. </w:t>
      </w:r>
      <w:r w:rsidRPr="00DB23CD">
        <w:rPr>
          <w:sz w:val="24"/>
        </w:rPr>
        <w:t xml:space="preserve">The current goals of this project for </w:t>
      </w:r>
      <w:r w:rsidRPr="00DB23CD">
        <w:rPr>
          <w:sz w:val="24"/>
        </w:rPr>
        <w:lastRenderedPageBreak/>
        <w:t xml:space="preserve">NCHS are to: 1) identify the data elements that that </w:t>
      </w:r>
      <w:r w:rsidR="00B8026F">
        <w:rPr>
          <w:sz w:val="24"/>
        </w:rPr>
        <w:t>C/ME</w:t>
      </w:r>
      <w:r w:rsidRPr="00DB23CD">
        <w:rPr>
          <w:sz w:val="24"/>
        </w:rPr>
        <w:t xml:space="preserve"> offices are most frequently asked to report to multiple stakeholders and 2) begin to develop/test more modern, application programming interfaces (API)-driven approaches to exchanging common data elements with public health and public safety partners. </w:t>
      </w:r>
    </w:p>
    <w:p w:rsidR="005F0163" w:rsidP="0020035C" w:rsidRDefault="005F0163" w14:paraId="5CFE30F0" w14:textId="77777777">
      <w:pPr>
        <w:pStyle w:val="ListParagraph"/>
        <w:spacing w:after="150"/>
        <w:ind w:left="360"/>
        <w:rPr>
          <w:rFonts w:ascii="Times New Roman" w:hAnsi="Times New Roman"/>
          <w:color w:val="000000"/>
        </w:rPr>
      </w:pPr>
    </w:p>
    <w:p w:rsidRPr="00463DBF" w:rsidR="009B67BA" w:rsidP="00BF74E5" w:rsidRDefault="009B67BA" w14:paraId="1EA85D6D" w14:textId="77777777">
      <w:pPr>
        <w:pStyle w:val="ListParagraph"/>
        <w:spacing w:after="150"/>
        <w:ind w:left="360"/>
        <w:rPr>
          <w:rFonts w:ascii="Times New Roman" w:hAnsi="Times New Roman"/>
          <w:color w:val="000000"/>
        </w:rPr>
      </w:pPr>
      <w:r w:rsidRPr="009B67BA">
        <w:rPr>
          <w:rFonts w:ascii="Times New Roman" w:hAnsi="Times New Roman"/>
          <w:color w:val="000000"/>
        </w:rPr>
        <w:t xml:space="preserve">The group brings together a motivated group of Vital Registrars, </w:t>
      </w:r>
      <w:r w:rsidRPr="009B67BA" w:rsidR="009F6F51">
        <w:rPr>
          <w:rFonts w:ascii="Times New Roman" w:hAnsi="Times New Roman"/>
          <w:color w:val="000000"/>
        </w:rPr>
        <w:t>coroners,</w:t>
      </w:r>
      <w:r w:rsidRPr="009B67BA">
        <w:rPr>
          <w:rFonts w:ascii="Times New Roman" w:hAnsi="Times New Roman"/>
          <w:color w:val="000000"/>
        </w:rPr>
        <w:t xml:space="preserve"> and medical examiners (</w:t>
      </w:r>
      <w:r w:rsidR="00B8026F">
        <w:rPr>
          <w:rFonts w:ascii="Times New Roman" w:hAnsi="Times New Roman"/>
          <w:color w:val="000000"/>
        </w:rPr>
        <w:t>C/ME</w:t>
      </w:r>
      <w:r w:rsidR="00B62B61">
        <w:rPr>
          <w:rFonts w:ascii="Times New Roman" w:hAnsi="Times New Roman"/>
          <w:color w:val="000000"/>
        </w:rPr>
        <w:t>s</w:t>
      </w:r>
      <w:r w:rsidRPr="009B67BA">
        <w:rPr>
          <w:rFonts w:ascii="Times New Roman" w:hAnsi="Times New Roman"/>
          <w:color w:val="000000"/>
        </w:rPr>
        <w:t>) as well as Federal/State/Local/Tribal stakeholders to learn from each other, test new approaches to interoperability of systems, and demonstrate how standards-based technologies and techniques can be reused across the country to maximize benefit.</w:t>
      </w:r>
      <w:r w:rsidR="00BF74E5">
        <w:rPr>
          <w:rFonts w:ascii="Times New Roman" w:hAnsi="Times New Roman"/>
          <w:color w:val="000000"/>
        </w:rPr>
        <w:t xml:space="preserve"> </w:t>
      </w:r>
      <w:r w:rsidRPr="009B67BA">
        <w:rPr>
          <w:rFonts w:ascii="Times New Roman" w:hAnsi="Times New Roman"/>
          <w:color w:val="000000"/>
        </w:rPr>
        <w:t xml:space="preserve">The group hopes to adopt approaches that create value and reduce burden for data providers as well as data requestors (e.g., making </w:t>
      </w:r>
      <w:r w:rsidR="00B8026F">
        <w:rPr>
          <w:rFonts w:ascii="Times New Roman" w:hAnsi="Times New Roman"/>
          <w:color w:val="000000"/>
        </w:rPr>
        <w:t>C/ME</w:t>
      </w:r>
      <w:r w:rsidRPr="009B67BA">
        <w:rPr>
          <w:rFonts w:ascii="Times New Roman" w:hAnsi="Times New Roman"/>
          <w:color w:val="000000"/>
        </w:rPr>
        <w:t xml:space="preserve"> and electronic death registration system [EDRS] systems more interconnected to support the secure flow of real-time mortality data).</w:t>
      </w:r>
      <w:r w:rsidR="00202927">
        <w:rPr>
          <w:rFonts w:ascii="Times New Roman" w:hAnsi="Times New Roman"/>
          <w:color w:val="000000"/>
        </w:rPr>
        <w:t xml:space="preserve"> </w:t>
      </w:r>
      <w:r w:rsidRPr="005B5C77" w:rsidR="005B5C77">
        <w:rPr>
          <w:rFonts w:ascii="Times New Roman" w:hAnsi="Times New Roman"/>
          <w:color w:val="000000"/>
        </w:rPr>
        <w:t>We are interested in learning more about opportunities to help ensure efforts are aligned.</w:t>
      </w:r>
    </w:p>
    <w:p w:rsidR="001A3506" w:rsidP="0020035C" w:rsidRDefault="00595DAE" w14:paraId="3C14EA33" w14:textId="77777777">
      <w:pPr>
        <w:pStyle w:val="CommentText"/>
        <w:ind w:left="360"/>
        <w:rPr>
          <w:sz w:val="24"/>
          <w:szCs w:val="24"/>
        </w:rPr>
      </w:pPr>
      <w:r w:rsidRPr="00F6458A">
        <w:rPr>
          <w:sz w:val="24"/>
          <w:szCs w:val="24"/>
        </w:rPr>
        <w:t>NVDRS staff participated in the Implementer’s Workgroup meetings on interoperability as part of the June 2018 and June 2019 NAPHSIS annual meetings.</w:t>
      </w:r>
    </w:p>
    <w:p w:rsidR="005F0163" w:rsidP="0020035C" w:rsidRDefault="005F0163" w14:paraId="09698AEF" w14:textId="77777777">
      <w:pPr>
        <w:pStyle w:val="CommentText"/>
        <w:ind w:left="360"/>
        <w:rPr>
          <w:sz w:val="24"/>
          <w:szCs w:val="24"/>
        </w:rPr>
      </w:pPr>
    </w:p>
    <w:p w:rsidR="00A81E2F" w:rsidP="0020035C" w:rsidRDefault="00A81E2F" w14:paraId="3103B596" w14:textId="77777777">
      <w:pPr>
        <w:pStyle w:val="CommentText"/>
        <w:ind w:left="360"/>
        <w:rPr>
          <w:sz w:val="24"/>
          <w:szCs w:val="24"/>
        </w:rPr>
      </w:pPr>
      <w:r w:rsidRPr="00A81E2F">
        <w:rPr>
          <w:sz w:val="24"/>
          <w:szCs w:val="24"/>
        </w:rPr>
        <w:t>NVDRS has also engaged with the National Institute of Occupational Safety and Health (NIOSH) on the creation of the Public Safety Officer suicide reporting module.</w:t>
      </w:r>
    </w:p>
    <w:p w:rsidRPr="00F6458A" w:rsidR="00A81E2F" w:rsidP="00B8026F" w:rsidRDefault="00A81E2F" w14:paraId="765A0F42" w14:textId="77777777">
      <w:pPr>
        <w:pStyle w:val="CommentText"/>
        <w:ind w:left="720"/>
        <w:rPr>
          <w:sz w:val="24"/>
          <w:szCs w:val="24"/>
        </w:rPr>
      </w:pPr>
    </w:p>
    <w:p w:rsidRPr="00CB7F03" w:rsidR="001C26B3" w:rsidP="00B8026F" w:rsidRDefault="001C26B3" w14:paraId="78085A06" w14:textId="77777777">
      <w:pPr>
        <w:numPr>
          <w:ilvl w:val="0"/>
          <w:numId w:val="8"/>
        </w:numPr>
        <w:rPr>
          <w:sz w:val="24"/>
        </w:rPr>
      </w:pPr>
      <w:r w:rsidRPr="00CB7F03">
        <w:rPr>
          <w:b/>
          <w:bCs/>
          <w:sz w:val="24"/>
        </w:rPr>
        <w:t>Impact on Small Businesses or Other Small Entities</w:t>
      </w:r>
    </w:p>
    <w:p w:rsidRPr="00CB7F03" w:rsidR="001C26B3" w:rsidP="00B8026F" w:rsidRDefault="001C26B3" w14:paraId="73728C8A" w14:textId="77777777">
      <w:pPr>
        <w:rPr>
          <w:sz w:val="24"/>
        </w:rPr>
      </w:pPr>
    </w:p>
    <w:p w:rsidR="0024041E" w:rsidP="001052B8" w:rsidRDefault="00A81E2F" w14:paraId="0C868DC9" w14:textId="77777777">
      <w:pPr>
        <w:ind w:left="360"/>
        <w:rPr>
          <w:sz w:val="24"/>
        </w:rPr>
      </w:pPr>
      <w:r>
        <w:rPr>
          <w:sz w:val="24"/>
        </w:rPr>
        <w:t xml:space="preserve">For NVDRS: </w:t>
      </w:r>
      <w:r w:rsidRPr="00CB7F03" w:rsidR="001C26B3">
        <w:rPr>
          <w:sz w:val="24"/>
        </w:rPr>
        <w:t xml:space="preserve">This study does not impact small businesses or other small entities.  It impacts public agencies such as health departments, police departments, </w:t>
      </w:r>
      <w:r w:rsidRPr="00CB7F03" w:rsidR="00C57874">
        <w:rPr>
          <w:sz w:val="24"/>
        </w:rPr>
        <w:t xml:space="preserve">sheriffs’ offices, </w:t>
      </w:r>
      <w:r w:rsidRPr="00CB7F03" w:rsidR="001C26B3">
        <w:rPr>
          <w:sz w:val="24"/>
        </w:rPr>
        <w:t>crime labs, and medical examiner/corone</w:t>
      </w:r>
      <w:r w:rsidRPr="00CB7F03" w:rsidR="00307377">
        <w:rPr>
          <w:sz w:val="24"/>
        </w:rPr>
        <w:t>r offices, whose records are</w:t>
      </w:r>
      <w:r w:rsidRPr="00CB7F03" w:rsidR="001C26B3">
        <w:rPr>
          <w:sz w:val="24"/>
        </w:rPr>
        <w:t xml:space="preserve"> accessed </w:t>
      </w:r>
      <w:r w:rsidRPr="00CB7F03" w:rsidR="003D124E">
        <w:rPr>
          <w:sz w:val="24"/>
        </w:rPr>
        <w:t>during</w:t>
      </w:r>
      <w:r w:rsidRPr="00CB7F03" w:rsidR="001C26B3">
        <w:rPr>
          <w:sz w:val="24"/>
        </w:rPr>
        <w:t xml:space="preserve"> data collection. </w:t>
      </w:r>
      <w:r w:rsidRPr="00CB7F03" w:rsidR="00252923">
        <w:rPr>
          <w:sz w:val="24"/>
        </w:rPr>
        <w:t>Several</w:t>
      </w:r>
      <w:r w:rsidRPr="00CB7F03" w:rsidR="001C26B3">
        <w:rPr>
          <w:sz w:val="24"/>
        </w:rPr>
        <w:t xml:space="preserve"> data items have been flagged as optional items to allow these agencies to reduce the amount of data they collect at their discretion.</w:t>
      </w:r>
    </w:p>
    <w:p w:rsidR="0024041E" w:rsidP="001052B8" w:rsidRDefault="0024041E" w14:paraId="20FA110B" w14:textId="77777777">
      <w:pPr>
        <w:ind w:left="360"/>
        <w:rPr>
          <w:sz w:val="24"/>
        </w:rPr>
      </w:pPr>
    </w:p>
    <w:p w:rsidR="0024041E" w:rsidP="001052B8" w:rsidRDefault="0024041E" w14:paraId="346C8F3D" w14:textId="77777777">
      <w:pPr>
        <w:ind w:left="360"/>
        <w:rPr>
          <w:sz w:val="24"/>
        </w:rPr>
      </w:pPr>
      <w:r w:rsidRPr="006A6B3E">
        <w:rPr>
          <w:sz w:val="24"/>
        </w:rPr>
        <w:t>For SAVD-SS: No small businesses or small non-profit organizations will be involved in this study. The only small government jurisdiction that may be affected by this system is a school district, whose employees may be asked to participate in the study if a case occurred at a school within their specific district. As described in more detail below, this impact should be minimal, involving at the most, one hour of a school official</w:t>
      </w:r>
      <w:r w:rsidR="006A6B3E">
        <w:rPr>
          <w:sz w:val="24"/>
        </w:rPr>
        <w:t>’</w:t>
      </w:r>
      <w:r w:rsidRPr="006A6B3E">
        <w:rPr>
          <w:sz w:val="24"/>
        </w:rPr>
        <w:t>s time.</w:t>
      </w:r>
    </w:p>
    <w:p w:rsidRPr="006A6B3E" w:rsidR="00916BBB" w:rsidP="00B8026F" w:rsidRDefault="00916BBB" w14:paraId="43BFF27F" w14:textId="77777777">
      <w:pPr>
        <w:ind w:left="720"/>
        <w:rPr>
          <w:sz w:val="24"/>
        </w:rPr>
      </w:pPr>
    </w:p>
    <w:p w:rsidRPr="00CB7F03" w:rsidR="001C26B3" w:rsidP="00B8026F" w:rsidRDefault="001C26B3" w14:paraId="35C6DC16" w14:textId="77777777">
      <w:pPr>
        <w:numPr>
          <w:ilvl w:val="0"/>
          <w:numId w:val="8"/>
        </w:numPr>
        <w:rPr>
          <w:sz w:val="24"/>
        </w:rPr>
      </w:pPr>
      <w:r w:rsidRPr="00CB7F03">
        <w:rPr>
          <w:b/>
          <w:bCs/>
          <w:sz w:val="24"/>
        </w:rPr>
        <w:t>Consequences of Collecting the Information Less Frequently</w:t>
      </w:r>
    </w:p>
    <w:p w:rsidRPr="00CB7F03" w:rsidR="001C26B3" w:rsidP="00B8026F" w:rsidRDefault="001C26B3" w14:paraId="28F60BB0" w14:textId="77777777">
      <w:pPr>
        <w:rPr>
          <w:sz w:val="24"/>
        </w:rPr>
      </w:pPr>
    </w:p>
    <w:p w:rsidR="001C26B3" w:rsidP="009E1DAE" w:rsidRDefault="00C90E2F" w14:paraId="022B34A9" w14:textId="77777777">
      <w:pPr>
        <w:ind w:left="360"/>
        <w:rPr>
          <w:sz w:val="24"/>
        </w:rPr>
      </w:pPr>
      <w:r>
        <w:rPr>
          <w:sz w:val="24"/>
        </w:rPr>
        <w:t xml:space="preserve">For NVDRS: </w:t>
      </w:r>
      <w:r w:rsidRPr="00CB7F03" w:rsidR="002469F7">
        <w:rPr>
          <w:sz w:val="24"/>
        </w:rPr>
        <w:t xml:space="preserve">Continual public health surveillance of violent deaths </w:t>
      </w:r>
      <w:r w:rsidRPr="00CB7F03" w:rsidR="001C26B3">
        <w:rPr>
          <w:sz w:val="24"/>
        </w:rPr>
        <w:t>is required to obtain the detail necessary for prevention at the state level.  Data collection must be continuous to monitor epidemics of violence</w:t>
      </w:r>
      <w:r w:rsidRPr="00CB7F03" w:rsidR="00740875">
        <w:rPr>
          <w:sz w:val="24"/>
        </w:rPr>
        <w:t xml:space="preserve">, target violence prevention efforts, and to evaluate the impact of </w:t>
      </w:r>
      <w:r w:rsidRPr="00CB7F03" w:rsidR="001C26B3">
        <w:rPr>
          <w:sz w:val="24"/>
        </w:rPr>
        <w:t>p</w:t>
      </w:r>
      <w:r w:rsidRPr="00CB7F03" w:rsidR="00307377">
        <w:rPr>
          <w:sz w:val="24"/>
        </w:rPr>
        <w:t xml:space="preserve">revention </w:t>
      </w:r>
      <w:r w:rsidRPr="00CB7F03" w:rsidR="00740875">
        <w:rPr>
          <w:sz w:val="24"/>
        </w:rPr>
        <w:t>program</w:t>
      </w:r>
      <w:r w:rsidRPr="00CB7F03" w:rsidR="00884B5F">
        <w:rPr>
          <w:sz w:val="24"/>
        </w:rPr>
        <w:t>s</w:t>
      </w:r>
      <w:r w:rsidRPr="00CB7F03" w:rsidR="00307377">
        <w:rPr>
          <w:sz w:val="24"/>
        </w:rPr>
        <w:t xml:space="preserve">. </w:t>
      </w:r>
      <w:r w:rsidRPr="00CB7F03" w:rsidR="002F5FDE">
        <w:rPr>
          <w:sz w:val="24"/>
        </w:rPr>
        <w:t xml:space="preserve">The web-based data entry system </w:t>
      </w:r>
      <w:r w:rsidRPr="00CB7F03" w:rsidR="0057320F">
        <w:rPr>
          <w:sz w:val="24"/>
        </w:rPr>
        <w:t>allows states to see any trends much quicker than previously available</w:t>
      </w:r>
      <w:r w:rsidRPr="00CB7F03" w:rsidR="002F5FDE">
        <w:rPr>
          <w:sz w:val="24"/>
        </w:rPr>
        <w:t xml:space="preserve">, as data </w:t>
      </w:r>
      <w:r w:rsidRPr="00CB7F03" w:rsidR="009259D0">
        <w:rPr>
          <w:sz w:val="24"/>
        </w:rPr>
        <w:t>are continuously</w:t>
      </w:r>
      <w:r w:rsidRPr="00CB7F03" w:rsidR="002F5FDE">
        <w:rPr>
          <w:sz w:val="24"/>
        </w:rPr>
        <w:t xml:space="preserve"> updated and accessible</w:t>
      </w:r>
      <w:r w:rsidRPr="00CB7F03" w:rsidR="0057320F">
        <w:rPr>
          <w:sz w:val="24"/>
        </w:rPr>
        <w:t xml:space="preserve">.  </w:t>
      </w:r>
    </w:p>
    <w:p w:rsidR="006A6B3E" w:rsidP="009E1DAE" w:rsidRDefault="006A6B3E" w14:paraId="4E8FE314" w14:textId="77777777">
      <w:pPr>
        <w:ind w:left="360"/>
        <w:rPr>
          <w:sz w:val="24"/>
        </w:rPr>
      </w:pPr>
    </w:p>
    <w:p w:rsidRPr="009B00A7" w:rsidR="006A6B3E" w:rsidP="009E1DAE" w:rsidRDefault="006A6B3E" w14:paraId="01074C24" w14:textId="77777777">
      <w:pPr>
        <w:ind w:left="360"/>
        <w:rPr>
          <w:sz w:val="24"/>
        </w:rPr>
      </w:pPr>
      <w:r>
        <w:rPr>
          <w:sz w:val="24"/>
        </w:rPr>
        <w:t xml:space="preserve">SAVD-SS </w:t>
      </w:r>
      <w:r w:rsidRPr="009B00A7">
        <w:rPr>
          <w:sz w:val="24"/>
        </w:rPr>
        <w:t xml:space="preserve">is an ongoing data collection effort. If this information is not collected in a timely manner, it will not be possible to accurately assess trends in school-associated violent deaths. Without these data it will be difficult to determine the impact of federally funded programs to reduce school related violence. Since there is no other source for data on school-associated violent deaths, researchers, policy makers, and the </w:t>
      </w:r>
      <w:proofErr w:type="gramStart"/>
      <w:r w:rsidRPr="009B00A7">
        <w:rPr>
          <w:sz w:val="24"/>
        </w:rPr>
        <w:t>general public</w:t>
      </w:r>
      <w:proofErr w:type="gramEnd"/>
      <w:r w:rsidRPr="009B00A7">
        <w:rPr>
          <w:sz w:val="24"/>
        </w:rPr>
        <w:t xml:space="preserve"> will be dependent upon the </w:t>
      </w:r>
      <w:r w:rsidRPr="009B00A7">
        <w:rPr>
          <w:sz w:val="24"/>
        </w:rPr>
        <w:lastRenderedPageBreak/>
        <w:t>media to supply this information. Due to the rarity of these events, it is unlikely that data sources would be contacted more than once. There are no legal obstacles to reduce the burden.</w:t>
      </w:r>
    </w:p>
    <w:p w:rsidRPr="00CB7F03" w:rsidR="006A6B3E" w:rsidP="00AD5A27" w:rsidRDefault="006A6B3E" w14:paraId="1000AB57" w14:textId="77777777">
      <w:pPr>
        <w:ind w:left="720"/>
        <w:rPr>
          <w:sz w:val="24"/>
        </w:rPr>
      </w:pPr>
    </w:p>
    <w:p w:rsidRPr="00CB7F03" w:rsidR="001C26B3" w:rsidP="00AD5A27" w:rsidRDefault="001C26B3" w14:paraId="04B9ED2C" w14:textId="77777777">
      <w:pPr>
        <w:numPr>
          <w:ilvl w:val="0"/>
          <w:numId w:val="8"/>
        </w:numPr>
        <w:tabs>
          <w:tab w:val="left" w:pos="-1440"/>
        </w:tabs>
        <w:rPr>
          <w:sz w:val="24"/>
        </w:rPr>
      </w:pPr>
      <w:r w:rsidRPr="00CB7F03">
        <w:rPr>
          <w:b/>
          <w:bCs/>
          <w:sz w:val="24"/>
        </w:rPr>
        <w:t>Special Circumstances Relating to the Guidelines of 5 CFR 1320.5</w:t>
      </w:r>
    </w:p>
    <w:p w:rsidRPr="00CB7F03" w:rsidR="001C26B3" w:rsidP="00A011C9" w:rsidRDefault="001C26B3" w14:paraId="6BCC5150" w14:textId="77777777">
      <w:pPr>
        <w:rPr>
          <w:sz w:val="24"/>
        </w:rPr>
      </w:pPr>
    </w:p>
    <w:p w:rsidRPr="000238B7" w:rsidR="001C26B3" w:rsidP="009E1DAE" w:rsidRDefault="00CA62EF" w14:paraId="18586596" w14:textId="77777777">
      <w:pPr>
        <w:ind w:left="360"/>
        <w:rPr>
          <w:sz w:val="24"/>
        </w:rPr>
      </w:pPr>
      <w:r w:rsidRPr="00CB7F03">
        <w:rPr>
          <w:sz w:val="24"/>
        </w:rPr>
        <w:t>This data collection complies fully with the guidelines in 5</w:t>
      </w:r>
      <w:r w:rsidRPr="00CB7F03" w:rsidR="0090163D">
        <w:rPr>
          <w:sz w:val="24"/>
        </w:rPr>
        <w:t xml:space="preserve"> </w:t>
      </w:r>
      <w:r w:rsidRPr="00CB7F03">
        <w:rPr>
          <w:sz w:val="24"/>
        </w:rPr>
        <w:t>CFR 1</w:t>
      </w:r>
      <w:r w:rsidRPr="00CB7F03" w:rsidR="00EA2013">
        <w:rPr>
          <w:sz w:val="24"/>
        </w:rPr>
        <w:t>32</w:t>
      </w:r>
      <w:r w:rsidRPr="00CB7F03">
        <w:rPr>
          <w:sz w:val="24"/>
        </w:rPr>
        <w:t>0.5</w:t>
      </w:r>
      <w:r w:rsidRPr="000238B7" w:rsidR="001C26B3">
        <w:rPr>
          <w:sz w:val="24"/>
        </w:rPr>
        <w:t xml:space="preserve">.  </w:t>
      </w:r>
    </w:p>
    <w:p w:rsidRPr="000238B7" w:rsidR="004A2713" w:rsidP="007377C4" w:rsidRDefault="004A2713" w14:paraId="123DDC93" w14:textId="77777777">
      <w:pPr>
        <w:ind w:left="720"/>
        <w:rPr>
          <w:sz w:val="24"/>
        </w:rPr>
      </w:pPr>
    </w:p>
    <w:p w:rsidRPr="00E45A9A" w:rsidR="00E966D9" w:rsidP="007377C4" w:rsidRDefault="001C26B3" w14:paraId="6A43A5E7" w14:textId="77777777">
      <w:pPr>
        <w:numPr>
          <w:ilvl w:val="0"/>
          <w:numId w:val="8"/>
        </w:numPr>
        <w:tabs>
          <w:tab w:val="left" w:pos="-1440"/>
        </w:tabs>
        <w:rPr>
          <w:b/>
          <w:bCs/>
          <w:sz w:val="24"/>
        </w:rPr>
      </w:pPr>
      <w:r w:rsidRPr="00E45A9A">
        <w:rPr>
          <w:b/>
          <w:bCs/>
          <w:sz w:val="24"/>
        </w:rPr>
        <w:t>Comments in Response to the Federal Register Notice</w:t>
      </w:r>
      <w:r w:rsidRPr="00E45A9A" w:rsidR="00CA62EF">
        <w:rPr>
          <w:b/>
          <w:bCs/>
          <w:sz w:val="24"/>
        </w:rPr>
        <w:t xml:space="preserve"> and Efforts to Consult Outside</w:t>
      </w:r>
      <w:r w:rsidRPr="00E45A9A" w:rsidR="00E966D9">
        <w:rPr>
          <w:b/>
          <w:bCs/>
          <w:sz w:val="24"/>
        </w:rPr>
        <w:t xml:space="preserve"> </w:t>
      </w:r>
      <w:r w:rsidRPr="00E45A9A">
        <w:rPr>
          <w:b/>
          <w:bCs/>
          <w:sz w:val="24"/>
        </w:rPr>
        <w:t>the Agency</w:t>
      </w:r>
    </w:p>
    <w:p w:rsidRPr="00E45A9A" w:rsidR="004A2713" w:rsidP="007377C4" w:rsidRDefault="004A2713" w14:paraId="40407917" w14:textId="77777777">
      <w:pPr>
        <w:tabs>
          <w:tab w:val="left" w:pos="-1440"/>
        </w:tabs>
        <w:ind w:left="720"/>
        <w:rPr>
          <w:b/>
          <w:bCs/>
          <w:sz w:val="24"/>
        </w:rPr>
      </w:pPr>
    </w:p>
    <w:p w:rsidRPr="001A3506" w:rsidR="00671CAC" w:rsidP="009E1DAE" w:rsidRDefault="00671CAC" w14:paraId="04724FF6" w14:textId="77777777">
      <w:pPr>
        <w:numPr>
          <w:ilvl w:val="0"/>
          <w:numId w:val="9"/>
        </w:numPr>
        <w:tabs>
          <w:tab w:val="left" w:pos="-1440"/>
        </w:tabs>
        <w:ind w:left="360"/>
        <w:rPr>
          <w:b/>
          <w:bCs/>
          <w:sz w:val="24"/>
        </w:rPr>
      </w:pPr>
      <w:r w:rsidRPr="001A3506">
        <w:rPr>
          <w:sz w:val="24"/>
        </w:rPr>
        <w:t>Federal Register Notice</w:t>
      </w:r>
    </w:p>
    <w:p w:rsidRPr="00E45A9A" w:rsidR="00D3395B" w:rsidP="009E1DAE" w:rsidRDefault="00704E07" w14:paraId="3072335C" w14:textId="77777777">
      <w:pPr>
        <w:tabs>
          <w:tab w:val="left" w:pos="-1440"/>
        </w:tabs>
        <w:ind w:left="360"/>
        <w:rPr>
          <w:b/>
          <w:bCs/>
          <w:sz w:val="24"/>
        </w:rPr>
      </w:pPr>
      <w:r w:rsidRPr="001A3506">
        <w:rPr>
          <w:sz w:val="24"/>
        </w:rPr>
        <w:t xml:space="preserve">A </w:t>
      </w:r>
      <w:r w:rsidRPr="001A3506" w:rsidR="00F568D6">
        <w:rPr>
          <w:sz w:val="24"/>
        </w:rPr>
        <w:t xml:space="preserve">60-day Federal Register Notice was published in the Federal Register on </w:t>
      </w:r>
      <w:r w:rsidR="007D586F">
        <w:rPr>
          <w:sz w:val="24"/>
        </w:rPr>
        <w:t>August</w:t>
      </w:r>
      <w:r w:rsidRPr="001A3506" w:rsidR="001A3506">
        <w:rPr>
          <w:sz w:val="24"/>
        </w:rPr>
        <w:t xml:space="preserve">, </w:t>
      </w:r>
      <w:r w:rsidR="007D586F">
        <w:rPr>
          <w:sz w:val="24"/>
        </w:rPr>
        <w:t>6</w:t>
      </w:r>
      <w:r w:rsidRPr="001A3506" w:rsidR="001A3506">
        <w:rPr>
          <w:sz w:val="24"/>
        </w:rPr>
        <w:t xml:space="preserve">, </w:t>
      </w:r>
      <w:proofErr w:type="gramStart"/>
      <w:r w:rsidR="007D586F">
        <w:rPr>
          <w:sz w:val="24"/>
        </w:rPr>
        <w:t>2021</w:t>
      </w:r>
      <w:r w:rsidR="003D124E">
        <w:rPr>
          <w:sz w:val="24"/>
        </w:rPr>
        <w:t>,</w:t>
      </w:r>
      <w:r w:rsidRPr="001A3506" w:rsidR="00D158C8">
        <w:rPr>
          <w:sz w:val="24"/>
        </w:rPr>
        <w:t xml:space="preserve"> </w:t>
      </w:r>
      <w:r w:rsidRPr="001A3506" w:rsidR="00F568D6">
        <w:rPr>
          <w:sz w:val="24"/>
        </w:rPr>
        <w:t xml:space="preserve"> vol.</w:t>
      </w:r>
      <w:proofErr w:type="gramEnd"/>
      <w:r w:rsidRPr="001A3506" w:rsidR="00F568D6">
        <w:rPr>
          <w:sz w:val="24"/>
        </w:rPr>
        <w:t xml:space="preserve"> </w:t>
      </w:r>
      <w:r w:rsidR="007D586F">
        <w:rPr>
          <w:sz w:val="24"/>
        </w:rPr>
        <w:t>86</w:t>
      </w:r>
      <w:r w:rsidRPr="001A3506" w:rsidR="00F568D6">
        <w:rPr>
          <w:sz w:val="24"/>
        </w:rPr>
        <w:t xml:space="preserve">, No. </w:t>
      </w:r>
      <w:r w:rsidR="007D586F">
        <w:rPr>
          <w:sz w:val="24"/>
        </w:rPr>
        <w:t>149</w:t>
      </w:r>
      <w:r w:rsidRPr="001A3506" w:rsidR="00F568D6">
        <w:rPr>
          <w:sz w:val="24"/>
        </w:rPr>
        <w:t xml:space="preserve">, pp. </w:t>
      </w:r>
      <w:r w:rsidR="007D586F">
        <w:rPr>
          <w:sz w:val="24"/>
        </w:rPr>
        <w:t>43241</w:t>
      </w:r>
      <w:r w:rsidRPr="001A3506" w:rsidR="007D586F">
        <w:rPr>
          <w:sz w:val="24"/>
        </w:rPr>
        <w:t xml:space="preserve"> </w:t>
      </w:r>
      <w:r w:rsidRPr="001A3506" w:rsidR="00F568D6">
        <w:rPr>
          <w:sz w:val="24"/>
        </w:rPr>
        <w:t>(Att</w:t>
      </w:r>
      <w:r w:rsidR="00422F07">
        <w:rPr>
          <w:sz w:val="24"/>
        </w:rPr>
        <w:t>achment</w:t>
      </w:r>
      <w:r w:rsidRPr="001A3506" w:rsidR="00F568D6">
        <w:rPr>
          <w:sz w:val="24"/>
        </w:rPr>
        <w:t xml:space="preserve"> 2).  </w:t>
      </w:r>
      <w:r w:rsidRPr="001A3506" w:rsidR="000A2F6F">
        <w:rPr>
          <w:sz w:val="24"/>
        </w:rPr>
        <w:t xml:space="preserve">CDC received </w:t>
      </w:r>
      <w:r w:rsidR="00F5056D">
        <w:rPr>
          <w:sz w:val="24"/>
        </w:rPr>
        <w:t xml:space="preserve">1 anonymous </w:t>
      </w:r>
      <w:r w:rsidRPr="001A3506" w:rsidR="00D3395B">
        <w:rPr>
          <w:sz w:val="24"/>
        </w:rPr>
        <w:t>comment</w:t>
      </w:r>
      <w:r w:rsidRPr="001A3506" w:rsidR="00D158C8">
        <w:rPr>
          <w:sz w:val="24"/>
        </w:rPr>
        <w:t xml:space="preserve"> (</w:t>
      </w:r>
      <w:r w:rsidRPr="001A3506" w:rsidR="00422F07">
        <w:rPr>
          <w:sz w:val="24"/>
        </w:rPr>
        <w:t>Att</w:t>
      </w:r>
      <w:r w:rsidR="00422F07">
        <w:rPr>
          <w:sz w:val="24"/>
        </w:rPr>
        <w:t>achment</w:t>
      </w:r>
      <w:r w:rsidRPr="001A3506" w:rsidR="00422F07">
        <w:rPr>
          <w:sz w:val="24"/>
        </w:rPr>
        <w:t xml:space="preserve"> </w:t>
      </w:r>
      <w:r w:rsidRPr="001A3506" w:rsidR="00D3395B">
        <w:rPr>
          <w:sz w:val="24"/>
        </w:rPr>
        <w:t xml:space="preserve">3). </w:t>
      </w:r>
    </w:p>
    <w:p w:rsidRPr="00E45A9A" w:rsidR="0083591D" w:rsidP="0020035C" w:rsidRDefault="0083591D" w14:paraId="28292398" w14:textId="77777777">
      <w:pPr>
        <w:tabs>
          <w:tab w:val="left" w:pos="-1440"/>
        </w:tabs>
        <w:rPr>
          <w:b/>
          <w:bCs/>
          <w:sz w:val="24"/>
        </w:rPr>
      </w:pPr>
    </w:p>
    <w:p w:rsidRPr="00E45A9A" w:rsidR="00671CAC" w:rsidP="009E1DAE" w:rsidRDefault="00671CAC" w14:paraId="4D474985" w14:textId="77777777">
      <w:pPr>
        <w:numPr>
          <w:ilvl w:val="0"/>
          <w:numId w:val="9"/>
        </w:numPr>
        <w:tabs>
          <w:tab w:val="left" w:pos="-1440"/>
        </w:tabs>
        <w:ind w:left="360"/>
        <w:rPr>
          <w:sz w:val="24"/>
        </w:rPr>
      </w:pPr>
      <w:r w:rsidRPr="00E45A9A">
        <w:rPr>
          <w:sz w:val="24"/>
        </w:rPr>
        <w:t>Efforts to Consult Outside the Agency</w:t>
      </w:r>
    </w:p>
    <w:p w:rsidR="00F94B8C" w:rsidP="0020035C" w:rsidRDefault="009E2AFE" w14:paraId="42DC6236" w14:textId="77777777">
      <w:pPr>
        <w:tabs>
          <w:tab w:val="left" w:pos="-1440"/>
        </w:tabs>
        <w:ind w:left="360"/>
        <w:rPr>
          <w:sz w:val="24"/>
        </w:rPr>
      </w:pPr>
      <w:r>
        <w:rPr>
          <w:sz w:val="24"/>
        </w:rPr>
        <w:t xml:space="preserve">For NVDRS: </w:t>
      </w:r>
      <w:r w:rsidRPr="00E45A9A" w:rsidR="001C26B3">
        <w:rPr>
          <w:sz w:val="24"/>
        </w:rPr>
        <w:t xml:space="preserve">NCIPC </w:t>
      </w:r>
      <w:r w:rsidRPr="00E45A9A" w:rsidR="0083591D">
        <w:rPr>
          <w:sz w:val="24"/>
        </w:rPr>
        <w:t>m</w:t>
      </w:r>
      <w:r w:rsidRPr="00E45A9A" w:rsidR="008F0A0F">
        <w:rPr>
          <w:sz w:val="24"/>
        </w:rPr>
        <w:t>aintains a partner</w:t>
      </w:r>
      <w:r w:rsidRPr="00E45A9A" w:rsidR="009E657F">
        <w:rPr>
          <w:sz w:val="24"/>
        </w:rPr>
        <w:t>ship</w:t>
      </w:r>
      <w:r w:rsidRPr="00E45A9A" w:rsidR="008F0A0F">
        <w:rPr>
          <w:sz w:val="24"/>
        </w:rPr>
        <w:t xml:space="preserve"> with the national organizations that represent the major data sources used by NVDRS.</w:t>
      </w:r>
      <w:r w:rsidRPr="00E45A9A" w:rsidR="0062066D">
        <w:rPr>
          <w:sz w:val="24"/>
        </w:rPr>
        <w:t xml:space="preserve"> </w:t>
      </w:r>
      <w:r w:rsidRPr="00E45A9A" w:rsidR="00383FA4">
        <w:rPr>
          <w:sz w:val="24"/>
        </w:rPr>
        <w:t xml:space="preserve">The organizations include the National Association of Medical Examiners (NAME), the </w:t>
      </w:r>
      <w:r w:rsidRPr="00E45A9A" w:rsidR="00D5410C">
        <w:rPr>
          <w:sz w:val="24"/>
        </w:rPr>
        <w:t>N</w:t>
      </w:r>
      <w:r w:rsidRPr="00E45A9A" w:rsidR="00383FA4">
        <w:rPr>
          <w:sz w:val="24"/>
        </w:rPr>
        <w:t xml:space="preserve">ational Association of Public Health </w:t>
      </w:r>
      <w:r w:rsidRPr="00E45A9A" w:rsidR="008F63EC">
        <w:rPr>
          <w:sz w:val="24"/>
        </w:rPr>
        <w:t>Statistics and Information System (NAPHSIS</w:t>
      </w:r>
      <w:r w:rsidRPr="00E45A9A" w:rsidR="00252923">
        <w:rPr>
          <w:sz w:val="24"/>
        </w:rPr>
        <w:t>), the</w:t>
      </w:r>
      <w:r w:rsidRPr="00E45A9A" w:rsidR="008F63EC">
        <w:rPr>
          <w:sz w:val="24"/>
        </w:rPr>
        <w:t xml:space="preserve"> International Association of </w:t>
      </w:r>
      <w:r w:rsidR="000A0E96">
        <w:rPr>
          <w:sz w:val="24"/>
        </w:rPr>
        <w:t>Chiefs of Police (IACP</w:t>
      </w:r>
      <w:r w:rsidRPr="00E45A9A" w:rsidR="008F63EC">
        <w:rPr>
          <w:sz w:val="24"/>
        </w:rPr>
        <w:t>)</w:t>
      </w:r>
      <w:r w:rsidR="002770AA">
        <w:rPr>
          <w:sz w:val="24"/>
        </w:rPr>
        <w:t>, and the National Sheriff’s Association (NSA)</w:t>
      </w:r>
      <w:r w:rsidRPr="00E45A9A" w:rsidR="00070D7B">
        <w:rPr>
          <w:sz w:val="24"/>
        </w:rPr>
        <w:t xml:space="preserve">. </w:t>
      </w:r>
      <w:r w:rsidRPr="00E45A9A" w:rsidR="0083591D">
        <w:rPr>
          <w:sz w:val="24"/>
        </w:rPr>
        <w:t>NVDRS also has close partner</w:t>
      </w:r>
      <w:r w:rsidRPr="00E45A9A" w:rsidR="00356431">
        <w:rPr>
          <w:sz w:val="24"/>
        </w:rPr>
        <w:t xml:space="preserve">ships with </w:t>
      </w:r>
      <w:r w:rsidRPr="00E45A9A" w:rsidR="0083591D">
        <w:rPr>
          <w:sz w:val="24"/>
        </w:rPr>
        <w:t>the American Public Health Association</w:t>
      </w:r>
      <w:r w:rsidRPr="00E45A9A" w:rsidR="000812F8">
        <w:rPr>
          <w:sz w:val="24"/>
        </w:rPr>
        <w:t xml:space="preserve"> (APHA)</w:t>
      </w:r>
      <w:r w:rsidRPr="00E45A9A" w:rsidR="0083591D">
        <w:rPr>
          <w:sz w:val="24"/>
        </w:rPr>
        <w:t>,</w:t>
      </w:r>
      <w:r w:rsidRPr="00E45A9A" w:rsidR="00356431">
        <w:rPr>
          <w:sz w:val="24"/>
        </w:rPr>
        <w:t xml:space="preserve"> Council of State and Territorial Epidemiologists</w:t>
      </w:r>
      <w:r w:rsidRPr="00E45A9A" w:rsidR="000812F8">
        <w:rPr>
          <w:sz w:val="24"/>
        </w:rPr>
        <w:t xml:space="preserve"> (CSTE)</w:t>
      </w:r>
      <w:r w:rsidRPr="00E45A9A" w:rsidR="00356431">
        <w:rPr>
          <w:sz w:val="24"/>
        </w:rPr>
        <w:t xml:space="preserve">, </w:t>
      </w:r>
      <w:r w:rsidR="002770AA">
        <w:rPr>
          <w:sz w:val="24"/>
        </w:rPr>
        <w:t xml:space="preserve">Safe States Alliance, </w:t>
      </w:r>
      <w:r w:rsidRPr="00E45A9A" w:rsidR="00356431">
        <w:rPr>
          <w:sz w:val="24"/>
        </w:rPr>
        <w:t>and the American College of Preventive Medicine</w:t>
      </w:r>
      <w:r w:rsidRPr="00E45A9A" w:rsidR="000812F8">
        <w:rPr>
          <w:sz w:val="24"/>
        </w:rPr>
        <w:t xml:space="preserve"> (ACPM)</w:t>
      </w:r>
      <w:r w:rsidRPr="00E45A9A" w:rsidR="00356431">
        <w:rPr>
          <w:sz w:val="24"/>
        </w:rPr>
        <w:t xml:space="preserve">, all of </w:t>
      </w:r>
      <w:r w:rsidRPr="00E45A9A" w:rsidR="0083591D">
        <w:rPr>
          <w:sz w:val="24"/>
        </w:rPr>
        <w:t xml:space="preserve">which </w:t>
      </w:r>
      <w:r w:rsidRPr="00E45A9A" w:rsidR="00356431">
        <w:rPr>
          <w:sz w:val="24"/>
        </w:rPr>
        <w:t>comprise</w:t>
      </w:r>
      <w:r w:rsidRPr="00E45A9A" w:rsidR="0083591D">
        <w:rPr>
          <w:sz w:val="24"/>
        </w:rPr>
        <w:t xml:space="preserve"> national injury and violence experts </w:t>
      </w:r>
      <w:r w:rsidRPr="00E45A9A" w:rsidR="005E36F1">
        <w:rPr>
          <w:sz w:val="24"/>
        </w:rPr>
        <w:t>who</w:t>
      </w:r>
      <w:r w:rsidRPr="00E45A9A" w:rsidR="00356431">
        <w:rPr>
          <w:sz w:val="24"/>
        </w:rPr>
        <w:t xml:space="preserve"> </w:t>
      </w:r>
      <w:r w:rsidRPr="00E45A9A" w:rsidR="00252923">
        <w:rPr>
          <w:sz w:val="24"/>
        </w:rPr>
        <w:t>can</w:t>
      </w:r>
      <w:r w:rsidRPr="00E45A9A" w:rsidR="00356431">
        <w:rPr>
          <w:sz w:val="24"/>
        </w:rPr>
        <w:t xml:space="preserve"> provide feedback </w:t>
      </w:r>
      <w:r w:rsidRPr="00E45A9A" w:rsidR="0083591D">
        <w:rPr>
          <w:sz w:val="24"/>
        </w:rPr>
        <w:t xml:space="preserve">regarding the content of this system. </w:t>
      </w:r>
      <w:r w:rsidRPr="00E45A9A" w:rsidR="000812F8">
        <w:rPr>
          <w:sz w:val="24"/>
        </w:rPr>
        <w:t>In 201</w:t>
      </w:r>
      <w:r w:rsidR="002770AA">
        <w:rPr>
          <w:sz w:val="24"/>
        </w:rPr>
        <w:t>8</w:t>
      </w:r>
      <w:r w:rsidRPr="00E45A9A" w:rsidR="000812F8">
        <w:rPr>
          <w:sz w:val="24"/>
        </w:rPr>
        <w:t xml:space="preserve">, NVDRS participated in a meeting with </w:t>
      </w:r>
      <w:r w:rsidR="00A41B0D">
        <w:rPr>
          <w:sz w:val="24"/>
        </w:rPr>
        <w:t xml:space="preserve">the IACP, </w:t>
      </w:r>
      <w:r w:rsidR="0022080E">
        <w:rPr>
          <w:sz w:val="24"/>
        </w:rPr>
        <w:t xml:space="preserve">NSA, </w:t>
      </w:r>
      <w:r w:rsidRPr="00E45A9A" w:rsidR="000812F8">
        <w:rPr>
          <w:sz w:val="24"/>
        </w:rPr>
        <w:t>APHA</w:t>
      </w:r>
      <w:r w:rsidR="00A41B0D">
        <w:rPr>
          <w:sz w:val="24"/>
        </w:rPr>
        <w:t>,</w:t>
      </w:r>
      <w:r w:rsidRPr="00E45A9A" w:rsidR="000812F8">
        <w:rPr>
          <w:sz w:val="24"/>
        </w:rPr>
        <w:t xml:space="preserve"> and </w:t>
      </w:r>
      <w:r w:rsidR="00A41B0D">
        <w:rPr>
          <w:sz w:val="24"/>
        </w:rPr>
        <w:t xml:space="preserve">law enforcement </w:t>
      </w:r>
      <w:r w:rsidRPr="00E45A9A" w:rsidR="000812F8">
        <w:rPr>
          <w:sz w:val="24"/>
        </w:rPr>
        <w:t xml:space="preserve">stakeholders from </w:t>
      </w:r>
      <w:r w:rsidRPr="00E45A9A" w:rsidR="00252923">
        <w:rPr>
          <w:sz w:val="24"/>
        </w:rPr>
        <w:t>several</w:t>
      </w:r>
      <w:r w:rsidRPr="00E45A9A" w:rsidR="000812F8">
        <w:rPr>
          <w:sz w:val="24"/>
        </w:rPr>
        <w:t xml:space="preserve"> agencies. With this meeting, future goals include</w:t>
      </w:r>
      <w:r w:rsidR="00A41B0D">
        <w:rPr>
          <w:sz w:val="24"/>
        </w:rPr>
        <w:t>d</w:t>
      </w:r>
      <w:r w:rsidRPr="00E45A9A" w:rsidR="000812F8">
        <w:rPr>
          <w:sz w:val="24"/>
        </w:rPr>
        <w:t xml:space="preserve"> strategizing ways to increase awareness of NVDRS with law enforcement.</w:t>
      </w:r>
      <w:r>
        <w:rPr>
          <w:sz w:val="24"/>
        </w:rPr>
        <w:t xml:space="preserve"> In 2021, CDC</w:t>
      </w:r>
      <w:r w:rsidR="008D0C40">
        <w:rPr>
          <w:sz w:val="24"/>
        </w:rPr>
        <w:t xml:space="preserve"> is holding</w:t>
      </w:r>
      <w:r>
        <w:rPr>
          <w:sz w:val="24"/>
        </w:rPr>
        <w:t xml:space="preserve"> a series of roundtable discussions with law enforcement partners</w:t>
      </w:r>
      <w:r w:rsidR="008D0C40">
        <w:rPr>
          <w:sz w:val="24"/>
        </w:rPr>
        <w:t xml:space="preserve">. </w:t>
      </w:r>
      <w:r w:rsidRPr="008D0C40" w:rsidR="008D0C40">
        <w:rPr>
          <w:sz w:val="24"/>
        </w:rPr>
        <w:t xml:space="preserve">The purpose of these convenings is to discuss the best ways to engage LE and to gain their continued contribution of critical data for NVDRS. The purpose of the meeting is to exchange facts and information. The attendees </w:t>
      </w:r>
      <w:r w:rsidR="003C450F">
        <w:rPr>
          <w:sz w:val="24"/>
        </w:rPr>
        <w:t xml:space="preserve">provided </w:t>
      </w:r>
      <w:r w:rsidRPr="008D0C40" w:rsidR="008D0C40">
        <w:rPr>
          <w:sz w:val="24"/>
        </w:rPr>
        <w:t>individual advice.</w:t>
      </w:r>
      <w:r w:rsidR="00A960FF">
        <w:rPr>
          <w:sz w:val="24"/>
        </w:rPr>
        <w:t xml:space="preserve"> </w:t>
      </w:r>
    </w:p>
    <w:p w:rsidR="00F94B8C" w:rsidP="0020035C" w:rsidRDefault="00F94B8C" w14:paraId="1BB084DD" w14:textId="77777777">
      <w:pPr>
        <w:tabs>
          <w:tab w:val="left" w:pos="-1440"/>
        </w:tabs>
        <w:ind w:left="360"/>
        <w:rPr>
          <w:sz w:val="24"/>
        </w:rPr>
      </w:pPr>
    </w:p>
    <w:p w:rsidR="008A4AE0" w:rsidP="0020035C" w:rsidRDefault="00A960FF" w14:paraId="5DE5E48E" w14:textId="77777777">
      <w:pPr>
        <w:tabs>
          <w:tab w:val="left" w:pos="-1440"/>
        </w:tabs>
        <w:ind w:left="360"/>
        <w:rPr>
          <w:sz w:val="24"/>
        </w:rPr>
      </w:pPr>
      <w:r>
        <w:rPr>
          <w:sz w:val="24"/>
        </w:rPr>
        <w:t>The NVDRS team also meets regularly with CDC’s National Institute of Occupational Safety and Health to discuss the new public safety officer suicide reporting module</w:t>
      </w:r>
      <w:r w:rsidR="00F94B8C">
        <w:rPr>
          <w:sz w:val="24"/>
        </w:rPr>
        <w:t xml:space="preserve">. </w:t>
      </w:r>
      <w:r w:rsidRPr="003C450F" w:rsidR="00F94B8C">
        <w:rPr>
          <w:sz w:val="24"/>
        </w:rPr>
        <w:t xml:space="preserve">In September 2021 staff from the Mortality Surveillance Team/Surveillance Branch/Division of Violence Prevention/NCIPC coordinated a virtual </w:t>
      </w:r>
      <w:r w:rsidRPr="003C450F" w:rsidR="003C450F">
        <w:rPr>
          <w:sz w:val="24"/>
        </w:rPr>
        <w:t xml:space="preserve">roundtable </w:t>
      </w:r>
      <w:r w:rsidRPr="003C450F" w:rsidR="00F94B8C">
        <w:rPr>
          <w:sz w:val="24"/>
        </w:rPr>
        <w:t xml:space="preserve">meeting with the National Institute of Occupational Safety and Health (NIOSH) to discuss the creation of the new Public Safety Officer Suicide Reporting Module within the National Violent Death Reporting System. The discussion was held with NIOSH’s partners through the Public Safety Sector Council. In addition to NIOSH colleagues, CDC attendees included the Surveillance Branch Deputy Chief, </w:t>
      </w:r>
      <w:r w:rsidR="006204C7">
        <w:rPr>
          <w:sz w:val="24"/>
        </w:rPr>
        <w:t xml:space="preserve">a </w:t>
      </w:r>
      <w:r w:rsidRPr="003C450F" w:rsidR="00F94B8C">
        <w:rPr>
          <w:sz w:val="24"/>
        </w:rPr>
        <w:t>Project Officer on the Violence Surveillance Coordination Team, Team Lead of the Suicide Prevention Team from the Division of Injury Prevention, and an I</w:t>
      </w:r>
      <w:r w:rsidR="006204C7">
        <w:rPr>
          <w:sz w:val="24"/>
        </w:rPr>
        <w:t>nformation Technology S</w:t>
      </w:r>
      <w:r w:rsidRPr="003C450F" w:rsidR="00F94B8C">
        <w:rPr>
          <w:sz w:val="24"/>
        </w:rPr>
        <w:t xml:space="preserve">pecialist from the Division of Overdose Prevention. The Council consists of </w:t>
      </w:r>
    </w:p>
    <w:p w:rsidR="008A4AE0" w:rsidP="008A4AE0" w:rsidRDefault="008A4AE0" w14:paraId="577E065C" w14:textId="77777777">
      <w:pPr>
        <w:tabs>
          <w:tab w:val="left" w:pos="-1440"/>
        </w:tabs>
        <w:ind w:left="360"/>
        <w:rPr>
          <w:sz w:val="24"/>
        </w:rPr>
      </w:pPr>
    </w:p>
    <w:p w:rsidRPr="003C450F" w:rsidR="00F94B8C" w:rsidP="008A4AE0" w:rsidRDefault="00F94B8C" w14:paraId="18C6CB0B" w14:textId="77777777">
      <w:pPr>
        <w:tabs>
          <w:tab w:val="left" w:pos="-1440"/>
        </w:tabs>
        <w:ind w:left="360"/>
        <w:rPr>
          <w:sz w:val="24"/>
        </w:rPr>
      </w:pPr>
      <w:r w:rsidRPr="003C450F">
        <w:rPr>
          <w:sz w:val="24"/>
        </w:rPr>
        <w:lastRenderedPageBreak/>
        <w:t>staff and partners from federal agencies and non-governmental organizations.</w:t>
      </w:r>
      <w:r w:rsidRPr="003C450F" w:rsidR="003C450F">
        <w:rPr>
          <w:sz w:val="24"/>
        </w:rPr>
        <w:t xml:space="preserve"> The attendees provided individual advice. </w:t>
      </w:r>
    </w:p>
    <w:p w:rsidRPr="003C450F" w:rsidR="00F94B8C" w:rsidP="0020035C" w:rsidRDefault="00F94B8C" w14:paraId="1D6833C0" w14:textId="77777777">
      <w:pPr>
        <w:tabs>
          <w:tab w:val="left" w:pos="-1440"/>
        </w:tabs>
        <w:ind w:left="360"/>
        <w:rPr>
          <w:sz w:val="24"/>
        </w:rPr>
      </w:pPr>
    </w:p>
    <w:p w:rsidR="000812F8" w:rsidP="003C450F" w:rsidRDefault="00A960FF" w14:paraId="4195FC8E" w14:textId="77777777">
      <w:pPr>
        <w:tabs>
          <w:tab w:val="left" w:pos="-1440"/>
        </w:tabs>
        <w:ind w:left="360"/>
        <w:rPr>
          <w:sz w:val="24"/>
        </w:rPr>
      </w:pPr>
      <w:r>
        <w:rPr>
          <w:sz w:val="24"/>
        </w:rPr>
        <w:t xml:space="preserve">Such collaborations have helped to optimize investments. </w:t>
      </w:r>
    </w:p>
    <w:p w:rsidR="00A960FF" w:rsidP="007377C4" w:rsidRDefault="00A960FF" w14:paraId="3206A915" w14:textId="77777777">
      <w:pPr>
        <w:tabs>
          <w:tab w:val="left" w:pos="-1440"/>
        </w:tabs>
        <w:ind w:left="1440"/>
        <w:rPr>
          <w:sz w:val="24"/>
        </w:rPr>
      </w:pPr>
    </w:p>
    <w:p w:rsidRPr="00F94B8C" w:rsidR="00F94B8C" w:rsidP="007E450C" w:rsidRDefault="00F94B8C" w14:paraId="449147C5" w14:textId="77777777">
      <w:pPr>
        <w:tabs>
          <w:tab w:val="left" w:pos="-1440"/>
        </w:tabs>
        <w:rPr>
          <w:sz w:val="24"/>
        </w:rPr>
      </w:pPr>
      <w:r w:rsidRPr="00F94B8C">
        <w:rPr>
          <w:sz w:val="24"/>
        </w:rPr>
        <w:t>The following persons from outside the agency reviewed the SAVD survey instrument and study design, including components related to the availability of data, the frequency of data collection, the clarity of instructions and record keeping, and the specific data elements to be collected:</w:t>
      </w:r>
    </w:p>
    <w:p w:rsidRPr="00F94B8C" w:rsidR="00F94B8C" w:rsidP="00F94B8C" w:rsidRDefault="00F94B8C" w14:paraId="147B32CD" w14:textId="77777777">
      <w:pPr>
        <w:tabs>
          <w:tab w:val="left" w:pos="-1440"/>
        </w:tabs>
        <w:ind w:left="720"/>
        <w:rPr>
          <w:sz w:val="24"/>
        </w:rPr>
      </w:pPr>
    </w:p>
    <w:p w:rsidRPr="00F94B8C" w:rsidR="00F94B8C" w:rsidP="00F94B8C" w:rsidRDefault="00F94B8C" w14:paraId="55589AF8" w14:textId="77777777">
      <w:pPr>
        <w:numPr>
          <w:ilvl w:val="1"/>
          <w:numId w:val="30"/>
        </w:numPr>
        <w:tabs>
          <w:tab w:val="clear" w:pos="1440"/>
          <w:tab w:val="left" w:pos="-1440"/>
          <w:tab w:val="num" w:pos="1080"/>
        </w:tabs>
        <w:ind w:left="1080"/>
        <w:rPr>
          <w:sz w:val="24"/>
        </w:rPr>
      </w:pPr>
      <w:r w:rsidRPr="00F94B8C">
        <w:rPr>
          <w:sz w:val="24"/>
        </w:rPr>
        <w:t>William Modzeleski, MA, formerly of Safe and Drug Free Schools Program, U.S. Department of Education, 202-245-7831, Bill.Modzeleski@ed.gov</w:t>
      </w:r>
    </w:p>
    <w:p w:rsidRPr="00F94B8C" w:rsidR="00F94B8C" w:rsidP="00F94B8C" w:rsidRDefault="00F94B8C" w14:paraId="433DF449" w14:textId="77777777">
      <w:pPr>
        <w:tabs>
          <w:tab w:val="left" w:pos="-1440"/>
        </w:tabs>
        <w:ind w:left="360"/>
        <w:rPr>
          <w:sz w:val="24"/>
        </w:rPr>
      </w:pPr>
    </w:p>
    <w:p w:rsidRPr="00F94B8C" w:rsidR="00F94B8C" w:rsidP="00F94B8C" w:rsidRDefault="00F94B8C" w14:paraId="3AD16658" w14:textId="77777777">
      <w:pPr>
        <w:numPr>
          <w:ilvl w:val="1"/>
          <w:numId w:val="30"/>
        </w:numPr>
        <w:tabs>
          <w:tab w:val="clear" w:pos="1440"/>
          <w:tab w:val="left" w:pos="-1440"/>
          <w:tab w:val="num" w:pos="1080"/>
        </w:tabs>
        <w:ind w:left="1080"/>
        <w:rPr>
          <w:sz w:val="24"/>
        </w:rPr>
      </w:pPr>
      <w:r w:rsidRPr="00F94B8C">
        <w:rPr>
          <w:sz w:val="24"/>
        </w:rPr>
        <w:t>Paul Kesner, Director, Drug-Violence Prevention – State Programs, Office of Safe and Drug-Free Schools, paul.kesner@ed.gov</w:t>
      </w:r>
    </w:p>
    <w:p w:rsidRPr="00F94B8C" w:rsidR="00F94B8C" w:rsidP="00F94B8C" w:rsidRDefault="00F94B8C" w14:paraId="0E4FFEEF" w14:textId="77777777">
      <w:pPr>
        <w:tabs>
          <w:tab w:val="left" w:pos="-1440"/>
        </w:tabs>
        <w:ind w:left="360"/>
        <w:rPr>
          <w:sz w:val="24"/>
        </w:rPr>
      </w:pPr>
    </w:p>
    <w:p w:rsidRPr="00F94B8C" w:rsidR="00F94B8C" w:rsidP="00F94B8C" w:rsidRDefault="00F94B8C" w14:paraId="2DF3DCCF" w14:textId="77777777">
      <w:pPr>
        <w:numPr>
          <w:ilvl w:val="1"/>
          <w:numId w:val="30"/>
        </w:numPr>
        <w:tabs>
          <w:tab w:val="clear" w:pos="1440"/>
          <w:tab w:val="left" w:pos="-1440"/>
          <w:tab w:val="num" w:pos="1080"/>
        </w:tabs>
        <w:ind w:left="1080"/>
        <w:rPr>
          <w:sz w:val="24"/>
        </w:rPr>
      </w:pPr>
      <w:r w:rsidRPr="00F94B8C">
        <w:rPr>
          <w:sz w:val="24"/>
        </w:rPr>
        <w:t>Phelan Wyrick, PhD, Division Director, Crime and Crime Prevention Research Division, Director, Comprehensive School Safety Initiative, National Institute of Justice, U.S. Department of Justice, 202-353-9254, phelan.wyrick@usdoj.gov</w:t>
      </w:r>
    </w:p>
    <w:p w:rsidRPr="00F94B8C" w:rsidR="00F94B8C" w:rsidP="00F94B8C" w:rsidRDefault="00F94B8C" w14:paraId="7F6ABDB3" w14:textId="77777777">
      <w:pPr>
        <w:tabs>
          <w:tab w:val="left" w:pos="-1440"/>
        </w:tabs>
        <w:ind w:left="360"/>
        <w:rPr>
          <w:sz w:val="24"/>
        </w:rPr>
      </w:pPr>
    </w:p>
    <w:p w:rsidRPr="00F94B8C" w:rsidR="00F94B8C" w:rsidP="00F94B8C" w:rsidRDefault="00F94B8C" w14:paraId="3CFC6753" w14:textId="77777777">
      <w:pPr>
        <w:numPr>
          <w:ilvl w:val="1"/>
          <w:numId w:val="30"/>
        </w:numPr>
        <w:tabs>
          <w:tab w:val="clear" w:pos="1440"/>
          <w:tab w:val="left" w:pos="-1440"/>
          <w:tab w:val="num" w:pos="1080"/>
        </w:tabs>
        <w:ind w:left="1080"/>
        <w:rPr>
          <w:sz w:val="24"/>
        </w:rPr>
      </w:pPr>
      <w:r w:rsidRPr="00F94B8C">
        <w:rPr>
          <w:sz w:val="24"/>
        </w:rPr>
        <w:t>Lloyd Potter, PhD, Department of Demography and Organization Studies</w:t>
      </w:r>
      <w:r w:rsidRPr="00F94B8C">
        <w:rPr>
          <w:sz w:val="24"/>
        </w:rPr>
        <w:br/>
        <w:t>The University of Texas at San Antonio, 210-458-5730, Lloyd.Potter@utsa.edu</w:t>
      </w:r>
      <w:r w:rsidRPr="00F94B8C" w:rsidDel="00487823">
        <w:rPr>
          <w:sz w:val="24"/>
        </w:rPr>
        <w:t xml:space="preserve"> </w:t>
      </w:r>
    </w:p>
    <w:p w:rsidRPr="00F94B8C" w:rsidR="00F94B8C" w:rsidP="00F94B8C" w:rsidRDefault="00F94B8C" w14:paraId="3A14B930" w14:textId="77777777">
      <w:pPr>
        <w:tabs>
          <w:tab w:val="left" w:pos="-1440"/>
        </w:tabs>
        <w:ind w:left="360"/>
        <w:rPr>
          <w:sz w:val="24"/>
        </w:rPr>
      </w:pPr>
    </w:p>
    <w:p w:rsidRPr="00F94B8C" w:rsidR="00F94B8C" w:rsidP="00F94B8C" w:rsidRDefault="00F94B8C" w14:paraId="48113EB4" w14:textId="77777777">
      <w:pPr>
        <w:numPr>
          <w:ilvl w:val="1"/>
          <w:numId w:val="30"/>
        </w:numPr>
        <w:tabs>
          <w:tab w:val="clear" w:pos="1440"/>
          <w:tab w:val="left" w:pos="-1440"/>
          <w:tab w:val="num" w:pos="1080"/>
        </w:tabs>
        <w:ind w:left="1080"/>
        <w:rPr>
          <w:sz w:val="24"/>
        </w:rPr>
      </w:pPr>
      <w:r w:rsidRPr="00F94B8C">
        <w:rPr>
          <w:sz w:val="24"/>
        </w:rPr>
        <w:t>Kenneth Powell, MD, MPH, Georgia State Department of Health, 404-657-2578, kepowell@dhr.state.ga.us</w:t>
      </w:r>
    </w:p>
    <w:p w:rsidRPr="00F94B8C" w:rsidR="00F94B8C" w:rsidP="00F94B8C" w:rsidRDefault="00F94B8C" w14:paraId="589F582E" w14:textId="77777777">
      <w:pPr>
        <w:tabs>
          <w:tab w:val="left" w:pos="-1440"/>
        </w:tabs>
        <w:ind w:left="360"/>
        <w:rPr>
          <w:sz w:val="24"/>
        </w:rPr>
      </w:pPr>
    </w:p>
    <w:p w:rsidR="00F94B8C" w:rsidP="00F94B8C" w:rsidRDefault="00F94B8C" w14:paraId="7406BFEA" w14:textId="77777777">
      <w:pPr>
        <w:tabs>
          <w:tab w:val="left" w:pos="-1440"/>
        </w:tabs>
        <w:ind w:left="360"/>
        <w:rPr>
          <w:sz w:val="24"/>
        </w:rPr>
      </w:pPr>
      <w:r w:rsidRPr="00F94B8C">
        <w:rPr>
          <w:sz w:val="24"/>
        </w:rPr>
        <w:t>These consultations did not reveal any major problems that could not be resolved. No consultations have occurred since SAVD transitioned to abstraction of law enforcement and media records.</w:t>
      </w:r>
    </w:p>
    <w:p w:rsidR="00F94B8C" w:rsidP="00F94B8C" w:rsidRDefault="00F94B8C" w14:paraId="41FD60BB" w14:textId="77777777">
      <w:pPr>
        <w:tabs>
          <w:tab w:val="left" w:pos="-1440"/>
        </w:tabs>
        <w:ind w:left="720"/>
        <w:rPr>
          <w:sz w:val="24"/>
        </w:rPr>
      </w:pPr>
    </w:p>
    <w:p w:rsidR="003F11F0" w:rsidP="003F11F0" w:rsidRDefault="00F94B8C" w14:paraId="3074AEFD" w14:textId="77777777">
      <w:pPr>
        <w:ind w:left="360"/>
        <w:rPr>
          <w:sz w:val="24"/>
        </w:rPr>
      </w:pPr>
      <w:r w:rsidRPr="00F94B8C">
        <w:rPr>
          <w:sz w:val="24"/>
        </w:rPr>
        <w:t xml:space="preserve">Consultation with representatives of those from whom information is obtained is not possible given the specific nature of the events about which data are collected and the rarity of these occurrences. Contacts with respondents with knowledge regarding these rare events are limited to those to facilitate data collection </w:t>
      </w:r>
      <w:proofErr w:type="gramStart"/>
      <w:r w:rsidRPr="00F94B8C">
        <w:rPr>
          <w:sz w:val="24"/>
        </w:rPr>
        <w:t>in order to</w:t>
      </w:r>
      <w:proofErr w:type="gramEnd"/>
      <w:r w:rsidRPr="00F94B8C">
        <w:rPr>
          <w:sz w:val="24"/>
        </w:rPr>
        <w:t xml:space="preserve"> reduce burden. In addition, once a case has been confirmed, a case identification number is assigned, and all links to any information that can identify the school, the individuals involved, or the locations involved are destroyed or stored separately in a password-protected file within a directory on the NCIPC DVP LAN. This password-protected file can only be accessed under extraordinary circumstances.</w:t>
      </w:r>
      <w:r w:rsidR="003F11F0">
        <w:rPr>
          <w:sz w:val="24"/>
        </w:rPr>
        <w:t xml:space="preserve">        </w:t>
      </w:r>
    </w:p>
    <w:p w:rsidR="003F11F0" w:rsidP="003F11F0" w:rsidRDefault="003F11F0" w14:paraId="0769FD93" w14:textId="77777777">
      <w:pPr>
        <w:ind w:left="360"/>
        <w:rPr>
          <w:sz w:val="24"/>
        </w:rPr>
      </w:pPr>
    </w:p>
    <w:p w:rsidR="00ED0B84" w:rsidP="007E450C" w:rsidRDefault="00ED0B84" w14:paraId="0831A5D4" w14:textId="77777777">
      <w:pPr>
        <w:ind w:left="360"/>
        <w:rPr>
          <w:sz w:val="24"/>
          <w:szCs w:val="20"/>
        </w:rPr>
      </w:pPr>
      <w:r w:rsidRPr="007E450C">
        <w:rPr>
          <w:sz w:val="24"/>
          <w:szCs w:val="20"/>
        </w:rPr>
        <w:t xml:space="preserve">Consultations with </w:t>
      </w:r>
      <w:r w:rsidRPr="007E450C" w:rsidR="006E4935">
        <w:rPr>
          <w:sz w:val="24"/>
          <w:szCs w:val="20"/>
        </w:rPr>
        <w:t xml:space="preserve">violent death reporting system abstractors and NCIPC’s Information </w:t>
      </w:r>
      <w:r w:rsidRPr="007E450C" w:rsidR="003F11F0">
        <w:rPr>
          <w:sz w:val="24"/>
          <w:szCs w:val="20"/>
        </w:rPr>
        <w:t xml:space="preserve">    </w:t>
      </w:r>
      <w:r w:rsidRPr="007E450C" w:rsidR="006E4935">
        <w:rPr>
          <w:sz w:val="24"/>
          <w:szCs w:val="20"/>
        </w:rPr>
        <w:t xml:space="preserve">Technology staff for the </w:t>
      </w:r>
      <w:r w:rsidRPr="007E450C">
        <w:rPr>
          <w:sz w:val="24"/>
          <w:szCs w:val="20"/>
        </w:rPr>
        <w:t xml:space="preserve">new variables described in updates (2) and (4) </w:t>
      </w:r>
      <w:r w:rsidRPr="007E450C" w:rsidR="006E4935">
        <w:rPr>
          <w:sz w:val="24"/>
          <w:szCs w:val="20"/>
        </w:rPr>
        <w:t xml:space="preserve">of this request. </w:t>
      </w:r>
    </w:p>
    <w:p w:rsidR="00A960FF" w:rsidP="00F94B8C" w:rsidRDefault="00A960FF" w14:paraId="73B37D0B" w14:textId="77777777">
      <w:pPr>
        <w:tabs>
          <w:tab w:val="left" w:pos="-1440"/>
        </w:tabs>
        <w:ind w:left="720"/>
        <w:rPr>
          <w:sz w:val="24"/>
        </w:rPr>
      </w:pPr>
    </w:p>
    <w:p w:rsidRPr="00E45A9A" w:rsidR="001C26B3" w:rsidP="00F94B8C" w:rsidRDefault="001C26B3" w14:paraId="47D116B1" w14:textId="77777777">
      <w:pPr>
        <w:numPr>
          <w:ilvl w:val="0"/>
          <w:numId w:val="8"/>
        </w:numPr>
        <w:tabs>
          <w:tab w:val="left" w:pos="-1440"/>
        </w:tabs>
        <w:rPr>
          <w:b/>
          <w:bCs/>
          <w:sz w:val="24"/>
        </w:rPr>
      </w:pPr>
      <w:r w:rsidRPr="00E45A9A">
        <w:rPr>
          <w:b/>
          <w:bCs/>
          <w:sz w:val="24"/>
        </w:rPr>
        <w:t>Explanation of Any Payment or Gift to Respondents</w:t>
      </w:r>
    </w:p>
    <w:p w:rsidRPr="00E45A9A" w:rsidR="00524EF6" w:rsidP="00F94B8C" w:rsidRDefault="00524EF6" w14:paraId="3B605C58" w14:textId="77777777">
      <w:pPr>
        <w:tabs>
          <w:tab w:val="left" w:pos="-1440"/>
        </w:tabs>
        <w:ind w:left="1440" w:hanging="1440"/>
        <w:rPr>
          <w:sz w:val="24"/>
        </w:rPr>
      </w:pPr>
    </w:p>
    <w:p w:rsidR="001C26B3" w:rsidP="003C450F" w:rsidRDefault="00B1153F" w14:paraId="7AC35FDA" w14:textId="77777777">
      <w:pPr>
        <w:ind w:left="360"/>
        <w:rPr>
          <w:sz w:val="24"/>
        </w:rPr>
      </w:pPr>
      <w:r w:rsidRPr="00E45A9A">
        <w:rPr>
          <w:sz w:val="24"/>
        </w:rPr>
        <w:t>P</w:t>
      </w:r>
      <w:r w:rsidRPr="00E45A9A" w:rsidR="005A4771">
        <w:rPr>
          <w:sz w:val="24"/>
        </w:rPr>
        <w:t xml:space="preserve">ublic agencies </w:t>
      </w:r>
      <w:r w:rsidRPr="00E45A9A" w:rsidR="005E36F1">
        <w:rPr>
          <w:sz w:val="24"/>
        </w:rPr>
        <w:t>(</w:t>
      </w:r>
      <w:r w:rsidRPr="00E45A9A" w:rsidR="003A038D">
        <w:rPr>
          <w:sz w:val="24"/>
        </w:rPr>
        <w:t xml:space="preserve">i.e., </w:t>
      </w:r>
      <w:r w:rsidRPr="00E45A9A" w:rsidR="005E36F1">
        <w:rPr>
          <w:sz w:val="24"/>
        </w:rPr>
        <w:t xml:space="preserve">the respondents) </w:t>
      </w:r>
      <w:r w:rsidRPr="00E45A9A" w:rsidR="00524EF6">
        <w:rPr>
          <w:sz w:val="24"/>
        </w:rPr>
        <w:t xml:space="preserve">will not receive payments or gifts for providing </w:t>
      </w:r>
      <w:r w:rsidRPr="00E45A9A" w:rsidR="009259D0">
        <w:rPr>
          <w:sz w:val="24"/>
        </w:rPr>
        <w:t xml:space="preserve">information. </w:t>
      </w:r>
    </w:p>
    <w:p w:rsidRPr="00E45A9A" w:rsidR="008A4AE0" w:rsidP="003C450F" w:rsidRDefault="008A4AE0" w14:paraId="34411DC4" w14:textId="77777777">
      <w:pPr>
        <w:ind w:left="360"/>
        <w:rPr>
          <w:sz w:val="24"/>
        </w:rPr>
      </w:pPr>
    </w:p>
    <w:p w:rsidRPr="00E45A9A" w:rsidR="00E966D9" w:rsidP="00F94B8C" w:rsidRDefault="00E966D9" w14:paraId="411FAD83" w14:textId="77777777">
      <w:pPr>
        <w:tabs>
          <w:tab w:val="left" w:pos="-1440"/>
        </w:tabs>
        <w:rPr>
          <w:b/>
          <w:bCs/>
          <w:sz w:val="24"/>
        </w:rPr>
      </w:pPr>
    </w:p>
    <w:p w:rsidRPr="00E45A9A" w:rsidR="001C26B3" w:rsidP="00F94B8C" w:rsidRDefault="00B93F51" w14:paraId="7750551A" w14:textId="77777777">
      <w:pPr>
        <w:numPr>
          <w:ilvl w:val="0"/>
          <w:numId w:val="8"/>
        </w:numPr>
        <w:tabs>
          <w:tab w:val="left" w:pos="-1440"/>
        </w:tabs>
        <w:rPr>
          <w:b/>
          <w:bCs/>
          <w:sz w:val="24"/>
        </w:rPr>
      </w:pPr>
      <w:r w:rsidRPr="00E45A9A">
        <w:rPr>
          <w:b/>
          <w:bCs/>
          <w:sz w:val="24"/>
        </w:rPr>
        <w:t xml:space="preserve">Protection of the Privacy and Confidentiality of Information Provided by Respondents </w:t>
      </w:r>
    </w:p>
    <w:p w:rsidRPr="00E45A9A" w:rsidR="001C26B3" w:rsidP="00F94B8C" w:rsidRDefault="001C26B3" w14:paraId="5FDDB078" w14:textId="77777777">
      <w:pPr>
        <w:rPr>
          <w:sz w:val="24"/>
        </w:rPr>
      </w:pPr>
    </w:p>
    <w:p w:rsidRPr="00E45A9A" w:rsidR="00B16658" w:rsidP="000D43ED" w:rsidRDefault="006B15B2" w14:paraId="56C7C655" w14:textId="77777777">
      <w:pPr>
        <w:pStyle w:val="NoSpacing"/>
        <w:ind w:left="360"/>
        <w:rPr>
          <w:rFonts w:ascii="Times New Roman" w:hAnsi="Times New Roman"/>
          <w:sz w:val="24"/>
          <w:szCs w:val="24"/>
        </w:rPr>
      </w:pPr>
      <w:bookmarkStart w:name="OLE_LINK2" w:id="6"/>
      <w:bookmarkStart w:name="OLE_LINK3" w:id="7"/>
      <w:r w:rsidRPr="00E45A9A">
        <w:rPr>
          <w:rFonts w:ascii="Times New Roman" w:hAnsi="Times New Roman"/>
          <w:sz w:val="24"/>
          <w:szCs w:val="24"/>
        </w:rPr>
        <w:t>NCIPC’s Information Systems Security Office has</w:t>
      </w:r>
      <w:r w:rsidRPr="00E45A9A" w:rsidR="00862565">
        <w:rPr>
          <w:rFonts w:ascii="Times New Roman" w:hAnsi="Times New Roman"/>
          <w:sz w:val="24"/>
          <w:szCs w:val="24"/>
        </w:rPr>
        <w:t xml:space="preserve"> determined that the Privacy Act</w:t>
      </w:r>
      <w:r w:rsidRPr="00E45A9A">
        <w:rPr>
          <w:rFonts w:ascii="Times New Roman" w:hAnsi="Times New Roman"/>
          <w:sz w:val="24"/>
          <w:szCs w:val="24"/>
        </w:rPr>
        <w:t xml:space="preserve"> does not apply for NVDRS. </w:t>
      </w:r>
      <w:r w:rsidRPr="00E45A9A" w:rsidR="0081499A">
        <w:rPr>
          <w:rFonts w:ascii="Times New Roman" w:hAnsi="Times New Roman"/>
          <w:sz w:val="24"/>
          <w:szCs w:val="24"/>
        </w:rPr>
        <w:t>The Privacy Impact Assessment (PIA) is attached (</w:t>
      </w:r>
      <w:r w:rsidRPr="008A4AE0" w:rsidR="00422F07">
        <w:rPr>
          <w:rFonts w:ascii="Times New Roman" w:hAnsi="Times New Roman"/>
          <w:sz w:val="24"/>
          <w:szCs w:val="24"/>
        </w:rPr>
        <w:t xml:space="preserve">Attachment </w:t>
      </w:r>
      <w:r w:rsidRPr="00E45A9A" w:rsidR="0081499A">
        <w:rPr>
          <w:rFonts w:ascii="Times New Roman" w:hAnsi="Times New Roman"/>
          <w:sz w:val="24"/>
          <w:szCs w:val="24"/>
        </w:rPr>
        <w:t xml:space="preserve">4). </w:t>
      </w:r>
    </w:p>
    <w:p w:rsidRPr="00E45A9A" w:rsidR="00B16658" w:rsidP="000D43ED" w:rsidRDefault="00B16658" w14:paraId="49108372" w14:textId="77777777">
      <w:pPr>
        <w:rPr>
          <w:sz w:val="24"/>
        </w:rPr>
      </w:pPr>
    </w:p>
    <w:p w:rsidRPr="00E45A9A" w:rsidR="00E3328F" w:rsidP="000D43ED" w:rsidRDefault="00B16658" w14:paraId="198F7AB8" w14:textId="77777777">
      <w:pPr>
        <w:ind w:left="360"/>
        <w:rPr>
          <w:sz w:val="24"/>
        </w:rPr>
      </w:pPr>
      <w:r w:rsidRPr="00E45A9A">
        <w:rPr>
          <w:sz w:val="24"/>
        </w:rPr>
        <w:t>S</w:t>
      </w:r>
      <w:r w:rsidRPr="00E45A9A" w:rsidR="00E3328F">
        <w:rPr>
          <w:sz w:val="24"/>
        </w:rPr>
        <w:t xml:space="preserve">ensitive information </w:t>
      </w:r>
      <w:r w:rsidRPr="00E45A9A" w:rsidR="006B15B2">
        <w:rPr>
          <w:sz w:val="24"/>
        </w:rPr>
        <w:t>is</w:t>
      </w:r>
      <w:r w:rsidRPr="00E45A9A" w:rsidR="00E3328F">
        <w:rPr>
          <w:sz w:val="24"/>
        </w:rPr>
        <w:t xml:space="preserve"> collected by state health departments</w:t>
      </w:r>
      <w:r w:rsidRPr="00E45A9A" w:rsidR="006B15B2">
        <w:rPr>
          <w:sz w:val="24"/>
        </w:rPr>
        <w:t xml:space="preserve"> from the vital </w:t>
      </w:r>
      <w:r w:rsidRPr="00E45A9A" w:rsidR="00A03F8A">
        <w:rPr>
          <w:sz w:val="24"/>
        </w:rPr>
        <w:t>statistics</w:t>
      </w:r>
      <w:r w:rsidRPr="00E45A9A" w:rsidR="006B15B2">
        <w:rPr>
          <w:sz w:val="24"/>
        </w:rPr>
        <w:t xml:space="preserve"> (death certificates), coroner/medical examiner records and law enforcement records</w:t>
      </w:r>
      <w:r w:rsidRPr="00E45A9A" w:rsidDel="00866F9F" w:rsidR="0077643E">
        <w:rPr>
          <w:sz w:val="24"/>
        </w:rPr>
        <w:t>,</w:t>
      </w:r>
      <w:r w:rsidRPr="00E45A9A" w:rsidR="00E3328F">
        <w:rPr>
          <w:sz w:val="24"/>
        </w:rPr>
        <w:t xml:space="preserve"> </w:t>
      </w:r>
      <w:r w:rsidRPr="00E45A9A" w:rsidR="006B15B2">
        <w:rPr>
          <w:sz w:val="24"/>
        </w:rPr>
        <w:t xml:space="preserve">however </w:t>
      </w:r>
      <w:r w:rsidRPr="00E45A9A" w:rsidR="00E3328F">
        <w:rPr>
          <w:sz w:val="24"/>
        </w:rPr>
        <w:t xml:space="preserve">all personally identifying information </w:t>
      </w:r>
      <w:r w:rsidRPr="00E45A9A" w:rsidR="007573FF">
        <w:rPr>
          <w:sz w:val="24"/>
        </w:rPr>
        <w:t>is</w:t>
      </w:r>
      <w:r w:rsidRPr="00E45A9A" w:rsidR="00E3328F">
        <w:rPr>
          <w:sz w:val="24"/>
        </w:rPr>
        <w:t xml:space="preserve"> stripped from the files before the case-level data is sent to CDC. Only selected staff working in the state NVDRS program will have access to state information.  </w:t>
      </w:r>
    </w:p>
    <w:p w:rsidRPr="00E45A9A" w:rsidR="00E3328F" w:rsidP="000D43ED" w:rsidRDefault="00E3328F" w14:paraId="30639134" w14:textId="77777777">
      <w:pPr>
        <w:rPr>
          <w:sz w:val="24"/>
        </w:rPr>
      </w:pPr>
    </w:p>
    <w:p w:rsidRPr="00E45A9A" w:rsidR="00E3328F" w:rsidP="000D43ED" w:rsidRDefault="00E3328F" w14:paraId="76C63FBE" w14:textId="77777777">
      <w:pPr>
        <w:ind w:left="360"/>
        <w:rPr>
          <w:sz w:val="24"/>
        </w:rPr>
      </w:pPr>
      <w:r w:rsidRPr="00825397">
        <w:rPr>
          <w:sz w:val="24"/>
        </w:rPr>
        <w:t>Some states may abstract information onto worksheets as an intermediate step prior to data entry into a computer.</w:t>
      </w:r>
      <w:r w:rsidRPr="00825397" w:rsidR="009259D0">
        <w:rPr>
          <w:sz w:val="24"/>
        </w:rPr>
        <w:t xml:space="preserve"> </w:t>
      </w:r>
      <w:r w:rsidRPr="00825397">
        <w:rPr>
          <w:sz w:val="24"/>
        </w:rPr>
        <w:t>These worksheets contain personal identifiers. They will be stored in locked file cabinets to which only state NVDRS staff will have access. Such worksheets will never be sent from the state to the CDC or to a CDC contractor.</w:t>
      </w:r>
      <w:r w:rsidRPr="00825397" w:rsidR="006B15B2">
        <w:rPr>
          <w:sz w:val="24"/>
        </w:rPr>
        <w:t xml:space="preserve"> Thus, data collection will have little or no effect on the respondent’s privacy. </w:t>
      </w:r>
      <w:r w:rsidRPr="00E45A9A">
        <w:rPr>
          <w:sz w:val="24"/>
        </w:rPr>
        <w:t xml:space="preserve">States treat their data in a </w:t>
      </w:r>
      <w:r w:rsidRPr="00E45A9A" w:rsidR="001843DB">
        <w:rPr>
          <w:sz w:val="24"/>
        </w:rPr>
        <w:t xml:space="preserve">secure </w:t>
      </w:r>
      <w:r w:rsidRPr="00E45A9A">
        <w:rPr>
          <w:sz w:val="24"/>
        </w:rPr>
        <w:t xml:space="preserve">manner and protect it with all applicable state laws for the protection of public health surveillance information.  </w:t>
      </w:r>
    </w:p>
    <w:p w:rsidRPr="00E45A9A" w:rsidR="00AC3E9C" w:rsidP="000D43ED" w:rsidRDefault="00AC3E9C" w14:paraId="2E8863A5" w14:textId="77777777">
      <w:pPr>
        <w:rPr>
          <w:sz w:val="24"/>
        </w:rPr>
      </w:pPr>
    </w:p>
    <w:p w:rsidRPr="00E45A9A" w:rsidR="006B15B2" w:rsidP="000D43ED" w:rsidRDefault="006B15B2" w14:paraId="41638217" w14:textId="77777777">
      <w:pPr>
        <w:pStyle w:val="BodyText2"/>
        <w:ind w:left="360"/>
      </w:pPr>
      <w:r w:rsidRPr="00E45A9A">
        <w:t xml:space="preserve">CDC and state health departments will conduct analyses of the data and share aggregate results with the public through a public use dataset. </w:t>
      </w:r>
    </w:p>
    <w:p w:rsidRPr="00E45A9A" w:rsidR="006B15B2" w:rsidP="000D43ED" w:rsidRDefault="006B15B2" w14:paraId="21827B55" w14:textId="77777777">
      <w:pPr>
        <w:rPr>
          <w:sz w:val="24"/>
        </w:rPr>
      </w:pPr>
    </w:p>
    <w:bookmarkEnd w:id="6"/>
    <w:bookmarkEnd w:id="7"/>
    <w:p w:rsidR="001C26B3" w:rsidP="000D43ED" w:rsidRDefault="001C26B3" w14:paraId="25C23097" w14:textId="77777777">
      <w:pPr>
        <w:ind w:firstLine="720"/>
        <w:rPr>
          <w:sz w:val="24"/>
        </w:rPr>
      </w:pPr>
      <w:r w:rsidRPr="00E45A9A">
        <w:rPr>
          <w:sz w:val="24"/>
        </w:rPr>
        <w:t xml:space="preserve">To ensure privacy and anonymity, </w:t>
      </w:r>
      <w:r w:rsidRPr="00E45A9A" w:rsidR="00252923">
        <w:rPr>
          <w:sz w:val="24"/>
        </w:rPr>
        <w:t>several</w:t>
      </w:r>
      <w:r w:rsidRPr="00E45A9A">
        <w:rPr>
          <w:sz w:val="24"/>
        </w:rPr>
        <w:t xml:space="preserve"> procedures will be implemented: </w:t>
      </w:r>
    </w:p>
    <w:p w:rsidRPr="00E45A9A" w:rsidR="00E02557" w:rsidP="000D43ED" w:rsidRDefault="00E02557" w14:paraId="25CED9FD" w14:textId="77777777">
      <w:pPr>
        <w:ind w:firstLine="720"/>
        <w:rPr>
          <w:sz w:val="24"/>
        </w:rPr>
      </w:pPr>
    </w:p>
    <w:p w:rsidRPr="00E45A9A" w:rsidR="00D40424" w:rsidP="000D43ED" w:rsidRDefault="0062066D" w14:paraId="0B8D7D2E" w14:textId="77777777">
      <w:pPr>
        <w:pStyle w:val="Level1"/>
        <w:numPr>
          <w:ilvl w:val="0"/>
          <w:numId w:val="5"/>
        </w:numPr>
        <w:tabs>
          <w:tab w:val="clear" w:pos="1440"/>
          <w:tab w:val="left" w:pos="-1440"/>
          <w:tab w:val="num" w:pos="720"/>
        </w:tabs>
        <w:ind w:left="720"/>
        <w:outlineLvl w:val="9"/>
        <w:rPr>
          <w:sz w:val="24"/>
        </w:rPr>
      </w:pPr>
      <w:r w:rsidRPr="00E45A9A">
        <w:rPr>
          <w:sz w:val="24"/>
        </w:rPr>
        <w:t xml:space="preserve">Data </w:t>
      </w:r>
      <w:r w:rsidR="00E02557">
        <w:rPr>
          <w:sz w:val="24"/>
        </w:rPr>
        <w:t>are</w:t>
      </w:r>
      <w:r w:rsidRPr="00E45A9A" w:rsidR="001C26B3">
        <w:rPr>
          <w:sz w:val="24"/>
        </w:rPr>
        <w:t xml:space="preserve"> maintained securely throughout the data collection and data </w:t>
      </w:r>
      <w:r w:rsidRPr="00E45A9A">
        <w:rPr>
          <w:sz w:val="24"/>
        </w:rPr>
        <w:t>processing phases.</w:t>
      </w:r>
    </w:p>
    <w:p w:rsidRPr="00E45A9A" w:rsidR="001C26B3" w:rsidP="000D43ED" w:rsidRDefault="005A69BB" w14:paraId="4E07FF03" w14:textId="77777777">
      <w:pPr>
        <w:pStyle w:val="Level1"/>
        <w:numPr>
          <w:ilvl w:val="0"/>
          <w:numId w:val="5"/>
        </w:numPr>
        <w:tabs>
          <w:tab w:val="clear" w:pos="1440"/>
          <w:tab w:val="left" w:pos="-1440"/>
          <w:tab w:val="num" w:pos="720"/>
        </w:tabs>
        <w:ind w:left="720"/>
        <w:outlineLvl w:val="9"/>
        <w:rPr>
          <w:sz w:val="24"/>
        </w:rPr>
      </w:pPr>
      <w:r w:rsidRPr="00E45A9A">
        <w:rPr>
          <w:sz w:val="24"/>
        </w:rPr>
        <w:t xml:space="preserve">Data </w:t>
      </w:r>
      <w:r w:rsidR="00E02557">
        <w:rPr>
          <w:sz w:val="24"/>
        </w:rPr>
        <w:t>are</w:t>
      </w:r>
      <w:r w:rsidRPr="00E45A9A">
        <w:rPr>
          <w:sz w:val="24"/>
        </w:rPr>
        <w:t xml:space="preserve"> primarily stored on a secure CDC</w:t>
      </w:r>
      <w:r w:rsidRPr="00E45A9A" w:rsidR="00866F9F">
        <w:rPr>
          <w:sz w:val="24"/>
        </w:rPr>
        <w:t>-</w:t>
      </w:r>
      <w:r w:rsidRPr="00E45A9A">
        <w:rPr>
          <w:sz w:val="24"/>
        </w:rPr>
        <w:t>based server accessed via a secure web platform. Supplemental data may be</w:t>
      </w:r>
      <w:r w:rsidRPr="00E45A9A" w:rsidR="001C26B3">
        <w:rPr>
          <w:sz w:val="24"/>
        </w:rPr>
        <w:t xml:space="preserve"> stored at the state level in secured computers that reside within state health department firewalls.</w:t>
      </w:r>
    </w:p>
    <w:p w:rsidRPr="00E45A9A" w:rsidR="001C26B3" w:rsidP="000D43ED" w:rsidRDefault="00EE6BE6" w14:paraId="23CF03DD" w14:textId="77777777">
      <w:pPr>
        <w:pStyle w:val="Level1"/>
        <w:numPr>
          <w:ilvl w:val="0"/>
          <w:numId w:val="5"/>
        </w:numPr>
        <w:tabs>
          <w:tab w:val="clear" w:pos="1440"/>
          <w:tab w:val="left" w:pos="-1440"/>
          <w:tab w:val="num" w:pos="720"/>
        </w:tabs>
        <w:ind w:left="720"/>
        <w:outlineLvl w:val="9"/>
        <w:rPr>
          <w:sz w:val="24"/>
        </w:rPr>
      </w:pPr>
      <w:r w:rsidRPr="00E45A9A">
        <w:rPr>
          <w:sz w:val="24"/>
        </w:rPr>
        <w:t>The CDC system does not store personal identifying information</w:t>
      </w:r>
      <w:r w:rsidRPr="00E45A9A" w:rsidR="001C26B3">
        <w:rPr>
          <w:sz w:val="24"/>
        </w:rPr>
        <w:t xml:space="preserve"> such as names, address, SSN, </w:t>
      </w:r>
      <w:r w:rsidRPr="00E45A9A" w:rsidR="009259D0">
        <w:rPr>
          <w:sz w:val="24"/>
        </w:rPr>
        <w:t>date of birth, etc.</w:t>
      </w:r>
    </w:p>
    <w:p w:rsidR="001C26B3" w:rsidP="000D43ED" w:rsidRDefault="0062066D" w14:paraId="57D3ECBB" w14:textId="77777777">
      <w:pPr>
        <w:pStyle w:val="Level1"/>
        <w:numPr>
          <w:ilvl w:val="0"/>
          <w:numId w:val="5"/>
        </w:numPr>
        <w:tabs>
          <w:tab w:val="clear" w:pos="1440"/>
          <w:tab w:val="left" w:pos="-1440"/>
          <w:tab w:val="num" w:pos="720"/>
        </w:tabs>
        <w:ind w:left="720"/>
        <w:outlineLvl w:val="9"/>
        <w:rPr>
          <w:sz w:val="24"/>
        </w:rPr>
      </w:pPr>
      <w:r w:rsidRPr="00E45A9A">
        <w:rPr>
          <w:sz w:val="24"/>
        </w:rPr>
        <w:t>NVDRS</w:t>
      </w:r>
      <w:r w:rsidRPr="00E45A9A" w:rsidR="001C26B3">
        <w:rPr>
          <w:sz w:val="24"/>
        </w:rPr>
        <w:t xml:space="preserve"> follow</w:t>
      </w:r>
      <w:r w:rsidRPr="00E45A9A">
        <w:rPr>
          <w:sz w:val="24"/>
        </w:rPr>
        <w:t>s</w:t>
      </w:r>
      <w:r w:rsidRPr="00E45A9A" w:rsidR="001C26B3">
        <w:rPr>
          <w:sz w:val="24"/>
        </w:rPr>
        <w:t xml:space="preserve"> guidelines on suppression of small sample sizes in data tabulations to prevent the inadvertent identification of an individual through the combination of various demographic characteristics, </w:t>
      </w:r>
      <w:r w:rsidR="002770AA">
        <w:rPr>
          <w:sz w:val="24"/>
        </w:rPr>
        <w:t>(</w:t>
      </w:r>
      <w:r w:rsidRPr="00E45A9A" w:rsidR="001C26B3">
        <w:rPr>
          <w:sz w:val="24"/>
        </w:rPr>
        <w:t xml:space="preserve">e.g., a </w:t>
      </w:r>
      <w:r w:rsidRPr="00E45A9A" w:rsidR="00252923">
        <w:rPr>
          <w:sz w:val="24"/>
        </w:rPr>
        <w:t>98-year-old</w:t>
      </w:r>
      <w:r w:rsidRPr="00E45A9A" w:rsidR="001C26B3">
        <w:rPr>
          <w:sz w:val="24"/>
        </w:rPr>
        <w:t xml:space="preserve"> man from Pawtucket </w:t>
      </w:r>
      <w:r w:rsidRPr="00E45A9A" w:rsidR="00EA2013">
        <w:rPr>
          <w:sz w:val="24"/>
        </w:rPr>
        <w:t>County</w:t>
      </w:r>
      <w:r w:rsidRPr="00E45A9A" w:rsidR="001C26B3">
        <w:rPr>
          <w:sz w:val="24"/>
        </w:rPr>
        <w:t xml:space="preserve"> in Massachusetts might be readily identifiable</w:t>
      </w:r>
      <w:r w:rsidR="002770AA">
        <w:rPr>
          <w:sz w:val="24"/>
        </w:rPr>
        <w:t>)</w:t>
      </w:r>
      <w:r w:rsidRPr="00E45A9A" w:rsidR="001C26B3">
        <w:rPr>
          <w:sz w:val="24"/>
        </w:rPr>
        <w:t xml:space="preserve">. </w:t>
      </w:r>
    </w:p>
    <w:p w:rsidR="000A0E96" w:rsidP="001052B8" w:rsidRDefault="000A0E96" w14:paraId="782DABA8" w14:textId="77777777">
      <w:pPr>
        <w:pStyle w:val="Level1"/>
        <w:numPr>
          <w:ilvl w:val="0"/>
          <w:numId w:val="0"/>
        </w:numPr>
        <w:tabs>
          <w:tab w:val="left" w:pos="-1440"/>
        </w:tabs>
        <w:ind w:left="360" w:hanging="720"/>
        <w:outlineLvl w:val="9"/>
        <w:rPr>
          <w:sz w:val="24"/>
        </w:rPr>
      </w:pPr>
    </w:p>
    <w:p w:rsidR="003E3A1F" w:rsidP="003C450F" w:rsidRDefault="003E3A1F" w14:paraId="0B1F3130" w14:textId="77777777">
      <w:pPr>
        <w:pStyle w:val="Level1"/>
        <w:numPr>
          <w:ilvl w:val="0"/>
          <w:numId w:val="0"/>
        </w:numPr>
        <w:tabs>
          <w:tab w:val="left" w:pos="-1440"/>
        </w:tabs>
        <w:ind w:left="1440"/>
        <w:outlineLvl w:val="9"/>
        <w:rPr>
          <w:sz w:val="24"/>
        </w:rPr>
      </w:pPr>
    </w:p>
    <w:p w:rsidRPr="00E45A9A" w:rsidR="002B2C5B" w:rsidP="003C450F" w:rsidRDefault="002B2C5B" w14:paraId="46AEBA4E" w14:textId="77777777">
      <w:pPr>
        <w:numPr>
          <w:ilvl w:val="0"/>
          <w:numId w:val="8"/>
        </w:numPr>
        <w:tabs>
          <w:tab w:val="left" w:pos="-1440"/>
        </w:tabs>
        <w:rPr>
          <w:b/>
          <w:bCs/>
          <w:sz w:val="24"/>
        </w:rPr>
      </w:pPr>
      <w:r w:rsidRPr="00E45A9A">
        <w:rPr>
          <w:b/>
          <w:bCs/>
          <w:sz w:val="24"/>
        </w:rPr>
        <w:t xml:space="preserve">Institutional Review Board (IRB) and Justification for Sensitive Questions </w:t>
      </w:r>
    </w:p>
    <w:p w:rsidRPr="00E45A9A" w:rsidR="002B2C5B" w:rsidP="003C450F" w:rsidRDefault="002B2C5B" w14:paraId="382E2132" w14:textId="77777777">
      <w:pPr>
        <w:tabs>
          <w:tab w:val="left" w:pos="-1440"/>
        </w:tabs>
        <w:ind w:left="1440" w:hanging="1440"/>
        <w:rPr>
          <w:b/>
          <w:bCs/>
          <w:sz w:val="24"/>
        </w:rPr>
      </w:pPr>
    </w:p>
    <w:p w:rsidR="002B2C5B" w:rsidP="00CF700C" w:rsidRDefault="002B2C5B" w14:paraId="5CBC535A" w14:textId="77777777">
      <w:pPr>
        <w:tabs>
          <w:tab w:val="left" w:pos="-1440"/>
        </w:tabs>
        <w:ind w:left="1800" w:hanging="1440"/>
        <w:rPr>
          <w:b/>
          <w:bCs/>
          <w:sz w:val="24"/>
        </w:rPr>
      </w:pPr>
      <w:r w:rsidRPr="00E45A9A">
        <w:rPr>
          <w:b/>
          <w:bCs/>
          <w:sz w:val="24"/>
        </w:rPr>
        <w:t>IRB Approval</w:t>
      </w:r>
    </w:p>
    <w:p w:rsidR="003170A0" w:rsidP="00CF700C" w:rsidRDefault="003170A0" w14:paraId="3FD69BE1" w14:textId="77777777">
      <w:pPr>
        <w:ind w:left="360"/>
        <w:rPr>
          <w:sz w:val="24"/>
        </w:rPr>
      </w:pPr>
      <w:r w:rsidRPr="00E45A9A">
        <w:rPr>
          <w:sz w:val="24"/>
        </w:rPr>
        <w:t xml:space="preserve">The CDC National Center for Injury Prevention and Control’s OMB and </w:t>
      </w:r>
      <w:r w:rsidR="002770AA">
        <w:rPr>
          <w:sz w:val="24"/>
        </w:rPr>
        <w:t>H</w:t>
      </w:r>
      <w:r w:rsidRPr="00E45A9A">
        <w:rPr>
          <w:sz w:val="24"/>
        </w:rPr>
        <w:t xml:space="preserve">uman </w:t>
      </w:r>
      <w:r w:rsidR="002770AA">
        <w:rPr>
          <w:sz w:val="24"/>
        </w:rPr>
        <w:t>S</w:t>
      </w:r>
      <w:r w:rsidRPr="00E45A9A">
        <w:rPr>
          <w:sz w:val="24"/>
        </w:rPr>
        <w:t xml:space="preserve">ubjects </w:t>
      </w:r>
      <w:r w:rsidR="002770AA">
        <w:rPr>
          <w:sz w:val="24"/>
        </w:rPr>
        <w:t>L</w:t>
      </w:r>
      <w:r w:rsidRPr="00E45A9A">
        <w:rPr>
          <w:sz w:val="24"/>
        </w:rPr>
        <w:t>iaison has determined that IRB approval is not needed for this non-</w:t>
      </w:r>
      <w:r w:rsidRPr="00E45A9A" w:rsidR="0077643E">
        <w:rPr>
          <w:sz w:val="24"/>
        </w:rPr>
        <w:t>research</w:t>
      </w:r>
      <w:r w:rsidRPr="00E45A9A">
        <w:rPr>
          <w:sz w:val="24"/>
        </w:rPr>
        <w:t xml:space="preserve"> </w:t>
      </w:r>
      <w:r w:rsidRPr="00E45A9A" w:rsidR="0077643E">
        <w:rPr>
          <w:sz w:val="24"/>
        </w:rPr>
        <w:t>surveillance</w:t>
      </w:r>
      <w:r w:rsidRPr="00E45A9A">
        <w:rPr>
          <w:sz w:val="24"/>
        </w:rPr>
        <w:t xml:space="preserve"> work. No personal information will be </w:t>
      </w:r>
      <w:r w:rsidRPr="00E45A9A" w:rsidR="00252923">
        <w:rPr>
          <w:sz w:val="24"/>
        </w:rPr>
        <w:t>collected,</w:t>
      </w:r>
      <w:r w:rsidRPr="00E45A9A">
        <w:rPr>
          <w:sz w:val="24"/>
        </w:rPr>
        <w:t xml:space="preserve"> and human participants will not be used (</w:t>
      </w:r>
      <w:r w:rsidRPr="001A3506" w:rsidR="00422F07">
        <w:rPr>
          <w:sz w:val="24"/>
        </w:rPr>
        <w:t>Att</w:t>
      </w:r>
      <w:r w:rsidR="00422F07">
        <w:rPr>
          <w:sz w:val="24"/>
        </w:rPr>
        <w:t>achment</w:t>
      </w:r>
      <w:r w:rsidRPr="001A3506" w:rsidR="00422F07">
        <w:rPr>
          <w:sz w:val="24"/>
        </w:rPr>
        <w:t xml:space="preserve"> </w:t>
      </w:r>
      <w:r w:rsidRPr="00E45A9A">
        <w:rPr>
          <w:sz w:val="24"/>
        </w:rPr>
        <w:t>5)</w:t>
      </w:r>
    </w:p>
    <w:p w:rsidR="004C0354" w:rsidP="00CF700C" w:rsidRDefault="004C0354" w14:paraId="2726EE11" w14:textId="77777777">
      <w:pPr>
        <w:ind w:left="360"/>
        <w:rPr>
          <w:sz w:val="24"/>
        </w:rPr>
      </w:pPr>
    </w:p>
    <w:p w:rsidR="001C26B3" w:rsidP="00D36F0A" w:rsidRDefault="001C26B3" w14:paraId="1B87C829" w14:textId="77777777">
      <w:pPr>
        <w:tabs>
          <w:tab w:val="left" w:pos="-1440"/>
        </w:tabs>
        <w:ind w:left="1440" w:hanging="990"/>
        <w:rPr>
          <w:b/>
          <w:bCs/>
          <w:sz w:val="24"/>
        </w:rPr>
      </w:pPr>
      <w:r w:rsidRPr="00E45A9A">
        <w:rPr>
          <w:b/>
          <w:bCs/>
          <w:sz w:val="24"/>
        </w:rPr>
        <w:lastRenderedPageBreak/>
        <w:t>Sensitive Questions</w:t>
      </w:r>
    </w:p>
    <w:p w:rsidR="00D36F0A" w:rsidP="00D36F0A" w:rsidRDefault="001C26B3" w14:paraId="43169965" w14:textId="77777777">
      <w:pPr>
        <w:ind w:left="450"/>
        <w:rPr>
          <w:sz w:val="24"/>
        </w:rPr>
      </w:pPr>
      <w:r w:rsidRPr="00E45A9A">
        <w:rPr>
          <w:sz w:val="24"/>
        </w:rPr>
        <w:t>No sensitive questions are asked directly to individuals involved in violent incidents or their next of kin.  Information on sensitive issues</w:t>
      </w:r>
      <w:r w:rsidR="00B41C6D">
        <w:rPr>
          <w:sz w:val="24"/>
        </w:rPr>
        <w:t xml:space="preserve"> (</w:t>
      </w:r>
      <w:r w:rsidRPr="00E45A9A">
        <w:rPr>
          <w:sz w:val="24"/>
        </w:rPr>
        <w:t>e.g., mental illness and substance abuse</w:t>
      </w:r>
      <w:r w:rsidR="00B41C6D">
        <w:rPr>
          <w:sz w:val="24"/>
        </w:rPr>
        <w:t>)</w:t>
      </w:r>
      <w:r w:rsidRPr="00E45A9A">
        <w:rPr>
          <w:sz w:val="24"/>
        </w:rPr>
        <w:t>, are collected about the deceased victims from the records of public agencies. Such information is critical for the identification of preventive measures.</w:t>
      </w:r>
    </w:p>
    <w:p w:rsidR="004C0354" w:rsidP="00D36F0A" w:rsidRDefault="004C0354" w14:paraId="5507A2FD" w14:textId="77777777">
      <w:pPr>
        <w:ind w:left="450"/>
        <w:rPr>
          <w:sz w:val="24"/>
        </w:rPr>
      </w:pPr>
    </w:p>
    <w:p w:rsidRPr="00CA1AA2" w:rsidR="006E4935" w:rsidP="00D36F0A" w:rsidRDefault="006E4935" w14:paraId="2104A1F3" w14:textId="77777777">
      <w:pPr>
        <w:ind w:left="450"/>
        <w:rPr>
          <w:sz w:val="24"/>
        </w:rPr>
      </w:pPr>
      <w:r w:rsidRPr="008A4AE0">
        <w:rPr>
          <w:sz w:val="24"/>
          <w:szCs w:val="20"/>
        </w:rPr>
        <w:t xml:space="preserve">The SAVD-SS is covered under an Assurance of Confidentiality. </w:t>
      </w:r>
      <w:r w:rsidRPr="008A4AE0">
        <w:rPr>
          <w:sz w:val="24"/>
        </w:rPr>
        <w:t>The 308(d) Assurance of Confidentiality has been used to prevent disclosure of data. In particular, reporters from several media outlets and independent researchers have submitted FOIA requests to obtain raw data from the SAVD-SS. The Assurance of Confidentiality has prevented CDC staff from having to share these confidential data that contain personal identifiable information (PII).</w:t>
      </w:r>
    </w:p>
    <w:p w:rsidRPr="00E45A9A" w:rsidR="006E4935" w:rsidP="00CF700C" w:rsidRDefault="006E4935" w14:paraId="49C5992E" w14:textId="77777777">
      <w:pPr>
        <w:rPr>
          <w:sz w:val="24"/>
        </w:rPr>
      </w:pPr>
    </w:p>
    <w:p w:rsidRPr="00E45A9A" w:rsidR="004A2713" w:rsidP="00AC3E9C" w:rsidRDefault="004A2713" w14:paraId="3C925280" w14:textId="77777777">
      <w:pPr>
        <w:rPr>
          <w:sz w:val="24"/>
        </w:rPr>
      </w:pPr>
    </w:p>
    <w:p w:rsidRPr="00E02557" w:rsidR="001C26B3" w:rsidP="003824C0" w:rsidRDefault="004A2713" w14:paraId="5473DBB4" w14:textId="77777777">
      <w:pPr>
        <w:numPr>
          <w:ilvl w:val="0"/>
          <w:numId w:val="8"/>
        </w:numPr>
        <w:rPr>
          <w:sz w:val="24"/>
        </w:rPr>
      </w:pPr>
      <w:r w:rsidRPr="00E02557">
        <w:rPr>
          <w:b/>
          <w:bCs/>
          <w:sz w:val="24"/>
        </w:rPr>
        <w:t xml:space="preserve">A. </w:t>
      </w:r>
      <w:r w:rsidRPr="00E02557" w:rsidR="0079796A">
        <w:rPr>
          <w:b/>
          <w:bCs/>
          <w:sz w:val="24"/>
        </w:rPr>
        <w:t xml:space="preserve"> </w:t>
      </w:r>
      <w:r w:rsidRPr="00E02557" w:rsidR="001C26B3">
        <w:rPr>
          <w:b/>
          <w:bCs/>
          <w:sz w:val="24"/>
        </w:rPr>
        <w:t>Estimates of Annualized Burden Hours and Costs</w:t>
      </w:r>
    </w:p>
    <w:p w:rsidR="001509CD" w:rsidP="0079796A" w:rsidRDefault="001509CD" w14:paraId="7BC0751C" w14:textId="77777777">
      <w:pPr>
        <w:keepNext/>
        <w:keepLines/>
        <w:ind w:left="1080"/>
        <w:rPr>
          <w:sz w:val="24"/>
        </w:rPr>
      </w:pPr>
    </w:p>
    <w:p w:rsidRPr="00E45A9A" w:rsidR="001C26B3" w:rsidP="00CF700C" w:rsidRDefault="0079796A" w14:paraId="2159A284" w14:textId="77777777">
      <w:pPr>
        <w:keepNext/>
        <w:keepLines/>
        <w:ind w:left="360"/>
        <w:rPr>
          <w:sz w:val="24"/>
        </w:rPr>
      </w:pPr>
      <w:r w:rsidRPr="00E02557">
        <w:rPr>
          <w:sz w:val="24"/>
        </w:rPr>
        <w:t>There are no standard paper data collection forms to be used by states because</w:t>
      </w:r>
      <w:r w:rsidRPr="00E45A9A">
        <w:rPr>
          <w:sz w:val="24"/>
        </w:rPr>
        <w:t xml:space="preserve"> states </w:t>
      </w:r>
      <w:r w:rsidRPr="00E02557">
        <w:rPr>
          <w:sz w:val="24"/>
        </w:rPr>
        <w:t>will be abstracting information from electronic or paper vital statistics,</w:t>
      </w:r>
      <w:r w:rsidRPr="00E45A9A">
        <w:rPr>
          <w:sz w:val="24"/>
        </w:rPr>
        <w:t xml:space="preserve"> coroner/medical </w:t>
      </w:r>
      <w:r w:rsidRPr="00E45A9A" w:rsidR="003D124E">
        <w:rPr>
          <w:sz w:val="24"/>
        </w:rPr>
        <w:t>examiner,</w:t>
      </w:r>
      <w:r w:rsidRPr="00E45A9A">
        <w:rPr>
          <w:sz w:val="24"/>
        </w:rPr>
        <w:t xml:space="preserve"> and law enforcement records into the CDC web-based data system</w:t>
      </w:r>
      <w:r w:rsidRPr="00E45A9A" w:rsidR="008F7150">
        <w:rPr>
          <w:sz w:val="24"/>
        </w:rPr>
        <w:t xml:space="preserve"> (</w:t>
      </w:r>
      <w:r w:rsidRPr="001A3506" w:rsidR="00422F07">
        <w:rPr>
          <w:sz w:val="24"/>
        </w:rPr>
        <w:t>Att</w:t>
      </w:r>
      <w:r w:rsidR="00422F07">
        <w:rPr>
          <w:sz w:val="24"/>
        </w:rPr>
        <w:t>achment</w:t>
      </w:r>
      <w:r w:rsidRPr="001A3506" w:rsidR="00422F07">
        <w:rPr>
          <w:sz w:val="24"/>
        </w:rPr>
        <w:t xml:space="preserve"> </w:t>
      </w:r>
      <w:r w:rsidR="00AB5199">
        <w:rPr>
          <w:sz w:val="24"/>
        </w:rPr>
        <w:t>6</w:t>
      </w:r>
      <w:r w:rsidRPr="00E45A9A" w:rsidR="008F7150">
        <w:rPr>
          <w:sz w:val="24"/>
        </w:rPr>
        <w:t>)</w:t>
      </w:r>
      <w:r w:rsidRPr="00E45A9A">
        <w:rPr>
          <w:sz w:val="24"/>
        </w:rPr>
        <w:t>.</w:t>
      </w:r>
      <w:r w:rsidRPr="00E45A9A" w:rsidR="00947237">
        <w:rPr>
          <w:sz w:val="24"/>
        </w:rPr>
        <w:t xml:space="preserve"> We are using our over</w:t>
      </w:r>
      <w:r w:rsidRPr="00E45A9A" w:rsidR="008F7150">
        <w:rPr>
          <w:sz w:val="24"/>
        </w:rPr>
        <w:t xml:space="preserve"> </w:t>
      </w:r>
      <w:r w:rsidRPr="00E45A9A" w:rsidR="00947237">
        <w:rPr>
          <w:sz w:val="24"/>
        </w:rPr>
        <w:t>10 years of experience working with states to estimate the annualized burden hours and costs.</w:t>
      </w:r>
    </w:p>
    <w:p w:rsidRPr="00E45A9A" w:rsidR="0079796A" w:rsidP="00CF700C" w:rsidRDefault="0079796A" w14:paraId="06BC78CD" w14:textId="77777777">
      <w:pPr>
        <w:ind w:firstLine="360"/>
        <w:rPr>
          <w:sz w:val="24"/>
        </w:rPr>
      </w:pPr>
    </w:p>
    <w:p w:rsidR="00791BED" w:rsidP="00CF700C" w:rsidRDefault="00791BED" w14:paraId="0772F198" w14:textId="77777777">
      <w:pPr>
        <w:ind w:firstLine="360"/>
        <w:rPr>
          <w:sz w:val="24"/>
        </w:rPr>
      </w:pPr>
      <w:r w:rsidRPr="00E45A9A">
        <w:rPr>
          <w:sz w:val="24"/>
        </w:rPr>
        <w:t>The burden was estimated as follows:</w:t>
      </w:r>
    </w:p>
    <w:p w:rsidRPr="00E45A9A" w:rsidR="00B86867" w:rsidP="001052B8" w:rsidRDefault="00B86867" w14:paraId="5FAB12A2" w14:textId="77777777">
      <w:pPr>
        <w:ind w:left="360" w:firstLine="360"/>
        <w:rPr>
          <w:sz w:val="24"/>
        </w:rPr>
      </w:pPr>
    </w:p>
    <w:p w:rsidR="00CF700C" w:rsidP="00CF700C" w:rsidRDefault="00687BBD" w14:paraId="40F6B674" w14:textId="77777777">
      <w:pPr>
        <w:numPr>
          <w:ilvl w:val="0"/>
          <w:numId w:val="31"/>
        </w:numPr>
        <w:rPr>
          <w:sz w:val="24"/>
        </w:rPr>
      </w:pPr>
      <w:r>
        <w:rPr>
          <w:sz w:val="24"/>
        </w:rPr>
        <w:t>NVDRS is currently in 50 states, the District of Columbia, and Puerto Rico. However, f</w:t>
      </w:r>
      <w:r w:rsidRPr="00510AF4" w:rsidR="00142C7A">
        <w:rPr>
          <w:sz w:val="24"/>
        </w:rPr>
        <w:t>or th</w:t>
      </w:r>
      <w:r w:rsidR="00D71C62">
        <w:rPr>
          <w:sz w:val="24"/>
        </w:rPr>
        <w:t>e previous</w:t>
      </w:r>
      <w:r w:rsidRPr="00510AF4" w:rsidR="00142C7A">
        <w:rPr>
          <w:sz w:val="24"/>
        </w:rPr>
        <w:t xml:space="preserve"> OMB package</w:t>
      </w:r>
      <w:r w:rsidR="0092385B">
        <w:rPr>
          <w:sz w:val="24"/>
        </w:rPr>
        <w:t xml:space="preserve"> and for this package</w:t>
      </w:r>
      <w:r w:rsidRPr="00510AF4" w:rsidR="00142C7A">
        <w:rPr>
          <w:sz w:val="24"/>
        </w:rPr>
        <w:t xml:space="preserve">, </w:t>
      </w:r>
      <w:r w:rsidRPr="00510AF4" w:rsidR="009C0899">
        <w:rPr>
          <w:sz w:val="24"/>
        </w:rPr>
        <w:t>t</w:t>
      </w:r>
      <w:r w:rsidRPr="00510AF4" w:rsidR="00791BED">
        <w:rPr>
          <w:sz w:val="24"/>
        </w:rPr>
        <w:t xml:space="preserve">he burden </w:t>
      </w:r>
      <w:r w:rsidRPr="00510AF4" w:rsidR="00D71D56">
        <w:rPr>
          <w:sz w:val="24"/>
        </w:rPr>
        <w:t xml:space="preserve">was </w:t>
      </w:r>
      <w:r w:rsidRPr="00510AF4" w:rsidR="002C023C">
        <w:rPr>
          <w:sz w:val="24"/>
        </w:rPr>
        <w:t>calculated for 5</w:t>
      </w:r>
      <w:r w:rsidRPr="00510AF4" w:rsidR="00142C7A">
        <w:rPr>
          <w:sz w:val="24"/>
        </w:rPr>
        <w:t>6</w:t>
      </w:r>
      <w:r w:rsidRPr="00510AF4" w:rsidR="00791BED">
        <w:rPr>
          <w:sz w:val="24"/>
        </w:rPr>
        <w:t xml:space="preserve"> states</w:t>
      </w:r>
      <w:r w:rsidRPr="00510AF4" w:rsidR="002C023C">
        <w:rPr>
          <w:sz w:val="24"/>
        </w:rPr>
        <w:t xml:space="preserve"> (respondents)</w:t>
      </w:r>
      <w:r w:rsidRPr="00510AF4" w:rsidR="009C0899">
        <w:rPr>
          <w:sz w:val="24"/>
        </w:rPr>
        <w:t xml:space="preserve"> reporting 5</w:t>
      </w:r>
      <w:r w:rsidRPr="00510AF4" w:rsidR="00962284">
        <w:rPr>
          <w:sz w:val="24"/>
        </w:rPr>
        <w:t>6</w:t>
      </w:r>
      <w:r w:rsidRPr="00510AF4" w:rsidR="002C023C">
        <w:rPr>
          <w:sz w:val="24"/>
        </w:rPr>
        <w:t>,000 violent deaths</w:t>
      </w:r>
      <w:r w:rsidRPr="00510AF4" w:rsidR="009C0899">
        <w:rPr>
          <w:sz w:val="24"/>
        </w:rPr>
        <w:t xml:space="preserve"> which averages to 1,000 deaths per state</w:t>
      </w:r>
      <w:r w:rsidRPr="00510AF4" w:rsidR="002C023C">
        <w:rPr>
          <w:sz w:val="24"/>
        </w:rPr>
        <w:t xml:space="preserve">. </w:t>
      </w:r>
      <w:r w:rsidRPr="00510AF4" w:rsidR="00142C7A">
        <w:rPr>
          <w:sz w:val="24"/>
        </w:rPr>
        <w:t>The b</w:t>
      </w:r>
      <w:r w:rsidRPr="00510AF4" w:rsidR="00485E81">
        <w:rPr>
          <w:sz w:val="24"/>
        </w:rPr>
        <w:t>urden</w:t>
      </w:r>
      <w:r w:rsidRPr="00510AF4" w:rsidR="002C023C">
        <w:rPr>
          <w:sz w:val="24"/>
        </w:rPr>
        <w:t xml:space="preserve"> estimate include</w:t>
      </w:r>
      <w:r w:rsidRPr="00510AF4" w:rsidR="00142C7A">
        <w:rPr>
          <w:sz w:val="24"/>
        </w:rPr>
        <w:t>s</w:t>
      </w:r>
      <w:r w:rsidRPr="00510AF4" w:rsidR="002C023C">
        <w:rPr>
          <w:sz w:val="24"/>
        </w:rPr>
        <w:t xml:space="preserve"> projected hours for 56 states</w:t>
      </w:r>
      <w:r w:rsidR="0092385B">
        <w:rPr>
          <w:sz w:val="24"/>
        </w:rPr>
        <w:t xml:space="preserve"> that includes</w:t>
      </w:r>
      <w:r w:rsidR="001509CD">
        <w:rPr>
          <w:sz w:val="24"/>
        </w:rPr>
        <w:t xml:space="preserve"> </w:t>
      </w:r>
      <w:r w:rsidRPr="0092385B" w:rsidR="0092385B">
        <w:rPr>
          <w:sz w:val="24"/>
        </w:rPr>
        <w:t>50 states, the District of Columbia, the territory of Puerto Rico, and 4 U.S. territory health departments (Guam, American Samoa, the Commonwealth of the Northern Mariana Islands</w:t>
      </w:r>
      <w:r w:rsidR="0092385B">
        <w:rPr>
          <w:sz w:val="24"/>
        </w:rPr>
        <w:t xml:space="preserve">, and the </w:t>
      </w:r>
      <w:r w:rsidRPr="0092385B" w:rsidR="0092385B">
        <w:rPr>
          <w:sz w:val="24"/>
        </w:rPr>
        <w:t>U.S. Virgin Islands).</w:t>
      </w:r>
    </w:p>
    <w:p w:rsidRPr="00CF700C" w:rsidR="00033F92" w:rsidP="00CF700C" w:rsidRDefault="00947237" w14:paraId="53C265AB" w14:textId="77777777">
      <w:pPr>
        <w:numPr>
          <w:ilvl w:val="0"/>
          <w:numId w:val="31"/>
        </w:numPr>
        <w:rPr>
          <w:sz w:val="24"/>
        </w:rPr>
      </w:pPr>
      <w:r w:rsidRPr="00CF700C">
        <w:rPr>
          <w:sz w:val="24"/>
        </w:rPr>
        <w:t>The number of violent deaths per year in an average state we estimated by dividing the total number of deaths nationwide (</w:t>
      </w:r>
      <w:r w:rsidRPr="00CF700C" w:rsidR="00033F92">
        <w:rPr>
          <w:sz w:val="24"/>
        </w:rPr>
        <w:t xml:space="preserve">≈ </w:t>
      </w:r>
      <w:r w:rsidRPr="00CF700C" w:rsidR="00E9250C">
        <w:rPr>
          <w:sz w:val="24"/>
        </w:rPr>
        <w:t>73</w:t>
      </w:r>
      <w:r w:rsidRPr="00CF700C" w:rsidR="004D0CFD">
        <w:rPr>
          <w:sz w:val="24"/>
        </w:rPr>
        <w:t>,</w:t>
      </w:r>
      <w:r w:rsidRPr="00CF700C" w:rsidR="00E9250C">
        <w:rPr>
          <w:sz w:val="24"/>
        </w:rPr>
        <w:t>0</w:t>
      </w:r>
      <w:r w:rsidRPr="00CF700C" w:rsidR="00033F92">
        <w:rPr>
          <w:sz w:val="24"/>
        </w:rPr>
        <w:t xml:space="preserve">00) by 56. </w:t>
      </w:r>
      <w:r w:rsidRPr="00CF700C" w:rsidR="009C0899">
        <w:rPr>
          <w:sz w:val="24"/>
        </w:rPr>
        <w:t xml:space="preserve">In </w:t>
      </w:r>
      <w:r w:rsidRPr="00CF700C" w:rsidR="00865DFC">
        <w:rPr>
          <w:sz w:val="24"/>
        </w:rPr>
        <w:t>201</w:t>
      </w:r>
      <w:r w:rsidRPr="00CF700C" w:rsidR="00515BB0">
        <w:rPr>
          <w:sz w:val="24"/>
        </w:rPr>
        <w:t>9</w:t>
      </w:r>
      <w:r w:rsidRPr="00CF700C" w:rsidR="009C0899">
        <w:rPr>
          <w:sz w:val="24"/>
        </w:rPr>
        <w:t xml:space="preserve">, </w:t>
      </w:r>
      <w:r w:rsidRPr="00CF700C" w:rsidR="00D71C62">
        <w:rPr>
          <w:sz w:val="24"/>
        </w:rPr>
        <w:t>72,987</w:t>
      </w:r>
      <w:r w:rsidRPr="00CF700C" w:rsidR="00E9250C">
        <w:rPr>
          <w:sz w:val="24"/>
        </w:rPr>
        <w:t xml:space="preserve"> </w:t>
      </w:r>
      <w:r w:rsidRPr="00CF700C" w:rsidR="009C0899">
        <w:rPr>
          <w:sz w:val="24"/>
        </w:rPr>
        <w:t xml:space="preserve">deaths </w:t>
      </w:r>
      <w:r w:rsidRPr="00CF700C" w:rsidR="00DC52E8">
        <w:rPr>
          <w:sz w:val="24"/>
        </w:rPr>
        <w:t xml:space="preserve">in the U.S. </w:t>
      </w:r>
      <w:r w:rsidRPr="00CF700C" w:rsidR="009C0899">
        <w:rPr>
          <w:sz w:val="24"/>
        </w:rPr>
        <w:t xml:space="preserve">were </w:t>
      </w:r>
      <w:r w:rsidRPr="00CF700C" w:rsidR="003E7A57">
        <w:rPr>
          <w:sz w:val="24"/>
        </w:rPr>
        <w:t>classified as</w:t>
      </w:r>
      <w:r w:rsidRPr="00CF700C" w:rsidR="00133EFB">
        <w:rPr>
          <w:sz w:val="24"/>
        </w:rPr>
        <w:t xml:space="preserve"> either</w:t>
      </w:r>
      <w:r w:rsidRPr="00CF700C" w:rsidR="003E7A57">
        <w:rPr>
          <w:sz w:val="24"/>
        </w:rPr>
        <w:t xml:space="preserve"> </w:t>
      </w:r>
      <w:r w:rsidRPr="00CF700C" w:rsidR="009C0899">
        <w:rPr>
          <w:sz w:val="24"/>
        </w:rPr>
        <w:t>hom</w:t>
      </w:r>
      <w:r w:rsidRPr="00CF700C" w:rsidR="005C7503">
        <w:rPr>
          <w:sz w:val="24"/>
        </w:rPr>
        <w:t>i</w:t>
      </w:r>
      <w:r w:rsidRPr="00CF700C" w:rsidR="009C0899">
        <w:rPr>
          <w:sz w:val="24"/>
        </w:rPr>
        <w:t>cides,</w:t>
      </w:r>
      <w:r w:rsidRPr="00CF700C" w:rsidR="00133EFB">
        <w:rPr>
          <w:sz w:val="24"/>
        </w:rPr>
        <w:t xml:space="preserve"> legal intervention,</w:t>
      </w:r>
      <w:r w:rsidRPr="00CF700C" w:rsidR="009C0899">
        <w:rPr>
          <w:sz w:val="24"/>
        </w:rPr>
        <w:t xml:space="preserve"> suicides, or undetermined</w:t>
      </w:r>
      <w:r w:rsidRPr="00CF700C">
        <w:rPr>
          <w:sz w:val="24"/>
        </w:rPr>
        <w:t xml:space="preserve"> deaths</w:t>
      </w:r>
      <w:r w:rsidRPr="00CF700C" w:rsidR="00CC5338">
        <w:rPr>
          <w:sz w:val="24"/>
          <w:vertAlign w:val="superscript"/>
        </w:rPr>
        <w:t>iii</w:t>
      </w:r>
      <w:r w:rsidRPr="00CF700C" w:rsidR="009C0899">
        <w:rPr>
          <w:sz w:val="24"/>
        </w:rPr>
        <w:t>.</w:t>
      </w:r>
      <w:r w:rsidRPr="00CF700C" w:rsidR="0087637B">
        <w:rPr>
          <w:sz w:val="24"/>
        </w:rPr>
        <w:t xml:space="preserve"> </w:t>
      </w:r>
      <w:r w:rsidRPr="00CF700C">
        <w:rPr>
          <w:sz w:val="24"/>
        </w:rPr>
        <w:t>There are no national estimates of uninten</w:t>
      </w:r>
      <w:r w:rsidRPr="00CF700C" w:rsidR="00033F92">
        <w:rPr>
          <w:sz w:val="24"/>
        </w:rPr>
        <w:t xml:space="preserve">tional firearm deaths, however, </w:t>
      </w:r>
      <w:r w:rsidRPr="00CF700C" w:rsidR="002F39D9">
        <w:rPr>
          <w:sz w:val="24"/>
        </w:rPr>
        <w:t>data from</w:t>
      </w:r>
      <w:r w:rsidRPr="00CF700C" w:rsidR="00033F92">
        <w:rPr>
          <w:sz w:val="24"/>
        </w:rPr>
        <w:t xml:space="preserve"> </w:t>
      </w:r>
      <w:r w:rsidRPr="00CF700C" w:rsidR="00463DBF">
        <w:rPr>
          <w:sz w:val="24"/>
        </w:rPr>
        <w:t xml:space="preserve">27 </w:t>
      </w:r>
      <w:r w:rsidRPr="00CF700C" w:rsidR="002F39D9">
        <w:rPr>
          <w:sz w:val="24"/>
        </w:rPr>
        <w:t>NVDRS states showed</w:t>
      </w:r>
      <w:r w:rsidRPr="00CF700C" w:rsidR="00033F92">
        <w:rPr>
          <w:sz w:val="24"/>
        </w:rPr>
        <w:t xml:space="preserve"> that these deaths accounted for less than 1% of violent deaths </w:t>
      </w:r>
      <w:r w:rsidRPr="00CF700C" w:rsidR="005C7503">
        <w:rPr>
          <w:sz w:val="24"/>
        </w:rPr>
        <w:t xml:space="preserve">recorded in these states </w:t>
      </w:r>
      <w:r w:rsidRPr="00CF700C" w:rsidR="00033F92">
        <w:rPr>
          <w:sz w:val="24"/>
        </w:rPr>
        <w:t xml:space="preserve">in </w:t>
      </w:r>
      <w:r w:rsidRPr="00CF700C" w:rsidR="00463DBF">
        <w:rPr>
          <w:sz w:val="24"/>
        </w:rPr>
        <w:t>2015</w:t>
      </w:r>
      <w:r w:rsidRPr="00CF700C" w:rsidR="00463DBF">
        <w:rPr>
          <w:sz w:val="24"/>
          <w:vertAlign w:val="superscript"/>
        </w:rPr>
        <w:t>xvi</w:t>
      </w:r>
      <w:r w:rsidRPr="00CF700C" w:rsidR="00033F92">
        <w:rPr>
          <w:sz w:val="24"/>
        </w:rPr>
        <w:t>.</w:t>
      </w:r>
    </w:p>
    <w:p w:rsidRPr="00E45A9A" w:rsidR="003C450F" w:rsidP="001052B8" w:rsidRDefault="003C450F" w14:paraId="63C32FAE" w14:textId="77777777">
      <w:pPr>
        <w:ind w:left="1080"/>
        <w:rPr>
          <w:sz w:val="24"/>
        </w:rPr>
      </w:pPr>
    </w:p>
    <w:p w:rsidR="00314835" w:rsidP="00CF700C" w:rsidRDefault="001C26B3" w14:paraId="520908E4" w14:textId="77777777">
      <w:pPr>
        <w:rPr>
          <w:sz w:val="24"/>
        </w:rPr>
      </w:pPr>
      <w:r w:rsidRPr="00E45A9A">
        <w:rPr>
          <w:sz w:val="24"/>
        </w:rPr>
        <w:t>The number of hours per death required for the public agencies working with NVDRS states to retrieve and then refile their records was estimated at 0.5 hours per death</w:t>
      </w:r>
      <w:r w:rsidRPr="00E45A9A" w:rsidR="00791BED">
        <w:rPr>
          <w:sz w:val="24"/>
        </w:rPr>
        <w:t>.</w:t>
      </w:r>
      <w:r w:rsidRPr="00E45A9A" w:rsidR="00033F92">
        <w:rPr>
          <w:sz w:val="24"/>
        </w:rPr>
        <w:t xml:space="preserve"> </w:t>
      </w:r>
    </w:p>
    <w:p w:rsidR="001F6A94" w:rsidP="007E298E" w:rsidRDefault="001F6A94" w14:paraId="3FA6F522" w14:textId="77777777">
      <w:pPr>
        <w:rPr>
          <w:sz w:val="24"/>
        </w:rPr>
      </w:pPr>
    </w:p>
    <w:p w:rsidRPr="00E45A9A" w:rsidR="0077643E" w:rsidP="00077AAE" w:rsidRDefault="005F1F92" w14:paraId="0316FF2F" w14:textId="77777777">
      <w:pPr>
        <w:rPr>
          <w:sz w:val="24"/>
        </w:rPr>
      </w:pPr>
      <w:r w:rsidRPr="007E298E">
        <w:rPr>
          <w:sz w:val="24"/>
        </w:rPr>
        <w:t xml:space="preserve">Not all incidents will </w:t>
      </w:r>
      <w:r w:rsidR="001F6A94">
        <w:rPr>
          <w:sz w:val="24"/>
        </w:rPr>
        <w:t>require</w:t>
      </w:r>
      <w:r w:rsidRPr="007E298E">
        <w:rPr>
          <w:sz w:val="24"/>
        </w:rPr>
        <w:t xml:space="preserve"> </w:t>
      </w:r>
      <w:r w:rsidR="001F6A94">
        <w:rPr>
          <w:sz w:val="24"/>
        </w:rPr>
        <w:t xml:space="preserve">completion of </w:t>
      </w:r>
      <w:r w:rsidRPr="007E298E">
        <w:rPr>
          <w:sz w:val="24"/>
        </w:rPr>
        <w:t xml:space="preserve">the </w:t>
      </w:r>
      <w:r w:rsidR="001F6A94">
        <w:rPr>
          <w:sz w:val="24"/>
        </w:rPr>
        <w:t>SAVD</w:t>
      </w:r>
      <w:r w:rsidRPr="007E298E">
        <w:rPr>
          <w:sz w:val="24"/>
        </w:rPr>
        <w:t xml:space="preserve"> Module or Public Safety Officer Suicide Reporting Module. It is estimated that the SAVD module will take</w:t>
      </w:r>
      <w:r w:rsidR="002606E7">
        <w:rPr>
          <w:sz w:val="24"/>
        </w:rPr>
        <w:t xml:space="preserve"> </w:t>
      </w:r>
      <w:r w:rsidRPr="00E51A63" w:rsidR="002606E7">
        <w:rPr>
          <w:sz w:val="24"/>
        </w:rPr>
        <w:t>30 minutes</w:t>
      </w:r>
      <w:r w:rsidR="002606E7">
        <w:rPr>
          <w:sz w:val="24"/>
        </w:rPr>
        <w:t xml:space="preserve"> to complete and that the Public Safety Officer Reporting System module will take 10 minutes to complete. The </w:t>
      </w:r>
      <w:r w:rsidR="000969AD">
        <w:rPr>
          <w:sz w:val="24"/>
        </w:rPr>
        <w:t xml:space="preserve">number of incidents estimated for </w:t>
      </w:r>
      <w:r w:rsidR="002606E7">
        <w:rPr>
          <w:sz w:val="24"/>
        </w:rPr>
        <w:t xml:space="preserve">SAVD </w:t>
      </w:r>
      <w:r w:rsidR="000969AD">
        <w:rPr>
          <w:sz w:val="24"/>
        </w:rPr>
        <w:t xml:space="preserve">module </w:t>
      </w:r>
      <w:r w:rsidR="002606E7">
        <w:rPr>
          <w:sz w:val="24"/>
        </w:rPr>
        <w:t xml:space="preserve">is based upon the number of cases reported from SAVD-SS in a </w:t>
      </w:r>
      <w:r w:rsidRPr="00E31F1A" w:rsidR="002606E7">
        <w:rPr>
          <w:i/>
          <w:iCs/>
          <w:sz w:val="24"/>
        </w:rPr>
        <w:t>Morbidity and Mortality Weekly Report</w:t>
      </w:r>
      <w:r w:rsidR="002606E7">
        <w:rPr>
          <w:sz w:val="24"/>
        </w:rPr>
        <w:t xml:space="preserve"> (</w:t>
      </w:r>
      <w:r w:rsidRPr="00E31F1A" w:rsidR="002606E7">
        <w:rPr>
          <w:i/>
          <w:iCs/>
          <w:sz w:val="24"/>
        </w:rPr>
        <w:t>MMWR</w:t>
      </w:r>
      <w:r w:rsidR="002606E7">
        <w:rPr>
          <w:sz w:val="24"/>
        </w:rPr>
        <w:t xml:space="preserve">) article, and the Public </w:t>
      </w:r>
      <w:r w:rsidR="002606E7">
        <w:rPr>
          <w:sz w:val="24"/>
        </w:rPr>
        <w:lastRenderedPageBreak/>
        <w:t>Safety Officer Suicide Reporting Module estimate is based upon the number of cases in</w:t>
      </w:r>
      <w:r w:rsidR="007602BB">
        <w:rPr>
          <w:sz w:val="24"/>
        </w:rPr>
        <w:t xml:space="preserve"> </w:t>
      </w:r>
      <w:r w:rsidR="002606E7">
        <w:rPr>
          <w:sz w:val="24"/>
        </w:rPr>
        <w:t xml:space="preserve">an </w:t>
      </w:r>
      <w:r w:rsidRPr="001D30C8" w:rsidR="002606E7">
        <w:rPr>
          <w:i/>
          <w:iCs/>
          <w:sz w:val="24"/>
        </w:rPr>
        <w:t>MMWR</w:t>
      </w:r>
      <w:r w:rsidR="002606E7">
        <w:rPr>
          <w:sz w:val="24"/>
        </w:rPr>
        <w:t xml:space="preserve"> article </w:t>
      </w:r>
      <w:r w:rsidR="007602BB">
        <w:rPr>
          <w:sz w:val="24"/>
        </w:rPr>
        <w:t xml:space="preserve">of suicide rates by </w:t>
      </w:r>
      <w:r w:rsidR="001D30C8">
        <w:rPr>
          <w:sz w:val="24"/>
        </w:rPr>
        <w:t>i</w:t>
      </w:r>
      <w:r w:rsidR="007602BB">
        <w:rPr>
          <w:sz w:val="24"/>
        </w:rPr>
        <w:t xml:space="preserve">ndustry and </w:t>
      </w:r>
      <w:r w:rsidR="001D30C8">
        <w:rPr>
          <w:sz w:val="24"/>
        </w:rPr>
        <w:t>o</w:t>
      </w:r>
      <w:r w:rsidR="007602BB">
        <w:rPr>
          <w:sz w:val="24"/>
        </w:rPr>
        <w:t xml:space="preserve">ccupation, using an estimate for protective service occupations </w:t>
      </w:r>
      <w:hyperlink w:history="1" r:id="rId10">
        <w:r w:rsidRPr="003F4201" w:rsidR="007602BB">
          <w:rPr>
            <w:rStyle w:val="Hyperlink"/>
            <w:sz w:val="24"/>
          </w:rPr>
          <w:t>https://stacks.cdc.gov/view/cdc/84275</w:t>
        </w:r>
      </w:hyperlink>
      <w:r w:rsidR="001D30C8">
        <w:rPr>
          <w:sz w:val="24"/>
        </w:rPr>
        <w:t>.</w:t>
      </w:r>
      <w:r w:rsidR="007602BB">
        <w:rPr>
          <w:sz w:val="24"/>
        </w:rPr>
        <w:t xml:space="preserve"> </w:t>
      </w:r>
      <w:r w:rsidR="001D30C8">
        <w:rPr>
          <w:sz w:val="24"/>
        </w:rPr>
        <w:t>H</w:t>
      </w:r>
      <w:r w:rsidR="007602BB">
        <w:rPr>
          <w:sz w:val="24"/>
        </w:rPr>
        <w:t xml:space="preserve">owever, </w:t>
      </w:r>
      <w:r w:rsidR="009F6F51">
        <w:rPr>
          <w:sz w:val="24"/>
        </w:rPr>
        <w:t>all</w:t>
      </w:r>
      <w:r w:rsidR="007602BB">
        <w:rPr>
          <w:sz w:val="24"/>
        </w:rPr>
        <w:t xml:space="preserve"> these professions will not be included in the definition of public safety officers, and these data in this </w:t>
      </w:r>
      <w:r w:rsidRPr="001D30C8" w:rsidR="007602BB">
        <w:rPr>
          <w:i/>
          <w:iCs/>
          <w:sz w:val="24"/>
        </w:rPr>
        <w:t>MMWR</w:t>
      </w:r>
      <w:r w:rsidR="007602BB">
        <w:rPr>
          <w:sz w:val="24"/>
        </w:rPr>
        <w:t xml:space="preserve"> article are from 32 states. </w:t>
      </w:r>
      <w:r w:rsidRPr="00E45A9A" w:rsidR="006A57F1">
        <w:rPr>
          <w:sz w:val="24"/>
        </w:rPr>
        <w:t xml:space="preserve">The total estimated annualized burden hours </w:t>
      </w:r>
      <w:r w:rsidR="006A6B3E">
        <w:rPr>
          <w:sz w:val="24"/>
        </w:rPr>
        <w:t xml:space="preserve">for NVDRS </w:t>
      </w:r>
      <w:r w:rsidRPr="00E45A9A" w:rsidR="00252923">
        <w:rPr>
          <w:sz w:val="24"/>
        </w:rPr>
        <w:t>are</w:t>
      </w:r>
      <w:r w:rsidRPr="00E45A9A" w:rsidR="009259D0">
        <w:rPr>
          <w:sz w:val="24"/>
        </w:rPr>
        <w:t xml:space="preserve"> summarized</w:t>
      </w:r>
      <w:r w:rsidRPr="00E45A9A" w:rsidR="006A57F1">
        <w:rPr>
          <w:sz w:val="24"/>
        </w:rPr>
        <w:t xml:space="preserve"> in Table A.12-A</w:t>
      </w:r>
      <w:r w:rsidR="00B41C6D">
        <w:rPr>
          <w:sz w:val="24"/>
        </w:rPr>
        <w:t>.</w:t>
      </w:r>
      <w:r w:rsidR="00660A4E">
        <w:rPr>
          <w:sz w:val="24"/>
        </w:rPr>
        <w:t xml:space="preserve"> </w:t>
      </w:r>
    </w:p>
    <w:p w:rsidRPr="00E45A9A" w:rsidR="0077643E" w:rsidP="00D2360B" w:rsidRDefault="0077643E" w14:paraId="24485BC8" w14:textId="77777777">
      <w:pPr>
        <w:rPr>
          <w:sz w:val="24"/>
          <w:highlight w:val="yellow"/>
        </w:rPr>
      </w:pPr>
    </w:p>
    <w:p w:rsidRPr="00E45A9A" w:rsidR="00166659" w:rsidP="00D2360B" w:rsidRDefault="006A57F1" w14:paraId="06F5D9DC" w14:textId="77777777">
      <w:pPr>
        <w:rPr>
          <w:sz w:val="24"/>
        </w:rPr>
      </w:pPr>
      <w:r w:rsidRPr="00E45A9A">
        <w:rPr>
          <w:sz w:val="24"/>
        </w:rPr>
        <w:t>Table A.12</w:t>
      </w:r>
      <w:r w:rsidR="00077AAE">
        <w:rPr>
          <w:sz w:val="24"/>
        </w:rPr>
        <w:t xml:space="preserve">-A. </w:t>
      </w:r>
      <w:r w:rsidRPr="00E45A9A" w:rsidR="001C26B3">
        <w:rPr>
          <w:sz w:val="24"/>
        </w:rPr>
        <w:t>Estimated Annualized Respondent Burden</w:t>
      </w:r>
      <w:r w:rsidRPr="00E45A9A" w:rsidR="001C26B3">
        <w:rPr>
          <w:b/>
          <w:bCs/>
          <w:sz w:val="24"/>
        </w:rPr>
        <w:t xml:space="preserve"> </w:t>
      </w:r>
      <w:r w:rsidRPr="00E45A9A" w:rsidR="001C26B3">
        <w:rPr>
          <w:sz w:val="24"/>
        </w:rPr>
        <w:t>Hours</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80" w:firstRow="0" w:lastRow="0" w:firstColumn="1" w:lastColumn="1" w:noHBand="0" w:noVBand="0"/>
      </w:tblPr>
      <w:tblGrid>
        <w:gridCol w:w="1484"/>
        <w:gridCol w:w="1923"/>
        <w:gridCol w:w="1443"/>
        <w:gridCol w:w="1549"/>
        <w:gridCol w:w="1503"/>
        <w:gridCol w:w="1368"/>
      </w:tblGrid>
      <w:tr w:rsidRPr="00E45A9A" w:rsidR="00CB7F03" w:rsidTr="008A4AE0" w14:paraId="59E64D0D" w14:textId="77777777">
        <w:tc>
          <w:tcPr>
            <w:tcW w:w="1543" w:type="dxa"/>
            <w:shd w:val="clear" w:color="auto" w:fill="auto"/>
          </w:tcPr>
          <w:p w:rsidRPr="000238B7" w:rsidR="00166659" w:rsidP="00611F4B" w:rsidRDefault="00166659" w14:paraId="20B37B01" w14:textId="77777777">
            <w:pPr>
              <w:rPr>
                <w:sz w:val="24"/>
              </w:rPr>
            </w:pPr>
            <w:r w:rsidRPr="000238B7">
              <w:rPr>
                <w:sz w:val="24"/>
              </w:rPr>
              <w:t>Type of Respondent</w:t>
            </w:r>
          </w:p>
        </w:tc>
        <w:tc>
          <w:tcPr>
            <w:tcW w:w="2147" w:type="dxa"/>
            <w:shd w:val="clear" w:color="auto" w:fill="auto"/>
          </w:tcPr>
          <w:p w:rsidRPr="00E45A9A" w:rsidR="00166659" w:rsidP="00611F4B" w:rsidRDefault="00166659" w14:paraId="2082A40A" w14:textId="77777777">
            <w:pPr>
              <w:rPr>
                <w:sz w:val="24"/>
              </w:rPr>
            </w:pPr>
            <w:r w:rsidRPr="00E45A9A">
              <w:rPr>
                <w:sz w:val="24"/>
              </w:rPr>
              <w:t>Form Name</w:t>
            </w:r>
          </w:p>
        </w:tc>
        <w:tc>
          <w:tcPr>
            <w:tcW w:w="712" w:type="dxa"/>
            <w:shd w:val="clear" w:color="auto" w:fill="auto"/>
          </w:tcPr>
          <w:p w:rsidRPr="00E45A9A" w:rsidR="00166659" w:rsidP="00611F4B" w:rsidRDefault="00166659" w14:paraId="4EDBE2D5" w14:textId="77777777">
            <w:pPr>
              <w:rPr>
                <w:sz w:val="24"/>
              </w:rPr>
            </w:pPr>
            <w:r w:rsidRPr="00E45A9A">
              <w:rPr>
                <w:sz w:val="24"/>
              </w:rPr>
              <w:t>No. of Respondents</w:t>
            </w:r>
          </w:p>
        </w:tc>
        <w:tc>
          <w:tcPr>
            <w:tcW w:w="1637" w:type="dxa"/>
            <w:shd w:val="clear" w:color="auto" w:fill="auto"/>
          </w:tcPr>
          <w:p w:rsidRPr="00E45A9A" w:rsidR="00166659" w:rsidP="00611F4B" w:rsidRDefault="00166659" w14:paraId="6499DEFE" w14:textId="77777777">
            <w:pPr>
              <w:rPr>
                <w:sz w:val="24"/>
              </w:rPr>
            </w:pPr>
            <w:r w:rsidRPr="00E45A9A">
              <w:rPr>
                <w:sz w:val="24"/>
              </w:rPr>
              <w:t>No. Responses per Respondent</w:t>
            </w:r>
          </w:p>
        </w:tc>
        <w:tc>
          <w:tcPr>
            <w:tcW w:w="1666" w:type="dxa"/>
            <w:shd w:val="clear" w:color="auto" w:fill="auto"/>
          </w:tcPr>
          <w:p w:rsidRPr="00E45A9A" w:rsidR="00166659" w:rsidP="00611F4B" w:rsidRDefault="00166659" w14:paraId="7E0C9966" w14:textId="77777777">
            <w:pPr>
              <w:rPr>
                <w:sz w:val="24"/>
              </w:rPr>
            </w:pPr>
            <w:r w:rsidRPr="00E45A9A">
              <w:rPr>
                <w:sz w:val="24"/>
              </w:rPr>
              <w:t xml:space="preserve">Average Burden per Response </w:t>
            </w:r>
          </w:p>
          <w:p w:rsidRPr="00E45A9A" w:rsidR="00166659" w:rsidP="00611F4B" w:rsidRDefault="00166659" w14:paraId="4465EA2C" w14:textId="77777777">
            <w:pPr>
              <w:rPr>
                <w:sz w:val="24"/>
              </w:rPr>
            </w:pPr>
            <w:r w:rsidRPr="00E45A9A">
              <w:rPr>
                <w:sz w:val="24"/>
              </w:rPr>
              <w:t>(in hours)</w:t>
            </w:r>
          </w:p>
        </w:tc>
        <w:tc>
          <w:tcPr>
            <w:tcW w:w="1565" w:type="dxa"/>
            <w:shd w:val="clear" w:color="auto" w:fill="auto"/>
          </w:tcPr>
          <w:p w:rsidRPr="00E45A9A" w:rsidR="00166659" w:rsidP="00611F4B" w:rsidRDefault="00166659" w14:paraId="14D5673D" w14:textId="77777777">
            <w:pPr>
              <w:rPr>
                <w:sz w:val="24"/>
              </w:rPr>
            </w:pPr>
            <w:r w:rsidRPr="00E45A9A">
              <w:rPr>
                <w:sz w:val="24"/>
              </w:rPr>
              <w:t>Total Burden Hours</w:t>
            </w:r>
          </w:p>
        </w:tc>
      </w:tr>
      <w:tr w:rsidRPr="00E45A9A" w:rsidR="00627E1F" w:rsidTr="008A4AE0" w14:paraId="7666D616" w14:textId="77777777">
        <w:tc>
          <w:tcPr>
            <w:tcW w:w="1543" w:type="dxa"/>
            <w:vMerge w:val="restart"/>
            <w:shd w:val="clear" w:color="auto" w:fill="auto"/>
          </w:tcPr>
          <w:p w:rsidRPr="00E45A9A" w:rsidR="00627E1F" w:rsidP="00611F4B" w:rsidRDefault="00627E1F" w14:paraId="7326C6E8" w14:textId="77777777">
            <w:pPr>
              <w:rPr>
                <w:sz w:val="24"/>
              </w:rPr>
            </w:pPr>
            <w:r w:rsidRPr="00E45A9A">
              <w:rPr>
                <w:sz w:val="24"/>
              </w:rPr>
              <w:t>Public Agencies</w:t>
            </w:r>
          </w:p>
        </w:tc>
        <w:tc>
          <w:tcPr>
            <w:tcW w:w="2147" w:type="dxa"/>
            <w:shd w:val="clear" w:color="auto" w:fill="auto"/>
          </w:tcPr>
          <w:p w:rsidRPr="00E45A9A" w:rsidR="00627E1F" w:rsidP="008F7150" w:rsidRDefault="00627E1F" w14:paraId="31A9B4A8" w14:textId="77777777">
            <w:pPr>
              <w:rPr>
                <w:sz w:val="24"/>
              </w:rPr>
            </w:pPr>
            <w:r w:rsidRPr="00CB7F03">
              <w:rPr>
                <w:sz w:val="24"/>
              </w:rPr>
              <w:t xml:space="preserve">Web-based Data Entry </w:t>
            </w:r>
            <w:r>
              <w:rPr>
                <w:sz w:val="24"/>
              </w:rPr>
              <w:t>(</w:t>
            </w:r>
            <w:r w:rsidR="00DB5946">
              <w:rPr>
                <w:sz w:val="24"/>
              </w:rPr>
              <w:t xml:space="preserve">Attachment </w:t>
            </w:r>
            <w:r>
              <w:rPr>
                <w:sz w:val="24"/>
              </w:rPr>
              <w:t xml:space="preserve"> 6)</w:t>
            </w:r>
          </w:p>
        </w:tc>
        <w:tc>
          <w:tcPr>
            <w:tcW w:w="712" w:type="dxa"/>
            <w:shd w:val="clear" w:color="auto" w:fill="auto"/>
          </w:tcPr>
          <w:p w:rsidRPr="00E45A9A" w:rsidR="00627E1F" w:rsidP="00611F4B" w:rsidRDefault="00627E1F" w14:paraId="56846CF8" w14:textId="77777777">
            <w:pPr>
              <w:rPr>
                <w:sz w:val="24"/>
              </w:rPr>
            </w:pPr>
            <w:r w:rsidRPr="00E45A9A">
              <w:rPr>
                <w:sz w:val="24"/>
              </w:rPr>
              <w:t xml:space="preserve">56 </w:t>
            </w:r>
          </w:p>
        </w:tc>
        <w:tc>
          <w:tcPr>
            <w:tcW w:w="1637" w:type="dxa"/>
            <w:shd w:val="clear" w:color="auto" w:fill="auto"/>
          </w:tcPr>
          <w:p w:rsidRPr="00E45A9A" w:rsidR="00627E1F" w:rsidP="008E6704" w:rsidRDefault="00627E1F" w14:paraId="31553B10" w14:textId="77777777">
            <w:pPr>
              <w:rPr>
                <w:sz w:val="24"/>
              </w:rPr>
            </w:pPr>
            <w:r>
              <w:rPr>
                <w:sz w:val="24"/>
              </w:rPr>
              <w:t>1,350</w:t>
            </w:r>
          </w:p>
        </w:tc>
        <w:tc>
          <w:tcPr>
            <w:tcW w:w="1666" w:type="dxa"/>
            <w:shd w:val="clear" w:color="auto" w:fill="auto"/>
          </w:tcPr>
          <w:p w:rsidRPr="00E45A9A" w:rsidR="00627E1F" w:rsidP="00611F4B" w:rsidRDefault="007602BB" w14:paraId="2DC7ADE7" w14:textId="77777777">
            <w:pPr>
              <w:rPr>
                <w:sz w:val="24"/>
              </w:rPr>
            </w:pPr>
            <w:r>
              <w:rPr>
                <w:sz w:val="24"/>
              </w:rPr>
              <w:t>30</w:t>
            </w:r>
            <w:r w:rsidRPr="00E45A9A" w:rsidR="00627E1F">
              <w:rPr>
                <w:sz w:val="24"/>
              </w:rPr>
              <w:t>/60</w:t>
            </w:r>
          </w:p>
        </w:tc>
        <w:tc>
          <w:tcPr>
            <w:tcW w:w="1565" w:type="dxa"/>
            <w:shd w:val="clear" w:color="auto" w:fill="auto"/>
          </w:tcPr>
          <w:p w:rsidRPr="00E45A9A" w:rsidR="00627E1F" w:rsidP="00070D7B" w:rsidRDefault="007602BB" w14:paraId="60674FA2" w14:textId="77777777">
            <w:pPr>
              <w:jc w:val="right"/>
              <w:rPr>
                <w:sz w:val="24"/>
              </w:rPr>
            </w:pPr>
            <w:r>
              <w:rPr>
                <w:sz w:val="24"/>
              </w:rPr>
              <w:t>37,800</w:t>
            </w:r>
          </w:p>
        </w:tc>
      </w:tr>
      <w:tr w:rsidRPr="00E45A9A" w:rsidR="00627E1F" w:rsidTr="008A4AE0" w14:paraId="6FF54D46" w14:textId="77777777">
        <w:tc>
          <w:tcPr>
            <w:tcW w:w="1543" w:type="dxa"/>
            <w:vMerge/>
            <w:shd w:val="clear" w:color="auto" w:fill="auto"/>
          </w:tcPr>
          <w:p w:rsidRPr="00E45A9A" w:rsidR="00627E1F" w:rsidP="00611F4B" w:rsidRDefault="00627E1F" w14:paraId="622FFAD5" w14:textId="77777777">
            <w:pPr>
              <w:rPr>
                <w:sz w:val="24"/>
              </w:rPr>
            </w:pPr>
          </w:p>
        </w:tc>
        <w:tc>
          <w:tcPr>
            <w:tcW w:w="2147" w:type="dxa"/>
            <w:shd w:val="clear" w:color="auto" w:fill="auto"/>
          </w:tcPr>
          <w:p w:rsidRPr="00CB7F03" w:rsidR="00627E1F" w:rsidP="00077AAE" w:rsidRDefault="00B33EC7" w14:paraId="65B6AC7F" w14:textId="77777777">
            <w:pPr>
              <w:rPr>
                <w:sz w:val="24"/>
              </w:rPr>
            </w:pPr>
            <w:r w:rsidRPr="00B33EC7">
              <w:rPr>
                <w:sz w:val="24"/>
              </w:rPr>
              <w:t>School Associated Violent Death Module (</w:t>
            </w:r>
            <w:r w:rsidR="001052B8">
              <w:rPr>
                <w:sz w:val="24"/>
              </w:rPr>
              <w:t xml:space="preserve">in </w:t>
            </w:r>
            <w:r w:rsidR="00DB5946">
              <w:rPr>
                <w:sz w:val="24"/>
              </w:rPr>
              <w:t xml:space="preserve">Attachment </w:t>
            </w:r>
            <w:r w:rsidRPr="00B33EC7">
              <w:rPr>
                <w:sz w:val="24"/>
              </w:rPr>
              <w:t xml:space="preserve"> </w:t>
            </w:r>
            <w:r w:rsidR="00973CDC">
              <w:rPr>
                <w:sz w:val="24"/>
              </w:rPr>
              <w:t>6</w:t>
            </w:r>
            <w:r w:rsidRPr="00B33EC7">
              <w:rPr>
                <w:sz w:val="24"/>
              </w:rPr>
              <w:t>)</w:t>
            </w:r>
          </w:p>
        </w:tc>
        <w:tc>
          <w:tcPr>
            <w:tcW w:w="712" w:type="dxa"/>
            <w:shd w:val="clear" w:color="auto" w:fill="auto"/>
          </w:tcPr>
          <w:p w:rsidRPr="00E45A9A" w:rsidR="00627E1F" w:rsidP="00611F4B" w:rsidRDefault="000D74A1" w14:paraId="2C046C4A" w14:textId="77777777">
            <w:pPr>
              <w:rPr>
                <w:sz w:val="24"/>
              </w:rPr>
            </w:pPr>
            <w:r>
              <w:rPr>
                <w:sz w:val="24"/>
              </w:rPr>
              <w:t>45</w:t>
            </w:r>
          </w:p>
        </w:tc>
        <w:tc>
          <w:tcPr>
            <w:tcW w:w="1637" w:type="dxa"/>
            <w:shd w:val="clear" w:color="auto" w:fill="auto"/>
          </w:tcPr>
          <w:p w:rsidR="00627E1F" w:rsidP="008E6704" w:rsidRDefault="000D74A1" w14:paraId="40BB18CB" w14:textId="77777777">
            <w:pPr>
              <w:rPr>
                <w:sz w:val="24"/>
              </w:rPr>
            </w:pPr>
            <w:r>
              <w:rPr>
                <w:sz w:val="24"/>
              </w:rPr>
              <w:t>1</w:t>
            </w:r>
          </w:p>
        </w:tc>
        <w:tc>
          <w:tcPr>
            <w:tcW w:w="1666" w:type="dxa"/>
            <w:shd w:val="clear" w:color="auto" w:fill="auto"/>
          </w:tcPr>
          <w:p w:rsidRPr="00E45A9A" w:rsidR="00627E1F" w:rsidP="00611F4B" w:rsidRDefault="000A04E1" w14:paraId="64B2E947" w14:textId="77777777">
            <w:pPr>
              <w:rPr>
                <w:sz w:val="24"/>
              </w:rPr>
            </w:pPr>
            <w:r>
              <w:rPr>
                <w:sz w:val="24"/>
              </w:rPr>
              <w:t>30</w:t>
            </w:r>
            <w:r w:rsidR="00BA4D18">
              <w:rPr>
                <w:sz w:val="24"/>
              </w:rPr>
              <w:t>/60</w:t>
            </w:r>
          </w:p>
        </w:tc>
        <w:tc>
          <w:tcPr>
            <w:tcW w:w="1565" w:type="dxa"/>
            <w:shd w:val="clear" w:color="auto" w:fill="auto"/>
          </w:tcPr>
          <w:p w:rsidR="00627E1F" w:rsidP="00070D7B" w:rsidRDefault="00023360" w14:paraId="3EAC3836" w14:textId="77777777">
            <w:pPr>
              <w:jc w:val="right"/>
              <w:rPr>
                <w:sz w:val="24"/>
              </w:rPr>
            </w:pPr>
            <w:r>
              <w:rPr>
                <w:sz w:val="24"/>
              </w:rPr>
              <w:t>23</w:t>
            </w:r>
          </w:p>
        </w:tc>
      </w:tr>
      <w:tr w:rsidRPr="00E45A9A" w:rsidR="00B33EC7" w:rsidTr="008A4AE0" w14:paraId="6EC004FC" w14:textId="77777777">
        <w:tc>
          <w:tcPr>
            <w:tcW w:w="1543" w:type="dxa"/>
            <w:vMerge/>
            <w:shd w:val="clear" w:color="auto" w:fill="auto"/>
          </w:tcPr>
          <w:p w:rsidRPr="00E45A9A" w:rsidR="00B33EC7" w:rsidP="00611F4B" w:rsidRDefault="00B33EC7" w14:paraId="30A27895" w14:textId="77777777">
            <w:pPr>
              <w:rPr>
                <w:sz w:val="24"/>
              </w:rPr>
            </w:pPr>
          </w:p>
        </w:tc>
        <w:tc>
          <w:tcPr>
            <w:tcW w:w="2147" w:type="dxa"/>
            <w:shd w:val="clear" w:color="auto" w:fill="auto"/>
          </w:tcPr>
          <w:p w:rsidRPr="00627E1F" w:rsidR="00B33EC7" w:rsidP="008F7150" w:rsidRDefault="00B33EC7" w14:paraId="63F8B33C" w14:textId="77777777">
            <w:pPr>
              <w:rPr>
                <w:sz w:val="24"/>
              </w:rPr>
            </w:pPr>
            <w:r w:rsidRPr="00B33EC7">
              <w:rPr>
                <w:sz w:val="24"/>
              </w:rPr>
              <w:t>Public Safety Officer Suicide Reporting Module (</w:t>
            </w:r>
            <w:r w:rsidR="00DB5946">
              <w:rPr>
                <w:sz w:val="24"/>
              </w:rPr>
              <w:t xml:space="preserve">Attachment </w:t>
            </w:r>
            <w:r w:rsidRPr="00B33EC7">
              <w:rPr>
                <w:sz w:val="24"/>
              </w:rPr>
              <w:t xml:space="preserve"> </w:t>
            </w:r>
            <w:r w:rsidR="001052B8">
              <w:rPr>
                <w:sz w:val="24"/>
              </w:rPr>
              <w:t>7</w:t>
            </w:r>
            <w:r w:rsidRPr="00B33EC7">
              <w:rPr>
                <w:sz w:val="24"/>
              </w:rPr>
              <w:t>)</w:t>
            </w:r>
          </w:p>
        </w:tc>
        <w:tc>
          <w:tcPr>
            <w:tcW w:w="712" w:type="dxa"/>
            <w:shd w:val="clear" w:color="auto" w:fill="auto"/>
          </w:tcPr>
          <w:p w:rsidRPr="00E45A9A" w:rsidR="00B33EC7" w:rsidP="00611F4B" w:rsidRDefault="00BA4D18" w14:paraId="5700ED19" w14:textId="77777777">
            <w:pPr>
              <w:rPr>
                <w:sz w:val="24"/>
              </w:rPr>
            </w:pPr>
            <w:r>
              <w:rPr>
                <w:sz w:val="24"/>
              </w:rPr>
              <w:t>56</w:t>
            </w:r>
          </w:p>
        </w:tc>
        <w:tc>
          <w:tcPr>
            <w:tcW w:w="1637" w:type="dxa"/>
            <w:shd w:val="clear" w:color="auto" w:fill="auto"/>
          </w:tcPr>
          <w:p w:rsidR="00B33EC7" w:rsidP="008E6704" w:rsidRDefault="008B7A93" w14:paraId="5994ABED" w14:textId="77777777">
            <w:pPr>
              <w:rPr>
                <w:sz w:val="24"/>
              </w:rPr>
            </w:pPr>
            <w:r>
              <w:rPr>
                <w:sz w:val="24"/>
              </w:rPr>
              <w:t>429</w:t>
            </w:r>
          </w:p>
        </w:tc>
        <w:tc>
          <w:tcPr>
            <w:tcW w:w="1666" w:type="dxa"/>
            <w:shd w:val="clear" w:color="auto" w:fill="auto"/>
          </w:tcPr>
          <w:p w:rsidRPr="00E45A9A" w:rsidR="00B33EC7" w:rsidP="00611F4B" w:rsidRDefault="00BA4D18" w14:paraId="379486C1" w14:textId="77777777">
            <w:pPr>
              <w:rPr>
                <w:sz w:val="24"/>
              </w:rPr>
            </w:pPr>
            <w:r>
              <w:rPr>
                <w:sz w:val="24"/>
              </w:rPr>
              <w:t>10/60</w:t>
            </w:r>
          </w:p>
        </w:tc>
        <w:tc>
          <w:tcPr>
            <w:tcW w:w="1565" w:type="dxa"/>
            <w:shd w:val="clear" w:color="auto" w:fill="auto"/>
          </w:tcPr>
          <w:p w:rsidR="00B33EC7" w:rsidP="00070D7B" w:rsidRDefault="00630DFD" w14:paraId="580263EB" w14:textId="77777777">
            <w:pPr>
              <w:jc w:val="right"/>
              <w:rPr>
                <w:sz w:val="24"/>
              </w:rPr>
            </w:pPr>
            <w:r>
              <w:rPr>
                <w:sz w:val="24"/>
              </w:rPr>
              <w:t>4,004</w:t>
            </w:r>
          </w:p>
        </w:tc>
      </w:tr>
      <w:tr w:rsidRPr="00E45A9A" w:rsidR="00CB7F03" w:rsidTr="008A4AE0" w14:paraId="516AF9CF" w14:textId="77777777">
        <w:tc>
          <w:tcPr>
            <w:tcW w:w="1543" w:type="dxa"/>
            <w:shd w:val="clear" w:color="auto" w:fill="auto"/>
          </w:tcPr>
          <w:p w:rsidRPr="00E45A9A" w:rsidR="00166659" w:rsidP="00611F4B" w:rsidRDefault="00166659" w14:paraId="578C36D9" w14:textId="77777777">
            <w:pPr>
              <w:rPr>
                <w:sz w:val="24"/>
              </w:rPr>
            </w:pPr>
            <w:r w:rsidRPr="00E45A9A">
              <w:rPr>
                <w:sz w:val="24"/>
              </w:rPr>
              <w:t>Total</w:t>
            </w:r>
          </w:p>
        </w:tc>
        <w:tc>
          <w:tcPr>
            <w:tcW w:w="6162" w:type="dxa"/>
            <w:gridSpan w:val="4"/>
            <w:shd w:val="clear" w:color="auto" w:fill="auto"/>
          </w:tcPr>
          <w:p w:rsidRPr="00E45A9A" w:rsidR="00166659" w:rsidP="00611F4B" w:rsidRDefault="007E298E" w14:paraId="3921140D" w14:textId="77777777">
            <w:pPr>
              <w:rPr>
                <w:sz w:val="24"/>
              </w:rPr>
            </w:pPr>
            <w:r>
              <w:rPr>
                <w:sz w:val="24"/>
              </w:rPr>
              <w:t xml:space="preserve">                                           </w:t>
            </w:r>
          </w:p>
        </w:tc>
        <w:tc>
          <w:tcPr>
            <w:tcW w:w="1565" w:type="dxa"/>
            <w:shd w:val="clear" w:color="auto" w:fill="auto"/>
          </w:tcPr>
          <w:p w:rsidRPr="00E45A9A" w:rsidR="00166659" w:rsidP="00070D7B" w:rsidRDefault="007E298E" w14:paraId="450AFBCE" w14:textId="77777777">
            <w:pPr>
              <w:jc w:val="right"/>
              <w:rPr>
                <w:sz w:val="24"/>
              </w:rPr>
            </w:pPr>
            <w:r>
              <w:rPr>
                <w:sz w:val="24"/>
              </w:rPr>
              <w:t>4</w:t>
            </w:r>
            <w:r w:rsidR="005C5338">
              <w:rPr>
                <w:sz w:val="24"/>
              </w:rPr>
              <w:t>1,8</w:t>
            </w:r>
            <w:r>
              <w:rPr>
                <w:sz w:val="24"/>
              </w:rPr>
              <w:t>27</w:t>
            </w:r>
          </w:p>
        </w:tc>
      </w:tr>
    </w:tbl>
    <w:p w:rsidR="001C26B3" w:rsidP="00CF700C" w:rsidRDefault="001C26B3" w14:paraId="0FFE4A3A" w14:textId="77777777">
      <w:pPr>
        <w:rPr>
          <w:sz w:val="24"/>
        </w:rPr>
      </w:pPr>
    </w:p>
    <w:p w:rsidRPr="00E45A9A" w:rsidR="001C26B3" w:rsidP="00CF700C" w:rsidRDefault="001C26B3" w14:paraId="2972463F" w14:textId="77777777">
      <w:pPr>
        <w:rPr>
          <w:sz w:val="24"/>
        </w:rPr>
      </w:pPr>
      <w:r w:rsidRPr="00E45A9A">
        <w:rPr>
          <w:b/>
          <w:bCs/>
          <w:sz w:val="24"/>
        </w:rPr>
        <w:t>B. Estimated Annualized Respondent Burden Costs:</w:t>
      </w:r>
    </w:p>
    <w:p w:rsidRPr="00E45A9A" w:rsidR="001C26B3" w:rsidP="00CF700C" w:rsidRDefault="001C26B3" w14:paraId="1FFDBB0D" w14:textId="77777777">
      <w:pPr>
        <w:rPr>
          <w:sz w:val="24"/>
        </w:rPr>
      </w:pPr>
    </w:p>
    <w:p w:rsidR="00E16A52" w:rsidP="00CF700C" w:rsidRDefault="00E16A52" w14:paraId="63FDA53B" w14:textId="77777777">
      <w:pPr>
        <w:rPr>
          <w:sz w:val="24"/>
        </w:rPr>
      </w:pPr>
      <w:r w:rsidRPr="00E45A9A">
        <w:rPr>
          <w:sz w:val="24"/>
        </w:rPr>
        <w:t xml:space="preserve">There are no direct costs to public agencies; the data </w:t>
      </w:r>
      <w:r w:rsidR="008B7A93">
        <w:rPr>
          <w:sz w:val="24"/>
        </w:rPr>
        <w:t>are</w:t>
      </w:r>
      <w:r w:rsidRPr="00E45A9A">
        <w:rPr>
          <w:sz w:val="24"/>
        </w:rPr>
        <w:t xml:space="preserve"> routinely available in each reporting office as a by-product of their on-going activities. </w:t>
      </w:r>
      <w:r w:rsidRPr="00E45A9A" w:rsidR="00791BED">
        <w:rPr>
          <w:sz w:val="24"/>
        </w:rPr>
        <w:t>The staff who are retrieving records will vary across agencies. Th</w:t>
      </w:r>
      <w:r w:rsidRPr="00E45A9A" w:rsidR="0001618A">
        <w:rPr>
          <w:sz w:val="24"/>
        </w:rPr>
        <w:t>erefore, we used the average hourly salary of office and administrative support staff of $</w:t>
      </w:r>
      <w:r w:rsidR="00544B03">
        <w:rPr>
          <w:sz w:val="24"/>
        </w:rPr>
        <w:t>20.38</w:t>
      </w:r>
      <w:r w:rsidR="00CF700C">
        <w:rPr>
          <w:sz w:val="24"/>
          <w:vertAlign w:val="superscript"/>
        </w:rPr>
        <w:t>xvii</w:t>
      </w:r>
      <w:r w:rsidRPr="00E45A9A" w:rsidR="008E6704">
        <w:rPr>
          <w:sz w:val="24"/>
        </w:rPr>
        <w:t xml:space="preserve"> </w:t>
      </w:r>
      <w:r w:rsidRPr="00E45A9A" w:rsidR="00E34828">
        <w:rPr>
          <w:sz w:val="24"/>
        </w:rPr>
        <w:t xml:space="preserve">Public </w:t>
      </w:r>
      <w:r w:rsidRPr="00E45A9A">
        <w:rPr>
          <w:sz w:val="24"/>
        </w:rPr>
        <w:t>a</w:t>
      </w:r>
      <w:r w:rsidRPr="00E45A9A" w:rsidR="00E34828">
        <w:rPr>
          <w:sz w:val="24"/>
        </w:rPr>
        <w:t>gencies who retrieve and refile records es</w:t>
      </w:r>
      <w:r w:rsidRPr="00E45A9A" w:rsidR="00810CEB">
        <w:rPr>
          <w:sz w:val="24"/>
        </w:rPr>
        <w:t>timate costs at [</w:t>
      </w:r>
      <w:r w:rsidRPr="00E45A9A" w:rsidR="00964711">
        <w:rPr>
          <w:sz w:val="24"/>
        </w:rPr>
        <w:t>3</w:t>
      </w:r>
      <w:r w:rsidR="00863554">
        <w:rPr>
          <w:sz w:val="24"/>
        </w:rPr>
        <w:t>7</w:t>
      </w:r>
      <w:r w:rsidRPr="00E45A9A" w:rsidR="00964711">
        <w:rPr>
          <w:sz w:val="24"/>
        </w:rPr>
        <w:t>,</w:t>
      </w:r>
      <w:r w:rsidR="00863554">
        <w:rPr>
          <w:sz w:val="24"/>
        </w:rPr>
        <w:t>80</w:t>
      </w:r>
      <w:r w:rsidRPr="00E45A9A" w:rsidR="00964711">
        <w:rPr>
          <w:sz w:val="24"/>
        </w:rPr>
        <w:t xml:space="preserve">0 burden hours </w:t>
      </w:r>
      <w:r w:rsidRPr="00E45A9A" w:rsidR="00810CEB">
        <w:rPr>
          <w:sz w:val="24"/>
        </w:rPr>
        <w:t>x $</w:t>
      </w:r>
      <w:r w:rsidR="00544B03">
        <w:rPr>
          <w:sz w:val="24"/>
        </w:rPr>
        <w:t>20.38</w:t>
      </w:r>
      <w:r w:rsidRPr="00E45A9A" w:rsidR="00810CEB">
        <w:rPr>
          <w:sz w:val="24"/>
        </w:rPr>
        <w:t>/hour] = $</w:t>
      </w:r>
      <w:r w:rsidR="00544B03">
        <w:rPr>
          <w:sz w:val="24"/>
        </w:rPr>
        <w:t>770,364</w:t>
      </w:r>
      <w:r w:rsidR="00863554">
        <w:rPr>
          <w:sz w:val="24"/>
        </w:rPr>
        <w:t xml:space="preserve">. </w:t>
      </w:r>
      <w:r w:rsidRPr="00E45A9A" w:rsidR="001C26B3">
        <w:rPr>
          <w:sz w:val="24"/>
        </w:rPr>
        <w:t>In some cases, state health departments may subcontract with the public agencies or otherwise find a way to defray these costs.</w:t>
      </w:r>
    </w:p>
    <w:p w:rsidRPr="00E45A9A" w:rsidR="00AE0B3A" w:rsidP="00494CEB" w:rsidRDefault="00AE0B3A" w14:paraId="14B8BB87" w14:textId="77777777">
      <w:pPr>
        <w:ind w:left="720"/>
        <w:rPr>
          <w:sz w:val="24"/>
        </w:rPr>
      </w:pPr>
    </w:p>
    <w:p w:rsidRPr="00E45A9A" w:rsidR="0041355F" w:rsidRDefault="00796CEF" w14:paraId="0DFEDD86" w14:textId="77777777">
      <w:pPr>
        <w:rPr>
          <w:sz w:val="24"/>
        </w:rPr>
      </w:pPr>
      <w:r w:rsidRPr="00E45A9A">
        <w:rPr>
          <w:sz w:val="24"/>
        </w:rPr>
        <w:t>Table A.12-B. Estimated Annualized Burden Costs</w:t>
      </w:r>
    </w:p>
    <w:tbl>
      <w:tblPr>
        <w:tblW w:w="107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890"/>
        <w:gridCol w:w="1170"/>
        <w:gridCol w:w="1440"/>
        <w:gridCol w:w="1440"/>
        <w:gridCol w:w="1080"/>
        <w:gridCol w:w="900"/>
        <w:gridCol w:w="1440"/>
      </w:tblGrid>
      <w:tr w:rsidRPr="00E45A9A" w:rsidR="001A7D01" w:rsidTr="00D176CA" w14:paraId="20696564" w14:textId="77777777">
        <w:tc>
          <w:tcPr>
            <w:tcW w:w="1350" w:type="dxa"/>
            <w:shd w:val="clear" w:color="auto" w:fill="auto"/>
          </w:tcPr>
          <w:p w:rsidRPr="00E45A9A" w:rsidR="001A7D01" w:rsidP="001A7D01" w:rsidRDefault="001A7D01" w14:paraId="058508FE" w14:textId="77777777">
            <w:pPr>
              <w:rPr>
                <w:sz w:val="24"/>
              </w:rPr>
            </w:pPr>
            <w:r w:rsidRPr="00E45A9A">
              <w:rPr>
                <w:sz w:val="24"/>
              </w:rPr>
              <w:t>Type of Respondent</w:t>
            </w:r>
          </w:p>
        </w:tc>
        <w:tc>
          <w:tcPr>
            <w:tcW w:w="1890" w:type="dxa"/>
            <w:shd w:val="clear" w:color="auto" w:fill="auto"/>
          </w:tcPr>
          <w:p w:rsidRPr="00E45A9A" w:rsidR="001A7D01" w:rsidP="001A7D01" w:rsidRDefault="001A7D01" w14:paraId="5BB6AB4C" w14:textId="77777777">
            <w:pPr>
              <w:rPr>
                <w:sz w:val="24"/>
              </w:rPr>
            </w:pPr>
            <w:r w:rsidRPr="00E45A9A">
              <w:rPr>
                <w:sz w:val="24"/>
              </w:rPr>
              <w:t>Form Name</w:t>
            </w:r>
          </w:p>
        </w:tc>
        <w:tc>
          <w:tcPr>
            <w:tcW w:w="1170" w:type="dxa"/>
            <w:shd w:val="clear" w:color="auto" w:fill="auto"/>
          </w:tcPr>
          <w:p w:rsidRPr="00E45A9A" w:rsidR="001A7D01" w:rsidP="001A7D01" w:rsidRDefault="001A7D01" w14:paraId="09D67734" w14:textId="77777777">
            <w:pPr>
              <w:rPr>
                <w:sz w:val="24"/>
              </w:rPr>
            </w:pPr>
            <w:r w:rsidRPr="00E45A9A">
              <w:rPr>
                <w:sz w:val="24"/>
              </w:rPr>
              <w:t>No. of Respondents</w:t>
            </w:r>
          </w:p>
        </w:tc>
        <w:tc>
          <w:tcPr>
            <w:tcW w:w="1440" w:type="dxa"/>
            <w:shd w:val="clear" w:color="auto" w:fill="auto"/>
          </w:tcPr>
          <w:p w:rsidRPr="00E45A9A" w:rsidR="001A7D01" w:rsidP="001A7D01" w:rsidRDefault="001A7D01" w14:paraId="03A7AB49" w14:textId="77777777">
            <w:pPr>
              <w:rPr>
                <w:sz w:val="24"/>
              </w:rPr>
            </w:pPr>
            <w:r w:rsidRPr="00E45A9A">
              <w:rPr>
                <w:sz w:val="24"/>
              </w:rPr>
              <w:t>No. Responses per Respondent</w:t>
            </w:r>
          </w:p>
        </w:tc>
        <w:tc>
          <w:tcPr>
            <w:tcW w:w="1440" w:type="dxa"/>
            <w:shd w:val="clear" w:color="auto" w:fill="auto"/>
          </w:tcPr>
          <w:p w:rsidRPr="00E45A9A" w:rsidR="001A7D01" w:rsidP="001A7D01" w:rsidRDefault="001A7D01" w14:paraId="5262B522" w14:textId="77777777">
            <w:pPr>
              <w:rPr>
                <w:sz w:val="24"/>
              </w:rPr>
            </w:pPr>
            <w:r w:rsidRPr="00E45A9A">
              <w:rPr>
                <w:sz w:val="24"/>
              </w:rPr>
              <w:t xml:space="preserve">Average Burden per Response </w:t>
            </w:r>
          </w:p>
          <w:p w:rsidRPr="00E45A9A" w:rsidR="001A7D01" w:rsidP="001A7D01" w:rsidRDefault="001A7D01" w14:paraId="2FCBBA3C" w14:textId="77777777">
            <w:pPr>
              <w:rPr>
                <w:sz w:val="24"/>
              </w:rPr>
            </w:pPr>
            <w:r w:rsidRPr="00E45A9A">
              <w:rPr>
                <w:sz w:val="24"/>
              </w:rPr>
              <w:t>(in hours)</w:t>
            </w:r>
          </w:p>
        </w:tc>
        <w:tc>
          <w:tcPr>
            <w:tcW w:w="1080" w:type="dxa"/>
            <w:shd w:val="clear" w:color="auto" w:fill="auto"/>
          </w:tcPr>
          <w:p w:rsidRPr="00E45A9A" w:rsidR="001A7D01" w:rsidP="001A7D01" w:rsidRDefault="001A7D01" w14:paraId="35B46451" w14:textId="77777777">
            <w:pPr>
              <w:rPr>
                <w:sz w:val="24"/>
              </w:rPr>
            </w:pPr>
            <w:r w:rsidRPr="00E45A9A">
              <w:rPr>
                <w:sz w:val="24"/>
              </w:rPr>
              <w:t>Total Burden Hours</w:t>
            </w:r>
          </w:p>
        </w:tc>
        <w:tc>
          <w:tcPr>
            <w:tcW w:w="900" w:type="dxa"/>
          </w:tcPr>
          <w:p w:rsidRPr="00E45A9A" w:rsidR="001A7D01" w:rsidP="001A7D01" w:rsidRDefault="001A7D01" w14:paraId="64794D11" w14:textId="77777777">
            <w:pPr>
              <w:rPr>
                <w:sz w:val="24"/>
              </w:rPr>
            </w:pPr>
            <w:r w:rsidRPr="00E45A9A">
              <w:rPr>
                <w:sz w:val="24"/>
              </w:rPr>
              <w:t>Hourly Wage Rate</w:t>
            </w:r>
          </w:p>
        </w:tc>
        <w:tc>
          <w:tcPr>
            <w:tcW w:w="1440" w:type="dxa"/>
            <w:shd w:val="clear" w:color="auto" w:fill="auto"/>
          </w:tcPr>
          <w:p w:rsidRPr="00E45A9A" w:rsidR="001A7D01" w:rsidP="001A7D01" w:rsidRDefault="001A7D01" w14:paraId="1C8E769F" w14:textId="77777777">
            <w:pPr>
              <w:rPr>
                <w:sz w:val="24"/>
              </w:rPr>
            </w:pPr>
            <w:r w:rsidRPr="00E45A9A">
              <w:rPr>
                <w:sz w:val="24"/>
              </w:rPr>
              <w:t>Total Respondent Cost</w:t>
            </w:r>
          </w:p>
        </w:tc>
      </w:tr>
      <w:tr w:rsidRPr="00E45A9A" w:rsidR="00630DFD" w:rsidTr="00D176CA" w14:paraId="39C7946A" w14:textId="77777777">
        <w:tc>
          <w:tcPr>
            <w:tcW w:w="1350" w:type="dxa"/>
            <w:vMerge w:val="restart"/>
            <w:shd w:val="clear" w:color="auto" w:fill="auto"/>
          </w:tcPr>
          <w:p w:rsidRPr="00D176CA" w:rsidR="00630DFD" w:rsidP="00630DFD" w:rsidRDefault="00630DFD" w14:paraId="06636694" w14:textId="77777777">
            <w:pPr>
              <w:rPr>
                <w:sz w:val="24"/>
              </w:rPr>
            </w:pPr>
            <w:r w:rsidRPr="00D176CA">
              <w:rPr>
                <w:sz w:val="24"/>
              </w:rPr>
              <w:t>Public Agencies</w:t>
            </w:r>
          </w:p>
        </w:tc>
        <w:tc>
          <w:tcPr>
            <w:tcW w:w="1890" w:type="dxa"/>
            <w:shd w:val="clear" w:color="auto" w:fill="auto"/>
          </w:tcPr>
          <w:p w:rsidRPr="00D176CA" w:rsidR="00630DFD" w:rsidP="00630DFD" w:rsidRDefault="00630DFD" w14:paraId="2E62E68D" w14:textId="77777777">
            <w:pPr>
              <w:rPr>
                <w:sz w:val="24"/>
              </w:rPr>
            </w:pPr>
            <w:r w:rsidRPr="00D176CA">
              <w:rPr>
                <w:sz w:val="24"/>
              </w:rPr>
              <w:t>Web-based Data Entry (</w:t>
            </w:r>
            <w:r w:rsidR="00DB5946">
              <w:rPr>
                <w:sz w:val="24"/>
              </w:rPr>
              <w:t xml:space="preserve">Attachment </w:t>
            </w:r>
            <w:r w:rsidRPr="00D176CA">
              <w:rPr>
                <w:sz w:val="24"/>
              </w:rPr>
              <w:t xml:space="preserve"> 6)</w:t>
            </w:r>
          </w:p>
        </w:tc>
        <w:tc>
          <w:tcPr>
            <w:tcW w:w="1170" w:type="dxa"/>
            <w:shd w:val="clear" w:color="auto" w:fill="auto"/>
          </w:tcPr>
          <w:p w:rsidRPr="00D176CA" w:rsidR="00630DFD" w:rsidP="00630DFD" w:rsidRDefault="00630DFD" w14:paraId="23337E33" w14:textId="77777777">
            <w:pPr>
              <w:rPr>
                <w:sz w:val="24"/>
              </w:rPr>
            </w:pPr>
            <w:r w:rsidRPr="00D176CA">
              <w:rPr>
                <w:sz w:val="24"/>
              </w:rPr>
              <w:t>56</w:t>
            </w:r>
          </w:p>
        </w:tc>
        <w:tc>
          <w:tcPr>
            <w:tcW w:w="1440" w:type="dxa"/>
            <w:shd w:val="clear" w:color="auto" w:fill="auto"/>
          </w:tcPr>
          <w:p w:rsidRPr="00D176CA" w:rsidR="00630DFD" w:rsidP="00630DFD" w:rsidRDefault="00630DFD" w14:paraId="097D2F3E" w14:textId="77777777">
            <w:pPr>
              <w:rPr>
                <w:sz w:val="24"/>
              </w:rPr>
            </w:pPr>
            <w:r w:rsidRPr="00D176CA">
              <w:rPr>
                <w:sz w:val="24"/>
              </w:rPr>
              <w:t>1,350</w:t>
            </w:r>
          </w:p>
        </w:tc>
        <w:tc>
          <w:tcPr>
            <w:tcW w:w="1440" w:type="dxa"/>
            <w:shd w:val="clear" w:color="auto" w:fill="auto"/>
          </w:tcPr>
          <w:p w:rsidRPr="00D176CA" w:rsidR="00630DFD" w:rsidP="00630DFD" w:rsidRDefault="00630DFD" w14:paraId="228A004B" w14:textId="77777777">
            <w:pPr>
              <w:rPr>
                <w:sz w:val="24"/>
              </w:rPr>
            </w:pPr>
            <w:r w:rsidRPr="00D176CA">
              <w:rPr>
                <w:sz w:val="24"/>
              </w:rPr>
              <w:t>30/60</w:t>
            </w:r>
          </w:p>
        </w:tc>
        <w:tc>
          <w:tcPr>
            <w:tcW w:w="1080" w:type="dxa"/>
            <w:shd w:val="clear" w:color="auto" w:fill="auto"/>
          </w:tcPr>
          <w:p w:rsidRPr="00D176CA" w:rsidR="00630DFD" w:rsidP="00630DFD" w:rsidRDefault="00630DFD" w14:paraId="2339FB83" w14:textId="77777777">
            <w:pPr>
              <w:rPr>
                <w:sz w:val="24"/>
              </w:rPr>
            </w:pPr>
            <w:r w:rsidRPr="00D176CA">
              <w:rPr>
                <w:sz w:val="24"/>
              </w:rPr>
              <w:t>37,800</w:t>
            </w:r>
          </w:p>
        </w:tc>
        <w:tc>
          <w:tcPr>
            <w:tcW w:w="900" w:type="dxa"/>
          </w:tcPr>
          <w:p w:rsidRPr="00D176CA" w:rsidR="00630DFD" w:rsidP="00630DFD" w:rsidRDefault="00630DFD" w14:paraId="0272A843" w14:textId="77777777">
            <w:pPr>
              <w:rPr>
                <w:sz w:val="24"/>
              </w:rPr>
            </w:pPr>
            <w:r w:rsidRPr="00D176CA">
              <w:rPr>
                <w:sz w:val="24"/>
              </w:rPr>
              <w:t>$20.38</w:t>
            </w:r>
          </w:p>
        </w:tc>
        <w:tc>
          <w:tcPr>
            <w:tcW w:w="1440" w:type="dxa"/>
            <w:shd w:val="clear" w:color="auto" w:fill="auto"/>
          </w:tcPr>
          <w:p w:rsidRPr="00D176CA" w:rsidR="00630DFD" w:rsidP="00630DFD" w:rsidRDefault="00630DFD" w14:paraId="03ADB363" w14:textId="77777777">
            <w:pPr>
              <w:jc w:val="right"/>
              <w:rPr>
                <w:sz w:val="24"/>
              </w:rPr>
            </w:pPr>
            <w:r w:rsidRPr="00D176CA">
              <w:rPr>
                <w:sz w:val="24"/>
              </w:rPr>
              <w:t>$770,364</w:t>
            </w:r>
          </w:p>
        </w:tc>
      </w:tr>
      <w:tr w:rsidRPr="00E45A9A" w:rsidR="00EC79A2" w:rsidTr="00D176CA" w14:paraId="29A55F6A" w14:textId="77777777">
        <w:tc>
          <w:tcPr>
            <w:tcW w:w="1350" w:type="dxa"/>
            <w:vMerge/>
            <w:shd w:val="clear" w:color="auto" w:fill="auto"/>
          </w:tcPr>
          <w:p w:rsidRPr="00D176CA" w:rsidR="00EC79A2" w:rsidP="00EC79A2" w:rsidRDefault="00EC79A2" w14:paraId="389580DD" w14:textId="77777777">
            <w:pPr>
              <w:rPr>
                <w:sz w:val="24"/>
              </w:rPr>
            </w:pPr>
          </w:p>
        </w:tc>
        <w:tc>
          <w:tcPr>
            <w:tcW w:w="1890" w:type="dxa"/>
            <w:shd w:val="clear" w:color="auto" w:fill="auto"/>
          </w:tcPr>
          <w:p w:rsidRPr="00D176CA" w:rsidR="00EC79A2" w:rsidP="00EC79A2" w:rsidRDefault="00EC79A2" w14:paraId="5A7D6B16" w14:textId="77777777">
            <w:pPr>
              <w:rPr>
                <w:sz w:val="24"/>
              </w:rPr>
            </w:pPr>
            <w:r w:rsidRPr="00D176CA">
              <w:rPr>
                <w:sz w:val="24"/>
              </w:rPr>
              <w:t xml:space="preserve">School Associated </w:t>
            </w:r>
            <w:r w:rsidRPr="00D176CA">
              <w:rPr>
                <w:sz w:val="24"/>
              </w:rPr>
              <w:lastRenderedPageBreak/>
              <w:t>Violent Death Module (</w:t>
            </w:r>
            <w:r w:rsidR="001052B8">
              <w:rPr>
                <w:sz w:val="24"/>
              </w:rPr>
              <w:t xml:space="preserve">in </w:t>
            </w:r>
            <w:r w:rsidR="00DB5946">
              <w:rPr>
                <w:sz w:val="24"/>
              </w:rPr>
              <w:t>Attachment</w:t>
            </w:r>
            <w:r w:rsidR="008A4AE0">
              <w:rPr>
                <w:sz w:val="24"/>
              </w:rPr>
              <w:t xml:space="preserve"> </w:t>
            </w:r>
            <w:r w:rsidRPr="00D176CA">
              <w:rPr>
                <w:sz w:val="24"/>
              </w:rPr>
              <w:t>6)</w:t>
            </w:r>
          </w:p>
        </w:tc>
        <w:tc>
          <w:tcPr>
            <w:tcW w:w="1170" w:type="dxa"/>
            <w:shd w:val="clear" w:color="auto" w:fill="auto"/>
          </w:tcPr>
          <w:p w:rsidRPr="00D176CA" w:rsidR="00EC79A2" w:rsidP="00EC79A2" w:rsidRDefault="00564E11" w14:paraId="18820BCD" w14:textId="77777777">
            <w:pPr>
              <w:rPr>
                <w:sz w:val="24"/>
              </w:rPr>
            </w:pPr>
            <w:r w:rsidRPr="00D176CA">
              <w:rPr>
                <w:sz w:val="24"/>
              </w:rPr>
              <w:lastRenderedPageBreak/>
              <w:t>45</w:t>
            </w:r>
          </w:p>
        </w:tc>
        <w:tc>
          <w:tcPr>
            <w:tcW w:w="1440" w:type="dxa"/>
            <w:shd w:val="clear" w:color="auto" w:fill="auto"/>
          </w:tcPr>
          <w:p w:rsidRPr="00D176CA" w:rsidR="00EC79A2" w:rsidP="00EC79A2" w:rsidRDefault="00564E11" w14:paraId="500B8506" w14:textId="77777777">
            <w:pPr>
              <w:rPr>
                <w:sz w:val="24"/>
              </w:rPr>
            </w:pPr>
            <w:r w:rsidRPr="00D176CA">
              <w:rPr>
                <w:sz w:val="24"/>
              </w:rPr>
              <w:t>1</w:t>
            </w:r>
          </w:p>
        </w:tc>
        <w:tc>
          <w:tcPr>
            <w:tcW w:w="1440" w:type="dxa"/>
            <w:shd w:val="clear" w:color="auto" w:fill="auto"/>
          </w:tcPr>
          <w:p w:rsidRPr="00D176CA" w:rsidR="00EC79A2" w:rsidP="00EC79A2" w:rsidRDefault="005174B7" w14:paraId="64FB10F1" w14:textId="77777777">
            <w:pPr>
              <w:rPr>
                <w:sz w:val="24"/>
              </w:rPr>
            </w:pPr>
            <w:r>
              <w:rPr>
                <w:sz w:val="24"/>
              </w:rPr>
              <w:t>3</w:t>
            </w:r>
            <w:r w:rsidRPr="00D176CA" w:rsidR="00EC79A2">
              <w:rPr>
                <w:sz w:val="24"/>
              </w:rPr>
              <w:t>0/60</w:t>
            </w:r>
          </w:p>
        </w:tc>
        <w:tc>
          <w:tcPr>
            <w:tcW w:w="1080" w:type="dxa"/>
            <w:shd w:val="clear" w:color="auto" w:fill="auto"/>
          </w:tcPr>
          <w:p w:rsidRPr="00D176CA" w:rsidR="00EC79A2" w:rsidP="00EC79A2" w:rsidRDefault="0076143B" w14:paraId="0EC5DE9F" w14:textId="77777777">
            <w:pPr>
              <w:rPr>
                <w:sz w:val="24"/>
              </w:rPr>
            </w:pPr>
            <w:r w:rsidRPr="00D176CA">
              <w:rPr>
                <w:sz w:val="24"/>
              </w:rPr>
              <w:t>23</w:t>
            </w:r>
          </w:p>
        </w:tc>
        <w:tc>
          <w:tcPr>
            <w:tcW w:w="900" w:type="dxa"/>
          </w:tcPr>
          <w:p w:rsidRPr="00D176CA" w:rsidR="00EC79A2" w:rsidP="00EC79A2" w:rsidRDefault="00EC79A2" w14:paraId="57FA30E8" w14:textId="77777777">
            <w:pPr>
              <w:rPr>
                <w:sz w:val="24"/>
              </w:rPr>
            </w:pPr>
            <w:r w:rsidRPr="00D176CA">
              <w:rPr>
                <w:sz w:val="24"/>
              </w:rPr>
              <w:t>$20.38</w:t>
            </w:r>
          </w:p>
        </w:tc>
        <w:tc>
          <w:tcPr>
            <w:tcW w:w="1440" w:type="dxa"/>
            <w:shd w:val="clear" w:color="auto" w:fill="auto"/>
          </w:tcPr>
          <w:p w:rsidRPr="00D176CA" w:rsidR="00EC79A2" w:rsidP="00EC79A2" w:rsidRDefault="0076143B" w14:paraId="3433287F" w14:textId="77777777">
            <w:pPr>
              <w:jc w:val="right"/>
              <w:rPr>
                <w:sz w:val="24"/>
              </w:rPr>
            </w:pPr>
            <w:r w:rsidRPr="00D176CA">
              <w:rPr>
                <w:sz w:val="24"/>
              </w:rPr>
              <w:t>$468.74</w:t>
            </w:r>
          </w:p>
        </w:tc>
      </w:tr>
      <w:tr w:rsidRPr="00E45A9A" w:rsidR="00EC79A2" w:rsidTr="00D176CA" w14:paraId="2DFDE4DD" w14:textId="77777777">
        <w:tc>
          <w:tcPr>
            <w:tcW w:w="1350" w:type="dxa"/>
            <w:vMerge/>
            <w:shd w:val="clear" w:color="auto" w:fill="auto"/>
          </w:tcPr>
          <w:p w:rsidRPr="00D176CA" w:rsidR="00EC79A2" w:rsidP="00EC79A2" w:rsidRDefault="00EC79A2" w14:paraId="484A1FBA" w14:textId="77777777">
            <w:pPr>
              <w:rPr>
                <w:sz w:val="24"/>
              </w:rPr>
            </w:pPr>
          </w:p>
        </w:tc>
        <w:tc>
          <w:tcPr>
            <w:tcW w:w="1890" w:type="dxa"/>
            <w:shd w:val="clear" w:color="auto" w:fill="auto"/>
          </w:tcPr>
          <w:p w:rsidRPr="00D176CA" w:rsidR="00EC79A2" w:rsidP="00EC79A2" w:rsidRDefault="00EC79A2" w14:paraId="5EB00194" w14:textId="77777777">
            <w:pPr>
              <w:rPr>
                <w:sz w:val="24"/>
              </w:rPr>
            </w:pPr>
            <w:r w:rsidRPr="00D176CA">
              <w:rPr>
                <w:sz w:val="24"/>
              </w:rPr>
              <w:t>Public Safety Officer Suicide Reporting Module (</w:t>
            </w:r>
            <w:r w:rsidR="00DB5946">
              <w:rPr>
                <w:sz w:val="24"/>
              </w:rPr>
              <w:t xml:space="preserve">Attachment </w:t>
            </w:r>
            <w:r w:rsidR="00973CDC">
              <w:rPr>
                <w:sz w:val="24"/>
              </w:rPr>
              <w:t>7</w:t>
            </w:r>
            <w:r w:rsidRPr="00D176CA">
              <w:rPr>
                <w:sz w:val="24"/>
              </w:rPr>
              <w:t>)</w:t>
            </w:r>
          </w:p>
        </w:tc>
        <w:tc>
          <w:tcPr>
            <w:tcW w:w="1170" w:type="dxa"/>
            <w:shd w:val="clear" w:color="auto" w:fill="auto"/>
          </w:tcPr>
          <w:p w:rsidRPr="00D176CA" w:rsidR="00EC79A2" w:rsidP="00EC79A2" w:rsidRDefault="00EC79A2" w14:paraId="213970E5" w14:textId="77777777">
            <w:pPr>
              <w:rPr>
                <w:sz w:val="24"/>
              </w:rPr>
            </w:pPr>
            <w:r w:rsidRPr="00D176CA">
              <w:rPr>
                <w:sz w:val="24"/>
              </w:rPr>
              <w:t>56</w:t>
            </w:r>
          </w:p>
        </w:tc>
        <w:tc>
          <w:tcPr>
            <w:tcW w:w="1440" w:type="dxa"/>
            <w:shd w:val="clear" w:color="auto" w:fill="auto"/>
          </w:tcPr>
          <w:p w:rsidRPr="00D176CA" w:rsidR="00EC79A2" w:rsidP="00EC79A2" w:rsidRDefault="00EC79A2" w14:paraId="33ACCAC6" w14:textId="77777777">
            <w:pPr>
              <w:rPr>
                <w:sz w:val="24"/>
              </w:rPr>
            </w:pPr>
            <w:r w:rsidRPr="00D176CA">
              <w:rPr>
                <w:sz w:val="24"/>
              </w:rPr>
              <w:t>429</w:t>
            </w:r>
          </w:p>
        </w:tc>
        <w:tc>
          <w:tcPr>
            <w:tcW w:w="1440" w:type="dxa"/>
            <w:shd w:val="clear" w:color="auto" w:fill="auto"/>
          </w:tcPr>
          <w:p w:rsidRPr="00D176CA" w:rsidR="00EC79A2" w:rsidP="00EC79A2" w:rsidRDefault="005174B7" w14:paraId="06EBCFA5" w14:textId="77777777">
            <w:pPr>
              <w:rPr>
                <w:sz w:val="24"/>
              </w:rPr>
            </w:pPr>
            <w:r>
              <w:rPr>
                <w:sz w:val="24"/>
              </w:rPr>
              <w:t>1</w:t>
            </w:r>
            <w:r w:rsidRPr="00D176CA" w:rsidR="00EC79A2">
              <w:rPr>
                <w:sz w:val="24"/>
              </w:rPr>
              <w:t>0/60</w:t>
            </w:r>
          </w:p>
        </w:tc>
        <w:tc>
          <w:tcPr>
            <w:tcW w:w="1080" w:type="dxa"/>
            <w:shd w:val="clear" w:color="auto" w:fill="auto"/>
          </w:tcPr>
          <w:p w:rsidRPr="00D176CA" w:rsidR="00EC79A2" w:rsidP="00EC79A2" w:rsidRDefault="005174B7" w14:paraId="1F89ABE2" w14:textId="77777777">
            <w:pPr>
              <w:rPr>
                <w:sz w:val="24"/>
              </w:rPr>
            </w:pPr>
            <w:r>
              <w:rPr>
                <w:sz w:val="24"/>
              </w:rPr>
              <w:t>4,004</w:t>
            </w:r>
          </w:p>
        </w:tc>
        <w:tc>
          <w:tcPr>
            <w:tcW w:w="900" w:type="dxa"/>
          </w:tcPr>
          <w:p w:rsidRPr="00D176CA" w:rsidR="00EC79A2" w:rsidP="00EC79A2" w:rsidRDefault="00EC79A2" w14:paraId="7F93C6C1" w14:textId="77777777">
            <w:pPr>
              <w:rPr>
                <w:sz w:val="24"/>
              </w:rPr>
            </w:pPr>
            <w:r w:rsidRPr="00D176CA">
              <w:rPr>
                <w:sz w:val="24"/>
              </w:rPr>
              <w:t>$20.38</w:t>
            </w:r>
          </w:p>
        </w:tc>
        <w:tc>
          <w:tcPr>
            <w:tcW w:w="1440" w:type="dxa"/>
            <w:shd w:val="clear" w:color="auto" w:fill="auto"/>
          </w:tcPr>
          <w:p w:rsidRPr="00D176CA" w:rsidR="00EC79A2" w:rsidP="00EC79A2" w:rsidRDefault="00EC79A2" w14:paraId="633CC928" w14:textId="77777777">
            <w:pPr>
              <w:jc w:val="right"/>
              <w:rPr>
                <w:sz w:val="24"/>
              </w:rPr>
            </w:pPr>
            <w:r w:rsidRPr="00D176CA">
              <w:rPr>
                <w:sz w:val="24"/>
              </w:rPr>
              <w:t>$</w:t>
            </w:r>
            <w:r w:rsidR="005174B7">
              <w:rPr>
                <w:sz w:val="24"/>
              </w:rPr>
              <w:t>8</w:t>
            </w:r>
            <w:r w:rsidRPr="00D176CA">
              <w:rPr>
                <w:sz w:val="24"/>
              </w:rPr>
              <w:t>1,6</w:t>
            </w:r>
            <w:r w:rsidR="005174B7">
              <w:rPr>
                <w:sz w:val="24"/>
              </w:rPr>
              <w:t>01.52</w:t>
            </w:r>
          </w:p>
        </w:tc>
      </w:tr>
      <w:tr w:rsidRPr="00E45A9A" w:rsidR="001A7D01" w:rsidTr="00D176CA" w14:paraId="3F9FB3C5" w14:textId="77777777">
        <w:tc>
          <w:tcPr>
            <w:tcW w:w="1350" w:type="dxa"/>
            <w:shd w:val="clear" w:color="auto" w:fill="auto"/>
          </w:tcPr>
          <w:p w:rsidRPr="00D176CA" w:rsidR="001A7D01" w:rsidP="001A7D01" w:rsidRDefault="001A7D01" w14:paraId="0041CA41" w14:textId="77777777">
            <w:pPr>
              <w:rPr>
                <w:b/>
                <w:bCs/>
                <w:sz w:val="24"/>
              </w:rPr>
            </w:pPr>
            <w:r w:rsidRPr="00D176CA">
              <w:rPr>
                <w:b/>
                <w:bCs/>
                <w:sz w:val="24"/>
              </w:rPr>
              <w:t>Total</w:t>
            </w:r>
          </w:p>
        </w:tc>
        <w:tc>
          <w:tcPr>
            <w:tcW w:w="1890" w:type="dxa"/>
          </w:tcPr>
          <w:p w:rsidRPr="00D176CA" w:rsidR="001A7D01" w:rsidP="001A7D01" w:rsidRDefault="001A7D01" w14:paraId="76F8DC87" w14:textId="77777777">
            <w:pPr>
              <w:rPr>
                <w:sz w:val="24"/>
              </w:rPr>
            </w:pPr>
          </w:p>
        </w:tc>
        <w:tc>
          <w:tcPr>
            <w:tcW w:w="6030" w:type="dxa"/>
            <w:gridSpan w:val="5"/>
            <w:shd w:val="clear" w:color="auto" w:fill="auto"/>
          </w:tcPr>
          <w:p w:rsidRPr="00D176CA" w:rsidR="001A7D01" w:rsidP="001A7D01" w:rsidRDefault="001A7D01" w14:paraId="44311ABC" w14:textId="77777777">
            <w:pPr>
              <w:rPr>
                <w:sz w:val="24"/>
              </w:rPr>
            </w:pPr>
          </w:p>
        </w:tc>
        <w:tc>
          <w:tcPr>
            <w:tcW w:w="1440" w:type="dxa"/>
            <w:shd w:val="clear" w:color="auto" w:fill="auto"/>
          </w:tcPr>
          <w:p w:rsidRPr="00D176CA" w:rsidR="001A7D01" w:rsidP="00404815" w:rsidRDefault="007E298E" w14:paraId="2ADB718B" w14:textId="77777777">
            <w:pPr>
              <w:rPr>
                <w:sz w:val="24"/>
              </w:rPr>
            </w:pPr>
            <w:r w:rsidRPr="00D176CA">
              <w:rPr>
                <w:sz w:val="24"/>
              </w:rPr>
              <w:t>$</w:t>
            </w:r>
            <w:r w:rsidR="001B54BE">
              <w:rPr>
                <w:sz w:val="24"/>
              </w:rPr>
              <w:t>85</w:t>
            </w:r>
            <w:r w:rsidRPr="00D176CA" w:rsidR="00446C7B">
              <w:rPr>
                <w:sz w:val="24"/>
              </w:rPr>
              <w:t>2,</w:t>
            </w:r>
            <w:r w:rsidR="001B54BE">
              <w:rPr>
                <w:sz w:val="24"/>
              </w:rPr>
              <w:t>434.26</w:t>
            </w:r>
          </w:p>
        </w:tc>
      </w:tr>
    </w:tbl>
    <w:p w:rsidRPr="000238B7" w:rsidR="0041355F" w:rsidRDefault="0041355F" w14:paraId="6CC050F9" w14:textId="77777777">
      <w:pPr>
        <w:rPr>
          <w:sz w:val="24"/>
        </w:rPr>
      </w:pPr>
    </w:p>
    <w:p w:rsidRPr="00E45A9A" w:rsidR="007E0BE1" w:rsidP="007E0BE1" w:rsidRDefault="007E0BE1" w14:paraId="28EF5A71" w14:textId="77777777">
      <w:pPr>
        <w:tabs>
          <w:tab w:val="left" w:pos="-1440"/>
        </w:tabs>
        <w:rPr>
          <w:b/>
          <w:bCs/>
          <w:sz w:val="24"/>
        </w:rPr>
      </w:pPr>
    </w:p>
    <w:p w:rsidRPr="00E45A9A" w:rsidR="001C26B3" w:rsidP="001052B8" w:rsidRDefault="001C26B3" w14:paraId="016D6FCE" w14:textId="77777777">
      <w:pPr>
        <w:numPr>
          <w:ilvl w:val="0"/>
          <w:numId w:val="8"/>
        </w:numPr>
        <w:tabs>
          <w:tab w:val="left" w:pos="-1440"/>
        </w:tabs>
        <w:ind w:left="360"/>
        <w:rPr>
          <w:b/>
          <w:bCs/>
          <w:sz w:val="24"/>
        </w:rPr>
      </w:pPr>
      <w:r w:rsidRPr="00E45A9A">
        <w:rPr>
          <w:b/>
          <w:bCs/>
          <w:sz w:val="24"/>
        </w:rPr>
        <w:t xml:space="preserve">Estimates of Other Total Annual Cost </w:t>
      </w:r>
      <w:r w:rsidRPr="00E45A9A" w:rsidR="004A2713">
        <w:rPr>
          <w:b/>
          <w:bCs/>
          <w:sz w:val="24"/>
        </w:rPr>
        <w:t xml:space="preserve">Burden to Respondents or Record </w:t>
      </w:r>
      <w:r w:rsidRPr="00E45A9A" w:rsidR="007E0BE1">
        <w:rPr>
          <w:b/>
          <w:bCs/>
          <w:sz w:val="24"/>
        </w:rPr>
        <w:t>K</w:t>
      </w:r>
      <w:r w:rsidRPr="00E45A9A">
        <w:rPr>
          <w:b/>
          <w:bCs/>
          <w:sz w:val="24"/>
        </w:rPr>
        <w:t>eepers</w:t>
      </w:r>
    </w:p>
    <w:p w:rsidRPr="00E45A9A" w:rsidR="001C26B3" w:rsidP="001052B8" w:rsidRDefault="001C26B3" w14:paraId="5E66E1A3" w14:textId="77777777">
      <w:pPr>
        <w:rPr>
          <w:sz w:val="24"/>
        </w:rPr>
      </w:pPr>
    </w:p>
    <w:p w:rsidRPr="00E45A9A" w:rsidR="001C26B3" w:rsidP="001052B8" w:rsidRDefault="00D12E46" w14:paraId="2BEB2613" w14:textId="77777777">
      <w:pPr>
        <w:ind w:firstLine="720"/>
        <w:rPr>
          <w:sz w:val="24"/>
        </w:rPr>
      </w:pPr>
      <w:r w:rsidRPr="00E45A9A">
        <w:rPr>
          <w:sz w:val="24"/>
        </w:rPr>
        <w:t>Respondents will incur no capital or maintenance costs.</w:t>
      </w:r>
    </w:p>
    <w:p w:rsidRPr="00E45A9A" w:rsidR="0059564B" w:rsidP="001052B8" w:rsidRDefault="0059564B" w14:paraId="77206F81" w14:textId="77777777">
      <w:pPr>
        <w:rPr>
          <w:sz w:val="24"/>
        </w:rPr>
      </w:pPr>
    </w:p>
    <w:p w:rsidRPr="008A4AE0" w:rsidR="001C26B3" w:rsidP="001052B8" w:rsidRDefault="001C26B3" w14:paraId="3262A871" w14:textId="77777777">
      <w:pPr>
        <w:numPr>
          <w:ilvl w:val="0"/>
          <w:numId w:val="8"/>
        </w:numPr>
        <w:tabs>
          <w:tab w:val="left" w:pos="-1440"/>
        </w:tabs>
        <w:ind w:left="360"/>
        <w:rPr>
          <w:sz w:val="24"/>
        </w:rPr>
      </w:pPr>
      <w:r w:rsidRPr="00E45A9A">
        <w:rPr>
          <w:b/>
          <w:bCs/>
          <w:sz w:val="24"/>
        </w:rPr>
        <w:t>Annualized Cost to the Government</w:t>
      </w:r>
    </w:p>
    <w:p w:rsidRPr="00E45A9A" w:rsidR="00E921C0" w:rsidP="008A4AE0" w:rsidRDefault="00E921C0" w14:paraId="0DE4C534" w14:textId="77777777">
      <w:pPr>
        <w:tabs>
          <w:tab w:val="left" w:pos="-1440"/>
        </w:tabs>
        <w:ind w:left="360"/>
        <w:rPr>
          <w:sz w:val="24"/>
        </w:rPr>
      </w:pPr>
    </w:p>
    <w:p w:rsidRPr="00E45A9A" w:rsidR="001C26B3" w:rsidP="001052B8" w:rsidRDefault="001C26B3" w14:paraId="1C6E20AD" w14:textId="77777777">
      <w:pPr>
        <w:ind w:firstLine="720"/>
        <w:rPr>
          <w:sz w:val="24"/>
        </w:rPr>
      </w:pPr>
      <w:r w:rsidRPr="00E45A9A">
        <w:rPr>
          <w:sz w:val="24"/>
        </w:rPr>
        <w:t>These costs fall into several categories, listed below</w:t>
      </w:r>
      <w:r w:rsidRPr="00E45A9A" w:rsidR="008A11F4">
        <w:rPr>
          <w:sz w:val="24"/>
        </w:rPr>
        <w:t xml:space="preserve">. </w:t>
      </w:r>
    </w:p>
    <w:p w:rsidRPr="00825397" w:rsidR="00CE7D95" w:rsidP="00825397" w:rsidRDefault="00CE7D95" w14:paraId="47E85CF2" w14:textId="77777777"/>
    <w:p w:rsidRPr="00E45A9A" w:rsidR="008859F2" w:rsidP="008859F2" w:rsidRDefault="007E64D3" w14:paraId="3842906C" w14:textId="77777777">
      <w:pPr>
        <w:pStyle w:val="Heading3"/>
        <w:ind w:firstLine="720"/>
        <w:rPr>
          <w:sz w:val="24"/>
        </w:rPr>
      </w:pPr>
      <w:r>
        <w:rPr>
          <w:sz w:val="24"/>
        </w:rPr>
        <w:t xml:space="preserve">NVDRS </w:t>
      </w:r>
      <w:r w:rsidRPr="00E45A9A" w:rsidR="008859F2">
        <w:rPr>
          <w:sz w:val="24"/>
        </w:rPr>
        <w:t>Contractor phases, tasks, and estimated costs</w:t>
      </w:r>
    </w:p>
    <w:p w:rsidRPr="00E45A9A" w:rsidR="008859F2" w:rsidP="008859F2" w:rsidRDefault="008859F2" w14:paraId="6CAB5746" w14:textId="77777777">
      <w:pPr>
        <w:rPr>
          <w:sz w:val="24"/>
        </w:rPr>
      </w:pPr>
    </w:p>
    <w:tbl>
      <w:tblPr>
        <w:tblW w:w="7880" w:type="dxa"/>
        <w:jc w:val="center"/>
        <w:tblLayout w:type="fixed"/>
        <w:tblCellMar>
          <w:left w:w="120" w:type="dxa"/>
          <w:right w:w="120" w:type="dxa"/>
        </w:tblCellMar>
        <w:tblLook w:val="0000" w:firstRow="0" w:lastRow="0" w:firstColumn="0" w:lastColumn="0" w:noHBand="0" w:noVBand="0"/>
      </w:tblPr>
      <w:tblGrid>
        <w:gridCol w:w="5731"/>
        <w:gridCol w:w="2149"/>
      </w:tblGrid>
      <w:tr w:rsidRPr="00E45A9A" w:rsidR="008859F2" w:rsidTr="004D6A6B" w14:paraId="6853BA3E" w14:textId="77777777">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044002AF" w14:textId="77777777">
            <w:pPr>
              <w:spacing w:line="120" w:lineRule="exact"/>
              <w:rPr>
                <w:sz w:val="24"/>
              </w:rPr>
            </w:pPr>
          </w:p>
          <w:p w:rsidRPr="00E45A9A" w:rsidR="008859F2" w:rsidP="004D6A6B" w:rsidRDefault="008859F2" w14:paraId="26B39691" w14:textId="77777777">
            <w:pPr>
              <w:spacing w:after="58"/>
              <w:jc w:val="center"/>
              <w:rPr>
                <w:b/>
                <w:bCs/>
                <w:sz w:val="24"/>
              </w:rPr>
            </w:pPr>
            <w:r w:rsidRPr="00E45A9A">
              <w:rPr>
                <w:b/>
                <w:bCs/>
                <w:sz w:val="24"/>
              </w:rPr>
              <w:t>Labor</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52A40BD8" w14:textId="77777777">
            <w:pPr>
              <w:spacing w:line="120" w:lineRule="exact"/>
              <w:rPr>
                <w:b/>
                <w:bCs/>
                <w:sz w:val="24"/>
              </w:rPr>
            </w:pPr>
          </w:p>
          <w:p w:rsidRPr="00E45A9A" w:rsidR="008859F2" w:rsidP="004D6A6B" w:rsidRDefault="008859F2" w14:paraId="7A674F22" w14:textId="77777777">
            <w:pPr>
              <w:spacing w:after="58"/>
              <w:jc w:val="center"/>
              <w:rPr>
                <w:b/>
                <w:bCs/>
                <w:sz w:val="24"/>
              </w:rPr>
            </w:pPr>
            <w:r w:rsidRPr="00E45A9A">
              <w:rPr>
                <w:b/>
                <w:bCs/>
                <w:sz w:val="24"/>
              </w:rPr>
              <w:t>COST</w:t>
            </w:r>
          </w:p>
        </w:tc>
      </w:tr>
      <w:tr w:rsidRPr="00E45A9A" w:rsidR="008859F2" w:rsidTr="004D6A6B" w14:paraId="6D3623DB" w14:textId="77777777">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6F1CD621" w14:textId="77777777">
            <w:pPr>
              <w:spacing w:line="120" w:lineRule="exact"/>
              <w:rPr>
                <w:b/>
                <w:bCs/>
                <w:sz w:val="24"/>
              </w:rPr>
            </w:pPr>
          </w:p>
          <w:p w:rsidRPr="00E45A9A" w:rsidR="008859F2" w:rsidP="004D6A6B" w:rsidRDefault="008859F2" w14:paraId="404FA8A0" w14:textId="77777777">
            <w:pPr>
              <w:spacing w:after="58"/>
              <w:rPr>
                <w:sz w:val="24"/>
              </w:rPr>
            </w:pPr>
            <w:r w:rsidRPr="00E45A9A">
              <w:rPr>
                <w:sz w:val="24"/>
              </w:rPr>
              <w:t>MISO contract for maintenance of the data collection software</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4B04C6AF" w14:textId="77777777">
            <w:pPr>
              <w:spacing w:line="120" w:lineRule="exact"/>
              <w:rPr>
                <w:sz w:val="24"/>
              </w:rPr>
            </w:pPr>
          </w:p>
          <w:p w:rsidRPr="00E45A9A" w:rsidR="008859F2" w:rsidP="004D6A6B" w:rsidRDefault="008859F2" w14:paraId="11470922" w14:textId="77777777">
            <w:pPr>
              <w:spacing w:after="58"/>
              <w:jc w:val="right"/>
              <w:rPr>
                <w:sz w:val="24"/>
              </w:rPr>
            </w:pPr>
            <w:r>
              <w:rPr>
                <w:sz w:val="24"/>
              </w:rPr>
              <w:t>$30</w:t>
            </w:r>
            <w:r w:rsidRPr="00E45A9A">
              <w:rPr>
                <w:sz w:val="24"/>
              </w:rPr>
              <w:t>0,000</w:t>
            </w:r>
          </w:p>
        </w:tc>
      </w:tr>
      <w:tr w:rsidRPr="00E45A9A" w:rsidR="008859F2" w:rsidTr="004D6A6B" w14:paraId="02530781" w14:textId="77777777">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510A85D7" w14:textId="77777777">
            <w:pPr>
              <w:spacing w:line="120" w:lineRule="exact"/>
              <w:rPr>
                <w:sz w:val="24"/>
              </w:rPr>
            </w:pPr>
          </w:p>
          <w:p w:rsidRPr="00E45A9A" w:rsidR="008859F2" w:rsidP="004D6A6B" w:rsidRDefault="008859F2" w14:paraId="1BBD578F" w14:textId="77777777">
            <w:pPr>
              <w:spacing w:after="58"/>
              <w:rPr>
                <w:sz w:val="24"/>
              </w:rPr>
            </w:pPr>
            <w:r w:rsidRPr="00E45A9A">
              <w:rPr>
                <w:sz w:val="24"/>
              </w:rPr>
              <w:t>Contracts and cooperative agreements with national partners</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49D4C33E" w14:textId="77777777">
            <w:pPr>
              <w:spacing w:after="58"/>
              <w:jc w:val="right"/>
              <w:rPr>
                <w:sz w:val="24"/>
              </w:rPr>
            </w:pPr>
            <w:r w:rsidRPr="00E45A9A">
              <w:rPr>
                <w:sz w:val="24"/>
              </w:rPr>
              <w:t>$</w:t>
            </w:r>
            <w:r>
              <w:rPr>
                <w:sz w:val="24"/>
              </w:rPr>
              <w:t>750</w:t>
            </w:r>
            <w:r w:rsidRPr="00E45A9A">
              <w:rPr>
                <w:sz w:val="24"/>
              </w:rPr>
              <w:t>,000</w:t>
            </w:r>
          </w:p>
        </w:tc>
      </w:tr>
      <w:tr w:rsidRPr="00E45A9A" w:rsidR="008859F2" w:rsidTr="004D6A6B" w14:paraId="7A244960" w14:textId="77777777">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46539B82" w14:textId="77777777">
            <w:pPr>
              <w:spacing w:line="120" w:lineRule="exact"/>
              <w:rPr>
                <w:sz w:val="24"/>
              </w:rPr>
            </w:pPr>
          </w:p>
          <w:p w:rsidRPr="00E45A9A" w:rsidR="008859F2" w:rsidP="004D6A6B" w:rsidRDefault="008859F2" w14:paraId="10819430" w14:textId="77777777">
            <w:pPr>
              <w:spacing w:after="58"/>
              <w:rPr>
                <w:sz w:val="24"/>
              </w:rPr>
            </w:pPr>
            <w:r w:rsidRPr="00E45A9A">
              <w:rPr>
                <w:b/>
                <w:bCs/>
                <w:sz w:val="24"/>
              </w:rPr>
              <w:t>Total Estimated Contract Costs</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14:paraId="561EA444" w14:textId="77777777">
            <w:pPr>
              <w:spacing w:line="120" w:lineRule="exact"/>
              <w:rPr>
                <w:sz w:val="24"/>
              </w:rPr>
            </w:pPr>
          </w:p>
          <w:p w:rsidRPr="00E45A9A" w:rsidR="008859F2" w:rsidP="004D6A6B" w:rsidRDefault="008859F2" w14:paraId="7090B2B2" w14:textId="77777777">
            <w:pPr>
              <w:spacing w:after="58"/>
              <w:jc w:val="right"/>
              <w:rPr>
                <w:sz w:val="24"/>
              </w:rPr>
            </w:pPr>
            <w:r>
              <w:rPr>
                <w:b/>
                <w:bCs/>
                <w:sz w:val="24"/>
              </w:rPr>
              <w:t>$1,050</w:t>
            </w:r>
            <w:r w:rsidRPr="00E45A9A">
              <w:rPr>
                <w:b/>
                <w:bCs/>
                <w:sz w:val="24"/>
              </w:rPr>
              <w:t>,000</w:t>
            </w:r>
          </w:p>
        </w:tc>
      </w:tr>
    </w:tbl>
    <w:p w:rsidR="005138FC" w:rsidP="008859F2" w:rsidRDefault="005138FC" w14:paraId="5D1FEBAC" w14:textId="77777777">
      <w:pPr>
        <w:ind w:firstLine="720"/>
        <w:rPr>
          <w:b/>
          <w:bCs/>
          <w:sz w:val="24"/>
          <w:u w:val="single"/>
        </w:rPr>
      </w:pPr>
    </w:p>
    <w:p w:rsidRPr="00E45A9A" w:rsidR="008859F2" w:rsidP="008859F2" w:rsidRDefault="007E64D3" w14:paraId="2CA112CE" w14:textId="77777777">
      <w:pPr>
        <w:ind w:firstLine="720"/>
        <w:rPr>
          <w:b/>
          <w:bCs/>
          <w:sz w:val="24"/>
        </w:rPr>
      </w:pPr>
      <w:r>
        <w:rPr>
          <w:b/>
          <w:bCs/>
          <w:sz w:val="24"/>
          <w:u w:val="single"/>
        </w:rPr>
        <w:t xml:space="preserve">NVDRS </w:t>
      </w:r>
      <w:r w:rsidRPr="00E45A9A" w:rsidR="008859F2">
        <w:rPr>
          <w:b/>
          <w:bCs/>
          <w:sz w:val="24"/>
          <w:u w:val="single"/>
        </w:rPr>
        <w:t>Government costs</w:t>
      </w:r>
    </w:p>
    <w:p w:rsidRPr="00E45A9A" w:rsidR="008859F2" w:rsidP="008859F2" w:rsidRDefault="008859F2" w14:paraId="3A5B4333" w14:textId="77777777">
      <w:pPr>
        <w:rPr>
          <w:b/>
          <w:bCs/>
          <w:sz w:val="24"/>
        </w:rPr>
      </w:pPr>
    </w:p>
    <w:tbl>
      <w:tblPr>
        <w:tblW w:w="7830" w:type="dxa"/>
        <w:tblInd w:w="918"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20"/>
        <w:gridCol w:w="3150"/>
        <w:gridCol w:w="2160"/>
      </w:tblGrid>
      <w:tr w:rsidRPr="00E45A9A" w:rsidR="008859F2" w:rsidTr="004D6A6B" w14:paraId="427A96D7" w14:textId="77777777">
        <w:trPr>
          <w:trHeight w:val="432"/>
        </w:trPr>
        <w:tc>
          <w:tcPr>
            <w:tcW w:w="2520" w:type="dxa"/>
            <w:shd w:val="clear" w:color="auto" w:fill="auto"/>
            <w:vAlign w:val="center"/>
          </w:tcPr>
          <w:p w:rsidRPr="00E45A9A" w:rsidR="008859F2" w:rsidP="004D6A6B" w:rsidRDefault="008859F2" w14:paraId="5A2DD79D" w14:textId="77777777">
            <w:pPr>
              <w:spacing w:line="120" w:lineRule="exact"/>
              <w:rPr>
                <w:sz w:val="24"/>
              </w:rPr>
            </w:pPr>
          </w:p>
          <w:p w:rsidRPr="00E45A9A" w:rsidR="008859F2" w:rsidP="004D6A6B" w:rsidRDefault="008859F2" w14:paraId="2BB584F1" w14:textId="77777777">
            <w:pPr>
              <w:spacing w:after="58"/>
              <w:rPr>
                <w:b/>
                <w:bCs/>
                <w:sz w:val="24"/>
              </w:rPr>
            </w:pPr>
            <w:r w:rsidRPr="00E45A9A">
              <w:rPr>
                <w:b/>
                <w:bCs/>
                <w:sz w:val="24"/>
              </w:rPr>
              <w:t>Personnel</w:t>
            </w:r>
          </w:p>
        </w:tc>
        <w:tc>
          <w:tcPr>
            <w:tcW w:w="3150" w:type="dxa"/>
            <w:shd w:val="clear" w:color="auto" w:fill="auto"/>
          </w:tcPr>
          <w:p w:rsidRPr="00E45A9A" w:rsidR="008859F2" w:rsidP="004D6A6B" w:rsidRDefault="008859F2" w14:paraId="6DB9E265" w14:textId="77777777">
            <w:pPr>
              <w:spacing w:line="120" w:lineRule="exact"/>
              <w:rPr>
                <w:b/>
                <w:bCs/>
                <w:sz w:val="24"/>
              </w:rPr>
            </w:pPr>
          </w:p>
          <w:p w:rsidRPr="00E45A9A" w:rsidR="008859F2" w:rsidP="004D6A6B" w:rsidRDefault="008859F2" w14:paraId="0F2F3C86" w14:textId="77777777">
            <w:pPr>
              <w:spacing w:after="58"/>
              <w:jc w:val="center"/>
              <w:rPr>
                <w:b/>
                <w:bCs/>
                <w:sz w:val="24"/>
              </w:rPr>
            </w:pPr>
            <w:r w:rsidRPr="00E45A9A">
              <w:rPr>
                <w:b/>
                <w:bCs/>
                <w:sz w:val="24"/>
              </w:rPr>
              <w:t>Tasks</w:t>
            </w:r>
          </w:p>
        </w:tc>
        <w:tc>
          <w:tcPr>
            <w:tcW w:w="2160" w:type="dxa"/>
            <w:shd w:val="clear" w:color="auto" w:fill="auto"/>
          </w:tcPr>
          <w:p w:rsidRPr="00E45A9A" w:rsidR="008859F2" w:rsidP="004D6A6B" w:rsidRDefault="008859F2" w14:paraId="22318FA9" w14:textId="77777777">
            <w:pPr>
              <w:spacing w:line="120" w:lineRule="exact"/>
              <w:rPr>
                <w:b/>
                <w:bCs/>
                <w:sz w:val="24"/>
              </w:rPr>
            </w:pPr>
          </w:p>
          <w:p w:rsidRPr="00E45A9A" w:rsidR="008859F2" w:rsidP="004D6A6B" w:rsidRDefault="008859F2" w14:paraId="62611BF6" w14:textId="77777777">
            <w:pPr>
              <w:spacing w:after="58"/>
              <w:jc w:val="center"/>
              <w:rPr>
                <w:b/>
                <w:bCs/>
                <w:sz w:val="24"/>
              </w:rPr>
            </w:pPr>
            <w:r w:rsidRPr="00E45A9A">
              <w:rPr>
                <w:b/>
                <w:bCs/>
                <w:sz w:val="24"/>
              </w:rPr>
              <w:t>Avg. cost/</w:t>
            </w:r>
            <w:r w:rsidRPr="00E45A9A" w:rsidR="00252923">
              <w:rPr>
                <w:b/>
                <w:bCs/>
                <w:sz w:val="24"/>
              </w:rPr>
              <w:t>yr.</w:t>
            </w:r>
          </w:p>
        </w:tc>
      </w:tr>
      <w:tr w:rsidRPr="00E45A9A" w:rsidR="008859F2" w:rsidTr="004D6A6B" w14:paraId="4AF8D6C1" w14:textId="77777777">
        <w:trPr>
          <w:trHeight w:val="576"/>
        </w:trPr>
        <w:tc>
          <w:tcPr>
            <w:tcW w:w="2520" w:type="dxa"/>
            <w:shd w:val="clear" w:color="auto" w:fill="auto"/>
            <w:vAlign w:val="center"/>
          </w:tcPr>
          <w:p w:rsidRPr="00E45A9A" w:rsidR="008859F2" w:rsidP="004D6A6B" w:rsidRDefault="008859F2" w14:paraId="73F99436" w14:textId="77777777">
            <w:pPr>
              <w:rPr>
                <w:sz w:val="24"/>
              </w:rPr>
            </w:pPr>
            <w:r w:rsidRPr="00E45A9A">
              <w:rPr>
                <w:sz w:val="24"/>
              </w:rPr>
              <w:t>Senior Scientist</w:t>
            </w:r>
          </w:p>
        </w:tc>
        <w:tc>
          <w:tcPr>
            <w:tcW w:w="3150" w:type="dxa"/>
            <w:shd w:val="clear" w:color="auto" w:fill="auto"/>
            <w:vAlign w:val="center"/>
          </w:tcPr>
          <w:p w:rsidRPr="00E45A9A" w:rsidR="008859F2" w:rsidP="004D6A6B" w:rsidRDefault="008859F2" w14:paraId="48B7E137" w14:textId="77777777">
            <w:pPr>
              <w:rPr>
                <w:sz w:val="24"/>
              </w:rPr>
            </w:pPr>
            <w:r w:rsidRPr="00E45A9A">
              <w:rPr>
                <w:sz w:val="24"/>
              </w:rPr>
              <w:t>Program oversight</w:t>
            </w:r>
          </w:p>
        </w:tc>
        <w:tc>
          <w:tcPr>
            <w:tcW w:w="2160" w:type="dxa"/>
            <w:shd w:val="clear" w:color="auto" w:fill="auto"/>
            <w:vAlign w:val="center"/>
          </w:tcPr>
          <w:p w:rsidRPr="00E45A9A" w:rsidR="008859F2" w:rsidP="004D6A6B" w:rsidRDefault="008859F2" w14:paraId="5147CFB9" w14:textId="77777777">
            <w:pPr>
              <w:jc w:val="right"/>
              <w:rPr>
                <w:sz w:val="24"/>
              </w:rPr>
            </w:pPr>
            <w:r>
              <w:rPr>
                <w:sz w:val="24"/>
              </w:rPr>
              <w:t>$16</w:t>
            </w:r>
            <w:r w:rsidRPr="00E45A9A">
              <w:rPr>
                <w:sz w:val="24"/>
              </w:rPr>
              <w:t>0,000</w:t>
            </w:r>
          </w:p>
        </w:tc>
      </w:tr>
      <w:tr w:rsidRPr="00E45A9A" w:rsidR="008859F2" w:rsidTr="004D6A6B" w14:paraId="1AB86DDC" w14:textId="77777777">
        <w:trPr>
          <w:trHeight w:val="576"/>
        </w:trPr>
        <w:tc>
          <w:tcPr>
            <w:tcW w:w="2520" w:type="dxa"/>
            <w:shd w:val="clear" w:color="auto" w:fill="auto"/>
            <w:vAlign w:val="center"/>
          </w:tcPr>
          <w:p w:rsidRPr="00E45A9A" w:rsidR="008859F2" w:rsidP="004D6A6B" w:rsidRDefault="008859F2" w14:paraId="47538F31" w14:textId="77777777">
            <w:pPr>
              <w:rPr>
                <w:sz w:val="24"/>
              </w:rPr>
            </w:pPr>
            <w:r>
              <w:rPr>
                <w:sz w:val="24"/>
              </w:rPr>
              <w:t>6</w:t>
            </w:r>
            <w:r w:rsidRPr="00E45A9A">
              <w:rPr>
                <w:sz w:val="24"/>
              </w:rPr>
              <w:t xml:space="preserve"> Epidemiologists</w:t>
            </w:r>
          </w:p>
        </w:tc>
        <w:tc>
          <w:tcPr>
            <w:tcW w:w="3150" w:type="dxa"/>
            <w:shd w:val="clear" w:color="auto" w:fill="auto"/>
            <w:vAlign w:val="center"/>
          </w:tcPr>
          <w:p w:rsidRPr="00E45A9A" w:rsidR="008859F2" w:rsidP="004D6A6B" w:rsidRDefault="008859F2" w14:paraId="6BA925E9" w14:textId="77777777">
            <w:pPr>
              <w:rPr>
                <w:sz w:val="24"/>
              </w:rPr>
            </w:pPr>
            <w:r w:rsidRPr="00E45A9A">
              <w:rPr>
                <w:sz w:val="24"/>
              </w:rPr>
              <w:t>Technical assistance and data usage</w:t>
            </w:r>
          </w:p>
        </w:tc>
        <w:tc>
          <w:tcPr>
            <w:tcW w:w="2160" w:type="dxa"/>
            <w:shd w:val="clear" w:color="auto" w:fill="auto"/>
            <w:vAlign w:val="center"/>
          </w:tcPr>
          <w:p w:rsidRPr="00E45A9A" w:rsidR="008859F2" w:rsidP="004D6A6B" w:rsidRDefault="008859F2" w14:paraId="5320570D" w14:textId="77777777">
            <w:pPr>
              <w:jc w:val="right"/>
              <w:rPr>
                <w:sz w:val="24"/>
              </w:rPr>
            </w:pPr>
            <w:r w:rsidRPr="00E45A9A">
              <w:rPr>
                <w:sz w:val="24"/>
              </w:rPr>
              <w:t>$</w:t>
            </w:r>
            <w:r>
              <w:rPr>
                <w:sz w:val="24"/>
              </w:rPr>
              <w:t>849,000</w:t>
            </w:r>
          </w:p>
        </w:tc>
      </w:tr>
      <w:tr w:rsidRPr="00E45A9A" w:rsidR="008859F2" w:rsidTr="004D6A6B" w14:paraId="09527642" w14:textId="77777777">
        <w:trPr>
          <w:trHeight w:val="432"/>
        </w:trPr>
        <w:tc>
          <w:tcPr>
            <w:tcW w:w="2520" w:type="dxa"/>
            <w:shd w:val="clear" w:color="auto" w:fill="auto"/>
            <w:vAlign w:val="center"/>
          </w:tcPr>
          <w:p w:rsidRPr="00E45A9A" w:rsidR="008859F2" w:rsidP="004D6A6B" w:rsidRDefault="008859F2" w14:paraId="305B461F" w14:textId="77777777">
            <w:pPr>
              <w:rPr>
                <w:sz w:val="24"/>
              </w:rPr>
            </w:pPr>
            <w:r>
              <w:rPr>
                <w:sz w:val="24"/>
              </w:rPr>
              <w:t>7</w:t>
            </w:r>
            <w:r w:rsidRPr="00E45A9A">
              <w:rPr>
                <w:sz w:val="24"/>
              </w:rPr>
              <w:t xml:space="preserve"> Public Health Advisors</w:t>
            </w:r>
          </w:p>
        </w:tc>
        <w:tc>
          <w:tcPr>
            <w:tcW w:w="3150" w:type="dxa"/>
            <w:shd w:val="clear" w:color="auto" w:fill="auto"/>
            <w:vAlign w:val="center"/>
          </w:tcPr>
          <w:p w:rsidRPr="00E45A9A" w:rsidR="008859F2" w:rsidP="004D6A6B" w:rsidRDefault="008859F2" w14:paraId="389DEBC1" w14:textId="77777777">
            <w:pPr>
              <w:rPr>
                <w:sz w:val="24"/>
              </w:rPr>
            </w:pPr>
            <w:r w:rsidRPr="00E45A9A">
              <w:rPr>
                <w:sz w:val="24"/>
              </w:rPr>
              <w:t>Programmatic, budgetary, administrative management &amp; oversight</w:t>
            </w:r>
          </w:p>
        </w:tc>
        <w:tc>
          <w:tcPr>
            <w:tcW w:w="2160" w:type="dxa"/>
            <w:shd w:val="clear" w:color="auto" w:fill="auto"/>
            <w:vAlign w:val="center"/>
          </w:tcPr>
          <w:p w:rsidRPr="00E45A9A" w:rsidR="008859F2" w:rsidP="004D6A6B" w:rsidRDefault="008859F2" w14:paraId="1D6A1273" w14:textId="77777777">
            <w:pPr>
              <w:jc w:val="right"/>
              <w:rPr>
                <w:sz w:val="24"/>
              </w:rPr>
            </w:pPr>
            <w:r>
              <w:rPr>
                <w:sz w:val="24"/>
              </w:rPr>
              <w:t>$780</w:t>
            </w:r>
            <w:r w:rsidRPr="00E45A9A">
              <w:rPr>
                <w:sz w:val="24"/>
              </w:rPr>
              <w:t>,000</w:t>
            </w:r>
          </w:p>
        </w:tc>
      </w:tr>
      <w:tr w:rsidRPr="00E45A9A" w:rsidR="008859F2" w:rsidTr="004D6A6B" w14:paraId="42F0CD01" w14:textId="77777777">
        <w:trPr>
          <w:trHeight w:val="576"/>
        </w:trPr>
        <w:tc>
          <w:tcPr>
            <w:tcW w:w="2520" w:type="dxa"/>
            <w:shd w:val="clear" w:color="auto" w:fill="auto"/>
            <w:vAlign w:val="center"/>
          </w:tcPr>
          <w:p w:rsidRPr="00E45A9A" w:rsidR="008859F2" w:rsidP="004D6A6B" w:rsidRDefault="008859F2" w14:paraId="3B8F8975" w14:textId="77777777">
            <w:pPr>
              <w:rPr>
                <w:sz w:val="24"/>
              </w:rPr>
            </w:pPr>
            <w:r w:rsidRPr="00E45A9A">
              <w:rPr>
                <w:sz w:val="24"/>
              </w:rPr>
              <w:t>Computer Informatics Specialist</w:t>
            </w:r>
          </w:p>
        </w:tc>
        <w:tc>
          <w:tcPr>
            <w:tcW w:w="3150" w:type="dxa"/>
            <w:shd w:val="clear" w:color="auto" w:fill="auto"/>
            <w:vAlign w:val="center"/>
          </w:tcPr>
          <w:p w:rsidRPr="00E45A9A" w:rsidR="008859F2" w:rsidP="004D6A6B" w:rsidRDefault="008859F2" w14:paraId="0C993249" w14:textId="77777777">
            <w:pPr>
              <w:rPr>
                <w:sz w:val="24"/>
              </w:rPr>
            </w:pPr>
            <w:r w:rsidRPr="00E45A9A">
              <w:rPr>
                <w:sz w:val="24"/>
              </w:rPr>
              <w:t>Database design</w:t>
            </w:r>
          </w:p>
        </w:tc>
        <w:tc>
          <w:tcPr>
            <w:tcW w:w="2160" w:type="dxa"/>
            <w:shd w:val="clear" w:color="auto" w:fill="auto"/>
            <w:vAlign w:val="center"/>
          </w:tcPr>
          <w:p w:rsidRPr="00E45A9A" w:rsidR="008859F2" w:rsidP="004D6A6B" w:rsidRDefault="008859F2" w14:paraId="6C2AD9C2" w14:textId="77777777">
            <w:pPr>
              <w:jc w:val="right"/>
              <w:rPr>
                <w:sz w:val="24"/>
              </w:rPr>
            </w:pPr>
            <w:r w:rsidRPr="00E45A9A">
              <w:rPr>
                <w:sz w:val="24"/>
              </w:rPr>
              <w:t>$</w:t>
            </w:r>
            <w:r>
              <w:rPr>
                <w:sz w:val="24"/>
              </w:rPr>
              <w:t>1</w:t>
            </w:r>
            <w:r w:rsidRPr="00E45A9A">
              <w:rPr>
                <w:sz w:val="24"/>
              </w:rPr>
              <w:t>00,000</w:t>
            </w:r>
          </w:p>
        </w:tc>
      </w:tr>
      <w:tr w:rsidRPr="00E45A9A" w:rsidR="008859F2" w:rsidTr="004D6A6B" w14:paraId="1C994698" w14:textId="77777777">
        <w:trPr>
          <w:trHeight w:val="576"/>
        </w:trPr>
        <w:tc>
          <w:tcPr>
            <w:tcW w:w="2520" w:type="dxa"/>
            <w:shd w:val="clear" w:color="auto" w:fill="auto"/>
            <w:vAlign w:val="center"/>
          </w:tcPr>
          <w:p w:rsidRPr="00E45A9A" w:rsidR="008859F2" w:rsidP="004D6A6B" w:rsidRDefault="008859F2" w14:paraId="2AF57E00" w14:textId="77777777">
            <w:pPr>
              <w:rPr>
                <w:sz w:val="24"/>
              </w:rPr>
            </w:pPr>
            <w:r w:rsidRPr="00E45A9A">
              <w:rPr>
                <w:sz w:val="24"/>
              </w:rPr>
              <w:t>Computer Scientist</w:t>
            </w:r>
          </w:p>
        </w:tc>
        <w:tc>
          <w:tcPr>
            <w:tcW w:w="3150" w:type="dxa"/>
            <w:shd w:val="clear" w:color="auto" w:fill="auto"/>
            <w:vAlign w:val="center"/>
          </w:tcPr>
          <w:p w:rsidRPr="00E45A9A" w:rsidR="008859F2" w:rsidP="004D6A6B" w:rsidRDefault="008859F2" w14:paraId="26EF894A" w14:textId="77777777">
            <w:pPr>
              <w:rPr>
                <w:sz w:val="24"/>
              </w:rPr>
            </w:pPr>
            <w:r w:rsidRPr="00E45A9A">
              <w:rPr>
                <w:sz w:val="24"/>
              </w:rPr>
              <w:t>Data quality assurance</w:t>
            </w:r>
          </w:p>
        </w:tc>
        <w:tc>
          <w:tcPr>
            <w:tcW w:w="2160" w:type="dxa"/>
            <w:shd w:val="clear" w:color="auto" w:fill="auto"/>
            <w:vAlign w:val="center"/>
          </w:tcPr>
          <w:p w:rsidRPr="00E45A9A" w:rsidR="008859F2" w:rsidP="004D6A6B" w:rsidRDefault="008859F2" w14:paraId="4E7293B4" w14:textId="77777777">
            <w:pPr>
              <w:jc w:val="right"/>
              <w:rPr>
                <w:sz w:val="24"/>
              </w:rPr>
            </w:pPr>
            <w:r>
              <w:rPr>
                <w:sz w:val="24"/>
              </w:rPr>
              <w:t>$15</w:t>
            </w:r>
            <w:r w:rsidRPr="00E45A9A">
              <w:rPr>
                <w:sz w:val="24"/>
              </w:rPr>
              <w:t>5,000</w:t>
            </w:r>
          </w:p>
        </w:tc>
      </w:tr>
      <w:tr w:rsidRPr="00E45A9A" w:rsidR="008859F2" w:rsidTr="004D6A6B" w14:paraId="526565C0" w14:textId="77777777">
        <w:trPr>
          <w:trHeight w:val="576"/>
        </w:trPr>
        <w:tc>
          <w:tcPr>
            <w:tcW w:w="2520" w:type="dxa"/>
            <w:shd w:val="clear" w:color="auto" w:fill="auto"/>
            <w:vAlign w:val="center"/>
          </w:tcPr>
          <w:p w:rsidRPr="00E45A9A" w:rsidR="008859F2" w:rsidP="004D6A6B" w:rsidRDefault="008859F2" w14:paraId="3F3605C4" w14:textId="77777777">
            <w:pPr>
              <w:rPr>
                <w:sz w:val="24"/>
              </w:rPr>
            </w:pPr>
            <w:r w:rsidRPr="00E45A9A">
              <w:rPr>
                <w:sz w:val="24"/>
              </w:rPr>
              <w:lastRenderedPageBreak/>
              <w:t>Statistician</w:t>
            </w:r>
          </w:p>
        </w:tc>
        <w:tc>
          <w:tcPr>
            <w:tcW w:w="3150" w:type="dxa"/>
            <w:shd w:val="clear" w:color="auto" w:fill="auto"/>
            <w:vAlign w:val="center"/>
          </w:tcPr>
          <w:p w:rsidRPr="00E45A9A" w:rsidR="008859F2" w:rsidP="004D6A6B" w:rsidRDefault="008859F2" w14:paraId="16881429" w14:textId="77777777">
            <w:pPr>
              <w:rPr>
                <w:sz w:val="24"/>
              </w:rPr>
            </w:pPr>
            <w:r w:rsidRPr="00E45A9A">
              <w:rPr>
                <w:sz w:val="24"/>
              </w:rPr>
              <w:t>Data analysis</w:t>
            </w:r>
          </w:p>
        </w:tc>
        <w:tc>
          <w:tcPr>
            <w:tcW w:w="2160" w:type="dxa"/>
            <w:shd w:val="clear" w:color="auto" w:fill="auto"/>
            <w:vAlign w:val="center"/>
          </w:tcPr>
          <w:p w:rsidRPr="00E45A9A" w:rsidR="008859F2" w:rsidP="004D6A6B" w:rsidRDefault="008859F2" w14:paraId="7D7A2835" w14:textId="77777777">
            <w:pPr>
              <w:jc w:val="right"/>
              <w:rPr>
                <w:sz w:val="24"/>
              </w:rPr>
            </w:pPr>
            <w:r>
              <w:rPr>
                <w:sz w:val="24"/>
              </w:rPr>
              <w:t>$137</w:t>
            </w:r>
            <w:r w:rsidRPr="00E45A9A">
              <w:rPr>
                <w:sz w:val="24"/>
              </w:rPr>
              <w:t>,000</w:t>
            </w:r>
          </w:p>
        </w:tc>
      </w:tr>
      <w:tr w:rsidRPr="00E45A9A" w:rsidR="008859F2" w:rsidTr="004D6A6B" w14:paraId="4723983A" w14:textId="77777777">
        <w:trPr>
          <w:trHeight w:val="576"/>
        </w:trPr>
        <w:tc>
          <w:tcPr>
            <w:tcW w:w="2520" w:type="dxa"/>
            <w:shd w:val="clear" w:color="auto" w:fill="auto"/>
          </w:tcPr>
          <w:p w:rsidRPr="00E45A9A" w:rsidR="008859F2" w:rsidP="004D6A6B" w:rsidRDefault="008859F2" w14:paraId="16FD5131" w14:textId="77777777">
            <w:pPr>
              <w:spacing w:line="120" w:lineRule="exact"/>
              <w:rPr>
                <w:sz w:val="24"/>
              </w:rPr>
            </w:pPr>
          </w:p>
          <w:p w:rsidRPr="00E45A9A" w:rsidR="008859F2" w:rsidP="004D6A6B" w:rsidRDefault="008859F2" w14:paraId="0F20817F" w14:textId="77777777">
            <w:pPr>
              <w:spacing w:after="58"/>
              <w:rPr>
                <w:sz w:val="24"/>
              </w:rPr>
            </w:pPr>
            <w:r w:rsidRPr="00E45A9A">
              <w:rPr>
                <w:b/>
                <w:bCs/>
                <w:sz w:val="24"/>
              </w:rPr>
              <w:t>Sub-total</w:t>
            </w:r>
          </w:p>
        </w:tc>
        <w:tc>
          <w:tcPr>
            <w:tcW w:w="3150" w:type="dxa"/>
            <w:shd w:val="clear" w:color="auto" w:fill="auto"/>
          </w:tcPr>
          <w:p w:rsidRPr="00E45A9A" w:rsidR="008859F2" w:rsidP="004D6A6B" w:rsidRDefault="008859F2" w14:paraId="6D149D8E" w14:textId="77777777">
            <w:pPr>
              <w:spacing w:line="120" w:lineRule="exact"/>
              <w:rPr>
                <w:sz w:val="24"/>
              </w:rPr>
            </w:pPr>
          </w:p>
          <w:p w:rsidRPr="00E45A9A" w:rsidR="008859F2" w:rsidP="004D6A6B" w:rsidRDefault="008859F2" w14:paraId="4AED482C" w14:textId="77777777">
            <w:pPr>
              <w:spacing w:after="58"/>
              <w:rPr>
                <w:sz w:val="24"/>
              </w:rPr>
            </w:pPr>
          </w:p>
        </w:tc>
        <w:tc>
          <w:tcPr>
            <w:tcW w:w="2160" w:type="dxa"/>
            <w:shd w:val="clear" w:color="auto" w:fill="auto"/>
          </w:tcPr>
          <w:p w:rsidRPr="00E45A9A" w:rsidR="008859F2" w:rsidP="004D6A6B" w:rsidRDefault="008859F2" w14:paraId="0BF695EE" w14:textId="77777777">
            <w:pPr>
              <w:spacing w:line="120" w:lineRule="exact"/>
              <w:rPr>
                <w:sz w:val="24"/>
              </w:rPr>
            </w:pPr>
          </w:p>
          <w:p w:rsidRPr="00E45A9A" w:rsidR="008859F2" w:rsidP="004D6A6B" w:rsidRDefault="008859F2" w14:paraId="0DE28C0D" w14:textId="77777777">
            <w:pPr>
              <w:spacing w:after="58"/>
              <w:jc w:val="right"/>
              <w:rPr>
                <w:sz w:val="24"/>
              </w:rPr>
            </w:pPr>
            <w:r w:rsidRPr="00E45A9A">
              <w:rPr>
                <w:b/>
                <w:bCs/>
                <w:sz w:val="24"/>
              </w:rPr>
              <w:t xml:space="preserve"> $</w:t>
            </w:r>
            <w:r>
              <w:rPr>
                <w:b/>
                <w:bCs/>
                <w:sz w:val="24"/>
              </w:rPr>
              <w:t>2,181</w:t>
            </w:r>
            <w:r w:rsidRPr="00E45A9A">
              <w:rPr>
                <w:b/>
                <w:bCs/>
                <w:sz w:val="24"/>
              </w:rPr>
              <w:t>,000</w:t>
            </w:r>
          </w:p>
        </w:tc>
      </w:tr>
    </w:tbl>
    <w:p w:rsidRPr="00E45A9A" w:rsidR="008859F2" w:rsidP="008859F2" w:rsidRDefault="008859F2" w14:paraId="3B93CA2E" w14:textId="77777777">
      <w:pPr>
        <w:rPr>
          <w:sz w:val="24"/>
        </w:rPr>
      </w:pPr>
    </w:p>
    <w:p w:rsidRPr="00E45A9A" w:rsidR="008859F2" w:rsidP="008859F2" w:rsidRDefault="008859F2" w14:paraId="2FC009C6" w14:textId="77777777">
      <w:pPr>
        <w:rPr>
          <w:sz w:val="24"/>
        </w:rPr>
      </w:pPr>
    </w:p>
    <w:p w:rsidR="008859F2" w:rsidP="008859F2" w:rsidRDefault="008859F2" w14:paraId="7543BA35" w14:textId="77777777">
      <w:pPr>
        <w:ind w:left="720"/>
        <w:rPr>
          <w:sz w:val="24"/>
        </w:rPr>
      </w:pPr>
      <w:r w:rsidRPr="00E45A9A">
        <w:rPr>
          <w:sz w:val="24"/>
        </w:rPr>
        <w:t xml:space="preserve">This is a multi-year project, with </w:t>
      </w:r>
      <w:r>
        <w:rPr>
          <w:sz w:val="24"/>
        </w:rPr>
        <w:t xml:space="preserve">most </w:t>
      </w:r>
      <w:r w:rsidRPr="00E45A9A">
        <w:rPr>
          <w:sz w:val="24"/>
        </w:rPr>
        <w:t xml:space="preserve">initial cooperative agreements spanning five years. The total cost over five years for contractual and government staff will be approximately five times the annual </w:t>
      </w:r>
      <w:r w:rsidRPr="00E45A9A" w:rsidR="00252923">
        <w:rPr>
          <w:sz w:val="24"/>
        </w:rPr>
        <w:t>cost-plus</w:t>
      </w:r>
      <w:r w:rsidRPr="00E45A9A">
        <w:rPr>
          <w:sz w:val="24"/>
        </w:rPr>
        <w:t xml:space="preserve"> two percent (2%) cost of living.</w:t>
      </w:r>
    </w:p>
    <w:p w:rsidR="00195F06" w:rsidP="008859F2" w:rsidRDefault="00195F06" w14:paraId="424B75D2" w14:textId="77777777">
      <w:pPr>
        <w:ind w:left="720"/>
        <w:rPr>
          <w:sz w:val="24"/>
        </w:rPr>
      </w:pPr>
    </w:p>
    <w:p w:rsidRPr="008A4AE0" w:rsidR="00195F06" w:rsidP="008A4AE0" w:rsidRDefault="00195F06" w14:paraId="63F3C8C9" w14:textId="77777777">
      <w:pPr>
        <w:ind w:firstLine="720"/>
        <w:rPr>
          <w:b/>
          <w:bCs/>
          <w:sz w:val="24"/>
          <w:u w:val="single"/>
        </w:rPr>
      </w:pPr>
      <w:r w:rsidRPr="008A4AE0">
        <w:rPr>
          <w:b/>
          <w:bCs/>
          <w:sz w:val="24"/>
          <w:u w:val="single"/>
        </w:rPr>
        <w:t>SAVD-SS</w:t>
      </w:r>
      <w:r w:rsidRPr="008A4AE0" w:rsidR="008B7A93">
        <w:rPr>
          <w:b/>
          <w:bCs/>
          <w:sz w:val="24"/>
          <w:u w:val="single"/>
        </w:rPr>
        <w:t xml:space="preserve"> Costs</w:t>
      </w:r>
    </w:p>
    <w:p w:rsidR="00195F06" w:rsidP="00195F06" w:rsidRDefault="00195F06" w14:paraId="1A6ABC82" w14:textId="77777777">
      <w:pPr>
        <w:rPr>
          <w:sz w:val="24"/>
        </w:rPr>
      </w:pPr>
    </w:p>
    <w:p w:rsidRPr="00CF3126" w:rsidR="00CF3126" w:rsidP="008A4AE0" w:rsidRDefault="00CF3126" w14:paraId="0BCE99E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sz w:val="24"/>
        </w:rPr>
      </w:pPr>
      <w:r w:rsidRPr="00CF3126">
        <w:rPr>
          <w:sz w:val="24"/>
        </w:rPr>
        <w:t>SAVD is planned as an ongoing surveillance project, with recurring survey preparation and design, data collection, and preparation and analysis of survey results. The government costs are the personnel costs of federal staff involved in oversight, design, and analysis. No outside contractors will be used. There will be no printing or publication costs for the government.</w:t>
      </w:r>
    </w:p>
    <w:p w:rsidRPr="00CF3126" w:rsidR="00CF3126" w:rsidP="00CF3126" w:rsidRDefault="00CF3126" w14:paraId="0FF1E74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rPr>
          <w:sz w:val="24"/>
        </w:rPr>
      </w:pPr>
    </w:p>
    <w:p w:rsidRPr="00E45A9A" w:rsidR="007E64D3" w:rsidP="007E64D3" w:rsidRDefault="007E64D3" w14:paraId="4E41DAB8" w14:textId="77777777">
      <w:pPr>
        <w:ind w:firstLine="720"/>
        <w:rPr>
          <w:b/>
          <w:bCs/>
          <w:sz w:val="24"/>
        </w:rPr>
      </w:pPr>
      <w:r>
        <w:rPr>
          <w:b/>
          <w:bCs/>
          <w:sz w:val="24"/>
          <w:u w:val="single"/>
        </w:rPr>
        <w:t xml:space="preserve">SAVD </w:t>
      </w:r>
      <w:r w:rsidRPr="00E45A9A">
        <w:rPr>
          <w:b/>
          <w:bCs/>
          <w:sz w:val="24"/>
          <w:u w:val="single"/>
        </w:rPr>
        <w:t>Government costs</w:t>
      </w:r>
    </w:p>
    <w:p w:rsidRPr="00CF3126" w:rsidR="00CF3126" w:rsidP="00CF3126" w:rsidRDefault="00CF3126" w14:paraId="4F7095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CF3126">
        <w:rPr>
          <w:sz w:val="22"/>
          <w:szCs w:val="22"/>
        </w:rPr>
        <w:tab/>
      </w:r>
    </w:p>
    <w:p w:rsidRPr="007E7302" w:rsidR="007E7302" w:rsidP="007E7302" w:rsidRDefault="007E7302" w14:paraId="2D22E128" w14:textId="77777777">
      <w:pPr>
        <w:rPr>
          <w:vanish/>
        </w:rPr>
      </w:pPr>
    </w:p>
    <w:tbl>
      <w:tblPr>
        <w:tblpPr w:leftFromText="180" w:rightFromText="180" w:vertAnchor="text" w:horzAnchor="margin" w:tblpXSpec="center" w:tblpY="-5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5"/>
        <w:gridCol w:w="2883"/>
        <w:gridCol w:w="1620"/>
        <w:gridCol w:w="1482"/>
        <w:tblGridChange w:id="8">
          <w:tblGrid>
            <w:gridCol w:w="1995"/>
            <w:gridCol w:w="2883"/>
            <w:gridCol w:w="1620"/>
            <w:gridCol w:w="1482"/>
          </w:tblGrid>
        </w:tblGridChange>
      </w:tblGrid>
      <w:tr w:rsidRPr="00CF3126" w:rsidR="007E64D3" w:rsidTr="007E64D3" w14:paraId="30B36457" w14:textId="77777777">
        <w:trPr>
          <w:trHeight w:val="292"/>
        </w:trPr>
        <w:tc>
          <w:tcPr>
            <w:tcW w:w="1995"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2E2476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4"/>
              </w:rPr>
              <w:t>Position</w:t>
            </w:r>
          </w:p>
        </w:tc>
        <w:tc>
          <w:tcPr>
            <w:tcW w:w="2883"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47EB84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4"/>
              </w:rPr>
              <w:t>Tasks</w:t>
            </w:r>
          </w:p>
        </w:tc>
        <w:tc>
          <w:tcPr>
            <w:tcW w:w="1620"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3136CA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4"/>
              </w:rPr>
              <w:t xml:space="preserve">Avg time / </w:t>
            </w:r>
            <w:r w:rsidRPr="00CF3126" w:rsidR="009F6F51">
              <w:rPr>
                <w:sz w:val="24"/>
              </w:rPr>
              <w:t>yr.</w:t>
            </w:r>
          </w:p>
        </w:tc>
        <w:tc>
          <w:tcPr>
            <w:tcW w:w="1482"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1DF73B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4"/>
              </w:rPr>
              <w:t>Avg. cost/</w:t>
            </w:r>
            <w:r w:rsidRPr="00CF3126" w:rsidR="009F6F51">
              <w:rPr>
                <w:sz w:val="24"/>
              </w:rPr>
              <w:t>yr.</w:t>
            </w:r>
          </w:p>
        </w:tc>
      </w:tr>
      <w:tr w:rsidRPr="00CF3126" w:rsidR="007E64D3" w:rsidTr="007E64D3" w14:paraId="3DD6FD9F" w14:textId="77777777">
        <w:trPr>
          <w:trHeight w:val="535"/>
        </w:trPr>
        <w:tc>
          <w:tcPr>
            <w:tcW w:w="1995"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6D1D1D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Lead behavioral scientist</w:t>
            </w:r>
          </w:p>
        </w:tc>
        <w:tc>
          <w:tcPr>
            <w:tcW w:w="2883"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10F6CF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oversight and supervision</w:t>
            </w:r>
          </w:p>
        </w:tc>
        <w:tc>
          <w:tcPr>
            <w:tcW w:w="1620"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677D79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10%</w:t>
            </w:r>
          </w:p>
        </w:tc>
        <w:tc>
          <w:tcPr>
            <w:tcW w:w="1482"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53B0B9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CF3126">
              <w:rPr>
                <w:sz w:val="22"/>
                <w:szCs w:val="22"/>
              </w:rPr>
              <w:t>$</w:t>
            </w:r>
            <w:r w:rsidRPr="00CF3126">
              <w:rPr>
                <w:sz w:val="24"/>
              </w:rPr>
              <w:t xml:space="preserve"> </w:t>
            </w:r>
            <w:r w:rsidRPr="00CF3126">
              <w:rPr>
                <w:sz w:val="22"/>
                <w:szCs w:val="22"/>
              </w:rPr>
              <w:t>3,570</w:t>
            </w:r>
          </w:p>
        </w:tc>
      </w:tr>
      <w:tr w:rsidRPr="00CF3126" w:rsidR="007E64D3" w:rsidTr="007E64D3" w14:paraId="0F7BD2B6" w14:textId="77777777">
        <w:trPr>
          <w:trHeight w:val="1641"/>
        </w:trPr>
        <w:tc>
          <w:tcPr>
            <w:tcW w:w="1995"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7BCC88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Principal investigator</w:t>
            </w:r>
          </w:p>
        </w:tc>
        <w:tc>
          <w:tcPr>
            <w:tcW w:w="2883"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70955C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oversight; coordination of data collection; management of study information; quality assurance implementation</w:t>
            </w:r>
          </w:p>
        </w:tc>
        <w:tc>
          <w:tcPr>
            <w:tcW w:w="1620"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2D037CB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100%</w:t>
            </w:r>
          </w:p>
        </w:tc>
        <w:tc>
          <w:tcPr>
            <w:tcW w:w="1482"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79D585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w:t>
            </w:r>
            <w:r w:rsidRPr="00CF3126">
              <w:rPr>
                <w:sz w:val="24"/>
              </w:rPr>
              <w:t xml:space="preserve"> </w:t>
            </w:r>
            <w:r w:rsidRPr="00CF3126">
              <w:rPr>
                <w:sz w:val="22"/>
                <w:szCs w:val="22"/>
              </w:rPr>
              <w:t>87,219</w:t>
            </w:r>
          </w:p>
        </w:tc>
      </w:tr>
      <w:tr w:rsidRPr="00CF3126" w:rsidR="007E64D3" w:rsidTr="007E64D3" w14:paraId="62F5DAE2" w14:textId="77777777">
        <w:trPr>
          <w:trHeight w:val="829"/>
        </w:trPr>
        <w:tc>
          <w:tcPr>
            <w:tcW w:w="1995"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1C4F48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Project analyst</w:t>
            </w:r>
          </w:p>
        </w:tc>
        <w:tc>
          <w:tcPr>
            <w:tcW w:w="2883"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28A4671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case identification; data collection; data analysis and interpretation</w:t>
            </w:r>
          </w:p>
        </w:tc>
        <w:tc>
          <w:tcPr>
            <w:tcW w:w="1620"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4613F7C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100%</w:t>
            </w:r>
          </w:p>
        </w:tc>
        <w:tc>
          <w:tcPr>
            <w:tcW w:w="1482"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07159B5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sz w:val="22"/>
                <w:szCs w:val="22"/>
              </w:rPr>
              <w:t>$</w:t>
            </w:r>
            <w:r w:rsidRPr="00CF3126">
              <w:rPr>
                <w:sz w:val="24"/>
              </w:rPr>
              <w:t xml:space="preserve"> </w:t>
            </w:r>
            <w:r w:rsidRPr="00CF3126">
              <w:rPr>
                <w:sz w:val="22"/>
                <w:szCs w:val="22"/>
              </w:rPr>
              <w:t>68,597</w:t>
            </w:r>
          </w:p>
        </w:tc>
      </w:tr>
      <w:tr w:rsidRPr="00CF3126" w:rsidR="007E64D3" w:rsidTr="008A4AE0" w14:paraId="36768FA6" w14:textId="77777777">
        <w:trPr>
          <w:trHeight w:val="347"/>
        </w:trPr>
        <w:tc>
          <w:tcPr>
            <w:tcW w:w="6498" w:type="dxa"/>
            <w:gridSpan w:val="3"/>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0CDAEE5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b/>
                <w:bCs/>
                <w:sz w:val="22"/>
                <w:szCs w:val="22"/>
              </w:rPr>
              <w:t>Annualized federal costs:</w:t>
            </w:r>
          </w:p>
        </w:tc>
        <w:tc>
          <w:tcPr>
            <w:tcW w:w="1482" w:type="dxa"/>
            <w:tcBorders>
              <w:top w:val="single" w:color="auto" w:sz="4" w:space="0"/>
              <w:left w:val="single" w:color="auto" w:sz="4" w:space="0"/>
              <w:bottom w:val="single" w:color="auto" w:sz="4" w:space="0"/>
              <w:right w:val="single" w:color="auto" w:sz="4" w:space="0"/>
            </w:tcBorders>
            <w:hideMark/>
          </w:tcPr>
          <w:p w:rsidRPr="00CF3126" w:rsidR="007E64D3" w:rsidP="007E64D3" w:rsidRDefault="007E64D3" w14:paraId="45F72C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F3126">
              <w:rPr>
                <w:b/>
                <w:bCs/>
                <w:sz w:val="22"/>
                <w:szCs w:val="22"/>
              </w:rPr>
              <w:t>$159,566</w:t>
            </w:r>
          </w:p>
        </w:tc>
      </w:tr>
    </w:tbl>
    <w:p w:rsidRPr="00CF3126" w:rsidR="00CF3126" w:rsidP="00CF3126" w:rsidRDefault="00CF3126" w14:paraId="7D71914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rPr>
          <w:sz w:val="22"/>
          <w:szCs w:val="22"/>
        </w:rPr>
      </w:pPr>
    </w:p>
    <w:p w:rsidRPr="00CF3126" w:rsidR="00CF3126" w:rsidP="00CF3126" w:rsidRDefault="00CF3126" w14:paraId="08DEE6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bCs/>
          <w:sz w:val="24"/>
        </w:rPr>
      </w:pPr>
    </w:p>
    <w:p w:rsidR="007E64D3" w:rsidP="00CF3126" w:rsidRDefault="007E64D3" w14:paraId="6A32F0BF" w14:textId="77777777">
      <w:pPr>
        <w:widowControl/>
        <w:autoSpaceDE/>
        <w:autoSpaceDN/>
        <w:adjustRightInd/>
        <w:spacing w:line="240" w:lineRule="atLeast"/>
        <w:rPr>
          <w:bCs/>
          <w:sz w:val="24"/>
        </w:rPr>
      </w:pPr>
    </w:p>
    <w:p w:rsidR="007E64D3" w:rsidP="00CF3126" w:rsidRDefault="007E64D3" w14:paraId="3F4AB9A3" w14:textId="77777777">
      <w:pPr>
        <w:widowControl/>
        <w:autoSpaceDE/>
        <w:autoSpaceDN/>
        <w:adjustRightInd/>
        <w:spacing w:line="240" w:lineRule="atLeast"/>
        <w:rPr>
          <w:bCs/>
          <w:sz w:val="24"/>
        </w:rPr>
      </w:pPr>
    </w:p>
    <w:p w:rsidR="007E64D3" w:rsidP="00CF3126" w:rsidRDefault="007E64D3" w14:paraId="30C06B6C" w14:textId="77777777">
      <w:pPr>
        <w:widowControl/>
        <w:autoSpaceDE/>
        <w:autoSpaceDN/>
        <w:adjustRightInd/>
        <w:spacing w:line="240" w:lineRule="atLeast"/>
        <w:rPr>
          <w:bCs/>
          <w:sz w:val="24"/>
        </w:rPr>
      </w:pPr>
    </w:p>
    <w:p w:rsidR="007E64D3" w:rsidP="00CF3126" w:rsidRDefault="007E64D3" w14:paraId="60E5D377" w14:textId="77777777">
      <w:pPr>
        <w:widowControl/>
        <w:autoSpaceDE/>
        <w:autoSpaceDN/>
        <w:adjustRightInd/>
        <w:spacing w:line="240" w:lineRule="atLeast"/>
        <w:rPr>
          <w:bCs/>
          <w:sz w:val="24"/>
        </w:rPr>
      </w:pPr>
    </w:p>
    <w:p w:rsidR="007E64D3" w:rsidP="00CF3126" w:rsidRDefault="007E64D3" w14:paraId="6BEE7623" w14:textId="77777777">
      <w:pPr>
        <w:widowControl/>
        <w:autoSpaceDE/>
        <w:autoSpaceDN/>
        <w:adjustRightInd/>
        <w:spacing w:line="240" w:lineRule="atLeast"/>
        <w:rPr>
          <w:bCs/>
          <w:sz w:val="24"/>
        </w:rPr>
      </w:pPr>
    </w:p>
    <w:p w:rsidRPr="00E45A9A" w:rsidR="00195F06" w:rsidP="00195F06" w:rsidRDefault="00195F06" w14:paraId="36370ADC" w14:textId="77777777">
      <w:pPr>
        <w:rPr>
          <w:sz w:val="24"/>
        </w:rPr>
      </w:pPr>
    </w:p>
    <w:p w:rsidR="007E64D3" w:rsidP="008A4AE0" w:rsidRDefault="007E64D3" w14:paraId="78A8745B" w14:textId="77777777">
      <w:pPr>
        <w:ind w:left="720"/>
        <w:rPr>
          <w:sz w:val="24"/>
        </w:rPr>
      </w:pPr>
      <w:bookmarkStart w:name="_Hlk85019132" w:id="9"/>
      <w:r w:rsidRPr="00E45A9A">
        <w:rPr>
          <w:sz w:val="24"/>
        </w:rPr>
        <w:t xml:space="preserve">Total annual contractual and government staff costs </w:t>
      </w:r>
      <w:r w:rsidR="00DF7F63">
        <w:rPr>
          <w:sz w:val="24"/>
        </w:rPr>
        <w:t>for NVDRS and SA</w:t>
      </w:r>
      <w:r w:rsidR="00E921C0">
        <w:rPr>
          <w:sz w:val="24"/>
        </w:rPr>
        <w:t>V</w:t>
      </w:r>
      <w:r w:rsidR="00DF7F63">
        <w:rPr>
          <w:sz w:val="24"/>
        </w:rPr>
        <w:t xml:space="preserve">D-SS </w:t>
      </w:r>
      <w:r w:rsidRPr="00E45A9A">
        <w:rPr>
          <w:sz w:val="24"/>
        </w:rPr>
        <w:t>are approximately $</w:t>
      </w:r>
      <w:r>
        <w:rPr>
          <w:sz w:val="24"/>
        </w:rPr>
        <w:t xml:space="preserve"> 3,231</w:t>
      </w:r>
      <w:r w:rsidRPr="00E45A9A">
        <w:rPr>
          <w:sz w:val="24"/>
        </w:rPr>
        <w:t>,000</w:t>
      </w:r>
      <w:r w:rsidR="00DF7F63">
        <w:rPr>
          <w:sz w:val="24"/>
        </w:rPr>
        <w:t xml:space="preserve"> </w:t>
      </w:r>
      <w:r w:rsidR="00E921C0">
        <w:rPr>
          <w:sz w:val="24"/>
        </w:rPr>
        <w:t xml:space="preserve">(NVDRS) </w:t>
      </w:r>
      <w:r w:rsidR="00DF7F63">
        <w:rPr>
          <w:sz w:val="24"/>
        </w:rPr>
        <w:t xml:space="preserve">+ </w:t>
      </w:r>
      <w:r w:rsidRPr="008A4AE0" w:rsidR="00DF7F63">
        <w:rPr>
          <w:sz w:val="22"/>
          <w:szCs w:val="22"/>
        </w:rPr>
        <w:t>$159,566</w:t>
      </w:r>
      <w:r w:rsidR="00E921C0">
        <w:rPr>
          <w:sz w:val="22"/>
          <w:szCs w:val="22"/>
        </w:rPr>
        <w:t xml:space="preserve"> (SAVD-</w:t>
      </w:r>
      <w:r w:rsidR="009F6F51">
        <w:rPr>
          <w:sz w:val="22"/>
          <w:szCs w:val="22"/>
        </w:rPr>
        <w:t xml:space="preserve">SS) </w:t>
      </w:r>
      <w:r w:rsidR="009F6F51">
        <w:rPr>
          <w:sz w:val="24"/>
        </w:rPr>
        <w:t>=</w:t>
      </w:r>
      <w:r w:rsidR="00DF7F63">
        <w:rPr>
          <w:sz w:val="24"/>
        </w:rPr>
        <w:t xml:space="preserve"> </w:t>
      </w:r>
      <w:r w:rsidRPr="00DF7F63" w:rsidR="00DF7F63">
        <w:rPr>
          <w:sz w:val="24"/>
        </w:rPr>
        <w:t>3,390,566</w:t>
      </w:r>
    </w:p>
    <w:bookmarkEnd w:id="9"/>
    <w:p w:rsidRPr="00E45A9A" w:rsidR="00DF7F63" w:rsidP="007E64D3" w:rsidRDefault="00DF7F63" w14:paraId="7184D079" w14:textId="77777777">
      <w:pPr>
        <w:ind w:firstLine="720"/>
        <w:rPr>
          <w:sz w:val="24"/>
        </w:rPr>
      </w:pPr>
    </w:p>
    <w:p w:rsidRPr="00E45A9A" w:rsidR="001C26B3" w:rsidP="003824C0" w:rsidRDefault="001C26B3" w14:paraId="0F3EB742" w14:textId="77777777">
      <w:pPr>
        <w:numPr>
          <w:ilvl w:val="0"/>
          <w:numId w:val="8"/>
        </w:numPr>
        <w:tabs>
          <w:tab w:val="left" w:pos="-1440"/>
        </w:tabs>
        <w:rPr>
          <w:sz w:val="24"/>
        </w:rPr>
      </w:pPr>
      <w:r w:rsidRPr="00E45A9A">
        <w:rPr>
          <w:b/>
          <w:bCs/>
          <w:sz w:val="24"/>
        </w:rPr>
        <w:t>Explanation for Program Changes or Adjustments</w:t>
      </w:r>
    </w:p>
    <w:p w:rsidRPr="00E45A9A" w:rsidR="001C26B3" w:rsidRDefault="001C26B3" w14:paraId="740917D8" w14:textId="77777777">
      <w:pPr>
        <w:rPr>
          <w:sz w:val="24"/>
        </w:rPr>
      </w:pPr>
    </w:p>
    <w:p w:rsidR="00942AB0" w:rsidP="00942AB0" w:rsidRDefault="008E6704" w14:paraId="1BE4B481" w14:textId="77777777">
      <w:pPr>
        <w:ind w:left="720"/>
        <w:rPr>
          <w:sz w:val="24"/>
        </w:rPr>
      </w:pPr>
      <w:r w:rsidRPr="00E45A9A">
        <w:rPr>
          <w:sz w:val="24"/>
        </w:rPr>
        <w:t xml:space="preserve">There are </w:t>
      </w:r>
      <w:r w:rsidR="00630DFD">
        <w:rPr>
          <w:sz w:val="24"/>
        </w:rPr>
        <w:t xml:space="preserve">several program </w:t>
      </w:r>
      <w:r w:rsidRPr="00E45A9A">
        <w:rPr>
          <w:sz w:val="24"/>
        </w:rPr>
        <w:t>changes</w:t>
      </w:r>
      <w:r w:rsidR="00630DFD">
        <w:rPr>
          <w:sz w:val="24"/>
        </w:rPr>
        <w:t xml:space="preserve"> for NVDRS. </w:t>
      </w:r>
      <w:r w:rsidRPr="00E45A9A">
        <w:rPr>
          <w:sz w:val="24"/>
        </w:rPr>
        <w:t xml:space="preserve"> </w:t>
      </w:r>
      <w:r w:rsidRPr="00630DFD" w:rsidR="00630DFD">
        <w:rPr>
          <w:sz w:val="24"/>
        </w:rPr>
        <w:t xml:space="preserve">This revision request is for 1) implementation of updates to the </w:t>
      </w:r>
      <w:r w:rsidR="00630DFD">
        <w:rPr>
          <w:sz w:val="24"/>
        </w:rPr>
        <w:t xml:space="preserve">NVDRS </w:t>
      </w:r>
      <w:r w:rsidRPr="00630DFD" w:rsidR="00630DFD">
        <w:rPr>
          <w:sz w:val="24"/>
        </w:rPr>
        <w:t xml:space="preserve">web-based system to improve performance, functionality, and accessibility, 2) adding thirteen new data elements to the web-based system: housing instability, history of non-suicidal self injury/self harm, household known to local authorities, caregiver use of corporal punishment contributed to child death, children present and/or witnessed fatal incident, prior child protective services report on child victim’s household, substance abuse in child victim’s household, </w:t>
      </w:r>
      <w:r w:rsidRPr="00630DFD" w:rsidR="00630DFD">
        <w:rPr>
          <w:sz w:val="24"/>
        </w:rPr>
        <w:lastRenderedPageBreak/>
        <w:t xml:space="preserve">caregiver burden, history of traumatic brain injury, family stressor, life transition/loss of independent living, non-adherence to mental health/substance abuse treatment, and disaster exposure (revisions to existing variable), 3) addition of the </w:t>
      </w:r>
      <w:r w:rsidR="009F6F51">
        <w:rPr>
          <w:sz w:val="24"/>
        </w:rPr>
        <w:t>SAV</w:t>
      </w:r>
      <w:r w:rsidR="001052B8">
        <w:rPr>
          <w:sz w:val="24"/>
        </w:rPr>
        <w:t>D</w:t>
      </w:r>
      <w:r w:rsidR="009F6F51">
        <w:rPr>
          <w:sz w:val="24"/>
        </w:rPr>
        <w:t xml:space="preserve"> </w:t>
      </w:r>
      <w:r w:rsidRPr="00630DFD" w:rsidR="009F6F51">
        <w:rPr>
          <w:sz w:val="24"/>
        </w:rPr>
        <w:t>module</w:t>
      </w:r>
      <w:r w:rsidRPr="00630DFD" w:rsidR="00630DFD">
        <w:rPr>
          <w:sz w:val="24"/>
        </w:rPr>
        <w:t xml:space="preserve"> (only applicable to school-related incidents meeting certain inclusion criteria) to NVDRS Software 2.2 in order to capture such incidents. A screenshot of this module is available in Attachment 6. </w:t>
      </w:r>
      <w:r w:rsidR="0026452A">
        <w:rPr>
          <w:sz w:val="24"/>
        </w:rPr>
        <w:t>Ano</w:t>
      </w:r>
      <w:r w:rsidRPr="00630DFD" w:rsidR="00630DFD">
        <w:rPr>
          <w:sz w:val="24"/>
        </w:rPr>
        <w:t xml:space="preserve">ther change </w:t>
      </w:r>
      <w:r w:rsidR="0026452A">
        <w:rPr>
          <w:sz w:val="24"/>
        </w:rPr>
        <w:t>involves</w:t>
      </w:r>
      <w:r w:rsidRPr="00630DFD" w:rsidR="00630DFD">
        <w:rPr>
          <w:sz w:val="24"/>
        </w:rPr>
        <w:t xml:space="preserve"> </w:t>
      </w:r>
      <w:r w:rsidR="0026452A">
        <w:rPr>
          <w:sz w:val="24"/>
        </w:rPr>
        <w:t xml:space="preserve">the </w:t>
      </w:r>
      <w:r w:rsidRPr="00630DFD" w:rsidR="00630DFD">
        <w:rPr>
          <w:sz w:val="24"/>
        </w:rPr>
        <w:t>4) add</w:t>
      </w:r>
      <w:r w:rsidR="0026452A">
        <w:rPr>
          <w:sz w:val="24"/>
        </w:rPr>
        <w:t>ition of</w:t>
      </w:r>
      <w:r w:rsidRPr="00630DFD" w:rsidR="00630DFD">
        <w:rPr>
          <w:sz w:val="24"/>
        </w:rPr>
        <w:t xml:space="preserve"> new variables to NVDRS 2.3 software. These variables are victim known to local authorities, no substance(s) given as cause of death (on toxicology tab) and type of physical health problem</w:t>
      </w:r>
      <w:r w:rsidR="0026452A">
        <w:rPr>
          <w:sz w:val="24"/>
        </w:rPr>
        <w:t>.</w:t>
      </w:r>
      <w:r w:rsidRPr="00630DFD" w:rsidR="00630DFD">
        <w:rPr>
          <w:sz w:val="24"/>
        </w:rPr>
        <w:t xml:space="preserve"> </w:t>
      </w:r>
      <w:r w:rsidR="009F6F51">
        <w:rPr>
          <w:sz w:val="24"/>
        </w:rPr>
        <w:t xml:space="preserve">Moreover, </w:t>
      </w:r>
      <w:r w:rsidRPr="00630DFD" w:rsidR="009F6F51">
        <w:rPr>
          <w:sz w:val="24"/>
        </w:rPr>
        <w:t>5</w:t>
      </w:r>
      <w:r w:rsidRPr="00630DFD" w:rsidR="00630DFD">
        <w:rPr>
          <w:sz w:val="24"/>
        </w:rPr>
        <w:t xml:space="preserve">) </w:t>
      </w:r>
      <w:r w:rsidR="0026452A">
        <w:rPr>
          <w:sz w:val="24"/>
        </w:rPr>
        <w:t xml:space="preserve">a </w:t>
      </w:r>
      <w:r w:rsidRPr="00630DFD" w:rsidR="00630DFD">
        <w:rPr>
          <w:sz w:val="24"/>
        </w:rPr>
        <w:t>Public Safety Officer Suicide Reporting module will also be added to the system to capture more detailed information to track suicide among public safety officers. This module will include information specific to first responders and builds upon elements collected as part of current NVDRS. Like the SAVD module, it will be a tab in the NVDRS web-based system.</w:t>
      </w:r>
    </w:p>
    <w:p w:rsidRPr="00942AB0" w:rsidR="00195F06" w:rsidP="00942AB0" w:rsidRDefault="00195F06" w14:paraId="2FED763B" w14:textId="77777777">
      <w:pPr>
        <w:ind w:left="720"/>
        <w:rPr>
          <w:sz w:val="24"/>
        </w:rPr>
      </w:pPr>
    </w:p>
    <w:p w:rsidRPr="00E45A9A" w:rsidR="00404AAF" w:rsidP="00942AB0" w:rsidRDefault="00842CF0" w14:paraId="43DD8635" w14:textId="77777777">
      <w:pPr>
        <w:ind w:left="720"/>
        <w:rPr>
          <w:sz w:val="24"/>
        </w:rPr>
      </w:pPr>
      <w:r w:rsidRPr="008A4AE0">
        <w:rPr>
          <w:sz w:val="24"/>
        </w:rPr>
        <w:t xml:space="preserve">The estimated </w:t>
      </w:r>
      <w:r w:rsidRPr="008A4AE0" w:rsidR="007D3094">
        <w:rPr>
          <w:sz w:val="24"/>
        </w:rPr>
        <w:t xml:space="preserve">increase </w:t>
      </w:r>
      <w:r w:rsidRPr="008A4AE0">
        <w:rPr>
          <w:sz w:val="24"/>
        </w:rPr>
        <w:t>change in burden from the last</w:t>
      </w:r>
      <w:r w:rsidRPr="008A4AE0" w:rsidR="007D3094">
        <w:rPr>
          <w:sz w:val="24"/>
        </w:rPr>
        <w:t xml:space="preserve"> </w:t>
      </w:r>
      <w:r w:rsidRPr="008A4AE0">
        <w:rPr>
          <w:sz w:val="24"/>
        </w:rPr>
        <w:t>OMB</w:t>
      </w:r>
      <w:r w:rsidRPr="008A4AE0" w:rsidR="007D3094">
        <w:rPr>
          <w:sz w:val="24"/>
        </w:rPr>
        <w:t xml:space="preserve"> approval for NVDRS</w:t>
      </w:r>
      <w:r w:rsidRPr="008A4AE0">
        <w:rPr>
          <w:sz w:val="24"/>
        </w:rPr>
        <w:t xml:space="preserve"> is </w:t>
      </w:r>
      <w:r w:rsidRPr="008A4AE0" w:rsidR="000B3F2C">
        <w:rPr>
          <w:sz w:val="24"/>
        </w:rPr>
        <w:t>5, 28</w:t>
      </w:r>
      <w:r w:rsidRPr="008A4AE0" w:rsidR="00EE4722">
        <w:rPr>
          <w:sz w:val="24"/>
        </w:rPr>
        <w:t>7</w:t>
      </w:r>
      <w:r w:rsidRPr="008A4AE0">
        <w:rPr>
          <w:sz w:val="24"/>
        </w:rPr>
        <w:t xml:space="preserve"> hours</w:t>
      </w:r>
      <w:r w:rsidRPr="008A4AE0" w:rsidR="000B3F2C">
        <w:rPr>
          <w:sz w:val="24"/>
        </w:rPr>
        <w:t xml:space="preserve"> (41,827 present request – 36,540 previous approval)</w:t>
      </w:r>
      <w:r w:rsidRPr="008A4AE0">
        <w:rPr>
          <w:sz w:val="24"/>
        </w:rPr>
        <w:t xml:space="preserve">. </w:t>
      </w:r>
      <w:r w:rsidRPr="008A4AE0" w:rsidR="00503F85">
        <w:rPr>
          <w:sz w:val="24"/>
        </w:rPr>
        <w:t>S</w:t>
      </w:r>
      <w:r w:rsidRPr="008A4AE0" w:rsidR="00404AAF">
        <w:rPr>
          <w:sz w:val="24"/>
        </w:rPr>
        <w:t xml:space="preserve">tates will request the same </w:t>
      </w:r>
      <w:r w:rsidRPr="008A4AE0" w:rsidR="00503F85">
        <w:rPr>
          <w:sz w:val="24"/>
        </w:rPr>
        <w:t>records</w:t>
      </w:r>
      <w:r w:rsidRPr="008A4AE0" w:rsidR="00404AAF">
        <w:rPr>
          <w:sz w:val="24"/>
        </w:rPr>
        <w:t xml:space="preserve"> from the same public agencies that they are </w:t>
      </w:r>
      <w:r w:rsidRPr="008A4AE0" w:rsidR="00503F85">
        <w:rPr>
          <w:sz w:val="24"/>
        </w:rPr>
        <w:t>currently requesting.</w:t>
      </w:r>
      <w:r w:rsidRPr="008A4AE0" w:rsidR="009220C9">
        <w:rPr>
          <w:sz w:val="24"/>
        </w:rPr>
        <w:t xml:space="preserve"> </w:t>
      </w:r>
      <w:r w:rsidRPr="008A4AE0" w:rsidR="007D3094">
        <w:rPr>
          <w:sz w:val="24"/>
        </w:rPr>
        <w:t xml:space="preserve">Although there is an increase in burden hours due to the addition of the 2 new modules to NVDRS for SAVD and Public Safety Officer suicide, there will be also the discontinuation of </w:t>
      </w:r>
      <w:r w:rsidRPr="008A4AE0" w:rsidR="007D3094">
        <w:rPr>
          <w:sz w:val="24"/>
          <w:szCs w:val="20"/>
        </w:rPr>
        <w:t>SAVD-SS (OMB# 0920-0604) as this system will be absorbed by NVDRS.</w:t>
      </w:r>
      <w:r w:rsidR="007D3094">
        <w:rPr>
          <w:sz w:val="24"/>
          <w:szCs w:val="20"/>
        </w:rPr>
        <w:t xml:space="preserve"> </w:t>
      </w:r>
    </w:p>
    <w:p w:rsidRPr="00E45A9A" w:rsidR="00702925" w:rsidP="00702925" w:rsidRDefault="00702925" w14:paraId="247271C1" w14:textId="77777777">
      <w:pPr>
        <w:ind w:left="720"/>
        <w:rPr>
          <w:sz w:val="24"/>
        </w:rPr>
      </w:pPr>
    </w:p>
    <w:p w:rsidR="004D0CFD" w:rsidP="0092385B" w:rsidRDefault="004D0CFD" w14:paraId="5582AC10" w14:textId="77777777">
      <w:pPr>
        <w:widowControl/>
        <w:ind w:left="720"/>
        <w:rPr>
          <w:sz w:val="24"/>
        </w:rPr>
      </w:pPr>
      <w:r w:rsidRPr="00E45A9A">
        <w:rPr>
          <w:sz w:val="24"/>
        </w:rPr>
        <w:t xml:space="preserve">NVDRS has always had the goal to be a nationally representative surveillance system, operating in all 50 states, </w:t>
      </w:r>
      <w:r w:rsidR="00546A90">
        <w:rPr>
          <w:sz w:val="24"/>
        </w:rPr>
        <w:t xml:space="preserve">the </w:t>
      </w:r>
      <w:r w:rsidRPr="00E45A9A">
        <w:rPr>
          <w:sz w:val="24"/>
        </w:rPr>
        <w:t>District of Columbia</w:t>
      </w:r>
      <w:r w:rsidR="00546A90">
        <w:rPr>
          <w:sz w:val="24"/>
        </w:rPr>
        <w:t>,</w:t>
      </w:r>
      <w:r w:rsidRPr="00E45A9A">
        <w:rPr>
          <w:sz w:val="24"/>
        </w:rPr>
        <w:t xml:space="preserve"> and U.S. territories. </w:t>
      </w:r>
      <w:r w:rsidR="00515BB0">
        <w:rPr>
          <w:sz w:val="24"/>
        </w:rPr>
        <w:t xml:space="preserve">NVDRS is currently in all 50 states, the District of Columbia, and Puerto Rico. </w:t>
      </w:r>
      <w:r w:rsidRPr="00E45A9A">
        <w:rPr>
          <w:sz w:val="24"/>
        </w:rPr>
        <w:t xml:space="preserve">In </w:t>
      </w:r>
      <w:r w:rsidR="00A921C8">
        <w:rPr>
          <w:sz w:val="24"/>
        </w:rPr>
        <w:t xml:space="preserve">the </w:t>
      </w:r>
      <w:r w:rsidRPr="00E45A9A">
        <w:rPr>
          <w:sz w:val="24"/>
        </w:rPr>
        <w:t>previous OMB package, we calculated the number of respondents to be 5</w:t>
      </w:r>
      <w:r w:rsidR="00A921C8">
        <w:rPr>
          <w:sz w:val="24"/>
        </w:rPr>
        <w:t>6</w:t>
      </w:r>
      <w:r w:rsidRPr="00E45A9A">
        <w:rPr>
          <w:sz w:val="24"/>
        </w:rPr>
        <w:t xml:space="preserve">, which included 50 states, </w:t>
      </w:r>
      <w:r w:rsidR="005048DC">
        <w:rPr>
          <w:sz w:val="24"/>
        </w:rPr>
        <w:t xml:space="preserve">the </w:t>
      </w:r>
      <w:r w:rsidRPr="00E45A9A">
        <w:rPr>
          <w:sz w:val="24"/>
        </w:rPr>
        <w:t xml:space="preserve">District of Columbia, </w:t>
      </w:r>
      <w:r w:rsidR="00515BB0">
        <w:rPr>
          <w:sz w:val="24"/>
        </w:rPr>
        <w:t xml:space="preserve">the territory of Puerto Rico, </w:t>
      </w:r>
      <w:r w:rsidR="005048DC">
        <w:rPr>
          <w:sz w:val="24"/>
        </w:rPr>
        <w:t xml:space="preserve">and </w:t>
      </w:r>
      <w:r w:rsidR="00515BB0">
        <w:rPr>
          <w:sz w:val="24"/>
        </w:rPr>
        <w:t>4</w:t>
      </w:r>
      <w:r w:rsidRPr="00E45A9A">
        <w:rPr>
          <w:sz w:val="24"/>
        </w:rPr>
        <w:t xml:space="preserve"> U.S. territory health departments (</w:t>
      </w:r>
      <w:r w:rsidRPr="00CB7F03">
        <w:rPr>
          <w:sz w:val="24"/>
        </w:rPr>
        <w:t>Guam, American Samoa, the Commonwealth of the Northern Mariana Islands</w:t>
      </w:r>
      <w:r w:rsidR="00D176CA">
        <w:rPr>
          <w:sz w:val="24"/>
        </w:rPr>
        <w:t>,</w:t>
      </w:r>
      <w:r w:rsidRPr="00CB7F03">
        <w:rPr>
          <w:sz w:val="24"/>
        </w:rPr>
        <w:t xml:space="preserve"> </w:t>
      </w:r>
      <w:r w:rsidR="0092385B">
        <w:rPr>
          <w:sz w:val="24"/>
        </w:rPr>
        <w:t xml:space="preserve">and the </w:t>
      </w:r>
      <w:r w:rsidRPr="00CB7F03">
        <w:rPr>
          <w:sz w:val="24"/>
        </w:rPr>
        <w:t xml:space="preserve">U.S. Virgin Islands). Our request is to </w:t>
      </w:r>
      <w:r w:rsidR="00A921C8">
        <w:rPr>
          <w:sz w:val="24"/>
        </w:rPr>
        <w:t xml:space="preserve">continue with the </w:t>
      </w:r>
      <w:r w:rsidRPr="00CB7F03">
        <w:rPr>
          <w:sz w:val="24"/>
        </w:rPr>
        <w:t xml:space="preserve">number of respondents </w:t>
      </w:r>
      <w:r w:rsidR="00252923">
        <w:rPr>
          <w:sz w:val="24"/>
        </w:rPr>
        <w:t xml:space="preserve">at </w:t>
      </w:r>
      <w:r w:rsidRPr="00CB7F03" w:rsidR="00252923">
        <w:rPr>
          <w:sz w:val="24"/>
        </w:rPr>
        <w:t>56</w:t>
      </w:r>
      <w:r w:rsidRPr="00CB7F03">
        <w:rPr>
          <w:sz w:val="24"/>
        </w:rPr>
        <w:t>,</w:t>
      </w:r>
      <w:r w:rsidR="00040A90">
        <w:rPr>
          <w:sz w:val="24"/>
        </w:rPr>
        <w:t xml:space="preserve"> </w:t>
      </w:r>
      <w:r w:rsidR="00142C7A">
        <w:rPr>
          <w:sz w:val="24"/>
        </w:rPr>
        <w:t xml:space="preserve">continuing to exclude </w:t>
      </w:r>
      <w:r w:rsidRPr="00CB7F03">
        <w:rPr>
          <w:sz w:val="24"/>
        </w:rPr>
        <w:t xml:space="preserve">large local health departments as an independent respondent in NVDRS. </w:t>
      </w:r>
    </w:p>
    <w:p w:rsidRPr="00CB7F03" w:rsidR="00F61FBB" w:rsidP="004D0CFD" w:rsidRDefault="00F61FBB" w14:paraId="110FCF70" w14:textId="77777777">
      <w:pPr>
        <w:widowControl/>
        <w:ind w:left="720"/>
        <w:rPr>
          <w:sz w:val="24"/>
        </w:rPr>
      </w:pPr>
    </w:p>
    <w:p w:rsidRPr="00CB7F03" w:rsidR="001C26B3" w:rsidP="003824C0" w:rsidRDefault="001C26B3" w14:paraId="2695A533" w14:textId="77777777">
      <w:pPr>
        <w:numPr>
          <w:ilvl w:val="0"/>
          <w:numId w:val="8"/>
        </w:numPr>
        <w:tabs>
          <w:tab w:val="left" w:pos="-1440"/>
        </w:tabs>
        <w:rPr>
          <w:sz w:val="24"/>
        </w:rPr>
      </w:pPr>
      <w:r w:rsidRPr="00CB7F03">
        <w:rPr>
          <w:b/>
          <w:bCs/>
          <w:sz w:val="24"/>
        </w:rPr>
        <w:t>Plans for Tabulation and Publication and Project Time Schedule</w:t>
      </w:r>
    </w:p>
    <w:p w:rsidRPr="00CB7F03" w:rsidR="001C26B3" w:rsidRDefault="001C26B3" w14:paraId="55EF6121" w14:textId="77777777">
      <w:pPr>
        <w:ind w:firstLine="720"/>
        <w:rPr>
          <w:sz w:val="24"/>
        </w:rPr>
      </w:pPr>
    </w:p>
    <w:p w:rsidRPr="00CB7F03" w:rsidR="001C26B3" w:rsidP="00175734" w:rsidRDefault="001C26B3" w14:paraId="5B6E1364" w14:textId="77777777">
      <w:pPr>
        <w:ind w:left="720"/>
        <w:rPr>
          <w:sz w:val="24"/>
        </w:rPr>
      </w:pPr>
      <w:r w:rsidRPr="00CB7F03">
        <w:rPr>
          <w:sz w:val="24"/>
        </w:rPr>
        <w:t xml:space="preserve">Data aggregated across states will be presented in tabulations of outcomes such as homicide rates and suicide rates by age group. These will be released in CDC publications such as </w:t>
      </w:r>
      <w:r w:rsidRPr="00CB7F03" w:rsidR="005D70CF">
        <w:rPr>
          <w:sz w:val="24"/>
        </w:rPr>
        <w:t xml:space="preserve">the Morbidity and Mortality Weekly Report </w:t>
      </w:r>
      <w:r w:rsidRPr="00CB7F03" w:rsidR="005D70CF">
        <w:rPr>
          <w:i/>
          <w:sz w:val="24"/>
        </w:rPr>
        <w:t>(</w:t>
      </w:r>
      <w:r w:rsidRPr="00CB7F03">
        <w:rPr>
          <w:i/>
          <w:iCs/>
          <w:sz w:val="24"/>
        </w:rPr>
        <w:t>MMWR</w:t>
      </w:r>
      <w:r w:rsidRPr="00CB7F03" w:rsidR="005D70CF">
        <w:rPr>
          <w:i/>
          <w:iCs/>
          <w:sz w:val="24"/>
        </w:rPr>
        <w:t>)</w:t>
      </w:r>
      <w:r w:rsidRPr="00CB7F03">
        <w:rPr>
          <w:sz w:val="24"/>
        </w:rPr>
        <w:t xml:space="preserve"> or in other</w:t>
      </w:r>
      <w:r w:rsidRPr="00CB7F03" w:rsidR="00260769">
        <w:rPr>
          <w:sz w:val="24"/>
        </w:rPr>
        <w:t xml:space="preserve"> </w:t>
      </w:r>
      <w:r w:rsidRPr="00CB7F03">
        <w:rPr>
          <w:sz w:val="24"/>
        </w:rPr>
        <w:t>peer-reviewed public</w:t>
      </w:r>
      <w:r w:rsidRPr="00CB7F03" w:rsidR="00114C17">
        <w:rPr>
          <w:sz w:val="24"/>
        </w:rPr>
        <w:t>ations. A</w:t>
      </w:r>
      <w:r w:rsidRPr="00CB7F03" w:rsidR="00EE7143">
        <w:rPr>
          <w:sz w:val="24"/>
        </w:rPr>
        <w:t xml:space="preserve"> web-based query system </w:t>
      </w:r>
      <w:r w:rsidRPr="00CB7F03" w:rsidR="00114C17">
        <w:rPr>
          <w:sz w:val="24"/>
        </w:rPr>
        <w:t xml:space="preserve">to allow electronic querying of the information </w:t>
      </w:r>
      <w:r w:rsidRPr="00CB7F03" w:rsidR="003C0EBE">
        <w:rPr>
          <w:sz w:val="24"/>
        </w:rPr>
        <w:t>has been developed and available to the public since November 2008</w:t>
      </w:r>
      <w:r w:rsidRPr="00CB7F03" w:rsidR="00114C17">
        <w:rPr>
          <w:sz w:val="24"/>
        </w:rPr>
        <w:t xml:space="preserve">. </w:t>
      </w:r>
      <w:r w:rsidRPr="00CB7F03">
        <w:rPr>
          <w:sz w:val="24"/>
        </w:rPr>
        <w:t xml:space="preserve"> </w:t>
      </w:r>
    </w:p>
    <w:p w:rsidRPr="00CB7F03" w:rsidR="001C26B3" w:rsidRDefault="001C26B3" w14:paraId="28EACC74" w14:textId="77777777">
      <w:pPr>
        <w:ind w:firstLine="720"/>
        <w:rPr>
          <w:sz w:val="24"/>
        </w:rPr>
      </w:pPr>
    </w:p>
    <w:p w:rsidRPr="00CB7F03" w:rsidR="00875EB4" w:rsidP="00175734" w:rsidRDefault="00875EB4" w14:paraId="52B251E9" w14:textId="77777777">
      <w:pPr>
        <w:ind w:firstLine="720"/>
        <w:rPr>
          <w:sz w:val="24"/>
        </w:rPr>
      </w:pPr>
      <w:r w:rsidRPr="00CB7F03">
        <w:rPr>
          <w:sz w:val="24"/>
        </w:rPr>
        <w:t>Time Schedule</w:t>
      </w:r>
    </w:p>
    <w:tbl>
      <w:tblPr>
        <w:tblW w:w="8546"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10"/>
        <w:gridCol w:w="4136"/>
      </w:tblGrid>
      <w:tr w:rsidRPr="00CB7F03" w:rsidR="00875EB4" w:rsidTr="00175734" w14:paraId="045290F5" w14:textId="77777777">
        <w:tc>
          <w:tcPr>
            <w:tcW w:w="4410" w:type="dxa"/>
            <w:shd w:val="clear" w:color="auto" w:fill="auto"/>
          </w:tcPr>
          <w:p w:rsidRPr="00CB7F03" w:rsidR="00875EB4" w:rsidP="0094592D" w:rsidRDefault="00875EB4" w14:paraId="1DFD3455" w14:textId="77777777">
            <w:pPr>
              <w:spacing w:line="120" w:lineRule="exact"/>
              <w:rPr>
                <w:sz w:val="24"/>
              </w:rPr>
            </w:pPr>
          </w:p>
          <w:p w:rsidRPr="00CB7F03" w:rsidR="00875EB4" w:rsidP="005D70CF" w:rsidRDefault="00875EB4" w14:paraId="15CD6ECF" w14:textId="77777777">
            <w:pPr>
              <w:spacing w:after="58"/>
              <w:rPr>
                <w:b/>
                <w:sz w:val="24"/>
              </w:rPr>
            </w:pPr>
            <w:r w:rsidRPr="00CB7F03">
              <w:rPr>
                <w:b/>
                <w:sz w:val="24"/>
              </w:rPr>
              <w:t>Task</w:t>
            </w:r>
          </w:p>
        </w:tc>
        <w:tc>
          <w:tcPr>
            <w:tcW w:w="4136" w:type="dxa"/>
            <w:shd w:val="clear" w:color="auto" w:fill="auto"/>
          </w:tcPr>
          <w:p w:rsidRPr="00CB7F03" w:rsidR="00875EB4" w:rsidP="0094592D" w:rsidRDefault="00875EB4" w14:paraId="0520AB15" w14:textId="77777777">
            <w:pPr>
              <w:spacing w:line="120" w:lineRule="exact"/>
              <w:rPr>
                <w:sz w:val="24"/>
              </w:rPr>
            </w:pPr>
          </w:p>
          <w:p w:rsidRPr="00CB7F03" w:rsidR="00875EB4" w:rsidP="005D70CF" w:rsidRDefault="00875EB4" w14:paraId="514FFABA" w14:textId="77777777">
            <w:pPr>
              <w:spacing w:after="58"/>
              <w:rPr>
                <w:b/>
                <w:sz w:val="24"/>
              </w:rPr>
            </w:pPr>
            <w:r w:rsidRPr="00CB7F03">
              <w:rPr>
                <w:b/>
                <w:sz w:val="24"/>
              </w:rPr>
              <w:t>Time Period</w:t>
            </w:r>
          </w:p>
        </w:tc>
      </w:tr>
      <w:tr w:rsidRPr="00CB7F03" w:rsidR="00875EB4" w:rsidTr="00175734" w14:paraId="304E2BBB" w14:textId="77777777">
        <w:tc>
          <w:tcPr>
            <w:tcW w:w="4410" w:type="dxa"/>
            <w:shd w:val="clear" w:color="auto" w:fill="auto"/>
          </w:tcPr>
          <w:p w:rsidRPr="00CB7F03" w:rsidR="00875EB4" w:rsidP="0094592D" w:rsidRDefault="00875EB4" w14:paraId="6E8FC33E" w14:textId="77777777">
            <w:pPr>
              <w:spacing w:after="58"/>
              <w:rPr>
                <w:sz w:val="24"/>
              </w:rPr>
            </w:pPr>
            <w:r w:rsidRPr="00CB7F03">
              <w:rPr>
                <w:sz w:val="24"/>
              </w:rPr>
              <w:t>Final analysis files</w:t>
            </w:r>
          </w:p>
        </w:tc>
        <w:tc>
          <w:tcPr>
            <w:tcW w:w="4136" w:type="dxa"/>
            <w:shd w:val="clear" w:color="auto" w:fill="auto"/>
          </w:tcPr>
          <w:p w:rsidRPr="00CB7F03" w:rsidR="00875EB4" w:rsidP="005D70CF" w:rsidRDefault="005D70CF" w14:paraId="1C42233A" w14:textId="77777777">
            <w:pPr>
              <w:spacing w:after="58"/>
              <w:rPr>
                <w:sz w:val="24"/>
              </w:rPr>
            </w:pPr>
            <w:r w:rsidRPr="00CB7F03">
              <w:rPr>
                <w:sz w:val="24"/>
              </w:rPr>
              <w:t>19</w:t>
            </w:r>
            <w:r w:rsidRPr="00CB7F03" w:rsidR="00875EB4">
              <w:rPr>
                <w:sz w:val="24"/>
              </w:rPr>
              <w:t xml:space="preserve"> months after the </w:t>
            </w:r>
            <w:r w:rsidRPr="00CB7F03" w:rsidR="00EA2E8A">
              <w:rPr>
                <w:sz w:val="24"/>
              </w:rPr>
              <w:t>data year</w:t>
            </w:r>
          </w:p>
        </w:tc>
      </w:tr>
      <w:tr w:rsidRPr="00CB7F03" w:rsidR="00875EB4" w:rsidTr="00175734" w14:paraId="5A00D121" w14:textId="77777777">
        <w:tc>
          <w:tcPr>
            <w:tcW w:w="4410" w:type="dxa"/>
            <w:shd w:val="clear" w:color="auto" w:fill="auto"/>
          </w:tcPr>
          <w:p w:rsidRPr="00CB7F03" w:rsidR="00875EB4" w:rsidP="00875EB4" w:rsidRDefault="00A8052B" w14:paraId="41F07F99" w14:textId="77777777">
            <w:pPr>
              <w:rPr>
                <w:sz w:val="24"/>
              </w:rPr>
            </w:pPr>
            <w:r w:rsidRPr="00CB7F03">
              <w:rPr>
                <w:sz w:val="24"/>
              </w:rPr>
              <w:t>Restricted Access Data files</w:t>
            </w:r>
          </w:p>
        </w:tc>
        <w:tc>
          <w:tcPr>
            <w:tcW w:w="4136" w:type="dxa"/>
            <w:shd w:val="clear" w:color="auto" w:fill="auto"/>
          </w:tcPr>
          <w:p w:rsidRPr="00CB7F03" w:rsidR="00875EB4" w:rsidP="005D70CF" w:rsidRDefault="005D70CF" w14:paraId="425BE22E" w14:textId="77777777">
            <w:pPr>
              <w:rPr>
                <w:sz w:val="24"/>
              </w:rPr>
            </w:pPr>
            <w:r w:rsidRPr="00CB7F03">
              <w:rPr>
                <w:sz w:val="24"/>
              </w:rPr>
              <w:t>19</w:t>
            </w:r>
            <w:r w:rsidRPr="00CB7F03" w:rsidR="003C0EBE">
              <w:rPr>
                <w:sz w:val="24"/>
              </w:rPr>
              <w:t xml:space="preserve"> months after the data year</w:t>
            </w:r>
          </w:p>
        </w:tc>
      </w:tr>
      <w:tr w:rsidRPr="00CB7F03" w:rsidR="00A8052B" w:rsidTr="00175734" w14:paraId="13139A6F" w14:textId="77777777">
        <w:tc>
          <w:tcPr>
            <w:tcW w:w="4410" w:type="dxa"/>
            <w:shd w:val="clear" w:color="auto" w:fill="auto"/>
          </w:tcPr>
          <w:p w:rsidRPr="00CB7F03" w:rsidR="00A8052B" w:rsidP="00875EB4" w:rsidRDefault="00A8052B" w14:paraId="6C63D7B2" w14:textId="77777777">
            <w:pPr>
              <w:rPr>
                <w:sz w:val="24"/>
              </w:rPr>
            </w:pPr>
            <w:r w:rsidRPr="00CB7F03">
              <w:rPr>
                <w:sz w:val="24"/>
              </w:rPr>
              <w:t>MMWR</w:t>
            </w:r>
          </w:p>
        </w:tc>
        <w:tc>
          <w:tcPr>
            <w:tcW w:w="4136" w:type="dxa"/>
            <w:shd w:val="clear" w:color="auto" w:fill="auto"/>
          </w:tcPr>
          <w:p w:rsidRPr="00CB7F03" w:rsidR="00A8052B" w:rsidP="00875EB4" w:rsidRDefault="00EA2E8A" w14:paraId="4D56B968" w14:textId="77777777">
            <w:pPr>
              <w:rPr>
                <w:sz w:val="24"/>
              </w:rPr>
            </w:pPr>
            <w:r w:rsidRPr="00CB7F03">
              <w:rPr>
                <w:sz w:val="24"/>
              </w:rPr>
              <w:t>At least one article per year</w:t>
            </w:r>
          </w:p>
        </w:tc>
      </w:tr>
      <w:tr w:rsidRPr="00CB7F03" w:rsidR="00EA2E8A" w:rsidTr="00175734" w14:paraId="70AE0F34" w14:textId="77777777">
        <w:tc>
          <w:tcPr>
            <w:tcW w:w="4410" w:type="dxa"/>
            <w:shd w:val="clear" w:color="auto" w:fill="auto"/>
          </w:tcPr>
          <w:p w:rsidRPr="00CB7F03" w:rsidR="00EA2E8A" w:rsidP="00875EB4" w:rsidRDefault="00EA2E8A" w14:paraId="72184B05" w14:textId="77777777">
            <w:pPr>
              <w:rPr>
                <w:sz w:val="24"/>
              </w:rPr>
            </w:pPr>
            <w:r w:rsidRPr="00CB7F03">
              <w:rPr>
                <w:sz w:val="24"/>
              </w:rPr>
              <w:t>NVDRS data query system</w:t>
            </w:r>
          </w:p>
        </w:tc>
        <w:tc>
          <w:tcPr>
            <w:tcW w:w="4136" w:type="dxa"/>
            <w:shd w:val="clear" w:color="auto" w:fill="auto"/>
          </w:tcPr>
          <w:p w:rsidRPr="00CB7F03" w:rsidR="00EA2E8A" w:rsidP="00875EB4" w:rsidRDefault="003C0EBE" w14:paraId="2902EF96" w14:textId="77777777">
            <w:pPr>
              <w:rPr>
                <w:sz w:val="24"/>
              </w:rPr>
            </w:pPr>
            <w:r w:rsidRPr="00CB7F03">
              <w:rPr>
                <w:sz w:val="24"/>
              </w:rPr>
              <w:t>Updated annually</w:t>
            </w:r>
          </w:p>
        </w:tc>
      </w:tr>
    </w:tbl>
    <w:p w:rsidRPr="00CB7F03" w:rsidR="001C26B3" w:rsidP="004A2713" w:rsidRDefault="00924AB2" w14:paraId="608A2331" w14:textId="77777777">
      <w:pPr>
        <w:pStyle w:val="BodyText2"/>
        <w:ind w:left="720"/>
      </w:pPr>
      <w:r w:rsidRPr="00CB7F03">
        <w:lastRenderedPageBreak/>
        <w:t>Annual r</w:t>
      </w:r>
      <w:r w:rsidRPr="00CB7F03" w:rsidR="00EE7143">
        <w:t>eports will</w:t>
      </w:r>
      <w:r w:rsidRPr="00CB7F03" w:rsidR="001C26B3">
        <w:t xml:space="preserve"> include crude and age-adjusted rates for suicide, homicide, </w:t>
      </w:r>
      <w:r w:rsidR="00710911">
        <w:t>deaths of undetermined intent</w:t>
      </w:r>
      <w:r w:rsidRPr="00CB7F03" w:rsidR="001C26B3">
        <w:t>, legal intervention, unintentional firearm injury, and terrorism.</w:t>
      </w:r>
      <w:r w:rsidRPr="00CB7F03" w:rsidR="005D70CF">
        <w:t xml:space="preserve"> </w:t>
      </w:r>
      <w:r w:rsidRPr="00CB7F03" w:rsidR="001C26B3">
        <w:t>Sex, r</w:t>
      </w:r>
      <w:r w:rsidRPr="00CB7F03" w:rsidR="00EE7143">
        <w:t xml:space="preserve">ace, and age-specific rates </w:t>
      </w:r>
      <w:r w:rsidR="006357D6">
        <w:t>are</w:t>
      </w:r>
      <w:r w:rsidRPr="00CB7F03" w:rsidR="00EE7143">
        <w:t xml:space="preserve"> also</w:t>
      </w:r>
      <w:r w:rsidRPr="00CB7F03" w:rsidR="001C26B3">
        <w:t xml:space="preserve"> presented. The percent of different types of violent deaths associated with specific circumstances, eg, a histo</w:t>
      </w:r>
      <w:r w:rsidRPr="00CB7F03" w:rsidR="00EE7143">
        <w:t>ry of substance abuse, will</w:t>
      </w:r>
      <w:r w:rsidRPr="00CB7F03" w:rsidR="001C26B3">
        <w:t xml:space="preserve"> be presented.  </w:t>
      </w:r>
      <w:r w:rsidRPr="00CB7F03" w:rsidR="00C923C7">
        <w:t>T</w:t>
      </w:r>
      <w:r w:rsidRPr="00CB7F03" w:rsidR="001C26B3">
        <w:t xml:space="preserve">ime trends will </w:t>
      </w:r>
      <w:r w:rsidRPr="00CB7F03" w:rsidR="00C923C7">
        <w:t xml:space="preserve">also </w:t>
      </w:r>
      <w:r w:rsidRPr="00CB7F03" w:rsidR="001C26B3">
        <w:t>be shown.</w:t>
      </w:r>
      <w:r w:rsidRPr="00CB7F03" w:rsidR="005D70CF">
        <w:t xml:space="preserve"> </w:t>
      </w:r>
      <w:r w:rsidRPr="00CB7F03" w:rsidR="001C26B3">
        <w:t>No sophisticated statistical techniques</w:t>
      </w:r>
      <w:r w:rsidRPr="00CB7F03" w:rsidR="00791BED">
        <w:t xml:space="preserve"> (</w:t>
      </w:r>
      <w:r w:rsidRPr="00CB7F03" w:rsidR="009F6F51">
        <w:t>e.g.,</w:t>
      </w:r>
      <w:r w:rsidRPr="00CB7F03" w:rsidR="00791BED">
        <w:t xml:space="preserve"> weighting)</w:t>
      </w:r>
      <w:r w:rsidRPr="00CB7F03" w:rsidR="001C26B3">
        <w:t xml:space="preserve"> will be required to display this surveillance data.</w:t>
      </w:r>
    </w:p>
    <w:p w:rsidRPr="00CB7F03" w:rsidR="00F21489" w:rsidRDefault="00F21489" w14:paraId="2E74FED2" w14:textId="77777777">
      <w:pPr>
        <w:rPr>
          <w:sz w:val="24"/>
        </w:rPr>
      </w:pPr>
    </w:p>
    <w:p w:rsidRPr="00CB7F03" w:rsidR="001C26B3" w:rsidP="003824C0" w:rsidRDefault="001C26B3" w14:paraId="596086F8" w14:textId="77777777">
      <w:pPr>
        <w:numPr>
          <w:ilvl w:val="0"/>
          <w:numId w:val="8"/>
        </w:numPr>
        <w:tabs>
          <w:tab w:val="left" w:pos="-1440"/>
        </w:tabs>
        <w:rPr>
          <w:sz w:val="24"/>
        </w:rPr>
      </w:pPr>
      <w:r w:rsidRPr="00CB7F03">
        <w:rPr>
          <w:b/>
          <w:bCs/>
          <w:sz w:val="24"/>
        </w:rPr>
        <w:t>Reason(s) Display of OMB Expiration Date Is Inappropriate</w:t>
      </w:r>
    </w:p>
    <w:p w:rsidRPr="00CB7F03" w:rsidR="001C26B3" w:rsidRDefault="001C26B3" w14:paraId="6726B946" w14:textId="77777777">
      <w:pPr>
        <w:rPr>
          <w:sz w:val="24"/>
        </w:rPr>
      </w:pPr>
    </w:p>
    <w:p w:rsidR="001C26B3" w:rsidP="004A2713" w:rsidRDefault="001C26B3" w14:paraId="539EA2D2" w14:textId="77777777">
      <w:pPr>
        <w:ind w:left="720"/>
        <w:rPr>
          <w:sz w:val="24"/>
        </w:rPr>
      </w:pPr>
      <w:r w:rsidRPr="00CB7F03">
        <w:rPr>
          <w:sz w:val="24"/>
        </w:rPr>
        <w:t>There</w:t>
      </w:r>
      <w:r w:rsidRPr="00CB7F03" w:rsidR="00E42196">
        <w:rPr>
          <w:sz w:val="24"/>
        </w:rPr>
        <w:t xml:space="preserve"> are</w:t>
      </w:r>
      <w:r w:rsidRPr="00CB7F03">
        <w:rPr>
          <w:sz w:val="24"/>
        </w:rPr>
        <w:t xml:space="preserve"> no</w:t>
      </w:r>
      <w:r w:rsidRPr="00CB7F03" w:rsidR="002070F7">
        <w:rPr>
          <w:sz w:val="24"/>
        </w:rPr>
        <w:t xml:space="preserve"> standard</w:t>
      </w:r>
      <w:r w:rsidRPr="00CB7F03" w:rsidR="00E42196">
        <w:rPr>
          <w:sz w:val="24"/>
        </w:rPr>
        <w:t xml:space="preserve"> paper</w:t>
      </w:r>
      <w:r w:rsidRPr="00CB7F03">
        <w:rPr>
          <w:sz w:val="24"/>
        </w:rPr>
        <w:t xml:space="preserve"> data collection forms to be used by states.  Data </w:t>
      </w:r>
      <w:r w:rsidR="00544B03">
        <w:rPr>
          <w:sz w:val="24"/>
        </w:rPr>
        <w:t>are</w:t>
      </w:r>
      <w:r w:rsidRPr="00CB7F03">
        <w:rPr>
          <w:sz w:val="24"/>
        </w:rPr>
        <w:t xml:space="preserve"> entered into </w:t>
      </w:r>
      <w:r w:rsidRPr="00CB7F03" w:rsidR="002E3089">
        <w:rPr>
          <w:sz w:val="24"/>
        </w:rPr>
        <w:t>the web-based system</w:t>
      </w:r>
      <w:r w:rsidRPr="000238B7" w:rsidR="002E3089">
        <w:rPr>
          <w:sz w:val="24"/>
        </w:rPr>
        <w:t xml:space="preserve"> either manually or electronically by importing death certificate and/or coroner/medical </w:t>
      </w:r>
      <w:r w:rsidRPr="00E45A9A" w:rsidR="002E3089">
        <w:rPr>
          <w:sz w:val="24"/>
        </w:rPr>
        <w:t>examiner (</w:t>
      </w:r>
      <w:r w:rsidR="00B8026F">
        <w:rPr>
          <w:sz w:val="24"/>
        </w:rPr>
        <w:t>C/ME</w:t>
      </w:r>
      <w:r w:rsidRPr="00E45A9A" w:rsidR="002E3089">
        <w:rPr>
          <w:sz w:val="24"/>
        </w:rPr>
        <w:t>) data into the system (</w:t>
      </w:r>
      <w:r w:rsidR="00DB5946">
        <w:rPr>
          <w:sz w:val="24"/>
        </w:rPr>
        <w:t xml:space="preserve">Attachment </w:t>
      </w:r>
      <w:r w:rsidR="001052B8">
        <w:rPr>
          <w:sz w:val="24"/>
        </w:rPr>
        <w:t>6</w:t>
      </w:r>
      <w:r w:rsidR="00F039F8">
        <w:rPr>
          <w:sz w:val="24"/>
        </w:rPr>
        <w:t>and 7</w:t>
      </w:r>
      <w:r w:rsidRPr="00E45A9A" w:rsidR="002E3089">
        <w:rPr>
          <w:sz w:val="24"/>
        </w:rPr>
        <w:t>)</w:t>
      </w:r>
      <w:r w:rsidRPr="00E45A9A">
        <w:rPr>
          <w:sz w:val="24"/>
        </w:rPr>
        <w:t>. The OMB expiration date can be displayed on the opening screen of the software if required.</w:t>
      </w:r>
    </w:p>
    <w:p w:rsidRPr="00E45A9A" w:rsidR="00C42763" w:rsidP="004A2713" w:rsidRDefault="00C42763" w14:paraId="07D93DD1" w14:textId="77777777">
      <w:pPr>
        <w:ind w:left="720"/>
        <w:rPr>
          <w:sz w:val="24"/>
        </w:rPr>
      </w:pPr>
    </w:p>
    <w:p w:rsidRPr="00E45A9A" w:rsidR="001C26B3" w:rsidRDefault="001C26B3" w14:paraId="34252124" w14:textId="77777777">
      <w:pPr>
        <w:rPr>
          <w:sz w:val="24"/>
        </w:rPr>
      </w:pPr>
    </w:p>
    <w:p w:rsidRPr="001052B8" w:rsidR="004A2713" w:rsidP="001052B8" w:rsidRDefault="001C26B3" w14:paraId="0F752DFC" w14:textId="77777777">
      <w:pPr>
        <w:keepNext/>
        <w:keepLines/>
        <w:widowControl/>
        <w:numPr>
          <w:ilvl w:val="0"/>
          <w:numId w:val="8"/>
        </w:numPr>
        <w:tabs>
          <w:tab w:val="left" w:pos="-1440"/>
        </w:tabs>
        <w:ind w:left="360"/>
        <w:rPr>
          <w:sz w:val="24"/>
        </w:rPr>
      </w:pPr>
      <w:r w:rsidRPr="00E45A9A">
        <w:rPr>
          <w:b/>
          <w:bCs/>
          <w:sz w:val="24"/>
        </w:rPr>
        <w:t>Exceptions to Certification for Paperwork Reduction Act Submissions</w:t>
      </w:r>
    </w:p>
    <w:p w:rsidR="001052B8" w:rsidP="001052B8" w:rsidRDefault="001052B8" w14:paraId="1D71D01A" w14:textId="77777777">
      <w:pPr>
        <w:keepLines/>
        <w:widowControl/>
        <w:ind w:left="360"/>
        <w:rPr>
          <w:sz w:val="24"/>
        </w:rPr>
      </w:pPr>
    </w:p>
    <w:p w:rsidRPr="00E45A9A" w:rsidR="00F649A2" w:rsidP="001052B8" w:rsidRDefault="001C26B3" w14:paraId="324927B9" w14:textId="77777777">
      <w:pPr>
        <w:keepLines/>
        <w:widowControl/>
        <w:rPr>
          <w:sz w:val="24"/>
        </w:rPr>
      </w:pPr>
      <w:r w:rsidRPr="00E45A9A">
        <w:rPr>
          <w:sz w:val="24"/>
        </w:rPr>
        <w:t>This collection of information involves no exception to the Certification for Paperwork Reduction Act Submissions</w:t>
      </w:r>
      <w:r w:rsidR="003270C8">
        <w:rPr>
          <w:sz w:val="24"/>
        </w:rPr>
        <w:t>.</w:t>
      </w:r>
    </w:p>
    <w:p w:rsidRPr="00E45A9A" w:rsidR="00F649A2" w:rsidP="003B4C6B" w:rsidRDefault="00F649A2" w14:paraId="3B85B97A" w14:textId="77777777">
      <w:pPr>
        <w:rPr>
          <w:sz w:val="24"/>
        </w:rPr>
      </w:pPr>
    </w:p>
    <w:p w:rsidRPr="00E45A9A" w:rsidR="00F649A2" w:rsidP="003B4C6B" w:rsidRDefault="00F649A2" w14:paraId="14294BEC" w14:textId="77777777">
      <w:pPr>
        <w:rPr>
          <w:sz w:val="24"/>
        </w:rPr>
      </w:pPr>
      <w:r w:rsidRPr="00E45A9A">
        <w:rPr>
          <w:sz w:val="24"/>
        </w:rPr>
        <w:t>__________</w:t>
      </w:r>
    </w:p>
    <w:p w:rsidR="00093F89" w:rsidP="003F41F5" w:rsidRDefault="00464F0A" w14:paraId="0F5264F8" w14:textId="77777777">
      <w:pPr>
        <w:widowControl/>
        <w:rPr>
          <w:color w:val="585757"/>
          <w:sz w:val="24"/>
        </w:rPr>
      </w:pPr>
      <w:r w:rsidRPr="00E45A9A">
        <w:rPr>
          <w:sz w:val="24"/>
          <w:vertAlign w:val="superscript"/>
        </w:rPr>
        <w:t>i</w:t>
      </w:r>
      <w:r w:rsidRPr="00E45A9A">
        <w:rPr>
          <w:sz w:val="24"/>
        </w:rPr>
        <w:t xml:space="preserve"> </w:t>
      </w:r>
      <w:r w:rsidRPr="00093F89" w:rsidR="003F41F5">
        <w:rPr>
          <w:color w:val="585757"/>
          <w:sz w:val="24"/>
        </w:rPr>
        <w:t xml:space="preserve">Suicide worldwide in 2019: global health estimates. Geneva: World Health Organization;2021. Licence: </w:t>
      </w:r>
      <w:r w:rsidRPr="00093F89" w:rsidR="003F41F5">
        <w:rPr>
          <w:color w:val="275B9C"/>
          <w:sz w:val="24"/>
        </w:rPr>
        <w:t>CC BY-NC-SA 3.0 IGO</w:t>
      </w:r>
      <w:r w:rsidRPr="00093F89" w:rsidR="003F41F5">
        <w:rPr>
          <w:color w:val="585757"/>
          <w:sz w:val="24"/>
        </w:rPr>
        <w:t>. Retrieved from</w:t>
      </w:r>
    </w:p>
    <w:p w:rsidRPr="00ED364B" w:rsidR="00EF7C9C" w:rsidP="00093F89" w:rsidRDefault="00093F89" w14:paraId="66F83577" w14:textId="77777777">
      <w:pPr>
        <w:widowControl/>
        <w:rPr>
          <w:sz w:val="24"/>
        </w:rPr>
      </w:pPr>
      <w:hyperlink w:history="1" r:id="rId11">
        <w:r w:rsidRPr="00924D2C">
          <w:rPr>
            <w:rStyle w:val="Hyperlink"/>
            <w:sz w:val="24"/>
          </w:rPr>
          <w:t>https://www.who.int/publications/i/item/9789240026643</w:t>
        </w:r>
      </w:hyperlink>
      <w:r w:rsidRPr="00924D2C">
        <w:rPr>
          <w:color w:val="585757"/>
          <w:sz w:val="24"/>
        </w:rPr>
        <w:t>.</w:t>
      </w:r>
      <w:r>
        <w:rPr>
          <w:rFonts w:ascii="HelveticaNeue" w:hAnsi="HelveticaNeue" w:cs="HelveticaNeue"/>
          <w:color w:val="585757"/>
          <w:sz w:val="18"/>
          <w:szCs w:val="18"/>
        </w:rPr>
        <w:t xml:space="preserve"> </w:t>
      </w:r>
    </w:p>
    <w:p w:rsidRPr="00CB7F03" w:rsidR="003F41F5" w:rsidP="00494CEB" w:rsidRDefault="003F41F5" w14:paraId="5B27F8FC" w14:textId="77777777">
      <w:pPr>
        <w:rPr>
          <w:sz w:val="24"/>
        </w:rPr>
      </w:pPr>
    </w:p>
    <w:p w:rsidRPr="00ED364B" w:rsidR="005C1388" w:rsidP="00494CEB" w:rsidRDefault="00464F0A" w14:paraId="2787C4D3" w14:textId="77777777">
      <w:pPr>
        <w:rPr>
          <w:sz w:val="24"/>
        </w:rPr>
      </w:pPr>
      <w:r w:rsidRPr="00CB7F03">
        <w:rPr>
          <w:sz w:val="24"/>
          <w:vertAlign w:val="superscript"/>
        </w:rPr>
        <w:t>ii</w:t>
      </w:r>
      <w:r w:rsidRPr="00CB7F03" w:rsidDel="003F770B" w:rsidR="003F770B">
        <w:rPr>
          <w:sz w:val="24"/>
        </w:rPr>
        <w:t xml:space="preserve"> </w:t>
      </w:r>
      <w:r w:rsidRPr="00ED364B" w:rsidR="003F770B">
        <w:rPr>
          <w:sz w:val="24"/>
        </w:rPr>
        <w:t xml:space="preserve">Suggested citation: United Nations Office on Drugs and Crime (UNODC), Global Study on Homicide 2019 (Vienna, 2019). Retrieved from </w:t>
      </w:r>
      <w:hyperlink w:history="1" r:id="rId12">
        <w:r w:rsidRPr="006C57DD" w:rsidR="00ED364B">
          <w:rPr>
            <w:rStyle w:val="Hyperlink"/>
            <w:sz w:val="24"/>
          </w:rPr>
          <w:t>https://www.unodc.org/documents/data-and-analysis/gsh/Booklet1.pdf</w:t>
        </w:r>
      </w:hyperlink>
      <w:r w:rsidR="00ED364B">
        <w:rPr>
          <w:sz w:val="24"/>
        </w:rPr>
        <w:t xml:space="preserve">. </w:t>
      </w:r>
    </w:p>
    <w:p w:rsidRPr="00CB7F03" w:rsidR="00EF7C9C" w:rsidP="00494CEB" w:rsidRDefault="00EF7C9C" w14:paraId="1E968DFF" w14:textId="77777777">
      <w:pPr>
        <w:rPr>
          <w:sz w:val="24"/>
          <w:vertAlign w:val="superscript"/>
        </w:rPr>
      </w:pPr>
    </w:p>
    <w:p w:rsidRPr="00CB7F03" w:rsidR="00EF7C9C" w:rsidP="00494CEB" w:rsidRDefault="005C1388" w14:paraId="10D24416" w14:textId="77777777">
      <w:pPr>
        <w:rPr>
          <w:sz w:val="24"/>
        </w:rPr>
      </w:pPr>
      <w:r w:rsidRPr="00CB7F03">
        <w:rPr>
          <w:sz w:val="24"/>
          <w:vertAlign w:val="superscript"/>
        </w:rPr>
        <w:t>i</w:t>
      </w:r>
      <w:r w:rsidRPr="00CB7F03" w:rsidR="00464F0A">
        <w:rPr>
          <w:sz w:val="24"/>
          <w:vertAlign w:val="superscript"/>
        </w:rPr>
        <w:t>ii</w:t>
      </w:r>
      <w:r w:rsidRPr="00CB7F03" w:rsidR="00CD6704">
        <w:rPr>
          <w:sz w:val="24"/>
        </w:rPr>
        <w:t>CDC. Web-based Injury Statistics Query and Reporting System (WISQARS). Atlanta, GA: CDC; 201</w:t>
      </w:r>
      <w:r w:rsidR="0050145B">
        <w:rPr>
          <w:sz w:val="24"/>
        </w:rPr>
        <w:t>9</w:t>
      </w:r>
      <w:r w:rsidRPr="00CB7F03" w:rsidR="00CD6704">
        <w:rPr>
          <w:sz w:val="24"/>
        </w:rPr>
        <w:t xml:space="preserve">. </w:t>
      </w:r>
      <w:r w:rsidR="00366240">
        <w:rPr>
          <w:sz w:val="24"/>
        </w:rPr>
        <w:t xml:space="preserve">Retrieved from </w:t>
      </w:r>
      <w:hyperlink w:history="1" r:id="rId13">
        <w:r w:rsidRPr="006C57DD" w:rsidR="00366240">
          <w:rPr>
            <w:rStyle w:val="Hyperlink"/>
            <w:sz w:val="24"/>
          </w:rPr>
          <w:t>http://</w:t>
        </w:r>
        <w:r w:rsidRPr="006C57DD" w:rsidR="00366240">
          <w:rPr>
            <w:rStyle w:val="Hyperlink"/>
            <w:sz w:val="24"/>
          </w:rPr>
          <w:t>www.</w:t>
        </w:r>
        <w:r w:rsidRPr="006C57DD" w:rsidR="00366240">
          <w:rPr>
            <w:rStyle w:val="Hyperlink"/>
            <w:sz w:val="24"/>
          </w:rPr>
          <w:t>c</w:t>
        </w:r>
        <w:r w:rsidRPr="006C57DD" w:rsidR="00366240">
          <w:rPr>
            <w:rStyle w:val="Hyperlink"/>
            <w:sz w:val="24"/>
          </w:rPr>
          <w:t>d</w:t>
        </w:r>
        <w:r w:rsidRPr="006C57DD" w:rsidR="00366240">
          <w:rPr>
            <w:rStyle w:val="Hyperlink"/>
            <w:sz w:val="24"/>
          </w:rPr>
          <w:t>c</w:t>
        </w:r>
        <w:r w:rsidRPr="006C57DD" w:rsidR="00366240">
          <w:rPr>
            <w:rStyle w:val="Hyperlink"/>
            <w:sz w:val="24"/>
          </w:rPr>
          <w:t>.gov/i</w:t>
        </w:r>
        <w:r w:rsidRPr="006C57DD" w:rsidR="00366240">
          <w:rPr>
            <w:rStyle w:val="Hyperlink"/>
            <w:sz w:val="24"/>
          </w:rPr>
          <w:t>njury/wisqars/index.html</w:t>
        </w:r>
      </w:hyperlink>
    </w:p>
    <w:p w:rsidRPr="00CB7F03" w:rsidR="00EF7C9C" w:rsidP="00494CEB" w:rsidRDefault="00EF7C9C" w14:paraId="6D8AA84D" w14:textId="77777777">
      <w:pPr>
        <w:widowControl/>
        <w:autoSpaceDE/>
        <w:autoSpaceDN/>
        <w:adjustRightInd/>
        <w:rPr>
          <w:sz w:val="24"/>
          <w:vertAlign w:val="superscript"/>
        </w:rPr>
      </w:pPr>
    </w:p>
    <w:p w:rsidRPr="00366240" w:rsidR="005C1388" w:rsidP="00494CEB" w:rsidRDefault="005C1388" w14:paraId="7B678788" w14:textId="77777777">
      <w:pPr>
        <w:widowControl/>
        <w:autoSpaceDE/>
        <w:autoSpaceDN/>
        <w:adjustRightInd/>
        <w:rPr>
          <w:sz w:val="24"/>
        </w:rPr>
      </w:pPr>
      <w:r w:rsidRPr="00CB7F03">
        <w:rPr>
          <w:sz w:val="24"/>
          <w:vertAlign w:val="superscript"/>
        </w:rPr>
        <w:t>iv</w:t>
      </w:r>
      <w:r w:rsidRPr="00CB7F03">
        <w:rPr>
          <w:sz w:val="24"/>
        </w:rPr>
        <w:t xml:space="preserve"> </w:t>
      </w:r>
      <w:r w:rsidRPr="004606CC" w:rsidR="00366240">
        <w:rPr>
          <w:sz w:val="24"/>
        </w:rPr>
        <w:t xml:space="preserve">U.S. Department of Transportation. </w:t>
      </w:r>
      <w:r w:rsidRPr="00366240" w:rsidR="00366240">
        <w:rPr>
          <w:color w:val="000000"/>
          <w:sz w:val="24"/>
        </w:rPr>
        <w:t>Data Sources:</w:t>
      </w:r>
      <w:hyperlink w:tgtFrame="_blank" w:history="1" r:id="rId14">
        <w:r w:rsidRPr="00366240" w:rsidR="00366240">
          <w:rPr>
            <w:rStyle w:val="Hyperlink"/>
            <w:sz w:val="24"/>
          </w:rPr>
          <w:t>Fatality Analysis Reporting System (FARS): 2005-2018 Final File and 2019 Report File (ARF)</w:t>
        </w:r>
      </w:hyperlink>
      <w:r w:rsidRPr="00366240" w:rsidR="00366240">
        <w:rPr>
          <w:sz w:val="24"/>
        </w:rPr>
        <w:t>. Retrieved from https://cdan.dot.gov/query</w:t>
      </w:r>
    </w:p>
    <w:p w:rsidRPr="00CB7F03" w:rsidR="00EF7C9C" w:rsidP="00494CEB" w:rsidRDefault="00EF7C9C" w14:paraId="4DC76C75" w14:textId="77777777">
      <w:pPr>
        <w:widowControl/>
        <w:autoSpaceDE/>
        <w:autoSpaceDN/>
        <w:adjustRightInd/>
        <w:rPr>
          <w:sz w:val="24"/>
          <w:vertAlign w:val="superscript"/>
        </w:rPr>
      </w:pPr>
    </w:p>
    <w:p w:rsidR="004606CC" w:rsidP="00494CEB" w:rsidRDefault="005C1388" w14:paraId="7698AEAD" w14:textId="77777777">
      <w:pPr>
        <w:widowControl/>
        <w:autoSpaceDE/>
        <w:autoSpaceDN/>
        <w:adjustRightInd/>
        <w:rPr>
          <w:sz w:val="24"/>
        </w:rPr>
      </w:pPr>
      <w:r w:rsidRPr="00CB7F03">
        <w:rPr>
          <w:sz w:val="24"/>
          <w:vertAlign w:val="superscript"/>
        </w:rPr>
        <w:t>v</w:t>
      </w:r>
      <w:r w:rsidRPr="004606CC" w:rsidR="004606CC">
        <w:rPr>
          <w:sz w:val="24"/>
        </w:rPr>
        <w:t xml:space="preserve"> </w:t>
      </w:r>
      <w:r w:rsidRPr="00CB7F03" w:rsidR="004606CC">
        <w:rPr>
          <w:sz w:val="24"/>
        </w:rPr>
        <w:t xml:space="preserve">U.S. Department of Transportation. Report to Congress NHTSA’s Crash Data Programs. Washington, DC; 2010. Retrieved from </w:t>
      </w:r>
      <w:hyperlink w:history="1" r:id="rId15">
        <w:r w:rsidRPr="004606CC" w:rsidR="004606CC">
          <w:rPr>
            <w:rStyle w:val="Hyperlink"/>
            <w:color w:val="auto"/>
            <w:sz w:val="24"/>
          </w:rPr>
          <w:t>https://crashstats.nhtsa.dot.gov/Api/Public/ViewPublication/811337</w:t>
        </w:r>
      </w:hyperlink>
    </w:p>
    <w:p w:rsidR="004606CC" w:rsidP="00494CEB" w:rsidRDefault="004606CC" w14:paraId="5A720B72" w14:textId="77777777">
      <w:pPr>
        <w:widowControl/>
        <w:autoSpaceDE/>
        <w:autoSpaceDN/>
        <w:adjustRightInd/>
        <w:rPr>
          <w:sz w:val="24"/>
        </w:rPr>
      </w:pPr>
    </w:p>
    <w:p w:rsidRPr="00CB7F03" w:rsidR="00E13A37" w:rsidP="00494CEB" w:rsidRDefault="004606CC" w14:paraId="642E0421" w14:textId="77777777">
      <w:pPr>
        <w:widowControl/>
        <w:autoSpaceDE/>
        <w:autoSpaceDN/>
        <w:adjustRightInd/>
        <w:rPr>
          <w:iCs/>
          <w:sz w:val="24"/>
          <w:lang w:val="en"/>
        </w:rPr>
      </w:pPr>
      <w:r w:rsidRPr="00CB7F03">
        <w:rPr>
          <w:sz w:val="24"/>
          <w:vertAlign w:val="superscript"/>
        </w:rPr>
        <w:t>vi</w:t>
      </w:r>
      <w:r w:rsidRPr="00CB7F03" w:rsidR="005C1388">
        <w:rPr>
          <w:rStyle w:val="cit-name-surname"/>
          <w:sz w:val="24"/>
          <w:lang w:val="en"/>
        </w:rPr>
        <w:t>Bonnie</w:t>
      </w:r>
      <w:r w:rsidRPr="00CB7F03" w:rsidR="005C1388">
        <w:rPr>
          <w:rStyle w:val="cit-ed"/>
          <w:sz w:val="24"/>
          <w:lang w:val="en"/>
        </w:rPr>
        <w:t xml:space="preserve"> </w:t>
      </w:r>
      <w:r w:rsidRPr="00CB7F03" w:rsidR="005C1388">
        <w:rPr>
          <w:rStyle w:val="cit-name-given-names"/>
          <w:sz w:val="24"/>
          <w:lang w:val="en"/>
        </w:rPr>
        <w:t>RJ</w:t>
      </w:r>
      <w:r w:rsidRPr="00CB7F03" w:rsidR="005C1388">
        <w:rPr>
          <w:sz w:val="24"/>
          <w:lang w:val="en"/>
        </w:rPr>
        <w:t xml:space="preserve">, </w:t>
      </w:r>
      <w:r w:rsidRPr="00CB7F03" w:rsidR="005C1388">
        <w:rPr>
          <w:rStyle w:val="cit-name-surname"/>
          <w:sz w:val="24"/>
          <w:lang w:val="en"/>
        </w:rPr>
        <w:t>Fulco</w:t>
      </w:r>
      <w:r w:rsidRPr="00CB7F03" w:rsidR="005C1388">
        <w:rPr>
          <w:rStyle w:val="cit-ed"/>
          <w:sz w:val="24"/>
          <w:lang w:val="en"/>
        </w:rPr>
        <w:t xml:space="preserve"> </w:t>
      </w:r>
      <w:r w:rsidRPr="00CB7F03" w:rsidR="005C1388">
        <w:rPr>
          <w:rStyle w:val="cit-name-given-names"/>
          <w:sz w:val="24"/>
          <w:lang w:val="en"/>
        </w:rPr>
        <w:t>CE</w:t>
      </w:r>
      <w:r w:rsidRPr="00CB7F03" w:rsidR="005C1388">
        <w:rPr>
          <w:sz w:val="24"/>
          <w:lang w:val="en"/>
        </w:rPr>
        <w:t xml:space="preserve">, </w:t>
      </w:r>
      <w:r w:rsidRPr="00CB7F03" w:rsidR="005C1388">
        <w:rPr>
          <w:rStyle w:val="cit-name-surname"/>
          <w:sz w:val="24"/>
          <w:lang w:val="en"/>
        </w:rPr>
        <w:t>Liverman</w:t>
      </w:r>
      <w:r w:rsidRPr="00CB7F03" w:rsidR="005C1388">
        <w:rPr>
          <w:rStyle w:val="cit-ed"/>
          <w:sz w:val="24"/>
          <w:lang w:val="en"/>
        </w:rPr>
        <w:t xml:space="preserve"> </w:t>
      </w:r>
      <w:r w:rsidRPr="00CB7F03" w:rsidR="005C1388">
        <w:rPr>
          <w:rStyle w:val="cit-name-given-names"/>
          <w:sz w:val="24"/>
          <w:lang w:val="en"/>
        </w:rPr>
        <w:t>CT</w:t>
      </w:r>
      <w:r w:rsidRPr="00CB7F03" w:rsidR="005C1388">
        <w:rPr>
          <w:rStyle w:val="cit-ed"/>
          <w:sz w:val="24"/>
          <w:lang w:val="en"/>
        </w:rPr>
        <w:t>, eds</w:t>
      </w:r>
      <w:r w:rsidRPr="00CB7F03" w:rsidR="005C1388">
        <w:rPr>
          <w:rStyle w:val="HTMLCite"/>
          <w:sz w:val="24"/>
          <w:lang w:val="en"/>
        </w:rPr>
        <w:t>.</w:t>
      </w:r>
      <w:r w:rsidRPr="00CB7F03" w:rsidR="004D0CFD">
        <w:rPr>
          <w:rStyle w:val="HTMLCite"/>
          <w:sz w:val="24"/>
          <w:lang w:val="en"/>
        </w:rPr>
        <w:t xml:space="preserve"> </w:t>
      </w:r>
      <w:r w:rsidRPr="00CB7F03" w:rsidR="005C1388">
        <w:rPr>
          <w:rStyle w:val="cit-source"/>
          <w:iCs/>
          <w:sz w:val="24"/>
          <w:lang w:val="en"/>
        </w:rPr>
        <w:t>Reducing the burden of injury: advancing prevention and treatment</w:t>
      </w:r>
      <w:r w:rsidRPr="00CB7F03" w:rsidR="005C1388">
        <w:rPr>
          <w:rStyle w:val="HTMLCite"/>
          <w:i w:val="0"/>
          <w:sz w:val="24"/>
          <w:lang w:val="en"/>
        </w:rPr>
        <w:t xml:space="preserve">. </w:t>
      </w:r>
      <w:r w:rsidRPr="00CB7F03" w:rsidR="005C1388">
        <w:rPr>
          <w:rStyle w:val="cit-comment"/>
          <w:iCs/>
          <w:sz w:val="24"/>
          <w:lang w:val="en"/>
        </w:rPr>
        <w:t>Institute of Medicine</w:t>
      </w:r>
      <w:r w:rsidRPr="00CB7F03" w:rsidR="005C1388">
        <w:rPr>
          <w:rStyle w:val="HTMLCite"/>
          <w:i w:val="0"/>
          <w:sz w:val="24"/>
          <w:lang w:val="en"/>
        </w:rPr>
        <w:t xml:space="preserve">. </w:t>
      </w:r>
      <w:r w:rsidRPr="00CB7F03" w:rsidR="005C1388">
        <w:rPr>
          <w:rStyle w:val="cit-publ-loc"/>
          <w:iCs/>
          <w:sz w:val="24"/>
          <w:lang w:val="en"/>
        </w:rPr>
        <w:t>Washington DC</w:t>
      </w:r>
      <w:r w:rsidRPr="00CB7F03" w:rsidR="005C1388">
        <w:rPr>
          <w:rStyle w:val="HTMLCite"/>
          <w:i w:val="0"/>
          <w:sz w:val="24"/>
          <w:lang w:val="en"/>
        </w:rPr>
        <w:t xml:space="preserve">: </w:t>
      </w:r>
      <w:r w:rsidRPr="00CB7F03" w:rsidR="005C1388">
        <w:rPr>
          <w:rStyle w:val="cit-publ-name"/>
          <w:iCs/>
          <w:sz w:val="24"/>
          <w:lang w:val="en"/>
        </w:rPr>
        <w:t>National Academies Press</w:t>
      </w:r>
      <w:r w:rsidRPr="00CB7F03" w:rsidR="005C1388">
        <w:rPr>
          <w:rStyle w:val="HTMLCite"/>
          <w:i w:val="0"/>
          <w:sz w:val="24"/>
          <w:lang w:val="en"/>
        </w:rPr>
        <w:t xml:space="preserve">, </w:t>
      </w:r>
      <w:r w:rsidRPr="00CB7F03" w:rsidR="005C1388">
        <w:rPr>
          <w:rStyle w:val="cit-pub-date"/>
          <w:iCs/>
          <w:sz w:val="24"/>
          <w:lang w:val="en"/>
        </w:rPr>
        <w:t>1999</w:t>
      </w:r>
      <w:r w:rsidRPr="00CB7F03" w:rsidR="005C1388">
        <w:rPr>
          <w:rStyle w:val="HTMLCite"/>
          <w:i w:val="0"/>
          <w:sz w:val="24"/>
          <w:lang w:val="en"/>
        </w:rPr>
        <w:t xml:space="preserve">. </w:t>
      </w:r>
      <w:r w:rsidRPr="00CB7F03" w:rsidR="004D0CFD">
        <w:rPr>
          <w:rStyle w:val="HTMLCite"/>
          <w:i w:val="0"/>
          <w:sz w:val="24"/>
          <w:lang w:val="en"/>
        </w:rPr>
        <w:t>Retrieved</w:t>
      </w:r>
      <w:r w:rsidRPr="00CB7F03" w:rsidR="005C1388">
        <w:rPr>
          <w:rStyle w:val="HTMLCite"/>
          <w:i w:val="0"/>
          <w:sz w:val="24"/>
          <w:lang w:val="en"/>
        </w:rPr>
        <w:t xml:space="preserve"> from </w:t>
      </w:r>
      <w:hyperlink w:history="1" r:id="rId16">
        <w:r w:rsidRPr="00CB7F03" w:rsidR="005C1388">
          <w:rPr>
            <w:rStyle w:val="Hyperlink"/>
            <w:iCs/>
            <w:color w:val="auto"/>
            <w:sz w:val="24"/>
            <w:lang w:val="en"/>
          </w:rPr>
          <w:t>http://www.nap.edu/openbook.php?record_id=6321</w:t>
        </w:r>
      </w:hyperlink>
      <w:r w:rsidRPr="00CB7F03" w:rsidR="005C1388">
        <w:rPr>
          <w:rStyle w:val="HTMLCite"/>
          <w:i w:val="0"/>
          <w:sz w:val="24"/>
          <w:lang w:val="en"/>
        </w:rPr>
        <w:t>.</w:t>
      </w:r>
    </w:p>
    <w:p w:rsidRPr="00CB7F03" w:rsidR="00EF7C9C" w:rsidP="00494CEB" w:rsidRDefault="00EF7C9C" w14:paraId="54615F85" w14:textId="77777777">
      <w:pPr>
        <w:widowControl/>
        <w:autoSpaceDE/>
        <w:autoSpaceDN/>
        <w:adjustRightInd/>
        <w:rPr>
          <w:sz w:val="24"/>
          <w:vertAlign w:val="superscript"/>
        </w:rPr>
      </w:pPr>
    </w:p>
    <w:p w:rsidR="005C1388" w:rsidP="00494CEB" w:rsidRDefault="005C1388" w14:paraId="369A62FC" w14:textId="77777777">
      <w:pPr>
        <w:widowControl/>
        <w:autoSpaceDE/>
        <w:autoSpaceDN/>
        <w:adjustRightInd/>
        <w:rPr>
          <w:sz w:val="24"/>
        </w:rPr>
      </w:pPr>
      <w:r w:rsidRPr="00CB7F03">
        <w:rPr>
          <w:sz w:val="24"/>
          <w:vertAlign w:val="superscript"/>
        </w:rPr>
        <w:t>vi</w:t>
      </w:r>
      <w:r w:rsidR="006E1E52">
        <w:rPr>
          <w:sz w:val="24"/>
          <w:vertAlign w:val="superscript"/>
        </w:rPr>
        <w:t>i</w:t>
      </w:r>
      <w:r w:rsidRPr="00CB7F03">
        <w:rPr>
          <w:sz w:val="24"/>
        </w:rPr>
        <w:t>Blair JM, Fowler KA, Jack SPD, Crosby AE. The National Violent Death Reporting System: overview and future directions. Inj Prev 2016;22(Suppl 1</w:t>
      </w:r>
      <w:r w:rsidRPr="00CB7F03" w:rsidR="00252923">
        <w:rPr>
          <w:sz w:val="24"/>
        </w:rPr>
        <w:t>): i</w:t>
      </w:r>
      <w:r w:rsidRPr="00CB7F03">
        <w:rPr>
          <w:sz w:val="24"/>
        </w:rPr>
        <w:t xml:space="preserve">6–11. </w:t>
      </w:r>
    </w:p>
    <w:p w:rsidR="007818ED" w:rsidP="00494CEB" w:rsidRDefault="007818ED" w14:paraId="5BD42613" w14:textId="77777777">
      <w:pPr>
        <w:widowControl/>
        <w:autoSpaceDE/>
        <w:autoSpaceDN/>
        <w:adjustRightInd/>
        <w:rPr>
          <w:sz w:val="24"/>
        </w:rPr>
      </w:pPr>
    </w:p>
    <w:p w:rsidRPr="00CB7F03" w:rsidR="007818ED" w:rsidP="007818ED" w:rsidRDefault="007818ED" w14:paraId="74C5A082" w14:textId="77777777">
      <w:pPr>
        <w:rPr>
          <w:sz w:val="24"/>
        </w:rPr>
      </w:pPr>
      <w:r w:rsidRPr="007818ED">
        <w:rPr>
          <w:sz w:val="24"/>
          <w:vertAlign w:val="superscript"/>
        </w:rPr>
        <w:lastRenderedPageBreak/>
        <w:t>viii</w:t>
      </w:r>
      <w:r w:rsidRPr="007818ED">
        <w:rPr>
          <w:sz w:val="24"/>
        </w:rPr>
        <w:t xml:space="preserve"> </w:t>
      </w:r>
      <w:r w:rsidRPr="00CB7F03">
        <w:rPr>
          <w:sz w:val="24"/>
        </w:rPr>
        <w:t>US Department of Health and Human Services. Healthy People 20</w:t>
      </w:r>
      <w:r>
        <w:rPr>
          <w:sz w:val="24"/>
        </w:rPr>
        <w:t>3</w:t>
      </w:r>
      <w:r w:rsidRPr="00CB7F03">
        <w:rPr>
          <w:sz w:val="24"/>
        </w:rPr>
        <w:t>0. Washington, DC: CDC; 20</w:t>
      </w:r>
      <w:r>
        <w:rPr>
          <w:sz w:val="24"/>
        </w:rPr>
        <w:t>20</w:t>
      </w:r>
      <w:r w:rsidRPr="00CB7F03">
        <w:rPr>
          <w:sz w:val="24"/>
        </w:rPr>
        <w:t xml:space="preserve">. </w:t>
      </w:r>
      <w:r w:rsidRPr="007818ED">
        <w:rPr>
          <w:sz w:val="24"/>
        </w:rPr>
        <w:t>https://health.gov/healthypeople/objectives-and-data/browse-objectives/violence-prevention</w:t>
      </w:r>
    </w:p>
    <w:p w:rsidRPr="00CB7F03" w:rsidR="007818ED" w:rsidP="00494CEB" w:rsidRDefault="007818ED" w14:paraId="5CAB93DC" w14:textId="77777777">
      <w:pPr>
        <w:widowControl/>
        <w:autoSpaceDE/>
        <w:autoSpaceDN/>
        <w:adjustRightInd/>
        <w:rPr>
          <w:sz w:val="24"/>
        </w:rPr>
      </w:pPr>
    </w:p>
    <w:p w:rsidR="00FA0FAE" w:rsidP="00494CEB" w:rsidRDefault="00BA6DDB" w14:paraId="3D5449D8" w14:textId="77777777">
      <w:pPr>
        <w:rPr>
          <w:sz w:val="24"/>
        </w:rPr>
      </w:pPr>
      <w:r>
        <w:rPr>
          <w:sz w:val="24"/>
          <w:vertAlign w:val="superscript"/>
        </w:rPr>
        <w:t>ix</w:t>
      </w:r>
      <w:r w:rsidRPr="00CB7F03" w:rsidR="00FA0FAE">
        <w:rPr>
          <w:sz w:val="24"/>
          <w:vertAlign w:val="superscript"/>
        </w:rPr>
        <w:t xml:space="preserve"> </w:t>
      </w:r>
      <w:r w:rsidRPr="00CB7F03" w:rsidR="00707F9F">
        <w:rPr>
          <w:sz w:val="24"/>
        </w:rPr>
        <w:t xml:space="preserve">Reports can be found here </w:t>
      </w:r>
      <w:hyperlink w:history="1" r:id="rId17">
        <w:r w:rsidRPr="00CB7F03" w:rsidR="00707F9F">
          <w:rPr>
            <w:rStyle w:val="Hyperlink"/>
            <w:color w:val="auto"/>
            <w:sz w:val="24"/>
          </w:rPr>
          <w:t>https://www.cdc.gov/violenceprevention/nvdrs/publications.html</w:t>
        </w:r>
      </w:hyperlink>
    </w:p>
    <w:p w:rsidRPr="00CB7F03" w:rsidR="0001618A" w:rsidP="00494CEB" w:rsidRDefault="0001618A" w14:paraId="65A1C506" w14:textId="77777777">
      <w:pPr>
        <w:rPr>
          <w:sz w:val="24"/>
        </w:rPr>
      </w:pPr>
    </w:p>
    <w:p w:rsidRPr="00CB7F03" w:rsidR="00FA0FAE" w:rsidP="00494CEB" w:rsidRDefault="00EF7C9C" w14:paraId="0A10640E" w14:textId="77777777">
      <w:pPr>
        <w:pStyle w:val="pull-right"/>
        <w:spacing w:after="0" w:line="240" w:lineRule="auto"/>
      </w:pPr>
      <w:r w:rsidRPr="00CB7F03">
        <w:rPr>
          <w:vertAlign w:val="superscript"/>
        </w:rPr>
        <w:t xml:space="preserve">x </w:t>
      </w:r>
      <w:r w:rsidRPr="00CB7F03" w:rsidR="00707F9F">
        <w:t xml:space="preserve">Webpage address for each state health department, where the NVDRS reports can be found are located here </w:t>
      </w:r>
      <w:hyperlink w:history="1" r:id="rId18">
        <w:r w:rsidRPr="00CB7F03" w:rsidR="00707F9F">
          <w:rPr>
            <w:rStyle w:val="Hyperlink"/>
            <w:color w:val="auto"/>
          </w:rPr>
          <w:t>https://www.cdc.gov/violenceprevention/nvdrs/stateprofiles.html</w:t>
        </w:r>
      </w:hyperlink>
      <w:r w:rsidR="008859F2">
        <w:t xml:space="preserve">  </w:t>
      </w:r>
    </w:p>
    <w:p w:rsidRPr="00CB7F03" w:rsidR="00707F9F" w:rsidP="00494CEB" w:rsidRDefault="00707F9F" w14:paraId="31DB1DA4" w14:textId="77777777">
      <w:pPr>
        <w:pStyle w:val="pull-right"/>
        <w:spacing w:after="0" w:line="240" w:lineRule="auto"/>
      </w:pPr>
    </w:p>
    <w:p w:rsidR="00EF7C9C" w:rsidP="002F39D9" w:rsidRDefault="00707F9F" w14:paraId="3E0CEB07" w14:textId="77777777">
      <w:pPr>
        <w:rPr>
          <w:sz w:val="24"/>
        </w:rPr>
      </w:pPr>
      <w:r w:rsidRPr="00CB7F03">
        <w:rPr>
          <w:sz w:val="24"/>
          <w:vertAlign w:val="superscript"/>
        </w:rPr>
        <w:t>xvi</w:t>
      </w:r>
      <w:r w:rsidRPr="00CB7F03">
        <w:rPr>
          <w:sz w:val="24"/>
        </w:rPr>
        <w:t xml:space="preserve"> </w:t>
      </w:r>
      <w:r w:rsidRPr="00865DFC" w:rsidR="00865DFC">
        <w:rPr>
          <w:sz w:val="24"/>
        </w:rPr>
        <w:t>Jack SP, Petrosky E, Lyons BH</w:t>
      </w:r>
      <w:r w:rsidR="00865DFC">
        <w:rPr>
          <w:sz w:val="24"/>
        </w:rPr>
        <w:t xml:space="preserve">, </w:t>
      </w:r>
      <w:r w:rsidRPr="00865DFC" w:rsidR="00865DFC">
        <w:rPr>
          <w:sz w:val="24"/>
        </w:rPr>
        <w:t>Blair</w:t>
      </w:r>
      <w:r w:rsidR="00865DFC">
        <w:rPr>
          <w:sz w:val="24"/>
        </w:rPr>
        <w:t xml:space="preserve"> JM</w:t>
      </w:r>
      <w:r w:rsidRPr="00865DFC" w:rsidR="00865DFC">
        <w:rPr>
          <w:sz w:val="24"/>
        </w:rPr>
        <w:t>, Ertl</w:t>
      </w:r>
      <w:r w:rsidR="00865DFC">
        <w:rPr>
          <w:sz w:val="24"/>
        </w:rPr>
        <w:t xml:space="preserve"> AM</w:t>
      </w:r>
      <w:r w:rsidRPr="00865DFC" w:rsidR="00865DFC">
        <w:rPr>
          <w:sz w:val="24"/>
        </w:rPr>
        <w:t>, Sheats</w:t>
      </w:r>
      <w:r w:rsidR="00865DFC">
        <w:rPr>
          <w:sz w:val="24"/>
        </w:rPr>
        <w:t xml:space="preserve"> KJ,</w:t>
      </w:r>
      <w:r w:rsidRPr="00865DFC" w:rsidR="00865DFC">
        <w:rPr>
          <w:sz w:val="24"/>
        </w:rPr>
        <w:t xml:space="preserve"> Betz</w:t>
      </w:r>
      <w:r w:rsidR="00865DFC">
        <w:rPr>
          <w:sz w:val="24"/>
        </w:rPr>
        <w:t xml:space="preserve"> CJ</w:t>
      </w:r>
      <w:r w:rsidRPr="00CB7F03" w:rsidR="00EF7C9C">
        <w:rPr>
          <w:sz w:val="24"/>
        </w:rPr>
        <w:t xml:space="preserve">. Surveillance for Violent Deaths — National Violent Death Reporting System, </w:t>
      </w:r>
      <w:r w:rsidR="00865DFC">
        <w:rPr>
          <w:sz w:val="24"/>
        </w:rPr>
        <w:t>2</w:t>
      </w:r>
      <w:r w:rsidRPr="00CB7F03" w:rsidR="00865DFC">
        <w:rPr>
          <w:sz w:val="24"/>
        </w:rPr>
        <w:t xml:space="preserve">7 </w:t>
      </w:r>
      <w:r w:rsidRPr="00CB7F03" w:rsidR="00EF7C9C">
        <w:rPr>
          <w:sz w:val="24"/>
        </w:rPr>
        <w:t xml:space="preserve">States, </w:t>
      </w:r>
      <w:r w:rsidRPr="00CB7F03" w:rsidR="00865DFC">
        <w:rPr>
          <w:sz w:val="24"/>
        </w:rPr>
        <w:t>201</w:t>
      </w:r>
      <w:r w:rsidR="00865DFC">
        <w:rPr>
          <w:sz w:val="24"/>
        </w:rPr>
        <w:t>5</w:t>
      </w:r>
      <w:r w:rsidRPr="00CB7F03" w:rsidR="00EF7C9C">
        <w:rPr>
          <w:sz w:val="24"/>
        </w:rPr>
        <w:t xml:space="preserve">. MMWR Surveill Summ </w:t>
      </w:r>
      <w:r w:rsidRPr="00CB7F03" w:rsidR="00865DFC">
        <w:rPr>
          <w:sz w:val="24"/>
        </w:rPr>
        <w:t>201</w:t>
      </w:r>
      <w:r w:rsidR="00865DFC">
        <w:rPr>
          <w:sz w:val="24"/>
        </w:rPr>
        <w:t>8</w:t>
      </w:r>
      <w:r w:rsidRPr="00CB7F03" w:rsidR="00EF7C9C">
        <w:rPr>
          <w:sz w:val="24"/>
        </w:rPr>
        <w:t>;</w:t>
      </w:r>
      <w:r w:rsidRPr="00CB7F03" w:rsidR="00865DFC">
        <w:rPr>
          <w:sz w:val="24"/>
        </w:rPr>
        <w:t>6</w:t>
      </w:r>
      <w:r w:rsidR="00865DFC">
        <w:rPr>
          <w:sz w:val="24"/>
        </w:rPr>
        <w:t>7</w:t>
      </w:r>
      <w:r w:rsidRPr="00CB7F03" w:rsidR="00EF7C9C">
        <w:rPr>
          <w:sz w:val="24"/>
        </w:rPr>
        <w:t>(No. SS-</w:t>
      </w:r>
      <w:r w:rsidRPr="00CB7F03" w:rsidR="00865DFC">
        <w:rPr>
          <w:sz w:val="24"/>
        </w:rPr>
        <w:t>1</w:t>
      </w:r>
      <w:r w:rsidR="00865DFC">
        <w:rPr>
          <w:sz w:val="24"/>
        </w:rPr>
        <w:t>1</w:t>
      </w:r>
      <w:r w:rsidRPr="00CB7F03" w:rsidR="00EF7C9C">
        <w:rPr>
          <w:sz w:val="24"/>
        </w:rPr>
        <w:t>):1–</w:t>
      </w:r>
      <w:r w:rsidR="00865DFC">
        <w:rPr>
          <w:sz w:val="24"/>
        </w:rPr>
        <w:t>3</w:t>
      </w:r>
      <w:r w:rsidRPr="00CB7F03" w:rsidR="00865DFC">
        <w:rPr>
          <w:sz w:val="24"/>
        </w:rPr>
        <w:t>2</w:t>
      </w:r>
      <w:r w:rsidRPr="00CB7F03" w:rsidR="00EF7C9C">
        <w:rPr>
          <w:sz w:val="24"/>
        </w:rPr>
        <w:t xml:space="preserve">. DOI: </w:t>
      </w:r>
      <w:hyperlink w:history="1" r:id="rId19">
        <w:r w:rsidRPr="00865DFC" w:rsidR="00865DFC">
          <w:rPr>
            <w:rStyle w:val="Hyperlink"/>
            <w:sz w:val="24"/>
          </w:rPr>
          <w:t>http://dx.doi.org/10.15585/mmwr.ss6711a1</w:t>
        </w:r>
      </w:hyperlink>
      <w:r w:rsidRPr="00865DFC" w:rsidR="00865DFC">
        <w:rPr>
          <w:sz w:val="24"/>
        </w:rPr>
        <w:t>.</w:t>
      </w:r>
    </w:p>
    <w:p w:rsidR="00CF700C" w:rsidP="002F39D9" w:rsidRDefault="00CF700C" w14:paraId="10A14C34" w14:textId="77777777">
      <w:pPr>
        <w:rPr>
          <w:sz w:val="24"/>
        </w:rPr>
      </w:pPr>
    </w:p>
    <w:p w:rsidRPr="00CB7F03" w:rsidR="00CF700C" w:rsidP="00CF700C" w:rsidRDefault="00CF700C" w14:paraId="16F52682" w14:textId="77777777">
      <w:pPr>
        <w:rPr>
          <w:sz w:val="24"/>
        </w:rPr>
      </w:pPr>
      <w:r>
        <w:rPr>
          <w:sz w:val="24"/>
          <w:vertAlign w:val="superscript"/>
        </w:rPr>
        <w:t>xvii</w:t>
      </w:r>
      <w:r w:rsidRPr="00CF700C">
        <w:rPr>
          <w:sz w:val="24"/>
        </w:rPr>
        <w:t xml:space="preserve"> </w:t>
      </w:r>
      <w:r w:rsidRPr="00CF3126">
        <w:rPr>
          <w:sz w:val="24"/>
        </w:rPr>
        <w:t>Bureau of Labor Statistics (May 2018). Occupational employment statistics. National industry specific a</w:t>
      </w:r>
      <w:r w:rsidRPr="00F61FBB">
        <w:rPr>
          <w:sz w:val="24"/>
        </w:rPr>
        <w:t xml:space="preserve">nd by ownership. Retrieved from </w:t>
      </w:r>
      <w:hyperlink w:history="1" r:id="rId20">
        <w:r w:rsidRPr="008B7A93">
          <w:rPr>
            <w:rStyle w:val="Hyperlink"/>
            <w:color w:val="auto"/>
            <w:sz w:val="24"/>
          </w:rPr>
          <w:t>http://www.bls.gov/oes/</w:t>
        </w:r>
      </w:hyperlink>
      <w:r w:rsidRPr="008B7A93">
        <w:rPr>
          <w:sz w:val="24"/>
        </w:rPr>
        <w:t>.</w:t>
      </w:r>
    </w:p>
    <w:p w:rsidR="00DC52E8" w:rsidP="00DC52E8" w:rsidRDefault="00CF3126" w14:paraId="55D304DE" w14:textId="77777777">
      <w:pPr>
        <w:rPr>
          <w:sz w:val="24"/>
        </w:rPr>
      </w:pPr>
      <w:r w:rsidRPr="009B00A7">
        <w:rPr>
          <w:sz w:val="24"/>
          <w:vertAlign w:val="superscript"/>
        </w:rPr>
        <w:t>xvii</w:t>
      </w:r>
      <w:r w:rsidR="00CF700C">
        <w:rPr>
          <w:sz w:val="24"/>
          <w:vertAlign w:val="superscript"/>
        </w:rPr>
        <w:t>i</w:t>
      </w:r>
      <w:r w:rsidRPr="009B00A7">
        <w:rPr>
          <w:sz w:val="24"/>
          <w:vertAlign w:val="superscript"/>
        </w:rPr>
        <w:t xml:space="preserve"> </w:t>
      </w:r>
      <w:r w:rsidR="00B016C0">
        <w:rPr>
          <w:sz w:val="24"/>
        </w:rPr>
        <w:t xml:space="preserve"> Estimate based upon the School Associated Violent Death Surveillance System OMB Package </w:t>
      </w:r>
      <w:r w:rsidRPr="00B016C0" w:rsidR="00B016C0">
        <w:rPr>
          <w:sz w:val="24"/>
        </w:rPr>
        <w:t>(SAVD-SS, OMB# 0920-0604).</w:t>
      </w:r>
    </w:p>
    <w:p w:rsidR="00795EDB" w:rsidP="00DC52E8" w:rsidRDefault="00795EDB" w14:paraId="1B6EA8F8" w14:textId="77777777">
      <w:pPr>
        <w:rPr>
          <w:sz w:val="24"/>
        </w:rPr>
      </w:pPr>
    </w:p>
    <w:p w:rsidRPr="00CB7F03" w:rsidR="00707F9F" w:rsidP="00494CEB" w:rsidRDefault="00795EDB" w14:paraId="7F54F048" w14:textId="77777777">
      <w:pPr>
        <w:rPr>
          <w:sz w:val="24"/>
        </w:rPr>
      </w:pPr>
      <w:r w:rsidRPr="00CF3126">
        <w:rPr>
          <w:sz w:val="24"/>
          <w:vertAlign w:val="superscript"/>
        </w:rPr>
        <w:t>x</w:t>
      </w:r>
      <w:r w:rsidR="00CF700C">
        <w:rPr>
          <w:sz w:val="24"/>
          <w:vertAlign w:val="superscript"/>
        </w:rPr>
        <w:t>ix</w:t>
      </w:r>
      <w:r w:rsidRPr="008B7A93">
        <w:rPr>
          <w:sz w:val="24"/>
        </w:rPr>
        <w:t xml:space="preserve"> Peterson C, Sussell A, Li J, Schumacher PK, Yeoman K, Stone DM. Suicide Rates by Industry and Occupation — National Violent Death Reporting System, 32 States, 2016. MMWR Mo</w:t>
      </w:r>
      <w:r w:rsidRPr="008006FF">
        <w:rPr>
          <w:sz w:val="24"/>
        </w:rPr>
        <w:t xml:space="preserve">rb Mortal Wkly Rep 2020;69:57–62. DOI: </w:t>
      </w:r>
      <w:hyperlink w:history="1" r:id="rId21">
        <w:r w:rsidRPr="001C6E5B">
          <w:rPr>
            <w:rStyle w:val="Hyperlink"/>
            <w:sz w:val="24"/>
          </w:rPr>
          <w:t>http://dx.doi.org/10.15585/mmwr.mm6903a1</w:t>
        </w:r>
      </w:hyperlink>
      <w:r>
        <w:rPr>
          <w:sz w:val="24"/>
        </w:rPr>
        <w:t xml:space="preserve"> (Estimate for protective service occupations: </w:t>
      </w:r>
      <w:hyperlink w:history="1" r:id="rId22">
        <w:r w:rsidRPr="003F4201">
          <w:rPr>
            <w:rStyle w:val="Hyperlink"/>
            <w:sz w:val="24"/>
          </w:rPr>
          <w:t>https://stacks.cdc.gov/view/cdc/84275</w:t>
        </w:r>
      </w:hyperlink>
      <w:r>
        <w:rPr>
          <w:sz w:val="24"/>
        </w:rPr>
        <w:t xml:space="preserve"> although all of these professions will not be included, and these data are from 32 states)</w:t>
      </w:r>
    </w:p>
    <w:sectPr w:rsidRPr="00CB7F03" w:rsidR="00707F9F" w:rsidSect="003712E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29129" w14:textId="77777777" w:rsidR="00561567" w:rsidRDefault="00561567">
      <w:r>
        <w:separator/>
      </w:r>
    </w:p>
  </w:endnote>
  <w:endnote w:type="continuationSeparator" w:id="0">
    <w:p w14:paraId="0143B579" w14:textId="77777777" w:rsidR="00561567" w:rsidRDefault="0056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swiss"/>
    <w:pitch w:val="variable"/>
    <w:sig w:usb0="E10002FF" w:usb1="5000ECFF" w:usb2="00000021" w:usb3="00000000" w:csb0="000001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41AA" w14:textId="77777777" w:rsidR="00631350" w:rsidRDefault="0063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718A3" w14:textId="77777777" w:rsidR="00631350" w:rsidRDefault="00631350">
    <w:pPr>
      <w:spacing w:line="240" w:lineRule="exact"/>
    </w:pPr>
  </w:p>
  <w:p w14:paraId="52490D24" w14:textId="77777777" w:rsidR="00631350" w:rsidRDefault="00631350">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Pr>
        <w:noProof/>
        <w:sz w:val="24"/>
      </w:rPr>
      <w:t>16</w:t>
    </w:r>
    <w:r>
      <w:rPr>
        <w:sz w:val="24"/>
      </w:rPr>
      <w:fldChar w:fldCharType="end"/>
    </w:r>
  </w:p>
  <w:p w14:paraId="5789F572" w14:textId="77777777" w:rsidR="00631350" w:rsidRDefault="00631350">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7F61" w14:textId="77777777" w:rsidR="00631350" w:rsidRDefault="00631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CBCF2" w14:textId="77777777" w:rsidR="00561567" w:rsidRDefault="00561567">
      <w:r>
        <w:separator/>
      </w:r>
    </w:p>
  </w:footnote>
  <w:footnote w:type="continuationSeparator" w:id="0">
    <w:p w14:paraId="0A63106D" w14:textId="77777777" w:rsidR="00561567" w:rsidRDefault="0056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0BE37" w14:textId="77777777" w:rsidR="00631350" w:rsidRDefault="0063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20EF0" w14:textId="77777777" w:rsidR="00631350" w:rsidRDefault="00631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0CFE" w14:textId="77777777" w:rsidR="00631350" w:rsidRDefault="00631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BB3000"/>
    <w:multiLevelType w:val="hybridMultilevel"/>
    <w:tmpl w:val="459C03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0D768F5"/>
    <w:multiLevelType w:val="hybridMultilevel"/>
    <w:tmpl w:val="15CA6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04B66"/>
    <w:multiLevelType w:val="hybridMultilevel"/>
    <w:tmpl w:val="A9C43B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357D14"/>
    <w:multiLevelType w:val="hybridMultilevel"/>
    <w:tmpl w:val="8F60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6" w15:restartNumberingAfterBreak="0">
    <w:nsid w:val="0AB73704"/>
    <w:multiLevelType w:val="hybridMultilevel"/>
    <w:tmpl w:val="A056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61A06"/>
    <w:multiLevelType w:val="hybridMultilevel"/>
    <w:tmpl w:val="52AE6294"/>
    <w:lvl w:ilvl="0" w:tplc="3612B5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F28A2"/>
    <w:multiLevelType w:val="hybridMultilevel"/>
    <w:tmpl w:val="D2A0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E3A80"/>
    <w:multiLevelType w:val="hybridMultilevel"/>
    <w:tmpl w:val="EB88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BB5F4F"/>
    <w:multiLevelType w:val="hybridMultilevel"/>
    <w:tmpl w:val="BB6477FA"/>
    <w:lvl w:ilvl="0" w:tplc="494655F6">
      <w:start w:val="1"/>
      <w:numFmt w:val="upperLetter"/>
      <w:lvlText w:val="%1."/>
      <w:lvlJc w:val="left"/>
      <w:pPr>
        <w:ind w:left="1440" w:hanging="360"/>
      </w:pPr>
      <w:rPr>
        <w:rFonts w:hint="default"/>
        <w:b w:val="0"/>
        <w:color w:val="auto"/>
      </w:rPr>
    </w:lvl>
    <w:lvl w:ilvl="1" w:tplc="33A4909C">
      <w:start w:val="1"/>
      <w:numFmt w:val="lowerRoman"/>
      <w:lvlText w:val="%2."/>
      <w:lvlJc w:val="right"/>
      <w:pPr>
        <w:ind w:left="2160" w:hanging="360"/>
      </w:pPr>
      <w:rPr>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FF3702"/>
    <w:multiLevelType w:val="hybridMultilevel"/>
    <w:tmpl w:val="FDE6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A6CDB"/>
    <w:multiLevelType w:val="hybridMultilevel"/>
    <w:tmpl w:val="4C8AE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41441B42"/>
    <w:multiLevelType w:val="hybridMultilevel"/>
    <w:tmpl w:val="D68A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513824"/>
    <w:multiLevelType w:val="hybridMultilevel"/>
    <w:tmpl w:val="02EA3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A9311A"/>
    <w:multiLevelType w:val="hybridMultilevel"/>
    <w:tmpl w:val="E72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4739B"/>
    <w:multiLevelType w:val="hybridMultilevel"/>
    <w:tmpl w:val="C7466BF4"/>
    <w:lvl w:ilvl="0" w:tplc="55C8665C">
      <w:start w:val="1"/>
      <w:numFmt w:val="upperLetter"/>
      <w:lvlText w:val="%1."/>
      <w:lvlJc w:val="left"/>
      <w:pPr>
        <w:tabs>
          <w:tab w:val="num" w:pos="960"/>
        </w:tabs>
        <w:ind w:left="960" w:hanging="60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AA358B1"/>
    <w:multiLevelType w:val="hybridMultilevel"/>
    <w:tmpl w:val="AA38D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503619"/>
    <w:multiLevelType w:val="hybridMultilevel"/>
    <w:tmpl w:val="AA3A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B111B6"/>
    <w:multiLevelType w:val="hybridMultilevel"/>
    <w:tmpl w:val="6F08E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0E0677"/>
    <w:multiLevelType w:val="hybridMultilevel"/>
    <w:tmpl w:val="49386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8837ED"/>
    <w:multiLevelType w:val="hybridMultilevel"/>
    <w:tmpl w:val="EA30F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8E097B"/>
    <w:multiLevelType w:val="hybridMultilevel"/>
    <w:tmpl w:val="C1C6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A7E5B"/>
    <w:multiLevelType w:val="hybridMultilevel"/>
    <w:tmpl w:val="EE56DBD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2BB4995"/>
    <w:multiLevelType w:val="hybridMultilevel"/>
    <w:tmpl w:val="15CA6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A6D8F"/>
    <w:multiLevelType w:val="hybridMultilevel"/>
    <w:tmpl w:val="1422BD90"/>
    <w:lvl w:ilvl="0" w:tplc="D982EF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D4FFE"/>
    <w:multiLevelType w:val="hybridMultilevel"/>
    <w:tmpl w:val="3934D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525BAC"/>
    <w:multiLevelType w:val="hybridMultilevel"/>
    <w:tmpl w:val="61AEB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661948"/>
    <w:multiLevelType w:val="hybridMultilevel"/>
    <w:tmpl w:val="32CC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5"/>
  </w:num>
  <w:num w:numId="4">
    <w:abstractNumId w:val="13"/>
  </w:num>
  <w:num w:numId="5">
    <w:abstractNumId w:val="3"/>
  </w:num>
  <w:num w:numId="6">
    <w:abstractNumId w:val="26"/>
  </w:num>
  <w:num w:numId="7">
    <w:abstractNumId w:val="12"/>
  </w:num>
  <w:num w:numId="8">
    <w:abstractNumId w:val="7"/>
  </w:num>
  <w:num w:numId="9">
    <w:abstractNumId w:val="10"/>
  </w:num>
  <w:num w:numId="10">
    <w:abstractNumId w:val="22"/>
  </w:num>
  <w:num w:numId="11">
    <w:abstractNumId w:val="19"/>
  </w:num>
  <w:num w:numId="12">
    <w:abstractNumId w:val="16"/>
  </w:num>
  <w:num w:numId="13">
    <w:abstractNumId w:val="21"/>
  </w:num>
  <w:num w:numId="14">
    <w:abstractNumId w:val="28"/>
  </w:num>
  <w:num w:numId="15">
    <w:abstractNumId w:val="8"/>
  </w:num>
  <w:num w:numId="16">
    <w:abstractNumId w:val="25"/>
  </w:num>
  <w:num w:numId="17">
    <w:abstractNumId w:val="2"/>
  </w:num>
  <w:num w:numId="18">
    <w:abstractNumId w:val="29"/>
  </w:num>
  <w:num w:numId="19">
    <w:abstractNumId w:val="1"/>
  </w:num>
  <w:num w:numId="20">
    <w:abstractNumId w:val="20"/>
  </w:num>
  <w:num w:numId="21">
    <w:abstractNumId w:val="6"/>
  </w:num>
  <w:num w:numId="22">
    <w:abstractNumId w:val="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lvlOverride w:ilvl="3"/>
    <w:lvlOverride w:ilvl="4"/>
    <w:lvlOverride w:ilvl="5"/>
    <w:lvlOverride w:ilvl="6"/>
    <w:lvlOverride w:ilvl="7"/>
    <w:lvlOverride w:ilvl="8"/>
  </w:num>
  <w:num w:numId="25">
    <w:abstractNumId w:val="27"/>
  </w:num>
  <w:num w:numId="26">
    <w:abstractNumId w:val="14"/>
  </w:num>
  <w:num w:numId="27">
    <w:abstractNumId w:val="18"/>
  </w:num>
  <w:num w:numId="28">
    <w:abstractNumId w:val="15"/>
  </w:num>
  <w:num w:numId="29">
    <w:abstractNumId w:val="11"/>
  </w:num>
  <w:num w:numId="30">
    <w:abstractNumId w:val="17"/>
  </w:num>
  <w:num w:numId="3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F89"/>
    <w:rsid w:val="000014A4"/>
    <w:rsid w:val="00003749"/>
    <w:rsid w:val="00006535"/>
    <w:rsid w:val="000069F5"/>
    <w:rsid w:val="00007979"/>
    <w:rsid w:val="00010E1D"/>
    <w:rsid w:val="00012AA1"/>
    <w:rsid w:val="00012C8A"/>
    <w:rsid w:val="00014565"/>
    <w:rsid w:val="00015E96"/>
    <w:rsid w:val="0001618A"/>
    <w:rsid w:val="00022C32"/>
    <w:rsid w:val="00023360"/>
    <w:rsid w:val="000238B7"/>
    <w:rsid w:val="00026862"/>
    <w:rsid w:val="000330E8"/>
    <w:rsid w:val="0003313F"/>
    <w:rsid w:val="000332B1"/>
    <w:rsid w:val="00033F92"/>
    <w:rsid w:val="00034ACC"/>
    <w:rsid w:val="00034B77"/>
    <w:rsid w:val="00035342"/>
    <w:rsid w:val="000373BD"/>
    <w:rsid w:val="00040A90"/>
    <w:rsid w:val="00041CC6"/>
    <w:rsid w:val="000428CA"/>
    <w:rsid w:val="00042BBA"/>
    <w:rsid w:val="000433F5"/>
    <w:rsid w:val="0004388C"/>
    <w:rsid w:val="00043A2D"/>
    <w:rsid w:val="00044EFB"/>
    <w:rsid w:val="00046E00"/>
    <w:rsid w:val="00055A6F"/>
    <w:rsid w:val="0005675A"/>
    <w:rsid w:val="00057829"/>
    <w:rsid w:val="00060BAC"/>
    <w:rsid w:val="00062E41"/>
    <w:rsid w:val="00063D09"/>
    <w:rsid w:val="00064064"/>
    <w:rsid w:val="00066E9D"/>
    <w:rsid w:val="00067644"/>
    <w:rsid w:val="000704A3"/>
    <w:rsid w:val="00070D7B"/>
    <w:rsid w:val="00070F72"/>
    <w:rsid w:val="000714A3"/>
    <w:rsid w:val="0007287B"/>
    <w:rsid w:val="00072A7D"/>
    <w:rsid w:val="000735DE"/>
    <w:rsid w:val="00076E97"/>
    <w:rsid w:val="00077AAE"/>
    <w:rsid w:val="000812F8"/>
    <w:rsid w:val="00081714"/>
    <w:rsid w:val="00084365"/>
    <w:rsid w:val="00084EC6"/>
    <w:rsid w:val="00085193"/>
    <w:rsid w:val="00086AC5"/>
    <w:rsid w:val="00087F2F"/>
    <w:rsid w:val="000900B0"/>
    <w:rsid w:val="00090DCE"/>
    <w:rsid w:val="00090EB2"/>
    <w:rsid w:val="00092D88"/>
    <w:rsid w:val="00093F89"/>
    <w:rsid w:val="00094281"/>
    <w:rsid w:val="000969AD"/>
    <w:rsid w:val="000A04E1"/>
    <w:rsid w:val="000A0E96"/>
    <w:rsid w:val="000A2B46"/>
    <w:rsid w:val="000A2F6F"/>
    <w:rsid w:val="000A3641"/>
    <w:rsid w:val="000A76B4"/>
    <w:rsid w:val="000B1AF5"/>
    <w:rsid w:val="000B2363"/>
    <w:rsid w:val="000B2C68"/>
    <w:rsid w:val="000B3F2C"/>
    <w:rsid w:val="000B4D41"/>
    <w:rsid w:val="000B6408"/>
    <w:rsid w:val="000B6E1F"/>
    <w:rsid w:val="000B700B"/>
    <w:rsid w:val="000B7CCA"/>
    <w:rsid w:val="000C44F8"/>
    <w:rsid w:val="000C5936"/>
    <w:rsid w:val="000C6345"/>
    <w:rsid w:val="000C636D"/>
    <w:rsid w:val="000D0079"/>
    <w:rsid w:val="000D0FE5"/>
    <w:rsid w:val="000D33B4"/>
    <w:rsid w:val="000D43ED"/>
    <w:rsid w:val="000D4B46"/>
    <w:rsid w:val="000D5B59"/>
    <w:rsid w:val="000D6869"/>
    <w:rsid w:val="000D6B70"/>
    <w:rsid w:val="000D74A1"/>
    <w:rsid w:val="000E233B"/>
    <w:rsid w:val="000E30F4"/>
    <w:rsid w:val="000E383C"/>
    <w:rsid w:val="000E655A"/>
    <w:rsid w:val="000E658C"/>
    <w:rsid w:val="000F09C5"/>
    <w:rsid w:val="000F2152"/>
    <w:rsid w:val="000F2622"/>
    <w:rsid w:val="000F267A"/>
    <w:rsid w:val="000F5DC2"/>
    <w:rsid w:val="000F5EC4"/>
    <w:rsid w:val="000F6452"/>
    <w:rsid w:val="000F7167"/>
    <w:rsid w:val="000F7914"/>
    <w:rsid w:val="001006C1"/>
    <w:rsid w:val="00103E92"/>
    <w:rsid w:val="001052B8"/>
    <w:rsid w:val="0010709D"/>
    <w:rsid w:val="00107563"/>
    <w:rsid w:val="0011121C"/>
    <w:rsid w:val="00111B8C"/>
    <w:rsid w:val="00112F0B"/>
    <w:rsid w:val="00113525"/>
    <w:rsid w:val="00113CC2"/>
    <w:rsid w:val="0011433E"/>
    <w:rsid w:val="00114C17"/>
    <w:rsid w:val="00114EB5"/>
    <w:rsid w:val="001159D4"/>
    <w:rsid w:val="00116A25"/>
    <w:rsid w:val="00117C61"/>
    <w:rsid w:val="0012044C"/>
    <w:rsid w:val="00121587"/>
    <w:rsid w:val="00122B58"/>
    <w:rsid w:val="00131C40"/>
    <w:rsid w:val="00133EFB"/>
    <w:rsid w:val="001341F3"/>
    <w:rsid w:val="00134FD8"/>
    <w:rsid w:val="0013529D"/>
    <w:rsid w:val="001406E1"/>
    <w:rsid w:val="001410C9"/>
    <w:rsid w:val="0014160B"/>
    <w:rsid w:val="00142097"/>
    <w:rsid w:val="001424A6"/>
    <w:rsid w:val="00142C7A"/>
    <w:rsid w:val="00143184"/>
    <w:rsid w:val="001509CD"/>
    <w:rsid w:val="0015267C"/>
    <w:rsid w:val="00153906"/>
    <w:rsid w:val="00153B27"/>
    <w:rsid w:val="00162AFC"/>
    <w:rsid w:val="00166659"/>
    <w:rsid w:val="00166AF6"/>
    <w:rsid w:val="00171BE2"/>
    <w:rsid w:val="00171D71"/>
    <w:rsid w:val="001720E0"/>
    <w:rsid w:val="00172465"/>
    <w:rsid w:val="00175706"/>
    <w:rsid w:val="00175734"/>
    <w:rsid w:val="0018053E"/>
    <w:rsid w:val="00180C6D"/>
    <w:rsid w:val="00182147"/>
    <w:rsid w:val="00183F88"/>
    <w:rsid w:val="001843DB"/>
    <w:rsid w:val="0018597E"/>
    <w:rsid w:val="00185CE2"/>
    <w:rsid w:val="00190437"/>
    <w:rsid w:val="00192397"/>
    <w:rsid w:val="00192E59"/>
    <w:rsid w:val="001935C5"/>
    <w:rsid w:val="00194006"/>
    <w:rsid w:val="001941C3"/>
    <w:rsid w:val="001947FB"/>
    <w:rsid w:val="00194C29"/>
    <w:rsid w:val="00194EC1"/>
    <w:rsid w:val="00195F06"/>
    <w:rsid w:val="001966E6"/>
    <w:rsid w:val="00196DBC"/>
    <w:rsid w:val="00196FE8"/>
    <w:rsid w:val="001A07DC"/>
    <w:rsid w:val="001A0DF6"/>
    <w:rsid w:val="001A2D7E"/>
    <w:rsid w:val="001A3347"/>
    <w:rsid w:val="001A3506"/>
    <w:rsid w:val="001A5C50"/>
    <w:rsid w:val="001A6523"/>
    <w:rsid w:val="001A7D01"/>
    <w:rsid w:val="001B10D5"/>
    <w:rsid w:val="001B1941"/>
    <w:rsid w:val="001B449C"/>
    <w:rsid w:val="001B54BE"/>
    <w:rsid w:val="001B7C72"/>
    <w:rsid w:val="001C04E8"/>
    <w:rsid w:val="001C2321"/>
    <w:rsid w:val="001C26B3"/>
    <w:rsid w:val="001C3EEF"/>
    <w:rsid w:val="001D088A"/>
    <w:rsid w:val="001D0E07"/>
    <w:rsid w:val="001D11DC"/>
    <w:rsid w:val="001D25CD"/>
    <w:rsid w:val="001D30C8"/>
    <w:rsid w:val="001D5857"/>
    <w:rsid w:val="001D72AD"/>
    <w:rsid w:val="001D7D94"/>
    <w:rsid w:val="001E3864"/>
    <w:rsid w:val="001E3CD0"/>
    <w:rsid w:val="001E71B5"/>
    <w:rsid w:val="001F10A5"/>
    <w:rsid w:val="001F530B"/>
    <w:rsid w:val="001F5A44"/>
    <w:rsid w:val="001F6A94"/>
    <w:rsid w:val="0020035C"/>
    <w:rsid w:val="0020070D"/>
    <w:rsid w:val="00200953"/>
    <w:rsid w:val="00200955"/>
    <w:rsid w:val="00202927"/>
    <w:rsid w:val="0020322B"/>
    <w:rsid w:val="00203414"/>
    <w:rsid w:val="002035D2"/>
    <w:rsid w:val="00206125"/>
    <w:rsid w:val="002070F7"/>
    <w:rsid w:val="002101BF"/>
    <w:rsid w:val="00212CB7"/>
    <w:rsid w:val="00216A45"/>
    <w:rsid w:val="00216D02"/>
    <w:rsid w:val="0022080E"/>
    <w:rsid w:val="002214DB"/>
    <w:rsid w:val="002223E8"/>
    <w:rsid w:val="00223ABC"/>
    <w:rsid w:val="00225B25"/>
    <w:rsid w:val="00230343"/>
    <w:rsid w:val="00230990"/>
    <w:rsid w:val="00230CB9"/>
    <w:rsid w:val="00230E09"/>
    <w:rsid w:val="00231CC3"/>
    <w:rsid w:val="00233795"/>
    <w:rsid w:val="00236769"/>
    <w:rsid w:val="0024041E"/>
    <w:rsid w:val="002412CA"/>
    <w:rsid w:val="002469F7"/>
    <w:rsid w:val="002518DD"/>
    <w:rsid w:val="00252923"/>
    <w:rsid w:val="00253A4E"/>
    <w:rsid w:val="00254A16"/>
    <w:rsid w:val="0025745A"/>
    <w:rsid w:val="002606E7"/>
    <w:rsid w:val="00260769"/>
    <w:rsid w:val="00261A29"/>
    <w:rsid w:val="0026285F"/>
    <w:rsid w:val="0026452A"/>
    <w:rsid w:val="00266A72"/>
    <w:rsid w:val="00273066"/>
    <w:rsid w:val="002734A3"/>
    <w:rsid w:val="00274926"/>
    <w:rsid w:val="00274D46"/>
    <w:rsid w:val="00275B16"/>
    <w:rsid w:val="002770AA"/>
    <w:rsid w:val="00277615"/>
    <w:rsid w:val="00283242"/>
    <w:rsid w:val="002849A9"/>
    <w:rsid w:val="00286001"/>
    <w:rsid w:val="0028647B"/>
    <w:rsid w:val="00293568"/>
    <w:rsid w:val="0029374C"/>
    <w:rsid w:val="002957C9"/>
    <w:rsid w:val="00297457"/>
    <w:rsid w:val="002A0427"/>
    <w:rsid w:val="002A0780"/>
    <w:rsid w:val="002A16AF"/>
    <w:rsid w:val="002A25DD"/>
    <w:rsid w:val="002A2C47"/>
    <w:rsid w:val="002A4C4E"/>
    <w:rsid w:val="002B147C"/>
    <w:rsid w:val="002B2668"/>
    <w:rsid w:val="002B2C5B"/>
    <w:rsid w:val="002B52D4"/>
    <w:rsid w:val="002B57AF"/>
    <w:rsid w:val="002B67D4"/>
    <w:rsid w:val="002B700B"/>
    <w:rsid w:val="002C023C"/>
    <w:rsid w:val="002C07BB"/>
    <w:rsid w:val="002C1F9F"/>
    <w:rsid w:val="002C213F"/>
    <w:rsid w:val="002C36FB"/>
    <w:rsid w:val="002D153A"/>
    <w:rsid w:val="002D1A9C"/>
    <w:rsid w:val="002D285D"/>
    <w:rsid w:val="002D6AFC"/>
    <w:rsid w:val="002D7B3F"/>
    <w:rsid w:val="002E2490"/>
    <w:rsid w:val="002E3089"/>
    <w:rsid w:val="002E540D"/>
    <w:rsid w:val="002E64CC"/>
    <w:rsid w:val="002E7589"/>
    <w:rsid w:val="002F39D9"/>
    <w:rsid w:val="002F3BCC"/>
    <w:rsid w:val="002F4B24"/>
    <w:rsid w:val="002F508B"/>
    <w:rsid w:val="002F527C"/>
    <w:rsid w:val="002F5FDE"/>
    <w:rsid w:val="003030E0"/>
    <w:rsid w:val="00304EFE"/>
    <w:rsid w:val="00307377"/>
    <w:rsid w:val="003129EC"/>
    <w:rsid w:val="0031351A"/>
    <w:rsid w:val="00314835"/>
    <w:rsid w:val="00314DB7"/>
    <w:rsid w:val="00315F3F"/>
    <w:rsid w:val="003170A0"/>
    <w:rsid w:val="00324BFA"/>
    <w:rsid w:val="0032510B"/>
    <w:rsid w:val="003270C8"/>
    <w:rsid w:val="00331834"/>
    <w:rsid w:val="0033240F"/>
    <w:rsid w:val="0033502E"/>
    <w:rsid w:val="0034161A"/>
    <w:rsid w:val="003448EC"/>
    <w:rsid w:val="00344CDE"/>
    <w:rsid w:val="003452FF"/>
    <w:rsid w:val="0034740E"/>
    <w:rsid w:val="00350F32"/>
    <w:rsid w:val="003511E1"/>
    <w:rsid w:val="0035299D"/>
    <w:rsid w:val="003540D9"/>
    <w:rsid w:val="00356431"/>
    <w:rsid w:val="00366240"/>
    <w:rsid w:val="0036672D"/>
    <w:rsid w:val="003712EB"/>
    <w:rsid w:val="00371984"/>
    <w:rsid w:val="003727FB"/>
    <w:rsid w:val="00373B77"/>
    <w:rsid w:val="0037758A"/>
    <w:rsid w:val="00377BE5"/>
    <w:rsid w:val="003824C0"/>
    <w:rsid w:val="003825AD"/>
    <w:rsid w:val="00382789"/>
    <w:rsid w:val="00383FA4"/>
    <w:rsid w:val="003863F8"/>
    <w:rsid w:val="003871C9"/>
    <w:rsid w:val="00390358"/>
    <w:rsid w:val="003918F3"/>
    <w:rsid w:val="003968F1"/>
    <w:rsid w:val="003A038D"/>
    <w:rsid w:val="003A6C0E"/>
    <w:rsid w:val="003B2DA8"/>
    <w:rsid w:val="003B4C6B"/>
    <w:rsid w:val="003C09D2"/>
    <w:rsid w:val="003C0AA2"/>
    <w:rsid w:val="003C0EBE"/>
    <w:rsid w:val="003C162B"/>
    <w:rsid w:val="003C3384"/>
    <w:rsid w:val="003C450F"/>
    <w:rsid w:val="003C454B"/>
    <w:rsid w:val="003C4C07"/>
    <w:rsid w:val="003C5897"/>
    <w:rsid w:val="003C5BAA"/>
    <w:rsid w:val="003C5EBF"/>
    <w:rsid w:val="003D0A37"/>
    <w:rsid w:val="003D124E"/>
    <w:rsid w:val="003D2067"/>
    <w:rsid w:val="003D2A27"/>
    <w:rsid w:val="003D5AC2"/>
    <w:rsid w:val="003E1D50"/>
    <w:rsid w:val="003E1E0B"/>
    <w:rsid w:val="003E27E9"/>
    <w:rsid w:val="003E3A1F"/>
    <w:rsid w:val="003E4BC0"/>
    <w:rsid w:val="003E7A57"/>
    <w:rsid w:val="003F00A6"/>
    <w:rsid w:val="003F11F0"/>
    <w:rsid w:val="003F1FE2"/>
    <w:rsid w:val="003F41F5"/>
    <w:rsid w:val="003F6467"/>
    <w:rsid w:val="003F770B"/>
    <w:rsid w:val="00401350"/>
    <w:rsid w:val="004018AA"/>
    <w:rsid w:val="00402206"/>
    <w:rsid w:val="00402554"/>
    <w:rsid w:val="004025C3"/>
    <w:rsid w:val="00404815"/>
    <w:rsid w:val="00404AAF"/>
    <w:rsid w:val="004051F2"/>
    <w:rsid w:val="00407869"/>
    <w:rsid w:val="00411473"/>
    <w:rsid w:val="0041355F"/>
    <w:rsid w:val="00415145"/>
    <w:rsid w:val="00416B4A"/>
    <w:rsid w:val="00416F8D"/>
    <w:rsid w:val="0042256F"/>
    <w:rsid w:val="00422D6B"/>
    <w:rsid w:val="00422F07"/>
    <w:rsid w:val="00424F7F"/>
    <w:rsid w:val="00425F99"/>
    <w:rsid w:val="004268B9"/>
    <w:rsid w:val="00426CD7"/>
    <w:rsid w:val="004270D0"/>
    <w:rsid w:val="00433AE2"/>
    <w:rsid w:val="004352F9"/>
    <w:rsid w:val="0043674A"/>
    <w:rsid w:val="00441D23"/>
    <w:rsid w:val="004425C7"/>
    <w:rsid w:val="00443FA7"/>
    <w:rsid w:val="004445F3"/>
    <w:rsid w:val="00446C7B"/>
    <w:rsid w:val="0045161D"/>
    <w:rsid w:val="00451827"/>
    <w:rsid w:val="0045384B"/>
    <w:rsid w:val="004548D2"/>
    <w:rsid w:val="00457915"/>
    <w:rsid w:val="00457B82"/>
    <w:rsid w:val="004606CC"/>
    <w:rsid w:val="00461682"/>
    <w:rsid w:val="00462640"/>
    <w:rsid w:val="00463DBF"/>
    <w:rsid w:val="0046411D"/>
    <w:rsid w:val="0046477E"/>
    <w:rsid w:val="00464F0A"/>
    <w:rsid w:val="00466E62"/>
    <w:rsid w:val="00471130"/>
    <w:rsid w:val="004715FA"/>
    <w:rsid w:val="00471C10"/>
    <w:rsid w:val="004747FF"/>
    <w:rsid w:val="00474899"/>
    <w:rsid w:val="00477256"/>
    <w:rsid w:val="0048051D"/>
    <w:rsid w:val="004810ED"/>
    <w:rsid w:val="0048288A"/>
    <w:rsid w:val="00482CB9"/>
    <w:rsid w:val="00483885"/>
    <w:rsid w:val="00483E5E"/>
    <w:rsid w:val="00485E81"/>
    <w:rsid w:val="00485EEB"/>
    <w:rsid w:val="00486AB8"/>
    <w:rsid w:val="004873C0"/>
    <w:rsid w:val="00490275"/>
    <w:rsid w:val="0049228D"/>
    <w:rsid w:val="00493075"/>
    <w:rsid w:val="00493623"/>
    <w:rsid w:val="00494CEB"/>
    <w:rsid w:val="004A0C84"/>
    <w:rsid w:val="004A2713"/>
    <w:rsid w:val="004B5BB2"/>
    <w:rsid w:val="004B6E75"/>
    <w:rsid w:val="004C0354"/>
    <w:rsid w:val="004C1AA3"/>
    <w:rsid w:val="004C2DC9"/>
    <w:rsid w:val="004C4905"/>
    <w:rsid w:val="004C59BA"/>
    <w:rsid w:val="004C66D6"/>
    <w:rsid w:val="004C7738"/>
    <w:rsid w:val="004C774B"/>
    <w:rsid w:val="004D01C7"/>
    <w:rsid w:val="004D0CFD"/>
    <w:rsid w:val="004D1A94"/>
    <w:rsid w:val="004D4C85"/>
    <w:rsid w:val="004D6A6B"/>
    <w:rsid w:val="004E1314"/>
    <w:rsid w:val="004E28D5"/>
    <w:rsid w:val="004E3D49"/>
    <w:rsid w:val="004E736B"/>
    <w:rsid w:val="004F1F17"/>
    <w:rsid w:val="004F7B46"/>
    <w:rsid w:val="00500BF6"/>
    <w:rsid w:val="0050145B"/>
    <w:rsid w:val="00501543"/>
    <w:rsid w:val="005031BD"/>
    <w:rsid w:val="00503F85"/>
    <w:rsid w:val="0050438D"/>
    <w:rsid w:val="005048DC"/>
    <w:rsid w:val="00505F5B"/>
    <w:rsid w:val="0050631C"/>
    <w:rsid w:val="00506D4F"/>
    <w:rsid w:val="00507A0C"/>
    <w:rsid w:val="00510AF4"/>
    <w:rsid w:val="005126B7"/>
    <w:rsid w:val="005137B5"/>
    <w:rsid w:val="005138FC"/>
    <w:rsid w:val="00514176"/>
    <w:rsid w:val="00515BB0"/>
    <w:rsid w:val="005162C0"/>
    <w:rsid w:val="005174B7"/>
    <w:rsid w:val="005220AF"/>
    <w:rsid w:val="00522410"/>
    <w:rsid w:val="00522A94"/>
    <w:rsid w:val="00523A80"/>
    <w:rsid w:val="005247AA"/>
    <w:rsid w:val="00524EF6"/>
    <w:rsid w:val="00526883"/>
    <w:rsid w:val="005268DB"/>
    <w:rsid w:val="00527286"/>
    <w:rsid w:val="005318D3"/>
    <w:rsid w:val="005361AE"/>
    <w:rsid w:val="005365DA"/>
    <w:rsid w:val="00540843"/>
    <w:rsid w:val="00544B03"/>
    <w:rsid w:val="00545954"/>
    <w:rsid w:val="00546A90"/>
    <w:rsid w:val="00551C6D"/>
    <w:rsid w:val="00555B49"/>
    <w:rsid w:val="00556338"/>
    <w:rsid w:val="00556483"/>
    <w:rsid w:val="00556819"/>
    <w:rsid w:val="00556DF1"/>
    <w:rsid w:val="005572C7"/>
    <w:rsid w:val="005602D8"/>
    <w:rsid w:val="00561567"/>
    <w:rsid w:val="005619FC"/>
    <w:rsid w:val="00564E11"/>
    <w:rsid w:val="00565D64"/>
    <w:rsid w:val="00566139"/>
    <w:rsid w:val="00572471"/>
    <w:rsid w:val="0057320F"/>
    <w:rsid w:val="005745B7"/>
    <w:rsid w:val="00580ECF"/>
    <w:rsid w:val="00583E8E"/>
    <w:rsid w:val="00584C94"/>
    <w:rsid w:val="00584CDA"/>
    <w:rsid w:val="00586838"/>
    <w:rsid w:val="00590528"/>
    <w:rsid w:val="00590963"/>
    <w:rsid w:val="00592211"/>
    <w:rsid w:val="0059564B"/>
    <w:rsid w:val="00595DAE"/>
    <w:rsid w:val="00596F4A"/>
    <w:rsid w:val="005979FB"/>
    <w:rsid w:val="005A2D7A"/>
    <w:rsid w:val="005A30CB"/>
    <w:rsid w:val="005A4771"/>
    <w:rsid w:val="005A69BB"/>
    <w:rsid w:val="005B1193"/>
    <w:rsid w:val="005B48CE"/>
    <w:rsid w:val="005B5C77"/>
    <w:rsid w:val="005C1388"/>
    <w:rsid w:val="005C2DD1"/>
    <w:rsid w:val="005C5338"/>
    <w:rsid w:val="005C6740"/>
    <w:rsid w:val="005C70E9"/>
    <w:rsid w:val="005C7503"/>
    <w:rsid w:val="005D305E"/>
    <w:rsid w:val="005D3D59"/>
    <w:rsid w:val="005D603E"/>
    <w:rsid w:val="005D70CF"/>
    <w:rsid w:val="005D755E"/>
    <w:rsid w:val="005E06A2"/>
    <w:rsid w:val="005E0D1C"/>
    <w:rsid w:val="005E2DB8"/>
    <w:rsid w:val="005E36F1"/>
    <w:rsid w:val="005E37C6"/>
    <w:rsid w:val="005E54B8"/>
    <w:rsid w:val="005E74E5"/>
    <w:rsid w:val="005F0163"/>
    <w:rsid w:val="005F193B"/>
    <w:rsid w:val="005F1F92"/>
    <w:rsid w:val="005F53ED"/>
    <w:rsid w:val="005F6669"/>
    <w:rsid w:val="005F6830"/>
    <w:rsid w:val="005F729B"/>
    <w:rsid w:val="0061053D"/>
    <w:rsid w:val="00611F4B"/>
    <w:rsid w:val="00612337"/>
    <w:rsid w:val="00612465"/>
    <w:rsid w:val="00615B7C"/>
    <w:rsid w:val="00616867"/>
    <w:rsid w:val="00617390"/>
    <w:rsid w:val="006204C7"/>
    <w:rsid w:val="0062066D"/>
    <w:rsid w:val="0062179C"/>
    <w:rsid w:val="00623FDA"/>
    <w:rsid w:val="00624A91"/>
    <w:rsid w:val="0062532B"/>
    <w:rsid w:val="00625E0F"/>
    <w:rsid w:val="00627755"/>
    <w:rsid w:val="00627E1F"/>
    <w:rsid w:val="00630DFD"/>
    <w:rsid w:val="00631350"/>
    <w:rsid w:val="00631F79"/>
    <w:rsid w:val="00634862"/>
    <w:rsid w:val="006357D6"/>
    <w:rsid w:val="00637A6E"/>
    <w:rsid w:val="006516F9"/>
    <w:rsid w:val="00651FFB"/>
    <w:rsid w:val="00652864"/>
    <w:rsid w:val="00655718"/>
    <w:rsid w:val="00656086"/>
    <w:rsid w:val="00656AFE"/>
    <w:rsid w:val="00660508"/>
    <w:rsid w:val="006606C8"/>
    <w:rsid w:val="00660A4E"/>
    <w:rsid w:val="00663E1D"/>
    <w:rsid w:val="00664823"/>
    <w:rsid w:val="00664B81"/>
    <w:rsid w:val="00666362"/>
    <w:rsid w:val="00666E17"/>
    <w:rsid w:val="006702C6"/>
    <w:rsid w:val="00671CAC"/>
    <w:rsid w:val="00672302"/>
    <w:rsid w:val="00672497"/>
    <w:rsid w:val="00672679"/>
    <w:rsid w:val="006729F3"/>
    <w:rsid w:val="00675F47"/>
    <w:rsid w:val="00676CA9"/>
    <w:rsid w:val="006770D4"/>
    <w:rsid w:val="00680136"/>
    <w:rsid w:val="00680307"/>
    <w:rsid w:val="00681956"/>
    <w:rsid w:val="00683702"/>
    <w:rsid w:val="00684472"/>
    <w:rsid w:val="006848DF"/>
    <w:rsid w:val="00687BBD"/>
    <w:rsid w:val="00692276"/>
    <w:rsid w:val="0069480F"/>
    <w:rsid w:val="00697F7B"/>
    <w:rsid w:val="006A5441"/>
    <w:rsid w:val="006A57F1"/>
    <w:rsid w:val="006A6B3E"/>
    <w:rsid w:val="006A7196"/>
    <w:rsid w:val="006A7EB6"/>
    <w:rsid w:val="006B001A"/>
    <w:rsid w:val="006B0A5E"/>
    <w:rsid w:val="006B15B2"/>
    <w:rsid w:val="006B26BA"/>
    <w:rsid w:val="006B2F41"/>
    <w:rsid w:val="006B5064"/>
    <w:rsid w:val="006B6125"/>
    <w:rsid w:val="006C1227"/>
    <w:rsid w:val="006C403A"/>
    <w:rsid w:val="006C4541"/>
    <w:rsid w:val="006C5528"/>
    <w:rsid w:val="006C6BD2"/>
    <w:rsid w:val="006C70F5"/>
    <w:rsid w:val="006D0299"/>
    <w:rsid w:val="006D22BF"/>
    <w:rsid w:val="006D277F"/>
    <w:rsid w:val="006D3B3A"/>
    <w:rsid w:val="006E12C3"/>
    <w:rsid w:val="006E16AB"/>
    <w:rsid w:val="006E1E52"/>
    <w:rsid w:val="006E2E9D"/>
    <w:rsid w:val="006E2F94"/>
    <w:rsid w:val="006E33A0"/>
    <w:rsid w:val="006E36E3"/>
    <w:rsid w:val="006E4935"/>
    <w:rsid w:val="006E624D"/>
    <w:rsid w:val="006E7FA7"/>
    <w:rsid w:val="006F0F93"/>
    <w:rsid w:val="006F372B"/>
    <w:rsid w:val="006F4350"/>
    <w:rsid w:val="006F526B"/>
    <w:rsid w:val="006F5A09"/>
    <w:rsid w:val="006F6BE0"/>
    <w:rsid w:val="006F76D8"/>
    <w:rsid w:val="00700944"/>
    <w:rsid w:val="00702555"/>
    <w:rsid w:val="00702925"/>
    <w:rsid w:val="00704E07"/>
    <w:rsid w:val="00705C93"/>
    <w:rsid w:val="007063D1"/>
    <w:rsid w:val="00707F9F"/>
    <w:rsid w:val="00710911"/>
    <w:rsid w:val="00713E0C"/>
    <w:rsid w:val="007145F2"/>
    <w:rsid w:val="007176AB"/>
    <w:rsid w:val="0072305D"/>
    <w:rsid w:val="00726F91"/>
    <w:rsid w:val="00727D9B"/>
    <w:rsid w:val="00731AEA"/>
    <w:rsid w:val="00732E1D"/>
    <w:rsid w:val="00733009"/>
    <w:rsid w:val="0073394B"/>
    <w:rsid w:val="00735D26"/>
    <w:rsid w:val="007377C4"/>
    <w:rsid w:val="00737847"/>
    <w:rsid w:val="00740875"/>
    <w:rsid w:val="007412EB"/>
    <w:rsid w:val="00743E80"/>
    <w:rsid w:val="007443C3"/>
    <w:rsid w:val="0074589D"/>
    <w:rsid w:val="007459CF"/>
    <w:rsid w:val="00750E67"/>
    <w:rsid w:val="00755603"/>
    <w:rsid w:val="00755D90"/>
    <w:rsid w:val="007573FF"/>
    <w:rsid w:val="007602BB"/>
    <w:rsid w:val="0076143B"/>
    <w:rsid w:val="00762605"/>
    <w:rsid w:val="0076468E"/>
    <w:rsid w:val="00765BF8"/>
    <w:rsid w:val="0077037E"/>
    <w:rsid w:val="00771EBA"/>
    <w:rsid w:val="0077414E"/>
    <w:rsid w:val="0077643E"/>
    <w:rsid w:val="00776D75"/>
    <w:rsid w:val="00780346"/>
    <w:rsid w:val="00780BC8"/>
    <w:rsid w:val="007818ED"/>
    <w:rsid w:val="00782D58"/>
    <w:rsid w:val="00785B68"/>
    <w:rsid w:val="00786181"/>
    <w:rsid w:val="0079179B"/>
    <w:rsid w:val="00791BED"/>
    <w:rsid w:val="007922CE"/>
    <w:rsid w:val="00792F03"/>
    <w:rsid w:val="00795EDB"/>
    <w:rsid w:val="00796709"/>
    <w:rsid w:val="00796C57"/>
    <w:rsid w:val="00796CEF"/>
    <w:rsid w:val="0079762A"/>
    <w:rsid w:val="0079796A"/>
    <w:rsid w:val="007A1020"/>
    <w:rsid w:val="007A2053"/>
    <w:rsid w:val="007A2C33"/>
    <w:rsid w:val="007A4A30"/>
    <w:rsid w:val="007B1598"/>
    <w:rsid w:val="007B3A4E"/>
    <w:rsid w:val="007B43E0"/>
    <w:rsid w:val="007B4DE6"/>
    <w:rsid w:val="007B7D55"/>
    <w:rsid w:val="007C0DA0"/>
    <w:rsid w:val="007C2C60"/>
    <w:rsid w:val="007C3677"/>
    <w:rsid w:val="007C4BD3"/>
    <w:rsid w:val="007D1DFF"/>
    <w:rsid w:val="007D3094"/>
    <w:rsid w:val="007D586F"/>
    <w:rsid w:val="007E0BE1"/>
    <w:rsid w:val="007E1063"/>
    <w:rsid w:val="007E298E"/>
    <w:rsid w:val="007E450C"/>
    <w:rsid w:val="007E4975"/>
    <w:rsid w:val="007E64D3"/>
    <w:rsid w:val="007E674F"/>
    <w:rsid w:val="007E7302"/>
    <w:rsid w:val="007E7782"/>
    <w:rsid w:val="007F432F"/>
    <w:rsid w:val="007F498C"/>
    <w:rsid w:val="007F5104"/>
    <w:rsid w:val="007F5628"/>
    <w:rsid w:val="007F6D4B"/>
    <w:rsid w:val="007F76C9"/>
    <w:rsid w:val="008006FF"/>
    <w:rsid w:val="00802855"/>
    <w:rsid w:val="00802A10"/>
    <w:rsid w:val="00803BF1"/>
    <w:rsid w:val="008048C8"/>
    <w:rsid w:val="00806564"/>
    <w:rsid w:val="00810CEB"/>
    <w:rsid w:val="0081499A"/>
    <w:rsid w:val="00815545"/>
    <w:rsid w:val="00816126"/>
    <w:rsid w:val="008164DE"/>
    <w:rsid w:val="00821A17"/>
    <w:rsid w:val="00822D39"/>
    <w:rsid w:val="0082343E"/>
    <w:rsid w:val="0082483D"/>
    <w:rsid w:val="00825397"/>
    <w:rsid w:val="00825AE7"/>
    <w:rsid w:val="008260C3"/>
    <w:rsid w:val="00827C0D"/>
    <w:rsid w:val="00831099"/>
    <w:rsid w:val="00831196"/>
    <w:rsid w:val="00831AAD"/>
    <w:rsid w:val="008354DD"/>
    <w:rsid w:val="0083591D"/>
    <w:rsid w:val="00836DF5"/>
    <w:rsid w:val="0083715C"/>
    <w:rsid w:val="00841EC7"/>
    <w:rsid w:val="00842CF0"/>
    <w:rsid w:val="00843E96"/>
    <w:rsid w:val="00845356"/>
    <w:rsid w:val="00845A46"/>
    <w:rsid w:val="00847235"/>
    <w:rsid w:val="00847AAE"/>
    <w:rsid w:val="00847F6B"/>
    <w:rsid w:val="00852C69"/>
    <w:rsid w:val="00853F48"/>
    <w:rsid w:val="00856C26"/>
    <w:rsid w:val="008614EF"/>
    <w:rsid w:val="00862565"/>
    <w:rsid w:val="008630EC"/>
    <w:rsid w:val="00863554"/>
    <w:rsid w:val="00864551"/>
    <w:rsid w:val="0086548D"/>
    <w:rsid w:val="00865DFC"/>
    <w:rsid w:val="00866F9F"/>
    <w:rsid w:val="008675CC"/>
    <w:rsid w:val="008675F8"/>
    <w:rsid w:val="00875EB4"/>
    <w:rsid w:val="0087637B"/>
    <w:rsid w:val="00883513"/>
    <w:rsid w:val="00884B5F"/>
    <w:rsid w:val="008859F2"/>
    <w:rsid w:val="00890BCA"/>
    <w:rsid w:val="008910CC"/>
    <w:rsid w:val="00891BA6"/>
    <w:rsid w:val="00892DDF"/>
    <w:rsid w:val="00893AF6"/>
    <w:rsid w:val="008950C8"/>
    <w:rsid w:val="008952D9"/>
    <w:rsid w:val="008972CA"/>
    <w:rsid w:val="0089792E"/>
    <w:rsid w:val="008A11F4"/>
    <w:rsid w:val="008A15C1"/>
    <w:rsid w:val="008A4AE0"/>
    <w:rsid w:val="008A4BF0"/>
    <w:rsid w:val="008A6032"/>
    <w:rsid w:val="008A75D2"/>
    <w:rsid w:val="008B3305"/>
    <w:rsid w:val="008B7A93"/>
    <w:rsid w:val="008C018E"/>
    <w:rsid w:val="008C0CAA"/>
    <w:rsid w:val="008C11CE"/>
    <w:rsid w:val="008C201E"/>
    <w:rsid w:val="008C3D77"/>
    <w:rsid w:val="008C502E"/>
    <w:rsid w:val="008D0C40"/>
    <w:rsid w:val="008D1C92"/>
    <w:rsid w:val="008D3ADF"/>
    <w:rsid w:val="008D43EE"/>
    <w:rsid w:val="008D447F"/>
    <w:rsid w:val="008D53E0"/>
    <w:rsid w:val="008D54D9"/>
    <w:rsid w:val="008D586A"/>
    <w:rsid w:val="008E3649"/>
    <w:rsid w:val="008E5ED9"/>
    <w:rsid w:val="008E65F6"/>
    <w:rsid w:val="008E6704"/>
    <w:rsid w:val="008F0A0F"/>
    <w:rsid w:val="008F2BDE"/>
    <w:rsid w:val="008F436D"/>
    <w:rsid w:val="008F63EC"/>
    <w:rsid w:val="008F7150"/>
    <w:rsid w:val="0090163D"/>
    <w:rsid w:val="009033C2"/>
    <w:rsid w:val="009043A4"/>
    <w:rsid w:val="00905D0B"/>
    <w:rsid w:val="009067FD"/>
    <w:rsid w:val="00907C3B"/>
    <w:rsid w:val="00911DC3"/>
    <w:rsid w:val="0091314E"/>
    <w:rsid w:val="0091365E"/>
    <w:rsid w:val="009166BD"/>
    <w:rsid w:val="00916BBB"/>
    <w:rsid w:val="0092180F"/>
    <w:rsid w:val="009220C9"/>
    <w:rsid w:val="0092385B"/>
    <w:rsid w:val="00924AB2"/>
    <w:rsid w:val="00924D2C"/>
    <w:rsid w:val="009259D0"/>
    <w:rsid w:val="00931517"/>
    <w:rsid w:val="009377F9"/>
    <w:rsid w:val="0094084C"/>
    <w:rsid w:val="00942AB0"/>
    <w:rsid w:val="009433D5"/>
    <w:rsid w:val="00945669"/>
    <w:rsid w:val="0094592D"/>
    <w:rsid w:val="0094634C"/>
    <w:rsid w:val="00947237"/>
    <w:rsid w:val="009476CE"/>
    <w:rsid w:val="00951A33"/>
    <w:rsid w:val="00951AF5"/>
    <w:rsid w:val="00953448"/>
    <w:rsid w:val="0095522B"/>
    <w:rsid w:val="0095647B"/>
    <w:rsid w:val="00961095"/>
    <w:rsid w:val="00962284"/>
    <w:rsid w:val="00963722"/>
    <w:rsid w:val="00963CA9"/>
    <w:rsid w:val="00964711"/>
    <w:rsid w:val="00964D29"/>
    <w:rsid w:val="009709BD"/>
    <w:rsid w:val="0097267F"/>
    <w:rsid w:val="00972B5F"/>
    <w:rsid w:val="00973CDC"/>
    <w:rsid w:val="00974E38"/>
    <w:rsid w:val="0098122B"/>
    <w:rsid w:val="00981B4F"/>
    <w:rsid w:val="00981F89"/>
    <w:rsid w:val="009829C4"/>
    <w:rsid w:val="00984C6F"/>
    <w:rsid w:val="00984EAC"/>
    <w:rsid w:val="00985C65"/>
    <w:rsid w:val="00992562"/>
    <w:rsid w:val="009925B5"/>
    <w:rsid w:val="00992FBE"/>
    <w:rsid w:val="00996920"/>
    <w:rsid w:val="00997058"/>
    <w:rsid w:val="00997B38"/>
    <w:rsid w:val="009B00A7"/>
    <w:rsid w:val="009B0390"/>
    <w:rsid w:val="009B13B9"/>
    <w:rsid w:val="009B1D02"/>
    <w:rsid w:val="009B3551"/>
    <w:rsid w:val="009B5003"/>
    <w:rsid w:val="009B5BE2"/>
    <w:rsid w:val="009B5F0E"/>
    <w:rsid w:val="009B5F91"/>
    <w:rsid w:val="009B67BA"/>
    <w:rsid w:val="009C0899"/>
    <w:rsid w:val="009C2250"/>
    <w:rsid w:val="009C369D"/>
    <w:rsid w:val="009C47A6"/>
    <w:rsid w:val="009C77F2"/>
    <w:rsid w:val="009D040E"/>
    <w:rsid w:val="009D107B"/>
    <w:rsid w:val="009D4D14"/>
    <w:rsid w:val="009D53DF"/>
    <w:rsid w:val="009D60A3"/>
    <w:rsid w:val="009D6C7E"/>
    <w:rsid w:val="009D6E03"/>
    <w:rsid w:val="009D762C"/>
    <w:rsid w:val="009E0277"/>
    <w:rsid w:val="009E144B"/>
    <w:rsid w:val="009E1DAE"/>
    <w:rsid w:val="009E2AFE"/>
    <w:rsid w:val="009E3349"/>
    <w:rsid w:val="009E3400"/>
    <w:rsid w:val="009E5BE7"/>
    <w:rsid w:val="009E60E9"/>
    <w:rsid w:val="009E636C"/>
    <w:rsid w:val="009E657F"/>
    <w:rsid w:val="009E795F"/>
    <w:rsid w:val="009F34B7"/>
    <w:rsid w:val="009F6F51"/>
    <w:rsid w:val="00A011C9"/>
    <w:rsid w:val="00A027E4"/>
    <w:rsid w:val="00A03462"/>
    <w:rsid w:val="00A03F8A"/>
    <w:rsid w:val="00A040A2"/>
    <w:rsid w:val="00A043D7"/>
    <w:rsid w:val="00A0517A"/>
    <w:rsid w:val="00A10464"/>
    <w:rsid w:val="00A110AD"/>
    <w:rsid w:val="00A12229"/>
    <w:rsid w:val="00A20BE2"/>
    <w:rsid w:val="00A2577B"/>
    <w:rsid w:val="00A27582"/>
    <w:rsid w:val="00A3119B"/>
    <w:rsid w:val="00A3176A"/>
    <w:rsid w:val="00A328FF"/>
    <w:rsid w:val="00A33021"/>
    <w:rsid w:val="00A372CC"/>
    <w:rsid w:val="00A37565"/>
    <w:rsid w:val="00A400AE"/>
    <w:rsid w:val="00A413FC"/>
    <w:rsid w:val="00A41B0D"/>
    <w:rsid w:val="00A42F1D"/>
    <w:rsid w:val="00A438A8"/>
    <w:rsid w:val="00A43B2F"/>
    <w:rsid w:val="00A43F79"/>
    <w:rsid w:val="00A45B80"/>
    <w:rsid w:val="00A46413"/>
    <w:rsid w:val="00A51A57"/>
    <w:rsid w:val="00A5252B"/>
    <w:rsid w:val="00A53F7F"/>
    <w:rsid w:val="00A61EB5"/>
    <w:rsid w:val="00A67474"/>
    <w:rsid w:val="00A74E4D"/>
    <w:rsid w:val="00A770B8"/>
    <w:rsid w:val="00A8052B"/>
    <w:rsid w:val="00A81E2F"/>
    <w:rsid w:val="00A832B9"/>
    <w:rsid w:val="00A84FDE"/>
    <w:rsid w:val="00A85A79"/>
    <w:rsid w:val="00A91D04"/>
    <w:rsid w:val="00A921C8"/>
    <w:rsid w:val="00A94178"/>
    <w:rsid w:val="00A960FF"/>
    <w:rsid w:val="00AA07D6"/>
    <w:rsid w:val="00AA12D5"/>
    <w:rsid w:val="00AA1786"/>
    <w:rsid w:val="00AA63C6"/>
    <w:rsid w:val="00AB06DF"/>
    <w:rsid w:val="00AB0CE2"/>
    <w:rsid w:val="00AB1B21"/>
    <w:rsid w:val="00AB1D09"/>
    <w:rsid w:val="00AB2E7A"/>
    <w:rsid w:val="00AB5199"/>
    <w:rsid w:val="00AB7101"/>
    <w:rsid w:val="00AC03A3"/>
    <w:rsid w:val="00AC03E4"/>
    <w:rsid w:val="00AC12A4"/>
    <w:rsid w:val="00AC1E38"/>
    <w:rsid w:val="00AC3E9C"/>
    <w:rsid w:val="00AC4230"/>
    <w:rsid w:val="00AD5A27"/>
    <w:rsid w:val="00AD5FEC"/>
    <w:rsid w:val="00AE0B3A"/>
    <w:rsid w:val="00AE30F6"/>
    <w:rsid w:val="00AE3581"/>
    <w:rsid w:val="00AE3838"/>
    <w:rsid w:val="00AE3F4A"/>
    <w:rsid w:val="00AE4198"/>
    <w:rsid w:val="00AE469A"/>
    <w:rsid w:val="00AE52F4"/>
    <w:rsid w:val="00AE605F"/>
    <w:rsid w:val="00AF3087"/>
    <w:rsid w:val="00AF47B7"/>
    <w:rsid w:val="00AF4DDD"/>
    <w:rsid w:val="00AF62DE"/>
    <w:rsid w:val="00AF64D0"/>
    <w:rsid w:val="00B000AE"/>
    <w:rsid w:val="00B016C0"/>
    <w:rsid w:val="00B0462A"/>
    <w:rsid w:val="00B04A8B"/>
    <w:rsid w:val="00B0637C"/>
    <w:rsid w:val="00B1153F"/>
    <w:rsid w:val="00B12C06"/>
    <w:rsid w:val="00B139B5"/>
    <w:rsid w:val="00B14232"/>
    <w:rsid w:val="00B14581"/>
    <w:rsid w:val="00B14AF9"/>
    <w:rsid w:val="00B14D25"/>
    <w:rsid w:val="00B16658"/>
    <w:rsid w:val="00B200AC"/>
    <w:rsid w:val="00B21F11"/>
    <w:rsid w:val="00B22BDA"/>
    <w:rsid w:val="00B230FD"/>
    <w:rsid w:val="00B242F8"/>
    <w:rsid w:val="00B2481C"/>
    <w:rsid w:val="00B26FC0"/>
    <w:rsid w:val="00B2798D"/>
    <w:rsid w:val="00B31662"/>
    <w:rsid w:val="00B320EE"/>
    <w:rsid w:val="00B33E54"/>
    <w:rsid w:val="00B33EC7"/>
    <w:rsid w:val="00B37E82"/>
    <w:rsid w:val="00B41C6D"/>
    <w:rsid w:val="00B41FF3"/>
    <w:rsid w:val="00B42440"/>
    <w:rsid w:val="00B43851"/>
    <w:rsid w:val="00B44821"/>
    <w:rsid w:val="00B50FBD"/>
    <w:rsid w:val="00B5303F"/>
    <w:rsid w:val="00B53B56"/>
    <w:rsid w:val="00B62B61"/>
    <w:rsid w:val="00B62F09"/>
    <w:rsid w:val="00B646E9"/>
    <w:rsid w:val="00B654AC"/>
    <w:rsid w:val="00B658CF"/>
    <w:rsid w:val="00B66707"/>
    <w:rsid w:val="00B67D75"/>
    <w:rsid w:val="00B71203"/>
    <w:rsid w:val="00B7767E"/>
    <w:rsid w:val="00B8026F"/>
    <w:rsid w:val="00B83573"/>
    <w:rsid w:val="00B83C7A"/>
    <w:rsid w:val="00B86867"/>
    <w:rsid w:val="00B91132"/>
    <w:rsid w:val="00B925EF"/>
    <w:rsid w:val="00B92721"/>
    <w:rsid w:val="00B93F51"/>
    <w:rsid w:val="00B94757"/>
    <w:rsid w:val="00B97356"/>
    <w:rsid w:val="00B97779"/>
    <w:rsid w:val="00BA1503"/>
    <w:rsid w:val="00BA1F4A"/>
    <w:rsid w:val="00BA2B5A"/>
    <w:rsid w:val="00BA2D6E"/>
    <w:rsid w:val="00BA3E9B"/>
    <w:rsid w:val="00BA4AC8"/>
    <w:rsid w:val="00BA4CF1"/>
    <w:rsid w:val="00BA4D18"/>
    <w:rsid w:val="00BA5775"/>
    <w:rsid w:val="00BA69C8"/>
    <w:rsid w:val="00BA6DDB"/>
    <w:rsid w:val="00BB43ED"/>
    <w:rsid w:val="00BB5359"/>
    <w:rsid w:val="00BC0B85"/>
    <w:rsid w:val="00BC719E"/>
    <w:rsid w:val="00BD21A0"/>
    <w:rsid w:val="00BD33F2"/>
    <w:rsid w:val="00BD4788"/>
    <w:rsid w:val="00BD6652"/>
    <w:rsid w:val="00BE2A99"/>
    <w:rsid w:val="00BE5F06"/>
    <w:rsid w:val="00BE605A"/>
    <w:rsid w:val="00BF2962"/>
    <w:rsid w:val="00BF74E5"/>
    <w:rsid w:val="00C0394F"/>
    <w:rsid w:val="00C05678"/>
    <w:rsid w:val="00C060A4"/>
    <w:rsid w:val="00C06F3C"/>
    <w:rsid w:val="00C13C69"/>
    <w:rsid w:val="00C163A1"/>
    <w:rsid w:val="00C17177"/>
    <w:rsid w:val="00C17BD6"/>
    <w:rsid w:val="00C23C67"/>
    <w:rsid w:val="00C24004"/>
    <w:rsid w:val="00C2592A"/>
    <w:rsid w:val="00C27A2B"/>
    <w:rsid w:val="00C3177A"/>
    <w:rsid w:val="00C3342F"/>
    <w:rsid w:val="00C33AA4"/>
    <w:rsid w:val="00C33D19"/>
    <w:rsid w:val="00C3506A"/>
    <w:rsid w:val="00C35109"/>
    <w:rsid w:val="00C3584F"/>
    <w:rsid w:val="00C36844"/>
    <w:rsid w:val="00C36FCA"/>
    <w:rsid w:val="00C41B03"/>
    <w:rsid w:val="00C4233F"/>
    <w:rsid w:val="00C42763"/>
    <w:rsid w:val="00C436E7"/>
    <w:rsid w:val="00C43FE8"/>
    <w:rsid w:val="00C4515A"/>
    <w:rsid w:val="00C50B16"/>
    <w:rsid w:val="00C51AB5"/>
    <w:rsid w:val="00C53E58"/>
    <w:rsid w:val="00C54C3D"/>
    <w:rsid w:val="00C5699C"/>
    <w:rsid w:val="00C57874"/>
    <w:rsid w:val="00C602A0"/>
    <w:rsid w:val="00C60413"/>
    <w:rsid w:val="00C60A77"/>
    <w:rsid w:val="00C71B5B"/>
    <w:rsid w:val="00C75228"/>
    <w:rsid w:val="00C765A4"/>
    <w:rsid w:val="00C80B51"/>
    <w:rsid w:val="00C81372"/>
    <w:rsid w:val="00C8575D"/>
    <w:rsid w:val="00C86123"/>
    <w:rsid w:val="00C86CBD"/>
    <w:rsid w:val="00C87D94"/>
    <w:rsid w:val="00C90E2F"/>
    <w:rsid w:val="00C915EA"/>
    <w:rsid w:val="00C923C7"/>
    <w:rsid w:val="00C95420"/>
    <w:rsid w:val="00C96F2E"/>
    <w:rsid w:val="00C97311"/>
    <w:rsid w:val="00CA0CDC"/>
    <w:rsid w:val="00CA4E55"/>
    <w:rsid w:val="00CA62EF"/>
    <w:rsid w:val="00CB26C8"/>
    <w:rsid w:val="00CB3154"/>
    <w:rsid w:val="00CB7F03"/>
    <w:rsid w:val="00CC1F84"/>
    <w:rsid w:val="00CC3044"/>
    <w:rsid w:val="00CC5338"/>
    <w:rsid w:val="00CD0A38"/>
    <w:rsid w:val="00CD1260"/>
    <w:rsid w:val="00CD1B97"/>
    <w:rsid w:val="00CD1EF8"/>
    <w:rsid w:val="00CD40A3"/>
    <w:rsid w:val="00CD6704"/>
    <w:rsid w:val="00CD7D1C"/>
    <w:rsid w:val="00CE1531"/>
    <w:rsid w:val="00CE3D17"/>
    <w:rsid w:val="00CE6540"/>
    <w:rsid w:val="00CE767F"/>
    <w:rsid w:val="00CE7D95"/>
    <w:rsid w:val="00CF3126"/>
    <w:rsid w:val="00CF3684"/>
    <w:rsid w:val="00CF700C"/>
    <w:rsid w:val="00CF70C3"/>
    <w:rsid w:val="00D020F8"/>
    <w:rsid w:val="00D02955"/>
    <w:rsid w:val="00D0338E"/>
    <w:rsid w:val="00D04865"/>
    <w:rsid w:val="00D065BE"/>
    <w:rsid w:val="00D07B2E"/>
    <w:rsid w:val="00D12E46"/>
    <w:rsid w:val="00D14C72"/>
    <w:rsid w:val="00D158C8"/>
    <w:rsid w:val="00D16DF4"/>
    <w:rsid w:val="00D176CA"/>
    <w:rsid w:val="00D2051B"/>
    <w:rsid w:val="00D20A4F"/>
    <w:rsid w:val="00D2360B"/>
    <w:rsid w:val="00D24DD4"/>
    <w:rsid w:val="00D3395B"/>
    <w:rsid w:val="00D33F8C"/>
    <w:rsid w:val="00D361DA"/>
    <w:rsid w:val="00D36278"/>
    <w:rsid w:val="00D36F0A"/>
    <w:rsid w:val="00D40424"/>
    <w:rsid w:val="00D4105A"/>
    <w:rsid w:val="00D43078"/>
    <w:rsid w:val="00D43237"/>
    <w:rsid w:val="00D512F5"/>
    <w:rsid w:val="00D531F6"/>
    <w:rsid w:val="00D5410C"/>
    <w:rsid w:val="00D55F31"/>
    <w:rsid w:val="00D612F6"/>
    <w:rsid w:val="00D61FCB"/>
    <w:rsid w:val="00D64286"/>
    <w:rsid w:val="00D7165B"/>
    <w:rsid w:val="00D716EA"/>
    <w:rsid w:val="00D71C62"/>
    <w:rsid w:val="00D71D56"/>
    <w:rsid w:val="00D72E06"/>
    <w:rsid w:val="00D738E5"/>
    <w:rsid w:val="00D75EA1"/>
    <w:rsid w:val="00D8034C"/>
    <w:rsid w:val="00D80FAF"/>
    <w:rsid w:val="00D83495"/>
    <w:rsid w:val="00D906BA"/>
    <w:rsid w:val="00D94261"/>
    <w:rsid w:val="00D94396"/>
    <w:rsid w:val="00D946E2"/>
    <w:rsid w:val="00D96FEF"/>
    <w:rsid w:val="00D9781A"/>
    <w:rsid w:val="00D97A2A"/>
    <w:rsid w:val="00DA03D2"/>
    <w:rsid w:val="00DA0C8D"/>
    <w:rsid w:val="00DA1465"/>
    <w:rsid w:val="00DA2D13"/>
    <w:rsid w:val="00DB130D"/>
    <w:rsid w:val="00DB23CD"/>
    <w:rsid w:val="00DB2CBA"/>
    <w:rsid w:val="00DB3A6D"/>
    <w:rsid w:val="00DB5946"/>
    <w:rsid w:val="00DC0746"/>
    <w:rsid w:val="00DC2D2D"/>
    <w:rsid w:val="00DC52E8"/>
    <w:rsid w:val="00DC7359"/>
    <w:rsid w:val="00DD3FC4"/>
    <w:rsid w:val="00DD4A74"/>
    <w:rsid w:val="00DD740E"/>
    <w:rsid w:val="00DD74A1"/>
    <w:rsid w:val="00DD764A"/>
    <w:rsid w:val="00DD7730"/>
    <w:rsid w:val="00DE1313"/>
    <w:rsid w:val="00DE3D86"/>
    <w:rsid w:val="00DE59AE"/>
    <w:rsid w:val="00DE724B"/>
    <w:rsid w:val="00DF01C2"/>
    <w:rsid w:val="00DF07F6"/>
    <w:rsid w:val="00DF3486"/>
    <w:rsid w:val="00DF5D1C"/>
    <w:rsid w:val="00DF6387"/>
    <w:rsid w:val="00DF6E2E"/>
    <w:rsid w:val="00DF773A"/>
    <w:rsid w:val="00DF7D23"/>
    <w:rsid w:val="00DF7F63"/>
    <w:rsid w:val="00E01ABB"/>
    <w:rsid w:val="00E02557"/>
    <w:rsid w:val="00E03A14"/>
    <w:rsid w:val="00E04501"/>
    <w:rsid w:val="00E05693"/>
    <w:rsid w:val="00E0743C"/>
    <w:rsid w:val="00E07C64"/>
    <w:rsid w:val="00E1269E"/>
    <w:rsid w:val="00E1332C"/>
    <w:rsid w:val="00E13A37"/>
    <w:rsid w:val="00E16A52"/>
    <w:rsid w:val="00E239E8"/>
    <w:rsid w:val="00E247B2"/>
    <w:rsid w:val="00E25069"/>
    <w:rsid w:val="00E25CA7"/>
    <w:rsid w:val="00E27ED5"/>
    <w:rsid w:val="00E31F1A"/>
    <w:rsid w:val="00E3328F"/>
    <w:rsid w:val="00E346C5"/>
    <w:rsid w:val="00E34828"/>
    <w:rsid w:val="00E35B7D"/>
    <w:rsid w:val="00E40A4C"/>
    <w:rsid w:val="00E42196"/>
    <w:rsid w:val="00E43E45"/>
    <w:rsid w:val="00E44351"/>
    <w:rsid w:val="00E4564F"/>
    <w:rsid w:val="00E45A9A"/>
    <w:rsid w:val="00E464FE"/>
    <w:rsid w:val="00E469B5"/>
    <w:rsid w:val="00E47D30"/>
    <w:rsid w:val="00E50735"/>
    <w:rsid w:val="00E51A63"/>
    <w:rsid w:val="00E52099"/>
    <w:rsid w:val="00E52BD6"/>
    <w:rsid w:val="00E52FD3"/>
    <w:rsid w:val="00E55FD7"/>
    <w:rsid w:val="00E61792"/>
    <w:rsid w:val="00E63512"/>
    <w:rsid w:val="00E650C8"/>
    <w:rsid w:val="00E6743A"/>
    <w:rsid w:val="00E721BF"/>
    <w:rsid w:val="00E74557"/>
    <w:rsid w:val="00E7528C"/>
    <w:rsid w:val="00E758C4"/>
    <w:rsid w:val="00E76B82"/>
    <w:rsid w:val="00E807C4"/>
    <w:rsid w:val="00E80FC2"/>
    <w:rsid w:val="00E8285E"/>
    <w:rsid w:val="00E83EB8"/>
    <w:rsid w:val="00E873E1"/>
    <w:rsid w:val="00E921C0"/>
    <w:rsid w:val="00E9250C"/>
    <w:rsid w:val="00E92CF5"/>
    <w:rsid w:val="00E966D9"/>
    <w:rsid w:val="00E969AA"/>
    <w:rsid w:val="00EA113C"/>
    <w:rsid w:val="00EA2013"/>
    <w:rsid w:val="00EA2E8A"/>
    <w:rsid w:val="00EA34A9"/>
    <w:rsid w:val="00EA4B09"/>
    <w:rsid w:val="00EA616B"/>
    <w:rsid w:val="00EB4DD8"/>
    <w:rsid w:val="00EC1826"/>
    <w:rsid w:val="00EC1CD0"/>
    <w:rsid w:val="00EC2AD0"/>
    <w:rsid w:val="00EC2D8A"/>
    <w:rsid w:val="00EC4272"/>
    <w:rsid w:val="00EC5017"/>
    <w:rsid w:val="00EC528B"/>
    <w:rsid w:val="00EC63F6"/>
    <w:rsid w:val="00EC79A2"/>
    <w:rsid w:val="00ED0B84"/>
    <w:rsid w:val="00ED364B"/>
    <w:rsid w:val="00ED3C6A"/>
    <w:rsid w:val="00ED5CB8"/>
    <w:rsid w:val="00EE0ACF"/>
    <w:rsid w:val="00EE0CC7"/>
    <w:rsid w:val="00EE14FA"/>
    <w:rsid w:val="00EE2363"/>
    <w:rsid w:val="00EE2F3F"/>
    <w:rsid w:val="00EE4722"/>
    <w:rsid w:val="00EE4A13"/>
    <w:rsid w:val="00EE5B47"/>
    <w:rsid w:val="00EE6BE6"/>
    <w:rsid w:val="00EE6DEC"/>
    <w:rsid w:val="00EE7143"/>
    <w:rsid w:val="00EF1522"/>
    <w:rsid w:val="00EF2D68"/>
    <w:rsid w:val="00EF7C9C"/>
    <w:rsid w:val="00F003FE"/>
    <w:rsid w:val="00F02D48"/>
    <w:rsid w:val="00F02FCF"/>
    <w:rsid w:val="00F0398B"/>
    <w:rsid w:val="00F039F8"/>
    <w:rsid w:val="00F05D53"/>
    <w:rsid w:val="00F06965"/>
    <w:rsid w:val="00F07DD8"/>
    <w:rsid w:val="00F15307"/>
    <w:rsid w:val="00F15954"/>
    <w:rsid w:val="00F1772E"/>
    <w:rsid w:val="00F17ECD"/>
    <w:rsid w:val="00F20331"/>
    <w:rsid w:val="00F204DE"/>
    <w:rsid w:val="00F20A3D"/>
    <w:rsid w:val="00F20B18"/>
    <w:rsid w:val="00F20DE4"/>
    <w:rsid w:val="00F21489"/>
    <w:rsid w:val="00F2165B"/>
    <w:rsid w:val="00F24901"/>
    <w:rsid w:val="00F263AC"/>
    <w:rsid w:val="00F27CE3"/>
    <w:rsid w:val="00F27FD5"/>
    <w:rsid w:val="00F30D3A"/>
    <w:rsid w:val="00F31991"/>
    <w:rsid w:val="00F334DC"/>
    <w:rsid w:val="00F36714"/>
    <w:rsid w:val="00F371BB"/>
    <w:rsid w:val="00F376C8"/>
    <w:rsid w:val="00F4382C"/>
    <w:rsid w:val="00F5056D"/>
    <w:rsid w:val="00F50F28"/>
    <w:rsid w:val="00F53AA2"/>
    <w:rsid w:val="00F55C4E"/>
    <w:rsid w:val="00F568D6"/>
    <w:rsid w:val="00F5747A"/>
    <w:rsid w:val="00F60150"/>
    <w:rsid w:val="00F61FBB"/>
    <w:rsid w:val="00F6458A"/>
    <w:rsid w:val="00F64753"/>
    <w:rsid w:val="00F647B8"/>
    <w:rsid w:val="00F649A2"/>
    <w:rsid w:val="00F658DF"/>
    <w:rsid w:val="00F66B4F"/>
    <w:rsid w:val="00F678B9"/>
    <w:rsid w:val="00F71421"/>
    <w:rsid w:val="00F76BC5"/>
    <w:rsid w:val="00F77853"/>
    <w:rsid w:val="00F8162E"/>
    <w:rsid w:val="00F839E4"/>
    <w:rsid w:val="00F869CD"/>
    <w:rsid w:val="00F86B46"/>
    <w:rsid w:val="00F911A5"/>
    <w:rsid w:val="00F922E7"/>
    <w:rsid w:val="00F93550"/>
    <w:rsid w:val="00F937FD"/>
    <w:rsid w:val="00F93B42"/>
    <w:rsid w:val="00F94B8C"/>
    <w:rsid w:val="00FA0FAE"/>
    <w:rsid w:val="00FA209A"/>
    <w:rsid w:val="00FB6291"/>
    <w:rsid w:val="00FC427A"/>
    <w:rsid w:val="00FC4A7A"/>
    <w:rsid w:val="00FC5B73"/>
    <w:rsid w:val="00FD09A6"/>
    <w:rsid w:val="00FD107A"/>
    <w:rsid w:val="00FD17A0"/>
    <w:rsid w:val="00FD5DC2"/>
    <w:rsid w:val="00FE1280"/>
    <w:rsid w:val="00FE29E4"/>
    <w:rsid w:val="00FE2B92"/>
    <w:rsid w:val="00FE76BB"/>
    <w:rsid w:val="00FF0F94"/>
    <w:rsid w:val="00FF316B"/>
    <w:rsid w:val="00FF360D"/>
    <w:rsid w:val="00FF3E19"/>
    <w:rsid w:val="00FF46AC"/>
    <w:rsid w:val="00FF6A9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5ED5CB"/>
  <w15:chartTrackingRefBased/>
  <w15:docId w15:val="{3FC9D599-3BFA-4BAC-9282-246FE788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84"/>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semiHidden/>
    <w:rsid w:val="003E1E0B"/>
    <w:rPr>
      <w:rFonts w:ascii="Tahoma" w:hAnsi="Tahoma" w:cs="Tahoma"/>
      <w:sz w:val="16"/>
      <w:szCs w:val="16"/>
    </w:rPr>
  </w:style>
  <w:style w:type="character" w:styleId="CommentReference">
    <w:name w:val="annotation reference"/>
    <w:semiHidden/>
    <w:rsid w:val="00A84FDE"/>
    <w:rPr>
      <w:sz w:val="16"/>
      <w:szCs w:val="16"/>
    </w:rPr>
  </w:style>
  <w:style w:type="paragraph" w:styleId="CommentText">
    <w:name w:val="annotation text"/>
    <w:basedOn w:val="Normal"/>
    <w:link w:val="CommentTextChar"/>
    <w:semiHidden/>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 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 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paragraph" w:styleId="NoSpacing">
    <w:name w:val="No Spacing"/>
    <w:uiPriority w:val="1"/>
    <w:qFormat/>
    <w:rsid w:val="00B16658"/>
    <w:rPr>
      <w:rFonts w:ascii="Arial" w:hAnsi="Arial"/>
      <w:sz w:val="22"/>
      <w:szCs w:val="22"/>
    </w:rPr>
  </w:style>
  <w:style w:type="table" w:styleId="TableElegant">
    <w:name w:val="Table Elegant"/>
    <w:basedOn w:val="TableNormal"/>
    <w:rsid w:val="0027306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on">
    <w:name w:val="Revision"/>
    <w:hidden/>
    <w:uiPriority w:val="99"/>
    <w:semiHidden/>
    <w:rsid w:val="00C17BD6"/>
    <w:rPr>
      <w:szCs w:val="24"/>
    </w:rPr>
  </w:style>
  <w:style w:type="paragraph" w:customStyle="1" w:styleId="Default">
    <w:name w:val="Default"/>
    <w:rsid w:val="009F34B7"/>
    <w:pPr>
      <w:autoSpaceDE w:val="0"/>
      <w:autoSpaceDN w:val="0"/>
      <w:adjustRightInd w:val="0"/>
    </w:pPr>
    <w:rPr>
      <w:rFonts w:ascii="Calibri" w:eastAsia="Calibri" w:hAnsi="Calibri" w:cs="Calibri"/>
      <w:color w:val="000000"/>
      <w:sz w:val="24"/>
      <w:szCs w:val="24"/>
    </w:rPr>
  </w:style>
  <w:style w:type="character" w:customStyle="1" w:styleId="tp-label">
    <w:name w:val="tp-label"/>
    <w:rsid w:val="00CD6704"/>
  </w:style>
  <w:style w:type="character" w:styleId="HTMLCite">
    <w:name w:val="HTML Cite"/>
    <w:uiPriority w:val="99"/>
    <w:unhideWhenUsed/>
    <w:rsid w:val="005C1388"/>
    <w:rPr>
      <w:i/>
      <w:iCs/>
    </w:rPr>
  </w:style>
  <w:style w:type="character" w:customStyle="1" w:styleId="cit-ed">
    <w:name w:val="cit-ed"/>
    <w:rsid w:val="005C1388"/>
  </w:style>
  <w:style w:type="character" w:customStyle="1" w:styleId="cit-name-surname">
    <w:name w:val="cit-name-surname"/>
    <w:rsid w:val="005C1388"/>
  </w:style>
  <w:style w:type="character" w:customStyle="1" w:styleId="cit-name-given-names">
    <w:name w:val="cit-name-given-names"/>
    <w:rsid w:val="005C1388"/>
  </w:style>
  <w:style w:type="character" w:customStyle="1" w:styleId="cit-source">
    <w:name w:val="cit-source"/>
    <w:rsid w:val="005C1388"/>
  </w:style>
  <w:style w:type="character" w:customStyle="1" w:styleId="cit-comment">
    <w:name w:val="cit-comment"/>
    <w:rsid w:val="005C1388"/>
  </w:style>
  <w:style w:type="character" w:customStyle="1" w:styleId="cit-publ-loc">
    <w:name w:val="cit-publ-loc"/>
    <w:rsid w:val="005C1388"/>
  </w:style>
  <w:style w:type="character" w:customStyle="1" w:styleId="cit-publ-name">
    <w:name w:val="cit-publ-name"/>
    <w:rsid w:val="005C1388"/>
  </w:style>
  <w:style w:type="character" w:customStyle="1" w:styleId="cit-pub-date">
    <w:name w:val="cit-pub-date"/>
    <w:rsid w:val="005C1388"/>
  </w:style>
  <w:style w:type="character" w:styleId="Strong">
    <w:name w:val="Strong"/>
    <w:uiPriority w:val="22"/>
    <w:qFormat/>
    <w:rsid w:val="00EF7C9C"/>
    <w:rPr>
      <w:rFonts w:ascii="Lato" w:hAnsi="Lato" w:hint="default"/>
      <w:b/>
      <w:bCs/>
    </w:rPr>
  </w:style>
  <w:style w:type="paragraph" w:customStyle="1" w:styleId="pull-right">
    <w:name w:val="pull-right"/>
    <w:basedOn w:val="Normal"/>
    <w:rsid w:val="00EF7C9C"/>
    <w:pPr>
      <w:widowControl/>
      <w:autoSpaceDE/>
      <w:autoSpaceDN/>
      <w:adjustRightInd/>
      <w:spacing w:after="150" w:line="375" w:lineRule="atLeast"/>
    </w:pPr>
    <w:rPr>
      <w:sz w:val="24"/>
    </w:rPr>
  </w:style>
  <w:style w:type="character" w:customStyle="1" w:styleId="totop1">
    <w:name w:val="totop1"/>
    <w:rsid w:val="00EF7C9C"/>
  </w:style>
  <w:style w:type="paragraph" w:customStyle="1" w:styleId="smallgrey">
    <w:name w:val="smallgrey"/>
    <w:basedOn w:val="Normal"/>
    <w:rsid w:val="00EF7C9C"/>
    <w:pPr>
      <w:widowControl/>
      <w:autoSpaceDE/>
      <w:autoSpaceDN/>
      <w:adjustRightInd/>
      <w:spacing w:after="150" w:line="375" w:lineRule="atLeast"/>
    </w:pPr>
    <w:rPr>
      <w:sz w:val="24"/>
    </w:rPr>
  </w:style>
  <w:style w:type="character" w:styleId="FollowedHyperlink">
    <w:name w:val="FollowedHyperlink"/>
    <w:rsid w:val="0079179B"/>
    <w:rPr>
      <w:color w:val="954F72"/>
      <w:u w:val="single"/>
    </w:rPr>
  </w:style>
  <w:style w:type="character" w:customStyle="1" w:styleId="sr-only">
    <w:name w:val="sr-only"/>
    <w:rsid w:val="00865DFC"/>
  </w:style>
  <w:style w:type="character" w:styleId="UnresolvedMention">
    <w:name w:val="Unresolved Mention"/>
    <w:uiPriority w:val="99"/>
    <w:semiHidden/>
    <w:unhideWhenUsed/>
    <w:rsid w:val="0094084C"/>
    <w:rPr>
      <w:color w:val="605E5C"/>
      <w:shd w:val="clear" w:color="auto" w:fill="E1DFDD"/>
    </w:rPr>
  </w:style>
  <w:style w:type="character" w:customStyle="1" w:styleId="CommentTextChar">
    <w:name w:val="Comment Text Char"/>
    <w:link w:val="CommentText"/>
    <w:semiHidden/>
    <w:rsid w:val="00893AF6"/>
  </w:style>
  <w:style w:type="character" w:styleId="Emphasis">
    <w:name w:val="Emphasis"/>
    <w:uiPriority w:val="20"/>
    <w:qFormat/>
    <w:rsid w:val="00195F06"/>
    <w:rPr>
      <w:i/>
      <w:iCs/>
    </w:rPr>
  </w:style>
  <w:style w:type="paragraph" w:customStyle="1" w:styleId="xmsonormal">
    <w:name w:val="x_msonormal"/>
    <w:basedOn w:val="Normal"/>
    <w:rsid w:val="00590528"/>
    <w:pPr>
      <w:widowControl/>
      <w:autoSpaceDE/>
      <w:autoSpaceDN/>
      <w:adjustRightInd/>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76388">
      <w:bodyDiv w:val="1"/>
      <w:marLeft w:val="0"/>
      <w:marRight w:val="0"/>
      <w:marTop w:val="0"/>
      <w:marBottom w:val="0"/>
      <w:divBdr>
        <w:top w:val="none" w:sz="0" w:space="0" w:color="auto"/>
        <w:left w:val="none" w:sz="0" w:space="0" w:color="auto"/>
        <w:bottom w:val="none" w:sz="0" w:space="0" w:color="auto"/>
        <w:right w:val="none" w:sz="0" w:space="0" w:color="auto"/>
      </w:divBdr>
    </w:div>
    <w:div w:id="244610704">
      <w:bodyDiv w:val="1"/>
      <w:marLeft w:val="0"/>
      <w:marRight w:val="0"/>
      <w:marTop w:val="0"/>
      <w:marBottom w:val="0"/>
      <w:divBdr>
        <w:top w:val="none" w:sz="0" w:space="0" w:color="auto"/>
        <w:left w:val="none" w:sz="0" w:space="0" w:color="auto"/>
        <w:bottom w:val="none" w:sz="0" w:space="0" w:color="auto"/>
        <w:right w:val="none" w:sz="0" w:space="0" w:color="auto"/>
      </w:divBdr>
    </w:div>
    <w:div w:id="355808506">
      <w:bodyDiv w:val="1"/>
      <w:marLeft w:val="0"/>
      <w:marRight w:val="0"/>
      <w:marTop w:val="0"/>
      <w:marBottom w:val="0"/>
      <w:divBdr>
        <w:top w:val="none" w:sz="0" w:space="0" w:color="auto"/>
        <w:left w:val="none" w:sz="0" w:space="0" w:color="auto"/>
        <w:bottom w:val="none" w:sz="0" w:space="0" w:color="auto"/>
        <w:right w:val="none" w:sz="0" w:space="0" w:color="auto"/>
      </w:divBdr>
      <w:divsChild>
        <w:div w:id="97604681">
          <w:marLeft w:val="0"/>
          <w:marRight w:val="0"/>
          <w:marTop w:val="0"/>
          <w:marBottom w:val="0"/>
          <w:divBdr>
            <w:top w:val="none" w:sz="0" w:space="0" w:color="auto"/>
            <w:left w:val="none" w:sz="0" w:space="0" w:color="auto"/>
            <w:bottom w:val="none" w:sz="0" w:space="0" w:color="auto"/>
            <w:right w:val="none" w:sz="0" w:space="0" w:color="auto"/>
          </w:divBdr>
          <w:divsChild>
            <w:div w:id="598830902">
              <w:marLeft w:val="0"/>
              <w:marRight w:val="0"/>
              <w:marTop w:val="0"/>
              <w:marBottom w:val="0"/>
              <w:divBdr>
                <w:top w:val="none" w:sz="0" w:space="0" w:color="auto"/>
                <w:left w:val="none" w:sz="0" w:space="0" w:color="auto"/>
                <w:bottom w:val="none" w:sz="0" w:space="0" w:color="auto"/>
                <w:right w:val="none" w:sz="0" w:space="0" w:color="auto"/>
              </w:divBdr>
              <w:divsChild>
                <w:div w:id="1599100334">
                  <w:marLeft w:val="0"/>
                  <w:marRight w:val="0"/>
                  <w:marTop w:val="0"/>
                  <w:marBottom w:val="0"/>
                  <w:divBdr>
                    <w:top w:val="none" w:sz="0" w:space="0" w:color="auto"/>
                    <w:left w:val="none" w:sz="0" w:space="0" w:color="auto"/>
                    <w:bottom w:val="none" w:sz="0" w:space="0" w:color="auto"/>
                    <w:right w:val="none" w:sz="0" w:space="0" w:color="auto"/>
                  </w:divBdr>
                  <w:divsChild>
                    <w:div w:id="710031710">
                      <w:marLeft w:val="0"/>
                      <w:marRight w:val="0"/>
                      <w:marTop w:val="0"/>
                      <w:marBottom w:val="0"/>
                      <w:divBdr>
                        <w:top w:val="none" w:sz="0" w:space="0" w:color="auto"/>
                        <w:left w:val="none" w:sz="0" w:space="0" w:color="auto"/>
                        <w:bottom w:val="none" w:sz="0" w:space="0" w:color="auto"/>
                        <w:right w:val="none" w:sz="0" w:space="0" w:color="auto"/>
                      </w:divBdr>
                      <w:divsChild>
                        <w:div w:id="985668821">
                          <w:marLeft w:val="0"/>
                          <w:marRight w:val="0"/>
                          <w:marTop w:val="0"/>
                          <w:marBottom w:val="0"/>
                          <w:divBdr>
                            <w:top w:val="none" w:sz="0" w:space="0" w:color="auto"/>
                            <w:left w:val="none" w:sz="0" w:space="0" w:color="auto"/>
                            <w:bottom w:val="none" w:sz="0" w:space="0" w:color="auto"/>
                            <w:right w:val="none" w:sz="0" w:space="0" w:color="auto"/>
                          </w:divBdr>
                          <w:divsChild>
                            <w:div w:id="2041709092">
                              <w:marLeft w:val="0"/>
                              <w:marRight w:val="0"/>
                              <w:marTop w:val="0"/>
                              <w:marBottom w:val="0"/>
                              <w:divBdr>
                                <w:top w:val="none" w:sz="0" w:space="0" w:color="auto"/>
                                <w:left w:val="none" w:sz="0" w:space="0" w:color="auto"/>
                                <w:bottom w:val="none" w:sz="0" w:space="0" w:color="auto"/>
                                <w:right w:val="none" w:sz="0" w:space="0" w:color="auto"/>
                              </w:divBdr>
                              <w:divsChild>
                                <w:div w:id="319971234">
                                  <w:marLeft w:val="0"/>
                                  <w:marRight w:val="0"/>
                                  <w:marTop w:val="0"/>
                                  <w:marBottom w:val="0"/>
                                  <w:divBdr>
                                    <w:top w:val="none" w:sz="0" w:space="0" w:color="auto"/>
                                    <w:left w:val="none" w:sz="0" w:space="0" w:color="auto"/>
                                    <w:bottom w:val="none" w:sz="0" w:space="0" w:color="auto"/>
                                    <w:right w:val="none" w:sz="0" w:space="0" w:color="auto"/>
                                  </w:divBdr>
                                  <w:divsChild>
                                    <w:div w:id="1698962891">
                                      <w:marLeft w:val="0"/>
                                      <w:marRight w:val="0"/>
                                      <w:marTop w:val="0"/>
                                      <w:marBottom w:val="0"/>
                                      <w:divBdr>
                                        <w:top w:val="none" w:sz="0" w:space="0" w:color="auto"/>
                                        <w:left w:val="none" w:sz="0" w:space="0" w:color="auto"/>
                                        <w:bottom w:val="none" w:sz="0" w:space="0" w:color="auto"/>
                                        <w:right w:val="none" w:sz="0" w:space="0" w:color="auto"/>
                                      </w:divBdr>
                                      <w:divsChild>
                                        <w:div w:id="896477920">
                                          <w:marLeft w:val="0"/>
                                          <w:marRight w:val="0"/>
                                          <w:marTop w:val="0"/>
                                          <w:marBottom w:val="0"/>
                                          <w:divBdr>
                                            <w:top w:val="none" w:sz="0" w:space="0" w:color="auto"/>
                                            <w:left w:val="none" w:sz="0" w:space="0" w:color="auto"/>
                                            <w:bottom w:val="none" w:sz="0" w:space="0" w:color="auto"/>
                                            <w:right w:val="none" w:sz="0" w:space="0" w:color="auto"/>
                                          </w:divBdr>
                                          <w:divsChild>
                                            <w:div w:id="1338846119">
                                              <w:marLeft w:val="0"/>
                                              <w:marRight w:val="0"/>
                                              <w:marTop w:val="0"/>
                                              <w:marBottom w:val="0"/>
                                              <w:divBdr>
                                                <w:top w:val="none" w:sz="0" w:space="0" w:color="auto"/>
                                                <w:left w:val="none" w:sz="0" w:space="0" w:color="auto"/>
                                                <w:bottom w:val="none" w:sz="0" w:space="0" w:color="auto"/>
                                                <w:right w:val="none" w:sz="0" w:space="0" w:color="auto"/>
                                              </w:divBdr>
                                              <w:divsChild>
                                                <w:div w:id="1883324256">
                                                  <w:marLeft w:val="0"/>
                                                  <w:marRight w:val="0"/>
                                                  <w:marTop w:val="0"/>
                                                  <w:marBottom w:val="0"/>
                                                  <w:divBdr>
                                                    <w:top w:val="none" w:sz="0" w:space="0" w:color="auto"/>
                                                    <w:left w:val="none" w:sz="0" w:space="0" w:color="auto"/>
                                                    <w:bottom w:val="none" w:sz="0" w:space="0" w:color="auto"/>
                                                    <w:right w:val="none" w:sz="0" w:space="0" w:color="auto"/>
                                                  </w:divBdr>
                                                  <w:divsChild>
                                                    <w:div w:id="1705714767">
                                                      <w:marLeft w:val="0"/>
                                                      <w:marRight w:val="0"/>
                                                      <w:marTop w:val="0"/>
                                                      <w:marBottom w:val="0"/>
                                                      <w:divBdr>
                                                        <w:top w:val="none" w:sz="0" w:space="0" w:color="auto"/>
                                                        <w:left w:val="none" w:sz="0" w:space="0" w:color="auto"/>
                                                        <w:bottom w:val="none" w:sz="0" w:space="0" w:color="auto"/>
                                                        <w:right w:val="none" w:sz="0" w:space="0" w:color="auto"/>
                                                      </w:divBdr>
                                                      <w:divsChild>
                                                        <w:div w:id="778765298">
                                                          <w:marLeft w:val="0"/>
                                                          <w:marRight w:val="0"/>
                                                          <w:marTop w:val="0"/>
                                                          <w:marBottom w:val="0"/>
                                                          <w:divBdr>
                                                            <w:top w:val="none" w:sz="0" w:space="0" w:color="auto"/>
                                                            <w:left w:val="none" w:sz="0" w:space="0" w:color="auto"/>
                                                            <w:bottom w:val="none" w:sz="0" w:space="0" w:color="auto"/>
                                                            <w:right w:val="none" w:sz="0" w:space="0" w:color="auto"/>
                                                          </w:divBdr>
                                                          <w:divsChild>
                                                            <w:div w:id="589897444">
                                                              <w:marLeft w:val="0"/>
                                                              <w:marRight w:val="0"/>
                                                              <w:marTop w:val="0"/>
                                                              <w:marBottom w:val="0"/>
                                                              <w:divBdr>
                                                                <w:top w:val="none" w:sz="0" w:space="0" w:color="auto"/>
                                                                <w:left w:val="none" w:sz="0" w:space="0" w:color="auto"/>
                                                                <w:bottom w:val="none" w:sz="0" w:space="0" w:color="auto"/>
                                                                <w:right w:val="none" w:sz="0" w:space="0" w:color="auto"/>
                                                              </w:divBdr>
                                                              <w:divsChild>
                                                                <w:div w:id="38868214">
                                                                  <w:marLeft w:val="0"/>
                                                                  <w:marRight w:val="0"/>
                                                                  <w:marTop w:val="0"/>
                                                                  <w:marBottom w:val="0"/>
                                                                  <w:divBdr>
                                                                    <w:top w:val="none" w:sz="0" w:space="0" w:color="auto"/>
                                                                    <w:left w:val="none" w:sz="0" w:space="0" w:color="auto"/>
                                                                    <w:bottom w:val="none" w:sz="0" w:space="0" w:color="auto"/>
                                                                    <w:right w:val="none" w:sz="0" w:space="0" w:color="auto"/>
                                                                  </w:divBdr>
                                                                  <w:divsChild>
                                                                    <w:div w:id="808978663">
                                                                      <w:marLeft w:val="0"/>
                                                                      <w:marRight w:val="0"/>
                                                                      <w:marTop w:val="0"/>
                                                                      <w:marBottom w:val="0"/>
                                                                      <w:divBdr>
                                                                        <w:top w:val="none" w:sz="0" w:space="0" w:color="auto"/>
                                                                        <w:left w:val="none" w:sz="0" w:space="0" w:color="auto"/>
                                                                        <w:bottom w:val="none" w:sz="0" w:space="0" w:color="auto"/>
                                                                        <w:right w:val="none" w:sz="0" w:space="0" w:color="auto"/>
                                                                      </w:divBdr>
                                                                      <w:divsChild>
                                                                        <w:div w:id="1697342295">
                                                                          <w:marLeft w:val="0"/>
                                                                          <w:marRight w:val="0"/>
                                                                          <w:marTop w:val="0"/>
                                                                          <w:marBottom w:val="300"/>
                                                                          <w:divBdr>
                                                                            <w:top w:val="none" w:sz="0" w:space="0" w:color="auto"/>
                                                                            <w:left w:val="none" w:sz="0" w:space="0" w:color="auto"/>
                                                                            <w:bottom w:val="none" w:sz="0" w:space="0" w:color="auto"/>
                                                                            <w:right w:val="none" w:sz="0" w:space="0" w:color="auto"/>
                                                                          </w:divBdr>
                                                                          <w:divsChild>
                                                                            <w:div w:id="1622035344">
                                                                              <w:marLeft w:val="0"/>
                                                                              <w:marRight w:val="0"/>
                                                                              <w:marTop w:val="0"/>
                                                                              <w:marBottom w:val="0"/>
                                                                              <w:divBdr>
                                                                                <w:top w:val="none" w:sz="0" w:space="0" w:color="auto"/>
                                                                                <w:left w:val="none" w:sz="0" w:space="0" w:color="auto"/>
                                                                                <w:bottom w:val="none" w:sz="0" w:space="0" w:color="auto"/>
                                                                                <w:right w:val="none" w:sz="0" w:space="0" w:color="auto"/>
                                                                              </w:divBdr>
                                                                              <w:divsChild>
                                                                                <w:div w:id="1406102308">
                                                                                  <w:marLeft w:val="0"/>
                                                                                  <w:marRight w:val="0"/>
                                                                                  <w:marTop w:val="0"/>
                                                                                  <w:marBottom w:val="0"/>
                                                                                  <w:divBdr>
                                                                                    <w:top w:val="none" w:sz="0" w:space="0" w:color="auto"/>
                                                                                    <w:left w:val="none" w:sz="0" w:space="0" w:color="auto"/>
                                                                                    <w:bottom w:val="none" w:sz="0" w:space="0" w:color="auto"/>
                                                                                    <w:right w:val="none" w:sz="0" w:space="0" w:color="auto"/>
                                                                                  </w:divBdr>
                                                                                  <w:divsChild>
                                                                                    <w:div w:id="1199197358">
                                                                                      <w:marLeft w:val="0"/>
                                                                                      <w:marRight w:val="0"/>
                                                                                      <w:marTop w:val="0"/>
                                                                                      <w:marBottom w:val="0"/>
                                                                                      <w:divBdr>
                                                                                        <w:top w:val="none" w:sz="0" w:space="0" w:color="auto"/>
                                                                                        <w:left w:val="none" w:sz="0" w:space="0" w:color="auto"/>
                                                                                        <w:bottom w:val="none" w:sz="0" w:space="0" w:color="auto"/>
                                                                                        <w:right w:val="none" w:sz="0" w:space="0" w:color="auto"/>
                                                                                      </w:divBdr>
                                                                                      <w:divsChild>
                                                                                        <w:div w:id="1007446389">
                                                                                          <w:marLeft w:val="0"/>
                                                                                          <w:marRight w:val="0"/>
                                                                                          <w:marTop w:val="0"/>
                                                                                          <w:marBottom w:val="0"/>
                                                                                          <w:divBdr>
                                                                                            <w:top w:val="none" w:sz="0" w:space="0" w:color="auto"/>
                                                                                            <w:left w:val="none" w:sz="0" w:space="0" w:color="auto"/>
                                                                                            <w:bottom w:val="none" w:sz="0" w:space="0" w:color="auto"/>
                                                                                            <w:right w:val="none" w:sz="0" w:space="0" w:color="auto"/>
                                                                                          </w:divBdr>
                                                                                          <w:divsChild>
                                                                                            <w:div w:id="601374239">
                                                                                              <w:marLeft w:val="0"/>
                                                                                              <w:marRight w:val="0"/>
                                                                                              <w:marTop w:val="0"/>
                                                                                              <w:marBottom w:val="0"/>
                                                                                              <w:divBdr>
                                                                                                <w:top w:val="none" w:sz="0" w:space="0" w:color="auto"/>
                                                                                                <w:left w:val="none" w:sz="0" w:space="0" w:color="auto"/>
                                                                                                <w:bottom w:val="none" w:sz="0" w:space="0" w:color="auto"/>
                                                                                                <w:right w:val="none" w:sz="0" w:space="0" w:color="auto"/>
                                                                                              </w:divBdr>
                                                                                              <w:divsChild>
                                                                                                <w:div w:id="1685857113">
                                                                                                  <w:marLeft w:val="0"/>
                                                                                                  <w:marRight w:val="0"/>
                                                                                                  <w:marTop w:val="0"/>
                                                                                                  <w:marBottom w:val="0"/>
                                                                                                  <w:divBdr>
                                                                                                    <w:top w:val="none" w:sz="0" w:space="0" w:color="auto"/>
                                                                                                    <w:left w:val="none" w:sz="0" w:space="0" w:color="auto"/>
                                                                                                    <w:bottom w:val="none" w:sz="0" w:space="0" w:color="auto"/>
                                                                                                    <w:right w:val="none" w:sz="0" w:space="0" w:color="auto"/>
                                                                                                  </w:divBdr>
                                                                                                  <w:divsChild>
                                                                                                    <w:div w:id="1541821105">
                                                                                                      <w:marLeft w:val="0"/>
                                                                                                      <w:marRight w:val="0"/>
                                                                                                      <w:marTop w:val="0"/>
                                                                                                      <w:marBottom w:val="0"/>
                                                                                                      <w:divBdr>
                                                                                                        <w:top w:val="none" w:sz="0" w:space="0" w:color="auto"/>
                                                                                                        <w:left w:val="none" w:sz="0" w:space="0" w:color="auto"/>
                                                                                                        <w:bottom w:val="none" w:sz="0" w:space="0" w:color="auto"/>
                                                                                                        <w:right w:val="none" w:sz="0" w:space="0" w:color="auto"/>
                                                                                                      </w:divBdr>
                                                                                                      <w:divsChild>
                                                                                                        <w:div w:id="1187596829">
                                                                                                          <w:marLeft w:val="0"/>
                                                                                                          <w:marRight w:val="0"/>
                                                                                                          <w:marTop w:val="0"/>
                                                                                                          <w:marBottom w:val="0"/>
                                                                                                          <w:divBdr>
                                                                                                            <w:top w:val="none" w:sz="0" w:space="0" w:color="auto"/>
                                                                                                            <w:left w:val="none" w:sz="0" w:space="0" w:color="auto"/>
                                                                                                            <w:bottom w:val="none" w:sz="0" w:space="0" w:color="auto"/>
                                                                                                            <w:right w:val="none" w:sz="0" w:space="0" w:color="auto"/>
                                                                                                          </w:divBdr>
                                                                                                          <w:divsChild>
                                                                                                            <w:div w:id="1050349414">
                                                                                                              <w:marLeft w:val="0"/>
                                                                                                              <w:marRight w:val="0"/>
                                                                                                              <w:marTop w:val="0"/>
                                                                                                              <w:marBottom w:val="0"/>
                                                                                                              <w:divBdr>
                                                                                                                <w:top w:val="none" w:sz="0" w:space="0" w:color="auto"/>
                                                                                                                <w:left w:val="none" w:sz="0" w:space="0" w:color="auto"/>
                                                                                                                <w:bottom w:val="none" w:sz="0" w:space="0" w:color="auto"/>
                                                                                                                <w:right w:val="none" w:sz="0" w:space="0" w:color="auto"/>
                                                                                                              </w:divBdr>
                                                                                                              <w:divsChild>
                                                                                                                <w:div w:id="1165823953">
                                                                                                                  <w:marLeft w:val="0"/>
                                                                                                                  <w:marRight w:val="0"/>
                                                                                                                  <w:marTop w:val="0"/>
                                                                                                                  <w:marBottom w:val="0"/>
                                                                                                                  <w:divBdr>
                                                                                                                    <w:top w:val="none" w:sz="0" w:space="0" w:color="auto"/>
                                                                                                                    <w:left w:val="none" w:sz="0" w:space="0" w:color="auto"/>
                                                                                                                    <w:bottom w:val="none" w:sz="0" w:space="0" w:color="auto"/>
                                                                                                                    <w:right w:val="none" w:sz="0" w:space="0" w:color="auto"/>
                                                                                                                  </w:divBdr>
                                                                                                                  <w:divsChild>
                                                                                                                    <w:div w:id="15230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4388">
      <w:bodyDiv w:val="1"/>
      <w:marLeft w:val="0"/>
      <w:marRight w:val="0"/>
      <w:marTop w:val="0"/>
      <w:marBottom w:val="0"/>
      <w:divBdr>
        <w:top w:val="none" w:sz="0" w:space="0" w:color="auto"/>
        <w:left w:val="none" w:sz="0" w:space="0" w:color="auto"/>
        <w:bottom w:val="none" w:sz="0" w:space="0" w:color="auto"/>
        <w:right w:val="none" w:sz="0" w:space="0" w:color="auto"/>
      </w:divBdr>
    </w:div>
    <w:div w:id="544487370">
      <w:bodyDiv w:val="1"/>
      <w:marLeft w:val="0"/>
      <w:marRight w:val="0"/>
      <w:marTop w:val="0"/>
      <w:marBottom w:val="0"/>
      <w:divBdr>
        <w:top w:val="none" w:sz="0" w:space="0" w:color="auto"/>
        <w:left w:val="none" w:sz="0" w:space="0" w:color="auto"/>
        <w:bottom w:val="none" w:sz="0" w:space="0" w:color="auto"/>
        <w:right w:val="none" w:sz="0" w:space="0" w:color="auto"/>
      </w:divBdr>
    </w:div>
    <w:div w:id="573049296">
      <w:bodyDiv w:val="1"/>
      <w:marLeft w:val="0"/>
      <w:marRight w:val="0"/>
      <w:marTop w:val="0"/>
      <w:marBottom w:val="0"/>
      <w:divBdr>
        <w:top w:val="none" w:sz="0" w:space="0" w:color="auto"/>
        <w:left w:val="none" w:sz="0" w:space="0" w:color="auto"/>
        <w:bottom w:val="none" w:sz="0" w:space="0" w:color="auto"/>
        <w:right w:val="none" w:sz="0" w:space="0" w:color="auto"/>
      </w:divBdr>
      <w:divsChild>
        <w:div w:id="2027827758">
          <w:marLeft w:val="0"/>
          <w:marRight w:val="0"/>
          <w:marTop w:val="0"/>
          <w:marBottom w:val="0"/>
          <w:divBdr>
            <w:top w:val="none" w:sz="0" w:space="0" w:color="auto"/>
            <w:left w:val="none" w:sz="0" w:space="0" w:color="auto"/>
            <w:bottom w:val="none" w:sz="0" w:space="0" w:color="auto"/>
            <w:right w:val="none" w:sz="0" w:space="0" w:color="auto"/>
          </w:divBdr>
          <w:divsChild>
            <w:div w:id="749498462">
              <w:marLeft w:val="0"/>
              <w:marRight w:val="0"/>
              <w:marTop w:val="0"/>
              <w:marBottom w:val="0"/>
              <w:divBdr>
                <w:top w:val="none" w:sz="0" w:space="0" w:color="auto"/>
                <w:left w:val="none" w:sz="0" w:space="0" w:color="auto"/>
                <w:bottom w:val="none" w:sz="0" w:space="0" w:color="auto"/>
                <w:right w:val="none" w:sz="0" w:space="0" w:color="auto"/>
              </w:divBdr>
              <w:divsChild>
                <w:div w:id="1036808958">
                  <w:marLeft w:val="0"/>
                  <w:marRight w:val="0"/>
                  <w:marTop w:val="0"/>
                  <w:marBottom w:val="0"/>
                  <w:divBdr>
                    <w:top w:val="none" w:sz="0" w:space="0" w:color="auto"/>
                    <w:left w:val="none" w:sz="0" w:space="0" w:color="auto"/>
                    <w:bottom w:val="none" w:sz="0" w:space="0" w:color="auto"/>
                    <w:right w:val="none" w:sz="0" w:space="0" w:color="auto"/>
                  </w:divBdr>
                  <w:divsChild>
                    <w:div w:id="1030841746">
                      <w:marLeft w:val="0"/>
                      <w:marRight w:val="0"/>
                      <w:marTop w:val="0"/>
                      <w:marBottom w:val="0"/>
                      <w:divBdr>
                        <w:top w:val="none" w:sz="0" w:space="0" w:color="auto"/>
                        <w:left w:val="none" w:sz="0" w:space="0" w:color="auto"/>
                        <w:bottom w:val="none" w:sz="0" w:space="0" w:color="auto"/>
                        <w:right w:val="none" w:sz="0" w:space="0" w:color="auto"/>
                      </w:divBdr>
                      <w:divsChild>
                        <w:div w:id="937372363">
                          <w:marLeft w:val="0"/>
                          <w:marRight w:val="0"/>
                          <w:marTop w:val="0"/>
                          <w:marBottom w:val="0"/>
                          <w:divBdr>
                            <w:top w:val="none" w:sz="0" w:space="0" w:color="auto"/>
                            <w:left w:val="none" w:sz="0" w:space="0" w:color="auto"/>
                            <w:bottom w:val="none" w:sz="0" w:space="0" w:color="auto"/>
                            <w:right w:val="none" w:sz="0" w:space="0" w:color="auto"/>
                          </w:divBdr>
                          <w:divsChild>
                            <w:div w:id="1044136629">
                              <w:marLeft w:val="0"/>
                              <w:marRight w:val="0"/>
                              <w:marTop w:val="0"/>
                              <w:marBottom w:val="0"/>
                              <w:divBdr>
                                <w:top w:val="none" w:sz="0" w:space="0" w:color="auto"/>
                                <w:left w:val="none" w:sz="0" w:space="0" w:color="auto"/>
                                <w:bottom w:val="none" w:sz="0" w:space="0" w:color="auto"/>
                                <w:right w:val="none" w:sz="0" w:space="0" w:color="auto"/>
                              </w:divBdr>
                              <w:divsChild>
                                <w:div w:id="231548639">
                                  <w:marLeft w:val="0"/>
                                  <w:marRight w:val="0"/>
                                  <w:marTop w:val="0"/>
                                  <w:marBottom w:val="0"/>
                                  <w:divBdr>
                                    <w:top w:val="none" w:sz="0" w:space="0" w:color="auto"/>
                                    <w:left w:val="none" w:sz="0" w:space="0" w:color="auto"/>
                                    <w:bottom w:val="none" w:sz="0" w:space="0" w:color="auto"/>
                                    <w:right w:val="none" w:sz="0" w:space="0" w:color="auto"/>
                                  </w:divBdr>
                                  <w:divsChild>
                                    <w:div w:id="259260433">
                                      <w:marLeft w:val="0"/>
                                      <w:marRight w:val="0"/>
                                      <w:marTop w:val="0"/>
                                      <w:marBottom w:val="0"/>
                                      <w:divBdr>
                                        <w:top w:val="none" w:sz="0" w:space="0" w:color="auto"/>
                                        <w:left w:val="none" w:sz="0" w:space="0" w:color="auto"/>
                                        <w:bottom w:val="none" w:sz="0" w:space="0" w:color="auto"/>
                                        <w:right w:val="none" w:sz="0" w:space="0" w:color="auto"/>
                                      </w:divBdr>
                                      <w:divsChild>
                                        <w:div w:id="1066226230">
                                          <w:marLeft w:val="0"/>
                                          <w:marRight w:val="0"/>
                                          <w:marTop w:val="0"/>
                                          <w:marBottom w:val="0"/>
                                          <w:divBdr>
                                            <w:top w:val="none" w:sz="0" w:space="0" w:color="auto"/>
                                            <w:left w:val="none" w:sz="0" w:space="0" w:color="auto"/>
                                            <w:bottom w:val="none" w:sz="0" w:space="0" w:color="auto"/>
                                            <w:right w:val="none" w:sz="0" w:space="0" w:color="auto"/>
                                          </w:divBdr>
                                          <w:divsChild>
                                            <w:div w:id="866139892">
                                              <w:marLeft w:val="0"/>
                                              <w:marRight w:val="0"/>
                                              <w:marTop w:val="0"/>
                                              <w:marBottom w:val="0"/>
                                              <w:divBdr>
                                                <w:top w:val="none" w:sz="0" w:space="0" w:color="auto"/>
                                                <w:left w:val="none" w:sz="0" w:space="0" w:color="auto"/>
                                                <w:bottom w:val="none" w:sz="0" w:space="0" w:color="auto"/>
                                                <w:right w:val="none" w:sz="0" w:space="0" w:color="auto"/>
                                              </w:divBdr>
                                              <w:divsChild>
                                                <w:div w:id="966395489">
                                                  <w:marLeft w:val="0"/>
                                                  <w:marRight w:val="0"/>
                                                  <w:marTop w:val="0"/>
                                                  <w:marBottom w:val="0"/>
                                                  <w:divBdr>
                                                    <w:top w:val="none" w:sz="0" w:space="0" w:color="auto"/>
                                                    <w:left w:val="none" w:sz="0" w:space="0" w:color="auto"/>
                                                    <w:bottom w:val="none" w:sz="0" w:space="0" w:color="auto"/>
                                                    <w:right w:val="none" w:sz="0" w:space="0" w:color="auto"/>
                                                  </w:divBdr>
                                                  <w:divsChild>
                                                    <w:div w:id="2065177133">
                                                      <w:marLeft w:val="0"/>
                                                      <w:marRight w:val="0"/>
                                                      <w:marTop w:val="0"/>
                                                      <w:marBottom w:val="0"/>
                                                      <w:divBdr>
                                                        <w:top w:val="none" w:sz="0" w:space="0" w:color="auto"/>
                                                        <w:left w:val="none" w:sz="0" w:space="0" w:color="auto"/>
                                                        <w:bottom w:val="none" w:sz="0" w:space="0" w:color="auto"/>
                                                        <w:right w:val="none" w:sz="0" w:space="0" w:color="auto"/>
                                                      </w:divBdr>
                                                      <w:divsChild>
                                                        <w:div w:id="1537230299">
                                                          <w:marLeft w:val="0"/>
                                                          <w:marRight w:val="0"/>
                                                          <w:marTop w:val="0"/>
                                                          <w:marBottom w:val="0"/>
                                                          <w:divBdr>
                                                            <w:top w:val="none" w:sz="0" w:space="0" w:color="auto"/>
                                                            <w:left w:val="none" w:sz="0" w:space="0" w:color="auto"/>
                                                            <w:bottom w:val="none" w:sz="0" w:space="0" w:color="auto"/>
                                                            <w:right w:val="none" w:sz="0" w:space="0" w:color="auto"/>
                                                          </w:divBdr>
                                                          <w:divsChild>
                                                            <w:div w:id="1059404943">
                                                              <w:marLeft w:val="0"/>
                                                              <w:marRight w:val="0"/>
                                                              <w:marTop w:val="0"/>
                                                              <w:marBottom w:val="0"/>
                                                              <w:divBdr>
                                                                <w:top w:val="none" w:sz="0" w:space="0" w:color="auto"/>
                                                                <w:left w:val="none" w:sz="0" w:space="0" w:color="auto"/>
                                                                <w:bottom w:val="none" w:sz="0" w:space="0" w:color="auto"/>
                                                                <w:right w:val="none" w:sz="0" w:space="0" w:color="auto"/>
                                                              </w:divBdr>
                                                              <w:divsChild>
                                                                <w:div w:id="699168374">
                                                                  <w:marLeft w:val="0"/>
                                                                  <w:marRight w:val="0"/>
                                                                  <w:marTop w:val="0"/>
                                                                  <w:marBottom w:val="0"/>
                                                                  <w:divBdr>
                                                                    <w:top w:val="none" w:sz="0" w:space="0" w:color="auto"/>
                                                                    <w:left w:val="none" w:sz="0" w:space="0" w:color="auto"/>
                                                                    <w:bottom w:val="none" w:sz="0" w:space="0" w:color="auto"/>
                                                                    <w:right w:val="none" w:sz="0" w:space="0" w:color="auto"/>
                                                                  </w:divBdr>
                                                                  <w:divsChild>
                                                                    <w:div w:id="1431731069">
                                                                      <w:marLeft w:val="0"/>
                                                                      <w:marRight w:val="0"/>
                                                                      <w:marTop w:val="0"/>
                                                                      <w:marBottom w:val="0"/>
                                                                      <w:divBdr>
                                                                        <w:top w:val="none" w:sz="0" w:space="0" w:color="auto"/>
                                                                        <w:left w:val="none" w:sz="0" w:space="0" w:color="auto"/>
                                                                        <w:bottom w:val="none" w:sz="0" w:space="0" w:color="auto"/>
                                                                        <w:right w:val="none" w:sz="0" w:space="0" w:color="auto"/>
                                                                      </w:divBdr>
                                                                      <w:divsChild>
                                                                        <w:div w:id="1530532617">
                                                                          <w:marLeft w:val="0"/>
                                                                          <w:marRight w:val="0"/>
                                                                          <w:marTop w:val="0"/>
                                                                          <w:marBottom w:val="300"/>
                                                                          <w:divBdr>
                                                                            <w:top w:val="none" w:sz="0" w:space="0" w:color="auto"/>
                                                                            <w:left w:val="none" w:sz="0" w:space="0" w:color="auto"/>
                                                                            <w:bottom w:val="none" w:sz="0" w:space="0" w:color="auto"/>
                                                                            <w:right w:val="none" w:sz="0" w:space="0" w:color="auto"/>
                                                                          </w:divBdr>
                                                                          <w:divsChild>
                                                                            <w:div w:id="1197307684">
                                                                              <w:marLeft w:val="0"/>
                                                                              <w:marRight w:val="0"/>
                                                                              <w:marTop w:val="0"/>
                                                                              <w:marBottom w:val="0"/>
                                                                              <w:divBdr>
                                                                                <w:top w:val="none" w:sz="0" w:space="0" w:color="auto"/>
                                                                                <w:left w:val="none" w:sz="0" w:space="0" w:color="auto"/>
                                                                                <w:bottom w:val="none" w:sz="0" w:space="0" w:color="auto"/>
                                                                                <w:right w:val="none" w:sz="0" w:space="0" w:color="auto"/>
                                                                              </w:divBdr>
                                                                              <w:divsChild>
                                                                                <w:div w:id="1895310701">
                                                                                  <w:marLeft w:val="0"/>
                                                                                  <w:marRight w:val="0"/>
                                                                                  <w:marTop w:val="0"/>
                                                                                  <w:marBottom w:val="0"/>
                                                                                  <w:divBdr>
                                                                                    <w:top w:val="none" w:sz="0" w:space="0" w:color="auto"/>
                                                                                    <w:left w:val="none" w:sz="0" w:space="0" w:color="auto"/>
                                                                                    <w:bottom w:val="none" w:sz="0" w:space="0" w:color="auto"/>
                                                                                    <w:right w:val="none" w:sz="0" w:space="0" w:color="auto"/>
                                                                                  </w:divBdr>
                                                                                  <w:divsChild>
                                                                                    <w:div w:id="1481650025">
                                                                                      <w:marLeft w:val="0"/>
                                                                                      <w:marRight w:val="0"/>
                                                                                      <w:marTop w:val="0"/>
                                                                                      <w:marBottom w:val="0"/>
                                                                                      <w:divBdr>
                                                                                        <w:top w:val="none" w:sz="0" w:space="0" w:color="auto"/>
                                                                                        <w:left w:val="none" w:sz="0" w:space="0" w:color="auto"/>
                                                                                        <w:bottom w:val="none" w:sz="0" w:space="0" w:color="auto"/>
                                                                                        <w:right w:val="none" w:sz="0" w:space="0" w:color="auto"/>
                                                                                      </w:divBdr>
                                                                                      <w:divsChild>
                                                                                        <w:div w:id="1983002547">
                                                                                          <w:marLeft w:val="0"/>
                                                                                          <w:marRight w:val="0"/>
                                                                                          <w:marTop w:val="0"/>
                                                                                          <w:marBottom w:val="0"/>
                                                                                          <w:divBdr>
                                                                                            <w:top w:val="none" w:sz="0" w:space="0" w:color="auto"/>
                                                                                            <w:left w:val="none" w:sz="0" w:space="0" w:color="auto"/>
                                                                                            <w:bottom w:val="none" w:sz="0" w:space="0" w:color="auto"/>
                                                                                            <w:right w:val="none" w:sz="0" w:space="0" w:color="auto"/>
                                                                                          </w:divBdr>
                                                                                          <w:divsChild>
                                                                                            <w:div w:id="435486723">
                                                                                              <w:marLeft w:val="0"/>
                                                                                              <w:marRight w:val="0"/>
                                                                                              <w:marTop w:val="0"/>
                                                                                              <w:marBottom w:val="0"/>
                                                                                              <w:divBdr>
                                                                                                <w:top w:val="none" w:sz="0" w:space="0" w:color="auto"/>
                                                                                                <w:left w:val="none" w:sz="0" w:space="0" w:color="auto"/>
                                                                                                <w:bottom w:val="none" w:sz="0" w:space="0" w:color="auto"/>
                                                                                                <w:right w:val="none" w:sz="0" w:space="0" w:color="auto"/>
                                                                                              </w:divBdr>
                                                                                              <w:divsChild>
                                                                                                <w:div w:id="1858080336">
                                                                                                  <w:marLeft w:val="0"/>
                                                                                                  <w:marRight w:val="0"/>
                                                                                                  <w:marTop w:val="0"/>
                                                                                                  <w:marBottom w:val="0"/>
                                                                                                  <w:divBdr>
                                                                                                    <w:top w:val="none" w:sz="0" w:space="0" w:color="auto"/>
                                                                                                    <w:left w:val="none" w:sz="0" w:space="0" w:color="auto"/>
                                                                                                    <w:bottom w:val="none" w:sz="0" w:space="0" w:color="auto"/>
                                                                                                    <w:right w:val="none" w:sz="0" w:space="0" w:color="auto"/>
                                                                                                  </w:divBdr>
                                                                                                  <w:divsChild>
                                                                                                    <w:div w:id="1166358134">
                                                                                                      <w:marLeft w:val="0"/>
                                                                                                      <w:marRight w:val="0"/>
                                                                                                      <w:marTop w:val="0"/>
                                                                                                      <w:marBottom w:val="0"/>
                                                                                                      <w:divBdr>
                                                                                                        <w:top w:val="none" w:sz="0" w:space="0" w:color="auto"/>
                                                                                                        <w:left w:val="none" w:sz="0" w:space="0" w:color="auto"/>
                                                                                                        <w:bottom w:val="none" w:sz="0" w:space="0" w:color="auto"/>
                                                                                                        <w:right w:val="none" w:sz="0" w:space="0" w:color="auto"/>
                                                                                                      </w:divBdr>
                                                                                                      <w:divsChild>
                                                                                                        <w:div w:id="191190234">
                                                                                                          <w:marLeft w:val="0"/>
                                                                                                          <w:marRight w:val="0"/>
                                                                                                          <w:marTop w:val="0"/>
                                                                                                          <w:marBottom w:val="0"/>
                                                                                                          <w:divBdr>
                                                                                                            <w:top w:val="none" w:sz="0" w:space="0" w:color="auto"/>
                                                                                                            <w:left w:val="none" w:sz="0" w:space="0" w:color="auto"/>
                                                                                                            <w:bottom w:val="none" w:sz="0" w:space="0" w:color="auto"/>
                                                                                                            <w:right w:val="none" w:sz="0" w:space="0" w:color="auto"/>
                                                                                                          </w:divBdr>
                                                                                                          <w:divsChild>
                                                                                                            <w:div w:id="1188252671">
                                                                                                              <w:marLeft w:val="0"/>
                                                                                                              <w:marRight w:val="0"/>
                                                                                                              <w:marTop w:val="0"/>
                                                                                                              <w:marBottom w:val="0"/>
                                                                                                              <w:divBdr>
                                                                                                                <w:top w:val="none" w:sz="0" w:space="0" w:color="auto"/>
                                                                                                                <w:left w:val="none" w:sz="0" w:space="0" w:color="auto"/>
                                                                                                                <w:bottom w:val="none" w:sz="0" w:space="0" w:color="auto"/>
                                                                                                                <w:right w:val="none" w:sz="0" w:space="0" w:color="auto"/>
                                                                                                              </w:divBdr>
                                                                                                              <w:divsChild>
                                                                                                                <w:div w:id="1492480487">
                                                                                                                  <w:marLeft w:val="0"/>
                                                                                                                  <w:marRight w:val="0"/>
                                                                                                                  <w:marTop w:val="0"/>
                                                                                                                  <w:marBottom w:val="0"/>
                                                                                                                  <w:divBdr>
                                                                                                                    <w:top w:val="none" w:sz="0" w:space="0" w:color="auto"/>
                                                                                                                    <w:left w:val="none" w:sz="0" w:space="0" w:color="auto"/>
                                                                                                                    <w:bottom w:val="none" w:sz="0" w:space="0" w:color="auto"/>
                                                                                                                    <w:right w:val="none" w:sz="0" w:space="0" w:color="auto"/>
                                                                                                                  </w:divBdr>
                                                                                                                  <w:divsChild>
                                                                                                                    <w:div w:id="2154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106804">
      <w:bodyDiv w:val="1"/>
      <w:marLeft w:val="0"/>
      <w:marRight w:val="0"/>
      <w:marTop w:val="0"/>
      <w:marBottom w:val="0"/>
      <w:divBdr>
        <w:top w:val="none" w:sz="0" w:space="0" w:color="auto"/>
        <w:left w:val="none" w:sz="0" w:space="0" w:color="auto"/>
        <w:bottom w:val="none" w:sz="0" w:space="0" w:color="auto"/>
        <w:right w:val="none" w:sz="0" w:space="0" w:color="auto"/>
      </w:divBdr>
    </w:div>
    <w:div w:id="754788821">
      <w:bodyDiv w:val="1"/>
      <w:marLeft w:val="0"/>
      <w:marRight w:val="0"/>
      <w:marTop w:val="0"/>
      <w:marBottom w:val="0"/>
      <w:divBdr>
        <w:top w:val="none" w:sz="0" w:space="0" w:color="auto"/>
        <w:left w:val="none" w:sz="0" w:space="0" w:color="auto"/>
        <w:bottom w:val="none" w:sz="0" w:space="0" w:color="auto"/>
        <w:right w:val="none" w:sz="0" w:space="0" w:color="auto"/>
      </w:divBdr>
    </w:div>
    <w:div w:id="818155579">
      <w:bodyDiv w:val="1"/>
      <w:marLeft w:val="0"/>
      <w:marRight w:val="0"/>
      <w:marTop w:val="0"/>
      <w:marBottom w:val="0"/>
      <w:divBdr>
        <w:top w:val="none" w:sz="0" w:space="0" w:color="auto"/>
        <w:left w:val="none" w:sz="0" w:space="0" w:color="auto"/>
        <w:bottom w:val="none" w:sz="0" w:space="0" w:color="auto"/>
        <w:right w:val="none" w:sz="0" w:space="0" w:color="auto"/>
      </w:divBdr>
    </w:div>
    <w:div w:id="826433749">
      <w:bodyDiv w:val="1"/>
      <w:marLeft w:val="0"/>
      <w:marRight w:val="0"/>
      <w:marTop w:val="0"/>
      <w:marBottom w:val="0"/>
      <w:divBdr>
        <w:top w:val="none" w:sz="0" w:space="0" w:color="auto"/>
        <w:left w:val="none" w:sz="0" w:space="0" w:color="auto"/>
        <w:bottom w:val="none" w:sz="0" w:space="0" w:color="auto"/>
        <w:right w:val="none" w:sz="0" w:space="0" w:color="auto"/>
      </w:divBdr>
    </w:div>
    <w:div w:id="953369811">
      <w:bodyDiv w:val="1"/>
      <w:marLeft w:val="0"/>
      <w:marRight w:val="0"/>
      <w:marTop w:val="0"/>
      <w:marBottom w:val="0"/>
      <w:divBdr>
        <w:top w:val="none" w:sz="0" w:space="0" w:color="auto"/>
        <w:left w:val="none" w:sz="0" w:space="0" w:color="auto"/>
        <w:bottom w:val="none" w:sz="0" w:space="0" w:color="auto"/>
        <w:right w:val="none" w:sz="0" w:space="0" w:color="auto"/>
      </w:divBdr>
      <w:divsChild>
        <w:div w:id="352339091">
          <w:marLeft w:val="0"/>
          <w:marRight w:val="0"/>
          <w:marTop w:val="0"/>
          <w:marBottom w:val="0"/>
          <w:divBdr>
            <w:top w:val="none" w:sz="0" w:space="0" w:color="auto"/>
            <w:left w:val="none" w:sz="0" w:space="0" w:color="auto"/>
            <w:bottom w:val="none" w:sz="0" w:space="0" w:color="auto"/>
            <w:right w:val="none" w:sz="0" w:space="0" w:color="auto"/>
          </w:divBdr>
        </w:div>
        <w:div w:id="971059088">
          <w:marLeft w:val="0"/>
          <w:marRight w:val="0"/>
          <w:marTop w:val="0"/>
          <w:marBottom w:val="0"/>
          <w:divBdr>
            <w:top w:val="none" w:sz="0" w:space="0" w:color="auto"/>
            <w:left w:val="none" w:sz="0" w:space="0" w:color="auto"/>
            <w:bottom w:val="none" w:sz="0" w:space="0" w:color="auto"/>
            <w:right w:val="none" w:sz="0" w:space="0" w:color="auto"/>
          </w:divBdr>
        </w:div>
        <w:div w:id="1347512092">
          <w:marLeft w:val="0"/>
          <w:marRight w:val="0"/>
          <w:marTop w:val="0"/>
          <w:marBottom w:val="0"/>
          <w:divBdr>
            <w:top w:val="none" w:sz="0" w:space="0" w:color="auto"/>
            <w:left w:val="none" w:sz="0" w:space="0" w:color="auto"/>
            <w:bottom w:val="none" w:sz="0" w:space="0" w:color="auto"/>
            <w:right w:val="none" w:sz="0" w:space="0" w:color="auto"/>
          </w:divBdr>
        </w:div>
      </w:divsChild>
    </w:div>
    <w:div w:id="1015619398">
      <w:bodyDiv w:val="1"/>
      <w:marLeft w:val="0"/>
      <w:marRight w:val="0"/>
      <w:marTop w:val="0"/>
      <w:marBottom w:val="0"/>
      <w:divBdr>
        <w:top w:val="none" w:sz="0" w:space="0" w:color="auto"/>
        <w:left w:val="none" w:sz="0" w:space="0" w:color="auto"/>
        <w:bottom w:val="none" w:sz="0" w:space="0" w:color="auto"/>
        <w:right w:val="none" w:sz="0" w:space="0" w:color="auto"/>
      </w:divBdr>
      <w:divsChild>
        <w:div w:id="341512778">
          <w:marLeft w:val="0"/>
          <w:marRight w:val="0"/>
          <w:marTop w:val="0"/>
          <w:marBottom w:val="0"/>
          <w:divBdr>
            <w:top w:val="single" w:sz="36" w:space="0" w:color="075290"/>
            <w:left w:val="none" w:sz="0" w:space="0" w:color="auto"/>
            <w:bottom w:val="none" w:sz="0" w:space="0" w:color="auto"/>
            <w:right w:val="none" w:sz="0" w:space="0" w:color="auto"/>
          </w:divBdr>
          <w:divsChild>
            <w:div w:id="335691167">
              <w:marLeft w:val="0"/>
              <w:marRight w:val="0"/>
              <w:marTop w:val="0"/>
              <w:marBottom w:val="0"/>
              <w:divBdr>
                <w:top w:val="none" w:sz="0" w:space="0" w:color="auto"/>
                <w:left w:val="none" w:sz="0" w:space="0" w:color="auto"/>
                <w:bottom w:val="none" w:sz="0" w:space="0" w:color="auto"/>
                <w:right w:val="none" w:sz="0" w:space="0" w:color="auto"/>
              </w:divBdr>
              <w:divsChild>
                <w:div w:id="1920171197">
                  <w:marLeft w:val="0"/>
                  <w:marRight w:val="0"/>
                  <w:marTop w:val="150"/>
                  <w:marBottom w:val="0"/>
                  <w:divBdr>
                    <w:top w:val="none" w:sz="0" w:space="0" w:color="auto"/>
                    <w:left w:val="none" w:sz="0" w:space="0" w:color="auto"/>
                    <w:bottom w:val="none" w:sz="0" w:space="0" w:color="auto"/>
                    <w:right w:val="none" w:sz="0" w:space="0" w:color="auto"/>
                  </w:divBdr>
                  <w:divsChild>
                    <w:div w:id="2023435173">
                      <w:marLeft w:val="-150"/>
                      <w:marRight w:val="0"/>
                      <w:marTop w:val="0"/>
                      <w:marBottom w:val="0"/>
                      <w:divBdr>
                        <w:top w:val="none" w:sz="0" w:space="0" w:color="auto"/>
                        <w:left w:val="none" w:sz="0" w:space="0" w:color="auto"/>
                        <w:bottom w:val="none" w:sz="0" w:space="0" w:color="auto"/>
                        <w:right w:val="none" w:sz="0" w:space="0" w:color="auto"/>
                      </w:divBdr>
                      <w:divsChild>
                        <w:div w:id="1368220699">
                          <w:marLeft w:val="0"/>
                          <w:marRight w:val="0"/>
                          <w:marTop w:val="0"/>
                          <w:marBottom w:val="0"/>
                          <w:divBdr>
                            <w:top w:val="none" w:sz="0" w:space="0" w:color="auto"/>
                            <w:left w:val="none" w:sz="0" w:space="0" w:color="auto"/>
                            <w:bottom w:val="none" w:sz="0" w:space="0" w:color="auto"/>
                            <w:right w:val="none" w:sz="0" w:space="0" w:color="auto"/>
                          </w:divBdr>
                          <w:divsChild>
                            <w:div w:id="1891838431">
                              <w:marLeft w:val="0"/>
                              <w:marRight w:val="0"/>
                              <w:marTop w:val="0"/>
                              <w:marBottom w:val="0"/>
                              <w:divBdr>
                                <w:top w:val="none" w:sz="0" w:space="0" w:color="auto"/>
                                <w:left w:val="none" w:sz="0" w:space="0" w:color="auto"/>
                                <w:bottom w:val="none" w:sz="0" w:space="0" w:color="auto"/>
                                <w:right w:val="none" w:sz="0" w:space="0" w:color="auto"/>
                              </w:divBdr>
                              <w:divsChild>
                                <w:div w:id="5907304">
                                  <w:marLeft w:val="0"/>
                                  <w:marRight w:val="0"/>
                                  <w:marTop w:val="0"/>
                                  <w:marBottom w:val="0"/>
                                  <w:divBdr>
                                    <w:top w:val="none" w:sz="0" w:space="0" w:color="auto"/>
                                    <w:left w:val="none" w:sz="0" w:space="0" w:color="auto"/>
                                    <w:bottom w:val="none" w:sz="0" w:space="0" w:color="auto"/>
                                    <w:right w:val="none" w:sz="0" w:space="0" w:color="auto"/>
                                  </w:divBdr>
                                  <w:divsChild>
                                    <w:div w:id="6953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76835">
      <w:bodyDiv w:val="1"/>
      <w:marLeft w:val="0"/>
      <w:marRight w:val="0"/>
      <w:marTop w:val="0"/>
      <w:marBottom w:val="0"/>
      <w:divBdr>
        <w:top w:val="none" w:sz="0" w:space="0" w:color="auto"/>
        <w:left w:val="none" w:sz="0" w:space="0" w:color="auto"/>
        <w:bottom w:val="none" w:sz="0" w:space="0" w:color="auto"/>
        <w:right w:val="none" w:sz="0" w:space="0" w:color="auto"/>
      </w:divBdr>
    </w:div>
    <w:div w:id="1048066053">
      <w:bodyDiv w:val="1"/>
      <w:marLeft w:val="0"/>
      <w:marRight w:val="0"/>
      <w:marTop w:val="0"/>
      <w:marBottom w:val="0"/>
      <w:divBdr>
        <w:top w:val="none" w:sz="0" w:space="0" w:color="auto"/>
        <w:left w:val="none" w:sz="0" w:space="0" w:color="auto"/>
        <w:bottom w:val="none" w:sz="0" w:space="0" w:color="auto"/>
        <w:right w:val="none" w:sz="0" w:space="0" w:color="auto"/>
      </w:divBdr>
    </w:div>
    <w:div w:id="1067416958">
      <w:bodyDiv w:val="1"/>
      <w:marLeft w:val="0"/>
      <w:marRight w:val="0"/>
      <w:marTop w:val="0"/>
      <w:marBottom w:val="0"/>
      <w:divBdr>
        <w:top w:val="none" w:sz="0" w:space="0" w:color="auto"/>
        <w:left w:val="none" w:sz="0" w:space="0" w:color="auto"/>
        <w:bottom w:val="none" w:sz="0" w:space="0" w:color="auto"/>
        <w:right w:val="none" w:sz="0" w:space="0" w:color="auto"/>
      </w:divBdr>
    </w:div>
    <w:div w:id="1124882916">
      <w:bodyDiv w:val="1"/>
      <w:marLeft w:val="0"/>
      <w:marRight w:val="0"/>
      <w:marTop w:val="0"/>
      <w:marBottom w:val="0"/>
      <w:divBdr>
        <w:top w:val="none" w:sz="0" w:space="0" w:color="auto"/>
        <w:left w:val="none" w:sz="0" w:space="0" w:color="auto"/>
        <w:bottom w:val="none" w:sz="0" w:space="0" w:color="auto"/>
        <w:right w:val="none" w:sz="0" w:space="0" w:color="auto"/>
      </w:divBdr>
    </w:div>
    <w:div w:id="1237204251">
      <w:bodyDiv w:val="1"/>
      <w:marLeft w:val="0"/>
      <w:marRight w:val="0"/>
      <w:marTop w:val="0"/>
      <w:marBottom w:val="0"/>
      <w:divBdr>
        <w:top w:val="none" w:sz="0" w:space="0" w:color="auto"/>
        <w:left w:val="none" w:sz="0" w:space="0" w:color="auto"/>
        <w:bottom w:val="none" w:sz="0" w:space="0" w:color="auto"/>
        <w:right w:val="none" w:sz="0" w:space="0" w:color="auto"/>
      </w:divBdr>
    </w:div>
    <w:div w:id="1342590620">
      <w:bodyDiv w:val="1"/>
      <w:marLeft w:val="0"/>
      <w:marRight w:val="0"/>
      <w:marTop w:val="0"/>
      <w:marBottom w:val="0"/>
      <w:divBdr>
        <w:top w:val="none" w:sz="0" w:space="0" w:color="auto"/>
        <w:left w:val="none" w:sz="0" w:space="0" w:color="auto"/>
        <w:bottom w:val="none" w:sz="0" w:space="0" w:color="auto"/>
        <w:right w:val="none" w:sz="0" w:space="0" w:color="auto"/>
      </w:divBdr>
    </w:div>
    <w:div w:id="1377923487">
      <w:bodyDiv w:val="1"/>
      <w:marLeft w:val="0"/>
      <w:marRight w:val="0"/>
      <w:marTop w:val="0"/>
      <w:marBottom w:val="0"/>
      <w:divBdr>
        <w:top w:val="none" w:sz="0" w:space="0" w:color="auto"/>
        <w:left w:val="none" w:sz="0" w:space="0" w:color="auto"/>
        <w:bottom w:val="none" w:sz="0" w:space="0" w:color="auto"/>
        <w:right w:val="none" w:sz="0" w:space="0" w:color="auto"/>
      </w:divBdr>
      <w:divsChild>
        <w:div w:id="1957520847">
          <w:marLeft w:val="0"/>
          <w:marRight w:val="0"/>
          <w:marTop w:val="0"/>
          <w:marBottom w:val="0"/>
          <w:divBdr>
            <w:top w:val="single" w:sz="36" w:space="0" w:color="075290"/>
            <w:left w:val="none" w:sz="0" w:space="0" w:color="auto"/>
            <w:bottom w:val="none" w:sz="0" w:space="0" w:color="auto"/>
            <w:right w:val="none" w:sz="0" w:space="0" w:color="auto"/>
          </w:divBdr>
          <w:divsChild>
            <w:div w:id="1056271110">
              <w:marLeft w:val="0"/>
              <w:marRight w:val="0"/>
              <w:marTop w:val="0"/>
              <w:marBottom w:val="0"/>
              <w:divBdr>
                <w:top w:val="none" w:sz="0" w:space="0" w:color="auto"/>
                <w:left w:val="none" w:sz="0" w:space="0" w:color="auto"/>
                <w:bottom w:val="none" w:sz="0" w:space="0" w:color="auto"/>
                <w:right w:val="none" w:sz="0" w:space="0" w:color="auto"/>
              </w:divBdr>
              <w:divsChild>
                <w:div w:id="1708019822">
                  <w:marLeft w:val="0"/>
                  <w:marRight w:val="0"/>
                  <w:marTop w:val="150"/>
                  <w:marBottom w:val="0"/>
                  <w:divBdr>
                    <w:top w:val="none" w:sz="0" w:space="0" w:color="auto"/>
                    <w:left w:val="none" w:sz="0" w:space="0" w:color="auto"/>
                    <w:bottom w:val="none" w:sz="0" w:space="0" w:color="auto"/>
                    <w:right w:val="none" w:sz="0" w:space="0" w:color="auto"/>
                  </w:divBdr>
                  <w:divsChild>
                    <w:div w:id="1114596835">
                      <w:marLeft w:val="-150"/>
                      <w:marRight w:val="0"/>
                      <w:marTop w:val="0"/>
                      <w:marBottom w:val="0"/>
                      <w:divBdr>
                        <w:top w:val="none" w:sz="0" w:space="0" w:color="auto"/>
                        <w:left w:val="none" w:sz="0" w:space="0" w:color="auto"/>
                        <w:bottom w:val="none" w:sz="0" w:space="0" w:color="auto"/>
                        <w:right w:val="none" w:sz="0" w:space="0" w:color="auto"/>
                      </w:divBdr>
                      <w:divsChild>
                        <w:div w:id="1678968694">
                          <w:marLeft w:val="0"/>
                          <w:marRight w:val="0"/>
                          <w:marTop w:val="0"/>
                          <w:marBottom w:val="0"/>
                          <w:divBdr>
                            <w:top w:val="none" w:sz="0" w:space="0" w:color="auto"/>
                            <w:left w:val="none" w:sz="0" w:space="0" w:color="auto"/>
                            <w:bottom w:val="none" w:sz="0" w:space="0" w:color="auto"/>
                            <w:right w:val="none" w:sz="0" w:space="0" w:color="auto"/>
                          </w:divBdr>
                          <w:divsChild>
                            <w:div w:id="1380281768">
                              <w:marLeft w:val="0"/>
                              <w:marRight w:val="0"/>
                              <w:marTop w:val="0"/>
                              <w:marBottom w:val="0"/>
                              <w:divBdr>
                                <w:top w:val="none" w:sz="0" w:space="0" w:color="auto"/>
                                <w:left w:val="none" w:sz="0" w:space="0" w:color="auto"/>
                                <w:bottom w:val="none" w:sz="0" w:space="0" w:color="auto"/>
                                <w:right w:val="none" w:sz="0" w:space="0" w:color="auto"/>
                              </w:divBdr>
                              <w:divsChild>
                                <w:div w:id="223151360">
                                  <w:marLeft w:val="0"/>
                                  <w:marRight w:val="0"/>
                                  <w:marTop w:val="0"/>
                                  <w:marBottom w:val="0"/>
                                  <w:divBdr>
                                    <w:top w:val="none" w:sz="0" w:space="0" w:color="auto"/>
                                    <w:left w:val="none" w:sz="0" w:space="0" w:color="auto"/>
                                    <w:bottom w:val="none" w:sz="0" w:space="0" w:color="auto"/>
                                    <w:right w:val="none" w:sz="0" w:space="0" w:color="auto"/>
                                  </w:divBdr>
                                  <w:divsChild>
                                    <w:div w:id="37777683">
                                      <w:marLeft w:val="0"/>
                                      <w:marRight w:val="0"/>
                                      <w:marTop w:val="0"/>
                                      <w:marBottom w:val="0"/>
                                      <w:divBdr>
                                        <w:top w:val="none" w:sz="0" w:space="0" w:color="auto"/>
                                        <w:left w:val="none" w:sz="0" w:space="0" w:color="auto"/>
                                        <w:bottom w:val="none" w:sz="0" w:space="0" w:color="auto"/>
                                        <w:right w:val="none" w:sz="0" w:space="0" w:color="auto"/>
                                      </w:divBdr>
                                    </w:div>
                                    <w:div w:id="675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544855">
      <w:bodyDiv w:val="1"/>
      <w:marLeft w:val="0"/>
      <w:marRight w:val="0"/>
      <w:marTop w:val="0"/>
      <w:marBottom w:val="0"/>
      <w:divBdr>
        <w:top w:val="none" w:sz="0" w:space="0" w:color="auto"/>
        <w:left w:val="none" w:sz="0" w:space="0" w:color="auto"/>
        <w:bottom w:val="none" w:sz="0" w:space="0" w:color="auto"/>
        <w:right w:val="none" w:sz="0" w:space="0" w:color="auto"/>
      </w:divBdr>
    </w:div>
    <w:div w:id="1393575838">
      <w:bodyDiv w:val="1"/>
      <w:marLeft w:val="0"/>
      <w:marRight w:val="0"/>
      <w:marTop w:val="0"/>
      <w:marBottom w:val="0"/>
      <w:divBdr>
        <w:top w:val="none" w:sz="0" w:space="0" w:color="auto"/>
        <w:left w:val="none" w:sz="0" w:space="0" w:color="auto"/>
        <w:bottom w:val="none" w:sz="0" w:space="0" w:color="auto"/>
        <w:right w:val="none" w:sz="0" w:space="0" w:color="auto"/>
      </w:divBdr>
    </w:div>
    <w:div w:id="1399598343">
      <w:bodyDiv w:val="1"/>
      <w:marLeft w:val="0"/>
      <w:marRight w:val="0"/>
      <w:marTop w:val="0"/>
      <w:marBottom w:val="0"/>
      <w:divBdr>
        <w:top w:val="none" w:sz="0" w:space="0" w:color="auto"/>
        <w:left w:val="none" w:sz="0" w:space="0" w:color="auto"/>
        <w:bottom w:val="none" w:sz="0" w:space="0" w:color="auto"/>
        <w:right w:val="none" w:sz="0" w:space="0" w:color="auto"/>
      </w:divBdr>
      <w:divsChild>
        <w:div w:id="132336848">
          <w:marLeft w:val="0"/>
          <w:marRight w:val="0"/>
          <w:marTop w:val="0"/>
          <w:marBottom w:val="0"/>
          <w:divBdr>
            <w:top w:val="none" w:sz="0" w:space="0" w:color="auto"/>
            <w:left w:val="none" w:sz="0" w:space="0" w:color="auto"/>
            <w:bottom w:val="none" w:sz="0" w:space="0" w:color="auto"/>
            <w:right w:val="none" w:sz="0" w:space="0" w:color="auto"/>
          </w:divBdr>
        </w:div>
      </w:divsChild>
    </w:div>
    <w:div w:id="1484540752">
      <w:bodyDiv w:val="1"/>
      <w:marLeft w:val="0"/>
      <w:marRight w:val="0"/>
      <w:marTop w:val="0"/>
      <w:marBottom w:val="0"/>
      <w:divBdr>
        <w:top w:val="none" w:sz="0" w:space="0" w:color="auto"/>
        <w:left w:val="none" w:sz="0" w:space="0" w:color="auto"/>
        <w:bottom w:val="none" w:sz="0" w:space="0" w:color="auto"/>
        <w:right w:val="none" w:sz="0" w:space="0" w:color="auto"/>
      </w:divBdr>
    </w:div>
    <w:div w:id="1547450891">
      <w:bodyDiv w:val="1"/>
      <w:marLeft w:val="0"/>
      <w:marRight w:val="0"/>
      <w:marTop w:val="0"/>
      <w:marBottom w:val="0"/>
      <w:divBdr>
        <w:top w:val="none" w:sz="0" w:space="0" w:color="auto"/>
        <w:left w:val="none" w:sz="0" w:space="0" w:color="auto"/>
        <w:bottom w:val="none" w:sz="0" w:space="0" w:color="auto"/>
        <w:right w:val="none" w:sz="0" w:space="0" w:color="auto"/>
      </w:divBdr>
    </w:div>
    <w:div w:id="1557545123">
      <w:bodyDiv w:val="1"/>
      <w:marLeft w:val="0"/>
      <w:marRight w:val="0"/>
      <w:marTop w:val="0"/>
      <w:marBottom w:val="0"/>
      <w:divBdr>
        <w:top w:val="none" w:sz="0" w:space="0" w:color="auto"/>
        <w:left w:val="none" w:sz="0" w:space="0" w:color="auto"/>
        <w:bottom w:val="none" w:sz="0" w:space="0" w:color="auto"/>
        <w:right w:val="none" w:sz="0" w:space="0" w:color="auto"/>
      </w:divBdr>
    </w:div>
    <w:div w:id="1635984898">
      <w:bodyDiv w:val="1"/>
      <w:marLeft w:val="0"/>
      <w:marRight w:val="0"/>
      <w:marTop w:val="0"/>
      <w:marBottom w:val="0"/>
      <w:divBdr>
        <w:top w:val="none" w:sz="0" w:space="0" w:color="auto"/>
        <w:left w:val="none" w:sz="0" w:space="0" w:color="auto"/>
        <w:bottom w:val="none" w:sz="0" w:space="0" w:color="auto"/>
        <w:right w:val="none" w:sz="0" w:space="0" w:color="auto"/>
      </w:divBdr>
    </w:div>
    <w:div w:id="1724980885">
      <w:bodyDiv w:val="1"/>
      <w:marLeft w:val="0"/>
      <w:marRight w:val="0"/>
      <w:marTop w:val="0"/>
      <w:marBottom w:val="0"/>
      <w:divBdr>
        <w:top w:val="none" w:sz="0" w:space="0" w:color="auto"/>
        <w:left w:val="none" w:sz="0" w:space="0" w:color="auto"/>
        <w:bottom w:val="none" w:sz="0" w:space="0" w:color="auto"/>
        <w:right w:val="none" w:sz="0" w:space="0" w:color="auto"/>
      </w:divBdr>
    </w:div>
    <w:div w:id="1726220505">
      <w:bodyDiv w:val="1"/>
      <w:marLeft w:val="0"/>
      <w:marRight w:val="0"/>
      <w:marTop w:val="0"/>
      <w:marBottom w:val="0"/>
      <w:divBdr>
        <w:top w:val="none" w:sz="0" w:space="0" w:color="auto"/>
        <w:left w:val="none" w:sz="0" w:space="0" w:color="auto"/>
        <w:bottom w:val="none" w:sz="0" w:space="0" w:color="auto"/>
        <w:right w:val="none" w:sz="0" w:space="0" w:color="auto"/>
      </w:divBdr>
    </w:div>
    <w:div w:id="1765832936">
      <w:bodyDiv w:val="1"/>
      <w:marLeft w:val="0"/>
      <w:marRight w:val="0"/>
      <w:marTop w:val="0"/>
      <w:marBottom w:val="0"/>
      <w:divBdr>
        <w:top w:val="none" w:sz="0" w:space="0" w:color="auto"/>
        <w:left w:val="none" w:sz="0" w:space="0" w:color="auto"/>
        <w:bottom w:val="none" w:sz="0" w:space="0" w:color="auto"/>
        <w:right w:val="none" w:sz="0" w:space="0" w:color="auto"/>
      </w:divBdr>
      <w:divsChild>
        <w:div w:id="589126508">
          <w:marLeft w:val="0"/>
          <w:marRight w:val="0"/>
          <w:marTop w:val="0"/>
          <w:marBottom w:val="0"/>
          <w:divBdr>
            <w:top w:val="single" w:sz="36" w:space="0" w:color="075290"/>
            <w:left w:val="none" w:sz="0" w:space="0" w:color="auto"/>
            <w:bottom w:val="none" w:sz="0" w:space="0" w:color="auto"/>
            <w:right w:val="none" w:sz="0" w:space="0" w:color="auto"/>
          </w:divBdr>
          <w:divsChild>
            <w:div w:id="1988365020">
              <w:marLeft w:val="0"/>
              <w:marRight w:val="0"/>
              <w:marTop w:val="0"/>
              <w:marBottom w:val="0"/>
              <w:divBdr>
                <w:top w:val="none" w:sz="0" w:space="0" w:color="auto"/>
                <w:left w:val="none" w:sz="0" w:space="0" w:color="auto"/>
                <w:bottom w:val="none" w:sz="0" w:space="0" w:color="auto"/>
                <w:right w:val="none" w:sz="0" w:space="0" w:color="auto"/>
              </w:divBdr>
              <w:divsChild>
                <w:div w:id="639506196">
                  <w:marLeft w:val="0"/>
                  <w:marRight w:val="0"/>
                  <w:marTop w:val="150"/>
                  <w:marBottom w:val="0"/>
                  <w:divBdr>
                    <w:top w:val="none" w:sz="0" w:space="0" w:color="auto"/>
                    <w:left w:val="none" w:sz="0" w:space="0" w:color="auto"/>
                    <w:bottom w:val="none" w:sz="0" w:space="0" w:color="auto"/>
                    <w:right w:val="none" w:sz="0" w:space="0" w:color="auto"/>
                  </w:divBdr>
                  <w:divsChild>
                    <w:div w:id="1392388724">
                      <w:marLeft w:val="-150"/>
                      <w:marRight w:val="0"/>
                      <w:marTop w:val="0"/>
                      <w:marBottom w:val="0"/>
                      <w:divBdr>
                        <w:top w:val="none" w:sz="0" w:space="0" w:color="auto"/>
                        <w:left w:val="none" w:sz="0" w:space="0" w:color="auto"/>
                        <w:bottom w:val="none" w:sz="0" w:space="0" w:color="auto"/>
                        <w:right w:val="none" w:sz="0" w:space="0" w:color="auto"/>
                      </w:divBdr>
                      <w:divsChild>
                        <w:div w:id="1597710400">
                          <w:marLeft w:val="0"/>
                          <w:marRight w:val="0"/>
                          <w:marTop w:val="0"/>
                          <w:marBottom w:val="0"/>
                          <w:divBdr>
                            <w:top w:val="none" w:sz="0" w:space="0" w:color="auto"/>
                            <w:left w:val="none" w:sz="0" w:space="0" w:color="auto"/>
                            <w:bottom w:val="none" w:sz="0" w:space="0" w:color="auto"/>
                            <w:right w:val="none" w:sz="0" w:space="0" w:color="auto"/>
                          </w:divBdr>
                          <w:divsChild>
                            <w:div w:id="1662463852">
                              <w:marLeft w:val="0"/>
                              <w:marRight w:val="0"/>
                              <w:marTop w:val="0"/>
                              <w:marBottom w:val="0"/>
                              <w:divBdr>
                                <w:top w:val="none" w:sz="0" w:space="0" w:color="auto"/>
                                <w:left w:val="none" w:sz="0" w:space="0" w:color="auto"/>
                                <w:bottom w:val="none" w:sz="0" w:space="0" w:color="auto"/>
                                <w:right w:val="none" w:sz="0" w:space="0" w:color="auto"/>
                              </w:divBdr>
                              <w:divsChild>
                                <w:div w:id="1783648584">
                                  <w:marLeft w:val="0"/>
                                  <w:marRight w:val="0"/>
                                  <w:marTop w:val="0"/>
                                  <w:marBottom w:val="0"/>
                                  <w:divBdr>
                                    <w:top w:val="none" w:sz="0" w:space="0" w:color="auto"/>
                                    <w:left w:val="none" w:sz="0" w:space="0" w:color="auto"/>
                                    <w:bottom w:val="none" w:sz="0" w:space="0" w:color="auto"/>
                                    <w:right w:val="none" w:sz="0" w:space="0" w:color="auto"/>
                                  </w:divBdr>
                                  <w:divsChild>
                                    <w:div w:id="15427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7576">
      <w:bodyDiv w:val="1"/>
      <w:marLeft w:val="0"/>
      <w:marRight w:val="0"/>
      <w:marTop w:val="0"/>
      <w:marBottom w:val="0"/>
      <w:divBdr>
        <w:top w:val="none" w:sz="0" w:space="0" w:color="auto"/>
        <w:left w:val="none" w:sz="0" w:space="0" w:color="auto"/>
        <w:bottom w:val="none" w:sz="0" w:space="0" w:color="auto"/>
        <w:right w:val="none" w:sz="0" w:space="0" w:color="auto"/>
      </w:divBdr>
    </w:div>
    <w:div w:id="1878590632">
      <w:bodyDiv w:val="1"/>
      <w:marLeft w:val="0"/>
      <w:marRight w:val="0"/>
      <w:marTop w:val="0"/>
      <w:marBottom w:val="0"/>
      <w:divBdr>
        <w:top w:val="none" w:sz="0" w:space="0" w:color="auto"/>
        <w:left w:val="none" w:sz="0" w:space="0" w:color="auto"/>
        <w:bottom w:val="none" w:sz="0" w:space="0" w:color="auto"/>
        <w:right w:val="none" w:sz="0" w:space="0" w:color="auto"/>
      </w:divBdr>
    </w:div>
    <w:div w:id="1900631126">
      <w:bodyDiv w:val="1"/>
      <w:marLeft w:val="0"/>
      <w:marRight w:val="0"/>
      <w:marTop w:val="0"/>
      <w:marBottom w:val="0"/>
      <w:divBdr>
        <w:top w:val="none" w:sz="0" w:space="0" w:color="auto"/>
        <w:left w:val="none" w:sz="0" w:space="0" w:color="auto"/>
        <w:bottom w:val="none" w:sz="0" w:space="0" w:color="auto"/>
        <w:right w:val="none" w:sz="0" w:space="0" w:color="auto"/>
      </w:divBdr>
    </w:div>
    <w:div w:id="1917127359">
      <w:bodyDiv w:val="1"/>
      <w:marLeft w:val="0"/>
      <w:marRight w:val="0"/>
      <w:marTop w:val="0"/>
      <w:marBottom w:val="0"/>
      <w:divBdr>
        <w:top w:val="none" w:sz="0" w:space="0" w:color="auto"/>
        <w:left w:val="none" w:sz="0" w:space="0" w:color="auto"/>
        <w:bottom w:val="none" w:sz="0" w:space="0" w:color="auto"/>
        <w:right w:val="none" w:sz="0" w:space="0" w:color="auto"/>
      </w:divBdr>
      <w:divsChild>
        <w:div w:id="1396706605">
          <w:marLeft w:val="0"/>
          <w:marRight w:val="0"/>
          <w:marTop w:val="0"/>
          <w:marBottom w:val="0"/>
          <w:divBdr>
            <w:top w:val="single" w:sz="36" w:space="0" w:color="075290"/>
            <w:left w:val="none" w:sz="0" w:space="0" w:color="auto"/>
            <w:bottom w:val="none" w:sz="0" w:space="0" w:color="auto"/>
            <w:right w:val="none" w:sz="0" w:space="0" w:color="auto"/>
          </w:divBdr>
          <w:divsChild>
            <w:div w:id="758598543">
              <w:marLeft w:val="0"/>
              <w:marRight w:val="0"/>
              <w:marTop w:val="0"/>
              <w:marBottom w:val="0"/>
              <w:divBdr>
                <w:top w:val="none" w:sz="0" w:space="0" w:color="auto"/>
                <w:left w:val="none" w:sz="0" w:space="0" w:color="auto"/>
                <w:bottom w:val="none" w:sz="0" w:space="0" w:color="auto"/>
                <w:right w:val="none" w:sz="0" w:space="0" w:color="auto"/>
              </w:divBdr>
              <w:divsChild>
                <w:div w:id="11420030">
                  <w:marLeft w:val="0"/>
                  <w:marRight w:val="0"/>
                  <w:marTop w:val="150"/>
                  <w:marBottom w:val="0"/>
                  <w:divBdr>
                    <w:top w:val="none" w:sz="0" w:space="0" w:color="auto"/>
                    <w:left w:val="none" w:sz="0" w:space="0" w:color="auto"/>
                    <w:bottom w:val="none" w:sz="0" w:space="0" w:color="auto"/>
                    <w:right w:val="none" w:sz="0" w:space="0" w:color="auto"/>
                  </w:divBdr>
                  <w:divsChild>
                    <w:div w:id="805006891">
                      <w:marLeft w:val="-150"/>
                      <w:marRight w:val="0"/>
                      <w:marTop w:val="0"/>
                      <w:marBottom w:val="0"/>
                      <w:divBdr>
                        <w:top w:val="none" w:sz="0" w:space="0" w:color="auto"/>
                        <w:left w:val="none" w:sz="0" w:space="0" w:color="auto"/>
                        <w:bottom w:val="none" w:sz="0" w:space="0" w:color="auto"/>
                        <w:right w:val="none" w:sz="0" w:space="0" w:color="auto"/>
                      </w:divBdr>
                      <w:divsChild>
                        <w:div w:id="957031207">
                          <w:marLeft w:val="0"/>
                          <w:marRight w:val="0"/>
                          <w:marTop w:val="0"/>
                          <w:marBottom w:val="0"/>
                          <w:divBdr>
                            <w:top w:val="none" w:sz="0" w:space="0" w:color="auto"/>
                            <w:left w:val="none" w:sz="0" w:space="0" w:color="auto"/>
                            <w:bottom w:val="none" w:sz="0" w:space="0" w:color="auto"/>
                            <w:right w:val="none" w:sz="0" w:space="0" w:color="auto"/>
                          </w:divBdr>
                          <w:divsChild>
                            <w:div w:id="1547915521">
                              <w:marLeft w:val="0"/>
                              <w:marRight w:val="0"/>
                              <w:marTop w:val="0"/>
                              <w:marBottom w:val="0"/>
                              <w:divBdr>
                                <w:top w:val="none" w:sz="0" w:space="0" w:color="auto"/>
                                <w:left w:val="none" w:sz="0" w:space="0" w:color="auto"/>
                                <w:bottom w:val="none" w:sz="0" w:space="0" w:color="auto"/>
                                <w:right w:val="none" w:sz="0" w:space="0" w:color="auto"/>
                              </w:divBdr>
                              <w:divsChild>
                                <w:div w:id="1249386661">
                                  <w:marLeft w:val="0"/>
                                  <w:marRight w:val="0"/>
                                  <w:marTop w:val="0"/>
                                  <w:marBottom w:val="0"/>
                                  <w:divBdr>
                                    <w:top w:val="none" w:sz="0" w:space="0" w:color="auto"/>
                                    <w:left w:val="none" w:sz="0" w:space="0" w:color="auto"/>
                                    <w:bottom w:val="none" w:sz="0" w:space="0" w:color="auto"/>
                                    <w:right w:val="none" w:sz="0" w:space="0" w:color="auto"/>
                                  </w:divBdr>
                                  <w:divsChild>
                                    <w:div w:id="11177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2267">
      <w:bodyDiv w:val="1"/>
      <w:marLeft w:val="0"/>
      <w:marRight w:val="0"/>
      <w:marTop w:val="0"/>
      <w:marBottom w:val="0"/>
      <w:divBdr>
        <w:top w:val="none" w:sz="0" w:space="0" w:color="auto"/>
        <w:left w:val="none" w:sz="0" w:space="0" w:color="auto"/>
        <w:bottom w:val="none" w:sz="0" w:space="0" w:color="auto"/>
        <w:right w:val="none" w:sz="0" w:space="0" w:color="auto"/>
      </w:divBdr>
      <w:divsChild>
        <w:div w:id="690647384">
          <w:marLeft w:val="0"/>
          <w:marRight w:val="0"/>
          <w:marTop w:val="0"/>
          <w:marBottom w:val="0"/>
          <w:divBdr>
            <w:top w:val="single" w:sz="36" w:space="0" w:color="075290"/>
            <w:left w:val="none" w:sz="0" w:space="0" w:color="auto"/>
            <w:bottom w:val="none" w:sz="0" w:space="0" w:color="auto"/>
            <w:right w:val="none" w:sz="0" w:space="0" w:color="auto"/>
          </w:divBdr>
          <w:divsChild>
            <w:div w:id="1924365131">
              <w:marLeft w:val="0"/>
              <w:marRight w:val="0"/>
              <w:marTop w:val="0"/>
              <w:marBottom w:val="0"/>
              <w:divBdr>
                <w:top w:val="none" w:sz="0" w:space="0" w:color="auto"/>
                <w:left w:val="none" w:sz="0" w:space="0" w:color="auto"/>
                <w:bottom w:val="none" w:sz="0" w:space="0" w:color="auto"/>
                <w:right w:val="none" w:sz="0" w:space="0" w:color="auto"/>
              </w:divBdr>
              <w:divsChild>
                <w:div w:id="1643388296">
                  <w:marLeft w:val="0"/>
                  <w:marRight w:val="0"/>
                  <w:marTop w:val="150"/>
                  <w:marBottom w:val="0"/>
                  <w:divBdr>
                    <w:top w:val="none" w:sz="0" w:space="0" w:color="auto"/>
                    <w:left w:val="none" w:sz="0" w:space="0" w:color="auto"/>
                    <w:bottom w:val="none" w:sz="0" w:space="0" w:color="auto"/>
                    <w:right w:val="none" w:sz="0" w:space="0" w:color="auto"/>
                  </w:divBdr>
                  <w:divsChild>
                    <w:div w:id="352149576">
                      <w:marLeft w:val="-150"/>
                      <w:marRight w:val="0"/>
                      <w:marTop w:val="0"/>
                      <w:marBottom w:val="0"/>
                      <w:divBdr>
                        <w:top w:val="none" w:sz="0" w:space="0" w:color="auto"/>
                        <w:left w:val="none" w:sz="0" w:space="0" w:color="auto"/>
                        <w:bottom w:val="none" w:sz="0" w:space="0" w:color="auto"/>
                        <w:right w:val="none" w:sz="0" w:space="0" w:color="auto"/>
                      </w:divBdr>
                      <w:divsChild>
                        <w:div w:id="2055765535">
                          <w:marLeft w:val="0"/>
                          <w:marRight w:val="0"/>
                          <w:marTop w:val="0"/>
                          <w:marBottom w:val="0"/>
                          <w:divBdr>
                            <w:top w:val="none" w:sz="0" w:space="0" w:color="auto"/>
                            <w:left w:val="none" w:sz="0" w:space="0" w:color="auto"/>
                            <w:bottom w:val="none" w:sz="0" w:space="0" w:color="auto"/>
                            <w:right w:val="none" w:sz="0" w:space="0" w:color="auto"/>
                          </w:divBdr>
                          <w:divsChild>
                            <w:div w:id="991450695">
                              <w:marLeft w:val="0"/>
                              <w:marRight w:val="0"/>
                              <w:marTop w:val="0"/>
                              <w:marBottom w:val="0"/>
                              <w:divBdr>
                                <w:top w:val="none" w:sz="0" w:space="0" w:color="auto"/>
                                <w:left w:val="none" w:sz="0" w:space="0" w:color="auto"/>
                                <w:bottom w:val="none" w:sz="0" w:space="0" w:color="auto"/>
                                <w:right w:val="none" w:sz="0" w:space="0" w:color="auto"/>
                              </w:divBdr>
                              <w:divsChild>
                                <w:div w:id="103575154">
                                  <w:marLeft w:val="0"/>
                                  <w:marRight w:val="0"/>
                                  <w:marTop w:val="0"/>
                                  <w:marBottom w:val="0"/>
                                  <w:divBdr>
                                    <w:top w:val="none" w:sz="0" w:space="0" w:color="auto"/>
                                    <w:left w:val="none" w:sz="0" w:space="0" w:color="auto"/>
                                    <w:bottom w:val="none" w:sz="0" w:space="0" w:color="auto"/>
                                    <w:right w:val="none" w:sz="0" w:space="0" w:color="auto"/>
                                  </w:divBdr>
                                  <w:divsChild>
                                    <w:div w:id="4844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8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UD5@cdc.gov" TargetMode="External"/><Relationship Id="rId13" Type="http://schemas.openxmlformats.org/officeDocument/2006/relationships/hyperlink" Target="http://www.cdc.gov/injury/wisqars/index.html" TargetMode="External"/><Relationship Id="rId18" Type="http://schemas.openxmlformats.org/officeDocument/2006/relationships/hyperlink" Target="https://www.cdc.gov/violenceprevention/nvdrs/stateprofile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15585/mmwr.mm6903a1" TargetMode="External"/><Relationship Id="rId7" Type="http://schemas.openxmlformats.org/officeDocument/2006/relationships/endnotes" Target="endnotes.xml"/><Relationship Id="rId12" Type="http://schemas.openxmlformats.org/officeDocument/2006/relationships/hyperlink" Target="https://www.unodc.org/documents/data-and-analysis/gsh/Booklet1.pdf" TargetMode="External"/><Relationship Id="rId17" Type="http://schemas.openxmlformats.org/officeDocument/2006/relationships/hyperlink" Target="https://www.cdc.gov/violenceprevention/nvdrs/publication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p.edu/openbook.php?record_id=6321" TargetMode="External"/><Relationship Id="rId20" Type="http://schemas.openxmlformats.org/officeDocument/2006/relationships/hyperlink" Target="http://www.bls.gov/o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i/item/978924002664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ashstats.nhtsa.dot.gov/Api/Public/ViewPublication/81133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tacks.cdc.gov/view/cdc/84275" TargetMode="External"/><Relationship Id="rId19" Type="http://schemas.openxmlformats.org/officeDocument/2006/relationships/hyperlink" Target="http://dx.doi.org/10.15585/mmwr.ss6711a1" TargetMode="External"/><Relationship Id="rId4" Type="http://schemas.openxmlformats.org/officeDocument/2006/relationships/settings" Target="settings.xml"/><Relationship Id="rId9" Type="http://schemas.openxmlformats.org/officeDocument/2006/relationships/hyperlink" Target="http://dx.doi.org/10.15585/mmwr.mm6803a1" TargetMode="External"/><Relationship Id="rId14" Type="http://schemas.openxmlformats.org/officeDocument/2006/relationships/hyperlink" Target="https://www.nhtsa.gov/research-data/fatality-analysis-reporting-system-fars" TargetMode="External"/><Relationship Id="rId22" Type="http://schemas.openxmlformats.org/officeDocument/2006/relationships/hyperlink" Target="https://stacks.cdc.gov/view/cdc/8427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40DC4-2103-4A80-B406-8976FA7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9377</Words>
  <Characters>53450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62702</CharactersWithSpaces>
  <SharedDoc>false</SharedDoc>
  <HLinks>
    <vt:vector size="90" baseType="variant">
      <vt:variant>
        <vt:i4>1048585</vt:i4>
      </vt:variant>
      <vt:variant>
        <vt:i4>42</vt:i4>
      </vt:variant>
      <vt:variant>
        <vt:i4>0</vt:i4>
      </vt:variant>
      <vt:variant>
        <vt:i4>5</vt:i4>
      </vt:variant>
      <vt:variant>
        <vt:lpwstr>https://stacks.cdc.gov/view/cdc/84275</vt:lpwstr>
      </vt:variant>
      <vt:variant>
        <vt:lpwstr/>
      </vt:variant>
      <vt:variant>
        <vt:i4>1966172</vt:i4>
      </vt:variant>
      <vt:variant>
        <vt:i4>39</vt:i4>
      </vt:variant>
      <vt:variant>
        <vt:i4>0</vt:i4>
      </vt:variant>
      <vt:variant>
        <vt:i4>5</vt:i4>
      </vt:variant>
      <vt:variant>
        <vt:lpwstr>http://dx.doi.org/10.15585/mmwr.mm6903a1</vt:lpwstr>
      </vt:variant>
      <vt:variant>
        <vt:lpwstr/>
      </vt:variant>
      <vt:variant>
        <vt:i4>3604535</vt:i4>
      </vt:variant>
      <vt:variant>
        <vt:i4>36</vt:i4>
      </vt:variant>
      <vt:variant>
        <vt:i4>0</vt:i4>
      </vt:variant>
      <vt:variant>
        <vt:i4>5</vt:i4>
      </vt:variant>
      <vt:variant>
        <vt:lpwstr>http://www.bls.gov/oes/</vt:lpwstr>
      </vt:variant>
      <vt:variant>
        <vt:lpwstr/>
      </vt:variant>
      <vt:variant>
        <vt:i4>786499</vt:i4>
      </vt:variant>
      <vt:variant>
        <vt:i4>33</vt:i4>
      </vt:variant>
      <vt:variant>
        <vt:i4>0</vt:i4>
      </vt:variant>
      <vt:variant>
        <vt:i4>5</vt:i4>
      </vt:variant>
      <vt:variant>
        <vt:lpwstr>http://dx.doi.org/10.15585/mmwr.ss6711a1</vt:lpwstr>
      </vt:variant>
      <vt:variant>
        <vt:lpwstr/>
      </vt:variant>
      <vt:variant>
        <vt:i4>2162792</vt:i4>
      </vt:variant>
      <vt:variant>
        <vt:i4>30</vt:i4>
      </vt:variant>
      <vt:variant>
        <vt:i4>0</vt:i4>
      </vt:variant>
      <vt:variant>
        <vt:i4>5</vt:i4>
      </vt:variant>
      <vt:variant>
        <vt:lpwstr>https://www.cdc.gov/violenceprevention/nvdrs/stateprofiles.html</vt:lpwstr>
      </vt:variant>
      <vt:variant>
        <vt:lpwstr/>
      </vt:variant>
      <vt:variant>
        <vt:i4>7536694</vt:i4>
      </vt:variant>
      <vt:variant>
        <vt:i4>27</vt:i4>
      </vt:variant>
      <vt:variant>
        <vt:i4>0</vt:i4>
      </vt:variant>
      <vt:variant>
        <vt:i4>5</vt:i4>
      </vt:variant>
      <vt:variant>
        <vt:lpwstr>https://www.cdc.gov/violenceprevention/nvdrs/publications.html</vt:lpwstr>
      </vt:variant>
      <vt:variant>
        <vt:lpwstr/>
      </vt:variant>
      <vt:variant>
        <vt:i4>6488082</vt:i4>
      </vt:variant>
      <vt:variant>
        <vt:i4>24</vt:i4>
      </vt:variant>
      <vt:variant>
        <vt:i4>0</vt:i4>
      </vt:variant>
      <vt:variant>
        <vt:i4>5</vt:i4>
      </vt:variant>
      <vt:variant>
        <vt:lpwstr>http://www.nap.edu/openbook.php?record_id=6321</vt:lpwstr>
      </vt:variant>
      <vt:variant>
        <vt:lpwstr/>
      </vt:variant>
      <vt:variant>
        <vt:i4>3276833</vt:i4>
      </vt:variant>
      <vt:variant>
        <vt:i4>21</vt:i4>
      </vt:variant>
      <vt:variant>
        <vt:i4>0</vt:i4>
      </vt:variant>
      <vt:variant>
        <vt:i4>5</vt:i4>
      </vt:variant>
      <vt:variant>
        <vt:lpwstr>https://crashstats.nhtsa.dot.gov/Api/Public/ViewPublication/811337</vt:lpwstr>
      </vt:variant>
      <vt:variant>
        <vt:lpwstr/>
      </vt:variant>
      <vt:variant>
        <vt:i4>8126582</vt:i4>
      </vt:variant>
      <vt:variant>
        <vt:i4>18</vt:i4>
      </vt:variant>
      <vt:variant>
        <vt:i4>0</vt:i4>
      </vt:variant>
      <vt:variant>
        <vt:i4>5</vt:i4>
      </vt:variant>
      <vt:variant>
        <vt:lpwstr>https://www.nhtsa.gov/research-data/fatality-analysis-reporting-system-fars</vt:lpwstr>
      </vt:variant>
      <vt:variant>
        <vt:lpwstr/>
      </vt:variant>
      <vt:variant>
        <vt:i4>1835102</vt:i4>
      </vt:variant>
      <vt:variant>
        <vt:i4>15</vt:i4>
      </vt:variant>
      <vt:variant>
        <vt:i4>0</vt:i4>
      </vt:variant>
      <vt:variant>
        <vt:i4>5</vt:i4>
      </vt:variant>
      <vt:variant>
        <vt:lpwstr>http://www.cdc.gov/injury/wisqars/index.html</vt:lpwstr>
      </vt:variant>
      <vt:variant>
        <vt:lpwstr/>
      </vt:variant>
      <vt:variant>
        <vt:i4>3473514</vt:i4>
      </vt:variant>
      <vt:variant>
        <vt:i4>12</vt:i4>
      </vt:variant>
      <vt:variant>
        <vt:i4>0</vt:i4>
      </vt:variant>
      <vt:variant>
        <vt:i4>5</vt:i4>
      </vt:variant>
      <vt:variant>
        <vt:lpwstr>https://www.unodc.org/documents/data-and-analysis/gsh/Booklet1.pdf</vt:lpwstr>
      </vt:variant>
      <vt:variant>
        <vt:lpwstr/>
      </vt:variant>
      <vt:variant>
        <vt:i4>2031686</vt:i4>
      </vt:variant>
      <vt:variant>
        <vt:i4>9</vt:i4>
      </vt:variant>
      <vt:variant>
        <vt:i4>0</vt:i4>
      </vt:variant>
      <vt:variant>
        <vt:i4>5</vt:i4>
      </vt:variant>
      <vt:variant>
        <vt:lpwstr>https://www.who.int/publications/i/item/9789240026643</vt:lpwstr>
      </vt:variant>
      <vt:variant>
        <vt:lpwstr/>
      </vt:variant>
      <vt:variant>
        <vt:i4>1048585</vt:i4>
      </vt:variant>
      <vt:variant>
        <vt:i4>6</vt:i4>
      </vt:variant>
      <vt:variant>
        <vt:i4>0</vt:i4>
      </vt:variant>
      <vt:variant>
        <vt:i4>5</vt:i4>
      </vt:variant>
      <vt:variant>
        <vt:lpwstr>https://stacks.cdc.gov/view/cdc/84275</vt:lpwstr>
      </vt:variant>
      <vt:variant>
        <vt:lpwstr/>
      </vt:variant>
      <vt:variant>
        <vt:i4>2031708</vt:i4>
      </vt:variant>
      <vt:variant>
        <vt:i4>3</vt:i4>
      </vt:variant>
      <vt:variant>
        <vt:i4>0</vt:i4>
      </vt:variant>
      <vt:variant>
        <vt:i4>5</vt:i4>
      </vt:variant>
      <vt:variant>
        <vt:lpwstr>http://dx.doi.org/10.15585/mmwr.mm6803a1</vt:lpwstr>
      </vt:variant>
      <vt:variant>
        <vt:lpwstr/>
      </vt:variant>
      <vt:variant>
        <vt:i4>1638509</vt:i4>
      </vt:variant>
      <vt:variant>
        <vt:i4>0</vt:i4>
      </vt:variant>
      <vt:variant>
        <vt:i4>0</vt:i4>
      </vt:variant>
      <vt:variant>
        <vt:i4>5</vt:i4>
      </vt:variant>
      <vt:variant>
        <vt:lpwstr>mailto:ZUD5@cdc.gov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subject/>
  <dc:creator>Leroy Frazier</dc:creator>
  <cp:keywords/>
  <cp:lastModifiedBy>Macaluso, Renita (CDC/DDPHSS/OS/OSI)</cp:lastModifiedBy>
  <cp:revision>2</cp:revision>
  <cp:lastPrinted>2017-07-11T14:01:00Z</cp:lastPrinted>
  <dcterms:created xsi:type="dcterms:W3CDTF">2022-01-19T01:43:00Z</dcterms:created>
  <dcterms:modified xsi:type="dcterms:W3CDTF">2022-01-19T01:43:00Z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2021-05-18T15:33:41Z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885cb08d-780c-4794-870b-7d1845ce7fb2</vt:lpwstr>
  </property>
  <property fmtid="{D5CDD505-2E9C-101B-9397-08002B2CF9AE}" pid="8" name="MSIP_Label_7b94a7b8-f06c-4dfe-bdcc-9b548fd58c31_ContentBits">
    <vt:lpwstr>0</vt:lpwstr>
  </property>
</Properties>
</file>