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3F919783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295ECC">
        <w:rPr>
          <w:b/>
          <w:bCs/>
        </w:rPr>
        <w:t>0920-0607</w:t>
      </w:r>
    </w:p>
    <w:p w:rsidR="00234F53" w:rsidP="00C43311" w14:paraId="3713B5EA" w14:textId="77777777">
      <w:pPr>
        <w:pStyle w:val="Default"/>
        <w:jc w:val="center"/>
        <w:rPr>
          <w:b/>
          <w:bCs/>
        </w:rPr>
      </w:pPr>
      <w:r w:rsidRPr="00234F53">
        <w:rPr>
          <w:b/>
          <w:bCs/>
        </w:rPr>
        <w:t xml:space="preserve">The National Violent Death Reporting System </w:t>
      </w:r>
    </w:p>
    <w:p w:rsidR="008E6BC9" w:rsidRPr="008E6BC9" w:rsidP="00C43311" w14:paraId="0EE0D2AB" w14:textId="61167F04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295ECC">
        <w:rPr>
          <w:b/>
          <w:bCs/>
        </w:rPr>
        <w:t>2/28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0328230A">
      <w:pPr>
        <w:pStyle w:val="Default"/>
        <w:rPr>
          <w:i/>
          <w:iCs/>
        </w:rPr>
      </w:pPr>
      <w:r w:rsidRPr="008E6BC9">
        <w:rPr>
          <w:b/>
          <w:bCs/>
        </w:rPr>
        <w:t>Summary of request</w:t>
      </w:r>
      <w:r w:rsidRPr="00295ECC">
        <w:rPr>
          <w:b/>
          <w:bCs/>
        </w:rPr>
        <w:t xml:space="preserve">: </w:t>
      </w:r>
      <w:r w:rsidRPr="00295ECC">
        <w:t>CDC/</w:t>
      </w:r>
      <w:r w:rsidRPr="00295ECC" w:rsidR="00295ECC">
        <w:t>NCIPC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295ECC" w:rsidP="008E6BC9" w14:paraId="270AD1D1" w14:textId="77777777">
      <w:pPr>
        <w:pStyle w:val="Default"/>
        <w:rPr>
          <w:b/>
          <w:bCs/>
        </w:rPr>
      </w:pPr>
    </w:p>
    <w:p w:rsidR="008E6BC9" w:rsidRPr="008E6BC9" w:rsidP="008E6BC9" w14:paraId="798E3A0D" w14:textId="1D681E44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</w:t>
      </w:r>
      <w:r w:rsidR="004462E1">
        <w:t xml:space="preserve">and gender variables </w:t>
      </w:r>
      <w:r w:rsidRPr="008E6BC9">
        <w:t xml:space="preserve">used in </w:t>
      </w:r>
      <w:bookmarkStart w:id="0" w:name="_Hlk191628468"/>
      <w:r w:rsidR="00295ECC">
        <w:t xml:space="preserve">the National Violent Death Reporting System </w:t>
      </w:r>
      <w:bookmarkEnd w:id="0"/>
      <w:r w:rsidRPr="008E6BC9">
        <w:t xml:space="preserve">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1AA8368C">
      <w:pPr>
        <w:pStyle w:val="Default"/>
      </w:pPr>
      <w:r>
        <w:t>x</w:t>
      </w:r>
      <w:r w:rsidRPr="008E6BC9">
        <w:t xml:space="preserve"> Revision of an existing question(s) </w:t>
      </w:r>
    </w:p>
    <w:p w:rsidR="002C01B4" w:rsidP="008E6BC9" w14:paraId="0FA7A6D1" w14:textId="5F762144">
      <w:pPr>
        <w:pStyle w:val="Default"/>
      </w:pPr>
      <w:r>
        <w:t>x</w:t>
      </w:r>
      <w:r w:rsidRPr="008E6BC9" w:rsidR="008E6BC9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301330DD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</w:t>
      </w:r>
      <w:r w:rsidRPr="004462E1" w:rsidR="00295ECC">
        <w:t>has changed</w:t>
      </w:r>
      <w:r w:rsidR="00295ECC">
        <w:t xml:space="preserve"> </w:t>
      </w:r>
      <w:r>
        <w:t xml:space="preserve">the current </w:t>
      </w:r>
      <w:r w:rsidR="00F44BA7">
        <w:t>Gender/Sex question to</w:t>
      </w:r>
      <w:r w:rsidR="008746AA">
        <w:t xml:space="preserve"> (please see</w:t>
      </w:r>
      <w:r w:rsidR="00234F53">
        <w:t xml:space="preserve"> red circle in</w:t>
      </w:r>
      <w:r w:rsidR="008746AA">
        <w:t xml:space="preserve"> attached screenshot)</w:t>
      </w:r>
      <w:r w:rsidR="00F44BA7">
        <w:t>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5459E98F">
      <w:pPr>
        <w:pStyle w:val="Default"/>
      </w:pPr>
      <w:r>
        <w:t>-            Male</w:t>
      </w:r>
    </w:p>
    <w:p w:rsidR="003C3B11" w:rsidP="00926942" w14:paraId="5D6D3235" w14:textId="7BBB1D24">
      <w:pPr>
        <w:pStyle w:val="Default"/>
      </w:pPr>
      <w:r>
        <w:t>-            Female</w:t>
      </w:r>
    </w:p>
    <w:p w:rsidR="00113FB4" w:rsidP="00926942" w14:paraId="60DE12CC" w14:textId="39F80A97">
      <w:pPr>
        <w:pStyle w:val="Default"/>
      </w:pPr>
      <w:r>
        <w:t>-</w:t>
      </w:r>
      <w:r w:rsidR="004462E1">
        <w:tab/>
        <w:t xml:space="preserve"> Unknown</w:t>
      </w:r>
    </w:p>
    <w:p w:rsidR="006C09AE" w:rsidP="00926942" w14:paraId="2216C4EC" w14:textId="77777777">
      <w:pPr>
        <w:pStyle w:val="Default"/>
      </w:pPr>
    </w:p>
    <w:p w:rsidR="00A2044C" w:rsidRPr="00234F53" w:rsidP="00A2044C" w14:paraId="76D5103D" w14:textId="46EAFA19">
      <w:pPr>
        <w:pStyle w:val="Default"/>
      </w:pPr>
      <w:r w:rsidRPr="00234F53">
        <w:t>CDC has also disabled</w:t>
      </w:r>
      <w:r>
        <w:t xml:space="preserve"> and removed</w:t>
      </w:r>
      <w:r w:rsidRPr="00234F53">
        <w:t xml:space="preserve"> the transgender variable in the system software.</w:t>
      </w:r>
    </w:p>
    <w:p w:rsidR="00A2044C" w:rsidP="00A2044C" w14:paraId="0A08CD82" w14:textId="77777777">
      <w:pPr>
        <w:pStyle w:val="Default"/>
        <w:rPr>
          <w:i/>
          <w:iCs/>
        </w:rPr>
      </w:pPr>
    </w:p>
    <w:p w:rsidR="00234F53" w:rsidP="00234F53" w14:paraId="6EC017DF" w14:textId="03A2E903">
      <w:pPr>
        <w:pStyle w:val="Default"/>
        <w:rPr>
          <w:noProof/>
          <w14:ligatures w14:val="none"/>
        </w:rPr>
      </w:pPr>
    </w:p>
    <w:p w:rsidR="00113FB4" w:rsidP="00234F53" w14:paraId="4A377358" w14:textId="1BD1BC3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1364615</wp:posOffset>
                </wp:positionV>
                <wp:extent cx="2042160" cy="1120140"/>
                <wp:effectExtent l="0" t="0" r="15240" b="22860"/>
                <wp:wrapNone/>
                <wp:docPr id="4779585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2160" cy="1120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25" style="width:160.8pt;height:88.2pt;margin-top:107.45pt;margin-left:195.6pt;mso-width-percent:0;mso-width-relative:margin;mso-wrap-distance-bottom:0;mso-wrap-distance-left:9pt;mso-wrap-distance-right:9pt;mso-wrap-distance-top:0;mso-wrap-style:square;position:absolute;visibility:visible;v-text-anchor:middle;z-index:251659264" filled="f" strokecolor="red" strokeweight="1pt">
                <v:stroke joinstyle="miter"/>
              </v:oval>
            </w:pict>
          </mc:Fallback>
        </mc:AlternateContent>
      </w:r>
      <w:r w:rsidR="00A2044C">
        <w:rPr>
          <w:noProof/>
          <w14:ligatures w14:val="none"/>
        </w:rPr>
        <w:drawing>
          <wp:inline distT="0" distB="0" distL="0" distR="0">
            <wp:extent cx="5890260" cy="2727325"/>
            <wp:effectExtent l="0" t="0" r="0" b="0"/>
            <wp:docPr id="1719264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646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49" cy="27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44C" w:rsidP="00113FB4" w14:paraId="48C40E5E" w14:textId="77777777">
      <w:pPr>
        <w:pStyle w:val="Default"/>
      </w:pPr>
    </w:p>
    <w:p w:rsidR="00A2044C" w:rsidP="00113FB4" w14:paraId="4447BD44" w14:textId="77777777">
      <w:pPr>
        <w:pStyle w:val="Default"/>
      </w:pPr>
    </w:p>
    <w:p w:rsidR="00234F53" w:rsidP="008E6BC9" w14:paraId="1D3C99EB" w14:textId="77777777">
      <w:pPr>
        <w:pStyle w:val="Default"/>
      </w:pPr>
    </w:p>
    <w:p w:rsidR="00234F53" w:rsidP="008E6BC9" w14:paraId="71B4EFAC" w14:textId="77777777">
      <w:pPr>
        <w:pStyle w:val="Default"/>
      </w:pPr>
    </w:p>
    <w:p w:rsidR="00234F53" w:rsidP="008E6BC9" w14:paraId="65211252" w14:textId="77777777">
      <w:pPr>
        <w:pStyle w:val="Default"/>
      </w:pPr>
    </w:p>
    <w:p w:rsidR="0027059A" w:rsidP="008E6BC9" w14:paraId="53460299" w14:textId="455B92F1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8E6BC9" w:rsidP="008E6BC9" w14:paraId="3313AF90" w14:textId="2A58FB59">
      <w:pPr>
        <w:pStyle w:val="Default"/>
      </w:pPr>
      <w:r w:rsidRPr="00CB5109">
        <w:rPr>
          <w:b/>
          <w:bCs/>
        </w:rPr>
        <w:t>Description of Changes to Burden</w:t>
      </w:r>
      <w:r w:rsidR="004462E1">
        <w:rPr>
          <w:b/>
          <w:bCs/>
        </w:rPr>
        <w:t xml:space="preserve">: </w:t>
      </w:r>
      <w:r w:rsidRPr="004462E1" w:rsidR="00295ECC">
        <w:t>There is no change in Burden Hours associated with the modifications made to comply with EO 14168.</w:t>
      </w:r>
    </w:p>
    <w:p w:rsidR="00695D96" w:rsidRPr="00A2044C" w:rsidP="008E6BC9" w14:paraId="608593EE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77777777">
            <w:pPr>
              <w:pStyle w:val="Default"/>
            </w:pPr>
            <w:r w:rsidRPr="008E6BC9">
              <w:t xml:space="preserve">Form 1 </w:t>
            </w:r>
          </w:p>
        </w:tc>
        <w:tc>
          <w:tcPr>
            <w:tcW w:w="2520" w:type="dxa"/>
          </w:tcPr>
          <w:p w:rsidR="008E6BC9" w:rsidRPr="008E6BC9" w14:paraId="3031E1FA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04B700A0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  <w:tc>
          <w:tcPr>
            <w:tcW w:w="2754" w:type="dxa"/>
          </w:tcPr>
          <w:p w:rsidR="008E6BC9" w:rsidRPr="008E6BC9" w14:paraId="7B9FB491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38DF1297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</w:tr>
      <w:tr w14:paraId="5C8BEBA6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0095F257" w14:textId="77777777">
            <w:pPr>
              <w:pStyle w:val="Default"/>
            </w:pPr>
            <w:r w:rsidRPr="008E6BC9">
              <w:t xml:space="preserve">Form 2 </w:t>
            </w:r>
          </w:p>
        </w:tc>
        <w:tc>
          <w:tcPr>
            <w:tcW w:w="2520" w:type="dxa"/>
          </w:tcPr>
          <w:p w:rsidR="008E6BC9" w:rsidRPr="008E6BC9" w14:paraId="137EA6A2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7CCB6313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  <w:tc>
          <w:tcPr>
            <w:tcW w:w="2754" w:type="dxa"/>
          </w:tcPr>
          <w:p w:rsidR="008E6BC9" w:rsidRPr="008E6BC9" w14:paraId="21A4CD86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4A6D420E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77777777">
            <w:pPr>
              <w:pStyle w:val="Default"/>
            </w:pPr>
            <w:r w:rsidRPr="008E6BC9">
              <w:t xml:space="preserve">TOTAL TIME </w:t>
            </w:r>
          </w:p>
        </w:tc>
        <w:tc>
          <w:tcPr>
            <w:tcW w:w="2754" w:type="dxa"/>
          </w:tcPr>
          <w:p w:rsidR="008E6BC9" w:rsidRPr="008E6BC9" w14:paraId="2147B0C9" w14:textId="77777777">
            <w:pPr>
              <w:pStyle w:val="Default"/>
            </w:pPr>
            <w:r w:rsidRPr="008E6BC9">
              <w:t xml:space="preserve">TOTAL TIME </w:t>
            </w:r>
          </w:p>
        </w:tc>
      </w:tr>
    </w:tbl>
    <w:p w:rsidR="008746AA" w:rsidP="00CE5292" w14:paraId="0B48924A" w14:textId="77777777">
      <w:pPr>
        <w:pStyle w:val="Default"/>
        <w:rPr>
          <w:b/>
          <w:bCs/>
        </w:rPr>
      </w:pPr>
    </w:p>
    <w:p w:rsidR="004A0407" w:rsidP="00CE5292" w14:paraId="7C4AE9F9" w14:textId="0B49D40F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695D96" w:rsidRPr="00CE5292" w:rsidP="00CE5292" w14:paraId="4774C412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0FFE0106">
            <w:pPr>
              <w:pStyle w:val="Default"/>
            </w:pPr>
            <w:r w:rsidRPr="00566578">
              <w:t>Form 1</w:t>
            </w:r>
          </w:p>
        </w:tc>
        <w:tc>
          <w:tcPr>
            <w:tcW w:w="2514" w:type="dxa"/>
          </w:tcPr>
          <w:p w:rsidR="00D05D2E" w:rsidRPr="00CE5292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D05D2E" w:rsidRPr="00CE5292" w14:paraId="76F6AF12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70A74AFC" w14:textId="77777777">
            <w:pPr>
              <w:pStyle w:val="Default"/>
            </w:pP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D05D2E" w14:paraId="6A32690C" w14:textId="47E405EF">
            <w:pPr>
              <w:pStyle w:val="Default"/>
            </w:pPr>
            <w:r>
              <w:t xml:space="preserve">Question </w:t>
            </w:r>
            <w:r w:rsidR="0029411F">
              <w:t>Deletion</w:t>
            </w:r>
          </w:p>
        </w:tc>
        <w:tc>
          <w:tcPr>
            <w:tcW w:w="1855" w:type="dxa"/>
          </w:tcPr>
          <w:p w:rsidR="00D05D2E" w:rsidRPr="00CE5292" w14:paraId="2AF4F3E3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123D0EFA" w14:textId="77777777">
            <w:pPr>
              <w:pStyle w:val="Default"/>
            </w:pPr>
          </w:p>
        </w:tc>
      </w:tr>
    </w:tbl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13FB4"/>
    <w:rsid w:val="001849E9"/>
    <w:rsid w:val="00222B7F"/>
    <w:rsid w:val="00222C6E"/>
    <w:rsid w:val="00234F53"/>
    <w:rsid w:val="0027059A"/>
    <w:rsid w:val="00285485"/>
    <w:rsid w:val="0029411F"/>
    <w:rsid w:val="00295ECC"/>
    <w:rsid w:val="002C01B4"/>
    <w:rsid w:val="003C3B11"/>
    <w:rsid w:val="003D50F3"/>
    <w:rsid w:val="003E2C29"/>
    <w:rsid w:val="004023AC"/>
    <w:rsid w:val="0041394F"/>
    <w:rsid w:val="00443415"/>
    <w:rsid w:val="00445D96"/>
    <w:rsid w:val="004462E1"/>
    <w:rsid w:val="0048542E"/>
    <w:rsid w:val="004A0407"/>
    <w:rsid w:val="004D1796"/>
    <w:rsid w:val="004D2EED"/>
    <w:rsid w:val="00547D18"/>
    <w:rsid w:val="00566578"/>
    <w:rsid w:val="005B0068"/>
    <w:rsid w:val="006829E3"/>
    <w:rsid w:val="006950B5"/>
    <w:rsid w:val="00695D96"/>
    <w:rsid w:val="006C09AE"/>
    <w:rsid w:val="008746AA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044C"/>
    <w:rsid w:val="00A2502D"/>
    <w:rsid w:val="00A7377C"/>
    <w:rsid w:val="00B37B38"/>
    <w:rsid w:val="00C43311"/>
    <w:rsid w:val="00CA0D73"/>
    <w:rsid w:val="00CB5109"/>
    <w:rsid w:val="00CD7816"/>
    <w:rsid w:val="00CE5292"/>
    <w:rsid w:val="00D05D2E"/>
    <w:rsid w:val="00E11009"/>
    <w:rsid w:val="00E55BCC"/>
    <w:rsid w:val="00F44BA7"/>
    <w:rsid w:val="00F72B31"/>
    <w:rsid w:val="00F970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B89DE.13EDACD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Halstead, Mary (CDC/NCIPC/OD)</cp:lastModifiedBy>
  <cp:revision>3</cp:revision>
  <dcterms:created xsi:type="dcterms:W3CDTF">2025-02-28T19:44:00Z</dcterms:created>
  <dcterms:modified xsi:type="dcterms:W3CDTF">2025-02-28T19:49:00Z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