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6615FB" w:rsidRPr="00E5206F" w:rsidP="00A2325D" w14:paraId="099758DF" w14:textId="3AE9BAB5">
      <w:pPr>
        <w:pStyle w:val="Title"/>
        <w:spacing w:after="240"/>
        <w:rPr>
          <w:rFonts w:ascii="Cambria" w:hAnsi="Cambria"/>
          <w:color w:val="auto"/>
          <w:sz w:val="48"/>
          <w:szCs w:val="48"/>
        </w:rPr>
      </w:pPr>
      <w:r w:rsidRPr="00E5206F">
        <w:rPr>
          <w:rFonts w:ascii="Cambria" w:hAnsi="Cambria"/>
          <w:color w:val="auto"/>
          <w:sz w:val="48"/>
          <w:szCs w:val="48"/>
        </w:rPr>
        <w:t>Emergency Cruise Ship Outbreak Investigations (CSOIs)</w:t>
      </w:r>
    </w:p>
    <w:p w:rsidR="00E5206F" w:rsidRPr="00A2325D" w:rsidP="00E5206F" w14:paraId="465CAE6C" w14:textId="3A9B6856">
      <w:pPr>
        <w:pStyle w:val="Subtitle"/>
        <w:spacing w:after="0"/>
        <w:rPr>
          <w:rFonts w:ascii="Cambria" w:hAnsi="Cambria"/>
          <w:color w:val="auto"/>
        </w:rPr>
      </w:pPr>
      <w:r w:rsidRPr="00A2325D">
        <w:rPr>
          <w:rFonts w:ascii="Cambria" w:hAnsi="Cambria"/>
          <w:color w:val="auto"/>
        </w:rPr>
        <w:t>OMB Control No. 0920-1255 (</w:t>
      </w:r>
      <w:r w:rsidRPr="00A2325D">
        <w:rPr>
          <w:rFonts w:ascii="Cambria" w:hAnsi="Cambria"/>
        </w:rPr>
        <w:t>Expiration Date 03/3</w:t>
      </w:r>
      <w:r w:rsidR="00A06B03">
        <w:rPr>
          <w:rFonts w:ascii="Cambria" w:hAnsi="Cambria"/>
        </w:rPr>
        <w:t>1</w:t>
      </w:r>
      <w:r w:rsidRPr="00A2325D">
        <w:rPr>
          <w:rFonts w:ascii="Cambria" w:hAnsi="Cambria"/>
        </w:rPr>
        <w:t>/202</w:t>
      </w:r>
      <w:r w:rsidR="00CD3BBA">
        <w:rPr>
          <w:rFonts w:ascii="Cambria" w:hAnsi="Cambria"/>
        </w:rPr>
        <w:t>5</w:t>
      </w:r>
      <w:r w:rsidRPr="00A2325D">
        <w:rPr>
          <w:rFonts w:ascii="Cambria" w:hAnsi="Cambria"/>
        </w:rPr>
        <w:t>)</w:t>
      </w:r>
    </w:p>
    <w:p w:rsidR="00E5206F" w:rsidRPr="00A2325D" w:rsidP="00E5206F" w14:paraId="6C9C3927" w14:textId="77777777">
      <w:pPr>
        <w:spacing w:before="240" w:after="200" w:line="276" w:lineRule="auto"/>
        <w:rPr>
          <w:rFonts w:ascii="Cambria" w:hAnsi="Cambria" w:cs="Arial"/>
          <w:sz w:val="36"/>
          <w:szCs w:val="36"/>
        </w:rPr>
      </w:pPr>
      <w:r w:rsidRPr="00A2325D">
        <w:rPr>
          <w:rFonts w:ascii="Cambria" w:hAnsi="Cambria" w:cs="Arial"/>
          <w:sz w:val="36"/>
          <w:szCs w:val="36"/>
        </w:rPr>
        <w:t>Revision</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00D33AE3" w14:paraId="756233B8" w14:textId="77777777">
      <w:pPr>
        <w:spacing w:after="200" w:line="276" w:lineRule="auto"/>
        <w:rPr>
          <w:rFonts w:ascii="Cambria" w:hAnsi="Cambria" w:cs="Arial"/>
          <w:sz w:val="36"/>
          <w:szCs w:val="36"/>
        </w:rPr>
      </w:pPr>
    </w:p>
    <w:p w:rsidR="00D33AE3" w:rsidRPr="00E707C0" w:rsidP="00D33AE3" w14:paraId="53670BCF" w14:textId="77777777">
      <w:pPr>
        <w:spacing w:after="200" w:line="276" w:lineRule="auto"/>
        <w:rPr>
          <w:rFonts w:ascii="Cambria" w:hAnsi="Cambria" w:cs="Arial"/>
          <w:sz w:val="36"/>
          <w:szCs w:val="36"/>
        </w:rPr>
      </w:pPr>
    </w:p>
    <w:p w:rsidR="00E5206F" w:rsidRPr="00A2325D" w:rsidP="00E5206F" w14:paraId="6F90DC30" w14:textId="7030453E">
      <w:pPr>
        <w:pStyle w:val="Subtitle"/>
        <w:spacing w:after="0"/>
        <w:rPr>
          <w:rFonts w:ascii="Cambria" w:hAnsi="Cambria"/>
          <w:color w:val="auto"/>
        </w:rPr>
      </w:pPr>
      <w:r w:rsidRPr="00A2325D">
        <w:rPr>
          <w:rFonts w:ascii="Cambria" w:hAnsi="Cambria"/>
          <w:color w:val="auto"/>
        </w:rPr>
        <w:t xml:space="preserve">Project Officer: </w:t>
      </w:r>
      <w:r w:rsidR="004E064A">
        <w:rPr>
          <w:rFonts w:ascii="Cambria" w:hAnsi="Cambria"/>
          <w:color w:val="auto"/>
        </w:rPr>
        <w:t>Stefanie White</w:t>
      </w:r>
    </w:p>
    <w:p w:rsidR="00E5206F" w:rsidRPr="00A2325D" w:rsidP="00E5206F" w14:paraId="235C1134" w14:textId="2E460784">
      <w:pPr>
        <w:pStyle w:val="Subtitle"/>
        <w:spacing w:after="0"/>
        <w:rPr>
          <w:rFonts w:ascii="Cambria" w:hAnsi="Cambria"/>
          <w:color w:val="auto"/>
        </w:rPr>
      </w:pPr>
      <w:r w:rsidRPr="00A2325D">
        <w:rPr>
          <w:rFonts w:ascii="Cambria" w:hAnsi="Cambria"/>
          <w:color w:val="auto"/>
        </w:rPr>
        <w:t>Title: Epidemiol</w:t>
      </w:r>
      <w:r w:rsidR="00D40143">
        <w:rPr>
          <w:rFonts w:ascii="Cambria" w:hAnsi="Cambria"/>
          <w:color w:val="auto"/>
        </w:rPr>
        <w:t>og</w:t>
      </w:r>
      <w:r w:rsidR="004E064A">
        <w:rPr>
          <w:rFonts w:ascii="Cambria" w:hAnsi="Cambria"/>
          <w:color w:val="auto"/>
        </w:rPr>
        <w:t>y Team Lead</w:t>
      </w:r>
      <w:r w:rsidRPr="00A2325D">
        <w:rPr>
          <w:rFonts w:ascii="Cambria" w:hAnsi="Cambria"/>
          <w:color w:val="auto"/>
        </w:rPr>
        <w:t>, Vessel Sanitation Program</w:t>
      </w:r>
    </w:p>
    <w:p w:rsidR="00E5206F" w:rsidRPr="00A2325D" w:rsidP="00E5206F" w14:paraId="1E0CC3CC" w14:textId="743C8779">
      <w:pPr>
        <w:pStyle w:val="Subtitle"/>
        <w:spacing w:after="0"/>
        <w:rPr>
          <w:rFonts w:ascii="Cambria" w:hAnsi="Cambria"/>
          <w:color w:val="auto"/>
        </w:rPr>
      </w:pPr>
      <w:r w:rsidRPr="00A2325D">
        <w:rPr>
          <w:rFonts w:ascii="Cambria" w:hAnsi="Cambria"/>
          <w:color w:val="auto"/>
        </w:rPr>
        <w:t xml:space="preserve">Phone: </w:t>
      </w:r>
      <w:r w:rsidR="004E064A">
        <w:rPr>
          <w:rFonts w:ascii="Cambria" w:hAnsi="Cambria"/>
          <w:color w:val="auto"/>
        </w:rPr>
        <w:t>281-415-9814</w:t>
      </w:r>
    </w:p>
    <w:p w:rsidR="00E5206F" w:rsidRPr="00A2325D" w:rsidP="00E5206F" w14:paraId="6AC01CA8" w14:textId="79E28418">
      <w:pPr>
        <w:pStyle w:val="Subtitle"/>
        <w:spacing w:after="0"/>
        <w:rPr>
          <w:rFonts w:ascii="Cambria" w:hAnsi="Cambria"/>
          <w:color w:val="auto"/>
        </w:rPr>
      </w:pPr>
      <w:r w:rsidRPr="00A2325D">
        <w:rPr>
          <w:rFonts w:ascii="Cambria" w:hAnsi="Cambria"/>
          <w:color w:val="auto"/>
        </w:rPr>
        <w:t xml:space="preserve">Email: </w:t>
      </w:r>
      <w:hyperlink r:id="rId9" w:history="1">
        <w:r w:rsidRPr="00E75285" w:rsidR="004E064A">
          <w:rPr>
            <w:rStyle w:val="Hyperlink"/>
            <w:rFonts w:ascii="Cambria" w:hAnsi="Cambria"/>
          </w:rPr>
          <w:t>ixy3@cdc.gov</w:t>
        </w:r>
      </w:hyperlink>
      <w:r w:rsidRPr="00A2325D">
        <w:rPr>
          <w:rFonts w:ascii="Cambria" w:hAnsi="Cambria"/>
          <w:color w:val="auto"/>
        </w:rPr>
        <w:t xml:space="preserve"> </w:t>
      </w:r>
    </w:p>
    <w:p w:rsidR="00E5206F" w:rsidRPr="00A2325D" w:rsidP="00E5206F" w14:paraId="2BF6268A" w14:textId="77777777">
      <w:pPr>
        <w:pStyle w:val="Subtitle"/>
        <w:spacing w:after="0"/>
        <w:rPr>
          <w:rFonts w:ascii="Cambria" w:hAnsi="Cambria"/>
          <w:color w:val="auto"/>
        </w:rPr>
      </w:pPr>
    </w:p>
    <w:p w:rsidR="00965C2A" w:rsidRPr="006615FB" w:rsidP="00D33AE3" w14:paraId="39E16D28" w14:textId="79490932">
      <w:pPr>
        <w:rPr>
          <w:rFonts w:ascii="Arial" w:hAnsi="Arial" w:cs="Arial"/>
          <w:sz w:val="30"/>
          <w:szCs w:val="30"/>
        </w:rPr>
      </w:pPr>
      <w:r w:rsidRPr="00A2325D">
        <w:rPr>
          <w:rFonts w:ascii="Cambria" w:hAnsi="Cambria" w:eastAsiaTheme="majorEastAsia" w:cstheme="majorBidi"/>
          <w:sz w:val="30"/>
          <w:szCs w:val="30"/>
        </w:rPr>
        <w:t xml:space="preserve">Date: </w:t>
      </w:r>
      <w:r w:rsidR="004E064A">
        <w:rPr>
          <w:rFonts w:ascii="Cambria" w:hAnsi="Cambria" w:eastAsiaTheme="majorEastAsia" w:cstheme="majorBidi"/>
          <w:sz w:val="30"/>
          <w:szCs w:val="30"/>
        </w:rPr>
        <w:t xml:space="preserve">February </w:t>
      </w:r>
      <w:r w:rsidR="00CD3BBA">
        <w:rPr>
          <w:rFonts w:ascii="Cambria" w:hAnsi="Cambria" w:eastAsiaTheme="majorEastAsia" w:cstheme="majorBidi"/>
          <w:sz w:val="30"/>
          <w:szCs w:val="30"/>
        </w:rPr>
        <w:t>27</w:t>
      </w:r>
      <w:r w:rsidR="004E064A">
        <w:rPr>
          <w:rFonts w:ascii="Cambria" w:hAnsi="Cambria" w:eastAsiaTheme="majorEastAsia" w:cstheme="majorBidi"/>
          <w:sz w:val="30"/>
          <w:szCs w:val="30"/>
        </w:rPr>
        <w:t>, 2025</w:t>
      </w:r>
      <w:r w:rsidRPr="006615FB" w:rsidR="00BA2DBE">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E5206F" w14:paraId="75045D78" w14:textId="6543D064">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89167978" w:history="1">
            <w:r w:rsidRPr="00EF73C4">
              <w:rPr>
                <w:rStyle w:val="Hyperlink"/>
                <w:rFonts w:ascii="Cambria" w:hAnsi="Cambria"/>
                <w:noProof/>
              </w:rPr>
              <w:t>B.1.</w:t>
            </w:r>
            <w:r>
              <w:rPr>
                <w:noProof/>
                <w:sz w:val="22"/>
                <w:szCs w:val="22"/>
              </w:rPr>
              <w:tab/>
            </w:r>
            <w:r w:rsidRPr="00EF73C4">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_Toc89167978 \h </w:instrText>
            </w:r>
            <w:r>
              <w:rPr>
                <w:noProof/>
                <w:webHidden/>
              </w:rPr>
              <w:fldChar w:fldCharType="separate"/>
            </w:r>
            <w:r w:rsidR="008F2013">
              <w:rPr>
                <w:noProof/>
                <w:webHidden/>
              </w:rPr>
              <w:t>3</w:t>
            </w:r>
            <w:r>
              <w:rPr>
                <w:noProof/>
                <w:webHidden/>
              </w:rPr>
              <w:fldChar w:fldCharType="end"/>
            </w:r>
          </w:hyperlink>
        </w:p>
        <w:p w:rsidR="00E5206F" w14:paraId="4382B61C" w14:textId="7083D789">
          <w:pPr>
            <w:pStyle w:val="TOC1"/>
            <w:tabs>
              <w:tab w:val="left" w:pos="660"/>
              <w:tab w:val="right" w:leader="dot" w:pos="9350"/>
            </w:tabs>
            <w:rPr>
              <w:noProof/>
              <w:sz w:val="22"/>
              <w:szCs w:val="22"/>
            </w:rPr>
          </w:pPr>
          <w:hyperlink w:anchor="_Toc89167979" w:history="1">
            <w:r w:rsidRPr="00EF73C4">
              <w:rPr>
                <w:rStyle w:val="Hyperlink"/>
                <w:rFonts w:ascii="Cambria" w:hAnsi="Cambria"/>
                <w:noProof/>
              </w:rPr>
              <w:t>B.2.</w:t>
            </w:r>
            <w:r>
              <w:rPr>
                <w:noProof/>
                <w:sz w:val="22"/>
                <w:szCs w:val="22"/>
              </w:rPr>
              <w:tab/>
            </w:r>
            <w:r w:rsidRPr="00EF73C4">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_Toc89167979 \h </w:instrText>
            </w:r>
            <w:r>
              <w:rPr>
                <w:noProof/>
                <w:webHidden/>
              </w:rPr>
              <w:fldChar w:fldCharType="separate"/>
            </w:r>
            <w:r w:rsidR="008F2013">
              <w:rPr>
                <w:noProof/>
                <w:webHidden/>
              </w:rPr>
              <w:t>7</w:t>
            </w:r>
            <w:r>
              <w:rPr>
                <w:noProof/>
                <w:webHidden/>
              </w:rPr>
              <w:fldChar w:fldCharType="end"/>
            </w:r>
          </w:hyperlink>
        </w:p>
        <w:p w:rsidR="00E5206F" w14:paraId="08913135" w14:textId="239DC47C">
          <w:pPr>
            <w:pStyle w:val="TOC1"/>
            <w:tabs>
              <w:tab w:val="left" w:pos="660"/>
              <w:tab w:val="right" w:leader="dot" w:pos="9350"/>
            </w:tabs>
            <w:rPr>
              <w:noProof/>
              <w:sz w:val="22"/>
              <w:szCs w:val="22"/>
            </w:rPr>
          </w:pPr>
          <w:hyperlink w:anchor="_Toc89167980" w:history="1">
            <w:r w:rsidRPr="00EF73C4">
              <w:rPr>
                <w:rStyle w:val="Hyperlink"/>
                <w:rFonts w:ascii="Cambria" w:hAnsi="Cambria"/>
                <w:noProof/>
              </w:rPr>
              <w:t>B.3.</w:t>
            </w:r>
            <w:r>
              <w:rPr>
                <w:noProof/>
                <w:sz w:val="22"/>
                <w:szCs w:val="22"/>
              </w:rPr>
              <w:tab/>
            </w:r>
            <w:r w:rsidRPr="00EF73C4">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_Toc89167980 \h </w:instrText>
            </w:r>
            <w:r>
              <w:rPr>
                <w:noProof/>
                <w:webHidden/>
              </w:rPr>
              <w:fldChar w:fldCharType="separate"/>
            </w:r>
            <w:r w:rsidR="008F2013">
              <w:rPr>
                <w:noProof/>
                <w:webHidden/>
              </w:rPr>
              <w:t>8</w:t>
            </w:r>
            <w:r>
              <w:rPr>
                <w:noProof/>
                <w:webHidden/>
              </w:rPr>
              <w:fldChar w:fldCharType="end"/>
            </w:r>
          </w:hyperlink>
        </w:p>
        <w:p w:rsidR="00E5206F" w14:paraId="45197A59" w14:textId="72E005DE">
          <w:pPr>
            <w:pStyle w:val="TOC1"/>
            <w:tabs>
              <w:tab w:val="left" w:pos="660"/>
              <w:tab w:val="right" w:leader="dot" w:pos="9350"/>
            </w:tabs>
            <w:rPr>
              <w:noProof/>
              <w:sz w:val="22"/>
              <w:szCs w:val="22"/>
            </w:rPr>
          </w:pPr>
          <w:hyperlink w:anchor="_Toc89167981" w:history="1">
            <w:r w:rsidRPr="00EF73C4">
              <w:rPr>
                <w:rStyle w:val="Hyperlink"/>
                <w:rFonts w:ascii="Cambria" w:hAnsi="Cambria"/>
                <w:noProof/>
              </w:rPr>
              <w:t>B.4.</w:t>
            </w:r>
            <w:r>
              <w:rPr>
                <w:noProof/>
                <w:sz w:val="22"/>
                <w:szCs w:val="22"/>
              </w:rPr>
              <w:tab/>
            </w:r>
            <w:r w:rsidRPr="00EF73C4">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_Toc89167981 \h </w:instrText>
            </w:r>
            <w:r>
              <w:rPr>
                <w:noProof/>
                <w:webHidden/>
              </w:rPr>
              <w:fldChar w:fldCharType="separate"/>
            </w:r>
            <w:r w:rsidR="008F2013">
              <w:rPr>
                <w:noProof/>
                <w:webHidden/>
              </w:rPr>
              <w:t>8</w:t>
            </w:r>
            <w:r>
              <w:rPr>
                <w:noProof/>
                <w:webHidden/>
              </w:rPr>
              <w:fldChar w:fldCharType="end"/>
            </w:r>
          </w:hyperlink>
        </w:p>
        <w:p w:rsidR="00E5206F" w14:paraId="7D7775BB" w14:textId="05445EA4">
          <w:pPr>
            <w:pStyle w:val="TOC1"/>
            <w:tabs>
              <w:tab w:val="left" w:pos="660"/>
              <w:tab w:val="right" w:leader="dot" w:pos="9350"/>
            </w:tabs>
            <w:rPr>
              <w:noProof/>
              <w:sz w:val="22"/>
              <w:szCs w:val="22"/>
            </w:rPr>
          </w:pPr>
          <w:hyperlink w:anchor="_Toc89167982" w:history="1">
            <w:r w:rsidRPr="00EF73C4">
              <w:rPr>
                <w:rStyle w:val="Hyperlink"/>
                <w:rFonts w:ascii="Cambria" w:hAnsi="Cambria"/>
                <w:noProof/>
              </w:rPr>
              <w:t>B.5.</w:t>
            </w:r>
            <w:r>
              <w:rPr>
                <w:noProof/>
                <w:sz w:val="22"/>
                <w:szCs w:val="22"/>
              </w:rPr>
              <w:tab/>
            </w:r>
            <w:r w:rsidRPr="00EF73C4">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_Toc89167982 \h </w:instrText>
            </w:r>
            <w:r>
              <w:rPr>
                <w:noProof/>
                <w:webHidden/>
              </w:rPr>
              <w:fldChar w:fldCharType="separate"/>
            </w:r>
            <w:r w:rsidR="008F2013">
              <w:rPr>
                <w:noProof/>
                <w:webHidden/>
              </w:rPr>
              <w:t>8</w:t>
            </w:r>
            <w:r>
              <w:rPr>
                <w:noProof/>
                <w:webHidden/>
              </w:rPr>
              <w:fldChar w:fldCharType="end"/>
            </w:r>
          </w:hyperlink>
        </w:p>
        <w:p w:rsidR="00D33AE3" w:rsidRPr="00E707C0" w14:paraId="25E671BB" w14:textId="510B8128">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371CCFBA" w14:textId="77777777">
      <w:pPr>
        <w:pStyle w:val="Heading1"/>
        <w:pBdr>
          <w:bottom w:val="none" w:sz="0" w:space="0" w:color="auto"/>
        </w:pBdr>
        <w:rPr>
          <w:rFonts w:ascii="Cambria" w:hAnsi="Cambria"/>
          <w:color w:val="auto"/>
        </w:rPr>
      </w:pPr>
      <w:bookmarkStart w:id="2" w:name="_Toc89167978"/>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2"/>
    </w:p>
    <w:p w:rsidR="00EA6E06" w:rsidRPr="00E707C0" w:rsidP="00EA6E06" w14:paraId="1901860F" w14:textId="77777777">
      <w:pPr>
        <w:spacing w:line="240" w:lineRule="auto"/>
        <w:rPr>
          <w:sz w:val="24"/>
          <w:szCs w:val="24"/>
        </w:rPr>
      </w:pPr>
    </w:p>
    <w:p w:rsidR="00746B90" w:rsidRPr="00746B90" w:rsidP="00746B90" w14:paraId="61754F2A" w14:textId="77777777">
      <w:pPr>
        <w:pStyle w:val="BodyTextIndent3"/>
        <w:tabs>
          <w:tab w:val="clear" w:pos="1800"/>
        </w:tabs>
        <w:ind w:left="0"/>
        <w:rPr>
          <w:rFonts w:asciiTheme="minorHAnsi" w:hAnsiTheme="minorHAnsi" w:cstheme="minorHAnsi"/>
        </w:rPr>
      </w:pPr>
      <w:r w:rsidRPr="00746B90">
        <w:rPr>
          <w:rFonts w:asciiTheme="minorHAnsi" w:hAnsiTheme="minorHAnsi" w:cstheme="minorHAnsi"/>
        </w:rPr>
        <w:t xml:space="preserve">The respondent universe is the population (sampling frame) to which results will be generalized. The respondent universe for each individual CSOI will vary, depending on the outbreak or event, but is not a mechanism to collect data that can be generalized to the broader population. The population to which results are generalizable is limited to those potentially exposed to or affected by the health event under investigation. For example, the respondent universe might be defined by identity (e.g., crew members on a particular cruise ship), a behavior (e.g., participation in a particular shore excursion), or </w:t>
      </w:r>
      <w:r w:rsidRPr="00746B90">
        <w:rPr>
          <w:rFonts w:asciiTheme="minorHAnsi" w:hAnsiTheme="minorHAnsi" w:cstheme="minorHAnsi"/>
        </w:rPr>
        <w:t>geotemporal</w:t>
      </w:r>
      <w:r w:rsidRPr="00746B90">
        <w:rPr>
          <w:rFonts w:asciiTheme="minorHAnsi" w:hAnsiTheme="minorHAnsi" w:cstheme="minorHAnsi"/>
        </w:rPr>
        <w:t xml:space="preserve"> (e.g., people whose cabins are located in a particular area of the cruise ship). VSP, in collaboration with external partners, identifies the respondent universe for each CSOI. </w:t>
      </w:r>
    </w:p>
    <w:p w:rsidR="00746B90" w:rsidRPr="00746B90" w:rsidP="00746B90" w14:paraId="6C6AE88B" w14:textId="77777777">
      <w:pPr>
        <w:pStyle w:val="BodyTextIndent3"/>
        <w:tabs>
          <w:tab w:val="num" w:pos="1440"/>
          <w:tab w:val="clear" w:pos="1800"/>
        </w:tabs>
        <w:ind w:left="1440"/>
        <w:rPr>
          <w:rFonts w:asciiTheme="minorHAnsi" w:hAnsiTheme="minorHAnsi" w:cstheme="minorHAnsi"/>
        </w:rPr>
      </w:pPr>
    </w:p>
    <w:p w:rsidR="00746B90" w:rsidRPr="00746B90" w:rsidP="00746B90" w14:paraId="5C67FC67"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The sampling methods also will vary depending on the AGE outbreak or event. Most CSOIs   include collecting information from all individuals onboard the ship during the affected voyage. However, in certain investigations, such as those involving larger numbers of people experiencing AGE, investigators might choose to collect information from a sample of affected individuals and appropriate controls. </w:t>
      </w:r>
    </w:p>
    <w:p w:rsidR="00746B90" w:rsidRPr="00746B90" w:rsidP="00746B90" w14:paraId="1C4AE871" w14:textId="77777777">
      <w:pPr>
        <w:pStyle w:val="BodyTextIndent3"/>
        <w:tabs>
          <w:tab w:val="num" w:pos="-90"/>
          <w:tab w:val="clear" w:pos="1800"/>
        </w:tabs>
        <w:ind w:left="0"/>
        <w:rPr>
          <w:rFonts w:asciiTheme="minorHAnsi" w:hAnsiTheme="minorHAnsi" w:cstheme="minorHAnsi"/>
        </w:rPr>
      </w:pPr>
    </w:p>
    <w:p w:rsidR="00746B90" w:rsidRPr="00746B90" w:rsidP="00746B90" w14:paraId="00C3F58C"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For some investigations there will be more than one study design, thus multiple sampling methodologies might be used.  For example, when little is known about a specific outbreak or event, a hypothesis-generating investigation might be conducted with a convenience sample of individuals. Information from this initial investigation might be used to identify an appropriate respondent universe for the hypothesis-testing phase of the investigation. Additional information then might be collected from either a ship’s manifest or sample, depending on the size of the respondent universe. In case-control studies, different sampling methods might be used to select case-patients and controls.  For example, case-patients might be randomly selected from a line list and controls might be selected based on pair-matching (i.e., one or more matching controls selected for each case based on certain characteristics such as age, sex, geographic location, having eaten at a particular restaurant, etc.). VSP, in collaboration with the external partners receiving epidemiological assistance, identifies the sampling methodology for each CSOI based on the information needed to identify the agents, sources, modes of transmission, or risk factors.  </w:t>
      </w:r>
    </w:p>
    <w:p w:rsidR="00746B90" w:rsidRPr="00746B90" w:rsidP="00746B90" w14:paraId="78AF9BB3" w14:textId="77777777">
      <w:pPr>
        <w:pStyle w:val="BodyTextIndent3"/>
        <w:tabs>
          <w:tab w:val="num" w:pos="-90"/>
          <w:tab w:val="clear" w:pos="1800"/>
        </w:tabs>
        <w:ind w:left="0"/>
        <w:rPr>
          <w:rFonts w:asciiTheme="minorHAnsi" w:hAnsiTheme="minorHAnsi" w:cstheme="minorHAnsi"/>
        </w:rPr>
      </w:pPr>
    </w:p>
    <w:p w:rsidR="00746B90" w:rsidRPr="00746B90" w:rsidP="00746B90" w14:paraId="03F529CD"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When sampling methods are used, the number of respondents selected for each investigation will depend upon obtaining a sufficient number of respondents to determine the agents, sources, modes of transmission, or risk factors to implement prevention and control measures. </w:t>
      </w:r>
    </w:p>
    <w:p w:rsidR="00746B90" w:rsidRPr="00746B90" w:rsidP="00746B90" w14:paraId="6F516194" w14:textId="77777777">
      <w:pPr>
        <w:pStyle w:val="BodyTextIndent3"/>
        <w:tabs>
          <w:tab w:val="num" w:pos="-90"/>
          <w:tab w:val="clear" w:pos="1800"/>
        </w:tabs>
        <w:ind w:left="0"/>
        <w:rPr>
          <w:rFonts w:asciiTheme="minorHAnsi" w:hAnsiTheme="minorHAnsi" w:cstheme="minorHAnsi"/>
        </w:rPr>
      </w:pPr>
    </w:p>
    <w:p w:rsidR="00746B90" w:rsidRPr="00E5206F" w:rsidP="00746B90" w14:paraId="20196F3E" w14:textId="0EC63C1E">
      <w:pPr>
        <w:pStyle w:val="BodyTextIndent3"/>
        <w:tabs>
          <w:tab w:val="num" w:pos="-90"/>
          <w:tab w:val="clear" w:pos="1800"/>
        </w:tabs>
        <w:ind w:left="0"/>
        <w:rPr>
          <w:rFonts w:asciiTheme="minorHAnsi" w:hAnsiTheme="minorHAnsi" w:cstheme="minorHAnsi"/>
        </w:rPr>
      </w:pPr>
      <w:r w:rsidRPr="00E5206F">
        <w:rPr>
          <w:rFonts w:asciiTheme="minorHAnsi" w:hAnsiTheme="minorHAnsi" w:cstheme="minorHAnsi"/>
        </w:rPr>
        <w:t xml:space="preserve">When appropriate, power calculations will be conducted to ensure the number of respondents will provide sufficient power for reliable statistical inferences. VSP, in collaboration with the external partners receiving epidemiological assistance will determine the sample size for each CSOI. </w:t>
      </w:r>
      <w:r w:rsidR="009C4603">
        <w:rPr>
          <w:rFonts w:asciiTheme="minorHAnsi" w:hAnsiTheme="minorHAnsi" w:cstheme="minorHAnsi"/>
        </w:rPr>
        <w:t>T</w:t>
      </w:r>
      <w:r w:rsidRPr="00E5206F">
        <w:rPr>
          <w:rFonts w:asciiTheme="minorHAnsi" w:hAnsiTheme="minorHAnsi" w:cstheme="minorHAnsi"/>
        </w:rPr>
        <w:t xml:space="preserve">he expected number of respondents per investigation is </w:t>
      </w:r>
      <w:r w:rsidR="009C4603">
        <w:rPr>
          <w:rFonts w:asciiTheme="minorHAnsi" w:hAnsiTheme="minorHAnsi" w:cstheme="minorHAnsi"/>
        </w:rPr>
        <w:t>1,300</w:t>
      </w:r>
      <w:r w:rsidR="00E5206F">
        <w:rPr>
          <w:rFonts w:asciiTheme="minorHAnsi" w:hAnsiTheme="minorHAnsi" w:cstheme="minorHAnsi"/>
        </w:rPr>
        <w:t xml:space="preserve"> </w:t>
      </w:r>
      <w:r w:rsidRPr="00A2325D" w:rsidR="00E5206F">
        <w:rPr>
          <w:rFonts w:asciiTheme="minorHAnsi" w:hAnsiTheme="minorHAnsi" w:cstheme="minorHAnsi"/>
        </w:rPr>
        <w:t>(</w:t>
      </w:r>
      <w:r w:rsidR="009C4603">
        <w:rPr>
          <w:rFonts w:asciiTheme="minorHAnsi" w:hAnsiTheme="minorHAnsi" w:cstheme="minorHAnsi"/>
        </w:rPr>
        <w:t>300</w:t>
      </w:r>
      <w:r w:rsidRPr="00A2325D" w:rsidR="00E5206F">
        <w:rPr>
          <w:rFonts w:asciiTheme="minorHAnsi" w:hAnsiTheme="minorHAnsi" w:cstheme="minorHAnsi"/>
        </w:rPr>
        <w:t xml:space="preserve"> crew and </w:t>
      </w:r>
      <w:r w:rsidR="009C4603">
        <w:rPr>
          <w:rFonts w:asciiTheme="minorHAnsi" w:hAnsiTheme="minorHAnsi" w:cstheme="minorHAnsi"/>
        </w:rPr>
        <w:t>1,000</w:t>
      </w:r>
      <w:r w:rsidRPr="00A2325D" w:rsidR="00E5206F">
        <w:rPr>
          <w:rFonts w:asciiTheme="minorHAnsi" w:hAnsiTheme="minorHAnsi" w:cstheme="minorHAnsi"/>
        </w:rPr>
        <w:t xml:space="preserve"> passenger</w:t>
      </w:r>
      <w:r w:rsidR="009C4603">
        <w:rPr>
          <w:rFonts w:asciiTheme="minorHAnsi" w:hAnsiTheme="minorHAnsi" w:cstheme="minorHAnsi"/>
        </w:rPr>
        <w:t>s</w:t>
      </w:r>
      <w:r w:rsidRPr="00A2325D" w:rsidR="00E5206F">
        <w:rPr>
          <w:rFonts w:asciiTheme="minorHAnsi" w:hAnsiTheme="minorHAnsi" w:cstheme="minorHAnsi"/>
        </w:rPr>
        <w:t>)</w:t>
      </w:r>
      <w:r w:rsidRPr="00E5206F">
        <w:rPr>
          <w:rFonts w:asciiTheme="minorHAnsi" w:hAnsiTheme="minorHAnsi" w:cstheme="minorHAnsi"/>
        </w:rPr>
        <w:t xml:space="preserve">.  </w:t>
      </w:r>
    </w:p>
    <w:p w:rsidR="00746B90" w:rsidRPr="00746B90" w:rsidP="00746B90" w14:paraId="0ACD5666" w14:textId="77777777">
      <w:pPr>
        <w:pStyle w:val="BodyTextIndent3"/>
        <w:tabs>
          <w:tab w:val="num" w:pos="-90"/>
          <w:tab w:val="clear" w:pos="1800"/>
        </w:tabs>
        <w:ind w:left="0"/>
        <w:rPr>
          <w:rFonts w:asciiTheme="minorHAnsi" w:hAnsiTheme="minorHAnsi" w:cstheme="minorHAnsi"/>
        </w:rPr>
      </w:pPr>
    </w:p>
    <w:p w:rsidR="00746B90" w:rsidRPr="00746B90" w:rsidP="00746B90" w14:paraId="0278355D"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Procedures for each investigation, including the method and mode of data collection, depend on the nature of the outbreak or event, hypotheses to be tested, time and resources available, number of persons involved, and other circumstances unique to the emergency at hand. CSOIs often utilize one or more methodological approaches such as: epidemiologic investigation, environmental assessment, and laboratory testing. The components employed will vary depending on the information needed to determine the agents, sources, modes of transmission, or risk factors in order to inform prevention and control measures. </w:t>
      </w:r>
    </w:p>
    <w:p w:rsidR="00746B90" w:rsidRPr="00746B90" w:rsidP="00746B90" w14:paraId="58A3EE00" w14:textId="77777777">
      <w:pPr>
        <w:pStyle w:val="BodyTextIndent3"/>
        <w:tabs>
          <w:tab w:val="num" w:pos="-90"/>
          <w:tab w:val="clear" w:pos="1800"/>
        </w:tabs>
        <w:ind w:left="0"/>
        <w:rPr>
          <w:rFonts w:asciiTheme="minorHAnsi" w:hAnsiTheme="minorHAnsi" w:cstheme="minorHAnsi"/>
        </w:rPr>
      </w:pPr>
    </w:p>
    <w:p w:rsidR="00746B90" w:rsidRPr="00746B90" w:rsidP="00746B90" w14:paraId="23EE5F34"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CSOIs often include the steps below, though the steps included in each CSOI will vary depending on what information already has been determined at the time CDC assistance is requested and the amount of information needed to identify prevention and control measures.</w:t>
      </w:r>
    </w:p>
    <w:p w:rsidR="00746B90" w:rsidRPr="00746B90" w:rsidP="00746B90" w14:paraId="0AC71946" w14:textId="77777777">
      <w:pPr>
        <w:pStyle w:val="BodyTextIndent3"/>
        <w:tabs>
          <w:tab w:val="num" w:pos="-90"/>
          <w:tab w:val="clear" w:pos="1800"/>
        </w:tabs>
        <w:ind w:left="0"/>
        <w:rPr>
          <w:rFonts w:asciiTheme="minorHAnsi" w:hAnsiTheme="minorHAnsi" w:cstheme="minorHAnsi"/>
        </w:rPr>
      </w:pPr>
    </w:p>
    <w:p w:rsidR="00746B90" w:rsidRPr="00746B90" w:rsidP="00746B90" w14:paraId="13213B92"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Establish the existence of an outbreak</w:t>
      </w:r>
    </w:p>
    <w:p w:rsidR="00746B90" w:rsidRPr="00746B90" w:rsidP="00746B90" w14:paraId="7CF6F8CC"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Prepare for field work</w:t>
      </w:r>
    </w:p>
    <w:p w:rsidR="00746B90" w:rsidRPr="00746B90" w:rsidP="00746B90" w14:paraId="29B3A31F"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 xml:space="preserve">Define and identify cases </w:t>
      </w:r>
    </w:p>
    <w:p w:rsidR="00746B90" w:rsidRPr="00746B90" w:rsidP="00746B90" w14:paraId="6B859D39"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Verify the diagnosis</w:t>
      </w:r>
    </w:p>
    <w:p w:rsidR="00746B90" w:rsidRPr="00746B90" w:rsidP="00746B90" w14:paraId="7FED800D"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Describe and orient the data in terms of time, place, and person</w:t>
      </w:r>
    </w:p>
    <w:p w:rsidR="00746B90" w:rsidRPr="00746B90" w:rsidP="00746B90" w14:paraId="555665BD"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Develop hypotheses</w:t>
      </w:r>
    </w:p>
    <w:p w:rsidR="00746B90" w:rsidRPr="00746B90" w:rsidP="00746B90" w14:paraId="6E89D69A"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Evaluate hypotheses</w:t>
      </w:r>
    </w:p>
    <w:p w:rsidR="00746B90" w:rsidRPr="00746B90" w:rsidP="00746B90" w14:paraId="38FAD512"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Refine hypotheses and carry out additional studies</w:t>
      </w:r>
    </w:p>
    <w:p w:rsidR="00746B90" w:rsidRPr="00746B90" w:rsidP="00746B90" w14:paraId="09CCE896"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Implement control and prevention measures</w:t>
      </w:r>
    </w:p>
    <w:p w:rsidR="00746B90" w:rsidRPr="00746B90" w:rsidP="00746B90" w14:paraId="15037C31" w14:textId="77777777">
      <w:pPr>
        <w:pStyle w:val="BodyTextIndent3"/>
        <w:numPr>
          <w:ilvl w:val="0"/>
          <w:numId w:val="19"/>
        </w:numPr>
        <w:tabs>
          <w:tab w:val="num" w:pos="-90"/>
          <w:tab w:val="left" w:pos="990"/>
          <w:tab w:val="clear" w:pos="1800"/>
        </w:tabs>
        <w:ind w:left="810" w:hanging="450"/>
        <w:rPr>
          <w:rFonts w:asciiTheme="minorHAnsi" w:hAnsiTheme="minorHAnsi" w:cstheme="minorHAnsi"/>
        </w:rPr>
      </w:pPr>
      <w:r w:rsidRPr="00746B90">
        <w:rPr>
          <w:rFonts w:asciiTheme="minorHAnsi" w:hAnsiTheme="minorHAnsi" w:cstheme="minorHAnsi"/>
        </w:rPr>
        <w:t>Communicate findings</w:t>
      </w:r>
    </w:p>
    <w:p w:rsidR="00746B90" w:rsidRPr="00746B90" w:rsidP="00746B90" w14:paraId="41C01208" w14:textId="77777777">
      <w:pPr>
        <w:pStyle w:val="BodyTextIndent3"/>
        <w:tabs>
          <w:tab w:val="num" w:pos="-90"/>
          <w:tab w:val="clear" w:pos="1800"/>
        </w:tabs>
        <w:ind w:left="0"/>
        <w:rPr>
          <w:rFonts w:asciiTheme="minorHAnsi" w:hAnsiTheme="minorHAnsi" w:cstheme="minorHAnsi"/>
        </w:rPr>
      </w:pPr>
    </w:p>
    <w:p w:rsidR="00746B90" w:rsidRPr="00746B90" w:rsidP="00746B90" w14:paraId="00809986" w14:textId="77777777">
      <w:pPr>
        <w:pStyle w:val="BodyTextIndent3"/>
        <w:tabs>
          <w:tab w:val="num" w:pos="-90"/>
          <w:tab w:val="clear" w:pos="1800"/>
        </w:tabs>
        <w:ind w:left="0"/>
        <w:rPr>
          <w:rFonts w:asciiTheme="minorHAnsi" w:hAnsiTheme="minorHAnsi" w:cstheme="minorHAnsi"/>
          <w:b/>
        </w:rPr>
      </w:pPr>
      <w:r w:rsidRPr="00746B90">
        <w:rPr>
          <w:rFonts w:asciiTheme="minorHAnsi" w:hAnsiTheme="minorHAnsi" w:cstheme="minorHAnsi"/>
          <w:b/>
        </w:rPr>
        <w:t>Study Design</w:t>
      </w:r>
    </w:p>
    <w:p w:rsidR="00746B90" w:rsidRPr="00746B90" w:rsidP="00746B90" w14:paraId="608E4A46" w14:textId="77777777">
      <w:pPr>
        <w:pStyle w:val="BodyTextIndent3"/>
        <w:tabs>
          <w:tab w:val="num" w:pos="-90"/>
          <w:tab w:val="clear" w:pos="1800"/>
        </w:tabs>
        <w:ind w:left="0"/>
        <w:rPr>
          <w:rFonts w:asciiTheme="minorHAnsi" w:hAnsiTheme="minorHAnsi" w:cstheme="minorHAnsi"/>
        </w:rPr>
      </w:pPr>
    </w:p>
    <w:p w:rsidR="00746B90" w:rsidRPr="00746B90" w:rsidP="00746B90" w14:paraId="4DC439CB" w14:textId="77777777">
      <w:pPr>
        <w:pStyle w:val="BodyTextIndent3"/>
        <w:tabs>
          <w:tab w:val="num" w:pos="-90"/>
          <w:tab w:val="clear" w:pos="1800"/>
        </w:tabs>
        <w:ind w:left="0"/>
        <w:rPr>
          <w:rFonts w:asciiTheme="minorHAnsi" w:hAnsiTheme="minorHAnsi" w:cstheme="minorHAnsi"/>
          <w:i/>
        </w:rPr>
      </w:pPr>
      <w:r w:rsidRPr="00746B90">
        <w:rPr>
          <w:rFonts w:asciiTheme="minorHAnsi" w:hAnsiTheme="minorHAnsi" w:cstheme="minorHAnsi"/>
          <w:i/>
        </w:rPr>
        <w:t>Epidemiologic Investigations</w:t>
      </w:r>
    </w:p>
    <w:p w:rsidR="00746B90" w:rsidRPr="00746B90" w:rsidP="00746B90" w14:paraId="7BEA084B"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CSOI steps 1 – 6 often are carried out using descriptive study methods. Steps 7 – 8 often are carried out using analytic study methods. Methods commonly used in epidemiologic investigations are described below, though this list is not exhaustive.</w:t>
      </w:r>
      <w:r>
        <w:rPr>
          <w:rStyle w:val="FootnoteReference"/>
          <w:rFonts w:asciiTheme="minorHAnsi" w:hAnsiTheme="minorHAnsi" w:cstheme="minorHAnsi"/>
        </w:rPr>
        <w:footnoteReference w:id="2"/>
      </w:r>
      <w:r w:rsidRPr="00746B90">
        <w:rPr>
          <w:rFonts w:asciiTheme="minorHAnsi" w:hAnsiTheme="minorHAnsi" w:cstheme="minorHAnsi"/>
        </w:rPr>
        <w:t xml:space="preserve"> Environmental assessments and laboratory testing also are briefly described, though these methods often do not involve respondent burden.</w:t>
      </w:r>
    </w:p>
    <w:p w:rsidR="00746B90" w:rsidRPr="00746B90" w:rsidP="00746B90" w14:paraId="5C4D267F" w14:textId="77777777">
      <w:pPr>
        <w:pStyle w:val="BodyTextIndent3"/>
        <w:tabs>
          <w:tab w:val="num" w:pos="-90"/>
          <w:tab w:val="clear" w:pos="1800"/>
        </w:tabs>
        <w:ind w:left="0"/>
        <w:rPr>
          <w:rFonts w:asciiTheme="minorHAnsi" w:hAnsiTheme="minorHAnsi" w:cstheme="minorHAnsi"/>
        </w:rPr>
      </w:pPr>
    </w:p>
    <w:p w:rsidR="00746B90" w:rsidRPr="00746B90" w:rsidP="00746B90" w14:paraId="16CABCB7" w14:textId="77777777">
      <w:pPr>
        <w:pStyle w:val="BodyTextIndent3"/>
        <w:numPr>
          <w:ilvl w:val="0"/>
          <w:numId w:val="18"/>
        </w:numPr>
        <w:tabs>
          <w:tab w:val="num" w:pos="-90"/>
          <w:tab w:val="clear" w:pos="1800"/>
        </w:tabs>
        <w:spacing w:after="120"/>
        <w:ind w:left="990" w:hanging="450"/>
        <w:rPr>
          <w:rFonts w:asciiTheme="minorHAnsi" w:hAnsiTheme="minorHAnsi" w:cstheme="minorHAnsi"/>
        </w:rPr>
      </w:pPr>
      <w:r w:rsidRPr="00746B90">
        <w:rPr>
          <w:rFonts w:asciiTheme="minorHAnsi" w:hAnsiTheme="minorHAnsi" w:cstheme="minorHAnsi"/>
        </w:rPr>
        <w:t>Descriptive Study</w:t>
      </w:r>
    </w:p>
    <w:p w:rsidR="00746B90" w:rsidRPr="00746B90" w:rsidP="00746B90" w14:paraId="7AB68581" w14:textId="77777777">
      <w:pPr>
        <w:pStyle w:val="BodyTextIndent3"/>
        <w:tabs>
          <w:tab w:val="num" w:pos="-90"/>
          <w:tab w:val="clear" w:pos="1800"/>
        </w:tabs>
        <w:spacing w:after="120"/>
        <w:ind w:left="108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rPr>
        <w:t xml:space="preserve"> A study designed to organize and summarize data regarding the persons effected (e.g., the characteristics of those who became ill), time (e.g., when they become ill), and place (e.g., where they might have been exposed to the cause of illness).</w:t>
      </w:r>
    </w:p>
    <w:p w:rsidR="00746B90" w:rsidRPr="00746B90" w:rsidP="00746B90" w14:paraId="472C9B93" w14:textId="77777777">
      <w:pPr>
        <w:pStyle w:val="BodyTextIndent3"/>
        <w:tabs>
          <w:tab w:val="num" w:pos="-90"/>
          <w:tab w:val="clear" w:pos="1800"/>
        </w:tabs>
        <w:spacing w:after="120"/>
        <w:ind w:left="108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i/>
        </w:rPr>
        <w:t>:</w:t>
      </w:r>
      <w:r w:rsidRPr="00746B90">
        <w:rPr>
          <w:rFonts w:asciiTheme="minorHAnsi" w:hAnsiTheme="minorHAnsi" w:cstheme="minorHAnsi"/>
        </w:rPr>
        <w:t xml:space="preserve"> Descriptive studies will be employed by almost all CSOIs where the person, place, and time of a particular outbreak or event are not already understood.  This information is critical for identification of the population at risk, development of the case definition, case finding, and hypothesis generation. </w:t>
      </w:r>
    </w:p>
    <w:p w:rsidR="00746B90" w:rsidRPr="00746B90" w:rsidP="00746B90" w14:paraId="15593E08" w14:textId="77777777">
      <w:pPr>
        <w:pStyle w:val="BodyTextIndent3"/>
        <w:numPr>
          <w:ilvl w:val="0"/>
          <w:numId w:val="18"/>
        </w:numPr>
        <w:tabs>
          <w:tab w:val="num" w:pos="-90"/>
          <w:tab w:val="clear" w:pos="1800"/>
        </w:tabs>
        <w:spacing w:after="120"/>
        <w:ind w:left="1080"/>
        <w:rPr>
          <w:rFonts w:asciiTheme="minorHAnsi" w:hAnsiTheme="minorHAnsi" w:cstheme="minorHAnsi"/>
        </w:rPr>
      </w:pPr>
      <w:r w:rsidRPr="00746B90">
        <w:rPr>
          <w:rFonts w:asciiTheme="minorHAnsi" w:hAnsiTheme="minorHAnsi" w:cstheme="minorHAnsi"/>
        </w:rPr>
        <w:t>Cohort Study</w:t>
      </w:r>
    </w:p>
    <w:p w:rsidR="00746B90" w:rsidRPr="00746B90" w:rsidP="00746B90" w14:paraId="1BAD7467" w14:textId="77777777">
      <w:pPr>
        <w:pStyle w:val="BodyTextIndent3"/>
        <w:tabs>
          <w:tab w:val="num" w:pos="-90"/>
          <w:tab w:val="left" w:pos="1170"/>
          <w:tab w:val="clear" w:pos="180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An analytic study in which enrollment is based on status of exposure to a certain factor or membership of a certain group.  Populations are then compared according to whether they experienced disease, death, or </w:t>
      </w:r>
      <w:r w:rsidRPr="00746B90">
        <w:rPr>
          <w:rFonts w:asciiTheme="minorHAnsi" w:hAnsiTheme="minorHAnsi" w:cstheme="minorHAnsi"/>
        </w:rPr>
        <w:t>other</w:t>
      </w:r>
      <w:r w:rsidRPr="00746B90">
        <w:rPr>
          <w:rFonts w:asciiTheme="minorHAnsi" w:hAnsiTheme="minorHAnsi" w:cstheme="minorHAnsi"/>
        </w:rPr>
        <w:t xml:space="preserve"> health-related outcome. In retrospective cohort studies, the exposures and outcomes already have occurred at the time of the investigation.</w:t>
      </w:r>
    </w:p>
    <w:p w:rsidR="00746B90" w:rsidRPr="00746B90" w:rsidP="00746B90" w14:paraId="68574F6F" w14:textId="77777777">
      <w:pPr>
        <w:pStyle w:val="BodyTextIndent3"/>
        <w:tabs>
          <w:tab w:val="num" w:pos="1170"/>
          <w:tab w:val="clear" w:pos="180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u w:val="single"/>
        </w:rPr>
        <w:t>:</w:t>
      </w:r>
      <w:r w:rsidRPr="00746B90">
        <w:rPr>
          <w:rFonts w:asciiTheme="minorHAnsi" w:hAnsiTheme="minorHAnsi" w:cstheme="minorHAnsi"/>
        </w:rPr>
        <w:t xml:space="preserve"> Cohort studies are commonly used in investigations where 1) the exposure is rare or can be precisely defined, 2) the population at risk is a well-defined group (such as workers at a particular factory or attendees of a wedding), or 3) the disease is common. </w:t>
      </w:r>
    </w:p>
    <w:p w:rsidR="00746B90" w:rsidRPr="00746B90" w:rsidP="00746B90" w14:paraId="788F421E" w14:textId="77777777">
      <w:pPr>
        <w:pStyle w:val="BodyTextIndent3"/>
        <w:numPr>
          <w:ilvl w:val="0"/>
          <w:numId w:val="18"/>
        </w:numPr>
        <w:tabs>
          <w:tab w:val="num" w:pos="-90"/>
          <w:tab w:val="clear" w:pos="1800"/>
        </w:tabs>
        <w:spacing w:after="120"/>
        <w:ind w:left="1080"/>
        <w:rPr>
          <w:rFonts w:asciiTheme="minorHAnsi" w:hAnsiTheme="minorHAnsi" w:cstheme="minorHAnsi"/>
        </w:rPr>
      </w:pPr>
      <w:r w:rsidRPr="00746B90">
        <w:rPr>
          <w:rFonts w:asciiTheme="minorHAnsi" w:hAnsiTheme="minorHAnsi" w:cstheme="minorHAnsi"/>
        </w:rPr>
        <w:t>Case-control Study</w:t>
      </w:r>
    </w:p>
    <w:p w:rsidR="00746B90" w:rsidRPr="00746B90" w:rsidP="00746B90" w14:paraId="2AE86F36" w14:textId="77777777">
      <w:pPr>
        <w:pStyle w:val="BodyTextIndent3"/>
        <w:tabs>
          <w:tab w:val="num" w:pos="-90"/>
          <w:tab w:val="clear" w:pos="1800"/>
        </w:tabs>
        <w:spacing w:after="120"/>
        <w:ind w:left="1080" w:hanging="360"/>
        <w:rPr>
          <w:rFonts w:asciiTheme="minorHAnsi" w:hAnsiTheme="minorHAnsi" w:cstheme="minorHAnsi"/>
        </w:rPr>
      </w:pPr>
      <w:r w:rsidRPr="00746B90">
        <w:rPr>
          <w:rFonts w:asciiTheme="minorHAnsi" w:hAnsiTheme="minorHAnsi" w:cstheme="minorHAnsi"/>
        </w:rPr>
        <w:tab/>
      </w:r>
      <w:r w:rsidRPr="00746B90">
        <w:rPr>
          <w:rFonts w:asciiTheme="minorHAnsi" w:hAnsiTheme="minorHAnsi" w:cstheme="minorHAnsi"/>
          <w:i/>
          <w:u w:val="single"/>
        </w:rPr>
        <w:t>Definition:</w:t>
      </w:r>
      <w:r w:rsidRPr="00746B90">
        <w:rPr>
          <w:rFonts w:asciiTheme="minorHAnsi" w:hAnsiTheme="minorHAnsi" w:cstheme="minorHAnsi"/>
        </w:rP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rsidR="00746B90" w:rsidRPr="00746B90" w:rsidP="00746B90" w14:paraId="31FF3D44" w14:textId="77777777">
      <w:pPr>
        <w:pStyle w:val="BodyTextIndent3"/>
        <w:tabs>
          <w:tab w:val="num" w:pos="-90"/>
          <w:tab w:val="clear" w:pos="1800"/>
        </w:tabs>
        <w:spacing w:after="120"/>
        <w:ind w:left="1080" w:hanging="360"/>
        <w:rPr>
          <w:rFonts w:asciiTheme="minorHAnsi" w:hAnsiTheme="minorHAnsi" w:cstheme="minorHAnsi"/>
        </w:rPr>
      </w:pPr>
      <w:r w:rsidRPr="00746B90">
        <w:rPr>
          <w:rFonts w:asciiTheme="minorHAnsi" w:hAnsiTheme="minorHAnsi" w:cstheme="minorHAnsi"/>
          <w:i/>
        </w:rPr>
        <w:tab/>
      </w:r>
      <w:r w:rsidRPr="00746B90">
        <w:rPr>
          <w:rFonts w:asciiTheme="minorHAnsi" w:hAnsiTheme="minorHAnsi" w:cstheme="minorHAnsi"/>
          <w:i/>
          <w:u w:val="single"/>
        </w:rPr>
        <w:t>Common Uses:</w:t>
      </w:r>
      <w:r w:rsidRPr="00746B90">
        <w:rPr>
          <w:rFonts w:asciiTheme="minorHAnsi" w:hAnsiTheme="minorHAnsi" w:cstheme="minorHAnsi"/>
        </w:rPr>
        <w:t xml:space="preserve"> Case-control studies often are used when 1) the disease or outcome is rare, 2) persons with the disease or outcome can be readily identified, 3) multiple exposures are under investigation or the exposure is common, or 4) the population at risk is unknown. </w:t>
      </w:r>
    </w:p>
    <w:p w:rsidR="00746B90" w:rsidRPr="00746B90" w:rsidP="00746B90" w14:paraId="27DE1A98" w14:textId="77777777">
      <w:pPr>
        <w:pStyle w:val="BodyTextIndent3"/>
        <w:tabs>
          <w:tab w:val="num" w:pos="-90"/>
          <w:tab w:val="clear" w:pos="1800"/>
        </w:tabs>
        <w:ind w:left="1260" w:hanging="540"/>
        <w:rPr>
          <w:rFonts w:asciiTheme="minorHAnsi" w:hAnsiTheme="minorHAnsi" w:cstheme="minorHAnsi"/>
        </w:rPr>
      </w:pPr>
    </w:p>
    <w:p w:rsidR="00746B90" w:rsidRPr="00746B90" w:rsidP="00746B90" w14:paraId="0EAEF83D" w14:textId="77777777">
      <w:pPr>
        <w:pStyle w:val="BodyTextIndent3"/>
        <w:tabs>
          <w:tab w:val="num" w:pos="-90"/>
          <w:tab w:val="clear" w:pos="1800"/>
        </w:tabs>
        <w:ind w:left="0"/>
        <w:rPr>
          <w:rFonts w:asciiTheme="minorHAnsi" w:hAnsiTheme="minorHAnsi" w:cstheme="minorHAnsi"/>
          <w:i/>
        </w:rPr>
      </w:pPr>
      <w:r w:rsidRPr="00746B90">
        <w:rPr>
          <w:rFonts w:asciiTheme="minorHAnsi" w:hAnsiTheme="minorHAnsi" w:cstheme="minorHAnsi"/>
          <w:i/>
        </w:rPr>
        <w:t>Environmental Assessment and Laboratory Testing</w:t>
      </w:r>
    </w:p>
    <w:p w:rsidR="00746B90" w:rsidRPr="00746B90" w:rsidP="00746B90" w14:paraId="6975E66B"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CSOIs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  Laboratory testing can provide important information about diagnoses or source of disease. For example, if descriptive data indicate all case-patients ate at a particular food establishment on the ship, an environmental assessment and laboratory testing might identify a specific contaminated food item, eliminating the need for additional data collection. In another example, descriptive data might not yield sufficiently conclusive results to inform an environmental assessment or laboratory testing.  Instead, hypotheses might be generated and tested, and then environmental assessment and laboratory </w:t>
      </w:r>
      <w:r w:rsidRPr="00746B90">
        <w:rPr>
          <w:rFonts w:asciiTheme="minorHAnsi" w:hAnsiTheme="minorHAnsi" w:cstheme="minorHAnsi"/>
        </w:rPr>
        <w:t>testing might be used to confirm or verify results of the analytic study. CSOIs might involve laboratory testing of environmental or biospecimen samples. In these situations, VSP will use the appropriate OMB-approved laboratory mechanism for collection and processing of samples and clinical specimens.</w:t>
      </w:r>
    </w:p>
    <w:p w:rsidR="00746B90" w:rsidRPr="00746B90" w:rsidP="00746B90" w14:paraId="6B1581CB" w14:textId="77777777">
      <w:pPr>
        <w:pStyle w:val="BodyTextIndent3"/>
        <w:tabs>
          <w:tab w:val="num" w:pos="-90"/>
          <w:tab w:val="clear" w:pos="1800"/>
        </w:tabs>
        <w:ind w:left="0"/>
        <w:rPr>
          <w:rFonts w:asciiTheme="minorHAnsi" w:hAnsiTheme="minorHAnsi" w:cstheme="minorHAnsi"/>
        </w:rPr>
      </w:pPr>
    </w:p>
    <w:p w:rsidR="00746B90" w:rsidRPr="00746B90" w:rsidP="00746B90" w14:paraId="33212A4E" w14:textId="77777777">
      <w:pPr>
        <w:pStyle w:val="BodyTextIndent3"/>
        <w:tabs>
          <w:tab w:val="num" w:pos="-90"/>
          <w:tab w:val="clear" w:pos="1800"/>
        </w:tabs>
        <w:ind w:left="0"/>
        <w:rPr>
          <w:rFonts w:asciiTheme="minorHAnsi" w:hAnsiTheme="minorHAnsi" w:cstheme="minorHAnsi"/>
          <w:b/>
        </w:rPr>
      </w:pPr>
      <w:r w:rsidRPr="00746B90">
        <w:rPr>
          <w:rFonts w:asciiTheme="minorHAnsi" w:hAnsiTheme="minorHAnsi" w:cstheme="minorHAnsi"/>
          <w:b/>
        </w:rPr>
        <w:t>Data Collection Mode</w:t>
      </w:r>
    </w:p>
    <w:p w:rsidR="00746B90" w:rsidRPr="00746B90" w:rsidP="00746B90" w14:paraId="1A60B8FF" w14:textId="77777777">
      <w:pPr>
        <w:pStyle w:val="BodyTextIndent3"/>
        <w:tabs>
          <w:tab w:val="num" w:pos="-90"/>
          <w:tab w:val="clear" w:pos="1800"/>
        </w:tabs>
        <w:ind w:left="0"/>
        <w:rPr>
          <w:rFonts w:asciiTheme="minorHAnsi" w:hAnsiTheme="minorHAnsi" w:cstheme="minorHAnsi"/>
          <w:b/>
        </w:rPr>
      </w:pPr>
    </w:p>
    <w:p w:rsidR="00746B90" w:rsidRPr="00746B90" w:rsidP="00746B90" w14:paraId="0BA5CD21"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Data collection modes commonly used by CSOIs are described below; other modes also might be used as appropriate. Many CSOIs use multiple modes to collect data. Ultimately, the type of mode(s) used will be determined based on the location and availability of respondents, the speed with which information is needed, and the specific information needed to identify the agents, sources, modes of transmission, or risk factors so that effective prevention and control measures can be implemented. </w:t>
      </w:r>
    </w:p>
    <w:p w:rsidR="00746B90" w:rsidRPr="00746B90" w:rsidP="00746B90" w14:paraId="72BB3131" w14:textId="77777777">
      <w:pPr>
        <w:pStyle w:val="BodyTextIndent3"/>
        <w:tabs>
          <w:tab w:val="num" w:pos="-90"/>
          <w:tab w:val="clear" w:pos="1800"/>
        </w:tabs>
        <w:ind w:left="0"/>
        <w:rPr>
          <w:rFonts w:asciiTheme="minorHAnsi" w:hAnsiTheme="minorHAnsi" w:cstheme="minorHAnsi"/>
        </w:rPr>
      </w:pPr>
    </w:p>
    <w:p w:rsidR="00746B90" w:rsidRPr="00746B90" w:rsidP="00746B90" w14:paraId="125B2C93" w14:textId="77777777">
      <w:pPr>
        <w:pStyle w:val="BodyTextIndent3"/>
        <w:numPr>
          <w:ilvl w:val="0"/>
          <w:numId w:val="18"/>
        </w:numPr>
        <w:tabs>
          <w:tab w:val="num" w:pos="-90"/>
          <w:tab w:val="left" w:pos="1080"/>
          <w:tab w:val="clear" w:pos="1800"/>
        </w:tabs>
        <w:spacing w:after="120"/>
        <w:ind w:left="1260" w:hanging="540"/>
        <w:rPr>
          <w:rFonts w:asciiTheme="minorHAnsi" w:hAnsiTheme="minorHAnsi" w:cstheme="minorHAnsi"/>
        </w:rPr>
      </w:pPr>
      <w:r w:rsidRPr="00746B90">
        <w:rPr>
          <w:rFonts w:asciiTheme="minorHAnsi" w:hAnsiTheme="minorHAnsi" w:cstheme="minorHAnsi"/>
        </w:rPr>
        <w:t>Survey Modes</w:t>
      </w:r>
    </w:p>
    <w:p w:rsidR="00746B90" w:rsidRPr="00746B90" w:rsidP="00746B90" w14:paraId="4EC9BBF9" w14:textId="77777777">
      <w:pPr>
        <w:pStyle w:val="BodyTextIndent3"/>
        <w:numPr>
          <w:ilvl w:val="1"/>
          <w:numId w:val="18"/>
        </w:numPr>
        <w:tabs>
          <w:tab w:val="left" w:pos="1080"/>
          <w:tab w:val="clear" w:pos="1800"/>
        </w:tabs>
        <w:spacing w:after="120"/>
        <w:ind w:left="1440"/>
        <w:rPr>
          <w:rFonts w:asciiTheme="minorHAnsi" w:hAnsiTheme="minorHAnsi" w:cstheme="minorHAnsi"/>
        </w:rPr>
      </w:pPr>
      <w:r w:rsidRPr="00746B90">
        <w:rPr>
          <w:rFonts w:asciiTheme="minorHAnsi" w:hAnsiTheme="minorHAnsi" w:cstheme="minorHAnsi"/>
        </w:rPr>
        <w:t>Face-to-Face Interview</w:t>
      </w:r>
    </w:p>
    <w:p w:rsidR="00746B90" w:rsidRPr="00746B90" w:rsidP="00746B90" w14:paraId="2C3D1E9E" w14:textId="77777777">
      <w:pPr>
        <w:pStyle w:val="BodyTextIndent3"/>
        <w:tabs>
          <w:tab w:val="left" w:pos="1080"/>
          <w:tab w:val="clear" w:pos="1800"/>
        </w:tabs>
        <w:spacing w:after="120"/>
        <w:ind w:left="1440"/>
        <w:rPr>
          <w:rFonts w:asciiTheme="minorHAnsi" w:hAnsiTheme="minorHAnsi" w:cstheme="minorHAnsi"/>
          <w:i/>
        </w:rPr>
      </w:pPr>
      <w:r w:rsidRPr="00746B90">
        <w:rPr>
          <w:rFonts w:asciiTheme="minorHAnsi" w:hAnsiTheme="minorHAnsi" w:cstheme="minorHAnsi"/>
          <w:i/>
          <w:u w:val="single"/>
        </w:rPr>
        <w:t>Definition:</w:t>
      </w:r>
      <w:r w:rsidRPr="00746B90">
        <w:rPr>
          <w:rFonts w:asciiTheme="minorHAnsi" w:hAnsiTheme="minorHAnsi" w:cstheme="minorHAnsi"/>
        </w:rPr>
        <w:t xml:space="preserve"> An in-person interview in which a trained interviewer administers a questionnaire to the respondent.</w:t>
      </w:r>
    </w:p>
    <w:p w:rsidR="00746B90" w:rsidRPr="00746B90" w:rsidP="00746B90" w14:paraId="3FCC6119" w14:textId="77777777">
      <w:pPr>
        <w:pStyle w:val="BodyTextIndent3"/>
        <w:tabs>
          <w:tab w:val="left" w:pos="1080"/>
          <w:tab w:val="clear" w:pos="180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Face-to-face interviews are a common mode used in CSOIs because they allow for rapid data collection and are conducive to open-ended responses.  This makes them particularly useful during the hypothesis-generating stage of the investigation. They also are useful when the information to be collected is particularly complex and interviewer prompts or explanation might be needed. Face-to-face interviews are most feasible when respondents are centrally located.</w:t>
      </w:r>
    </w:p>
    <w:p w:rsidR="00746B90" w:rsidRPr="00746B90" w:rsidP="00746B90" w14:paraId="1EB5E3C9" w14:textId="77777777">
      <w:pPr>
        <w:pStyle w:val="BodyTextIndent3"/>
        <w:numPr>
          <w:ilvl w:val="0"/>
          <w:numId w:val="20"/>
        </w:numPr>
        <w:tabs>
          <w:tab w:val="left" w:pos="1440"/>
          <w:tab w:val="clear" w:pos="1800"/>
        </w:tabs>
        <w:spacing w:after="120"/>
        <w:ind w:left="1440"/>
        <w:rPr>
          <w:rFonts w:asciiTheme="minorHAnsi" w:hAnsiTheme="minorHAnsi" w:cstheme="minorHAnsi"/>
        </w:rPr>
      </w:pPr>
      <w:r w:rsidRPr="00746B90">
        <w:rPr>
          <w:rFonts w:asciiTheme="minorHAnsi" w:hAnsiTheme="minorHAnsi" w:cstheme="minorHAnsi"/>
        </w:rPr>
        <w:t>Self-administered Paper-and-Pencil Questionnaire</w:t>
      </w:r>
    </w:p>
    <w:p w:rsidR="00746B90" w:rsidRPr="00746B90" w:rsidP="00746B90" w14:paraId="42F0587B" w14:textId="77777777">
      <w:pPr>
        <w:pStyle w:val="BodyTextIndent3"/>
        <w:tabs>
          <w:tab w:val="left" w:pos="1170"/>
          <w:tab w:val="clear" w:pos="180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u w:val="single"/>
        </w:rPr>
        <w:t>:</w:t>
      </w:r>
      <w:r w:rsidRPr="00746B90">
        <w:rPr>
          <w:rFonts w:asciiTheme="minorHAnsi" w:hAnsiTheme="minorHAnsi" w:cstheme="minorHAnsi"/>
        </w:rPr>
        <w:t xml:space="preserve"> A paper questionnaire that is completed by the respondent. </w:t>
      </w:r>
    </w:p>
    <w:p w:rsidR="00746B90" w:rsidRPr="00746B90" w:rsidP="00746B90" w14:paraId="197F44F2" w14:textId="77777777">
      <w:pPr>
        <w:pStyle w:val="BodyTextIndent3"/>
        <w:tabs>
          <w:tab w:val="left" w:pos="1170"/>
          <w:tab w:val="clear" w:pos="180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Self-administered paper-and-pencil questionnaires are often used when interviews are not feasible due to resource limitations and the information to be collected can be captured using straight-forward questions with fixed response options.  </w:t>
      </w:r>
    </w:p>
    <w:p w:rsidR="00746B90" w:rsidRPr="00746B90" w:rsidP="00746B90" w14:paraId="4284BEB9" w14:textId="77777777">
      <w:pPr>
        <w:pStyle w:val="BodyTextIndent3"/>
        <w:numPr>
          <w:ilvl w:val="0"/>
          <w:numId w:val="20"/>
        </w:numPr>
        <w:tabs>
          <w:tab w:val="clear" w:pos="1800"/>
        </w:tabs>
        <w:spacing w:after="120"/>
        <w:ind w:left="1440"/>
        <w:rPr>
          <w:rFonts w:asciiTheme="minorHAnsi" w:hAnsiTheme="minorHAnsi" w:cstheme="minorHAnsi"/>
        </w:rPr>
      </w:pPr>
      <w:r w:rsidRPr="00746B90">
        <w:rPr>
          <w:rFonts w:asciiTheme="minorHAnsi" w:hAnsiTheme="minorHAnsi" w:cstheme="minorHAnsi"/>
        </w:rPr>
        <w:t xml:space="preserve">Clinical Sample </w:t>
      </w:r>
    </w:p>
    <w:p w:rsidR="00746B90" w:rsidRPr="00746B90" w:rsidP="00746B90" w14:paraId="79958BA1" w14:textId="77777777">
      <w:pPr>
        <w:pStyle w:val="BodyTextIndent3"/>
        <w:tabs>
          <w:tab w:val="left" w:pos="1080"/>
          <w:tab w:val="clear" w:pos="180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i/>
        </w:rPr>
        <w:t xml:space="preserve"> </w:t>
      </w:r>
      <w:r w:rsidRPr="00746B90">
        <w:rPr>
          <w:rFonts w:asciiTheme="minorHAnsi" w:hAnsiTheme="minorHAnsi" w:cstheme="minorHAnsi"/>
        </w:rPr>
        <w:t>A sample of material, such as stool, emesis, or blood.</w:t>
      </w:r>
      <w:r>
        <w:rPr>
          <w:rStyle w:val="FootnoteReference"/>
          <w:rFonts w:asciiTheme="minorHAnsi" w:hAnsiTheme="minorHAnsi" w:cstheme="minorHAnsi"/>
        </w:rPr>
        <w:footnoteReference w:id="3"/>
      </w:r>
    </w:p>
    <w:p w:rsidR="00746B90" w:rsidRPr="00746B90" w:rsidP="00746B90" w14:paraId="791AAA2D" w14:textId="77777777">
      <w:pPr>
        <w:pStyle w:val="BodyTextIndent3"/>
        <w:tabs>
          <w:tab w:val="num" w:pos="-90"/>
          <w:tab w:val="num" w:pos="630"/>
          <w:tab w:val="left" w:pos="1080"/>
          <w:tab w:val="clear" w:pos="180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clinical specimens are often used to determine case definitions, verify case status, or identify the infectious agent or source.</w:t>
      </w:r>
    </w:p>
    <w:p w:rsidR="00746B90" w:rsidRPr="00746B90" w:rsidP="00746B90" w14:paraId="0EFF88F2" w14:textId="77777777">
      <w:pPr>
        <w:pStyle w:val="BodyTextIndent3"/>
        <w:numPr>
          <w:ilvl w:val="0"/>
          <w:numId w:val="20"/>
        </w:numPr>
        <w:tabs>
          <w:tab w:val="left" w:pos="1440"/>
          <w:tab w:val="left" w:pos="1620"/>
          <w:tab w:val="clear" w:pos="1800"/>
        </w:tabs>
        <w:spacing w:after="120"/>
        <w:ind w:left="1440"/>
        <w:rPr>
          <w:rFonts w:asciiTheme="minorHAnsi" w:hAnsiTheme="minorHAnsi" w:cstheme="minorHAnsi"/>
        </w:rPr>
      </w:pPr>
      <w:r w:rsidRPr="00746B90">
        <w:rPr>
          <w:rFonts w:asciiTheme="minorHAnsi" w:hAnsiTheme="minorHAnsi" w:cstheme="minorHAnsi"/>
        </w:rPr>
        <w:t>Environmental Sample:</w:t>
      </w:r>
    </w:p>
    <w:p w:rsidR="00746B90" w:rsidRPr="00746B90" w:rsidP="00746B90" w14:paraId="7C35647B" w14:textId="77777777">
      <w:pPr>
        <w:pStyle w:val="BodyTextIndent3"/>
        <w:tabs>
          <w:tab w:val="num" w:pos="-90"/>
          <w:tab w:val="left" w:pos="1530"/>
          <w:tab w:val="clear" w:pos="1800"/>
        </w:tabs>
        <w:spacing w:after="120"/>
        <w:ind w:left="1440"/>
        <w:rPr>
          <w:rFonts w:asciiTheme="minorHAnsi" w:hAnsiTheme="minorHAnsi" w:cstheme="minorHAnsi"/>
        </w:rPr>
      </w:pPr>
      <w:r w:rsidRPr="00746B90">
        <w:rPr>
          <w:rFonts w:asciiTheme="minorHAnsi" w:hAnsiTheme="minorHAnsi" w:cstheme="minorHAnsi"/>
          <w:i/>
          <w:u w:val="single"/>
        </w:rPr>
        <w:t>Definition:</w:t>
      </w:r>
      <w:r w:rsidRPr="00746B90">
        <w:rPr>
          <w:rFonts w:asciiTheme="minorHAnsi" w:hAnsiTheme="minorHAnsi" w:cstheme="minorHAnsi"/>
        </w:rPr>
        <w:t xml:space="preserve"> A sample of any material that is collected from an environmental source.</w:t>
      </w:r>
    </w:p>
    <w:p w:rsidR="00746B90" w:rsidRPr="00746B90" w:rsidP="00746B90" w14:paraId="275CC835" w14:textId="77777777">
      <w:pPr>
        <w:pStyle w:val="BodyTextIndent3"/>
        <w:tabs>
          <w:tab w:val="num" w:pos="-90"/>
          <w:tab w:val="left" w:pos="1530"/>
          <w:tab w:val="clear" w:pos="1800"/>
        </w:tabs>
        <w:spacing w:after="120"/>
        <w:ind w:left="1440"/>
        <w:rPr>
          <w:rFonts w:asciiTheme="minorHAnsi" w:hAnsiTheme="minorHAnsi" w:cstheme="minorHAnsi"/>
        </w:rPr>
      </w:pPr>
      <w:r w:rsidRPr="00746B90">
        <w:rPr>
          <w:rFonts w:asciiTheme="minorHAnsi" w:hAnsiTheme="minorHAnsi" w:cstheme="minorHAnsi"/>
          <w:i/>
          <w:u w:val="single"/>
        </w:rPr>
        <w:t>Common Uses:</w:t>
      </w:r>
      <w:r w:rsidRPr="00746B90">
        <w:rPr>
          <w:rFonts w:asciiTheme="minorHAnsi" w:hAnsiTheme="minorHAnsi" w:cstheme="minorHAnsi"/>
        </w:rPr>
        <w:t xml:space="preserve"> Environmental samples are often used to determine the agents, sources, or modes of transmission of the health problem.  </w:t>
      </w:r>
    </w:p>
    <w:p w:rsidR="00B45002" w:rsidRPr="00E707C0" w:rsidP="008D0F27" w14:paraId="6759D52E" w14:textId="77777777">
      <w:pPr>
        <w:pStyle w:val="Heading1"/>
        <w:pBdr>
          <w:bottom w:val="none" w:sz="0" w:space="0" w:color="auto"/>
        </w:pBdr>
        <w:rPr>
          <w:rFonts w:ascii="Cambria" w:hAnsi="Cambria"/>
          <w:color w:val="auto"/>
        </w:rPr>
      </w:pPr>
      <w:bookmarkStart w:id="3" w:name="_Toc89167979"/>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3"/>
    </w:p>
    <w:p w:rsidR="00EA6E06" w:rsidRPr="00E707C0" w:rsidP="00EA6E06" w14:paraId="4444A623" w14:textId="77777777"/>
    <w:p w:rsidR="00746B90" w:rsidRPr="00746B90" w:rsidP="00746B90" w14:paraId="0587C194" w14:textId="77777777">
      <w:pPr>
        <w:pStyle w:val="BodyTextIndent3"/>
        <w:tabs>
          <w:tab w:val="num" w:pos="-90"/>
          <w:tab w:val="clear" w:pos="1800"/>
        </w:tabs>
        <w:ind w:left="0"/>
        <w:rPr>
          <w:rFonts w:eastAsia="Arial Unicode MS" w:asciiTheme="minorHAnsi" w:hAnsiTheme="minorHAnsi" w:cstheme="minorHAnsi"/>
          <w:color w:val="000000"/>
          <w:u w:color="000000"/>
        </w:rPr>
      </w:pPr>
      <w:r w:rsidRPr="00746B90">
        <w:rPr>
          <w:rFonts w:eastAsia="Arial Unicode MS" w:asciiTheme="minorHAnsi" w:hAnsiTheme="minorHAnsi" w:cstheme="minorHAnsi"/>
          <w:color w:val="000000"/>
          <w:u w:color="000000"/>
        </w:rPr>
        <w:t xml:space="preserve">Because of the acute nature of the outbreaks or events to be investigated, periodic data collection is not employed in CSOIs. Data collection to identify agents, sources, modes of transmission, or risk factors occur over a period of no greater than 30 days to allow for rapid implementation of effective prevention and control measures. </w:t>
      </w:r>
    </w:p>
    <w:p w:rsidR="00746B90" w:rsidRPr="00746B90" w:rsidP="00746B90" w14:paraId="4419FFE4" w14:textId="77777777">
      <w:pPr>
        <w:pStyle w:val="BodyTextIndent3"/>
        <w:tabs>
          <w:tab w:val="num" w:pos="-90"/>
          <w:tab w:val="clear" w:pos="1800"/>
        </w:tabs>
        <w:ind w:left="0"/>
        <w:rPr>
          <w:rFonts w:asciiTheme="minorHAnsi" w:hAnsiTheme="minorHAnsi" w:cstheme="minorHAnsi"/>
        </w:rPr>
      </w:pPr>
    </w:p>
    <w:p w:rsidR="00746B90" w:rsidRPr="00746B90" w:rsidP="00746B90" w14:paraId="347A9F5A" w14:textId="77777777">
      <w:pPr>
        <w:pStyle w:val="BodyTextIndent3"/>
        <w:numPr>
          <w:ilvl w:val="0"/>
          <w:numId w:val="17"/>
        </w:numPr>
        <w:tabs>
          <w:tab w:val="num" w:pos="-90"/>
          <w:tab w:val="left" w:pos="1080"/>
          <w:tab w:val="clear" w:pos="1800"/>
        </w:tabs>
        <w:ind w:left="0" w:firstLine="720"/>
        <w:rPr>
          <w:rFonts w:asciiTheme="minorHAnsi" w:hAnsiTheme="minorHAnsi" w:cstheme="minorHAnsi"/>
          <w:i/>
        </w:rPr>
      </w:pPr>
      <w:r w:rsidRPr="00746B90">
        <w:rPr>
          <w:rFonts w:eastAsia="Arial Unicode MS" w:asciiTheme="minorHAnsi" w:hAnsiTheme="minorHAnsi" w:cstheme="minorHAnsi"/>
          <w:i/>
          <w:color w:val="000000"/>
          <w:u w:color="000000"/>
        </w:rPr>
        <w:t>Statistical method for stratification and sample selection</w:t>
      </w:r>
    </w:p>
    <w:p w:rsidR="00746B90" w:rsidRPr="00746B90" w:rsidP="00746B90" w14:paraId="5F400B26" w14:textId="77777777">
      <w:pPr>
        <w:pStyle w:val="BodyTextIndent3"/>
        <w:tabs>
          <w:tab w:val="num" w:pos="-90"/>
        </w:tabs>
        <w:ind w:left="0"/>
        <w:rPr>
          <w:rFonts w:asciiTheme="minorHAnsi" w:hAnsiTheme="minorHAnsi" w:cstheme="minorHAnsi"/>
        </w:rPr>
      </w:pPr>
    </w:p>
    <w:p w:rsidR="00746B90" w:rsidRPr="00746B90" w:rsidP="00746B90" w14:paraId="36F88746" w14:textId="77777777">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When statistical methods are employed in the collection of information, VSP provides statistical assistance relating to sampling methodology and selection of controls. </w:t>
      </w:r>
    </w:p>
    <w:p w:rsidR="00746B90" w:rsidRPr="00746B90" w:rsidP="00746B90" w14:paraId="776A536E" w14:textId="77777777">
      <w:pPr>
        <w:pStyle w:val="BodyTextIndent3"/>
        <w:tabs>
          <w:tab w:val="num" w:pos="-90"/>
        </w:tabs>
        <w:ind w:left="0"/>
        <w:rPr>
          <w:rFonts w:asciiTheme="minorHAnsi" w:hAnsiTheme="minorHAnsi" w:cstheme="minorHAnsi"/>
        </w:rPr>
      </w:pPr>
    </w:p>
    <w:p w:rsidR="00746B90" w:rsidRPr="00746B90" w:rsidP="00746B90" w14:paraId="450F9C58" w14:textId="77777777">
      <w:pPr>
        <w:pStyle w:val="BodyTextIndent3"/>
        <w:numPr>
          <w:ilvl w:val="0"/>
          <w:numId w:val="17"/>
        </w:numPr>
        <w:tabs>
          <w:tab w:val="num" w:pos="-90"/>
          <w:tab w:val="left" w:pos="1080"/>
          <w:tab w:val="clear" w:pos="1800"/>
        </w:tabs>
        <w:ind w:left="0" w:firstLine="720"/>
        <w:rPr>
          <w:rFonts w:asciiTheme="minorHAnsi" w:hAnsiTheme="minorHAnsi" w:cstheme="minorHAnsi"/>
          <w:i/>
          <w:color w:val="000000"/>
          <w:u w:color="000000"/>
        </w:rPr>
      </w:pPr>
      <w:r w:rsidRPr="00746B90">
        <w:rPr>
          <w:rFonts w:eastAsia="Arial Unicode MS" w:asciiTheme="minorHAnsi" w:hAnsiTheme="minorHAnsi" w:cstheme="minorHAnsi"/>
          <w:i/>
          <w:color w:val="000000"/>
          <w:u w:color="000000"/>
        </w:rPr>
        <w:t>Estimation procedure</w:t>
      </w:r>
    </w:p>
    <w:p w:rsidR="00746B90" w:rsidRPr="00746B90" w:rsidP="00746B90" w14:paraId="02EDBFB4" w14:textId="77777777">
      <w:pPr>
        <w:pStyle w:val="BodyTextIndent3"/>
        <w:tabs>
          <w:tab w:val="num" w:pos="-90"/>
        </w:tabs>
        <w:ind w:left="0"/>
        <w:rPr>
          <w:rFonts w:asciiTheme="minorHAnsi" w:hAnsiTheme="minorHAnsi" w:cstheme="minorHAnsi"/>
        </w:rPr>
      </w:pPr>
    </w:p>
    <w:p w:rsidR="00746B90" w:rsidRPr="00746B90" w:rsidP="00746B90" w14:paraId="75E006CC" w14:textId="77777777">
      <w:pPr>
        <w:pStyle w:val="BodyTextIndent3"/>
        <w:tabs>
          <w:tab w:val="num" w:pos="-90"/>
        </w:tabs>
        <w:ind w:left="1080"/>
        <w:rPr>
          <w:rFonts w:asciiTheme="minorHAnsi" w:hAnsiTheme="minorHAnsi" w:cstheme="minorHAnsi"/>
        </w:rPr>
      </w:pPr>
      <w:r w:rsidRPr="00746B90">
        <w:rPr>
          <w:rFonts w:asciiTheme="minorHAnsi" w:hAnsiTheme="minorHAnsi" w:cstheme="minorHAnsi"/>
        </w:rPr>
        <w:t xml:space="preserve">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 </w:t>
      </w:r>
      <w:r w:rsidRPr="00746B90">
        <w:rPr>
          <w:rFonts w:asciiTheme="minorHAnsi" w:hAnsiTheme="minorHAnsi" w:cstheme="minorHAnsi"/>
        </w:rPr>
        <w:br/>
      </w:r>
    </w:p>
    <w:p w:rsidR="00746B90" w:rsidRPr="00746B90" w:rsidP="00746B90" w14:paraId="2E71B8F9" w14:textId="77777777">
      <w:pPr>
        <w:pStyle w:val="BodyTextIndent3"/>
        <w:numPr>
          <w:ilvl w:val="0"/>
          <w:numId w:val="17"/>
        </w:numPr>
        <w:tabs>
          <w:tab w:val="num" w:pos="-90"/>
          <w:tab w:val="left" w:pos="1080"/>
          <w:tab w:val="clear" w:pos="1800"/>
        </w:tabs>
        <w:ind w:left="0" w:firstLine="720"/>
        <w:rPr>
          <w:rFonts w:eastAsia="Arial Unicode MS" w:asciiTheme="minorHAnsi" w:hAnsiTheme="minorHAnsi" w:cstheme="minorHAnsi"/>
          <w:i/>
          <w:color w:val="000000"/>
          <w:u w:color="000000"/>
        </w:rPr>
      </w:pPr>
      <w:r w:rsidRPr="00746B90">
        <w:rPr>
          <w:rFonts w:eastAsia="Arial Unicode MS" w:asciiTheme="minorHAnsi" w:hAnsiTheme="minorHAnsi" w:cstheme="minorHAnsi"/>
          <w:i/>
          <w:color w:val="000000"/>
          <w:u w:color="000000"/>
        </w:rPr>
        <w:t>Degree of accuracy needed for the purpose described in the justification</w:t>
      </w:r>
      <w:r w:rsidRPr="00746B90">
        <w:rPr>
          <w:rFonts w:eastAsia="Arial Unicode MS" w:asciiTheme="minorHAnsi" w:hAnsiTheme="minorHAnsi" w:cstheme="minorHAnsi"/>
          <w:i/>
          <w:color w:val="000000"/>
          <w:u w:color="000000"/>
        </w:rPr>
        <w:t xml:space="preserve"> </w:t>
      </w:r>
    </w:p>
    <w:p w:rsidR="00746B90" w:rsidRPr="00746B90" w:rsidP="00746B90" w14:paraId="5BD1F269" w14:textId="77777777">
      <w:pPr>
        <w:pStyle w:val="BodyTextIndent3"/>
        <w:tabs>
          <w:tab w:val="num" w:pos="-90"/>
          <w:tab w:val="num" w:pos="1800"/>
        </w:tabs>
        <w:ind w:left="0"/>
        <w:rPr>
          <w:rFonts w:asciiTheme="minorHAnsi" w:hAnsiTheme="minorHAnsi" w:cstheme="minorHAnsi"/>
        </w:rPr>
      </w:pPr>
    </w:p>
    <w:p w:rsidR="00746B90" w:rsidRPr="00746B90" w:rsidP="00746B90" w14:paraId="204D8AB3" w14:textId="77777777">
      <w:pPr>
        <w:pStyle w:val="BodyTextIndent3"/>
        <w:tabs>
          <w:tab w:val="num" w:pos="-90"/>
          <w:tab w:val="num" w:pos="1800"/>
        </w:tabs>
        <w:ind w:left="1080"/>
        <w:rPr>
          <w:rFonts w:asciiTheme="minorHAnsi" w:hAnsiTheme="minorHAnsi" w:cstheme="minorHAnsi"/>
        </w:rPr>
      </w:pPr>
      <w:r w:rsidRPr="00746B90">
        <w:rPr>
          <w:rFonts w:asciiTheme="minorHAnsi" w:hAnsiTheme="minorHAnsi" w:cstheme="minorHAnsi"/>
        </w:rPr>
        <w:t>The purpose of the CSOI is to collect information rapidly to identify unknown information (e.g., agents, sources, modes of transmission, or risk factors) necessary for instituting effective prevention and control measures. Quality control procedures will be implemented in each CSOI to the extent possible given the rapid nature of the data collection. For example, when possible, instruments and methodology will be pilot tested. In each investigation, the goal is to collect the best data possible in the timeliest manner possible to direct public health action.</w:t>
      </w:r>
    </w:p>
    <w:p w:rsidR="00746B90" w:rsidRPr="00746B90" w:rsidP="00746B90" w14:paraId="59CEC5B9" w14:textId="77777777">
      <w:pPr>
        <w:pStyle w:val="BodyTextIndent3"/>
        <w:tabs>
          <w:tab w:val="num" w:pos="-90"/>
          <w:tab w:val="clear" w:pos="1800"/>
        </w:tabs>
        <w:ind w:left="0"/>
        <w:rPr>
          <w:rFonts w:asciiTheme="minorHAnsi" w:hAnsiTheme="minorHAnsi" w:cstheme="minorHAnsi"/>
        </w:rPr>
      </w:pPr>
    </w:p>
    <w:p w:rsidR="00746B90" w:rsidRPr="00746B90" w:rsidP="00746B90" w14:paraId="6C843C18" w14:textId="77777777">
      <w:pPr>
        <w:pStyle w:val="BodyTextIndent3"/>
        <w:numPr>
          <w:ilvl w:val="0"/>
          <w:numId w:val="17"/>
        </w:numPr>
        <w:tabs>
          <w:tab w:val="num" w:pos="-90"/>
          <w:tab w:val="left" w:pos="1080"/>
          <w:tab w:val="clear" w:pos="1800"/>
        </w:tabs>
        <w:ind w:left="0" w:firstLine="720"/>
        <w:rPr>
          <w:rFonts w:asciiTheme="minorHAnsi" w:hAnsiTheme="minorHAnsi" w:cstheme="minorHAnsi"/>
          <w:i/>
        </w:rPr>
      </w:pPr>
      <w:r w:rsidRPr="00746B90">
        <w:rPr>
          <w:rFonts w:eastAsia="Arial Unicode MS" w:asciiTheme="minorHAnsi" w:hAnsiTheme="minorHAnsi" w:cstheme="minorHAnsi"/>
          <w:i/>
          <w:color w:val="000000"/>
          <w:u w:color="000000"/>
        </w:rPr>
        <w:t>Unusual problems requiring specialized sampling procedures</w:t>
      </w:r>
    </w:p>
    <w:p w:rsidR="00746B90" w:rsidRPr="00746B90" w:rsidP="00746B90" w14:paraId="28026885" w14:textId="77777777">
      <w:pPr>
        <w:pStyle w:val="BodyTextIndent3"/>
        <w:tabs>
          <w:tab w:val="num" w:pos="-90"/>
        </w:tabs>
        <w:ind w:left="0"/>
        <w:rPr>
          <w:rFonts w:asciiTheme="minorHAnsi" w:hAnsiTheme="minorHAnsi" w:cstheme="minorHAnsi"/>
        </w:rPr>
      </w:pPr>
    </w:p>
    <w:p w:rsidR="00746B90" w:rsidRPr="00746B90" w:rsidP="00746B90" w14:paraId="7F707D45" w14:textId="77777777">
      <w:pPr>
        <w:pStyle w:val="BodyTextIndent3"/>
        <w:tabs>
          <w:tab w:val="num" w:pos="-90"/>
        </w:tabs>
        <w:ind w:left="0" w:firstLine="1080"/>
        <w:rPr>
          <w:rFonts w:asciiTheme="minorHAnsi" w:hAnsiTheme="minorHAnsi" w:cstheme="minorHAnsi"/>
        </w:rPr>
      </w:pPr>
      <w:r w:rsidRPr="00746B90">
        <w:rPr>
          <w:rFonts w:asciiTheme="minorHAnsi" w:hAnsiTheme="minorHAnsi" w:cstheme="minorHAnsi"/>
        </w:rPr>
        <w:t>VSP does not expect unusual problems requiring specialized sampling.</w:t>
      </w:r>
    </w:p>
    <w:p w:rsidR="00746B90" w:rsidRPr="00746B90" w:rsidP="00746B90" w14:paraId="1982C0CC" w14:textId="77777777">
      <w:pPr>
        <w:pStyle w:val="BodyTextIndent3"/>
        <w:tabs>
          <w:tab w:val="num" w:pos="-90"/>
        </w:tabs>
        <w:ind w:left="0"/>
        <w:rPr>
          <w:rFonts w:asciiTheme="minorHAnsi" w:hAnsiTheme="minorHAnsi" w:cstheme="minorHAnsi"/>
        </w:rPr>
      </w:pPr>
    </w:p>
    <w:p w:rsidR="00746B90" w:rsidRPr="00746B90" w:rsidP="00746B90" w14:paraId="482B07FC" w14:textId="77777777">
      <w:pPr>
        <w:pStyle w:val="BodyTextIndent3"/>
        <w:numPr>
          <w:ilvl w:val="0"/>
          <w:numId w:val="17"/>
        </w:numPr>
        <w:tabs>
          <w:tab w:val="num" w:pos="-90"/>
          <w:tab w:val="left" w:pos="1080"/>
          <w:tab w:val="clear" w:pos="1800"/>
        </w:tabs>
        <w:ind w:left="1080"/>
        <w:rPr>
          <w:rFonts w:asciiTheme="minorHAnsi" w:hAnsiTheme="minorHAnsi" w:cstheme="minorHAnsi"/>
          <w:i/>
        </w:rPr>
      </w:pPr>
      <w:r w:rsidRPr="00746B90">
        <w:rPr>
          <w:rFonts w:eastAsia="Arial Unicode MS" w:asciiTheme="minorHAnsi" w:hAnsiTheme="minorHAnsi" w:cstheme="minorHAnsi"/>
          <w:i/>
          <w:color w:val="000000"/>
          <w:u w:color="000000"/>
        </w:rPr>
        <w:t>Any use of periodic (less frequent than annual) data collection cycles to reduce burden</w:t>
      </w:r>
    </w:p>
    <w:p w:rsidR="00746B90" w:rsidRPr="00746B90" w:rsidP="00746B90" w14:paraId="35DE1907" w14:textId="77777777">
      <w:pPr>
        <w:pStyle w:val="BodyTextIndent3"/>
        <w:tabs>
          <w:tab w:val="num" w:pos="-90"/>
        </w:tabs>
        <w:ind w:left="0"/>
        <w:rPr>
          <w:rFonts w:asciiTheme="minorHAnsi" w:hAnsiTheme="minorHAnsi" w:cstheme="minorHAnsi"/>
        </w:rPr>
      </w:pPr>
    </w:p>
    <w:p w:rsidR="00746B90" w:rsidRPr="00746B90" w:rsidP="00746B90" w14:paraId="2472EA27" w14:textId="77777777">
      <w:pPr>
        <w:pStyle w:val="BodyTextIndent3"/>
        <w:tabs>
          <w:tab w:val="num" w:pos="-90"/>
          <w:tab w:val="num" w:pos="1800"/>
        </w:tabs>
        <w:ind w:left="1080"/>
        <w:rPr>
          <w:rFonts w:asciiTheme="minorHAnsi" w:hAnsiTheme="minorHAnsi" w:cstheme="minorHAnsi"/>
          <w:color w:val="000000"/>
          <w:u w:color="000000"/>
        </w:rPr>
      </w:pPr>
      <w:r w:rsidRPr="00746B90">
        <w:rPr>
          <w:rFonts w:eastAsia="Arial Unicode MS" w:asciiTheme="minorHAnsi" w:hAnsiTheme="minorHAnsi" w:cstheme="minorHAnsi"/>
          <w:color w:val="000000"/>
          <w:u w:color="000000"/>
        </w:rPr>
        <w:t xml:space="preserve">Because of the acute nature of the outbreaks or events to be investigated, periodic data collection is not employed. Data collection to identify agents, sources, modes of transmission, or risk factors occur over a period of no greater than 30 days to allow for rapid implementation of effective prevention and control measures. </w:t>
      </w:r>
    </w:p>
    <w:p w:rsidR="00B45002" w:rsidRPr="00E707C0" w:rsidP="008D0F27" w14:paraId="7C5431E7" w14:textId="7C3E2455">
      <w:pPr>
        <w:pStyle w:val="Heading1"/>
        <w:pBdr>
          <w:bottom w:val="none" w:sz="0" w:space="0" w:color="auto"/>
        </w:pBdr>
        <w:rPr>
          <w:rFonts w:ascii="Cambria" w:hAnsi="Cambria"/>
          <w:color w:val="auto"/>
        </w:rPr>
      </w:pPr>
      <w:bookmarkStart w:id="4" w:name="_Toc89167980"/>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D0744A" w:rsidRPr="00E707C0" w:rsidP="00E632AF" w14:paraId="35480865" w14:textId="77777777">
      <w:pPr>
        <w:spacing w:line="240" w:lineRule="auto"/>
        <w:rPr>
          <w:sz w:val="24"/>
          <w:szCs w:val="24"/>
        </w:rPr>
      </w:pPr>
    </w:p>
    <w:p w:rsidR="00746B90" w:rsidRPr="00746B90" w:rsidP="00746B90" w14:paraId="177CDB98" w14:textId="77777777">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In CSOIs, nonresponse bias typically is expected. For example, case-patients who have experienced a negative health event may have more interest in responding than will controls. Often, controls (unaffected by the health event under investigation) will be oversampled to account for this potential bias. In another example, case-patients who are most ill might be least likely to respond. This might be countered by follow-up procedures with non-respondents. Also, for each CSOI, response rates are maximized by informing potential respondents of the critical nature of the outbreak or event and the importance of collecting information to identify effective prevention and control measures.  Before collecting information, investigators inform respondents that participation is voluntary, that respondents are not personally identified in any published reports of the study, and that their privacy will be protected to the extent allowed under federal law. Study designs and epidemiologic methods are chosen to minimize the effect of non-response bias and CSOI investigators will acknowledge when and how it might impact their results.</w:t>
      </w:r>
    </w:p>
    <w:p w:rsidR="00B45002" w:rsidRPr="00E707C0" w:rsidP="008D0F27" w14:paraId="450B7636" w14:textId="77777777">
      <w:pPr>
        <w:pStyle w:val="Heading1"/>
        <w:pBdr>
          <w:bottom w:val="none" w:sz="0" w:space="0" w:color="auto"/>
        </w:pBdr>
        <w:rPr>
          <w:rFonts w:ascii="Cambria" w:hAnsi="Cambria"/>
          <w:color w:val="auto"/>
        </w:rPr>
      </w:pPr>
      <w:bookmarkStart w:id="5" w:name="_Toc89167981"/>
      <w:r w:rsidRPr="00E707C0">
        <w:rPr>
          <w:rFonts w:ascii="Cambria" w:hAnsi="Cambria"/>
          <w:color w:val="auto"/>
        </w:rPr>
        <w:t>B.</w:t>
      </w:r>
      <w:r w:rsidRPr="00E707C0">
        <w:rPr>
          <w:rFonts w:ascii="Cambria" w:hAnsi="Cambria"/>
          <w:color w:val="auto"/>
        </w:rPr>
        <w:t>4.</w:t>
      </w:r>
      <w:r w:rsidRPr="00E707C0">
        <w:rPr>
          <w:rFonts w:ascii="Cambria" w:hAnsi="Cambria"/>
          <w:color w:val="auto"/>
        </w:rPr>
        <w:tab/>
        <w:t>Test of Procedures or Methods to be Undertaken</w:t>
      </w:r>
      <w:bookmarkEnd w:id="5"/>
    </w:p>
    <w:p w:rsidR="00BD2639" w:rsidRPr="00E707C0" w:rsidP="001C121D" w14:paraId="64B9CC57" w14:textId="77777777">
      <w:pPr>
        <w:spacing w:line="240" w:lineRule="auto"/>
      </w:pPr>
    </w:p>
    <w:p w:rsidR="00746B90" w:rsidP="00746B90" w14:paraId="030DB44D" w14:textId="5F99B34C">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Though each data collection instrument is tailored to the needs of each specific outbreak or event, questions from instruments employed in previous investigations are used when possible.  In this way, data collection instruments that are refined over time can be utilized. A data collection instrument libra</w:t>
      </w:r>
      <w:r w:rsidR="00562D47">
        <w:rPr>
          <w:rFonts w:asciiTheme="minorHAnsi" w:hAnsiTheme="minorHAnsi" w:cstheme="minorHAnsi"/>
        </w:rPr>
        <w:t>ry (similar to Attachments E1-E4</w:t>
      </w:r>
      <w:r w:rsidRPr="00746B90">
        <w:rPr>
          <w:rFonts w:asciiTheme="minorHAnsi" w:hAnsiTheme="minorHAnsi" w:cstheme="minorHAnsi"/>
        </w:rPr>
        <w:t xml:space="preserve">) is maintained by archiving the final data collection instruments administered in CSOIs under this generic ICR. </w:t>
      </w:r>
      <w:r>
        <w:rPr>
          <w:rFonts w:asciiTheme="minorHAnsi" w:hAnsiTheme="minorHAnsi" w:cstheme="minorHAnsi"/>
        </w:rPr>
        <w:t xml:space="preserve">  </w:t>
      </w:r>
    </w:p>
    <w:p w:rsidR="00746B90" w:rsidP="00746B90" w14:paraId="5CB76967" w14:textId="77777777">
      <w:pPr>
        <w:pStyle w:val="BodyTextIndent3"/>
        <w:tabs>
          <w:tab w:val="num" w:pos="-90"/>
          <w:tab w:val="clear" w:pos="1800"/>
        </w:tabs>
        <w:ind w:left="0"/>
        <w:rPr>
          <w:rFonts w:asciiTheme="minorHAnsi" w:hAnsiTheme="minorHAnsi" w:cstheme="minorHAnsi"/>
        </w:rPr>
      </w:pPr>
    </w:p>
    <w:p w:rsidR="00746B90" w:rsidRPr="00746B90" w:rsidP="00746B90" w14:paraId="5C0FBB8E" w14:textId="3FCAA8B8">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 xml:space="preserve">It is expected that CSOI data collection instruments will need to be refined in the field (e.g., risk factors unknown prior to VSP team deployment may need to be added or removed, or wording may be changed).  </w:t>
      </w:r>
    </w:p>
    <w:p w:rsidR="00DC57CC" w:rsidRPr="00E707C0" w:rsidP="008D0F27" w14:paraId="63C2C2DE" w14:textId="77777777">
      <w:pPr>
        <w:pStyle w:val="Heading1"/>
        <w:pBdr>
          <w:bottom w:val="none" w:sz="0" w:space="0" w:color="auto"/>
        </w:pBdr>
        <w:rPr>
          <w:rFonts w:ascii="Cambria" w:hAnsi="Cambria"/>
          <w:color w:val="auto"/>
        </w:rPr>
      </w:pPr>
      <w:bookmarkStart w:id="6" w:name="_Toc89167982"/>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6"/>
    </w:p>
    <w:p w:rsidR="00984634" w:rsidRPr="00E707C0" w:rsidP="00984634" w14:paraId="10EA9D5F" w14:textId="77777777"/>
    <w:p w:rsidR="00746B90" w:rsidRPr="00746B90" w:rsidP="00746B90" w14:paraId="7E7880E1" w14:textId="0444052F">
      <w:pPr>
        <w:pStyle w:val="BodyTextIndent3"/>
        <w:tabs>
          <w:tab w:val="num" w:pos="-90"/>
          <w:tab w:val="clear" w:pos="1800"/>
        </w:tabs>
        <w:ind w:left="0"/>
        <w:rPr>
          <w:rFonts w:asciiTheme="minorHAnsi" w:hAnsiTheme="minorHAnsi" w:cstheme="minorHAnsi"/>
        </w:rPr>
      </w:pPr>
      <w:r w:rsidRPr="00746B90">
        <w:rPr>
          <w:rFonts w:asciiTheme="minorHAnsi" w:hAnsiTheme="minorHAnsi" w:cstheme="minorHAnsi"/>
        </w:rPr>
        <w:t>VSP CSOI investigators are trained in biostatistics and epidemiology.  In most cases, investigators collaborate extensively with health officials of the external partners receiving assistance.  All investigations are supervised by CDC’s experienced epidemiologist</w:t>
      </w:r>
      <w:r w:rsidR="00ED3148">
        <w:rPr>
          <w:rFonts w:asciiTheme="minorHAnsi" w:hAnsiTheme="minorHAnsi" w:cstheme="minorHAnsi"/>
        </w:rPr>
        <w:t>s</w:t>
      </w:r>
      <w:r w:rsidRPr="00746B90">
        <w:rPr>
          <w:rFonts w:asciiTheme="minorHAnsi" w:hAnsiTheme="minorHAnsi" w:cstheme="minorHAnsi"/>
        </w:rPr>
        <w:t>. Expert statistical resources are provided by CDC.</w:t>
      </w:r>
    </w:p>
    <w:p w:rsidR="007F0E10" w:rsidP="007F0E10" w14:paraId="7CAA0761" w14:textId="77777777">
      <w:pPr>
        <w:autoSpaceDE w:val="0"/>
        <w:autoSpaceDN w:val="0"/>
        <w:adjustRightInd w:val="0"/>
        <w:spacing w:after="0" w:line="240" w:lineRule="auto"/>
        <w:jc w:val="both"/>
        <w:rPr>
          <w:rFonts w:cstheme="minorHAnsi"/>
          <w:b/>
          <w:sz w:val="24"/>
          <w:szCs w:val="24"/>
        </w:rPr>
      </w:pPr>
    </w:p>
    <w:p w:rsidR="00A76C6D" w:rsidRPr="00E707C0" w:rsidP="00A76C6D" w14:paraId="36326EE5" w14:textId="77777777">
      <w:pPr>
        <w:rPr>
          <w:rFonts w:ascii="Cambria" w:hAnsi="Cambria"/>
          <w:sz w:val="36"/>
          <w:szCs w:val="36"/>
        </w:rPr>
      </w:pPr>
    </w:p>
    <w:p w:rsidR="00984634" w:rsidRPr="00E707C0" w:rsidP="00984634" w14:paraId="14463714" w14:textId="77777777"/>
    <w:sectPr w:rsidSect="001961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5D7B" w:rsidP="008B5D54" w14:paraId="72DD8CA0" w14:textId="77777777">
      <w:r>
        <w:separator/>
      </w:r>
    </w:p>
  </w:footnote>
  <w:footnote w:type="continuationSeparator" w:id="1">
    <w:p w:rsidR="004A5D7B" w:rsidP="008B5D54" w14:paraId="29913F3A" w14:textId="77777777">
      <w:r>
        <w:continuationSeparator/>
      </w:r>
    </w:p>
  </w:footnote>
  <w:footnote w:id="2">
    <w:p w:rsidR="00746B90" w:rsidRPr="00F708DA" w:rsidP="00746B90" w14:paraId="2D79671B" w14:textId="77777777">
      <w:pPr>
        <w:pStyle w:val="FootnoteText"/>
        <w:rPr>
          <w:rFonts w:asciiTheme="minorHAnsi" w:hAnsiTheme="minorHAnsi" w:cstheme="minorHAnsi"/>
        </w:rPr>
      </w:pPr>
      <w:r w:rsidRPr="00F708DA">
        <w:rPr>
          <w:rStyle w:val="FootnoteReference"/>
          <w:rFonts w:asciiTheme="minorHAnsi" w:hAnsiTheme="minorHAnsi" w:cstheme="minorHAnsi"/>
        </w:rPr>
        <w:footnoteRef/>
      </w:r>
      <w:r w:rsidRPr="00F708DA">
        <w:rPr>
          <w:rFonts w:asciiTheme="minorHAnsi" w:hAnsiTheme="minorHAnsi" w:cstheme="minorHAnsi"/>
        </w:rPr>
        <w:t xml:space="preserve"> Definitions adopted from </w:t>
      </w:r>
      <w:r w:rsidRPr="00F708DA">
        <w:rPr>
          <w:rFonts w:asciiTheme="minorHAnsi" w:hAnsiTheme="minorHAnsi" w:cstheme="minorHAnsi"/>
          <w:i/>
        </w:rPr>
        <w:t xml:space="preserve">Principles of Epidemiology in Public Health </w:t>
      </w:r>
      <w:r w:rsidRPr="00F708DA">
        <w:rPr>
          <w:rFonts w:asciiTheme="minorHAnsi" w:hAnsiTheme="minorHAnsi" w:cstheme="minorHAnsi"/>
        </w:rPr>
        <w:t xml:space="preserve">Practice, 3rd Edition. Developed </w:t>
      </w:r>
      <w:r w:rsidRPr="00F708DA">
        <w:rPr>
          <w:rFonts w:asciiTheme="minorHAnsi" w:hAnsiTheme="minorHAnsi" w:cstheme="minorHAnsi"/>
        </w:rPr>
        <w:t>by:</w:t>
      </w:r>
      <w:r w:rsidRPr="00F708DA">
        <w:rPr>
          <w:rFonts w:asciiTheme="minorHAnsi" w:hAnsiTheme="minorHAnsi" w:cstheme="minorHAnsi"/>
        </w:rPr>
        <w:t xml:space="preserve"> U.S. Department of Health and Human Services, Centers for Disease Control and Prevention, Office of Workforce and Career Development, Career Development Division, Atlanta, GA 30333. Available: </w:t>
      </w:r>
      <w:hyperlink r:id="rId1" w:history="1">
        <w:r w:rsidRPr="00F708DA">
          <w:rPr>
            <w:rStyle w:val="Hyperlink"/>
            <w:rFonts w:asciiTheme="minorHAnsi" w:eastAsiaTheme="majorEastAsia" w:hAnsiTheme="minorHAnsi" w:cstheme="minorHAnsi"/>
          </w:rPr>
          <w:t>http://www.cdc.gov/ophss/csels/dsepd/SS1978/SS1978.pdf</w:t>
        </w:r>
      </w:hyperlink>
      <w:r w:rsidRPr="00F708DA">
        <w:rPr>
          <w:rFonts w:asciiTheme="minorHAnsi" w:hAnsiTheme="minorHAnsi" w:cstheme="minorHAnsi"/>
        </w:rPr>
        <w:t>.</w:t>
      </w:r>
    </w:p>
  </w:footnote>
  <w:footnote w:id="3">
    <w:p w:rsidR="00746B90" w:rsidRPr="00A2325D" w:rsidP="00746B90" w14:paraId="25754616" w14:textId="77777777">
      <w:pPr>
        <w:pStyle w:val="FootnoteText"/>
        <w:rPr>
          <w:rFonts w:asciiTheme="minorHAnsi" w:hAnsiTheme="minorHAnsi" w:cstheme="minorHAnsi"/>
          <w:sz w:val="16"/>
          <w:szCs w:val="16"/>
        </w:rPr>
      </w:pPr>
      <w:r w:rsidRPr="00A2325D">
        <w:rPr>
          <w:rStyle w:val="FootnoteReference"/>
          <w:rFonts w:asciiTheme="minorHAnsi" w:hAnsiTheme="minorHAnsi" w:cstheme="minorHAnsi"/>
          <w:sz w:val="16"/>
          <w:szCs w:val="16"/>
        </w:rPr>
        <w:footnoteRef/>
      </w:r>
      <w:r w:rsidRPr="00A2325D">
        <w:rPr>
          <w:rFonts w:asciiTheme="minorHAnsi" w:hAnsiTheme="minorHAnsi" w:cstheme="minorHAnsi"/>
          <w:sz w:val="16"/>
          <w:szCs w:val="16"/>
        </w:rPr>
        <w:t xml:space="preserve"> Definition from the NCI Dictionary of Cancer Terms available: </w:t>
      </w:r>
      <w:hyperlink r:id="rId2" w:history="1">
        <w:r w:rsidRPr="00A2325D">
          <w:rPr>
            <w:rStyle w:val="Hyperlink"/>
            <w:rFonts w:asciiTheme="minorHAnsi" w:eastAsiaTheme="majorEastAsia" w:hAnsiTheme="minorHAnsi" w:cstheme="minorHAnsi"/>
            <w:sz w:val="16"/>
            <w:szCs w:val="16"/>
          </w:rPr>
          <w:t>http://www.cancer.gov/dictionary?cdrid=561324</w:t>
        </w:r>
      </w:hyperlink>
      <w:r w:rsidRPr="00A2325D">
        <w:rPr>
          <w:rFonts w:asciiTheme="minorHAnsi" w:hAnsiTheme="minorHAnsi" w:cstheme="minorHAnsi"/>
          <w:sz w:val="16"/>
          <w:szCs w:val="16"/>
        </w:rPr>
        <w:t>.</w:t>
      </w:r>
    </w:p>
    <w:p w:rsidR="00746B90" w:rsidP="00746B90" w14:paraId="1F0E743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F3EC7"/>
    <w:multiLevelType w:val="hybridMultilevel"/>
    <w:tmpl w:val="638C5D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9F304D"/>
    <w:multiLevelType w:val="hybridMultilevel"/>
    <w:tmpl w:val="83DE4D6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F66D38"/>
    <w:multiLevelType w:val="hybridMultilevel"/>
    <w:tmpl w:val="C6FC65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6D38478C"/>
    <w:multiLevelType w:val="hybridMultilevel"/>
    <w:tmpl w:val="FC3A0094"/>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412">
    <w:abstractNumId w:val="1"/>
  </w:num>
  <w:num w:numId="2" w16cid:durableId="13773267">
    <w:abstractNumId w:val="1"/>
  </w:num>
  <w:num w:numId="3" w16cid:durableId="1522089341">
    <w:abstractNumId w:val="1"/>
  </w:num>
  <w:num w:numId="4" w16cid:durableId="2069958797">
    <w:abstractNumId w:val="1"/>
  </w:num>
  <w:num w:numId="5" w16cid:durableId="345375676">
    <w:abstractNumId w:val="1"/>
  </w:num>
  <w:num w:numId="6" w16cid:durableId="779252953">
    <w:abstractNumId w:val="1"/>
  </w:num>
  <w:num w:numId="7" w16cid:durableId="538785474">
    <w:abstractNumId w:val="1"/>
  </w:num>
  <w:num w:numId="8" w16cid:durableId="2105999611">
    <w:abstractNumId w:val="1"/>
  </w:num>
  <w:num w:numId="9" w16cid:durableId="805778793">
    <w:abstractNumId w:val="1"/>
  </w:num>
  <w:num w:numId="10" w16cid:durableId="817385841">
    <w:abstractNumId w:val="1"/>
  </w:num>
  <w:num w:numId="11" w16cid:durableId="1193804551">
    <w:abstractNumId w:val="9"/>
  </w:num>
  <w:num w:numId="12" w16cid:durableId="705326326">
    <w:abstractNumId w:val="4"/>
  </w:num>
  <w:num w:numId="13" w16cid:durableId="936987660">
    <w:abstractNumId w:val="10"/>
  </w:num>
  <w:num w:numId="14" w16cid:durableId="2115245449">
    <w:abstractNumId w:val="6"/>
  </w:num>
  <w:num w:numId="15" w16cid:durableId="678385457">
    <w:abstractNumId w:val="5"/>
  </w:num>
  <w:num w:numId="16" w16cid:durableId="899439598">
    <w:abstractNumId w:val="2"/>
  </w:num>
  <w:num w:numId="17" w16cid:durableId="1967856209">
    <w:abstractNumId w:val="0"/>
  </w:num>
  <w:num w:numId="18" w16cid:durableId="661935953">
    <w:abstractNumId w:val="3"/>
  </w:num>
  <w:num w:numId="19" w16cid:durableId="1585384301">
    <w:abstractNumId w:val="7"/>
  </w:num>
  <w:num w:numId="20" w16cid:durableId="321739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B52F6"/>
    <w:rsid w:val="000D41A0"/>
    <w:rsid w:val="00136EF5"/>
    <w:rsid w:val="00143D86"/>
    <w:rsid w:val="00156EEB"/>
    <w:rsid w:val="00167D15"/>
    <w:rsid w:val="00196116"/>
    <w:rsid w:val="001C121D"/>
    <w:rsid w:val="001C2319"/>
    <w:rsid w:val="001F17BF"/>
    <w:rsid w:val="002751FF"/>
    <w:rsid w:val="002869DD"/>
    <w:rsid w:val="002B58E6"/>
    <w:rsid w:val="002D0271"/>
    <w:rsid w:val="003041F7"/>
    <w:rsid w:val="0031214F"/>
    <w:rsid w:val="00330F29"/>
    <w:rsid w:val="003567AB"/>
    <w:rsid w:val="003837CE"/>
    <w:rsid w:val="003C7048"/>
    <w:rsid w:val="00425A8D"/>
    <w:rsid w:val="0048550B"/>
    <w:rsid w:val="004A5D7B"/>
    <w:rsid w:val="004A7B18"/>
    <w:rsid w:val="004E064A"/>
    <w:rsid w:val="004F0BE4"/>
    <w:rsid w:val="00500B15"/>
    <w:rsid w:val="00522073"/>
    <w:rsid w:val="005272A7"/>
    <w:rsid w:val="005624FE"/>
    <w:rsid w:val="00562D47"/>
    <w:rsid w:val="005D40F1"/>
    <w:rsid w:val="00605765"/>
    <w:rsid w:val="006560B1"/>
    <w:rsid w:val="006615FB"/>
    <w:rsid w:val="006C6578"/>
    <w:rsid w:val="006F2ABA"/>
    <w:rsid w:val="0070554F"/>
    <w:rsid w:val="00717257"/>
    <w:rsid w:val="00746B90"/>
    <w:rsid w:val="00754B3D"/>
    <w:rsid w:val="00792A59"/>
    <w:rsid w:val="00796D76"/>
    <w:rsid w:val="007B6C5C"/>
    <w:rsid w:val="007B7F20"/>
    <w:rsid w:val="007D595C"/>
    <w:rsid w:val="007F0E10"/>
    <w:rsid w:val="00805B09"/>
    <w:rsid w:val="0081011B"/>
    <w:rsid w:val="008861AB"/>
    <w:rsid w:val="008B5D54"/>
    <w:rsid w:val="008D0F27"/>
    <w:rsid w:val="008D3BE8"/>
    <w:rsid w:val="008F2013"/>
    <w:rsid w:val="00935FD5"/>
    <w:rsid w:val="00962C92"/>
    <w:rsid w:val="00965C2A"/>
    <w:rsid w:val="00976C14"/>
    <w:rsid w:val="00984634"/>
    <w:rsid w:val="009C2F5A"/>
    <w:rsid w:val="009C4603"/>
    <w:rsid w:val="009F1388"/>
    <w:rsid w:val="00A06B03"/>
    <w:rsid w:val="00A2325D"/>
    <w:rsid w:val="00A52905"/>
    <w:rsid w:val="00A76C6D"/>
    <w:rsid w:val="00AC3B7E"/>
    <w:rsid w:val="00AC4C54"/>
    <w:rsid w:val="00AD477F"/>
    <w:rsid w:val="00AE2F5E"/>
    <w:rsid w:val="00AE70E7"/>
    <w:rsid w:val="00B21D28"/>
    <w:rsid w:val="00B31F1B"/>
    <w:rsid w:val="00B45002"/>
    <w:rsid w:val="00B5171E"/>
    <w:rsid w:val="00B55735"/>
    <w:rsid w:val="00B608AC"/>
    <w:rsid w:val="00B73D70"/>
    <w:rsid w:val="00BA2DBE"/>
    <w:rsid w:val="00BA30FE"/>
    <w:rsid w:val="00BC1363"/>
    <w:rsid w:val="00BD2639"/>
    <w:rsid w:val="00C57E14"/>
    <w:rsid w:val="00C929D2"/>
    <w:rsid w:val="00CD0E02"/>
    <w:rsid w:val="00CD3BBA"/>
    <w:rsid w:val="00CD7FA1"/>
    <w:rsid w:val="00D0744A"/>
    <w:rsid w:val="00D14114"/>
    <w:rsid w:val="00D33AE3"/>
    <w:rsid w:val="00D37B63"/>
    <w:rsid w:val="00D40143"/>
    <w:rsid w:val="00D479BA"/>
    <w:rsid w:val="00D51374"/>
    <w:rsid w:val="00D80142"/>
    <w:rsid w:val="00DA796B"/>
    <w:rsid w:val="00DC57CC"/>
    <w:rsid w:val="00DD2606"/>
    <w:rsid w:val="00E2405B"/>
    <w:rsid w:val="00E410B4"/>
    <w:rsid w:val="00E5157D"/>
    <w:rsid w:val="00E5206F"/>
    <w:rsid w:val="00E632AF"/>
    <w:rsid w:val="00E707C0"/>
    <w:rsid w:val="00E75285"/>
    <w:rsid w:val="00EA6E06"/>
    <w:rsid w:val="00ED3148"/>
    <w:rsid w:val="00EF2494"/>
    <w:rsid w:val="00EF5132"/>
    <w:rsid w:val="00EF73C4"/>
    <w:rsid w:val="00F16540"/>
    <w:rsid w:val="00F708DA"/>
    <w:rsid w:val="00F845F2"/>
    <w:rsid w:val="00FB7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BodyTextIndent3">
    <w:name w:val="Body Text Indent 3"/>
    <w:basedOn w:val="Normal"/>
    <w:link w:val="BodyTextIndent3Char"/>
    <w:rsid w:val="00746B90"/>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746B90"/>
    <w:rPr>
      <w:rFonts w:ascii="Times New Roman" w:eastAsia="Calibri" w:hAnsi="Times New Roman" w:cs="Times New Roman"/>
      <w:sz w:val="24"/>
      <w:szCs w:val="24"/>
    </w:rPr>
  </w:style>
  <w:style w:type="paragraph" w:styleId="FootnoteText">
    <w:name w:val="footnote text"/>
    <w:basedOn w:val="Normal"/>
    <w:link w:val="FootnoteTextChar"/>
    <w:rsid w:val="00746B9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746B90"/>
    <w:rPr>
      <w:rFonts w:ascii="Calibri" w:eastAsia="Times New Roman" w:hAnsi="Calibri" w:cs="Times New Roman"/>
      <w:sz w:val="20"/>
      <w:szCs w:val="20"/>
    </w:rPr>
  </w:style>
  <w:style w:type="character" w:styleId="FootnoteReference">
    <w:name w:val="footnote reference"/>
    <w:basedOn w:val="DefaultParagraphFont"/>
    <w:rsid w:val="00746B90"/>
    <w:rPr>
      <w:vertAlign w:val="superscript"/>
    </w:rPr>
  </w:style>
  <w:style w:type="character" w:styleId="UnresolvedMention">
    <w:name w:val="Unresolved Mention"/>
    <w:basedOn w:val="DefaultParagraphFont"/>
    <w:uiPriority w:val="99"/>
    <w:semiHidden/>
    <w:unhideWhenUsed/>
    <w:rsid w:val="004E064A"/>
    <w:rPr>
      <w:color w:val="605E5C"/>
      <w:shd w:val="clear" w:color="auto" w:fill="E1DFDD"/>
    </w:rPr>
  </w:style>
  <w:style w:type="character" w:styleId="FollowedHyperlink">
    <w:name w:val="FollowedHyperlink"/>
    <w:basedOn w:val="DefaultParagraphFont"/>
    <w:uiPriority w:val="99"/>
    <w:semiHidden/>
    <w:unhideWhenUsed/>
    <w:rsid w:val="00D37B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xy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dc.gov/ophss/csels/dsepd/SS1978/SS1978.pdf" TargetMode="External" /><Relationship Id="rId2" Type="http://schemas.openxmlformats.org/officeDocument/2006/relationships/hyperlink" Target="http://www.cancer.gov/dictionary?cdrid=5613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90EBECAE-19BB-4D63-831C-B2CFEBA4F36E}">
  <ds:schemaRefs>
    <ds:schemaRef ds:uri="http://schemas.openxmlformats.org/officeDocument/2006/bibliography"/>
  </ds:schemaRefs>
</ds:datastoreItem>
</file>

<file path=customXml/itemProps2.xml><?xml version="1.0" encoding="utf-8"?>
<ds:datastoreItem xmlns:ds="http://schemas.openxmlformats.org/officeDocument/2006/customXml" ds:itemID="{92909B0A-00DA-46AD-9B75-7962313E4275}">
  <ds:schemaRefs/>
</ds:datastoreItem>
</file>

<file path=customXml/itemProps3.xml><?xml version="1.0" encoding="utf-8"?>
<ds:datastoreItem xmlns:ds="http://schemas.openxmlformats.org/officeDocument/2006/customXml" ds:itemID="{1689064B-DBE5-4717-8D67-9FD7DF1BF766}">
  <ds:schemaRefs/>
</ds:datastoreItem>
</file>

<file path=customXml/itemProps4.xml><?xml version="1.0" encoding="utf-8"?>
<ds:datastoreItem xmlns:ds="http://schemas.openxmlformats.org/officeDocument/2006/customXml" ds:itemID="{BD0188AB-E3CD-478B-8D67-9A7C92F3EE72}">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White, Stefanie B. (CDC/NCEH/DEHSP)</cp:lastModifiedBy>
  <cp:revision>8</cp:revision>
  <dcterms:created xsi:type="dcterms:W3CDTF">2025-02-11T19:45:00Z</dcterms:created>
  <dcterms:modified xsi:type="dcterms:W3CDTF">2025-02-27T18:53:00Z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8af03ff0-41c5-4c41-b55e-fabb8fae94be_ActionId">
    <vt:lpwstr>d85c02f1-ed43-4eb3-8a7e-0f42c8810ea5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2021-11-30T17:32:51Z</vt:lpwstr>
  </property>
  <property fmtid="{D5CDD505-2E9C-101B-9397-08002B2CF9AE}" pid="9" name="MSIP_Label_8af03ff0-41c5-4c41-b55e-fabb8fae94be_SiteId">
    <vt:lpwstr>9ce70869-60db-44fd-abe8-d2767077fc8f</vt:lpwstr>
  </property>
</Properties>
</file>