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0DC" w:rsidRPr="00020306" w:rsidP="00AD20DC" w14:paraId="6FF92505" w14:textId="77777777">
      <w:pPr>
        <w:jc w:val="center"/>
        <w:rPr>
          <w:rFonts w:cstheme="minorHAnsi"/>
          <w:b/>
          <w:bCs/>
          <w:sz w:val="44"/>
          <w:szCs w:val="44"/>
        </w:rPr>
      </w:pPr>
      <w:r w:rsidRPr="00020306">
        <w:rPr>
          <w:rFonts w:cstheme="minorHAnsi"/>
          <w:b/>
          <w:bCs/>
          <w:sz w:val="44"/>
          <w:szCs w:val="44"/>
        </w:rPr>
        <w:t xml:space="preserve">Assessing Fatigue and Fatigue Management in U.S. Onshore Oil and Gas Extraction </w:t>
      </w:r>
    </w:p>
    <w:p w:rsidR="00AD20DC" w:rsidRPr="006F4905" w:rsidP="00AD20DC" w14:paraId="440E1BBD" w14:textId="6E9ED1BD">
      <w:pPr>
        <w:jc w:val="center"/>
        <w:rPr>
          <w:rFonts w:cstheme="minorHAnsi"/>
          <w:b/>
          <w:sz w:val="28"/>
          <w:szCs w:val="28"/>
          <w:lang w:val="fr-FR"/>
        </w:rPr>
      </w:pPr>
      <w:r w:rsidRPr="006F4905">
        <w:rPr>
          <w:rFonts w:cstheme="minorHAnsi"/>
          <w:b/>
          <w:sz w:val="28"/>
          <w:szCs w:val="28"/>
          <w:lang w:val="fr-FR"/>
        </w:rPr>
        <w:t xml:space="preserve">(Information Collection </w:t>
      </w:r>
      <w:r w:rsidRPr="006F4905">
        <w:rPr>
          <w:rFonts w:cstheme="minorHAnsi"/>
          <w:b/>
          <w:sz w:val="28"/>
          <w:szCs w:val="28"/>
          <w:lang w:val="fr-FR"/>
        </w:rPr>
        <w:t>Request</w:t>
      </w:r>
      <w:r w:rsidRPr="006F4905">
        <w:rPr>
          <w:rFonts w:cstheme="minorHAnsi"/>
          <w:b/>
          <w:sz w:val="28"/>
          <w:szCs w:val="28"/>
          <w:lang w:val="fr-FR"/>
        </w:rPr>
        <w:t>)</w:t>
      </w:r>
    </w:p>
    <w:p w:rsidR="00AD20DC" w:rsidRPr="006F4905" w:rsidP="00AD20DC" w14:paraId="6C4B034A" w14:textId="77777777">
      <w:pPr>
        <w:jc w:val="center"/>
        <w:rPr>
          <w:rFonts w:cstheme="minorHAnsi"/>
          <w:b/>
          <w:sz w:val="28"/>
          <w:szCs w:val="28"/>
          <w:lang w:val="fr-FR"/>
        </w:rPr>
      </w:pPr>
    </w:p>
    <w:p w:rsidR="00AD20DC" w:rsidP="00AD20DC" w14:paraId="14CA21BA" w14:textId="77777777">
      <w:pPr>
        <w:jc w:val="center"/>
        <w:rPr>
          <w:rFonts w:cstheme="minorHAnsi"/>
          <w:b/>
          <w:sz w:val="24"/>
          <w:szCs w:val="24"/>
        </w:rPr>
      </w:pPr>
      <w:r w:rsidRPr="00020306">
        <w:rPr>
          <w:rFonts w:cstheme="minorHAnsi"/>
          <w:b/>
          <w:szCs w:val="24"/>
        </w:rPr>
        <w:t xml:space="preserve">Request for Office of Management and Budget Review and </w:t>
      </w:r>
    </w:p>
    <w:p w:rsidR="00AD20DC" w:rsidRPr="00020306" w:rsidP="00AD20DC" w14:paraId="297C8928" w14:textId="77777777">
      <w:pPr>
        <w:jc w:val="center"/>
        <w:rPr>
          <w:rFonts w:cstheme="minorHAnsi"/>
          <w:b/>
          <w:sz w:val="24"/>
          <w:szCs w:val="24"/>
        </w:rPr>
      </w:pPr>
      <w:r w:rsidRPr="00020306">
        <w:rPr>
          <w:rFonts w:cstheme="minorHAnsi"/>
          <w:b/>
          <w:szCs w:val="24"/>
        </w:rPr>
        <w:t>Approval for Federally Sponsored Data Collection</w:t>
      </w:r>
    </w:p>
    <w:p w:rsidR="00AD20DC" w:rsidRPr="00020306" w:rsidP="00AD20DC" w14:paraId="29A679EE" w14:textId="77777777">
      <w:pPr>
        <w:jc w:val="center"/>
        <w:rPr>
          <w:rFonts w:cstheme="minorHAnsi"/>
          <w:b/>
          <w:sz w:val="28"/>
          <w:szCs w:val="28"/>
        </w:rPr>
      </w:pPr>
    </w:p>
    <w:p w:rsidR="00AD20DC" w:rsidRPr="00020306" w:rsidP="00AD20DC" w14:paraId="72A0745A" w14:textId="75EB310E">
      <w:pPr>
        <w:jc w:val="center"/>
        <w:rPr>
          <w:rFonts w:cstheme="minorHAnsi"/>
          <w:b/>
          <w:sz w:val="24"/>
          <w:szCs w:val="24"/>
        </w:rPr>
      </w:pPr>
      <w:r w:rsidRPr="00020306">
        <w:rPr>
          <w:rFonts w:cstheme="minorHAnsi"/>
          <w:b/>
          <w:szCs w:val="24"/>
        </w:rPr>
        <w:t xml:space="preserve">Section </w:t>
      </w:r>
      <w:r w:rsidR="00843EE1">
        <w:rPr>
          <w:rFonts w:cstheme="minorHAnsi"/>
          <w:b/>
          <w:szCs w:val="24"/>
        </w:rPr>
        <w:t>A</w:t>
      </w:r>
    </w:p>
    <w:p w:rsidR="00AD20DC" w:rsidRPr="00020306" w:rsidP="00AD20DC" w14:paraId="109C992F" w14:textId="77777777">
      <w:pPr>
        <w:jc w:val="center"/>
        <w:rPr>
          <w:rFonts w:cstheme="minorHAnsi"/>
          <w:b/>
          <w:sz w:val="28"/>
          <w:szCs w:val="28"/>
        </w:rPr>
      </w:pPr>
    </w:p>
    <w:p w:rsidR="00AD20DC" w:rsidP="00AD20DC" w14:paraId="62AD568C" w14:textId="77777777">
      <w:pPr>
        <w:jc w:val="center"/>
        <w:rPr>
          <w:rFonts w:cstheme="minorHAnsi"/>
          <w:b/>
          <w:bCs/>
          <w:szCs w:val="24"/>
        </w:rPr>
      </w:pPr>
      <w:r w:rsidRPr="00020306">
        <w:rPr>
          <w:rFonts w:cstheme="minorHAnsi"/>
          <w:b/>
          <w:bCs/>
          <w:szCs w:val="24"/>
        </w:rPr>
        <w:t xml:space="preserve">Project officers: </w:t>
      </w:r>
    </w:p>
    <w:p w:rsidR="00AD20DC" w:rsidRPr="00020306" w:rsidP="00AD20DC" w14:paraId="2EDE14B9" w14:textId="77777777">
      <w:pPr>
        <w:jc w:val="center"/>
        <w:rPr>
          <w:rFonts w:cstheme="minorHAnsi"/>
          <w:b/>
          <w:bCs/>
          <w:sz w:val="24"/>
          <w:szCs w:val="24"/>
        </w:rPr>
      </w:pPr>
      <w:r w:rsidRPr="00020306">
        <w:rPr>
          <w:rFonts w:cstheme="minorHAnsi"/>
          <w:b/>
          <w:bCs/>
          <w:szCs w:val="24"/>
        </w:rPr>
        <w:t>Alejandra Ramirez-Cardenas and Imelda Wong</w:t>
      </w:r>
    </w:p>
    <w:p w:rsidR="00AD20DC" w:rsidP="00AD20DC" w14:paraId="18CDCB36" w14:textId="77777777">
      <w:pPr>
        <w:spacing w:after="0" w:line="360" w:lineRule="auto"/>
        <w:jc w:val="center"/>
        <w:rPr>
          <w:b/>
        </w:rPr>
      </w:pPr>
      <w:r>
        <w:rPr>
          <w:b/>
        </w:rPr>
        <w:t>Centers for Disease Control and Prevention (CDC)</w:t>
      </w:r>
    </w:p>
    <w:p w:rsidR="00AD20DC" w:rsidP="00AD20DC" w14:paraId="29F98D77" w14:textId="77777777">
      <w:pPr>
        <w:spacing w:after="0" w:line="360" w:lineRule="auto"/>
        <w:jc w:val="center"/>
        <w:rPr>
          <w:b/>
        </w:rPr>
      </w:pPr>
      <w:r>
        <w:rPr>
          <w:b/>
        </w:rPr>
        <w:t>National Institute for Occupational Safety and Health (NIOSH)</w:t>
      </w:r>
    </w:p>
    <w:p w:rsidR="00AD20DC" w:rsidP="00AD20DC" w14:paraId="65B4E692" w14:textId="77777777">
      <w:pPr>
        <w:spacing w:after="0" w:line="360" w:lineRule="auto"/>
        <w:jc w:val="center"/>
        <w:rPr>
          <w:b/>
        </w:rPr>
      </w:pPr>
      <w:r>
        <w:rPr>
          <w:b/>
        </w:rPr>
        <w:t>Western States Division</w:t>
      </w:r>
    </w:p>
    <w:p w:rsidR="00AD20DC" w:rsidP="00AD20DC" w14:paraId="67FE4ECC" w14:textId="77777777">
      <w:pPr>
        <w:spacing w:after="0" w:line="360" w:lineRule="auto"/>
        <w:jc w:val="center"/>
        <w:rPr>
          <w:rFonts w:eastAsiaTheme="minorEastAsia"/>
          <w:noProof/>
        </w:rPr>
      </w:pPr>
      <w:r>
        <w:rPr>
          <w:rFonts w:eastAsiaTheme="minorEastAsia"/>
          <w:noProof/>
        </w:rPr>
        <w:t>P.O. Box 25226</w:t>
      </w:r>
    </w:p>
    <w:p w:rsidR="00AD20DC" w:rsidRPr="00020306" w:rsidP="00AD20DC" w14:paraId="2221C732" w14:textId="77777777">
      <w:pPr>
        <w:spacing w:after="0" w:line="360" w:lineRule="auto"/>
        <w:jc w:val="center"/>
        <w:rPr>
          <w:rFonts w:eastAsiaTheme="minorEastAsia"/>
          <w:noProof/>
        </w:rPr>
      </w:pPr>
      <w:r>
        <w:rPr>
          <w:rFonts w:eastAsiaTheme="minorEastAsia"/>
          <w:noProof/>
        </w:rPr>
        <w:t>Denver, CO 80225-0226</w:t>
      </w:r>
    </w:p>
    <w:p w:rsidR="00AD20DC" w:rsidRPr="00020306" w:rsidP="00AD20DC" w14:paraId="04E38FE6" w14:textId="77777777">
      <w:pPr>
        <w:jc w:val="center"/>
        <w:rPr>
          <w:rFonts w:cstheme="minorHAnsi"/>
          <w:szCs w:val="24"/>
        </w:rPr>
      </w:pPr>
      <w:r w:rsidRPr="00020306">
        <w:rPr>
          <w:rFonts w:cstheme="minorHAnsi"/>
          <w:szCs w:val="24"/>
        </w:rPr>
        <w:t xml:space="preserve">Phone: </w:t>
      </w:r>
      <w:r>
        <w:rPr>
          <w:rFonts w:cstheme="minorHAnsi"/>
          <w:szCs w:val="24"/>
        </w:rPr>
        <w:t>303-236-5957</w:t>
      </w:r>
      <w:r w:rsidRPr="00020306">
        <w:rPr>
          <w:rFonts w:cstheme="minorHAnsi"/>
          <w:szCs w:val="24"/>
        </w:rPr>
        <w:t xml:space="preserve"> and 513</w:t>
      </w:r>
      <w:r>
        <w:rPr>
          <w:rFonts w:cstheme="minorHAnsi"/>
          <w:szCs w:val="24"/>
        </w:rPr>
        <w:t>-</w:t>
      </w:r>
      <w:r w:rsidRPr="00020306">
        <w:rPr>
          <w:rFonts w:cstheme="minorHAnsi"/>
          <w:szCs w:val="24"/>
        </w:rPr>
        <w:t>533</w:t>
      </w:r>
      <w:r>
        <w:rPr>
          <w:rFonts w:cstheme="minorHAnsi"/>
          <w:szCs w:val="24"/>
        </w:rPr>
        <w:t>-</w:t>
      </w:r>
      <w:r w:rsidRPr="00020306">
        <w:rPr>
          <w:rFonts w:cstheme="minorHAnsi"/>
          <w:szCs w:val="24"/>
        </w:rPr>
        <w:t>6847</w:t>
      </w:r>
    </w:p>
    <w:p w:rsidR="00AD20DC" w:rsidRPr="00020306" w:rsidP="00AD20DC" w14:paraId="29143004" w14:textId="77777777">
      <w:pPr>
        <w:jc w:val="center"/>
        <w:rPr>
          <w:rFonts w:cstheme="minorHAnsi"/>
          <w:szCs w:val="24"/>
        </w:rPr>
      </w:pPr>
      <w:r w:rsidRPr="00020306">
        <w:rPr>
          <w:rFonts w:cstheme="minorHAnsi"/>
          <w:szCs w:val="24"/>
        </w:rPr>
        <w:t xml:space="preserve">E-mail: </w:t>
      </w:r>
      <w:hyperlink r:id="rId5" w:history="1">
        <w:r w:rsidRPr="005B35AA">
          <w:rPr>
            <w:rStyle w:val="Hyperlink"/>
            <w:rFonts w:cstheme="minorHAnsi"/>
            <w:szCs w:val="24"/>
          </w:rPr>
          <w:t>nxa5@cdc.gov</w:t>
        </w:r>
      </w:hyperlink>
      <w:r w:rsidRPr="00020306">
        <w:rPr>
          <w:rFonts w:cstheme="minorHAnsi"/>
          <w:szCs w:val="24"/>
        </w:rPr>
        <w:t xml:space="preserve"> and </w:t>
      </w:r>
      <w:hyperlink r:id="rId6" w:history="1">
        <w:r w:rsidRPr="005B35AA">
          <w:rPr>
            <w:rStyle w:val="Hyperlink"/>
            <w:rFonts w:cstheme="minorHAnsi"/>
            <w:szCs w:val="24"/>
          </w:rPr>
          <w:t>kwn0@cdc.gov</w:t>
        </w:r>
      </w:hyperlink>
      <w:r w:rsidRPr="00020306">
        <w:rPr>
          <w:rFonts w:cstheme="minorHAnsi"/>
          <w:szCs w:val="24"/>
        </w:rPr>
        <w:t xml:space="preserve"> </w:t>
      </w:r>
    </w:p>
    <w:p w:rsidR="00AD20DC" w14:paraId="4B40A961" w14:textId="27466149">
      <w:r>
        <w:br w:type="page"/>
      </w:r>
    </w:p>
    <w:p w:rsidR="00AD20DC" w:rsidP="00A37D22" w14:paraId="08590546" w14:textId="2BD4EACE">
      <w:pPr>
        <w:pStyle w:val="TOC1"/>
      </w:pPr>
      <w:r>
        <w:t xml:space="preserve">Table of Contents </w:t>
      </w:r>
    </w:p>
    <w:p w:rsidR="00A37D22" w:rsidP="00A37D22" w14:paraId="6599848E" w14:textId="27F1A3EA">
      <w:pPr>
        <w:pStyle w:val="TOC1"/>
        <w:rPr>
          <w:rFonts w:eastAsiaTheme="minorEastAsia" w:cstheme="minorBidi"/>
          <w:noProof/>
          <w:sz w:val="22"/>
          <w:szCs w:val="22"/>
        </w:rPr>
      </w:pPr>
      <w:r w:rsidRPr="000D1AE2">
        <w:fldChar w:fldCharType="begin"/>
      </w:r>
      <w:r w:rsidRPr="000D1AE2">
        <w:instrText xml:space="preserve"> TOC \o "1-3" \h \z \u </w:instrText>
      </w:r>
      <w:r w:rsidRPr="000D1AE2">
        <w:fldChar w:fldCharType="separate"/>
      </w:r>
      <w:hyperlink w:anchor="_Toc137115870" w:history="1">
        <w:r w:rsidRPr="005561B2">
          <w:rPr>
            <w:rStyle w:val="Hyperlink"/>
            <w:noProof/>
          </w:rPr>
          <w:t>A. Justification</w:t>
        </w:r>
        <w:r>
          <w:rPr>
            <w:noProof/>
            <w:webHidden/>
          </w:rPr>
          <w:tab/>
        </w:r>
        <w:r>
          <w:rPr>
            <w:noProof/>
            <w:webHidden/>
          </w:rPr>
          <w:fldChar w:fldCharType="begin"/>
        </w:r>
        <w:r>
          <w:rPr>
            <w:noProof/>
            <w:webHidden/>
          </w:rPr>
          <w:instrText xml:space="preserve"> PAGEREF _Toc137115870 \h </w:instrText>
        </w:r>
        <w:r>
          <w:rPr>
            <w:noProof/>
            <w:webHidden/>
          </w:rPr>
          <w:fldChar w:fldCharType="separate"/>
        </w:r>
        <w:r>
          <w:rPr>
            <w:noProof/>
            <w:webHidden/>
          </w:rPr>
          <w:t>5</w:t>
        </w:r>
        <w:r>
          <w:rPr>
            <w:noProof/>
            <w:webHidden/>
          </w:rPr>
          <w:fldChar w:fldCharType="end"/>
        </w:r>
      </w:hyperlink>
    </w:p>
    <w:p w:rsidR="00A37D22" w14:paraId="4D7F2A8E" w14:textId="3A1BB5FE">
      <w:pPr>
        <w:pStyle w:val="TOC2"/>
        <w:tabs>
          <w:tab w:val="right" w:leader="underscore" w:pos="9350"/>
        </w:tabs>
        <w:rPr>
          <w:rFonts w:eastAsiaTheme="minorEastAsia" w:cstheme="minorBidi"/>
          <w:i w:val="0"/>
          <w:iCs w:val="0"/>
          <w:noProof/>
          <w:sz w:val="22"/>
          <w:szCs w:val="22"/>
        </w:rPr>
      </w:pPr>
      <w:hyperlink w:anchor="_Toc137115871" w:history="1">
        <w:r w:rsidRPr="005561B2">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_Toc137115871 \h </w:instrText>
        </w:r>
        <w:r>
          <w:rPr>
            <w:noProof/>
            <w:webHidden/>
          </w:rPr>
          <w:fldChar w:fldCharType="separate"/>
        </w:r>
        <w:r>
          <w:rPr>
            <w:noProof/>
            <w:webHidden/>
          </w:rPr>
          <w:t>5</w:t>
        </w:r>
        <w:r>
          <w:rPr>
            <w:noProof/>
            <w:webHidden/>
          </w:rPr>
          <w:fldChar w:fldCharType="end"/>
        </w:r>
      </w:hyperlink>
    </w:p>
    <w:p w:rsidR="00A37D22" w14:paraId="229063CD" w14:textId="20BDD541">
      <w:pPr>
        <w:pStyle w:val="TOC2"/>
        <w:tabs>
          <w:tab w:val="right" w:leader="underscore" w:pos="9350"/>
        </w:tabs>
        <w:rPr>
          <w:rFonts w:eastAsiaTheme="minorEastAsia" w:cstheme="minorBidi"/>
          <w:i w:val="0"/>
          <w:iCs w:val="0"/>
          <w:noProof/>
          <w:sz w:val="22"/>
          <w:szCs w:val="22"/>
        </w:rPr>
      </w:pPr>
      <w:hyperlink w:anchor="_Toc137115872" w:history="1">
        <w:r w:rsidRPr="005561B2">
          <w:rPr>
            <w:rStyle w:val="Hyperlink"/>
            <w:noProof/>
          </w:rPr>
          <w:t>A.2. Purpose and Use of the Information Collection</w:t>
        </w:r>
        <w:r>
          <w:rPr>
            <w:noProof/>
            <w:webHidden/>
          </w:rPr>
          <w:tab/>
        </w:r>
        <w:r>
          <w:rPr>
            <w:noProof/>
            <w:webHidden/>
          </w:rPr>
          <w:fldChar w:fldCharType="begin"/>
        </w:r>
        <w:r>
          <w:rPr>
            <w:noProof/>
            <w:webHidden/>
          </w:rPr>
          <w:instrText xml:space="preserve"> PAGEREF _Toc137115872 \h </w:instrText>
        </w:r>
        <w:r>
          <w:rPr>
            <w:noProof/>
            <w:webHidden/>
          </w:rPr>
          <w:fldChar w:fldCharType="separate"/>
        </w:r>
        <w:r>
          <w:rPr>
            <w:noProof/>
            <w:webHidden/>
          </w:rPr>
          <w:t>6</w:t>
        </w:r>
        <w:r>
          <w:rPr>
            <w:noProof/>
            <w:webHidden/>
          </w:rPr>
          <w:fldChar w:fldCharType="end"/>
        </w:r>
      </w:hyperlink>
    </w:p>
    <w:p w:rsidR="00A37D22" w14:paraId="18517DA0" w14:textId="1B0376D5">
      <w:pPr>
        <w:pStyle w:val="TOC2"/>
        <w:tabs>
          <w:tab w:val="right" w:leader="underscore" w:pos="9350"/>
        </w:tabs>
        <w:rPr>
          <w:rFonts w:eastAsiaTheme="minorEastAsia" w:cstheme="minorBidi"/>
          <w:i w:val="0"/>
          <w:iCs w:val="0"/>
          <w:noProof/>
          <w:sz w:val="22"/>
          <w:szCs w:val="22"/>
        </w:rPr>
      </w:pPr>
      <w:hyperlink w:anchor="_Toc137115873" w:history="1">
        <w:r w:rsidRPr="005561B2">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_Toc137115873 \h </w:instrText>
        </w:r>
        <w:r>
          <w:rPr>
            <w:noProof/>
            <w:webHidden/>
          </w:rPr>
          <w:fldChar w:fldCharType="separate"/>
        </w:r>
        <w:r>
          <w:rPr>
            <w:noProof/>
            <w:webHidden/>
          </w:rPr>
          <w:t>6</w:t>
        </w:r>
        <w:r>
          <w:rPr>
            <w:noProof/>
            <w:webHidden/>
          </w:rPr>
          <w:fldChar w:fldCharType="end"/>
        </w:r>
      </w:hyperlink>
    </w:p>
    <w:p w:rsidR="00A37D22" w14:paraId="094D27EA" w14:textId="7CFC5C33">
      <w:pPr>
        <w:pStyle w:val="TOC2"/>
        <w:tabs>
          <w:tab w:val="right" w:leader="underscore" w:pos="9350"/>
        </w:tabs>
        <w:rPr>
          <w:rFonts w:eastAsiaTheme="minorEastAsia" w:cstheme="minorBidi"/>
          <w:i w:val="0"/>
          <w:iCs w:val="0"/>
          <w:noProof/>
          <w:sz w:val="22"/>
          <w:szCs w:val="22"/>
        </w:rPr>
      </w:pPr>
      <w:hyperlink w:anchor="_Toc137115874" w:history="1">
        <w:r w:rsidRPr="005561B2">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_Toc137115874 \h </w:instrText>
        </w:r>
        <w:r>
          <w:rPr>
            <w:noProof/>
            <w:webHidden/>
          </w:rPr>
          <w:fldChar w:fldCharType="separate"/>
        </w:r>
        <w:r>
          <w:rPr>
            <w:noProof/>
            <w:webHidden/>
          </w:rPr>
          <w:t>7</w:t>
        </w:r>
        <w:r>
          <w:rPr>
            <w:noProof/>
            <w:webHidden/>
          </w:rPr>
          <w:fldChar w:fldCharType="end"/>
        </w:r>
      </w:hyperlink>
    </w:p>
    <w:p w:rsidR="00A37D22" w14:paraId="7000E5BE" w14:textId="6593536B">
      <w:pPr>
        <w:pStyle w:val="TOC2"/>
        <w:tabs>
          <w:tab w:val="right" w:leader="underscore" w:pos="9350"/>
        </w:tabs>
        <w:rPr>
          <w:rFonts w:eastAsiaTheme="minorEastAsia" w:cstheme="minorBidi"/>
          <w:i w:val="0"/>
          <w:iCs w:val="0"/>
          <w:noProof/>
          <w:sz w:val="22"/>
          <w:szCs w:val="22"/>
        </w:rPr>
      </w:pPr>
      <w:hyperlink w:anchor="_Toc137115875" w:history="1">
        <w:r w:rsidRPr="005561B2">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_Toc137115875 \h </w:instrText>
        </w:r>
        <w:r>
          <w:rPr>
            <w:noProof/>
            <w:webHidden/>
          </w:rPr>
          <w:fldChar w:fldCharType="separate"/>
        </w:r>
        <w:r>
          <w:rPr>
            <w:noProof/>
            <w:webHidden/>
          </w:rPr>
          <w:t>7</w:t>
        </w:r>
        <w:r>
          <w:rPr>
            <w:noProof/>
            <w:webHidden/>
          </w:rPr>
          <w:fldChar w:fldCharType="end"/>
        </w:r>
      </w:hyperlink>
    </w:p>
    <w:p w:rsidR="00A37D22" w14:paraId="6D7A8A87" w14:textId="5BCE2602">
      <w:pPr>
        <w:pStyle w:val="TOC2"/>
        <w:tabs>
          <w:tab w:val="right" w:leader="underscore" w:pos="9350"/>
        </w:tabs>
        <w:rPr>
          <w:rFonts w:eastAsiaTheme="minorEastAsia" w:cstheme="minorBidi"/>
          <w:i w:val="0"/>
          <w:iCs w:val="0"/>
          <w:noProof/>
          <w:sz w:val="22"/>
          <w:szCs w:val="22"/>
        </w:rPr>
      </w:pPr>
      <w:hyperlink w:anchor="_Toc137115876" w:history="1">
        <w:r w:rsidRPr="005561B2">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_Toc137115876 \h </w:instrText>
        </w:r>
        <w:r>
          <w:rPr>
            <w:noProof/>
            <w:webHidden/>
          </w:rPr>
          <w:fldChar w:fldCharType="separate"/>
        </w:r>
        <w:r>
          <w:rPr>
            <w:noProof/>
            <w:webHidden/>
          </w:rPr>
          <w:t>7</w:t>
        </w:r>
        <w:r>
          <w:rPr>
            <w:noProof/>
            <w:webHidden/>
          </w:rPr>
          <w:fldChar w:fldCharType="end"/>
        </w:r>
      </w:hyperlink>
    </w:p>
    <w:p w:rsidR="00A37D22" w14:paraId="11215B73" w14:textId="3B72034D">
      <w:pPr>
        <w:pStyle w:val="TOC2"/>
        <w:tabs>
          <w:tab w:val="right" w:leader="underscore" w:pos="9350"/>
        </w:tabs>
        <w:rPr>
          <w:rFonts w:eastAsiaTheme="minorEastAsia" w:cstheme="minorBidi"/>
          <w:i w:val="0"/>
          <w:iCs w:val="0"/>
          <w:noProof/>
          <w:sz w:val="22"/>
          <w:szCs w:val="22"/>
        </w:rPr>
      </w:pPr>
      <w:hyperlink w:anchor="_Toc137115877" w:history="1">
        <w:r w:rsidRPr="005561B2">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_Toc137115877 \h </w:instrText>
        </w:r>
        <w:r>
          <w:rPr>
            <w:noProof/>
            <w:webHidden/>
          </w:rPr>
          <w:fldChar w:fldCharType="separate"/>
        </w:r>
        <w:r>
          <w:rPr>
            <w:noProof/>
            <w:webHidden/>
          </w:rPr>
          <w:t>7</w:t>
        </w:r>
        <w:r>
          <w:rPr>
            <w:noProof/>
            <w:webHidden/>
          </w:rPr>
          <w:fldChar w:fldCharType="end"/>
        </w:r>
      </w:hyperlink>
    </w:p>
    <w:p w:rsidR="00A37D22" w14:paraId="47BE0EBD" w14:textId="2D832D94">
      <w:pPr>
        <w:pStyle w:val="TOC2"/>
        <w:tabs>
          <w:tab w:val="right" w:leader="underscore" w:pos="9350"/>
        </w:tabs>
        <w:rPr>
          <w:rFonts w:eastAsiaTheme="minorEastAsia" w:cstheme="minorBidi"/>
          <w:i w:val="0"/>
          <w:iCs w:val="0"/>
          <w:noProof/>
          <w:sz w:val="22"/>
          <w:szCs w:val="22"/>
        </w:rPr>
      </w:pPr>
      <w:hyperlink w:anchor="_Toc137115878" w:history="1">
        <w:r w:rsidRPr="005561B2">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_Toc137115878 \h </w:instrText>
        </w:r>
        <w:r>
          <w:rPr>
            <w:noProof/>
            <w:webHidden/>
          </w:rPr>
          <w:fldChar w:fldCharType="separate"/>
        </w:r>
        <w:r>
          <w:rPr>
            <w:noProof/>
            <w:webHidden/>
          </w:rPr>
          <w:t>7</w:t>
        </w:r>
        <w:r>
          <w:rPr>
            <w:noProof/>
            <w:webHidden/>
          </w:rPr>
          <w:fldChar w:fldCharType="end"/>
        </w:r>
      </w:hyperlink>
    </w:p>
    <w:p w:rsidR="00A37D22" w14:paraId="614838D5" w14:textId="3F0A6599">
      <w:pPr>
        <w:pStyle w:val="TOC2"/>
        <w:tabs>
          <w:tab w:val="right" w:leader="underscore" w:pos="9350"/>
        </w:tabs>
        <w:rPr>
          <w:rFonts w:eastAsiaTheme="minorEastAsia" w:cstheme="minorBidi"/>
          <w:i w:val="0"/>
          <w:iCs w:val="0"/>
          <w:noProof/>
          <w:sz w:val="22"/>
          <w:szCs w:val="22"/>
        </w:rPr>
      </w:pPr>
      <w:hyperlink w:anchor="_Toc137115879" w:history="1">
        <w:r w:rsidRPr="005561B2">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_Toc137115879 \h </w:instrText>
        </w:r>
        <w:r>
          <w:rPr>
            <w:noProof/>
            <w:webHidden/>
          </w:rPr>
          <w:fldChar w:fldCharType="separate"/>
        </w:r>
        <w:r>
          <w:rPr>
            <w:noProof/>
            <w:webHidden/>
          </w:rPr>
          <w:t>9</w:t>
        </w:r>
        <w:r>
          <w:rPr>
            <w:noProof/>
            <w:webHidden/>
          </w:rPr>
          <w:fldChar w:fldCharType="end"/>
        </w:r>
      </w:hyperlink>
    </w:p>
    <w:p w:rsidR="00A37D22" w14:paraId="2AB92ADB" w14:textId="26B627CE">
      <w:pPr>
        <w:pStyle w:val="TOC2"/>
        <w:tabs>
          <w:tab w:val="right" w:leader="underscore" w:pos="9350"/>
        </w:tabs>
        <w:rPr>
          <w:rFonts w:eastAsiaTheme="minorEastAsia" w:cstheme="minorBidi"/>
          <w:i w:val="0"/>
          <w:iCs w:val="0"/>
          <w:noProof/>
          <w:sz w:val="22"/>
          <w:szCs w:val="22"/>
        </w:rPr>
      </w:pPr>
      <w:hyperlink w:anchor="_Toc137115880" w:history="1">
        <w:r w:rsidRPr="005561B2">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_Toc137115880 \h </w:instrText>
        </w:r>
        <w:r>
          <w:rPr>
            <w:noProof/>
            <w:webHidden/>
          </w:rPr>
          <w:fldChar w:fldCharType="separate"/>
        </w:r>
        <w:r>
          <w:rPr>
            <w:noProof/>
            <w:webHidden/>
          </w:rPr>
          <w:t>9</w:t>
        </w:r>
        <w:r>
          <w:rPr>
            <w:noProof/>
            <w:webHidden/>
          </w:rPr>
          <w:fldChar w:fldCharType="end"/>
        </w:r>
      </w:hyperlink>
    </w:p>
    <w:p w:rsidR="00A37D22" w14:paraId="1CADE77B" w14:textId="0A9487ED">
      <w:pPr>
        <w:pStyle w:val="TOC2"/>
        <w:tabs>
          <w:tab w:val="right" w:leader="underscore" w:pos="9350"/>
        </w:tabs>
        <w:rPr>
          <w:rFonts w:eastAsiaTheme="minorEastAsia" w:cstheme="minorBidi"/>
          <w:i w:val="0"/>
          <w:iCs w:val="0"/>
          <w:noProof/>
          <w:sz w:val="22"/>
          <w:szCs w:val="22"/>
        </w:rPr>
      </w:pPr>
      <w:hyperlink w:anchor="_Toc137115881" w:history="1">
        <w:r w:rsidRPr="005561B2">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_Toc137115881 \h </w:instrText>
        </w:r>
        <w:r>
          <w:rPr>
            <w:noProof/>
            <w:webHidden/>
          </w:rPr>
          <w:fldChar w:fldCharType="separate"/>
        </w:r>
        <w:r>
          <w:rPr>
            <w:noProof/>
            <w:webHidden/>
          </w:rPr>
          <w:t>10</w:t>
        </w:r>
        <w:r>
          <w:rPr>
            <w:noProof/>
            <w:webHidden/>
          </w:rPr>
          <w:fldChar w:fldCharType="end"/>
        </w:r>
      </w:hyperlink>
    </w:p>
    <w:p w:rsidR="00A37D22" w14:paraId="56961DF1" w14:textId="5770A4BD">
      <w:pPr>
        <w:pStyle w:val="TOC3"/>
        <w:tabs>
          <w:tab w:val="right" w:leader="underscore" w:pos="9350"/>
        </w:tabs>
        <w:rPr>
          <w:rFonts w:eastAsiaTheme="minorEastAsia" w:cstheme="minorBidi"/>
          <w:noProof/>
          <w:sz w:val="22"/>
          <w:szCs w:val="22"/>
        </w:rPr>
      </w:pPr>
      <w:hyperlink w:anchor="_Toc137115882" w:history="1">
        <w:r w:rsidRPr="005561B2">
          <w:rPr>
            <w:rStyle w:val="Hyperlink"/>
            <w:noProof/>
          </w:rPr>
          <w:t>A.11. IRB Approval</w:t>
        </w:r>
        <w:r>
          <w:rPr>
            <w:noProof/>
            <w:webHidden/>
          </w:rPr>
          <w:tab/>
        </w:r>
        <w:r>
          <w:rPr>
            <w:noProof/>
            <w:webHidden/>
          </w:rPr>
          <w:fldChar w:fldCharType="begin"/>
        </w:r>
        <w:r>
          <w:rPr>
            <w:noProof/>
            <w:webHidden/>
          </w:rPr>
          <w:instrText xml:space="preserve"> PAGEREF _Toc137115882 \h </w:instrText>
        </w:r>
        <w:r>
          <w:rPr>
            <w:noProof/>
            <w:webHidden/>
          </w:rPr>
          <w:fldChar w:fldCharType="separate"/>
        </w:r>
        <w:r>
          <w:rPr>
            <w:noProof/>
            <w:webHidden/>
          </w:rPr>
          <w:t>10</w:t>
        </w:r>
        <w:r>
          <w:rPr>
            <w:noProof/>
            <w:webHidden/>
          </w:rPr>
          <w:fldChar w:fldCharType="end"/>
        </w:r>
      </w:hyperlink>
    </w:p>
    <w:p w:rsidR="00A37D22" w14:paraId="58079299" w14:textId="50D3556A">
      <w:pPr>
        <w:pStyle w:val="TOC3"/>
        <w:tabs>
          <w:tab w:val="right" w:leader="underscore" w:pos="9350"/>
        </w:tabs>
        <w:rPr>
          <w:rFonts w:eastAsiaTheme="minorEastAsia" w:cstheme="minorBidi"/>
          <w:noProof/>
          <w:sz w:val="22"/>
          <w:szCs w:val="22"/>
        </w:rPr>
      </w:pPr>
      <w:hyperlink w:anchor="_Toc137115883" w:history="1">
        <w:r w:rsidRPr="005561B2">
          <w:rPr>
            <w:rStyle w:val="Hyperlink"/>
            <w:noProof/>
          </w:rPr>
          <w:t>A.11. Sensitive questions</w:t>
        </w:r>
        <w:r>
          <w:rPr>
            <w:noProof/>
            <w:webHidden/>
          </w:rPr>
          <w:tab/>
        </w:r>
        <w:r>
          <w:rPr>
            <w:noProof/>
            <w:webHidden/>
          </w:rPr>
          <w:fldChar w:fldCharType="begin"/>
        </w:r>
        <w:r>
          <w:rPr>
            <w:noProof/>
            <w:webHidden/>
          </w:rPr>
          <w:instrText xml:space="preserve"> PAGEREF _Toc137115883 \h </w:instrText>
        </w:r>
        <w:r>
          <w:rPr>
            <w:noProof/>
            <w:webHidden/>
          </w:rPr>
          <w:fldChar w:fldCharType="separate"/>
        </w:r>
        <w:r>
          <w:rPr>
            <w:noProof/>
            <w:webHidden/>
          </w:rPr>
          <w:t>10</w:t>
        </w:r>
        <w:r>
          <w:rPr>
            <w:noProof/>
            <w:webHidden/>
          </w:rPr>
          <w:fldChar w:fldCharType="end"/>
        </w:r>
      </w:hyperlink>
    </w:p>
    <w:p w:rsidR="00A37D22" w14:paraId="358FCE93" w14:textId="5EB97AEE">
      <w:pPr>
        <w:pStyle w:val="TOC2"/>
        <w:tabs>
          <w:tab w:val="right" w:leader="underscore" w:pos="9350"/>
        </w:tabs>
        <w:rPr>
          <w:rFonts w:eastAsiaTheme="minorEastAsia" w:cstheme="minorBidi"/>
          <w:i w:val="0"/>
          <w:iCs w:val="0"/>
          <w:noProof/>
          <w:sz w:val="22"/>
          <w:szCs w:val="22"/>
        </w:rPr>
      </w:pPr>
      <w:hyperlink w:anchor="_Toc137115884" w:history="1">
        <w:r w:rsidRPr="005561B2">
          <w:rPr>
            <w:rStyle w:val="Hyperlink"/>
            <w:noProof/>
          </w:rPr>
          <w:t>A.12. Estimates of Annualized Burden Hours and Costs</w:t>
        </w:r>
        <w:r>
          <w:rPr>
            <w:noProof/>
            <w:webHidden/>
          </w:rPr>
          <w:tab/>
        </w:r>
        <w:r>
          <w:rPr>
            <w:noProof/>
            <w:webHidden/>
          </w:rPr>
          <w:fldChar w:fldCharType="begin"/>
        </w:r>
        <w:r>
          <w:rPr>
            <w:noProof/>
            <w:webHidden/>
          </w:rPr>
          <w:instrText xml:space="preserve"> PAGEREF _Toc137115884 \h </w:instrText>
        </w:r>
        <w:r>
          <w:rPr>
            <w:noProof/>
            <w:webHidden/>
          </w:rPr>
          <w:fldChar w:fldCharType="separate"/>
        </w:r>
        <w:r>
          <w:rPr>
            <w:noProof/>
            <w:webHidden/>
          </w:rPr>
          <w:t>10</w:t>
        </w:r>
        <w:r>
          <w:rPr>
            <w:noProof/>
            <w:webHidden/>
          </w:rPr>
          <w:fldChar w:fldCharType="end"/>
        </w:r>
      </w:hyperlink>
    </w:p>
    <w:p w:rsidR="00A37D22" w14:paraId="68F4B2D2" w14:textId="309D6B6E">
      <w:pPr>
        <w:pStyle w:val="TOC3"/>
        <w:tabs>
          <w:tab w:val="right" w:leader="underscore" w:pos="9350"/>
        </w:tabs>
        <w:rPr>
          <w:rFonts w:eastAsiaTheme="minorEastAsia" w:cstheme="minorBidi"/>
          <w:noProof/>
          <w:sz w:val="22"/>
          <w:szCs w:val="22"/>
        </w:rPr>
      </w:pPr>
      <w:hyperlink w:anchor="_Toc137115885" w:history="1">
        <w:r w:rsidRPr="005561B2">
          <w:rPr>
            <w:rStyle w:val="Hyperlink"/>
            <w:noProof/>
          </w:rPr>
          <w:t>A.12.A. Estimates of Annualized Burden Hours</w:t>
        </w:r>
        <w:r>
          <w:rPr>
            <w:noProof/>
            <w:webHidden/>
          </w:rPr>
          <w:tab/>
        </w:r>
        <w:r>
          <w:rPr>
            <w:noProof/>
            <w:webHidden/>
          </w:rPr>
          <w:fldChar w:fldCharType="begin"/>
        </w:r>
        <w:r>
          <w:rPr>
            <w:noProof/>
            <w:webHidden/>
          </w:rPr>
          <w:instrText xml:space="preserve"> PAGEREF _Toc137115885 \h </w:instrText>
        </w:r>
        <w:r>
          <w:rPr>
            <w:noProof/>
            <w:webHidden/>
          </w:rPr>
          <w:fldChar w:fldCharType="separate"/>
        </w:r>
        <w:r>
          <w:rPr>
            <w:noProof/>
            <w:webHidden/>
          </w:rPr>
          <w:t>10</w:t>
        </w:r>
        <w:r>
          <w:rPr>
            <w:noProof/>
            <w:webHidden/>
          </w:rPr>
          <w:fldChar w:fldCharType="end"/>
        </w:r>
      </w:hyperlink>
    </w:p>
    <w:p w:rsidR="00A37D22" w14:paraId="0E7CFED4" w14:textId="303808B8">
      <w:pPr>
        <w:pStyle w:val="TOC3"/>
        <w:tabs>
          <w:tab w:val="right" w:leader="underscore" w:pos="9350"/>
        </w:tabs>
        <w:rPr>
          <w:rFonts w:eastAsiaTheme="minorEastAsia" w:cstheme="minorBidi"/>
          <w:noProof/>
          <w:sz w:val="22"/>
          <w:szCs w:val="22"/>
        </w:rPr>
      </w:pPr>
      <w:hyperlink w:anchor="_Toc137115886" w:history="1">
        <w:r w:rsidRPr="005561B2">
          <w:rPr>
            <w:rStyle w:val="Hyperlink"/>
            <w:noProof/>
          </w:rPr>
          <w:t>A.12.B. Estimated of annualized burden costs</w:t>
        </w:r>
        <w:r>
          <w:rPr>
            <w:noProof/>
            <w:webHidden/>
          </w:rPr>
          <w:tab/>
        </w:r>
        <w:r>
          <w:rPr>
            <w:noProof/>
            <w:webHidden/>
          </w:rPr>
          <w:fldChar w:fldCharType="begin"/>
        </w:r>
        <w:r>
          <w:rPr>
            <w:noProof/>
            <w:webHidden/>
          </w:rPr>
          <w:instrText xml:space="preserve"> PAGEREF _Toc137115886 \h </w:instrText>
        </w:r>
        <w:r>
          <w:rPr>
            <w:noProof/>
            <w:webHidden/>
          </w:rPr>
          <w:fldChar w:fldCharType="separate"/>
        </w:r>
        <w:r>
          <w:rPr>
            <w:noProof/>
            <w:webHidden/>
          </w:rPr>
          <w:t>11</w:t>
        </w:r>
        <w:r>
          <w:rPr>
            <w:noProof/>
            <w:webHidden/>
          </w:rPr>
          <w:fldChar w:fldCharType="end"/>
        </w:r>
      </w:hyperlink>
    </w:p>
    <w:p w:rsidR="00A37D22" w14:paraId="6C48CB01" w14:textId="29CBC4E6">
      <w:pPr>
        <w:pStyle w:val="TOC2"/>
        <w:tabs>
          <w:tab w:val="right" w:leader="underscore" w:pos="9350"/>
        </w:tabs>
        <w:rPr>
          <w:rFonts w:eastAsiaTheme="minorEastAsia" w:cstheme="minorBidi"/>
          <w:i w:val="0"/>
          <w:iCs w:val="0"/>
          <w:noProof/>
          <w:sz w:val="22"/>
          <w:szCs w:val="22"/>
        </w:rPr>
      </w:pPr>
      <w:hyperlink w:anchor="_Toc137115887" w:history="1">
        <w:r w:rsidRPr="005561B2">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_Toc137115887 \h </w:instrText>
        </w:r>
        <w:r>
          <w:rPr>
            <w:noProof/>
            <w:webHidden/>
          </w:rPr>
          <w:fldChar w:fldCharType="separate"/>
        </w:r>
        <w:r>
          <w:rPr>
            <w:noProof/>
            <w:webHidden/>
          </w:rPr>
          <w:t>12</w:t>
        </w:r>
        <w:r>
          <w:rPr>
            <w:noProof/>
            <w:webHidden/>
          </w:rPr>
          <w:fldChar w:fldCharType="end"/>
        </w:r>
      </w:hyperlink>
    </w:p>
    <w:p w:rsidR="00A37D22" w14:paraId="3FA0C3D9" w14:textId="56AEF960">
      <w:pPr>
        <w:pStyle w:val="TOC2"/>
        <w:tabs>
          <w:tab w:val="right" w:leader="underscore" w:pos="9350"/>
        </w:tabs>
        <w:rPr>
          <w:rFonts w:eastAsiaTheme="minorEastAsia" w:cstheme="minorBidi"/>
          <w:i w:val="0"/>
          <w:iCs w:val="0"/>
          <w:noProof/>
          <w:sz w:val="22"/>
          <w:szCs w:val="22"/>
        </w:rPr>
      </w:pPr>
      <w:hyperlink w:anchor="_Toc137115888" w:history="1">
        <w:r w:rsidRPr="005561B2">
          <w:rPr>
            <w:rStyle w:val="Hyperlink"/>
            <w:noProof/>
          </w:rPr>
          <w:t>A.14. Annualized Cost to the Federal Government</w:t>
        </w:r>
        <w:r>
          <w:rPr>
            <w:noProof/>
            <w:webHidden/>
          </w:rPr>
          <w:tab/>
        </w:r>
        <w:r>
          <w:rPr>
            <w:noProof/>
            <w:webHidden/>
          </w:rPr>
          <w:fldChar w:fldCharType="begin"/>
        </w:r>
        <w:r>
          <w:rPr>
            <w:noProof/>
            <w:webHidden/>
          </w:rPr>
          <w:instrText xml:space="preserve"> PAGEREF _Toc137115888 \h </w:instrText>
        </w:r>
        <w:r>
          <w:rPr>
            <w:noProof/>
            <w:webHidden/>
          </w:rPr>
          <w:fldChar w:fldCharType="separate"/>
        </w:r>
        <w:r>
          <w:rPr>
            <w:noProof/>
            <w:webHidden/>
          </w:rPr>
          <w:t>12</w:t>
        </w:r>
        <w:r>
          <w:rPr>
            <w:noProof/>
            <w:webHidden/>
          </w:rPr>
          <w:fldChar w:fldCharType="end"/>
        </w:r>
      </w:hyperlink>
    </w:p>
    <w:p w:rsidR="00A37D22" w14:paraId="1586379F" w14:textId="142EC35F">
      <w:pPr>
        <w:pStyle w:val="TOC3"/>
        <w:tabs>
          <w:tab w:val="right" w:leader="underscore" w:pos="9350"/>
        </w:tabs>
        <w:rPr>
          <w:rFonts w:eastAsiaTheme="minorEastAsia" w:cstheme="minorBidi"/>
          <w:noProof/>
          <w:sz w:val="22"/>
          <w:szCs w:val="22"/>
        </w:rPr>
      </w:pPr>
      <w:hyperlink w:anchor="_Toc137115889" w:history="1">
        <w:r w:rsidRPr="005561B2">
          <w:rPr>
            <w:rStyle w:val="Hyperlink"/>
            <w:bCs/>
            <w:noProof/>
          </w:rPr>
          <w:t>Table A.14</w:t>
        </w:r>
        <w:r w:rsidRPr="005561B2">
          <w:rPr>
            <w:rStyle w:val="Hyperlink"/>
            <w:noProof/>
          </w:rPr>
          <w:t>. Annualized Cost to the Federal Government</w:t>
        </w:r>
        <w:r>
          <w:rPr>
            <w:noProof/>
            <w:webHidden/>
          </w:rPr>
          <w:tab/>
        </w:r>
        <w:r>
          <w:rPr>
            <w:noProof/>
            <w:webHidden/>
          </w:rPr>
          <w:fldChar w:fldCharType="begin"/>
        </w:r>
        <w:r>
          <w:rPr>
            <w:noProof/>
            <w:webHidden/>
          </w:rPr>
          <w:instrText xml:space="preserve"> PAGEREF _Toc137115889 \h </w:instrText>
        </w:r>
        <w:r>
          <w:rPr>
            <w:noProof/>
            <w:webHidden/>
          </w:rPr>
          <w:fldChar w:fldCharType="separate"/>
        </w:r>
        <w:r>
          <w:rPr>
            <w:noProof/>
            <w:webHidden/>
          </w:rPr>
          <w:t>12</w:t>
        </w:r>
        <w:r>
          <w:rPr>
            <w:noProof/>
            <w:webHidden/>
          </w:rPr>
          <w:fldChar w:fldCharType="end"/>
        </w:r>
      </w:hyperlink>
    </w:p>
    <w:p w:rsidR="00A37D22" w14:paraId="591095CB" w14:textId="3D7F4E6C">
      <w:pPr>
        <w:pStyle w:val="TOC2"/>
        <w:tabs>
          <w:tab w:val="right" w:leader="underscore" w:pos="9350"/>
        </w:tabs>
        <w:rPr>
          <w:rFonts w:eastAsiaTheme="minorEastAsia" w:cstheme="minorBidi"/>
          <w:i w:val="0"/>
          <w:iCs w:val="0"/>
          <w:noProof/>
          <w:sz w:val="22"/>
          <w:szCs w:val="22"/>
        </w:rPr>
      </w:pPr>
      <w:hyperlink w:anchor="_Toc137115890" w:history="1">
        <w:r w:rsidRPr="005561B2">
          <w:rPr>
            <w:rStyle w:val="Hyperlink"/>
            <w:noProof/>
          </w:rPr>
          <w:t>A.15. Explanation for Program Changes or Adjustments</w:t>
        </w:r>
        <w:r>
          <w:rPr>
            <w:noProof/>
            <w:webHidden/>
          </w:rPr>
          <w:tab/>
        </w:r>
        <w:r>
          <w:rPr>
            <w:noProof/>
            <w:webHidden/>
          </w:rPr>
          <w:fldChar w:fldCharType="begin"/>
        </w:r>
        <w:r>
          <w:rPr>
            <w:noProof/>
            <w:webHidden/>
          </w:rPr>
          <w:instrText xml:space="preserve"> PAGEREF _Toc137115890 \h </w:instrText>
        </w:r>
        <w:r>
          <w:rPr>
            <w:noProof/>
            <w:webHidden/>
          </w:rPr>
          <w:fldChar w:fldCharType="separate"/>
        </w:r>
        <w:r>
          <w:rPr>
            <w:noProof/>
            <w:webHidden/>
          </w:rPr>
          <w:t>13</w:t>
        </w:r>
        <w:r>
          <w:rPr>
            <w:noProof/>
            <w:webHidden/>
          </w:rPr>
          <w:fldChar w:fldCharType="end"/>
        </w:r>
      </w:hyperlink>
    </w:p>
    <w:p w:rsidR="00A37D22" w14:paraId="6C4F6E13" w14:textId="12AC86D0">
      <w:pPr>
        <w:pStyle w:val="TOC2"/>
        <w:tabs>
          <w:tab w:val="right" w:leader="underscore" w:pos="9350"/>
        </w:tabs>
        <w:rPr>
          <w:rFonts w:eastAsiaTheme="minorEastAsia" w:cstheme="minorBidi"/>
          <w:i w:val="0"/>
          <w:iCs w:val="0"/>
          <w:noProof/>
          <w:sz w:val="22"/>
          <w:szCs w:val="22"/>
        </w:rPr>
      </w:pPr>
      <w:hyperlink w:anchor="_Toc137115891" w:history="1">
        <w:r w:rsidRPr="005561B2">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_Toc137115891 \h </w:instrText>
        </w:r>
        <w:r>
          <w:rPr>
            <w:noProof/>
            <w:webHidden/>
          </w:rPr>
          <w:fldChar w:fldCharType="separate"/>
        </w:r>
        <w:r>
          <w:rPr>
            <w:noProof/>
            <w:webHidden/>
          </w:rPr>
          <w:t>13</w:t>
        </w:r>
        <w:r>
          <w:rPr>
            <w:noProof/>
            <w:webHidden/>
          </w:rPr>
          <w:fldChar w:fldCharType="end"/>
        </w:r>
      </w:hyperlink>
    </w:p>
    <w:p w:rsidR="00A37D22" w14:paraId="3E3ECD3B" w14:textId="43B43917">
      <w:pPr>
        <w:pStyle w:val="TOC3"/>
        <w:tabs>
          <w:tab w:val="right" w:leader="underscore" w:pos="9350"/>
        </w:tabs>
        <w:rPr>
          <w:rFonts w:eastAsiaTheme="minorEastAsia" w:cstheme="minorBidi"/>
          <w:noProof/>
          <w:sz w:val="22"/>
          <w:szCs w:val="22"/>
        </w:rPr>
      </w:pPr>
      <w:hyperlink w:anchor="_Toc137115892" w:history="1">
        <w:r w:rsidRPr="005561B2">
          <w:rPr>
            <w:rStyle w:val="Hyperlink"/>
            <w:noProof/>
          </w:rPr>
          <w:t>Table A.16.1</w:t>
        </w:r>
        <w:r>
          <w:rPr>
            <w:noProof/>
            <w:webHidden/>
          </w:rPr>
          <w:tab/>
        </w:r>
        <w:r>
          <w:rPr>
            <w:noProof/>
            <w:webHidden/>
          </w:rPr>
          <w:fldChar w:fldCharType="begin"/>
        </w:r>
        <w:r>
          <w:rPr>
            <w:noProof/>
            <w:webHidden/>
          </w:rPr>
          <w:instrText xml:space="preserve"> PAGEREF _Toc137115892 \h </w:instrText>
        </w:r>
        <w:r>
          <w:rPr>
            <w:noProof/>
            <w:webHidden/>
          </w:rPr>
          <w:fldChar w:fldCharType="separate"/>
        </w:r>
        <w:r>
          <w:rPr>
            <w:noProof/>
            <w:webHidden/>
          </w:rPr>
          <w:t>13</w:t>
        </w:r>
        <w:r>
          <w:rPr>
            <w:noProof/>
            <w:webHidden/>
          </w:rPr>
          <w:fldChar w:fldCharType="end"/>
        </w:r>
      </w:hyperlink>
    </w:p>
    <w:p w:rsidR="00A37D22" w14:paraId="0A5433DE" w14:textId="4AD2A6F1">
      <w:pPr>
        <w:pStyle w:val="TOC2"/>
        <w:tabs>
          <w:tab w:val="right" w:leader="underscore" w:pos="9350"/>
        </w:tabs>
        <w:rPr>
          <w:rFonts w:eastAsiaTheme="minorEastAsia" w:cstheme="minorBidi"/>
          <w:i w:val="0"/>
          <w:iCs w:val="0"/>
          <w:noProof/>
          <w:sz w:val="22"/>
          <w:szCs w:val="22"/>
        </w:rPr>
      </w:pPr>
      <w:hyperlink w:anchor="_Toc137115893" w:history="1">
        <w:r w:rsidRPr="005561B2">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_Toc137115893 \h </w:instrText>
        </w:r>
        <w:r>
          <w:rPr>
            <w:noProof/>
            <w:webHidden/>
          </w:rPr>
          <w:fldChar w:fldCharType="separate"/>
        </w:r>
        <w:r>
          <w:rPr>
            <w:noProof/>
            <w:webHidden/>
          </w:rPr>
          <w:t>13</w:t>
        </w:r>
        <w:r>
          <w:rPr>
            <w:noProof/>
            <w:webHidden/>
          </w:rPr>
          <w:fldChar w:fldCharType="end"/>
        </w:r>
      </w:hyperlink>
    </w:p>
    <w:p w:rsidR="00A37D22" w14:paraId="5B56808C" w14:textId="08F928DF">
      <w:pPr>
        <w:pStyle w:val="TOC2"/>
        <w:tabs>
          <w:tab w:val="right" w:leader="underscore" w:pos="9350"/>
        </w:tabs>
        <w:rPr>
          <w:rFonts w:eastAsiaTheme="minorEastAsia" w:cstheme="minorBidi"/>
          <w:i w:val="0"/>
          <w:iCs w:val="0"/>
          <w:noProof/>
          <w:sz w:val="22"/>
          <w:szCs w:val="22"/>
        </w:rPr>
      </w:pPr>
      <w:hyperlink w:anchor="_Toc137115894" w:history="1">
        <w:r w:rsidRPr="005561B2">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_Toc137115894 \h </w:instrText>
        </w:r>
        <w:r>
          <w:rPr>
            <w:noProof/>
            <w:webHidden/>
          </w:rPr>
          <w:fldChar w:fldCharType="separate"/>
        </w:r>
        <w:r>
          <w:rPr>
            <w:noProof/>
            <w:webHidden/>
          </w:rPr>
          <w:t>13</w:t>
        </w:r>
        <w:r>
          <w:rPr>
            <w:noProof/>
            <w:webHidden/>
          </w:rPr>
          <w:fldChar w:fldCharType="end"/>
        </w:r>
      </w:hyperlink>
    </w:p>
    <w:p w:rsidR="00A37D22" w14:paraId="208E5DD8" w14:textId="58A04CAB">
      <w:pPr>
        <w:pStyle w:val="TOC2"/>
        <w:tabs>
          <w:tab w:val="right" w:leader="underscore" w:pos="9350"/>
        </w:tabs>
        <w:rPr>
          <w:rFonts w:eastAsiaTheme="minorEastAsia" w:cstheme="minorBidi"/>
          <w:i w:val="0"/>
          <w:iCs w:val="0"/>
          <w:noProof/>
          <w:sz w:val="22"/>
          <w:szCs w:val="22"/>
        </w:rPr>
      </w:pPr>
      <w:hyperlink w:anchor="_Toc137115895" w:history="1">
        <w:r w:rsidRPr="005561B2">
          <w:rPr>
            <w:rStyle w:val="Hyperlink"/>
            <w:noProof/>
          </w:rPr>
          <w:t>References</w:t>
        </w:r>
        <w:r>
          <w:rPr>
            <w:noProof/>
            <w:webHidden/>
          </w:rPr>
          <w:tab/>
        </w:r>
        <w:r>
          <w:rPr>
            <w:noProof/>
            <w:webHidden/>
          </w:rPr>
          <w:fldChar w:fldCharType="begin"/>
        </w:r>
        <w:r>
          <w:rPr>
            <w:noProof/>
            <w:webHidden/>
          </w:rPr>
          <w:instrText xml:space="preserve"> PAGEREF _Toc137115895 \h </w:instrText>
        </w:r>
        <w:r>
          <w:rPr>
            <w:noProof/>
            <w:webHidden/>
          </w:rPr>
          <w:fldChar w:fldCharType="separate"/>
        </w:r>
        <w:r>
          <w:rPr>
            <w:noProof/>
            <w:webHidden/>
          </w:rPr>
          <w:t>14</w:t>
        </w:r>
        <w:r>
          <w:rPr>
            <w:noProof/>
            <w:webHidden/>
          </w:rPr>
          <w:fldChar w:fldCharType="end"/>
        </w:r>
      </w:hyperlink>
    </w:p>
    <w:p w:rsidR="00AD20DC" w:rsidRPr="000D1AE2" w:rsidP="00D87DC7" w14:paraId="520EF5AD" w14:textId="10B2D8ED">
      <w:pPr>
        <w:ind w:left="360" w:hanging="360"/>
      </w:pPr>
      <w:r w:rsidRPr="000D1AE2">
        <w:fldChar w:fldCharType="end"/>
      </w:r>
    </w:p>
    <w:p w:rsidR="00212102" w:rsidRPr="00212102" w:rsidP="00212102" w14:paraId="6922886D" w14:textId="77777777">
      <w:pPr>
        <w:spacing w:after="0"/>
        <w:rPr>
          <w:b/>
          <w:bCs/>
        </w:rPr>
      </w:pPr>
      <w:r w:rsidRPr="00212102">
        <w:rPr>
          <w:b/>
          <w:bCs/>
        </w:rPr>
        <w:t>Attachments</w:t>
      </w:r>
    </w:p>
    <w:p w:rsidR="00212102" w:rsidRPr="00512CC7" w:rsidP="00212102" w14:paraId="2CA48FC9" w14:textId="77777777">
      <w:pPr>
        <w:spacing w:after="0"/>
        <w:ind w:firstLine="180"/>
      </w:pPr>
      <w:r w:rsidRPr="00512CC7">
        <w:t>Attachment 1 – Authorizing Legislation</w:t>
      </w:r>
    </w:p>
    <w:p w:rsidR="00212102" w:rsidRPr="00512CC7" w:rsidP="00212102" w14:paraId="07299734" w14:textId="639BC726">
      <w:pPr>
        <w:spacing w:after="0"/>
        <w:ind w:firstLine="180"/>
      </w:pPr>
      <w:r w:rsidRPr="00512CC7">
        <w:t>Attachment 2 – 60-Day FRN</w:t>
      </w:r>
    </w:p>
    <w:p w:rsidR="00512CC7" w:rsidRPr="00CA6A85" w:rsidP="00212102" w14:paraId="7149E16B" w14:textId="71D06C9B">
      <w:pPr>
        <w:spacing w:after="0"/>
        <w:ind w:firstLine="180"/>
      </w:pPr>
      <w:r w:rsidRPr="00CA6A85">
        <w:t xml:space="preserve">Attachment </w:t>
      </w:r>
      <w:r w:rsidRPr="00CA6A85" w:rsidR="00F62024">
        <w:t>3</w:t>
      </w:r>
      <w:r w:rsidRPr="00CA6A85">
        <w:t xml:space="preserve"> – </w:t>
      </w:r>
      <w:r w:rsidR="00F957E5">
        <w:t>Questionnaires</w:t>
      </w:r>
    </w:p>
    <w:p w:rsidR="00212102" w:rsidRPr="00CA6A85" w:rsidP="00212102" w14:paraId="51B9E000" w14:textId="3732B504">
      <w:pPr>
        <w:spacing w:after="0"/>
        <w:ind w:firstLine="180"/>
      </w:pPr>
      <w:r w:rsidRPr="00CA6A85">
        <w:tab/>
        <w:t>Attachment 3a</w:t>
      </w:r>
      <w:r w:rsidRPr="00CA6A85">
        <w:t xml:space="preserve"> – Baseline Questionnaire</w:t>
      </w:r>
      <w:r w:rsidRPr="00CA6A85" w:rsidR="00C03227">
        <w:t xml:space="preserve"> (English)</w:t>
      </w:r>
    </w:p>
    <w:p w:rsidR="00C03227" w:rsidRPr="00CA6A85" w:rsidP="00CA6A85" w14:paraId="5403F103" w14:textId="21F2D7FC">
      <w:pPr>
        <w:spacing w:after="0"/>
        <w:ind w:firstLine="720"/>
      </w:pPr>
      <w:r w:rsidRPr="00CA6A85">
        <w:t>Attachment 3b – Baseline Questionnaire (Spanish)</w:t>
      </w:r>
    </w:p>
    <w:p w:rsidR="00212102" w:rsidRPr="00CA6A85" w:rsidP="00CA6A85" w14:paraId="3A9C813B" w14:textId="01C3592B">
      <w:pPr>
        <w:spacing w:after="0"/>
        <w:ind w:firstLine="720"/>
      </w:pPr>
      <w:r w:rsidRPr="00CA6A85">
        <w:t xml:space="preserve">Attachment </w:t>
      </w:r>
      <w:r w:rsidRPr="00CA6A85" w:rsidR="00512CC7">
        <w:t>3c</w:t>
      </w:r>
      <w:r w:rsidRPr="00CA6A85">
        <w:t xml:space="preserve"> – Pre-shift Questionnaire</w:t>
      </w:r>
      <w:r w:rsidRPr="00CA6A85" w:rsidR="00C03227">
        <w:t xml:space="preserve"> (English)</w:t>
      </w:r>
    </w:p>
    <w:p w:rsidR="00C03227" w:rsidRPr="00512CC7" w:rsidP="00CA6A85" w14:paraId="5A9E1C1B" w14:textId="7F9EDAA5">
      <w:pPr>
        <w:spacing w:after="0"/>
        <w:ind w:firstLine="720"/>
      </w:pPr>
      <w:r w:rsidRPr="00CA6A85">
        <w:t xml:space="preserve">Attachment </w:t>
      </w:r>
      <w:r w:rsidRPr="00CA6A85" w:rsidR="00512CC7">
        <w:t>3d</w:t>
      </w:r>
      <w:r w:rsidRPr="00CA6A85">
        <w:t xml:space="preserve"> – Pre-shift Questionnaire (Spanish)</w:t>
      </w:r>
    </w:p>
    <w:p w:rsidR="00212102" w:rsidRPr="00512CC7" w:rsidP="00CA6A85" w14:paraId="68698D6B" w14:textId="3E408543">
      <w:pPr>
        <w:spacing w:after="0"/>
        <w:ind w:firstLine="720"/>
      </w:pPr>
      <w:r w:rsidRPr="00512CC7">
        <w:t xml:space="preserve">Attachment </w:t>
      </w:r>
      <w:r w:rsidRPr="00512CC7" w:rsidR="00512CC7">
        <w:t>3e</w:t>
      </w:r>
      <w:r w:rsidRPr="00512CC7">
        <w:t xml:space="preserve"> – Post-shift Questionnaire</w:t>
      </w:r>
      <w:r w:rsidRPr="00512CC7" w:rsidR="00C03227">
        <w:t xml:space="preserve"> (English)</w:t>
      </w:r>
    </w:p>
    <w:p w:rsidR="00C03227" w:rsidRPr="00512CC7" w:rsidP="00CA6A85" w14:paraId="63176BDC" w14:textId="1284C273">
      <w:pPr>
        <w:spacing w:after="0"/>
        <w:ind w:firstLine="720"/>
      </w:pPr>
      <w:r w:rsidRPr="00512CC7">
        <w:t xml:space="preserve">Attachment </w:t>
      </w:r>
      <w:r w:rsidRPr="00512CC7" w:rsidR="00512CC7">
        <w:t>3f</w:t>
      </w:r>
      <w:r w:rsidRPr="00512CC7">
        <w:t xml:space="preserve"> – Post-shift Questionnaire (Spanish)</w:t>
      </w:r>
    </w:p>
    <w:p w:rsidR="00512CC7" w:rsidRPr="00512CC7" w:rsidP="00212102" w14:paraId="67F0F0EA" w14:textId="579E3F75">
      <w:pPr>
        <w:spacing w:after="0"/>
        <w:ind w:firstLine="180"/>
      </w:pPr>
      <w:r w:rsidRPr="00512CC7">
        <w:t>Attachment 4 – Actigraphy</w:t>
      </w:r>
    </w:p>
    <w:p w:rsidR="00512CC7" w:rsidRPr="00512CC7" w:rsidP="00212102" w14:paraId="4E5EB917" w14:textId="525DF84C">
      <w:pPr>
        <w:spacing w:after="0"/>
        <w:ind w:firstLine="180"/>
      </w:pPr>
      <w:r w:rsidRPr="00512CC7">
        <w:tab/>
        <w:t>Attachment 4a – Statement of Actigraphy Return (English)</w:t>
      </w:r>
    </w:p>
    <w:p w:rsidR="00512CC7" w:rsidRPr="00512CC7" w:rsidP="00212102" w14:paraId="7A0B5F56" w14:textId="2B23A38B">
      <w:pPr>
        <w:spacing w:after="0"/>
        <w:ind w:firstLine="180"/>
      </w:pPr>
      <w:r w:rsidRPr="00512CC7">
        <w:tab/>
        <w:t>Attachment 4b – Statement of Actigraphy Return (Spanish)</w:t>
      </w:r>
    </w:p>
    <w:p w:rsidR="00512CC7" w:rsidRPr="00512CC7" w:rsidP="00212102" w14:paraId="6A14E437" w14:textId="035046EC">
      <w:pPr>
        <w:spacing w:after="0"/>
        <w:ind w:firstLine="180"/>
      </w:pPr>
      <w:r w:rsidRPr="00512CC7">
        <w:t xml:space="preserve">Attachment </w:t>
      </w:r>
      <w:r w:rsidRPr="00512CC7">
        <w:t>5 - Focus Group and Interview Guides</w:t>
      </w:r>
    </w:p>
    <w:p w:rsidR="00212102" w:rsidRPr="00512CC7" w:rsidP="00CA6A85" w14:paraId="48B54279" w14:textId="4C452F7C">
      <w:pPr>
        <w:spacing w:after="0"/>
        <w:ind w:firstLine="720"/>
      </w:pPr>
      <w:r w:rsidRPr="00512CC7">
        <w:t>Attachment 5a</w:t>
      </w:r>
      <w:r w:rsidRPr="00512CC7">
        <w:t xml:space="preserve"> – Worker Focus group guide</w:t>
      </w:r>
      <w:r w:rsidRPr="00512CC7" w:rsidR="00C03227">
        <w:t xml:space="preserve"> (English)</w:t>
      </w:r>
    </w:p>
    <w:p w:rsidR="00C03227" w:rsidRPr="00512CC7" w:rsidP="00CA6A85" w14:paraId="7DE4CA74" w14:textId="045B2272">
      <w:pPr>
        <w:spacing w:after="0"/>
        <w:ind w:firstLine="720"/>
      </w:pPr>
      <w:r w:rsidRPr="00512CC7">
        <w:t xml:space="preserve">Attachment </w:t>
      </w:r>
      <w:r w:rsidRPr="00512CC7" w:rsidR="00512CC7">
        <w:t>5</w:t>
      </w:r>
      <w:r w:rsidRPr="00512CC7">
        <w:t>b – Worker Focus group guide (Spanish)</w:t>
      </w:r>
    </w:p>
    <w:p w:rsidR="00212102" w:rsidRPr="00512CC7" w:rsidP="00CA6A85" w14:paraId="011C51C4" w14:textId="2A4B4C99">
      <w:pPr>
        <w:spacing w:after="0"/>
        <w:ind w:firstLine="720"/>
      </w:pPr>
      <w:r w:rsidRPr="00512CC7">
        <w:t xml:space="preserve">Attachment </w:t>
      </w:r>
      <w:r w:rsidRPr="00512CC7" w:rsidR="00512CC7">
        <w:t>5c</w:t>
      </w:r>
      <w:r w:rsidRPr="00512CC7">
        <w:t xml:space="preserve"> – </w:t>
      </w:r>
      <w:r w:rsidR="003011D0">
        <w:t>Field-level</w:t>
      </w:r>
      <w:r w:rsidRPr="00512CC7">
        <w:t xml:space="preserve"> supervisor interview guide</w:t>
      </w:r>
    </w:p>
    <w:p w:rsidR="00212102" w:rsidRPr="00512CC7" w:rsidP="00CA6A85" w14:paraId="3352AE2E" w14:textId="25C66286">
      <w:pPr>
        <w:spacing w:after="0"/>
        <w:ind w:firstLine="720"/>
      </w:pPr>
      <w:r w:rsidRPr="00512CC7">
        <w:t xml:space="preserve">Attachment </w:t>
      </w:r>
      <w:r w:rsidRPr="00512CC7" w:rsidR="00512CC7">
        <w:t>5d</w:t>
      </w:r>
      <w:r w:rsidRPr="00512CC7">
        <w:t xml:space="preserve"> – Senior Leader interview guide</w:t>
      </w:r>
    </w:p>
    <w:p w:rsidR="00212102" w:rsidRPr="00512CC7" w:rsidP="00CA6A85" w14:paraId="50EA425B" w14:textId="46BE7975">
      <w:pPr>
        <w:spacing w:after="0"/>
        <w:ind w:firstLine="720"/>
      </w:pPr>
      <w:r w:rsidRPr="00512CC7">
        <w:t xml:space="preserve">Attachment </w:t>
      </w:r>
      <w:r w:rsidRPr="00512CC7" w:rsidR="00512CC7">
        <w:t>5e</w:t>
      </w:r>
      <w:r w:rsidRPr="00512CC7">
        <w:t xml:space="preserve"> – SME interview guide </w:t>
      </w:r>
    </w:p>
    <w:p w:rsidR="00C03227" w:rsidRPr="00512CC7" w:rsidP="00212102" w14:paraId="2E084938" w14:textId="70839082">
      <w:pPr>
        <w:spacing w:after="0"/>
        <w:ind w:firstLine="180"/>
      </w:pPr>
      <w:r w:rsidRPr="00512CC7">
        <w:t xml:space="preserve">Attachment </w:t>
      </w:r>
      <w:r w:rsidR="003011D0">
        <w:t>6</w:t>
      </w:r>
      <w:r w:rsidRPr="00512CC7">
        <w:t xml:space="preserve"> – Recruitment </w:t>
      </w:r>
    </w:p>
    <w:p w:rsidR="00512CC7" w:rsidRPr="00512CC7" w:rsidP="00212102" w14:paraId="6DBF5C21" w14:textId="2045425A">
      <w:pPr>
        <w:spacing w:after="0"/>
        <w:ind w:firstLine="180"/>
      </w:pPr>
      <w:r w:rsidRPr="00512CC7">
        <w:tab/>
        <w:t xml:space="preserve">Attachment </w:t>
      </w:r>
      <w:r w:rsidR="003011D0">
        <w:t>6</w:t>
      </w:r>
      <w:r w:rsidRPr="00512CC7">
        <w:t>a – Recruitment letter to companies</w:t>
      </w:r>
    </w:p>
    <w:p w:rsidR="00512CC7" w:rsidRPr="00512CC7" w:rsidP="00212102" w14:paraId="53CA242D" w14:textId="224C4EF4">
      <w:pPr>
        <w:spacing w:after="0"/>
        <w:ind w:firstLine="180"/>
      </w:pPr>
      <w:r w:rsidRPr="00512CC7">
        <w:tab/>
        <w:t xml:space="preserve">Attachment </w:t>
      </w:r>
      <w:r w:rsidR="003011D0">
        <w:t>6</w:t>
      </w:r>
      <w:r w:rsidRPr="00512CC7">
        <w:t>b – Recruitment flyer (English)</w:t>
      </w:r>
    </w:p>
    <w:p w:rsidR="00512CC7" w:rsidRPr="00512CC7" w:rsidP="00212102" w14:paraId="68DC6E8F" w14:textId="068804B2">
      <w:pPr>
        <w:spacing w:after="0"/>
        <w:ind w:firstLine="180"/>
      </w:pPr>
      <w:r w:rsidRPr="00512CC7">
        <w:tab/>
        <w:t xml:space="preserve">Attachment </w:t>
      </w:r>
      <w:r w:rsidR="003011D0">
        <w:t>6</w:t>
      </w:r>
      <w:r w:rsidRPr="00512CC7">
        <w:t>c – Recruitment flyer (Spanish)</w:t>
      </w:r>
    </w:p>
    <w:p w:rsidR="00C03227" w:rsidRPr="00512CC7" w:rsidP="00212102" w14:paraId="1188BB3F" w14:textId="2EE052B8">
      <w:pPr>
        <w:spacing w:after="0"/>
        <w:ind w:firstLine="180"/>
      </w:pPr>
      <w:r w:rsidRPr="00512CC7">
        <w:t xml:space="preserve">Attachment </w:t>
      </w:r>
      <w:r w:rsidR="003011D0">
        <w:t>7</w:t>
      </w:r>
      <w:r w:rsidRPr="00512CC7">
        <w:t xml:space="preserve"> – </w:t>
      </w:r>
      <w:r w:rsidRPr="00512CC7" w:rsidR="00512CC7">
        <w:t>Consent forms</w:t>
      </w:r>
    </w:p>
    <w:p w:rsidR="00512CC7" w:rsidRPr="00512CC7" w:rsidP="00212102" w14:paraId="0EF6E8AF" w14:textId="26799676">
      <w:pPr>
        <w:spacing w:after="0"/>
        <w:ind w:firstLine="180"/>
      </w:pPr>
      <w:r w:rsidRPr="00512CC7">
        <w:tab/>
        <w:t xml:space="preserve">Attachment </w:t>
      </w:r>
      <w:r w:rsidR="003011D0">
        <w:t>7</w:t>
      </w:r>
      <w:r w:rsidRPr="00512CC7">
        <w:t>a – Consent form Aim 1 (English)</w:t>
      </w:r>
    </w:p>
    <w:p w:rsidR="00512CC7" w:rsidRPr="00512CC7" w:rsidP="00212102" w14:paraId="09259723" w14:textId="3D3F789D">
      <w:pPr>
        <w:spacing w:after="0"/>
        <w:ind w:firstLine="180"/>
      </w:pPr>
      <w:r w:rsidRPr="00512CC7">
        <w:tab/>
        <w:t xml:space="preserve">Attachment </w:t>
      </w:r>
      <w:r w:rsidR="003011D0">
        <w:t>7</w:t>
      </w:r>
      <w:r w:rsidRPr="00512CC7">
        <w:t>b – Consent form Aim 1 (Spanish)</w:t>
      </w:r>
    </w:p>
    <w:p w:rsidR="00512CC7" w:rsidRPr="00512CC7" w:rsidP="00CA6A85" w14:paraId="5F8771B5" w14:textId="38B68854">
      <w:pPr>
        <w:spacing w:after="0"/>
        <w:ind w:firstLine="720"/>
      </w:pPr>
      <w:r w:rsidRPr="00512CC7">
        <w:t xml:space="preserve">Attachment </w:t>
      </w:r>
      <w:r w:rsidR="003011D0">
        <w:t>7</w:t>
      </w:r>
      <w:r w:rsidRPr="00512CC7">
        <w:t>c – Consent form Aim 2 and 3 (English)</w:t>
      </w:r>
    </w:p>
    <w:p w:rsidR="00512CC7" w:rsidRPr="00512CC7" w:rsidP="00512CC7" w14:paraId="627A2D21" w14:textId="7862626E">
      <w:pPr>
        <w:spacing w:after="0"/>
        <w:ind w:firstLine="180"/>
      </w:pPr>
      <w:r w:rsidRPr="00512CC7">
        <w:tab/>
        <w:t xml:space="preserve">Attachment </w:t>
      </w:r>
      <w:r w:rsidR="003011D0">
        <w:t>7</w:t>
      </w:r>
      <w:r w:rsidRPr="00512CC7">
        <w:t>d – Consent form Aim 2 and 3 (Spanish)</w:t>
      </w:r>
    </w:p>
    <w:p w:rsidR="00C03227" w:rsidRPr="00512CC7" w:rsidP="00212102" w14:paraId="2E9801F1" w14:textId="72DDAC59">
      <w:pPr>
        <w:spacing w:after="0"/>
        <w:ind w:firstLine="180"/>
      </w:pPr>
      <w:r w:rsidRPr="00512CC7">
        <w:t xml:space="preserve">Attachment </w:t>
      </w:r>
      <w:r w:rsidR="003011D0">
        <w:t>8</w:t>
      </w:r>
      <w:r w:rsidRPr="00512CC7">
        <w:t xml:space="preserve"> – </w:t>
      </w:r>
      <w:r w:rsidRPr="00512CC7" w:rsidR="00512CC7">
        <w:t>Field data collection Log</w:t>
      </w:r>
    </w:p>
    <w:p w:rsidR="00F62024" w:rsidRPr="00512CC7" w:rsidP="00F62024" w14:paraId="74552D16" w14:textId="7F205BCE">
      <w:pPr>
        <w:spacing w:after="0"/>
        <w:ind w:firstLine="180"/>
      </w:pPr>
      <w:r w:rsidRPr="00512CC7">
        <w:t xml:space="preserve">Attachment </w:t>
      </w:r>
      <w:r w:rsidR="003011D0">
        <w:t>9</w:t>
      </w:r>
      <w:r w:rsidRPr="00512CC7" w:rsidR="00512CC7">
        <w:t xml:space="preserve"> </w:t>
      </w:r>
      <w:r w:rsidRPr="00512CC7">
        <w:t>– IRB Determination</w:t>
      </w:r>
    </w:p>
    <w:p w:rsidR="00AD20DC" w:rsidRPr="00512CC7" w:rsidP="00212102" w14:paraId="4F40F583" w14:textId="38C3F9AD">
      <w:pPr>
        <w:spacing w:after="0"/>
        <w:ind w:firstLine="180"/>
      </w:pPr>
      <w:r w:rsidRPr="00512CC7">
        <w:br w:type="page"/>
      </w:r>
    </w:p>
    <w:p w:rsidR="00922603" w:rsidRPr="00D87DC7" w:rsidP="00D87DC7" w14:paraId="164025C6" w14:textId="449CBC26">
      <w:pPr>
        <w:pStyle w:val="ListParagraph"/>
        <w:numPr>
          <w:ilvl w:val="0"/>
          <w:numId w:val="2"/>
        </w:numPr>
        <w:rPr>
          <w:rFonts w:cstheme="minorHAnsi"/>
        </w:rPr>
      </w:pPr>
      <w:r>
        <w:rPr>
          <w:rFonts w:cstheme="minorHAnsi"/>
          <w:b/>
          <w:bCs/>
          <w:noProof/>
        </w:rPr>
        <mc:AlternateContent>
          <mc:Choice Requires="wps">
            <w:drawing>
              <wp:anchor distT="0" distB="0" distL="114300" distR="114300" simplePos="0" relativeHeight="251658240" behindDoc="0" locked="0" layoutInCell="1" allowOverlap="1">
                <wp:simplePos x="0" y="0"/>
                <wp:positionH relativeFrom="column">
                  <wp:posOffset>-243840</wp:posOffset>
                </wp:positionH>
                <wp:positionV relativeFrom="paragraph">
                  <wp:posOffset>-266700</wp:posOffset>
                </wp:positionV>
                <wp:extent cx="6416040" cy="3840480"/>
                <wp:effectExtent l="0" t="0" r="22860" b="2667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16040" cy="3840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05.2pt;height:302.4pt;margin-top:-21pt;margin-left:-19.2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D87DC7" w:rsidR="00D87DC7">
        <w:rPr>
          <w:rFonts w:cstheme="minorHAnsi"/>
          <w:b/>
          <w:bCs/>
        </w:rPr>
        <w:t>G</w:t>
      </w:r>
      <w:r w:rsidRPr="00D87DC7">
        <w:rPr>
          <w:rFonts w:cstheme="minorHAnsi"/>
          <w:b/>
          <w:bCs/>
        </w:rPr>
        <w:t>oals of this study</w:t>
      </w:r>
      <w:r w:rsidRPr="00D87DC7" w:rsidR="00D87DC7">
        <w:rPr>
          <w:rFonts w:cstheme="minorHAnsi"/>
          <w:b/>
          <w:bCs/>
        </w:rPr>
        <w:t>:</w:t>
      </w:r>
      <w:r w:rsidRPr="00D87DC7">
        <w:rPr>
          <w:rFonts w:cstheme="minorHAnsi"/>
        </w:rPr>
        <w:t xml:space="preserve"> </w:t>
      </w:r>
      <w:bookmarkStart w:id="0" w:name="_Hlk111706562"/>
      <w:r w:rsidRPr="00D87DC7">
        <w:rPr>
          <w:rFonts w:cstheme="minorHAnsi"/>
          <w:bCs/>
        </w:rPr>
        <w:t>1) Identify occupational and non-occupational determinants of fatigue in U.S. O</w:t>
      </w:r>
      <w:r w:rsidRPr="00D87DC7" w:rsidR="00D87DC7">
        <w:rPr>
          <w:rFonts w:cstheme="minorHAnsi"/>
          <w:bCs/>
        </w:rPr>
        <w:t xml:space="preserve">il and </w:t>
      </w:r>
      <w:r w:rsidRPr="00D87DC7">
        <w:rPr>
          <w:rFonts w:cstheme="minorHAnsi"/>
          <w:bCs/>
        </w:rPr>
        <w:t>G</w:t>
      </w:r>
      <w:r w:rsidRPr="00D87DC7" w:rsidR="00D87DC7">
        <w:rPr>
          <w:rFonts w:cstheme="minorHAnsi"/>
          <w:bCs/>
        </w:rPr>
        <w:t xml:space="preserve">as </w:t>
      </w:r>
      <w:r w:rsidRPr="00D87DC7">
        <w:rPr>
          <w:rFonts w:cstheme="minorHAnsi"/>
          <w:bCs/>
        </w:rPr>
        <w:t>E</w:t>
      </w:r>
      <w:r w:rsidRPr="00D87DC7" w:rsidR="00D87DC7">
        <w:rPr>
          <w:rFonts w:cstheme="minorHAnsi"/>
          <w:bCs/>
        </w:rPr>
        <w:t>xtraction (OGE)</w:t>
      </w:r>
      <w:r w:rsidRPr="00D87DC7">
        <w:rPr>
          <w:rFonts w:cstheme="minorHAnsi"/>
          <w:bCs/>
        </w:rPr>
        <w:t xml:space="preserve"> workers; 2) Identify worker and organizational factors to consider when developing and implementing fatigue management strategies in the OGE industry; and 3) Describe how fatigue mitigation strategies are currently being used in the onshore OGE industry.</w:t>
      </w:r>
      <w:bookmarkEnd w:id="0"/>
    </w:p>
    <w:p w:rsidR="00D87DC7" w:rsidRPr="00D87DC7" w:rsidP="00D87DC7" w14:paraId="5A1FF653" w14:textId="77777777">
      <w:pPr>
        <w:pStyle w:val="ListParagraph"/>
        <w:ind w:left="360"/>
        <w:rPr>
          <w:rFonts w:cstheme="minorHAnsi"/>
        </w:rPr>
      </w:pPr>
    </w:p>
    <w:p w:rsidR="00D87DC7" w:rsidRPr="00D87DC7" w:rsidP="00D87DC7" w14:paraId="5553EA15" w14:textId="19123034">
      <w:pPr>
        <w:pStyle w:val="ListParagraph"/>
        <w:numPr>
          <w:ilvl w:val="0"/>
          <w:numId w:val="2"/>
        </w:numPr>
        <w:rPr>
          <w:rFonts w:cstheme="minorHAnsi"/>
        </w:rPr>
      </w:pPr>
      <w:r w:rsidRPr="00D87DC7">
        <w:rPr>
          <w:rFonts w:cstheme="minorHAnsi"/>
          <w:b/>
          <w:bCs/>
        </w:rPr>
        <w:t>Intended use of the resulting data</w:t>
      </w:r>
      <w:r w:rsidRPr="00D87DC7">
        <w:rPr>
          <w:rFonts w:cstheme="minorHAnsi"/>
          <w:b/>
          <w:bCs/>
        </w:rPr>
        <w:t>:</w:t>
      </w:r>
      <w:r w:rsidRPr="00D87DC7">
        <w:rPr>
          <w:rFonts w:cstheme="minorHAnsi"/>
        </w:rPr>
        <w:t xml:space="preserve"> To guide the development of</w:t>
      </w:r>
      <w:r w:rsidRPr="00D87DC7" w:rsidR="00922603">
        <w:rPr>
          <w:rFonts w:cstheme="minorHAnsi"/>
        </w:rPr>
        <w:t xml:space="preserve"> targeted interventions</w:t>
      </w:r>
      <w:r w:rsidRPr="00D87DC7">
        <w:rPr>
          <w:rFonts w:cstheme="minorHAnsi"/>
        </w:rPr>
        <w:t xml:space="preserve">, </w:t>
      </w:r>
      <w:r w:rsidRPr="00D87DC7" w:rsidR="00922603">
        <w:rPr>
          <w:rFonts w:cstheme="minorHAnsi"/>
        </w:rPr>
        <w:t xml:space="preserve">training, and educational materials. </w:t>
      </w:r>
    </w:p>
    <w:p w:rsidR="00D87DC7" w:rsidRPr="00D87DC7" w:rsidP="00D87DC7" w14:paraId="1E2A3C31" w14:textId="77777777">
      <w:pPr>
        <w:pStyle w:val="ListParagraph"/>
        <w:ind w:left="360"/>
        <w:rPr>
          <w:rFonts w:cstheme="minorHAnsi"/>
        </w:rPr>
      </w:pPr>
    </w:p>
    <w:p w:rsidR="00D87DC7" w:rsidRPr="00D87DC7" w:rsidP="00D87DC7" w14:paraId="60BECB6F" w14:textId="2934166E">
      <w:pPr>
        <w:pStyle w:val="ListParagraph"/>
        <w:numPr>
          <w:ilvl w:val="0"/>
          <w:numId w:val="2"/>
        </w:numPr>
        <w:spacing w:after="0"/>
        <w:rPr>
          <w:rFonts w:cstheme="minorHAnsi"/>
        </w:rPr>
      </w:pPr>
      <w:r w:rsidRPr="00D87DC7">
        <w:rPr>
          <w:rFonts w:cstheme="minorHAnsi"/>
          <w:b/>
          <w:bCs/>
        </w:rPr>
        <w:t>Methods to be used to collect</w:t>
      </w:r>
      <w:r w:rsidRPr="00D87DC7">
        <w:rPr>
          <w:rFonts w:cstheme="minorHAnsi"/>
          <w:b/>
          <w:bCs/>
        </w:rPr>
        <w:t>:</w:t>
      </w:r>
      <w:r w:rsidRPr="00D87DC7">
        <w:rPr>
          <w:rFonts w:cstheme="minorHAnsi"/>
        </w:rPr>
        <w:t xml:space="preserve"> </w:t>
      </w:r>
      <w:r w:rsidRPr="00D87DC7" w:rsidR="00922603">
        <w:rPr>
          <w:rFonts w:cstheme="minorHAnsi"/>
        </w:rPr>
        <w:t xml:space="preserve">This study uses a multi-methods study design </w:t>
      </w:r>
      <w:r>
        <w:t>consisting of</w:t>
      </w:r>
      <w:r w:rsidR="00922603">
        <w:t xml:space="preserve"> an observational longitudinal </w:t>
      </w:r>
      <w:r w:rsidR="00721D62">
        <w:t xml:space="preserve">field </w:t>
      </w:r>
      <w:r w:rsidR="00922603">
        <w:t>study</w:t>
      </w:r>
      <w:r>
        <w:t xml:space="preserve"> and </w:t>
      </w:r>
      <w:r w:rsidR="00922603">
        <w:t xml:space="preserve">qualitative research methods. </w:t>
      </w:r>
    </w:p>
    <w:p w:rsidR="00D87DC7" w:rsidRPr="00D87DC7" w:rsidP="00D87DC7" w14:paraId="18F3C512" w14:textId="77777777">
      <w:pPr>
        <w:spacing w:after="0"/>
        <w:rPr>
          <w:rFonts w:cstheme="minorHAnsi"/>
        </w:rPr>
      </w:pPr>
    </w:p>
    <w:p w:rsidR="00D87DC7" w:rsidRPr="00486709" w:rsidP="00D87DC7" w14:paraId="06C66047" w14:textId="4F0D6286">
      <w:pPr>
        <w:pStyle w:val="ListParagraph"/>
        <w:numPr>
          <w:ilvl w:val="0"/>
          <w:numId w:val="2"/>
        </w:numPr>
        <w:rPr>
          <w:rFonts w:cstheme="minorHAnsi"/>
        </w:rPr>
      </w:pPr>
      <w:r w:rsidRPr="00D87DC7">
        <w:rPr>
          <w:rFonts w:cstheme="minorHAnsi"/>
          <w:b/>
          <w:bCs/>
        </w:rPr>
        <w:t>The subpopulation to be studied</w:t>
      </w:r>
      <w:r w:rsidRPr="00D87DC7">
        <w:rPr>
          <w:rFonts w:cstheme="minorHAnsi"/>
          <w:b/>
          <w:bCs/>
        </w:rPr>
        <w:t>:</w:t>
      </w:r>
      <w:r w:rsidRPr="00D87DC7">
        <w:rPr>
          <w:rFonts w:cstheme="minorHAnsi"/>
        </w:rPr>
        <w:t xml:space="preserve"> </w:t>
      </w:r>
      <w:r>
        <w:t xml:space="preserve">Land-based </w:t>
      </w:r>
      <w:r w:rsidR="00A736DF">
        <w:t xml:space="preserve">OGE </w:t>
      </w:r>
      <w:r>
        <w:t>workers in the U</w:t>
      </w:r>
      <w:r w:rsidR="00A736DF">
        <w:t xml:space="preserve">nited </w:t>
      </w:r>
      <w:r>
        <w:t>S</w:t>
      </w:r>
      <w:r w:rsidR="00A736DF">
        <w:t>tates</w:t>
      </w:r>
      <w:r>
        <w:t xml:space="preserve"> </w:t>
      </w:r>
      <w:r w:rsidRPr="00486709">
        <w:t xml:space="preserve">and scientific researchers who are subject matter experts in occupational fatigue. </w:t>
      </w:r>
    </w:p>
    <w:p w:rsidR="00D87DC7" w:rsidRPr="00D87DC7" w:rsidP="00D87DC7" w14:paraId="3BBC4993" w14:textId="77777777">
      <w:pPr>
        <w:pStyle w:val="ListParagraph"/>
        <w:ind w:left="360"/>
        <w:rPr>
          <w:rFonts w:cstheme="minorHAnsi"/>
        </w:rPr>
      </w:pPr>
    </w:p>
    <w:p w:rsidR="007E71A6" w:rsidRPr="00D87DC7" w:rsidP="00D87DC7" w14:paraId="03DFEBFC" w14:textId="7565FECB">
      <w:pPr>
        <w:pStyle w:val="ListParagraph"/>
        <w:numPr>
          <w:ilvl w:val="0"/>
          <w:numId w:val="2"/>
        </w:numPr>
        <w:rPr>
          <w:rFonts w:cstheme="minorHAnsi"/>
        </w:rPr>
      </w:pPr>
      <w:r w:rsidRPr="00D87DC7">
        <w:rPr>
          <w:rFonts w:cstheme="minorHAnsi"/>
          <w:b/>
          <w:bCs/>
        </w:rPr>
        <w:t>How data will be analyzed</w:t>
      </w:r>
      <w:r w:rsidRPr="00D87DC7" w:rsidR="00D87DC7">
        <w:rPr>
          <w:rFonts w:cstheme="minorHAnsi"/>
          <w:b/>
          <w:bCs/>
        </w:rPr>
        <w:t>:</w:t>
      </w:r>
      <w:r w:rsidRPr="00D87DC7" w:rsidR="00D87DC7">
        <w:rPr>
          <w:rFonts w:cstheme="minorHAnsi"/>
        </w:rPr>
        <w:t xml:space="preserve"> </w:t>
      </w:r>
      <w:r w:rsidRPr="00D87DC7" w:rsidR="00922603">
        <w:rPr>
          <w:rFonts w:cstheme="minorHAnsi"/>
        </w:rPr>
        <w:t xml:space="preserve">Quantitative data will be analyzed using multivariable analyses </w:t>
      </w:r>
      <w:r w:rsidRPr="00D87DC7" w:rsidR="00D87DC7">
        <w:rPr>
          <w:rFonts w:cstheme="minorHAnsi"/>
        </w:rPr>
        <w:t xml:space="preserve">with </w:t>
      </w:r>
      <w:r w:rsidRPr="00D87DC7" w:rsidR="00922603">
        <w:rPr>
          <w:rFonts w:cstheme="minorHAnsi"/>
        </w:rPr>
        <w:t>Generalized Linear Mixed Models</w:t>
      </w:r>
      <w:r w:rsidRPr="00D87DC7">
        <w:rPr>
          <w:rFonts w:cstheme="minorHAnsi"/>
        </w:rPr>
        <w:t>.</w:t>
      </w:r>
      <w:r w:rsidRPr="00D87DC7" w:rsidR="00D87DC7">
        <w:rPr>
          <w:rFonts w:cstheme="minorHAnsi"/>
        </w:rPr>
        <w:t xml:space="preserve"> </w:t>
      </w:r>
      <w:r w:rsidRPr="00D87DC7">
        <w:rPr>
          <w:rFonts w:cstheme="minorHAnsi"/>
        </w:rPr>
        <w:t>Qualitative data will be analyzed using several phases of qualitative coding (e.g., initial, focused, axial, and theoretical) to separate, sort, and synthesize the information to identify patterns and respective themes</w:t>
      </w:r>
      <w:r w:rsidRPr="00D87DC7" w:rsidR="00D87DC7">
        <w:rPr>
          <w:rFonts w:cstheme="minorHAnsi"/>
        </w:rPr>
        <w:t xml:space="preserve">. </w:t>
      </w:r>
    </w:p>
    <w:p w:rsidR="00561C24" w:rsidP="006567C8" w14:paraId="2773F229" w14:textId="77777777">
      <w:pPr>
        <w:rPr>
          <w:rFonts w:cstheme="minorHAnsi"/>
        </w:rPr>
      </w:pPr>
    </w:p>
    <w:p w:rsidR="00AD20DC" w14:paraId="7D1B474D" w14:textId="77777777">
      <w:pPr>
        <w:rPr>
          <w:rFonts w:eastAsiaTheme="majorEastAsia" w:cstheme="majorBidi"/>
          <w:color w:val="2F5496" w:themeColor="accent1" w:themeShade="BF"/>
        </w:rPr>
      </w:pPr>
      <w:r>
        <w:br w:type="page"/>
      </w:r>
    </w:p>
    <w:p w:rsidR="006567C8" w:rsidRPr="005A7812" w:rsidP="005A7812" w14:paraId="7255870E" w14:textId="57B60644">
      <w:pPr>
        <w:pStyle w:val="Heading1"/>
      </w:pPr>
      <w:bookmarkStart w:id="1" w:name="_Toc137115870"/>
      <w:r w:rsidRPr="005A7812">
        <w:t>A</w:t>
      </w:r>
      <w:r w:rsidRPr="005A7812" w:rsidR="00127216">
        <w:t>. Justification</w:t>
      </w:r>
      <w:bookmarkEnd w:id="1"/>
    </w:p>
    <w:p w:rsidR="006567C8" w:rsidP="00127216" w14:paraId="562B2855" w14:textId="588512D7">
      <w:pPr>
        <w:pStyle w:val="Heading2"/>
      </w:pPr>
      <w:bookmarkStart w:id="2" w:name="_Toc137115871"/>
      <w:r>
        <w:t>A.</w:t>
      </w:r>
      <w:r w:rsidRPr="00561C24">
        <w:t>1 Circumstances Making the Collection of Information Necessary</w:t>
      </w:r>
      <w:bookmarkEnd w:id="2"/>
    </w:p>
    <w:p w:rsidR="00AD20DC" w:rsidP="00AD20DC" w14:paraId="04309AF9" w14:textId="70DF1D26">
      <w:r w:rsidRPr="00AD20DC">
        <w:t xml:space="preserve">The Centers for Disease Control and Prevention (CDC), National Institute for Occupational Safety and Health (NIOSH) seeks approval from the Office of Management and Budget (OMB) to conduct a study involving </w:t>
      </w:r>
      <w:r>
        <w:t>oil and gas extraction (OGE) workers</w:t>
      </w:r>
      <w:r w:rsidRPr="00AD20DC">
        <w:t>. This is a new Information Collection Request (ICR), with approval requested for three years post-approval date. Data will be collected by NIOSH under Section 20(a) (1) of the Occupational Safety and Health Act (29 U.S.C.669) (</w:t>
      </w:r>
      <w:r w:rsidR="002715A3">
        <w:t>Attachment 1</w:t>
      </w:r>
      <w:r w:rsidRPr="00D6510B">
        <w:t>)</w:t>
      </w:r>
      <w:r w:rsidRPr="00AD20DC">
        <w:t>.</w:t>
      </w:r>
    </w:p>
    <w:p w:rsidR="00072B6D" w:rsidP="00072B6D" w14:paraId="50B9EB59" w14:textId="000E830B">
      <w:r>
        <w:t>Work-related fatigue has been described as a complex hazard stemming from a variety of occupational and non-occupational factors. Fatigue can impair workers’ alertness, affecting their ability to safely perform tasks and has been associated with increased risk for work injuries, motor vehicle crashes</w:t>
      </w:r>
      <w:r w:rsidR="006E61B2">
        <w:t xml:space="preserve"> (MVCs)</w:t>
      </w:r>
      <w:r>
        <w:t>, and long-term adverse health outcomes</w:t>
      </w:r>
      <w:r w:rsidRPr="008B45B9">
        <w:t>. [</w:t>
      </w:r>
      <w:r w:rsidRPr="008B45B9" w:rsidR="008B45B9">
        <w:t>1-4</w:t>
      </w:r>
      <w:r w:rsidRPr="008B45B9">
        <w:t>]</w:t>
      </w:r>
    </w:p>
    <w:p w:rsidR="006E61B2" w:rsidP="00072B6D" w14:paraId="43C4D72F" w14:textId="2102A7A1">
      <w:r w:rsidRPr="008F5501">
        <w:rPr>
          <w:rFonts w:cstheme="minorHAnsi"/>
        </w:rPr>
        <w:t>Fatigue is an important contributor to the high rates of occupational fatalities and MVC fatalities among OGE workers.</w:t>
      </w:r>
      <w:r>
        <w:rPr>
          <w:rFonts w:cstheme="minorHAnsi"/>
        </w:rPr>
        <w:t xml:space="preserve"> </w:t>
      </w:r>
      <w:r w:rsidRPr="0064384A">
        <w:rPr>
          <w:rFonts w:cstheme="minorHAnsi"/>
        </w:rPr>
        <w:t xml:space="preserve">The nature of work in the OGE industry </w:t>
      </w:r>
      <w:r>
        <w:rPr>
          <w:rFonts w:cstheme="minorHAnsi"/>
        </w:rPr>
        <w:t xml:space="preserve">includes long workdays, erratic work scheduling, hazardous exposures, </w:t>
      </w:r>
      <w:r w:rsidR="00A736DF">
        <w:rPr>
          <w:rFonts w:cstheme="minorHAnsi"/>
        </w:rPr>
        <w:t xml:space="preserve">and </w:t>
      </w:r>
      <w:r>
        <w:rPr>
          <w:rFonts w:cstheme="minorHAnsi"/>
        </w:rPr>
        <w:t xml:space="preserve">physically demanding work, which have all been associated with fatigue and </w:t>
      </w:r>
      <w:r w:rsidRPr="0064384A">
        <w:rPr>
          <w:rFonts w:cstheme="minorHAnsi"/>
        </w:rPr>
        <w:t>adverse safety and health outcomes</w:t>
      </w:r>
      <w:r>
        <w:rPr>
          <w:rFonts w:cstheme="minorHAnsi"/>
        </w:rPr>
        <w:t>.</w:t>
      </w:r>
      <w:r w:rsidRPr="00A63B7E">
        <w:rPr>
          <w:rFonts w:cstheme="minorHAnsi"/>
        </w:rPr>
        <w:t xml:space="preserve"> </w:t>
      </w:r>
      <w:r>
        <w:rPr>
          <w:rFonts w:cstheme="minorHAnsi"/>
          <w:noProof/>
        </w:rPr>
        <w:t>[</w:t>
      </w:r>
      <w:r w:rsidR="008B45B9">
        <w:rPr>
          <w:rFonts w:cstheme="minorHAnsi"/>
          <w:noProof/>
        </w:rPr>
        <w:t>4</w:t>
      </w:r>
      <w:r>
        <w:rPr>
          <w:rFonts w:cstheme="minorHAnsi"/>
          <w:noProof/>
        </w:rPr>
        <w:t>]</w:t>
      </w:r>
      <w:r>
        <w:rPr>
          <w:rFonts w:cstheme="minorHAnsi"/>
        </w:rPr>
        <w:t xml:space="preserve"> However, there is still much that needs to be explored regarding OGE worker fatigue. Understanding factors contributing to OGE worker fatigue will </w:t>
      </w:r>
      <w:r>
        <w:t>help develop effective, targeted fatigue mitigation strategies.</w:t>
      </w:r>
    </w:p>
    <w:p w:rsidR="006E61B2" w:rsidP="00072B6D" w14:paraId="6FA2EC07" w14:textId="767A1D48">
      <w:r>
        <w:rPr>
          <w:rFonts w:cstheme="minorHAnsi"/>
        </w:rPr>
        <w:t>T</w:t>
      </w:r>
      <w:r w:rsidRPr="003E7F77">
        <w:rPr>
          <w:rFonts w:cstheme="minorHAnsi"/>
        </w:rPr>
        <w:t>here are no</w:t>
      </w:r>
      <w:r>
        <w:rPr>
          <w:rFonts w:cstheme="minorHAnsi"/>
        </w:rPr>
        <w:t xml:space="preserve"> published</w:t>
      </w:r>
      <w:r w:rsidRPr="003E7F77">
        <w:rPr>
          <w:rFonts w:cstheme="minorHAnsi"/>
        </w:rPr>
        <w:t xml:space="preserve"> studies </w:t>
      </w:r>
      <w:r>
        <w:rPr>
          <w:rFonts w:cstheme="minorHAnsi"/>
        </w:rPr>
        <w:t>that</w:t>
      </w:r>
      <w:r w:rsidRPr="003E7F77">
        <w:rPr>
          <w:rFonts w:cstheme="minorHAnsi"/>
        </w:rPr>
        <w:t xml:space="preserve"> have specifically identified</w:t>
      </w:r>
      <w:r>
        <w:rPr>
          <w:rFonts w:cstheme="minorHAnsi"/>
        </w:rPr>
        <w:t xml:space="preserve"> and described the determinants of fatigue among U.S. onshore OGE workers</w:t>
      </w:r>
      <w:r w:rsidRPr="003E7F77">
        <w:rPr>
          <w:rFonts w:cstheme="minorHAnsi"/>
        </w:rPr>
        <w:t xml:space="preserve">. The few studies that have examined fatigue in the OGE industry have </w:t>
      </w:r>
      <w:r w:rsidRPr="00F62024">
        <w:rPr>
          <w:rFonts w:cstheme="minorHAnsi"/>
        </w:rPr>
        <w:t>focused on offshore</w:t>
      </w:r>
      <w:r w:rsidRPr="00EC2FC8">
        <w:rPr>
          <w:rFonts w:cstheme="minorHAnsi"/>
        </w:rPr>
        <w:t xml:space="preserve"> workers</w:t>
      </w:r>
      <w:r w:rsidRPr="003E7F77">
        <w:rPr>
          <w:rFonts w:cstheme="minorHAnsi"/>
        </w:rPr>
        <w:t xml:space="preserve">, despite 97% of the OGE work </w:t>
      </w:r>
      <w:r w:rsidRPr="00F62024">
        <w:rPr>
          <w:rFonts w:cstheme="minorHAnsi"/>
        </w:rPr>
        <w:t>occurring onshore.</w:t>
      </w:r>
      <w:r w:rsidRPr="003E7F77">
        <w:rPr>
          <w:rFonts w:cstheme="minorHAnsi"/>
        </w:rPr>
        <w:t xml:space="preserve"> </w:t>
      </w:r>
      <w:r>
        <w:rPr>
          <w:rFonts w:cstheme="minorHAnsi"/>
          <w:noProof/>
        </w:rPr>
        <w:t>[</w:t>
      </w:r>
      <w:r w:rsidR="008B45B9">
        <w:rPr>
          <w:rFonts w:cstheme="minorHAnsi"/>
          <w:noProof/>
        </w:rPr>
        <w:t>4-10</w:t>
      </w:r>
      <w:r>
        <w:rPr>
          <w:rFonts w:cstheme="minorHAnsi"/>
          <w:noProof/>
        </w:rPr>
        <w:t>]</w:t>
      </w:r>
      <w:r w:rsidRPr="003E7F77">
        <w:rPr>
          <w:rFonts w:cstheme="minorHAnsi"/>
        </w:rPr>
        <w:t xml:space="preserve"> While both onshore and offshore workers face difficult working conditions and long work hours, many onshore workers have the added burden of long commutes and driving long distances to and between remote well sites. These factors further</w:t>
      </w:r>
      <w:r w:rsidRPr="00A63B7E">
        <w:rPr>
          <w:rFonts w:cstheme="minorHAnsi"/>
        </w:rPr>
        <w:t xml:space="preserve"> extend the workday and</w:t>
      </w:r>
      <w:r>
        <w:rPr>
          <w:rFonts w:cstheme="minorHAnsi"/>
        </w:rPr>
        <w:t xml:space="preserve"> may</w:t>
      </w:r>
      <w:r w:rsidRPr="00A63B7E">
        <w:rPr>
          <w:rFonts w:cstheme="minorHAnsi"/>
        </w:rPr>
        <w:t xml:space="preserve"> increase fatigue risk for workers.</w:t>
      </w:r>
      <w:r w:rsidR="00F62024">
        <w:rPr>
          <w:rFonts w:cstheme="minorHAnsi"/>
        </w:rPr>
        <w:t xml:space="preserve"> Fatigue Risk Management Systems (FRMS) have been identified as a comprehensive approach to managing fatigue. </w:t>
      </w:r>
      <w:r w:rsidRPr="0078315E">
        <w:rPr>
          <w:rFonts w:cstheme="minorHAnsi"/>
        </w:rPr>
        <w:t xml:space="preserve">While FRMS </w:t>
      </w:r>
      <w:r>
        <w:rPr>
          <w:rFonts w:cstheme="minorHAnsi"/>
        </w:rPr>
        <w:t>ha</w:t>
      </w:r>
      <w:r w:rsidRPr="0078315E">
        <w:rPr>
          <w:rFonts w:cstheme="minorHAnsi"/>
        </w:rPr>
        <w:t xml:space="preserve">s only </w:t>
      </w:r>
      <w:r>
        <w:rPr>
          <w:rFonts w:cstheme="minorHAnsi"/>
        </w:rPr>
        <w:t xml:space="preserve">been formally </w:t>
      </w:r>
      <w:r w:rsidRPr="0078315E">
        <w:rPr>
          <w:rFonts w:cstheme="minorHAnsi"/>
        </w:rPr>
        <w:t xml:space="preserve">implemented in transportation subsectors such </w:t>
      </w:r>
      <w:r w:rsidR="00A736DF">
        <w:rPr>
          <w:rFonts w:cstheme="minorHAnsi"/>
        </w:rPr>
        <w:t xml:space="preserve">as </w:t>
      </w:r>
      <w:r w:rsidRPr="0078315E">
        <w:rPr>
          <w:rFonts w:cstheme="minorHAnsi"/>
        </w:rPr>
        <w:t>aviation and railroad, components of FRMS (e.g.</w:t>
      </w:r>
      <w:r w:rsidR="00A736DF">
        <w:rPr>
          <w:rFonts w:cstheme="minorHAnsi"/>
        </w:rPr>
        <w:t>,</w:t>
      </w:r>
      <w:r w:rsidRPr="0078315E">
        <w:rPr>
          <w:rFonts w:cstheme="minorHAnsi"/>
        </w:rPr>
        <w:t xml:space="preserve"> hours of work limits) may have been implemented by certain OGE companies</w:t>
      </w:r>
      <w:r>
        <w:rPr>
          <w:rFonts w:cstheme="minorHAnsi"/>
        </w:rPr>
        <w:t xml:space="preserve">. </w:t>
      </w:r>
      <w:r>
        <w:rPr>
          <w:rFonts w:cstheme="minorHAnsi"/>
          <w:noProof/>
        </w:rPr>
        <w:t>[</w:t>
      </w:r>
      <w:r w:rsidR="008B45B9">
        <w:rPr>
          <w:rFonts w:cstheme="minorHAnsi"/>
          <w:noProof/>
        </w:rPr>
        <w:t>11, 12</w:t>
      </w:r>
      <w:r>
        <w:rPr>
          <w:rFonts w:cstheme="minorHAnsi"/>
          <w:noProof/>
        </w:rPr>
        <w:t>]</w:t>
      </w:r>
      <w:r w:rsidRPr="0078315E">
        <w:rPr>
          <w:rFonts w:cstheme="minorHAnsi"/>
        </w:rPr>
        <w:t xml:space="preserve"> Learning</w:t>
      </w:r>
      <w:r w:rsidR="00832188">
        <w:rPr>
          <w:rFonts w:cstheme="minorHAnsi"/>
        </w:rPr>
        <w:t xml:space="preserve"> how FRMS</w:t>
      </w:r>
      <w:r w:rsidRPr="0078315E">
        <w:rPr>
          <w:rFonts w:cstheme="minorHAnsi"/>
        </w:rPr>
        <w:t xml:space="preserve"> ha</w:t>
      </w:r>
      <w:r w:rsidR="00832188">
        <w:rPr>
          <w:rFonts w:cstheme="minorHAnsi"/>
        </w:rPr>
        <w:t>ve</w:t>
      </w:r>
      <w:r w:rsidRPr="0078315E">
        <w:rPr>
          <w:rFonts w:cstheme="minorHAnsi"/>
        </w:rPr>
        <w:t xml:space="preserve"> been implemented will allow us to share </w:t>
      </w:r>
      <w:r w:rsidR="00832188">
        <w:rPr>
          <w:rFonts w:cstheme="minorHAnsi"/>
        </w:rPr>
        <w:t xml:space="preserve">information </w:t>
      </w:r>
      <w:r w:rsidRPr="0078315E">
        <w:rPr>
          <w:rFonts w:cstheme="minorHAnsi"/>
        </w:rPr>
        <w:t>across</w:t>
      </w:r>
      <w:r w:rsidR="00832188">
        <w:rPr>
          <w:rFonts w:cstheme="minorHAnsi"/>
        </w:rPr>
        <w:t xml:space="preserve"> the</w:t>
      </w:r>
      <w:r w:rsidRPr="0078315E">
        <w:rPr>
          <w:rFonts w:cstheme="minorHAnsi"/>
        </w:rPr>
        <w:t xml:space="preserve"> OGE </w:t>
      </w:r>
      <w:r w:rsidR="00832188">
        <w:rPr>
          <w:rFonts w:cstheme="minorHAnsi"/>
        </w:rPr>
        <w:t xml:space="preserve">industry </w:t>
      </w:r>
      <w:r w:rsidRPr="0078315E">
        <w:rPr>
          <w:rFonts w:cstheme="minorHAnsi"/>
        </w:rPr>
        <w:t>so that other organizations can adopt similar practices.</w:t>
      </w:r>
    </w:p>
    <w:p w:rsidR="0002284C" w:rsidP="00072B6D" w14:paraId="2B0F8D7F" w14:textId="176EF815">
      <w:r>
        <w:t>T</w:t>
      </w:r>
      <w:r w:rsidR="00072B6D">
        <w:t xml:space="preserve">he proposed research will examine occupational and non-occupational determinants of </w:t>
      </w:r>
      <w:r>
        <w:t>f</w:t>
      </w:r>
      <w:r w:rsidR="00072B6D">
        <w:t>atigue</w:t>
      </w:r>
      <w:r w:rsidR="00874F8D">
        <w:t>”</w:t>
      </w:r>
      <w:r w:rsidR="00072B6D">
        <w:t xml:space="preserve"> among U.S. onshore OGE workers. We will also identify worker and organizational factors critical to fatigue management in the OGE industry and explore how fatigue mitigation practices, such as FRMS, are currently being used by participating OGE companies.</w:t>
      </w:r>
    </w:p>
    <w:p w:rsidR="00570E96" w:rsidP="00AD20DC" w14:paraId="3DF8E8F3" w14:textId="3F3D1B4B">
      <w:pPr>
        <w:rPr>
          <w:rFonts w:cstheme="minorHAnsi"/>
        </w:rPr>
      </w:pPr>
      <w:r>
        <w:rPr>
          <w:rFonts w:cstheme="minorHAnsi"/>
        </w:rPr>
        <w:t>This study addresses NIOSH Strategic Plan intermediate goal 7.13:</w:t>
      </w:r>
    </w:p>
    <w:p w:rsidR="00570E96" w:rsidRPr="00570E96" w:rsidP="00570E96" w14:paraId="264CD41B" w14:textId="29A06F6B">
      <w:pPr>
        <w:pStyle w:val="ListParagraph"/>
        <w:numPr>
          <w:ilvl w:val="0"/>
          <w:numId w:val="7"/>
        </w:numPr>
        <w:rPr>
          <w:rFonts w:cstheme="minorHAnsi"/>
        </w:rPr>
      </w:pPr>
      <w:r>
        <w:t>Intermediate Goal 7.13 (Fatigue, Work organization, substance use/misuse): Employers, workers, professional organizations, and accrediting bodies use NIOSH information to prevent injuries associated with work organization factors that contribute to fatigue, prescription drugs (including opioids), illicit drugs, and substance use/misuse in the oil and gas extraction sector.</w:t>
      </w:r>
    </w:p>
    <w:p w:rsidR="00072B6D" w:rsidP="00AD20DC" w14:paraId="00231C5C" w14:textId="45C24EA3">
      <w:r w:rsidRPr="00A63B7E">
        <w:rPr>
          <w:rFonts w:cstheme="minorHAnsi"/>
        </w:rPr>
        <w:t>A</w:t>
      </w:r>
      <w:r w:rsidR="00F62024">
        <w:rPr>
          <w:rFonts w:cstheme="minorHAnsi"/>
        </w:rPr>
        <w:t>dditionally, a</w:t>
      </w:r>
      <w:r>
        <w:rPr>
          <w:rFonts w:cstheme="minorHAnsi"/>
        </w:rPr>
        <w:t xml:space="preserve"> recent NIOSH</w:t>
      </w:r>
      <w:r w:rsidRPr="00A63B7E">
        <w:rPr>
          <w:rFonts w:cstheme="minorHAnsi"/>
        </w:rPr>
        <w:t xml:space="preserve"> literature review</w:t>
      </w:r>
      <w:r>
        <w:rPr>
          <w:rFonts w:cstheme="minorHAnsi"/>
        </w:rPr>
        <w:t xml:space="preserve"> </w:t>
      </w:r>
      <w:r w:rsidRPr="00A63B7E">
        <w:rPr>
          <w:rFonts w:cstheme="minorHAnsi"/>
        </w:rPr>
        <w:t>outlined what is known on this topic and what research is needed in the OGE industry</w:t>
      </w:r>
      <w:r>
        <w:rPr>
          <w:rFonts w:cstheme="minorHAnsi"/>
        </w:rPr>
        <w:t>.</w:t>
      </w:r>
      <w:r>
        <w:rPr>
          <w:rFonts w:cstheme="minorHAnsi"/>
          <w:noProof/>
        </w:rPr>
        <w:t>[</w:t>
      </w:r>
      <w:r w:rsidR="008B45B9">
        <w:rPr>
          <w:rFonts w:cstheme="minorHAnsi"/>
          <w:noProof/>
        </w:rPr>
        <w:t>4</w:t>
      </w:r>
      <w:r>
        <w:rPr>
          <w:rFonts w:cstheme="minorHAnsi"/>
          <w:noProof/>
        </w:rPr>
        <w:t>]</w:t>
      </w:r>
      <w:r w:rsidRPr="00A63B7E">
        <w:rPr>
          <w:rFonts w:cstheme="minorHAnsi"/>
        </w:rPr>
        <w:t xml:space="preserve"> </w:t>
      </w:r>
      <w:r>
        <w:rPr>
          <w:rFonts w:cstheme="minorHAnsi"/>
        </w:rPr>
        <w:t xml:space="preserve">The study </w:t>
      </w:r>
      <w:r w:rsidR="00570E96">
        <w:rPr>
          <w:rFonts w:cstheme="minorHAnsi"/>
        </w:rPr>
        <w:t>referenced in this data collection request</w:t>
      </w:r>
      <w:r>
        <w:rPr>
          <w:rFonts w:cstheme="minorHAnsi"/>
        </w:rPr>
        <w:t xml:space="preserve"> </w:t>
      </w:r>
      <w:r w:rsidRPr="00A63B7E">
        <w:rPr>
          <w:rFonts w:cstheme="minorHAnsi"/>
        </w:rPr>
        <w:t xml:space="preserve">addresses four of </w:t>
      </w:r>
      <w:r w:rsidRPr="00A63B7E">
        <w:rPr>
          <w:rFonts w:cstheme="minorHAnsi"/>
        </w:rPr>
        <w:t xml:space="preserve">the five research gaps </w:t>
      </w:r>
      <w:r>
        <w:rPr>
          <w:rFonts w:cstheme="minorHAnsi"/>
        </w:rPr>
        <w:t>which includes</w:t>
      </w:r>
      <w:r w:rsidRPr="00A63B7E">
        <w:rPr>
          <w:rFonts w:cstheme="minorHAnsi"/>
        </w:rPr>
        <w:t>: build</w:t>
      </w:r>
      <w:r>
        <w:rPr>
          <w:rFonts w:cstheme="minorHAnsi"/>
        </w:rPr>
        <w:t>ing</w:t>
      </w:r>
      <w:r w:rsidRPr="00A63B7E">
        <w:rPr>
          <w:rFonts w:cstheme="minorHAnsi"/>
        </w:rPr>
        <w:t xml:space="preserve"> knowledge about the </w:t>
      </w:r>
      <w:r>
        <w:rPr>
          <w:rFonts w:cstheme="minorHAnsi"/>
        </w:rPr>
        <w:t>prevalence</w:t>
      </w:r>
      <w:r w:rsidRPr="00A63B7E">
        <w:rPr>
          <w:rFonts w:cstheme="minorHAnsi"/>
        </w:rPr>
        <w:t xml:space="preserve"> of fatigue; explor</w:t>
      </w:r>
      <w:r>
        <w:rPr>
          <w:rFonts w:cstheme="minorHAnsi"/>
        </w:rPr>
        <w:t>ing</w:t>
      </w:r>
      <w:r w:rsidRPr="00A63B7E">
        <w:rPr>
          <w:rFonts w:cstheme="minorHAnsi"/>
        </w:rPr>
        <w:t xml:space="preserve"> </w:t>
      </w:r>
      <w:r>
        <w:rPr>
          <w:rFonts w:cstheme="minorHAnsi"/>
        </w:rPr>
        <w:t>occupational</w:t>
      </w:r>
      <w:r w:rsidRPr="00A63B7E">
        <w:rPr>
          <w:rFonts w:cstheme="minorHAnsi"/>
        </w:rPr>
        <w:t xml:space="preserve"> and </w:t>
      </w:r>
      <w:r>
        <w:rPr>
          <w:rFonts w:cstheme="minorHAnsi"/>
        </w:rPr>
        <w:t>non-occupational</w:t>
      </w:r>
      <w:r w:rsidRPr="00A63B7E">
        <w:rPr>
          <w:rFonts w:cstheme="minorHAnsi"/>
        </w:rPr>
        <w:t xml:space="preserve"> risk factors; identif</w:t>
      </w:r>
      <w:r>
        <w:rPr>
          <w:rFonts w:cstheme="minorHAnsi"/>
        </w:rPr>
        <w:t>ying</w:t>
      </w:r>
      <w:r w:rsidRPr="00A63B7E">
        <w:rPr>
          <w:rFonts w:cstheme="minorHAnsi"/>
        </w:rPr>
        <w:t xml:space="preserve"> </w:t>
      </w:r>
      <w:r>
        <w:rPr>
          <w:rFonts w:cstheme="minorHAnsi"/>
        </w:rPr>
        <w:t>areas for future</w:t>
      </w:r>
      <w:r w:rsidRPr="00A63B7E">
        <w:rPr>
          <w:rFonts w:cstheme="minorHAnsi"/>
        </w:rPr>
        <w:t xml:space="preserve"> interventions; and increas</w:t>
      </w:r>
      <w:r>
        <w:rPr>
          <w:rFonts w:cstheme="minorHAnsi"/>
        </w:rPr>
        <w:t>ing</w:t>
      </w:r>
      <w:r w:rsidRPr="00A63B7E">
        <w:rPr>
          <w:rFonts w:cstheme="minorHAnsi"/>
        </w:rPr>
        <w:t xml:space="preserve"> the </w:t>
      </w:r>
      <w:r>
        <w:rPr>
          <w:rFonts w:cstheme="minorHAnsi"/>
        </w:rPr>
        <w:t>body of knowledge by sharing</w:t>
      </w:r>
      <w:r w:rsidRPr="00A63B7E">
        <w:rPr>
          <w:rFonts w:cstheme="minorHAnsi"/>
        </w:rPr>
        <w:t xml:space="preserve"> </w:t>
      </w:r>
      <w:r>
        <w:rPr>
          <w:rFonts w:cstheme="minorHAnsi"/>
        </w:rPr>
        <w:t>study results</w:t>
      </w:r>
      <w:r w:rsidRPr="00A63B7E">
        <w:rPr>
          <w:rFonts w:cstheme="minorHAnsi"/>
        </w:rPr>
        <w:t>.</w:t>
      </w:r>
      <w:r w:rsidR="00570E96">
        <w:rPr>
          <w:rFonts w:cstheme="minorHAnsi"/>
        </w:rPr>
        <w:t xml:space="preserve"> </w:t>
      </w:r>
    </w:p>
    <w:p w:rsidR="006567C8" w:rsidP="00127216" w14:paraId="50B735A5" w14:textId="30679147">
      <w:pPr>
        <w:pStyle w:val="Heading2"/>
      </w:pPr>
      <w:bookmarkStart w:id="3" w:name="_Toc137115872"/>
      <w:r>
        <w:t>A.</w:t>
      </w:r>
      <w:r w:rsidRPr="00561C24">
        <w:t>2. Purpose and Use of the Information Collection</w:t>
      </w:r>
      <w:bookmarkEnd w:id="3"/>
    </w:p>
    <w:p w:rsidR="001E7B26" w:rsidP="001E7B26" w14:paraId="49EE978C" w14:textId="4A4FAA3E">
      <w:r>
        <w:t xml:space="preserve">The purpose of this effort is to </w:t>
      </w:r>
      <w:r w:rsidR="005A309D">
        <w:t>collect data that will</w:t>
      </w:r>
      <w:r w:rsidR="009A1AEE">
        <w:t xml:space="preserve"> </w:t>
      </w:r>
      <w:r w:rsidRPr="00CB4F3C" w:rsidR="009A1AEE">
        <w:rPr>
          <w:rFonts w:cstheme="minorHAnsi"/>
          <w:bCs/>
        </w:rPr>
        <w:t xml:space="preserve">1) </w:t>
      </w:r>
      <w:r w:rsidR="009A1AEE">
        <w:rPr>
          <w:rFonts w:cstheme="minorHAnsi"/>
          <w:bCs/>
        </w:rPr>
        <w:t>Identify</w:t>
      </w:r>
      <w:r w:rsidRPr="00CB4F3C" w:rsidR="009A1AEE">
        <w:rPr>
          <w:rFonts w:cstheme="minorHAnsi"/>
          <w:bCs/>
        </w:rPr>
        <w:t xml:space="preserve"> occupational and non-occupational determinants of fatigue in U.S. </w:t>
      </w:r>
      <w:r w:rsidR="00DA75E4">
        <w:rPr>
          <w:rFonts w:cstheme="minorHAnsi"/>
          <w:bCs/>
        </w:rPr>
        <w:t xml:space="preserve">onshore </w:t>
      </w:r>
      <w:r w:rsidRPr="00CB4F3C" w:rsidR="009A1AEE">
        <w:rPr>
          <w:rFonts w:cstheme="minorHAnsi"/>
          <w:bCs/>
        </w:rPr>
        <w:t xml:space="preserve">OGE workers; 2) Identify </w:t>
      </w:r>
      <w:r w:rsidR="009A1AEE">
        <w:rPr>
          <w:rFonts w:cstheme="minorHAnsi"/>
          <w:bCs/>
        </w:rPr>
        <w:t>worker</w:t>
      </w:r>
      <w:r w:rsidRPr="00CB4F3C" w:rsidR="009A1AEE">
        <w:rPr>
          <w:rFonts w:cstheme="minorHAnsi"/>
          <w:bCs/>
        </w:rPr>
        <w:t xml:space="preserve"> </w:t>
      </w:r>
      <w:r w:rsidR="009A1AEE">
        <w:rPr>
          <w:rFonts w:cstheme="minorHAnsi"/>
          <w:bCs/>
        </w:rPr>
        <w:t xml:space="preserve">and organizational </w:t>
      </w:r>
      <w:r w:rsidRPr="00CB4F3C" w:rsidR="009A1AEE">
        <w:rPr>
          <w:rFonts w:cstheme="minorHAnsi"/>
          <w:bCs/>
        </w:rPr>
        <w:t xml:space="preserve">factors to consider when developing and implementing fatigue management strategies in the </w:t>
      </w:r>
      <w:r w:rsidR="00DA75E4">
        <w:rPr>
          <w:rFonts w:cstheme="minorHAnsi"/>
          <w:bCs/>
        </w:rPr>
        <w:t xml:space="preserve">onshore </w:t>
      </w:r>
      <w:r w:rsidRPr="00CB4F3C" w:rsidR="009A1AEE">
        <w:rPr>
          <w:rFonts w:cstheme="minorHAnsi"/>
          <w:bCs/>
        </w:rPr>
        <w:t>OGE industry</w:t>
      </w:r>
      <w:r w:rsidR="009A1AEE">
        <w:rPr>
          <w:rFonts w:cstheme="minorHAnsi"/>
          <w:bCs/>
        </w:rPr>
        <w:t>;</w:t>
      </w:r>
      <w:r w:rsidRPr="00CB4F3C" w:rsidR="009A1AEE">
        <w:rPr>
          <w:rFonts w:cstheme="minorHAnsi"/>
          <w:bCs/>
        </w:rPr>
        <w:t xml:space="preserve"> and 3) Describe how fatigue mitigation strategies </w:t>
      </w:r>
      <w:r w:rsidR="009A1AEE">
        <w:rPr>
          <w:rFonts w:cstheme="minorHAnsi"/>
          <w:bCs/>
        </w:rPr>
        <w:t>are currently being used in the</w:t>
      </w:r>
      <w:r w:rsidRPr="00CB4F3C" w:rsidR="009A1AEE">
        <w:rPr>
          <w:rFonts w:cstheme="minorHAnsi"/>
          <w:bCs/>
        </w:rPr>
        <w:t xml:space="preserve"> </w:t>
      </w:r>
      <w:r w:rsidR="00DA75E4">
        <w:rPr>
          <w:rFonts w:cstheme="minorHAnsi"/>
          <w:bCs/>
        </w:rPr>
        <w:t xml:space="preserve">U.S. </w:t>
      </w:r>
      <w:r w:rsidRPr="00CB4F3C" w:rsidR="009A1AEE">
        <w:rPr>
          <w:rFonts w:cstheme="minorHAnsi"/>
          <w:bCs/>
        </w:rPr>
        <w:t>onshore</w:t>
      </w:r>
      <w:r w:rsidR="00DA75E4">
        <w:rPr>
          <w:rFonts w:cstheme="minorHAnsi"/>
          <w:bCs/>
        </w:rPr>
        <w:t xml:space="preserve"> </w:t>
      </w:r>
      <w:r w:rsidRPr="00CB4F3C" w:rsidR="009A1AEE">
        <w:rPr>
          <w:rFonts w:cstheme="minorHAnsi"/>
          <w:bCs/>
        </w:rPr>
        <w:t>OGE industry.</w:t>
      </w:r>
      <w:r w:rsidR="005A309D">
        <w:t xml:space="preserve"> </w:t>
      </w:r>
    </w:p>
    <w:p w:rsidR="001E7B26" w:rsidP="001E7B26" w14:paraId="103D0B77" w14:textId="5ADB19F1">
      <w:r>
        <w:t xml:space="preserve">Data collected from this study will be summarized using descriptive statistics methods such as </w:t>
      </w:r>
      <w:r w:rsidRPr="003F3CD5">
        <w:rPr>
          <w:rFonts w:cstheme="minorHAnsi"/>
        </w:rPr>
        <w:t>means, medians, modes, and proportions as appropriate</w:t>
      </w:r>
      <w:r>
        <w:rPr>
          <w:rFonts w:cstheme="minorHAnsi"/>
        </w:rPr>
        <w:t xml:space="preserve">, </w:t>
      </w:r>
      <w:r w:rsidRPr="003F3CD5">
        <w:rPr>
          <w:rFonts w:cstheme="minorHAnsi"/>
        </w:rPr>
        <w:t>as well as standard deviations, box-and-whisker plots, stem-and-leaf plots, histograms, and other data visualization techniques.</w:t>
      </w:r>
      <w:r>
        <w:rPr>
          <w:rFonts w:cstheme="minorHAnsi"/>
        </w:rPr>
        <w:t xml:space="preserve"> </w:t>
      </w:r>
      <w:r w:rsidR="009A1AEE">
        <w:rPr>
          <w:rFonts w:cstheme="minorHAnsi"/>
        </w:rPr>
        <w:t>Findings from this study</w:t>
      </w:r>
      <w:r>
        <w:rPr>
          <w:rFonts w:cstheme="minorHAnsi"/>
        </w:rPr>
        <w:t xml:space="preserve"> will be used to i</w:t>
      </w:r>
      <w:r>
        <w:t xml:space="preserve">dentify determinants of fatigue among onshore OGE operations. Identifying these determinants can help companies </w:t>
      </w:r>
      <w:r w:rsidR="009A1AEE">
        <w:t>implement effective</w:t>
      </w:r>
      <w:r>
        <w:t xml:space="preserve"> </w:t>
      </w:r>
      <w:r w:rsidR="00E21B24">
        <w:t>FRMS</w:t>
      </w:r>
      <w:r>
        <w:t xml:space="preserve"> that will reduce fatigue-related incidents</w:t>
      </w:r>
      <w:r w:rsidR="009A1AEE">
        <w:t xml:space="preserve">. </w:t>
      </w:r>
    </w:p>
    <w:p w:rsidR="009A1AEE" w:rsidP="001E7B26" w14:paraId="39F0DD1E" w14:textId="6A571B63">
      <w:r>
        <w:t>NIOSH is committed to the concept of Research to Practice (r2p)</w:t>
      </w:r>
      <w:r w:rsidR="00721D62">
        <w:t xml:space="preserve"> (</w:t>
      </w:r>
      <w:hyperlink r:id="rId7" w:history="1">
        <w:r w:rsidRPr="005F0695" w:rsidR="00721D62">
          <w:rPr>
            <w:rStyle w:val="Hyperlink"/>
          </w:rPr>
          <w:t>https://www.cdc.gov/niosh/r2p/default.html</w:t>
        </w:r>
      </w:hyperlink>
      <w:r w:rsidR="00721D62">
        <w:t>)</w:t>
      </w:r>
      <w:r>
        <w:t xml:space="preserve">, meaning that we strive to ensure that NIOSH-generated knowledge is used to create practical interventions to reduce illness and injury among workers. We engage </w:t>
      </w:r>
      <w:r w:rsidR="0031694C">
        <w:t xml:space="preserve">partners </w:t>
      </w:r>
      <w:r>
        <w:t xml:space="preserve">(e.g., other government agencies, industry, subject matter experts, the workers themselves) throughout the process. This ensures that we focus on issues that are of importance to the workers of the specific industry and can be translated into </w:t>
      </w:r>
      <w:r w:rsidR="0031694C">
        <w:t xml:space="preserve">practical </w:t>
      </w:r>
      <w:r>
        <w:t>interventions and activities within that industry.</w:t>
      </w:r>
    </w:p>
    <w:p w:rsidR="009A1AEE" w:rsidP="001E7B26" w14:paraId="53403CAD" w14:textId="2AC299A1">
      <w:r>
        <w:t xml:space="preserve">If this study is not conducted, we would continue to rely on information from the offshore OGE workforce. By doing this, we risk </w:t>
      </w:r>
      <w:r w:rsidR="00D6510B">
        <w:t xml:space="preserve">mischaracterizing onshore OGE operations which </w:t>
      </w:r>
      <w:r w:rsidR="0002284C">
        <w:t>may place this workforce at an increased</w:t>
      </w:r>
      <w:r w:rsidR="0031694C">
        <w:t xml:space="preserve"> risk of</w:t>
      </w:r>
      <w:r w:rsidR="0002284C">
        <w:t xml:space="preserve"> fatigue </w:t>
      </w:r>
      <w:r w:rsidR="0031694C">
        <w:t>and related sequela</w:t>
      </w:r>
      <w:r w:rsidR="0002284C">
        <w:t xml:space="preserve">. </w:t>
      </w:r>
    </w:p>
    <w:p w:rsidR="0002284C" w:rsidRPr="001E7B26" w:rsidP="001E7B26" w14:paraId="3BB55C83" w14:textId="38FF1A7F">
      <w:r>
        <w:t xml:space="preserve">NIOSH has fully funded this study and is part of the NIOSH budget through Fiscal Year 2025. </w:t>
      </w:r>
    </w:p>
    <w:p w:rsidR="006567C8" w:rsidP="00127216" w14:paraId="1F91E2F2" w14:textId="736BA6CA">
      <w:pPr>
        <w:pStyle w:val="Heading2"/>
      </w:pPr>
      <w:bookmarkStart w:id="4" w:name="_Toc137115873"/>
      <w:r>
        <w:t>A.</w:t>
      </w:r>
      <w:r w:rsidRPr="00561C24">
        <w:t>3. Use of Improved Information Technology and Burden Reduction</w:t>
      </w:r>
      <w:bookmarkEnd w:id="4"/>
    </w:p>
    <w:p w:rsidR="00643E02" w:rsidP="008667EA" w14:paraId="083887AD" w14:textId="25FF21F2">
      <w:pPr>
        <w:pStyle w:val="CommentText"/>
        <w:rPr>
          <w:sz w:val="22"/>
          <w:szCs w:val="22"/>
        </w:rPr>
      </w:pPr>
      <w:r w:rsidRPr="003233EB">
        <w:rPr>
          <w:sz w:val="22"/>
          <w:szCs w:val="22"/>
        </w:rPr>
        <w:t>Questionnaires</w:t>
      </w:r>
      <w:r w:rsidR="00DA75E4">
        <w:rPr>
          <w:sz w:val="22"/>
          <w:szCs w:val="22"/>
        </w:rPr>
        <w:t xml:space="preserve"> (Attachments </w:t>
      </w:r>
      <w:r w:rsidR="00F957E5">
        <w:rPr>
          <w:sz w:val="22"/>
          <w:szCs w:val="22"/>
        </w:rPr>
        <w:t>3</w:t>
      </w:r>
      <w:r w:rsidR="005F323F">
        <w:rPr>
          <w:sz w:val="22"/>
          <w:szCs w:val="22"/>
        </w:rPr>
        <w:t xml:space="preserve"> a-f</w:t>
      </w:r>
      <w:r w:rsidR="00DA75E4">
        <w:rPr>
          <w:sz w:val="22"/>
          <w:szCs w:val="22"/>
        </w:rPr>
        <w:t>)</w:t>
      </w:r>
      <w:r w:rsidRPr="003233EB">
        <w:rPr>
          <w:sz w:val="22"/>
          <w:szCs w:val="22"/>
        </w:rPr>
        <w:t xml:space="preserve"> will be administered primarily using </w:t>
      </w:r>
      <w:r w:rsidRPr="003233EB">
        <w:rPr>
          <w:sz w:val="22"/>
          <w:szCs w:val="22"/>
        </w:rPr>
        <w:t>REDCap</w:t>
      </w:r>
      <w:r w:rsidRPr="003233EB" w:rsidR="008667EA">
        <w:rPr>
          <w:sz w:val="22"/>
          <w:szCs w:val="22"/>
        </w:rPr>
        <w:t>, a CDC</w:t>
      </w:r>
      <w:r w:rsidR="00935DDE">
        <w:rPr>
          <w:sz w:val="22"/>
          <w:szCs w:val="22"/>
        </w:rPr>
        <w:t>-</w:t>
      </w:r>
      <w:r w:rsidRPr="003233EB" w:rsidR="008667EA">
        <w:rPr>
          <w:sz w:val="22"/>
          <w:szCs w:val="22"/>
        </w:rPr>
        <w:t xml:space="preserve">approved secured system. Because well sites are often in </w:t>
      </w:r>
      <w:r w:rsidRPr="003233EB" w:rsidR="00F61977">
        <w:rPr>
          <w:sz w:val="22"/>
          <w:szCs w:val="22"/>
        </w:rPr>
        <w:t>remote</w:t>
      </w:r>
      <w:r w:rsidRPr="003233EB" w:rsidR="008667EA">
        <w:rPr>
          <w:sz w:val="22"/>
          <w:szCs w:val="22"/>
        </w:rPr>
        <w:t xml:space="preserve"> </w:t>
      </w:r>
      <w:r w:rsidR="0031694C">
        <w:rPr>
          <w:sz w:val="22"/>
          <w:szCs w:val="22"/>
        </w:rPr>
        <w:t>locations</w:t>
      </w:r>
      <w:r w:rsidRPr="003233EB" w:rsidR="0031694C">
        <w:rPr>
          <w:sz w:val="22"/>
          <w:szCs w:val="22"/>
        </w:rPr>
        <w:t xml:space="preserve"> </w:t>
      </w:r>
      <w:r w:rsidRPr="003233EB" w:rsidR="008667EA">
        <w:rPr>
          <w:sz w:val="22"/>
          <w:szCs w:val="22"/>
        </w:rPr>
        <w:t xml:space="preserve">without any wireless signals, the </w:t>
      </w:r>
      <w:r w:rsidRPr="003233EB" w:rsidR="008667EA">
        <w:rPr>
          <w:sz w:val="22"/>
          <w:szCs w:val="22"/>
        </w:rPr>
        <w:t>REDCap</w:t>
      </w:r>
      <w:r w:rsidRPr="003233EB" w:rsidR="008667EA">
        <w:rPr>
          <w:sz w:val="22"/>
          <w:szCs w:val="22"/>
        </w:rPr>
        <w:t xml:space="preserve"> offline application, which is specifically </w:t>
      </w:r>
      <w:r w:rsidR="0031694C">
        <w:rPr>
          <w:sz w:val="22"/>
          <w:szCs w:val="22"/>
        </w:rPr>
        <w:t>designed</w:t>
      </w:r>
      <w:r w:rsidRPr="003233EB" w:rsidR="008667EA">
        <w:rPr>
          <w:sz w:val="22"/>
          <w:szCs w:val="22"/>
        </w:rPr>
        <w:t xml:space="preserve"> to support data collection in field research settings</w:t>
      </w:r>
      <w:r w:rsidR="00E21B24">
        <w:rPr>
          <w:sz w:val="22"/>
          <w:szCs w:val="22"/>
        </w:rPr>
        <w:t>,</w:t>
      </w:r>
      <w:r w:rsidRPr="003233EB" w:rsidR="008667EA">
        <w:rPr>
          <w:sz w:val="22"/>
          <w:szCs w:val="22"/>
        </w:rPr>
        <w:t xml:space="preserve"> will be used.</w:t>
      </w:r>
      <w:r w:rsidRPr="003233EB">
        <w:rPr>
          <w:sz w:val="22"/>
          <w:szCs w:val="22"/>
        </w:rPr>
        <w:t xml:space="preserve"> Using the </w:t>
      </w:r>
      <w:r w:rsidRPr="003233EB">
        <w:rPr>
          <w:sz w:val="22"/>
          <w:szCs w:val="22"/>
        </w:rPr>
        <w:t>REDCap</w:t>
      </w:r>
      <w:r w:rsidRPr="003233EB">
        <w:rPr>
          <w:sz w:val="22"/>
          <w:szCs w:val="22"/>
        </w:rPr>
        <w:t xml:space="preserve"> tool to allow respondents to answer survey questions using a mobile tablet device provided by the researchers</w:t>
      </w:r>
      <w:r w:rsidR="00E21B24">
        <w:rPr>
          <w:sz w:val="22"/>
          <w:szCs w:val="22"/>
        </w:rPr>
        <w:t xml:space="preserve"> </w:t>
      </w:r>
      <w:r w:rsidRPr="003233EB">
        <w:rPr>
          <w:sz w:val="22"/>
          <w:szCs w:val="22"/>
        </w:rPr>
        <w:t xml:space="preserve">is anticipated to substantially reduce the time required to collect survey responses and aggregate responses. </w:t>
      </w:r>
      <w:r w:rsidRPr="003233EB" w:rsidR="008667EA">
        <w:rPr>
          <w:sz w:val="22"/>
          <w:szCs w:val="22"/>
        </w:rPr>
        <w:t xml:space="preserve">The sequence of survey questions </w:t>
      </w:r>
      <w:r w:rsidRPr="003233EB" w:rsidR="00BF14A6">
        <w:rPr>
          <w:sz w:val="22"/>
          <w:szCs w:val="22"/>
        </w:rPr>
        <w:t>includes</w:t>
      </w:r>
      <w:r w:rsidRPr="003233EB" w:rsidR="008667EA">
        <w:rPr>
          <w:sz w:val="22"/>
          <w:szCs w:val="22"/>
        </w:rPr>
        <w:t xml:space="preserve"> options to skip questions that are not applicable, to reduce participant burden</w:t>
      </w:r>
      <w:r w:rsidRPr="003233EB">
        <w:rPr>
          <w:sz w:val="22"/>
          <w:szCs w:val="22"/>
        </w:rPr>
        <w:t>.</w:t>
      </w:r>
      <w:r w:rsidRPr="003233EB" w:rsidR="008667EA">
        <w:rPr>
          <w:sz w:val="22"/>
          <w:szCs w:val="22"/>
        </w:rPr>
        <w:t xml:space="preserve"> All survey data will be recorded on the devices while on offline </w:t>
      </w:r>
      <w:r w:rsidRPr="003233EB" w:rsidR="00F61977">
        <w:rPr>
          <w:sz w:val="22"/>
          <w:szCs w:val="22"/>
        </w:rPr>
        <w:t>mode and</w:t>
      </w:r>
      <w:r w:rsidRPr="003233EB" w:rsidR="008667EA">
        <w:rPr>
          <w:sz w:val="22"/>
          <w:szCs w:val="22"/>
        </w:rPr>
        <w:t xml:space="preserve"> </w:t>
      </w:r>
      <w:r w:rsidR="0031694C">
        <w:rPr>
          <w:sz w:val="22"/>
          <w:szCs w:val="22"/>
        </w:rPr>
        <w:t xml:space="preserve">then </w:t>
      </w:r>
      <w:r w:rsidRPr="003233EB" w:rsidR="008667EA">
        <w:rPr>
          <w:sz w:val="22"/>
          <w:szCs w:val="22"/>
        </w:rPr>
        <w:t>transferred to a secured CDC password-protected server.</w:t>
      </w:r>
      <w:r w:rsidRPr="003233EB">
        <w:rPr>
          <w:sz w:val="22"/>
          <w:szCs w:val="22"/>
        </w:rPr>
        <w:t xml:space="preserve"> </w:t>
      </w:r>
      <w:r w:rsidRPr="003233EB" w:rsidR="00F61977">
        <w:rPr>
          <w:sz w:val="22"/>
          <w:szCs w:val="22"/>
        </w:rPr>
        <w:t xml:space="preserve">Participants will </w:t>
      </w:r>
      <w:r w:rsidR="002715A3">
        <w:rPr>
          <w:sz w:val="22"/>
          <w:szCs w:val="22"/>
        </w:rPr>
        <w:t xml:space="preserve">also </w:t>
      </w:r>
      <w:r w:rsidRPr="003233EB" w:rsidR="00F61977">
        <w:rPr>
          <w:sz w:val="22"/>
          <w:szCs w:val="22"/>
        </w:rPr>
        <w:t xml:space="preserve">have the option of completing the questionnaires on </w:t>
      </w:r>
      <w:r w:rsidR="002715A3">
        <w:rPr>
          <w:sz w:val="22"/>
          <w:szCs w:val="22"/>
        </w:rPr>
        <w:t>paper</w:t>
      </w:r>
      <w:r w:rsidRPr="003233EB" w:rsidR="00F61977">
        <w:rPr>
          <w:sz w:val="22"/>
          <w:szCs w:val="22"/>
        </w:rPr>
        <w:t xml:space="preserve">, </w:t>
      </w:r>
      <w:r w:rsidR="0031694C">
        <w:rPr>
          <w:sz w:val="22"/>
          <w:szCs w:val="22"/>
        </w:rPr>
        <w:t>based on</w:t>
      </w:r>
      <w:r w:rsidRPr="003233EB" w:rsidR="00F61977">
        <w:rPr>
          <w:sz w:val="22"/>
          <w:szCs w:val="22"/>
        </w:rPr>
        <w:t xml:space="preserve"> preference. We are prepared to assist with the survey, upon participant request. </w:t>
      </w:r>
      <w:r w:rsidRPr="003233EB" w:rsidR="00E90900">
        <w:rPr>
          <w:sz w:val="22"/>
          <w:szCs w:val="22"/>
        </w:rPr>
        <w:t xml:space="preserve">All study instruments will be available in both English and Spanish. </w:t>
      </w:r>
    </w:p>
    <w:p w:rsidR="002715A3" w:rsidP="008667EA" w14:paraId="6357DBDE" w14:textId="4C58044E">
      <w:pPr>
        <w:pStyle w:val="CommentText"/>
        <w:rPr>
          <w:sz w:val="22"/>
          <w:szCs w:val="22"/>
        </w:rPr>
      </w:pPr>
      <w:r>
        <w:rPr>
          <w:sz w:val="22"/>
          <w:szCs w:val="22"/>
        </w:rPr>
        <w:t xml:space="preserve">Psychomotor Vigilance Task (PVT) tests will be administered using the </w:t>
      </w:r>
      <w:r w:rsidRPr="002715A3">
        <w:rPr>
          <w:sz w:val="22"/>
          <w:szCs w:val="22"/>
        </w:rPr>
        <w:t>NASA PVT+</w:t>
      </w:r>
      <w:r>
        <w:rPr>
          <w:sz w:val="22"/>
          <w:szCs w:val="22"/>
        </w:rPr>
        <w:t xml:space="preserve"> application on electronic tablets</w:t>
      </w:r>
      <w:r w:rsidR="00DB10FA">
        <w:rPr>
          <w:sz w:val="22"/>
          <w:szCs w:val="22"/>
        </w:rPr>
        <w:t xml:space="preserve"> (no instrument to attach for the PVT)</w:t>
      </w:r>
      <w:r>
        <w:rPr>
          <w:sz w:val="22"/>
          <w:szCs w:val="22"/>
        </w:rPr>
        <w:t xml:space="preserve">. </w:t>
      </w:r>
      <w:r w:rsidRPr="003233EB">
        <w:rPr>
          <w:sz w:val="22"/>
          <w:szCs w:val="22"/>
        </w:rPr>
        <w:t xml:space="preserve">All data will be recorded on the devices while on offline mode and transferred to a secured CDC password-protected server. </w:t>
      </w:r>
      <w:r>
        <w:rPr>
          <w:sz w:val="22"/>
          <w:szCs w:val="22"/>
        </w:rPr>
        <w:t xml:space="preserve"> </w:t>
      </w:r>
    </w:p>
    <w:p w:rsidR="002715A3" w:rsidRPr="003233EB" w:rsidP="008667EA" w14:paraId="2077442A" w14:textId="47C616DB">
      <w:pPr>
        <w:pStyle w:val="CommentText"/>
        <w:rPr>
          <w:sz w:val="22"/>
          <w:szCs w:val="22"/>
        </w:rPr>
      </w:pPr>
      <w:r>
        <w:rPr>
          <w:sz w:val="22"/>
          <w:szCs w:val="22"/>
        </w:rPr>
        <w:t xml:space="preserve">Actigraphy measures will be captured using the Phillips </w:t>
      </w:r>
      <w:r>
        <w:rPr>
          <w:sz w:val="22"/>
          <w:szCs w:val="22"/>
        </w:rPr>
        <w:t>Actiwatch</w:t>
      </w:r>
      <w:bookmarkStart w:id="5" w:name="_Hlk121919009"/>
      <w:r w:rsidR="00DB10FA">
        <w:rPr>
          <w:sz w:val="22"/>
          <w:szCs w:val="22"/>
        </w:rPr>
        <w:t xml:space="preserve"> (</w:t>
      </w:r>
      <w:r w:rsidR="00F957E5">
        <w:rPr>
          <w:sz w:val="22"/>
          <w:szCs w:val="22"/>
        </w:rPr>
        <w:t>Attachment 4</w:t>
      </w:r>
      <w:r w:rsidR="00DB10FA">
        <w:rPr>
          <w:sz w:val="22"/>
          <w:szCs w:val="22"/>
        </w:rPr>
        <w:t>)</w:t>
      </w:r>
      <w:r w:rsidR="007F7470">
        <w:rPr>
          <w:sz w:val="22"/>
          <w:szCs w:val="22"/>
        </w:rPr>
        <w:t xml:space="preserve">, a </w:t>
      </w:r>
      <w:r w:rsidRPr="007F7470" w:rsidR="007F7470">
        <w:rPr>
          <w:sz w:val="22"/>
          <w:szCs w:val="22"/>
        </w:rPr>
        <w:t>small wristwatch-like device that is non-intrusive and records limb activity as a measure of sleep-wake movement</w:t>
      </w:r>
      <w:bookmarkEnd w:id="5"/>
      <w:r w:rsidRPr="007F7470" w:rsidR="007F7470">
        <w:rPr>
          <w:sz w:val="22"/>
          <w:szCs w:val="22"/>
        </w:rPr>
        <w:t>. The actigraphy watch will continuously and passively record</w:t>
      </w:r>
      <w:r w:rsidR="007F7470">
        <w:rPr>
          <w:sz w:val="22"/>
          <w:szCs w:val="22"/>
        </w:rPr>
        <w:t xml:space="preserve"> during </w:t>
      </w:r>
      <w:r w:rsidR="0031694C">
        <w:rPr>
          <w:sz w:val="22"/>
          <w:szCs w:val="22"/>
        </w:rPr>
        <w:t xml:space="preserve">the </w:t>
      </w:r>
      <w:r w:rsidR="007F7470">
        <w:rPr>
          <w:sz w:val="22"/>
          <w:szCs w:val="22"/>
        </w:rPr>
        <w:t xml:space="preserve">study period. Data is recorded on the device and </w:t>
      </w:r>
      <w:r w:rsidR="0031694C">
        <w:rPr>
          <w:sz w:val="22"/>
          <w:szCs w:val="22"/>
        </w:rPr>
        <w:t xml:space="preserve">then </w:t>
      </w:r>
      <w:r w:rsidRPr="003233EB" w:rsidR="007F7470">
        <w:rPr>
          <w:sz w:val="22"/>
          <w:szCs w:val="22"/>
        </w:rPr>
        <w:t xml:space="preserve">transferred to a secured CDC password-protected server. </w:t>
      </w:r>
      <w:r w:rsidR="007F7470">
        <w:rPr>
          <w:sz w:val="22"/>
          <w:szCs w:val="22"/>
        </w:rPr>
        <w:t xml:space="preserve"> </w:t>
      </w:r>
    </w:p>
    <w:p w:rsidR="00E90900" w:rsidRPr="007F7470" w:rsidP="007F7470" w14:paraId="4E8569AB" w14:textId="46D0DE9F">
      <w:pPr>
        <w:pStyle w:val="CommentText"/>
        <w:rPr>
          <w:sz w:val="22"/>
          <w:szCs w:val="22"/>
        </w:rPr>
      </w:pPr>
      <w:r w:rsidRPr="003233EB">
        <w:rPr>
          <w:sz w:val="22"/>
          <w:szCs w:val="22"/>
        </w:rPr>
        <w:t>Trained NIOSH study team members will be leading focus group sessions and conducting interviews</w:t>
      </w:r>
      <w:r w:rsidR="00DB10FA">
        <w:rPr>
          <w:sz w:val="22"/>
          <w:szCs w:val="22"/>
        </w:rPr>
        <w:t xml:space="preserve"> (Attachments </w:t>
      </w:r>
      <w:r w:rsidR="00F957E5">
        <w:rPr>
          <w:sz w:val="22"/>
          <w:szCs w:val="22"/>
        </w:rPr>
        <w:t>5</w:t>
      </w:r>
      <w:r w:rsidR="005F323F">
        <w:rPr>
          <w:sz w:val="22"/>
          <w:szCs w:val="22"/>
        </w:rPr>
        <w:t>a-e</w:t>
      </w:r>
      <w:r w:rsidR="00DB10FA">
        <w:rPr>
          <w:sz w:val="22"/>
          <w:szCs w:val="22"/>
        </w:rPr>
        <w:t>)</w:t>
      </w:r>
      <w:r w:rsidRPr="003233EB">
        <w:rPr>
          <w:sz w:val="22"/>
          <w:szCs w:val="22"/>
        </w:rPr>
        <w:t>. Conducting focus groups and interviews allows for richer and</w:t>
      </w:r>
      <w:r w:rsidR="0031694C">
        <w:rPr>
          <w:sz w:val="22"/>
          <w:szCs w:val="22"/>
        </w:rPr>
        <w:t xml:space="preserve"> more</w:t>
      </w:r>
      <w:r w:rsidRPr="003233EB">
        <w:rPr>
          <w:sz w:val="22"/>
          <w:szCs w:val="22"/>
        </w:rPr>
        <w:t xml:space="preserve"> detailed responses than written ones. </w:t>
      </w:r>
    </w:p>
    <w:p w:rsidR="006567C8" w:rsidP="00127216" w14:paraId="3ABC15E3" w14:textId="3677B08A">
      <w:pPr>
        <w:pStyle w:val="Heading2"/>
      </w:pPr>
      <w:bookmarkStart w:id="6" w:name="_Toc137115874"/>
      <w:r>
        <w:t>A.</w:t>
      </w:r>
      <w:r w:rsidRPr="00561C24">
        <w:t>4. Efforts to Identify Duplication and Use of Similar Information</w:t>
      </w:r>
      <w:bookmarkEnd w:id="6"/>
    </w:p>
    <w:p w:rsidR="000D0F09" w:rsidRPr="000D0F09" w:rsidP="00643E02" w14:paraId="28BC7ABF" w14:textId="255FF500">
      <w:pPr>
        <w:spacing w:line="240" w:lineRule="auto"/>
      </w:pPr>
      <w:r w:rsidRPr="00643E02">
        <w:rPr>
          <w:rFonts w:cstheme="minorHAnsi"/>
        </w:rPr>
        <w:t>This effort is not duplicative. In developing this proposal,</w:t>
      </w:r>
      <w:r w:rsidR="00FC5700">
        <w:rPr>
          <w:rFonts w:cstheme="minorHAnsi"/>
        </w:rPr>
        <w:t xml:space="preserve"> we conducted</w:t>
      </w:r>
      <w:r w:rsidRPr="00643E02">
        <w:rPr>
          <w:rFonts w:cstheme="minorHAnsi"/>
        </w:rPr>
        <w:t xml:space="preserve"> a literature search</w:t>
      </w:r>
      <w:r w:rsidR="000A6E65">
        <w:rPr>
          <w:rFonts w:cstheme="minorHAnsi"/>
        </w:rPr>
        <w:t xml:space="preserve"> to identify </w:t>
      </w:r>
      <w:r w:rsidR="005742FC">
        <w:rPr>
          <w:rFonts w:cstheme="minorHAnsi"/>
        </w:rPr>
        <w:t>studies focused on</w:t>
      </w:r>
      <w:r w:rsidR="000A6E65">
        <w:rPr>
          <w:rFonts w:cstheme="minorHAnsi"/>
        </w:rPr>
        <w:t xml:space="preserve"> fatigue and fatigue risk management among onshore OGE </w:t>
      </w:r>
      <w:r w:rsidR="00F53BB1">
        <w:rPr>
          <w:rFonts w:cstheme="minorHAnsi"/>
        </w:rPr>
        <w:t xml:space="preserve">operations. </w:t>
      </w:r>
      <w:r w:rsidR="0086560B">
        <w:rPr>
          <w:rFonts w:cstheme="minorHAnsi"/>
        </w:rPr>
        <w:t xml:space="preserve">We found </w:t>
      </w:r>
      <w:r w:rsidRPr="00643E02" w:rsidR="00643E02">
        <w:rPr>
          <w:rFonts w:cstheme="minorHAnsi"/>
        </w:rPr>
        <w:t xml:space="preserve"> </w:t>
      </w:r>
      <w:r w:rsidR="005742FC">
        <w:rPr>
          <w:rFonts w:cstheme="minorHAnsi"/>
        </w:rPr>
        <w:t xml:space="preserve">there is a paucity of studies on this topic, and </w:t>
      </w:r>
      <w:r w:rsidR="00FC64C2">
        <w:rPr>
          <w:rFonts w:cstheme="minorHAnsi"/>
        </w:rPr>
        <w:t xml:space="preserve">most of the current literature is </w:t>
      </w:r>
      <w:r w:rsidRPr="00643E02" w:rsidR="00643E02">
        <w:rPr>
          <w:rFonts w:cstheme="minorHAnsi"/>
        </w:rPr>
        <w:t xml:space="preserve">limited offshore </w:t>
      </w:r>
      <w:r w:rsidR="00FC64C2">
        <w:rPr>
          <w:rFonts w:cstheme="minorHAnsi"/>
        </w:rPr>
        <w:t>OGE operations</w:t>
      </w:r>
      <w:r w:rsidRPr="00F62024" w:rsidR="00643E02">
        <w:rPr>
          <w:rFonts w:cstheme="minorHAnsi"/>
        </w:rPr>
        <w:t>.</w:t>
      </w:r>
      <w:r w:rsidRPr="00F62024" w:rsidR="00643E02">
        <w:rPr>
          <w:rFonts w:cstheme="minorHAnsi"/>
          <w:noProof/>
        </w:rPr>
        <w:t>[</w:t>
      </w:r>
      <w:r w:rsidRPr="00F62024" w:rsidR="008B45B9">
        <w:rPr>
          <w:rFonts w:cstheme="minorHAnsi"/>
          <w:noProof/>
        </w:rPr>
        <w:t>4</w:t>
      </w:r>
      <w:r w:rsidRPr="00F62024" w:rsidR="00643E02">
        <w:rPr>
          <w:rFonts w:cstheme="minorHAnsi"/>
          <w:noProof/>
        </w:rPr>
        <w:t xml:space="preserve">, </w:t>
      </w:r>
      <w:r w:rsidRPr="00F62024" w:rsidR="008B45B9">
        <w:rPr>
          <w:rFonts w:cstheme="minorHAnsi"/>
          <w:noProof/>
        </w:rPr>
        <w:t>6</w:t>
      </w:r>
      <w:r w:rsidRPr="00F62024" w:rsidR="00643E02">
        <w:rPr>
          <w:rFonts w:cstheme="minorHAnsi"/>
          <w:noProof/>
        </w:rPr>
        <w:t>-1</w:t>
      </w:r>
      <w:r w:rsidRPr="00F62024" w:rsidR="008B45B9">
        <w:rPr>
          <w:rFonts w:cstheme="minorHAnsi"/>
          <w:noProof/>
        </w:rPr>
        <w:t>0</w:t>
      </w:r>
      <w:r w:rsidRPr="00F62024" w:rsidR="00643E02">
        <w:rPr>
          <w:rFonts w:cstheme="minorHAnsi"/>
          <w:noProof/>
        </w:rPr>
        <w:t xml:space="preserve">, </w:t>
      </w:r>
      <w:r w:rsidRPr="00F62024" w:rsidR="008B45B9">
        <w:rPr>
          <w:rFonts w:cstheme="minorHAnsi"/>
          <w:noProof/>
        </w:rPr>
        <w:t>13</w:t>
      </w:r>
      <w:r w:rsidRPr="00F62024" w:rsidR="00643E02">
        <w:rPr>
          <w:rFonts w:cstheme="minorHAnsi"/>
          <w:noProof/>
        </w:rPr>
        <w:t>]</w:t>
      </w:r>
      <w:r w:rsidRPr="00643E02" w:rsidR="00643E02">
        <w:rPr>
          <w:rFonts w:cstheme="minorHAnsi"/>
        </w:rPr>
        <w:t xml:space="preserve"> </w:t>
      </w:r>
      <w:r w:rsidR="00E72D3C">
        <w:rPr>
          <w:rFonts w:cstheme="minorHAnsi"/>
        </w:rPr>
        <w:t>However, t</w:t>
      </w:r>
      <w:r w:rsidRPr="00643E02" w:rsidR="00E72D3C">
        <w:rPr>
          <w:rFonts w:cstheme="minorHAnsi"/>
        </w:rPr>
        <w:t xml:space="preserve">hese </w:t>
      </w:r>
      <w:r w:rsidRPr="00643E02" w:rsidR="00643E02">
        <w:rPr>
          <w:rFonts w:cstheme="minorHAnsi"/>
        </w:rPr>
        <w:t xml:space="preserve">results are not generalizable to onshore workers </w:t>
      </w:r>
      <w:r w:rsidR="00E72D3C">
        <w:rPr>
          <w:rFonts w:cstheme="minorHAnsi"/>
        </w:rPr>
        <w:t>because of the</w:t>
      </w:r>
      <w:r w:rsidR="00C545EB">
        <w:rPr>
          <w:rFonts w:cstheme="minorHAnsi"/>
        </w:rPr>
        <w:t>ir</w:t>
      </w:r>
      <w:r w:rsidR="00E72D3C">
        <w:rPr>
          <w:rFonts w:cstheme="minorHAnsi"/>
        </w:rPr>
        <w:t xml:space="preserve"> </w:t>
      </w:r>
      <w:r w:rsidR="00C545EB">
        <w:rPr>
          <w:rFonts w:cstheme="minorHAnsi"/>
        </w:rPr>
        <w:t>less predictable</w:t>
      </w:r>
      <w:r w:rsidRPr="00643E02" w:rsidR="00643E02">
        <w:rPr>
          <w:rFonts w:cstheme="minorHAnsi"/>
        </w:rPr>
        <w:t xml:space="preserve"> work schedules and </w:t>
      </w:r>
      <w:r w:rsidR="0031694C">
        <w:rPr>
          <w:rFonts w:cstheme="minorHAnsi"/>
        </w:rPr>
        <w:t xml:space="preserve">the </w:t>
      </w:r>
      <w:r w:rsidRPr="00643E02" w:rsidR="00643E02">
        <w:rPr>
          <w:rFonts w:cstheme="minorHAnsi"/>
        </w:rPr>
        <w:t xml:space="preserve">extended daily commutes </w:t>
      </w:r>
      <w:r w:rsidR="0031694C">
        <w:rPr>
          <w:rFonts w:cstheme="minorHAnsi"/>
        </w:rPr>
        <w:t>common</w:t>
      </w:r>
      <w:r w:rsidRPr="00643E02" w:rsidR="00643E02">
        <w:rPr>
          <w:rFonts w:cstheme="minorHAnsi"/>
        </w:rPr>
        <w:t xml:space="preserve"> among onshore workers</w:t>
      </w:r>
      <w:r w:rsidRPr="00F62024" w:rsidR="00643E02">
        <w:rPr>
          <w:rFonts w:cstheme="minorHAnsi"/>
        </w:rPr>
        <w:t>.</w:t>
      </w:r>
      <w:r w:rsidRPr="00F62024" w:rsidR="00643E02">
        <w:rPr>
          <w:rFonts w:cstheme="minorHAnsi"/>
          <w:noProof/>
        </w:rPr>
        <w:t>[</w:t>
      </w:r>
      <w:r w:rsidRPr="00F62024" w:rsidR="008B45B9">
        <w:rPr>
          <w:rFonts w:cstheme="minorHAnsi"/>
          <w:noProof/>
        </w:rPr>
        <w:t>4</w:t>
      </w:r>
      <w:r w:rsidRPr="00F62024" w:rsidR="00643E02">
        <w:rPr>
          <w:rFonts w:cstheme="minorHAnsi"/>
          <w:noProof/>
        </w:rPr>
        <w:t>]</w:t>
      </w:r>
      <w:r w:rsidR="006B651E">
        <w:rPr>
          <w:rFonts w:cstheme="minorHAnsi"/>
          <w:noProof/>
        </w:rPr>
        <w:t xml:space="preserve"> </w:t>
      </w:r>
      <w:r w:rsidR="006B651E">
        <w:rPr>
          <w:rFonts w:cstheme="minorHAnsi"/>
        </w:rPr>
        <w:t>Unpredictable schedules, compounded with long commutes to remote sites</w:t>
      </w:r>
      <w:r w:rsidRPr="00A63B7E" w:rsidR="006B651E">
        <w:rPr>
          <w:rFonts w:cstheme="minorHAnsi"/>
        </w:rPr>
        <w:t>, leav</w:t>
      </w:r>
      <w:r w:rsidR="006B651E">
        <w:rPr>
          <w:rFonts w:cstheme="minorHAnsi"/>
        </w:rPr>
        <w:t>es</w:t>
      </w:r>
      <w:r w:rsidRPr="00A63B7E" w:rsidR="006B651E">
        <w:rPr>
          <w:rFonts w:cstheme="minorHAnsi"/>
        </w:rPr>
        <w:t xml:space="preserve"> little time for rest and recovery between shifts</w:t>
      </w:r>
      <w:r w:rsidR="006B651E">
        <w:rPr>
          <w:rFonts w:cstheme="minorHAnsi"/>
        </w:rPr>
        <w:t>, placing workers at an increased fatigue risk.</w:t>
      </w:r>
      <w:r w:rsidRPr="00643E02" w:rsidR="00643E02">
        <w:rPr>
          <w:rFonts w:cstheme="minorHAnsi"/>
          <w:noProof/>
        </w:rPr>
        <w:t xml:space="preserve"> </w:t>
      </w:r>
      <w:r w:rsidR="00D50211">
        <w:t xml:space="preserve">As such, current research is not applicable to onshore operations and thus not suitable to use in the development of </w:t>
      </w:r>
      <w:r w:rsidR="004B434B">
        <w:t>FRMS</w:t>
      </w:r>
      <w:r w:rsidR="00D50211">
        <w:t>.</w:t>
      </w:r>
      <w:r w:rsidR="00643E02">
        <w:rPr>
          <w:rFonts w:cstheme="minorHAnsi"/>
          <w:noProof/>
        </w:rPr>
        <w:t xml:space="preserve"> </w:t>
      </w:r>
    </w:p>
    <w:p w:rsidR="006567C8" w:rsidP="00127216" w14:paraId="5CA0733D" w14:textId="1A678507">
      <w:pPr>
        <w:pStyle w:val="Heading2"/>
      </w:pPr>
      <w:bookmarkStart w:id="7" w:name="_Toc137115875"/>
      <w:r>
        <w:t>A.</w:t>
      </w:r>
      <w:r w:rsidRPr="00561C24">
        <w:t>5. Impact on Small Businesses or Other Small Entities</w:t>
      </w:r>
      <w:bookmarkEnd w:id="7"/>
    </w:p>
    <w:p w:rsidR="00941B06" w:rsidRPr="00941B06" w:rsidP="00941B06" w14:paraId="49978799" w14:textId="55F94CEE">
      <w:r>
        <w:rPr>
          <w:rFonts w:cstheme="minorHAnsi"/>
          <w:szCs w:val="24"/>
        </w:rPr>
        <w:t>Participation in this study</w:t>
      </w:r>
      <w:r w:rsidRPr="000D0F09">
        <w:rPr>
          <w:rFonts w:cstheme="minorHAnsi"/>
          <w:szCs w:val="24"/>
        </w:rPr>
        <w:t xml:space="preserve"> is voluntary.</w:t>
      </w:r>
      <w:r w:rsidRPr="00125423">
        <w:t xml:space="preserve"> </w:t>
      </w:r>
      <w:r w:rsidR="006B651E">
        <w:t xml:space="preserve">This study will identify significant risk factors for fatigue and will provide options for fatigue risk management. This may help small businesses recognize areas where additional fatigue-mitigation efforts may be </w:t>
      </w:r>
      <w:r w:rsidR="006B651E">
        <w:t>neededand</w:t>
      </w:r>
      <w:r w:rsidR="006B651E">
        <w:t xml:space="preserve"> provide them with </w:t>
      </w:r>
      <w:r w:rsidR="00843EE1">
        <w:t xml:space="preserve">appropriate </w:t>
      </w:r>
      <w:r w:rsidR="0031694C">
        <w:t>and</w:t>
      </w:r>
      <w:r w:rsidR="006B651E">
        <w:t xml:space="preserve"> practical strategies. </w:t>
      </w:r>
    </w:p>
    <w:p w:rsidR="006567C8" w:rsidP="00127216" w14:paraId="1271D9D5" w14:textId="10030669">
      <w:pPr>
        <w:pStyle w:val="Heading2"/>
      </w:pPr>
      <w:bookmarkStart w:id="8" w:name="_Toc137115876"/>
      <w:r>
        <w:t>A.</w:t>
      </w:r>
      <w:r w:rsidRPr="00561C24">
        <w:t>6. Consequences of Collecting the Information Less Frequently</w:t>
      </w:r>
      <w:bookmarkEnd w:id="8"/>
    </w:p>
    <w:p w:rsidR="00315FD8" w:rsidRPr="00315FD8" w:rsidP="00315FD8" w14:paraId="5F199946" w14:textId="1C26AAE4">
      <w:r>
        <w:t>D</w:t>
      </w:r>
      <w:r w:rsidRPr="00315FD8">
        <w:t xml:space="preserve">ata collection </w:t>
      </w:r>
      <w:r w:rsidR="00941B06">
        <w:t>of</w:t>
      </w:r>
      <w:r w:rsidRPr="00315FD8">
        <w:t xml:space="preserve"> </w:t>
      </w:r>
      <w:r w:rsidR="00B33ACC">
        <w:t>baseline questionnaires, interviews, and focus groups will be conducted</w:t>
      </w:r>
      <w:r w:rsidRPr="00315FD8">
        <w:t xml:space="preserve"> </w:t>
      </w:r>
      <w:r>
        <w:t>on</w:t>
      </w:r>
      <w:r w:rsidR="00690E2A">
        <w:t>ce with each participant</w:t>
      </w:r>
      <w:r w:rsidRPr="00315FD8">
        <w:t xml:space="preserve">. </w:t>
      </w:r>
      <w:r w:rsidR="00073578">
        <w:t>P</w:t>
      </w:r>
      <w:r w:rsidR="00B33ACC">
        <w:t>re-shift questionnaire</w:t>
      </w:r>
      <w:r w:rsidR="00073578">
        <w:t>s</w:t>
      </w:r>
      <w:r w:rsidR="00B33ACC">
        <w:t>, post-shift questionnaire</w:t>
      </w:r>
      <w:r w:rsidR="00073578">
        <w:t>s</w:t>
      </w:r>
      <w:r w:rsidR="00B33ACC">
        <w:t xml:space="preserve">, and PVT tests will be performed twice daily for two weeks. </w:t>
      </w:r>
      <w:r w:rsidR="006B651E">
        <w:t xml:space="preserve">Sleep measures using actigraphy will be collected passively during the two weeks. </w:t>
      </w:r>
      <w:r w:rsidR="00B33ACC">
        <w:t xml:space="preserve">A power calculation was performed to </w:t>
      </w:r>
      <w:r w:rsidR="00144039">
        <w:t xml:space="preserve">identify the minimum </w:t>
      </w:r>
      <w:r w:rsidR="00B33ACC">
        <w:t xml:space="preserve">number of participants </w:t>
      </w:r>
      <w:r w:rsidR="00941B06">
        <w:t xml:space="preserve">and observations needed to detect an effect. </w:t>
      </w:r>
      <w:r>
        <w:t xml:space="preserve">If this data </w:t>
      </w:r>
      <w:r w:rsidR="00144039">
        <w:t xml:space="preserve">is collected less frequently or less observations are collected, we may not be able to detect an effect. This would hinder our ability to identify significant risk factors for fatigue in onshore OGE workers and we would thus be unable to provide evidence-based recommendations to minimize fatigue risk in this workforce. </w:t>
      </w:r>
      <w:r w:rsidRPr="00315FD8">
        <w:t>There are no legal obstacles to reducing the burden.</w:t>
      </w:r>
    </w:p>
    <w:p w:rsidR="006567C8" w:rsidP="00127216" w14:paraId="34BE7EB8" w14:textId="6F704B55">
      <w:pPr>
        <w:pStyle w:val="Heading2"/>
      </w:pPr>
      <w:bookmarkStart w:id="9" w:name="_Toc137115877"/>
      <w:r>
        <w:t>A.</w:t>
      </w:r>
      <w:r w:rsidRPr="00561C24">
        <w:t>7. Special Circumstances Relating to the Guidelines of 5 CFR 1320.5</w:t>
      </w:r>
      <w:bookmarkEnd w:id="9"/>
    </w:p>
    <w:p w:rsidR="001E1A7D" w:rsidRPr="001E1A7D" w:rsidP="001E1A7D" w14:paraId="4206FFAE" w14:textId="26F83D02">
      <w:r>
        <w:t>This request fully complies with the regulation 5 CFR 1320.5.</w:t>
      </w:r>
    </w:p>
    <w:p w:rsidR="006567C8" w:rsidP="00127216" w14:paraId="0B10377B" w14:textId="658DCDC8">
      <w:pPr>
        <w:pStyle w:val="Heading2"/>
      </w:pPr>
      <w:bookmarkStart w:id="10" w:name="_Toc137115878"/>
      <w:r>
        <w:t>A.</w:t>
      </w:r>
      <w:r w:rsidRPr="00561C24">
        <w:t>8. Comments in Response to the Federal Register Notice and Efforts to Consult Outside the Agency</w:t>
      </w:r>
      <w:bookmarkEnd w:id="10"/>
    </w:p>
    <w:p w:rsidR="0065631B" w:rsidP="0065631B" w14:paraId="51C8F984" w14:textId="6FF4A88F">
      <w:pPr>
        <w:pStyle w:val="ListParagraph"/>
        <w:numPr>
          <w:ilvl w:val="0"/>
          <w:numId w:val="5"/>
        </w:numPr>
      </w:pPr>
      <w:r w:rsidRPr="0065631B">
        <w:t>The 60-Day Federal Register Notice (</w:t>
      </w:r>
      <w:r>
        <w:t>Attachment 2</w:t>
      </w:r>
      <w:r w:rsidR="007F7470">
        <w:t>)</w:t>
      </w:r>
      <w:r w:rsidRPr="0065631B">
        <w:t xml:space="preserve"> was published on </w:t>
      </w:r>
      <w:r>
        <w:t>August</w:t>
      </w:r>
      <w:r w:rsidRPr="0065631B">
        <w:t xml:space="preserve"> </w:t>
      </w:r>
      <w:r w:rsidR="00F957E5">
        <w:t>21</w:t>
      </w:r>
      <w:r w:rsidRPr="0065631B">
        <w:t>, 202</w:t>
      </w:r>
      <w:r w:rsidR="00F957E5">
        <w:t>3</w:t>
      </w:r>
      <w:r w:rsidRPr="0065631B">
        <w:t>, vol. 8</w:t>
      </w:r>
      <w:r w:rsidR="00F957E5">
        <w:t>8</w:t>
      </w:r>
      <w:r w:rsidRPr="0065631B">
        <w:t xml:space="preserve">, No. </w:t>
      </w:r>
      <w:r w:rsidRPr="0065631B" w:rsidR="00F957E5">
        <w:t>1</w:t>
      </w:r>
      <w:r w:rsidR="00F957E5">
        <w:t>60</w:t>
      </w:r>
      <w:r w:rsidRPr="0065631B">
        <w:t xml:space="preserve">, pp </w:t>
      </w:r>
      <w:r w:rsidR="00F957E5">
        <w:t>56831-56832</w:t>
      </w:r>
      <w:r w:rsidRPr="0065631B">
        <w:t xml:space="preserve">. </w:t>
      </w:r>
      <w:r w:rsidRPr="00F957E5" w:rsidR="00F957E5">
        <w:t xml:space="preserve">No public comments were </w:t>
      </w:r>
      <w:r w:rsidRPr="00F957E5" w:rsidR="00ED1BEE">
        <w:t>received.</w:t>
      </w:r>
    </w:p>
    <w:p w:rsidR="00515359" w:rsidP="00515359" w14:paraId="0AA5BD9A" w14:textId="77777777">
      <w:pPr>
        <w:pStyle w:val="ListParagraph"/>
        <w:ind w:left="1440"/>
      </w:pPr>
    </w:p>
    <w:p w:rsidR="00013B70" w:rsidRPr="00FB1171" w:rsidP="00013B70" w14:paraId="642E9900" w14:textId="575FF802">
      <w:pPr>
        <w:pStyle w:val="ListParagraph"/>
        <w:numPr>
          <w:ilvl w:val="0"/>
          <w:numId w:val="5"/>
        </w:numPr>
        <w:rPr>
          <w:rFonts w:cstheme="minorHAnsi"/>
        </w:rPr>
      </w:pPr>
      <w:r w:rsidRPr="00FB1171">
        <w:rPr>
          <w:rFonts w:cstheme="minorHAnsi"/>
          <w:szCs w:val="24"/>
        </w:rPr>
        <w:t xml:space="preserve">Consultations on the type of information to collect began in 2019 and have continued throughout project planning and protocol development. The following individuals were consulted: </w:t>
      </w:r>
    </w:p>
    <w:p w:rsidR="00013B70" w:rsidRPr="00FB1171" w:rsidP="00013B70" w14:paraId="31D9C106" w14:textId="424B50E2">
      <w:pPr>
        <w:pStyle w:val="ListParagraph"/>
        <w:numPr>
          <w:ilvl w:val="1"/>
          <w:numId w:val="5"/>
        </w:numPr>
        <w:rPr>
          <w:rFonts w:cstheme="minorHAnsi"/>
        </w:rPr>
      </w:pPr>
      <w:r w:rsidRPr="00FB1171">
        <w:rPr>
          <w:rFonts w:cstheme="minorHAnsi"/>
          <w:szCs w:val="24"/>
        </w:rPr>
        <w:t xml:space="preserve">Sean Mecham, Director of Health, Safety, and Environment for </w:t>
      </w:r>
      <w:r w:rsidRPr="00FB1171">
        <w:rPr>
          <w:rFonts w:cstheme="minorHAnsi"/>
          <w:szCs w:val="24"/>
        </w:rPr>
        <w:t>Filamar</w:t>
      </w:r>
      <w:r w:rsidRPr="00FB1171">
        <w:rPr>
          <w:rFonts w:cstheme="minorHAnsi"/>
          <w:szCs w:val="24"/>
        </w:rPr>
        <w:t xml:space="preserve"> Energy Services, (713) 880-9899, </w:t>
      </w:r>
      <w:hyperlink r:id="rId8" w:history="1">
        <w:r w:rsidRPr="00FB1171">
          <w:rPr>
            <w:rStyle w:val="Hyperlink"/>
            <w:rFonts w:cstheme="minorHAnsi"/>
            <w:szCs w:val="24"/>
          </w:rPr>
          <w:t>sean@filamarenergy.com</w:t>
        </w:r>
      </w:hyperlink>
      <w:r w:rsidRPr="00FB1171">
        <w:rPr>
          <w:rFonts w:cstheme="minorHAnsi"/>
          <w:szCs w:val="24"/>
        </w:rPr>
        <w:t xml:space="preserve"> </w:t>
      </w:r>
    </w:p>
    <w:p w:rsidR="00FB1171" w:rsidRPr="00FB1171" w:rsidP="00013B70" w14:paraId="5E6AD786" w14:textId="064BDEDD">
      <w:pPr>
        <w:pStyle w:val="ListParagraph"/>
        <w:numPr>
          <w:ilvl w:val="1"/>
          <w:numId w:val="5"/>
        </w:numPr>
        <w:rPr>
          <w:rFonts w:cstheme="minorHAnsi"/>
        </w:rPr>
      </w:pPr>
      <w:r>
        <w:rPr>
          <w:rFonts w:cstheme="minorHAnsi"/>
          <w:szCs w:val="24"/>
        </w:rPr>
        <w:t>Billy Pruett, Heath, Safety, and Environment Advisor for Pioneer Natural Resources, (</w:t>
      </w:r>
      <w:r w:rsidRPr="00FB1171">
        <w:rPr>
          <w:rFonts w:cstheme="minorHAnsi"/>
          <w:szCs w:val="24"/>
        </w:rPr>
        <w:t>972</w:t>
      </w:r>
      <w:r>
        <w:rPr>
          <w:rFonts w:cstheme="minorHAnsi"/>
          <w:szCs w:val="24"/>
        </w:rPr>
        <w:t xml:space="preserve">) </w:t>
      </w:r>
      <w:r w:rsidRPr="00FB1171">
        <w:rPr>
          <w:rFonts w:cstheme="minorHAnsi"/>
          <w:szCs w:val="24"/>
        </w:rPr>
        <w:t>969</w:t>
      </w:r>
      <w:r>
        <w:rPr>
          <w:rFonts w:cstheme="minorHAnsi"/>
          <w:szCs w:val="24"/>
        </w:rPr>
        <w:t>-</w:t>
      </w:r>
      <w:r w:rsidRPr="00FB1171">
        <w:rPr>
          <w:rFonts w:cstheme="minorHAnsi"/>
          <w:szCs w:val="24"/>
        </w:rPr>
        <w:t>4526</w:t>
      </w:r>
      <w:r>
        <w:rPr>
          <w:rFonts w:cstheme="minorHAnsi"/>
          <w:szCs w:val="24"/>
        </w:rPr>
        <w:t xml:space="preserve">, </w:t>
      </w:r>
      <w:hyperlink r:id="rId9" w:history="1">
        <w:r w:rsidRPr="00226D37">
          <w:rPr>
            <w:rStyle w:val="Hyperlink"/>
            <w:rFonts w:cstheme="minorHAnsi"/>
            <w:szCs w:val="24"/>
          </w:rPr>
          <w:t>billy.pruett@pxd.com</w:t>
        </w:r>
      </w:hyperlink>
      <w:r>
        <w:rPr>
          <w:rFonts w:cstheme="minorHAnsi"/>
          <w:szCs w:val="24"/>
        </w:rPr>
        <w:t xml:space="preserve"> </w:t>
      </w:r>
    </w:p>
    <w:p w:rsidR="00FB1171" w:rsidP="00013B70" w14:paraId="27B167F4" w14:textId="0513F9F3">
      <w:pPr>
        <w:pStyle w:val="ListParagraph"/>
        <w:numPr>
          <w:ilvl w:val="1"/>
          <w:numId w:val="5"/>
        </w:numPr>
        <w:rPr>
          <w:rFonts w:cstheme="minorHAnsi"/>
        </w:rPr>
      </w:pPr>
      <w:r>
        <w:rPr>
          <w:rFonts w:cstheme="minorHAnsi"/>
        </w:rPr>
        <w:t>Emily Hague</w:t>
      </w:r>
      <w:r w:rsidR="00F559F3">
        <w:rPr>
          <w:rFonts w:cstheme="minorHAnsi"/>
        </w:rPr>
        <w:t>, Senior Policy Advisor for the American Petroleum Institute, (202) 682-8260</w:t>
      </w:r>
    </w:p>
    <w:p w:rsidR="00F559F3" w:rsidP="00013B70" w14:paraId="7AD26B83" w14:textId="42C0C2B2">
      <w:pPr>
        <w:pStyle w:val="ListParagraph"/>
        <w:numPr>
          <w:ilvl w:val="1"/>
          <w:numId w:val="5"/>
        </w:numPr>
        <w:rPr>
          <w:rFonts w:cstheme="minorHAnsi"/>
        </w:rPr>
      </w:pPr>
      <w:r>
        <w:rPr>
          <w:rFonts w:cstheme="minorHAnsi"/>
        </w:rPr>
        <w:t>Kenny Jordan, Executive Director for the Association of Energy Service Companies</w:t>
      </w:r>
      <w:r w:rsidR="00B6666C">
        <w:rPr>
          <w:rFonts w:cstheme="minorHAnsi"/>
        </w:rPr>
        <w:t xml:space="preserve">, </w:t>
      </w:r>
      <w:r w:rsidR="003967DC">
        <w:rPr>
          <w:rFonts w:cstheme="minorHAnsi"/>
        </w:rPr>
        <w:t>N</w:t>
      </w:r>
      <w:r w:rsidR="00B6666C">
        <w:rPr>
          <w:rFonts w:cstheme="minorHAnsi"/>
        </w:rPr>
        <w:t>o current contact information</w:t>
      </w:r>
    </w:p>
    <w:p w:rsidR="00F559F3" w:rsidP="00013B70" w14:paraId="198D3D4B" w14:textId="1E4CDF18">
      <w:pPr>
        <w:pStyle w:val="ListParagraph"/>
        <w:numPr>
          <w:ilvl w:val="1"/>
          <w:numId w:val="5"/>
        </w:numPr>
        <w:rPr>
          <w:rFonts w:cstheme="minorHAnsi"/>
        </w:rPr>
      </w:pPr>
      <w:r>
        <w:rPr>
          <w:rFonts w:cstheme="minorHAnsi"/>
        </w:rPr>
        <w:t xml:space="preserve">Rhett Winter, Director of Government and Industry Affairs – Onshore for the International Association of Drilling Contractors, </w:t>
      </w:r>
      <w:r w:rsidR="00B6666C">
        <w:rPr>
          <w:rFonts w:cstheme="minorHAnsi"/>
        </w:rPr>
        <w:t>No current contact information</w:t>
      </w:r>
    </w:p>
    <w:p w:rsidR="00F559F3" w:rsidP="00013B70" w14:paraId="31184234" w14:textId="130F02AC">
      <w:pPr>
        <w:pStyle w:val="ListParagraph"/>
        <w:numPr>
          <w:ilvl w:val="1"/>
          <w:numId w:val="5"/>
        </w:numPr>
        <w:rPr>
          <w:rFonts w:cstheme="minorHAnsi"/>
        </w:rPr>
      </w:pPr>
      <w:r>
        <w:rPr>
          <w:rFonts w:cstheme="minorHAnsi"/>
        </w:rPr>
        <w:t>Gary Gard, Safety Director for Mountain States Pressure Services, Inc., (303) 389-6262</w:t>
      </w:r>
    </w:p>
    <w:p w:rsidR="00F559F3" w:rsidP="00013B70" w14:paraId="41E6316A" w14:textId="06175498">
      <w:pPr>
        <w:pStyle w:val="ListParagraph"/>
        <w:numPr>
          <w:ilvl w:val="1"/>
          <w:numId w:val="5"/>
        </w:numPr>
        <w:rPr>
          <w:rFonts w:cstheme="minorHAnsi"/>
        </w:rPr>
      </w:pPr>
      <w:r>
        <w:rPr>
          <w:rFonts w:cstheme="minorHAnsi"/>
        </w:rPr>
        <w:t xml:space="preserve">Meredith Towle, Occupational Epidemiologist for the state of Wyoming, </w:t>
      </w:r>
      <w:r w:rsidR="00B6666C">
        <w:rPr>
          <w:rFonts w:cstheme="minorHAnsi"/>
        </w:rPr>
        <w:t>No current contact information</w:t>
      </w:r>
    </w:p>
    <w:p w:rsidR="00F559F3" w:rsidP="00013B70" w14:paraId="38BD4CCB" w14:textId="4814F986">
      <w:pPr>
        <w:pStyle w:val="ListParagraph"/>
        <w:numPr>
          <w:ilvl w:val="1"/>
          <w:numId w:val="5"/>
        </w:numPr>
        <w:rPr>
          <w:rFonts w:cstheme="minorHAnsi"/>
        </w:rPr>
      </w:pPr>
      <w:r>
        <w:rPr>
          <w:rFonts w:cstheme="minorHAnsi"/>
        </w:rPr>
        <w:t>Leslie Beyer, President of the Petroleum Equipment and Services Association</w:t>
      </w:r>
      <w:r w:rsidR="00315FD8">
        <w:rPr>
          <w:rFonts w:cstheme="minorHAnsi"/>
        </w:rPr>
        <w:t xml:space="preserve">, </w:t>
      </w:r>
      <w:r w:rsidR="00B6666C">
        <w:rPr>
          <w:rFonts w:cstheme="minorHAnsi"/>
        </w:rPr>
        <w:t>No current contact information</w:t>
      </w:r>
    </w:p>
    <w:p w:rsidR="00315FD8" w:rsidRPr="00FB1171" w:rsidP="00013B70" w14:paraId="3FB34E58" w14:textId="51718F7E">
      <w:pPr>
        <w:pStyle w:val="ListParagraph"/>
        <w:numPr>
          <w:ilvl w:val="1"/>
          <w:numId w:val="5"/>
        </w:numPr>
        <w:rPr>
          <w:rFonts w:cstheme="minorHAnsi"/>
        </w:rPr>
      </w:pPr>
      <w:r>
        <w:rPr>
          <w:rFonts w:cstheme="minorHAnsi"/>
        </w:rPr>
        <w:t>Michael Marsha</w:t>
      </w:r>
      <w:r w:rsidR="003967DC">
        <w:rPr>
          <w:rFonts w:cstheme="minorHAnsi"/>
        </w:rPr>
        <w:t>l</w:t>
      </w:r>
      <w:r>
        <w:rPr>
          <w:rFonts w:cstheme="minorHAnsi"/>
        </w:rPr>
        <w:t xml:space="preserve">l, Coordinator for OSHA’s Upstream Oil and Gas Safety Task Force, (202) 693-2179, </w:t>
      </w:r>
      <w:hyperlink r:id="rId10" w:history="1">
        <w:r w:rsidRPr="00226D37">
          <w:rPr>
            <w:rStyle w:val="Hyperlink"/>
            <w:rFonts w:cstheme="minorHAnsi"/>
          </w:rPr>
          <w:t>Marshall.Mike@dol.gov</w:t>
        </w:r>
      </w:hyperlink>
      <w:r>
        <w:rPr>
          <w:rFonts w:cstheme="minorHAnsi"/>
        </w:rPr>
        <w:t xml:space="preserve"> </w:t>
      </w:r>
    </w:p>
    <w:p w:rsidR="006567C8" w:rsidP="00127216" w14:paraId="082D2CF9" w14:textId="57D31E64">
      <w:pPr>
        <w:pStyle w:val="Heading2"/>
      </w:pPr>
      <w:bookmarkStart w:id="11" w:name="_Toc137115879"/>
      <w:r>
        <w:t>A.</w:t>
      </w:r>
      <w:r w:rsidRPr="00561C24">
        <w:t>9. Explanation of Any Payment or Gift to Respondents</w:t>
      </w:r>
      <w:bookmarkEnd w:id="11"/>
    </w:p>
    <w:p w:rsidR="008C1EEE" w:rsidP="00081196" w14:paraId="70CE0988" w14:textId="594A2DA9">
      <w:r>
        <w:t xml:space="preserve">It is important to maximize response rates and minimize attrition during information collection. Based on the experience of NIOSH teams with </w:t>
      </w:r>
      <w:r w:rsidR="00FE0B12">
        <w:t>OGE Workers</w:t>
      </w:r>
      <w:r>
        <w:t xml:space="preserve"> </w:t>
      </w:r>
      <w:r w:rsidR="008B45B9">
        <w:t>[14, 15]</w:t>
      </w:r>
      <w:r>
        <w:t xml:space="preserve">, tokens of appreciation </w:t>
      </w:r>
      <w:r w:rsidR="00FE0B12">
        <w:t>were</w:t>
      </w:r>
      <w:r>
        <w:t xml:space="preserve"> important for increasing participation in </w:t>
      </w:r>
      <w:r w:rsidR="00FE0B12">
        <w:t>studies involving OGE workers</w:t>
      </w:r>
      <w:r>
        <w:t xml:space="preserve">. Therefore, we feel that offering appreciative tokens to the </w:t>
      </w:r>
      <w:r w:rsidR="00FE0B12">
        <w:t>OGE</w:t>
      </w:r>
      <w:r>
        <w:t xml:space="preserve"> workers </w:t>
      </w:r>
      <w:r w:rsidR="00FE0B12">
        <w:t xml:space="preserve">in this study </w:t>
      </w:r>
      <w:r>
        <w:t>will serve to increase response rates from individual workers</w:t>
      </w:r>
      <w:r w:rsidR="00FE0B12">
        <w:t xml:space="preserve"> and reduce potential attrition</w:t>
      </w:r>
      <w:r>
        <w:t xml:space="preserve">. </w:t>
      </w:r>
      <w:r w:rsidRPr="00272051" w:rsidR="00272051">
        <w:t xml:space="preserve"> </w:t>
      </w:r>
      <w:r w:rsidR="00272051">
        <w:t xml:space="preserve">Additionally, this project requires participation in surveys, alertness tests, and wearing actigraphy watches </w:t>
      </w:r>
      <w:r w:rsidR="00D22880">
        <w:t xml:space="preserve">that </w:t>
      </w:r>
      <w:r w:rsidR="00272051">
        <w:t>will take some effort and time from the workers. As such, we would like to demonstrate our appreciation for their participation.</w:t>
      </w:r>
    </w:p>
    <w:p w:rsidR="005D3FF8" w:rsidP="00081196" w14:paraId="1BF56875" w14:textId="21AD3DC1">
      <w:r>
        <w:t xml:space="preserve">We will offer </w:t>
      </w:r>
      <w:r w:rsidR="00FE0B12">
        <w:t>a</w:t>
      </w:r>
      <w:r>
        <w:t xml:space="preserve"> token of appreciation (a $</w:t>
      </w:r>
      <w:r w:rsidR="00FE0B12">
        <w:t>5</w:t>
      </w:r>
      <w:r>
        <w:t xml:space="preserve">0 gift card) to those </w:t>
      </w:r>
      <w:r>
        <w:t>participants</w:t>
      </w:r>
      <w:r>
        <w:t xml:space="preserve"> who complete </w:t>
      </w:r>
      <w:r>
        <w:t>the baseline questionnaire</w:t>
      </w:r>
      <w:r w:rsidR="00F62024">
        <w:t xml:space="preserve"> (Attachment 3</w:t>
      </w:r>
      <w:r w:rsidR="00F957E5">
        <w:t>a or b</w:t>
      </w:r>
      <w:r w:rsidR="00F62024">
        <w:t>)</w:t>
      </w:r>
      <w:r>
        <w:t>, at least one pre-shift</w:t>
      </w:r>
      <w:r w:rsidR="00F62024">
        <w:t xml:space="preserve"> (Attachment </w:t>
      </w:r>
      <w:r w:rsidR="00F957E5">
        <w:t>3c or d</w:t>
      </w:r>
      <w:r w:rsidR="00F62024">
        <w:t>)</w:t>
      </w:r>
      <w:r>
        <w:t xml:space="preserve"> or post-shift questionnaire </w:t>
      </w:r>
      <w:r w:rsidR="000D1AE2">
        <w:t xml:space="preserve">(Attachment </w:t>
      </w:r>
      <w:r w:rsidR="00F957E5">
        <w:t>3e or f</w:t>
      </w:r>
      <w:r w:rsidR="000D1AE2">
        <w:t xml:space="preserve">) </w:t>
      </w:r>
      <w:r>
        <w:t xml:space="preserve">per day, one PVT test per day, </w:t>
      </w:r>
      <w:r w:rsidR="003233EB">
        <w:t xml:space="preserve">and can attest </w:t>
      </w:r>
      <w:r w:rsidR="00A33FFC">
        <w:t>to wearing the actigraphy watch for at least 5 nights</w:t>
      </w:r>
      <w:r w:rsidR="003233EB">
        <w:t xml:space="preserve"> </w:t>
      </w:r>
      <w:r>
        <w:t>during the data collection period</w:t>
      </w:r>
      <w:r>
        <w:t xml:space="preserve">. </w:t>
      </w:r>
      <w:r w:rsidR="00D22880">
        <w:t xml:space="preserve">Worker and </w:t>
      </w:r>
      <w:r w:rsidR="003011D0">
        <w:t>field-level</w:t>
      </w:r>
      <w:r w:rsidR="00D22880">
        <w:t xml:space="preserve"> supervisor p</w:t>
      </w:r>
      <w:r>
        <w:t xml:space="preserve">articipants who complete the </w:t>
      </w:r>
      <w:r w:rsidR="000D1AE2">
        <w:t xml:space="preserve">focus group (Attachment </w:t>
      </w:r>
      <w:r w:rsidR="00F957E5">
        <w:t>5 a or b</w:t>
      </w:r>
      <w:r w:rsidR="000D1AE2">
        <w:t>)</w:t>
      </w:r>
      <w:r>
        <w:t xml:space="preserve"> or </w:t>
      </w:r>
      <w:r w:rsidR="000D1AE2">
        <w:t xml:space="preserve">interview (Attachment </w:t>
      </w:r>
      <w:r w:rsidR="00F957E5">
        <w:t>5c</w:t>
      </w:r>
      <w:r w:rsidR="000D1AE2">
        <w:t>)</w:t>
      </w:r>
      <w:r>
        <w:t xml:space="preserve"> will be offered a $10 gift card as a token of appreciation. </w:t>
      </w:r>
    </w:p>
    <w:p w:rsidR="00FE0B12" w:rsidP="00081196" w14:paraId="1AD12322" w14:textId="43416218">
      <w:r>
        <w:t xml:space="preserve">Note that if we are on a work site and the company does not want us to distribute these tokens of appreciation to their workers, we will respect the company’s decision and not distribute tokens of appreciation. </w:t>
      </w:r>
    </w:p>
    <w:p w:rsidR="005D3FF8" w:rsidRPr="00081196" w:rsidP="005D3FF8" w14:paraId="00857ACA" w14:textId="77777777">
      <w:pPr>
        <w:spacing w:after="0" w:line="240" w:lineRule="auto"/>
      </w:pPr>
    </w:p>
    <w:p w:rsidR="006567C8" w:rsidP="00127216" w14:paraId="48230447" w14:textId="59FE7678">
      <w:pPr>
        <w:pStyle w:val="Heading2"/>
      </w:pPr>
      <w:bookmarkStart w:id="12" w:name="_Toc137115880"/>
      <w:r>
        <w:t>A.</w:t>
      </w:r>
      <w:r w:rsidRPr="00561C24">
        <w:t>10. Protection of the Privacy and Confidentiality of Information Provided by Respondents</w:t>
      </w:r>
      <w:bookmarkEnd w:id="12"/>
    </w:p>
    <w:p w:rsidR="00D9047B" w:rsidRPr="00D9047B" w:rsidP="00D9047B" w14:paraId="602C5754" w14:textId="4BFA1844">
      <w:pPr>
        <w:spacing w:after="120" w:line="240" w:lineRule="auto"/>
        <w:rPr>
          <w:rFonts w:cstheme="minorHAnsi"/>
        </w:rPr>
      </w:pPr>
      <w:r w:rsidRPr="00D9047B">
        <w:rPr>
          <w:rFonts w:cstheme="minorHAnsi"/>
        </w:rPr>
        <w:t>“ISSO determined in conjunction with the CDC Privacy Office that</w:t>
      </w:r>
      <w:r>
        <w:rPr>
          <w:rFonts w:cstheme="minorHAnsi"/>
        </w:rPr>
        <w:t xml:space="preserve"> the</w:t>
      </w:r>
      <w:r w:rsidRPr="00D9047B">
        <w:rPr>
          <w:rFonts w:cstheme="minorHAnsi"/>
        </w:rPr>
        <w:t xml:space="preserve"> Privacy Act is applicable. The collection contains PII with demographic information in the survey (i.e., Age,</w:t>
      </w:r>
      <w:r>
        <w:rPr>
          <w:rFonts w:cstheme="minorHAnsi"/>
        </w:rPr>
        <w:t xml:space="preserve"> Ethnicity,</w:t>
      </w:r>
      <w:r w:rsidRPr="00D9047B">
        <w:rPr>
          <w:rFonts w:cstheme="minorHAnsi"/>
        </w:rPr>
        <w:t xml:space="preserve"> Race, Gender</w:t>
      </w:r>
      <w:r>
        <w:rPr>
          <w:rFonts w:cstheme="minorHAnsi"/>
        </w:rPr>
        <w:t>, Sex and Marital Status</w:t>
      </w:r>
      <w:r w:rsidRPr="00D9047B">
        <w:rPr>
          <w:rFonts w:cstheme="minorHAnsi"/>
        </w:rPr>
        <w:t>).</w:t>
      </w:r>
    </w:p>
    <w:p w:rsidR="00D9047B" w:rsidRPr="00D9047B" w:rsidP="00D9047B" w14:paraId="64A41577" w14:textId="77777777">
      <w:pPr>
        <w:spacing w:after="120" w:line="240" w:lineRule="auto"/>
        <w:rPr>
          <w:rFonts w:cstheme="minorHAnsi"/>
        </w:rPr>
      </w:pPr>
      <w:r w:rsidRPr="00D9047B">
        <w:rPr>
          <w:rFonts w:cstheme="minorHAnsi"/>
        </w:rPr>
        <w:t>Research Electronic Data Capture (</w:t>
      </w:r>
      <w:r w:rsidRPr="00D9047B">
        <w:rPr>
          <w:rFonts w:cstheme="minorHAnsi"/>
        </w:rPr>
        <w:t>REDcap</w:t>
      </w:r>
      <w:r w:rsidRPr="00D9047B">
        <w:rPr>
          <w:rFonts w:cstheme="minorHAnsi"/>
        </w:rPr>
        <w:t>) and NIOSH Edge Computing Platform (NCEP) include the in-place technical, physical, or administrative controls (safeguards).</w:t>
      </w:r>
    </w:p>
    <w:p w:rsidR="00D9047B" w:rsidP="00D9047B" w14:paraId="66C3745B" w14:textId="77777777">
      <w:pPr>
        <w:spacing w:after="120" w:line="240" w:lineRule="auto"/>
        <w:rPr>
          <w:rFonts w:cstheme="minorHAnsi"/>
        </w:rPr>
      </w:pPr>
      <w:r w:rsidRPr="00D9047B">
        <w:rPr>
          <w:rFonts w:cstheme="minorHAnsi"/>
        </w:rPr>
        <w:t>Research Electronic Data Capture (</w:t>
      </w:r>
      <w:r w:rsidRPr="00D9047B">
        <w:rPr>
          <w:rFonts w:cstheme="minorHAnsi"/>
        </w:rPr>
        <w:t>REDcap</w:t>
      </w:r>
      <w:r w:rsidRPr="00D9047B">
        <w:rPr>
          <w:rFonts w:cstheme="minorHAnsi"/>
        </w:rPr>
        <w:t>) and 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D015FA" w:rsidRPr="00081196" w:rsidP="00D9047B" w14:paraId="4F4C0E32" w14:textId="07230D57">
      <w:pPr>
        <w:spacing w:after="120" w:line="240" w:lineRule="auto"/>
        <w:rPr>
          <w:rFonts w:cstheme="minorHAnsi"/>
        </w:rPr>
      </w:pPr>
      <w:r w:rsidRPr="00081196">
        <w:rPr>
          <w:rFonts w:cstheme="minorHAnsi"/>
        </w:rPr>
        <w:t xml:space="preserve">The information collected for the study will be maintained or stored under strict access controls limited to the local project leader/manager or his/her designate. Under no circumstances will an individual be identified using a combination of variables such as gender, race, </w:t>
      </w:r>
      <w:r w:rsidR="00081196">
        <w:rPr>
          <w:rFonts w:cstheme="minorHAnsi"/>
        </w:rPr>
        <w:t>age</w:t>
      </w:r>
      <w:r w:rsidRPr="00081196">
        <w:rPr>
          <w:rFonts w:cstheme="minorHAnsi"/>
        </w:rPr>
        <w:t>, and/or other descriptors. Once the targeted number of respondents is reached or the data collection period is completed, data collection will end so that the number of respondents will not exceed the target number of respondents specific to each data collection instrument.</w:t>
      </w:r>
    </w:p>
    <w:p w:rsidR="00D015FA" w:rsidRPr="00081196" w:rsidP="00081196" w14:paraId="518DEE09" w14:textId="1B13F500">
      <w:pPr>
        <w:spacing w:after="120" w:line="240" w:lineRule="auto"/>
        <w:rPr>
          <w:rFonts w:cstheme="minorHAnsi"/>
        </w:rPr>
      </w:pPr>
      <w:r w:rsidRPr="00081196">
        <w:rPr>
          <w:rFonts w:cstheme="minorHAnsi"/>
        </w:rPr>
        <w:t xml:space="preserve">Participation in the activities of this study is strictly voluntary. Participants will be informed of their right to refuse to participate, end participation at any point, or skip questions. They will also be informed of the purpose of the study and potential uses of the data. The participants will not be asked to disclose any private business information.  </w:t>
      </w:r>
    </w:p>
    <w:p w:rsidR="00D015FA" w:rsidP="000D1AE2" w14:paraId="0881C455" w14:textId="53652D6F">
      <w:pPr>
        <w:pStyle w:val="NormalWeb"/>
        <w:spacing w:before="0" w:beforeAutospacing="0" w:after="120"/>
        <w:rPr>
          <w:rFonts w:asciiTheme="minorHAnsi" w:hAnsiTheme="minorHAnsi" w:cstheme="minorHAnsi"/>
          <w:sz w:val="22"/>
          <w:szCs w:val="22"/>
        </w:rPr>
      </w:pPr>
      <w:r w:rsidRPr="00081196">
        <w:rPr>
          <w:rFonts w:asciiTheme="minorHAnsi" w:hAnsiTheme="minorHAnsi" w:cstheme="minorHAnsi"/>
          <w:sz w:val="22"/>
          <w:szCs w:val="22"/>
        </w:rPr>
        <w:t>REDcap</w:t>
      </w:r>
      <w:r w:rsidRPr="00081196">
        <w:rPr>
          <w:rFonts w:asciiTheme="minorHAnsi" w:hAnsiTheme="minorHAnsi" w:cstheme="minorHAnsi"/>
          <w:sz w:val="22"/>
          <w:szCs w:val="22"/>
        </w:rPr>
        <w:t xml:space="preserve"> and NIOSH Edge Computing Platform (NE</w:t>
      </w:r>
      <w:r w:rsidR="00244FDE">
        <w:rPr>
          <w:rFonts w:asciiTheme="minorHAnsi" w:hAnsiTheme="minorHAnsi" w:cstheme="minorHAnsi"/>
          <w:sz w:val="22"/>
          <w:szCs w:val="22"/>
        </w:rPr>
        <w:t>C</w:t>
      </w:r>
      <w:r w:rsidRPr="00081196">
        <w:rPr>
          <w:rFonts w:asciiTheme="minorHAnsi" w:hAnsiTheme="minorHAnsi" w:cstheme="minorHAnsi"/>
          <w:sz w:val="22"/>
          <w:szCs w:val="22"/>
        </w:rPr>
        <w:t>P) include the in-place technical, physical, or administrative controls (safeguards).</w:t>
      </w:r>
    </w:p>
    <w:p w:rsidR="000D1AE2" w:rsidRPr="000D1AE2" w:rsidP="000D1AE2" w14:paraId="32F631A3" w14:textId="77777777">
      <w:pPr>
        <w:pStyle w:val="NormalWeb"/>
        <w:spacing w:before="0" w:beforeAutospacing="0" w:after="120"/>
        <w:rPr>
          <w:rFonts w:asciiTheme="minorHAnsi" w:hAnsiTheme="minorHAnsi" w:cstheme="minorHAnsi"/>
          <w:sz w:val="22"/>
          <w:szCs w:val="22"/>
        </w:rPr>
      </w:pPr>
    </w:p>
    <w:p w:rsidR="006567C8" w:rsidP="00D015FA" w14:paraId="0267FE00" w14:textId="2CBC17E0">
      <w:pPr>
        <w:pStyle w:val="Heading2"/>
      </w:pPr>
      <w:bookmarkStart w:id="13" w:name="_Toc137115881"/>
      <w:r>
        <w:t>A.</w:t>
      </w:r>
      <w:r w:rsidRPr="00561C24">
        <w:t>11. Institutional Review Board (IRB) and Justification for Sensitive Questions</w:t>
      </w:r>
      <w:bookmarkEnd w:id="13"/>
    </w:p>
    <w:p w:rsidR="00535312" w:rsidP="00535312" w14:paraId="6538D526" w14:textId="1180A76A">
      <w:pPr>
        <w:pStyle w:val="Heading3"/>
      </w:pPr>
      <w:bookmarkStart w:id="14" w:name="_Toc137115882"/>
      <w:r>
        <w:t>A.11. IRB Approval</w:t>
      </w:r>
      <w:bookmarkEnd w:id="14"/>
    </w:p>
    <w:p w:rsidR="00535312" w:rsidRPr="00535312" w:rsidP="00535312" w14:paraId="0FA3512C" w14:textId="249B9951">
      <w:r w:rsidRPr="005F25BC">
        <w:t>The proposed data collection was reviewed and approved by the CDC-NIOSH Human Subjects Research Board (</w:t>
      </w:r>
      <w:r w:rsidR="00E63439">
        <w:t>23-NIOSH-04</w:t>
      </w:r>
      <w:r w:rsidRPr="005F25BC">
        <w:t>)</w:t>
      </w:r>
      <w:r>
        <w:t xml:space="preserve"> </w:t>
      </w:r>
      <w:r w:rsidRPr="005F25BC">
        <w:t xml:space="preserve">(Attachment </w:t>
      </w:r>
      <w:r w:rsidR="00D43FF4">
        <w:t>9</w:t>
      </w:r>
      <w:r w:rsidRPr="005F25BC">
        <w:t xml:space="preserve">).  </w:t>
      </w:r>
    </w:p>
    <w:p w:rsidR="00535312" w:rsidP="00535312" w14:paraId="337FB2FE" w14:textId="55CEFCA1">
      <w:pPr>
        <w:pStyle w:val="Heading3"/>
      </w:pPr>
      <w:bookmarkStart w:id="15" w:name="_Toc137115883"/>
      <w:r>
        <w:t>A.11. Sensitive questions</w:t>
      </w:r>
      <w:bookmarkEnd w:id="15"/>
    </w:p>
    <w:p w:rsidR="00BB5F86" w:rsidP="00FF0524" w14:paraId="0DA31A32" w14:textId="00CEAA84">
      <w:pPr>
        <w:spacing w:after="120"/>
      </w:pPr>
      <w:r>
        <w:t xml:space="preserve">The Baseline Questionnaire (Attachment </w:t>
      </w:r>
      <w:r w:rsidR="000D1AE2">
        <w:t>3</w:t>
      </w:r>
      <w:r w:rsidR="00F957E5">
        <w:t>a,b</w:t>
      </w:r>
      <w:r>
        <w:t xml:space="preserve">) contains questions that may be sensitive in nature, including questions regarding health and personal habits, </w:t>
      </w:r>
      <w:r>
        <w:t xml:space="preserve">demographics, fatigue, and </w:t>
      </w:r>
      <w:r w:rsidR="00FF0524">
        <w:t>elements of the work environment</w:t>
      </w:r>
      <w:r>
        <w:t xml:space="preserve">. The focus group (Attachment </w:t>
      </w:r>
      <w:r w:rsidR="00F957E5">
        <w:t>5</w:t>
      </w:r>
      <w:r w:rsidR="00F957E5">
        <w:t>a,b</w:t>
      </w:r>
      <w:r>
        <w:t>) and the interview guides (Attachment</w:t>
      </w:r>
      <w:r w:rsidR="000D1AE2">
        <w:t xml:space="preserve">s </w:t>
      </w:r>
      <w:r w:rsidR="00F957E5">
        <w:t>5</w:t>
      </w:r>
      <w:r w:rsidR="002F632B">
        <w:t>c-e</w:t>
      </w:r>
      <w:r>
        <w:t>) ask about personal experiences with fatigue</w:t>
      </w:r>
      <w:r w:rsidR="00FF0524">
        <w:t xml:space="preserve"> during work and the implementation of company policies</w:t>
      </w:r>
      <w:r>
        <w:t>.</w:t>
      </w:r>
      <w:r w:rsidR="00FF0524">
        <w:t xml:space="preserve"> </w:t>
      </w:r>
      <w:r w:rsidR="00272051">
        <w:t xml:space="preserve">All responses are voluntary, and participants may refuse to provide a response to a particular question or set of questions. </w:t>
      </w:r>
      <w:r>
        <w:t>Because some questions are sensitive in nature, data will be treated in a secure manner and will not be disclosed, unless otherwise compelled by law. Responses will be aggregated to a level that ensures responses will not be identifiable.</w:t>
      </w:r>
    </w:p>
    <w:p w:rsidR="00BB5F86" w:rsidRPr="00535312" w:rsidP="00FF0524" w14:paraId="25013BC9" w14:textId="6CC992D7">
      <w:pPr>
        <w:spacing w:after="120"/>
      </w:pPr>
      <w:r>
        <w:t xml:space="preserve">The potentially sensitive </w:t>
      </w:r>
      <w:r w:rsidRPr="00BB5F86">
        <w:t xml:space="preserve">questions are needed to </w:t>
      </w:r>
      <w:r w:rsidRPr="00BB5F86">
        <w:rPr>
          <w:rFonts w:cstheme="minorHAnsi"/>
        </w:rPr>
        <w:t xml:space="preserve">identify factors critical to fatigue management in the </w:t>
      </w:r>
      <w:r>
        <w:rPr>
          <w:rFonts w:cstheme="minorHAnsi"/>
        </w:rPr>
        <w:t xml:space="preserve">onshore U.S. </w:t>
      </w:r>
      <w:r w:rsidRPr="00BB5F86">
        <w:rPr>
          <w:rFonts w:cstheme="minorHAnsi"/>
        </w:rPr>
        <w:t>OGE industry</w:t>
      </w:r>
      <w:r w:rsidRPr="00BB5F86">
        <w:t xml:space="preserve"> so that recommendations</w:t>
      </w:r>
      <w:r w:rsidR="00272051">
        <w:t xml:space="preserve"> specific to this workforce</w:t>
      </w:r>
      <w:r w:rsidRPr="00BB5F86">
        <w:t xml:space="preserve"> </w:t>
      </w:r>
      <w:r w:rsidR="00FF0524">
        <w:t>can be developed</w:t>
      </w:r>
      <w:r>
        <w:t xml:space="preserve">. To effectively </w:t>
      </w:r>
      <w:r w:rsidR="00FF0524">
        <w:t>mitigate</w:t>
      </w:r>
      <w:r>
        <w:t xml:space="preserve"> the </w:t>
      </w:r>
      <w:r w:rsidR="00FF0524">
        <w:t>fatigue risk for</w:t>
      </w:r>
      <w:r>
        <w:t xml:space="preserve"> </w:t>
      </w:r>
      <w:r w:rsidR="00DA75E4">
        <w:t xml:space="preserve">onshore </w:t>
      </w:r>
      <w:r w:rsidR="00FF0524">
        <w:t>OGE</w:t>
      </w:r>
      <w:r>
        <w:t xml:space="preserve"> workers, NIOSH needs an understanding of the </w:t>
      </w:r>
      <w:r w:rsidR="00FF0524">
        <w:t>determinants of fatigue</w:t>
      </w:r>
      <w:r>
        <w:t xml:space="preserve"> for this workforce. Therefore, it is important to collect data regarding health and personal habits, </w:t>
      </w:r>
      <w:r w:rsidR="00FF0524">
        <w:t xml:space="preserve">demographics, fatigue, </w:t>
      </w:r>
      <w:r>
        <w:t>elements of the work environment</w:t>
      </w:r>
      <w:r w:rsidR="00FF0524">
        <w:t>, and personal experiences with fatigue during work</w:t>
      </w:r>
      <w:r>
        <w:t xml:space="preserve">. An understanding of </w:t>
      </w:r>
      <w:r w:rsidR="00FF0524">
        <w:t>determinants</w:t>
      </w:r>
      <w:r w:rsidR="00E7574A">
        <w:t xml:space="preserve"> of fatigue, and their </w:t>
      </w:r>
      <w:r>
        <w:t xml:space="preserve">association </w:t>
      </w:r>
      <w:r w:rsidR="00E7574A">
        <w:t xml:space="preserve">with objective measures of </w:t>
      </w:r>
      <w:r w:rsidR="00FF0524">
        <w:t>alertness</w:t>
      </w:r>
      <w:r w:rsidR="00E7574A">
        <w:t xml:space="preserve"> (i.e., PVT scores)</w:t>
      </w:r>
      <w:r w:rsidR="00272051">
        <w:t xml:space="preserve"> and sleep</w:t>
      </w:r>
      <w:r w:rsidR="00A33FFC">
        <w:t xml:space="preserve"> (i.e., actigraphy)</w:t>
      </w:r>
      <w:r>
        <w:t xml:space="preserve">, will allow NIOSH to develop recommendations to </w:t>
      </w:r>
      <w:r w:rsidR="00FF0524">
        <w:t>mitigate fatigue risk for OGE</w:t>
      </w:r>
      <w:r>
        <w:t xml:space="preserve"> workers</w:t>
      </w:r>
      <w:r w:rsidR="000E065B">
        <w:t>.</w:t>
      </w:r>
    </w:p>
    <w:p w:rsidR="006567C8" w:rsidP="00127216" w14:paraId="6A87F02F" w14:textId="65A73BD2">
      <w:pPr>
        <w:pStyle w:val="Heading2"/>
      </w:pPr>
      <w:bookmarkStart w:id="16" w:name="_Toc137115884"/>
      <w:r>
        <w:t>A.</w:t>
      </w:r>
      <w:r w:rsidRPr="00561C24">
        <w:t>12. Estimates of Annualized Burden Hours and Costs</w:t>
      </w:r>
      <w:bookmarkEnd w:id="16"/>
    </w:p>
    <w:p w:rsidR="00B96CF3" w:rsidP="006A0FA3" w14:paraId="5BAEDF2C" w14:textId="06965E31">
      <w:pPr>
        <w:pStyle w:val="Heading3"/>
      </w:pPr>
      <w:bookmarkStart w:id="17" w:name="_Toc137115885"/>
      <w:r>
        <w:t>A.12.A</w:t>
      </w:r>
      <w:r w:rsidR="0015359F">
        <w:t>.</w:t>
      </w:r>
      <w:r>
        <w:t xml:space="preserve"> Estimates of Annualized Burden Hours</w:t>
      </w:r>
      <w:bookmarkEnd w:id="17"/>
    </w:p>
    <w:p w:rsidR="00FD4110" w:rsidRPr="00BC0081" w:rsidP="00B96CF3" w14:paraId="5A240874" w14:textId="3A1B7EB5">
      <w:pPr>
        <w:rPr>
          <w:rFonts w:ascii="Times New Roman" w:hAnsi="Times New Roman"/>
          <w:szCs w:val="24"/>
        </w:rPr>
      </w:pPr>
      <w:r w:rsidRPr="00BC0081">
        <w:rPr>
          <w:rFonts w:cstheme="minorHAnsi"/>
          <w:szCs w:val="24"/>
        </w:rPr>
        <w:t xml:space="preserve">The estimate of burden hours is based on a pilot </w:t>
      </w:r>
      <w:r w:rsidR="00244F09">
        <w:rPr>
          <w:rFonts w:cstheme="minorHAnsi"/>
          <w:szCs w:val="24"/>
        </w:rPr>
        <w:t>to field test</w:t>
      </w:r>
      <w:r w:rsidRPr="00BC0081">
        <w:rPr>
          <w:rFonts w:cstheme="minorHAnsi"/>
          <w:szCs w:val="24"/>
        </w:rPr>
        <w:t xml:space="preserve"> study </w:t>
      </w:r>
      <w:r w:rsidR="00244F09">
        <w:rPr>
          <w:rFonts w:cstheme="minorHAnsi"/>
          <w:szCs w:val="24"/>
        </w:rPr>
        <w:t>tools</w:t>
      </w:r>
      <w:r w:rsidRPr="00BC0081">
        <w:rPr>
          <w:rFonts w:cstheme="minorHAnsi"/>
          <w:szCs w:val="24"/>
        </w:rPr>
        <w:t xml:space="preserve">. During the pilot, fewer than </w:t>
      </w:r>
      <w:r w:rsidR="00E7574A">
        <w:rPr>
          <w:rFonts w:cstheme="minorHAnsi"/>
          <w:szCs w:val="24"/>
        </w:rPr>
        <w:t>9</w:t>
      </w:r>
      <w:r w:rsidRPr="00BC0081" w:rsidR="00E7574A">
        <w:rPr>
          <w:rFonts w:cstheme="minorHAnsi"/>
          <w:szCs w:val="24"/>
        </w:rPr>
        <w:t xml:space="preserve"> </w:t>
      </w:r>
      <w:r w:rsidR="00272051">
        <w:rPr>
          <w:rFonts w:cstheme="minorHAnsi"/>
          <w:szCs w:val="24"/>
        </w:rPr>
        <w:t>onshore OGE workers</w:t>
      </w:r>
      <w:r w:rsidRPr="00BC0081">
        <w:rPr>
          <w:rFonts w:cstheme="minorHAnsi"/>
          <w:szCs w:val="24"/>
        </w:rPr>
        <w:t xml:space="preserve"> </w:t>
      </w:r>
      <w:r w:rsidR="00E7574A">
        <w:rPr>
          <w:rFonts w:cstheme="minorHAnsi"/>
          <w:szCs w:val="24"/>
        </w:rPr>
        <w:t>answered</w:t>
      </w:r>
      <w:r w:rsidRPr="00BC0081">
        <w:rPr>
          <w:rFonts w:cstheme="minorHAnsi"/>
          <w:szCs w:val="24"/>
        </w:rPr>
        <w:t xml:space="preserve"> questionnaires</w:t>
      </w:r>
      <w:r w:rsidR="00146E53">
        <w:rPr>
          <w:rFonts w:cstheme="minorHAnsi"/>
          <w:szCs w:val="24"/>
        </w:rPr>
        <w:t>,</w:t>
      </w:r>
      <w:r w:rsidRPr="00BC0081" w:rsidR="00146E53">
        <w:rPr>
          <w:rFonts w:cstheme="minorHAnsi"/>
          <w:szCs w:val="24"/>
        </w:rPr>
        <w:t xml:space="preserve"> </w:t>
      </w:r>
      <w:r w:rsidRPr="00BC0081">
        <w:rPr>
          <w:rFonts w:cstheme="minorHAnsi"/>
          <w:szCs w:val="24"/>
        </w:rPr>
        <w:t>participated in simulated interviews</w:t>
      </w:r>
      <w:r w:rsidR="00146E53">
        <w:rPr>
          <w:rFonts w:cstheme="minorHAnsi"/>
          <w:szCs w:val="24"/>
        </w:rPr>
        <w:t>, took PVT tests, and wore actigraphy watches</w:t>
      </w:r>
      <w:r w:rsidRPr="00BC0081">
        <w:rPr>
          <w:rFonts w:cstheme="minorHAnsi"/>
          <w:szCs w:val="24"/>
        </w:rPr>
        <w:t xml:space="preserve">. </w:t>
      </w:r>
      <w:r w:rsidR="00843EE1">
        <w:rPr>
          <w:rFonts w:cstheme="minorHAnsi"/>
          <w:szCs w:val="24"/>
        </w:rPr>
        <w:t xml:space="preserve">Data collected during the pilot was not saved or used to conduct any analyses. </w:t>
      </w:r>
      <w:r w:rsidRPr="00BC0081">
        <w:rPr>
          <w:rFonts w:cstheme="minorHAnsi"/>
          <w:szCs w:val="24"/>
        </w:rPr>
        <w:t xml:space="preserve">The average time to complete each instrument was recorded in Table A.12.A. </w:t>
      </w:r>
      <w:r w:rsidR="00E7574A">
        <w:rPr>
          <w:rFonts w:cstheme="minorHAnsi"/>
          <w:szCs w:val="24"/>
        </w:rPr>
        <w:t xml:space="preserve">We anticipate a total of </w:t>
      </w:r>
      <w:r w:rsidRPr="00BC0081">
        <w:rPr>
          <w:rFonts w:cstheme="minorHAnsi"/>
          <w:iCs/>
        </w:rPr>
        <w:t xml:space="preserve">80 </w:t>
      </w:r>
      <w:r w:rsidR="00E7574A">
        <w:rPr>
          <w:rFonts w:cstheme="minorHAnsi"/>
          <w:iCs/>
        </w:rPr>
        <w:t>participants will complete the field study</w:t>
      </w:r>
      <w:r w:rsidR="007F7470">
        <w:rPr>
          <w:rFonts w:cstheme="minorHAnsi"/>
          <w:iCs/>
        </w:rPr>
        <w:t>,</w:t>
      </w:r>
      <w:r w:rsidR="00272051">
        <w:rPr>
          <w:rFonts w:cstheme="minorHAnsi"/>
          <w:iCs/>
        </w:rPr>
        <w:t xml:space="preserve"> 40 will complete the </w:t>
      </w:r>
      <w:r w:rsidR="00E7574A">
        <w:rPr>
          <w:rFonts w:cstheme="minorHAnsi"/>
          <w:iCs/>
        </w:rPr>
        <w:t>focus groups</w:t>
      </w:r>
      <w:r w:rsidR="00272051">
        <w:rPr>
          <w:rFonts w:cstheme="minorHAnsi"/>
          <w:iCs/>
        </w:rPr>
        <w:t xml:space="preserve"> and </w:t>
      </w:r>
      <w:r w:rsidR="00E7574A">
        <w:rPr>
          <w:rFonts w:cstheme="minorHAnsi"/>
          <w:iCs/>
        </w:rPr>
        <w:t>interviews</w:t>
      </w:r>
      <w:r w:rsidR="003233EB">
        <w:rPr>
          <w:rFonts w:cstheme="minorHAnsi"/>
          <w:iCs/>
        </w:rPr>
        <w:t xml:space="preserve"> (from the same subset from the field study), and 10 will complete the leader interviews</w:t>
      </w:r>
      <w:r w:rsidR="00E7574A">
        <w:rPr>
          <w:rFonts w:cstheme="minorHAnsi"/>
          <w:iCs/>
        </w:rPr>
        <w:t xml:space="preserve">. If this annualized over </w:t>
      </w:r>
      <w:r w:rsidRPr="00FD4110">
        <w:rPr>
          <w:rFonts w:cstheme="minorHAnsi"/>
          <w:iCs/>
        </w:rPr>
        <w:t>3 years</w:t>
      </w:r>
      <w:r w:rsidR="00E7574A">
        <w:rPr>
          <w:rFonts w:cstheme="minorHAnsi"/>
          <w:iCs/>
        </w:rPr>
        <w:t xml:space="preserve">, it equates to </w:t>
      </w:r>
      <w:r w:rsidR="003233EB">
        <w:rPr>
          <w:rFonts w:cstheme="minorHAnsi"/>
          <w:iCs/>
        </w:rPr>
        <w:t>30</w:t>
      </w:r>
      <w:r w:rsidRPr="00FD4110">
        <w:rPr>
          <w:rFonts w:cstheme="minorHAnsi"/>
          <w:iCs/>
        </w:rPr>
        <w:t xml:space="preserve"> respondents per year. </w:t>
      </w:r>
      <w:r w:rsidR="006A0FA3">
        <w:rPr>
          <w:rFonts w:cstheme="minorHAnsi"/>
          <w:iCs/>
        </w:rPr>
        <w:t>T</w:t>
      </w:r>
      <w:r w:rsidRPr="00FD4110">
        <w:rPr>
          <w:rFonts w:cstheme="minorHAnsi"/>
          <w:iCs/>
        </w:rPr>
        <w:t xml:space="preserve">he approximate total burden is an </w:t>
      </w:r>
      <w:r w:rsidRPr="006A0FA3">
        <w:rPr>
          <w:rFonts w:cstheme="minorHAnsi"/>
          <w:iCs/>
        </w:rPr>
        <w:t>annualized 1</w:t>
      </w:r>
      <w:r w:rsidR="003233EB">
        <w:rPr>
          <w:rFonts w:cstheme="minorHAnsi"/>
          <w:iCs/>
        </w:rPr>
        <w:t>35</w:t>
      </w:r>
      <w:r w:rsidRPr="006A0FA3">
        <w:rPr>
          <w:rFonts w:cstheme="minorHAnsi"/>
          <w:iCs/>
        </w:rPr>
        <w:t xml:space="preserve"> hours</w:t>
      </w:r>
      <w:r w:rsidRPr="006A0FA3" w:rsidR="006A0FA3">
        <w:rPr>
          <w:rFonts w:cstheme="minorHAnsi"/>
          <w:iCs/>
        </w:rPr>
        <w:t>.</w:t>
      </w:r>
      <w:r w:rsidR="006A0FA3">
        <w:rPr>
          <w:rFonts w:cstheme="minorHAnsi"/>
          <w:iCs/>
        </w:rPr>
        <w:t xml:space="preserve"> </w:t>
      </w:r>
      <w:r w:rsidRPr="00FD4110">
        <w:rPr>
          <w:rFonts w:cstheme="minorHAnsi"/>
          <w:iCs/>
        </w:rPr>
        <w:t xml:space="preserve">There is no cost to the respondents aside from their time. </w:t>
      </w:r>
    </w:p>
    <w:p w:rsidR="00B96CF3" w:rsidRPr="006A0FA3" w:rsidP="006A0FA3" w14:paraId="53224411" w14:textId="664606BE">
      <w:pPr>
        <w:rPr>
          <w:b/>
          <w:bCs/>
        </w:rPr>
      </w:pPr>
      <w:r>
        <w:rPr>
          <w:b/>
          <w:bCs/>
        </w:rPr>
        <w:t xml:space="preserve">Table A.12.A: </w:t>
      </w:r>
      <w:r w:rsidRPr="006A0FA3" w:rsidR="00FD4110">
        <w:rPr>
          <w:b/>
          <w:bCs/>
        </w:rPr>
        <w:t>Estimates of Annualized Burden Hours</w:t>
      </w:r>
    </w:p>
    <w:tbl>
      <w:tblPr>
        <w:tblStyle w:val="TableGrid"/>
        <w:tblCaption w:val="Example Table, Table A12: Estimated Annualized Burden Costs"/>
        <w:tblDescription w:val="Example Table, Table A12: Estimated Annualized Burden Costs"/>
        <w:tblW w:w="9327" w:type="dxa"/>
        <w:tblInd w:w="497" w:type="dxa"/>
        <w:tblLook w:val="04A0"/>
      </w:tblPr>
      <w:tblGrid>
        <w:gridCol w:w="1896"/>
        <w:gridCol w:w="1836"/>
        <w:gridCol w:w="1511"/>
        <w:gridCol w:w="1636"/>
        <w:gridCol w:w="1463"/>
        <w:gridCol w:w="985"/>
      </w:tblGrid>
      <w:tr w14:paraId="7A69033F" w14:textId="77777777" w:rsidTr="00E7574A">
        <w:tblPrEx>
          <w:tblW w:w="9327" w:type="dxa"/>
          <w:tblInd w:w="497" w:type="dxa"/>
          <w:tblLook w:val="04A0"/>
        </w:tblPrEx>
        <w:trPr>
          <w:trHeight w:val="1134"/>
          <w:tblHeader/>
        </w:trPr>
        <w:tc>
          <w:tcPr>
            <w:tcW w:w="1896" w:type="dxa"/>
          </w:tcPr>
          <w:p w:rsidR="00B96CF3" w:rsidRPr="006A0FA3" w:rsidP="005F15C5" w14:paraId="2195CA0A" w14:textId="77777777">
            <w:pPr>
              <w:spacing w:line="276" w:lineRule="auto"/>
              <w:rPr>
                <w:rFonts w:cstheme="minorHAnsi"/>
                <w:b/>
                <w:bCs/>
              </w:rPr>
            </w:pPr>
            <w:r w:rsidRPr="006A0FA3">
              <w:rPr>
                <w:rFonts w:cstheme="minorHAnsi"/>
                <w:b/>
                <w:bCs/>
              </w:rPr>
              <w:t>Type of Respondents</w:t>
            </w:r>
          </w:p>
        </w:tc>
        <w:tc>
          <w:tcPr>
            <w:tcW w:w="1836" w:type="dxa"/>
          </w:tcPr>
          <w:p w:rsidR="00B96CF3" w:rsidRPr="006A0FA3" w:rsidP="005F15C5" w14:paraId="0A74B27C" w14:textId="77777777">
            <w:pPr>
              <w:spacing w:line="276" w:lineRule="auto"/>
              <w:rPr>
                <w:rFonts w:cstheme="minorHAnsi"/>
                <w:b/>
                <w:bCs/>
              </w:rPr>
            </w:pPr>
            <w:r w:rsidRPr="006A0FA3">
              <w:rPr>
                <w:rFonts w:cstheme="minorHAnsi"/>
                <w:b/>
                <w:bCs/>
              </w:rPr>
              <w:t>Form Name</w:t>
            </w:r>
          </w:p>
        </w:tc>
        <w:tc>
          <w:tcPr>
            <w:tcW w:w="1511" w:type="dxa"/>
          </w:tcPr>
          <w:p w:rsidR="00B96CF3" w:rsidRPr="006A0FA3" w:rsidP="005F15C5" w14:paraId="39EFF226" w14:textId="77777777">
            <w:pPr>
              <w:spacing w:line="276" w:lineRule="auto"/>
              <w:rPr>
                <w:rFonts w:cstheme="minorHAnsi"/>
                <w:b/>
                <w:bCs/>
              </w:rPr>
            </w:pPr>
            <w:r w:rsidRPr="006A0FA3">
              <w:rPr>
                <w:rFonts w:cstheme="minorHAnsi"/>
                <w:b/>
                <w:bCs/>
              </w:rPr>
              <w:t>No. of Respondents</w:t>
            </w:r>
          </w:p>
        </w:tc>
        <w:tc>
          <w:tcPr>
            <w:tcW w:w="1636" w:type="dxa"/>
          </w:tcPr>
          <w:p w:rsidR="00B96CF3" w:rsidRPr="006A0FA3" w:rsidP="005F15C5" w14:paraId="45297100" w14:textId="77777777">
            <w:pPr>
              <w:spacing w:line="276" w:lineRule="auto"/>
              <w:rPr>
                <w:rFonts w:cstheme="minorHAnsi"/>
                <w:b/>
                <w:bCs/>
              </w:rPr>
            </w:pPr>
            <w:r w:rsidRPr="006A0FA3">
              <w:rPr>
                <w:rFonts w:cstheme="minorHAnsi"/>
                <w:b/>
                <w:bCs/>
              </w:rPr>
              <w:t>No. of Responses per Respondent</w:t>
            </w:r>
          </w:p>
        </w:tc>
        <w:tc>
          <w:tcPr>
            <w:tcW w:w="1463" w:type="dxa"/>
          </w:tcPr>
          <w:p w:rsidR="00B96CF3" w:rsidRPr="006A0FA3" w:rsidP="005F15C5" w14:paraId="61E0D4A1" w14:textId="77777777">
            <w:pPr>
              <w:spacing w:line="276" w:lineRule="auto"/>
              <w:rPr>
                <w:rFonts w:cstheme="minorHAnsi"/>
                <w:b/>
                <w:bCs/>
              </w:rPr>
            </w:pPr>
            <w:r w:rsidRPr="006A0FA3">
              <w:rPr>
                <w:rFonts w:cstheme="minorHAnsi"/>
                <w:b/>
                <w:bCs/>
              </w:rPr>
              <w:t>Average Burden per Response (in hours)</w:t>
            </w:r>
          </w:p>
        </w:tc>
        <w:tc>
          <w:tcPr>
            <w:tcW w:w="985" w:type="dxa"/>
          </w:tcPr>
          <w:p w:rsidR="00B96CF3" w:rsidRPr="006A0FA3" w:rsidP="005F15C5" w14:paraId="094A1735" w14:textId="77777777">
            <w:pPr>
              <w:spacing w:line="276" w:lineRule="auto"/>
              <w:rPr>
                <w:rFonts w:cstheme="minorHAnsi"/>
                <w:b/>
                <w:bCs/>
              </w:rPr>
            </w:pPr>
            <w:r w:rsidRPr="006A0FA3">
              <w:rPr>
                <w:rFonts w:cstheme="minorHAnsi"/>
                <w:b/>
                <w:bCs/>
              </w:rPr>
              <w:t>Total Burden Hours</w:t>
            </w:r>
          </w:p>
        </w:tc>
      </w:tr>
      <w:tr w14:paraId="6BD23E3F" w14:textId="77777777" w:rsidTr="00BF14A6">
        <w:tblPrEx>
          <w:tblW w:w="9327" w:type="dxa"/>
          <w:tblInd w:w="497" w:type="dxa"/>
          <w:tblLook w:val="04A0"/>
        </w:tblPrEx>
        <w:tc>
          <w:tcPr>
            <w:tcW w:w="9327" w:type="dxa"/>
            <w:gridSpan w:val="6"/>
            <w:shd w:val="clear" w:color="auto" w:fill="E7E6E6" w:themeFill="background2"/>
          </w:tcPr>
          <w:p w:rsidR="00E7574A" w:rsidRPr="00BF14A6" w:rsidP="00BF14A6" w14:paraId="74AB5469" w14:textId="01AC1100">
            <w:pPr>
              <w:spacing w:line="276" w:lineRule="auto"/>
              <w:rPr>
                <w:rFonts w:cstheme="minorHAnsi"/>
                <w:b/>
                <w:bCs/>
              </w:rPr>
            </w:pPr>
            <w:r w:rsidRPr="00BF14A6">
              <w:rPr>
                <w:rFonts w:cstheme="minorHAnsi"/>
                <w:b/>
                <w:bCs/>
              </w:rPr>
              <w:t xml:space="preserve">Aim 1) Field study </w:t>
            </w:r>
            <w:r w:rsidR="00BF14A6">
              <w:rPr>
                <w:rFonts w:cstheme="minorHAnsi"/>
                <w:b/>
                <w:bCs/>
              </w:rPr>
              <w:t xml:space="preserve">                                                                                           </w:t>
            </w:r>
            <w:r w:rsidR="00B80FF5">
              <w:rPr>
                <w:rFonts w:cstheme="minorHAnsi"/>
                <w:b/>
                <w:bCs/>
              </w:rPr>
              <w:t xml:space="preserve">Total Burden hours = </w:t>
            </w:r>
            <w:r w:rsidR="00BF14A6">
              <w:rPr>
                <w:rFonts w:cstheme="minorHAnsi"/>
                <w:b/>
                <w:bCs/>
              </w:rPr>
              <w:t>339</w:t>
            </w:r>
            <w:r w:rsidR="00B80FF5">
              <w:rPr>
                <w:rFonts w:cstheme="minorHAnsi"/>
                <w:b/>
                <w:bCs/>
              </w:rPr>
              <w:t xml:space="preserve"> hours</w:t>
            </w:r>
          </w:p>
        </w:tc>
      </w:tr>
      <w:tr w14:paraId="2C3EDF0A" w14:textId="77777777" w:rsidTr="00E7574A">
        <w:tblPrEx>
          <w:tblW w:w="9327" w:type="dxa"/>
          <w:tblInd w:w="497" w:type="dxa"/>
          <w:tblLook w:val="04A0"/>
        </w:tblPrEx>
        <w:tc>
          <w:tcPr>
            <w:tcW w:w="1896" w:type="dxa"/>
          </w:tcPr>
          <w:p w:rsidR="00B96CF3" w:rsidRPr="006A0FA3" w:rsidP="005F15C5" w14:paraId="29AE9487" w14:textId="77777777">
            <w:pPr>
              <w:spacing w:line="276" w:lineRule="auto"/>
              <w:rPr>
                <w:rFonts w:cstheme="minorHAnsi"/>
              </w:rPr>
            </w:pPr>
            <w:r w:rsidRPr="006A0FA3">
              <w:rPr>
                <w:rFonts w:cstheme="minorHAnsi"/>
              </w:rPr>
              <w:t>Land-based OGE workers</w:t>
            </w:r>
          </w:p>
        </w:tc>
        <w:tc>
          <w:tcPr>
            <w:tcW w:w="1836" w:type="dxa"/>
          </w:tcPr>
          <w:p w:rsidR="00B96CF3" w:rsidRPr="006A0FA3" w:rsidP="005F15C5" w14:paraId="2984D6A3" w14:textId="77777777">
            <w:pPr>
              <w:spacing w:line="276" w:lineRule="auto"/>
              <w:rPr>
                <w:rFonts w:cstheme="minorHAnsi"/>
              </w:rPr>
            </w:pPr>
            <w:r w:rsidRPr="006A0FA3">
              <w:rPr>
                <w:rFonts w:cstheme="minorHAnsi"/>
              </w:rPr>
              <w:t>Baseline Questionnaire</w:t>
            </w:r>
          </w:p>
        </w:tc>
        <w:tc>
          <w:tcPr>
            <w:tcW w:w="1511" w:type="dxa"/>
          </w:tcPr>
          <w:p w:rsidR="00B96CF3" w:rsidRPr="006A0FA3" w:rsidP="005F15C5" w14:paraId="682AEBA7" w14:textId="77777777">
            <w:pPr>
              <w:spacing w:line="276" w:lineRule="auto"/>
              <w:rPr>
                <w:rFonts w:cstheme="minorHAnsi"/>
              </w:rPr>
            </w:pPr>
            <w:r w:rsidRPr="006A0FA3">
              <w:rPr>
                <w:rFonts w:cstheme="minorHAnsi"/>
              </w:rPr>
              <w:t>80</w:t>
            </w:r>
          </w:p>
        </w:tc>
        <w:tc>
          <w:tcPr>
            <w:tcW w:w="1636" w:type="dxa"/>
          </w:tcPr>
          <w:p w:rsidR="00B96CF3" w:rsidRPr="006A0FA3" w:rsidP="005F15C5" w14:paraId="519F4799" w14:textId="77777777">
            <w:pPr>
              <w:spacing w:line="276" w:lineRule="auto"/>
              <w:rPr>
                <w:rFonts w:cstheme="minorHAnsi"/>
              </w:rPr>
            </w:pPr>
            <w:r w:rsidRPr="006A0FA3">
              <w:rPr>
                <w:rFonts w:cstheme="minorHAnsi"/>
              </w:rPr>
              <w:t>1</w:t>
            </w:r>
          </w:p>
        </w:tc>
        <w:tc>
          <w:tcPr>
            <w:tcW w:w="1463" w:type="dxa"/>
          </w:tcPr>
          <w:p w:rsidR="00B96CF3" w:rsidRPr="006A0FA3" w:rsidP="005F15C5" w14:paraId="668AA1EE" w14:textId="3C1B7A78">
            <w:pPr>
              <w:spacing w:line="276" w:lineRule="auto"/>
              <w:rPr>
                <w:rFonts w:cstheme="minorHAnsi"/>
              </w:rPr>
            </w:pPr>
            <w:r w:rsidRPr="006A0FA3">
              <w:rPr>
                <w:rFonts w:cstheme="minorHAnsi"/>
              </w:rPr>
              <w:t>1</w:t>
            </w:r>
            <w:r w:rsidRPr="006A0FA3" w:rsidR="00FD4110">
              <w:rPr>
                <w:rFonts w:cstheme="minorHAnsi"/>
              </w:rPr>
              <w:t>5</w:t>
            </w:r>
            <w:r w:rsidRPr="006A0FA3">
              <w:rPr>
                <w:rFonts w:cstheme="minorHAnsi"/>
              </w:rPr>
              <w:t xml:space="preserve">/60 </w:t>
            </w:r>
          </w:p>
        </w:tc>
        <w:tc>
          <w:tcPr>
            <w:tcW w:w="985" w:type="dxa"/>
          </w:tcPr>
          <w:p w:rsidR="00B96CF3" w:rsidRPr="006A0FA3" w:rsidP="005F15C5" w14:paraId="6F731022" w14:textId="73428C1B">
            <w:pPr>
              <w:spacing w:line="276" w:lineRule="auto"/>
              <w:rPr>
                <w:rFonts w:cstheme="minorHAnsi"/>
              </w:rPr>
            </w:pPr>
            <w:r w:rsidRPr="006A0FA3">
              <w:rPr>
                <w:rFonts w:cstheme="minorHAnsi"/>
              </w:rPr>
              <w:t>20</w:t>
            </w:r>
          </w:p>
        </w:tc>
      </w:tr>
      <w:tr w14:paraId="21A037D0" w14:textId="77777777" w:rsidTr="00E7574A">
        <w:tblPrEx>
          <w:tblW w:w="9327" w:type="dxa"/>
          <w:tblInd w:w="497" w:type="dxa"/>
          <w:tblLook w:val="04A0"/>
        </w:tblPrEx>
        <w:tc>
          <w:tcPr>
            <w:tcW w:w="1896" w:type="dxa"/>
          </w:tcPr>
          <w:p w:rsidR="00B96CF3" w:rsidRPr="006A0FA3" w:rsidP="005F15C5" w14:paraId="02FF51B0" w14:textId="77777777">
            <w:pPr>
              <w:spacing w:line="276" w:lineRule="auto"/>
              <w:rPr>
                <w:rFonts w:cstheme="minorHAnsi"/>
              </w:rPr>
            </w:pPr>
            <w:r w:rsidRPr="006A0FA3">
              <w:rPr>
                <w:rFonts w:cstheme="minorHAnsi"/>
              </w:rPr>
              <w:t>Land-based OGE workers</w:t>
            </w:r>
          </w:p>
        </w:tc>
        <w:tc>
          <w:tcPr>
            <w:tcW w:w="1836" w:type="dxa"/>
          </w:tcPr>
          <w:p w:rsidR="00B96CF3" w:rsidRPr="006A0FA3" w:rsidP="005F15C5" w14:paraId="17ED7241" w14:textId="77777777">
            <w:pPr>
              <w:spacing w:line="276" w:lineRule="auto"/>
              <w:rPr>
                <w:rFonts w:cstheme="minorHAnsi"/>
              </w:rPr>
            </w:pPr>
            <w:r w:rsidRPr="006A0FA3">
              <w:rPr>
                <w:rFonts w:cstheme="minorHAnsi"/>
                <w:color w:val="000000"/>
              </w:rPr>
              <w:t>Daily Pre-Shift Questionnaires</w:t>
            </w:r>
          </w:p>
        </w:tc>
        <w:tc>
          <w:tcPr>
            <w:tcW w:w="1511" w:type="dxa"/>
          </w:tcPr>
          <w:p w:rsidR="00B96CF3" w:rsidRPr="006A0FA3" w:rsidP="005F15C5" w14:paraId="0B44ECA1" w14:textId="77777777">
            <w:pPr>
              <w:spacing w:line="276" w:lineRule="auto"/>
              <w:rPr>
                <w:rFonts w:cstheme="minorHAnsi"/>
              </w:rPr>
            </w:pPr>
            <w:r w:rsidRPr="006A0FA3">
              <w:rPr>
                <w:rFonts w:cstheme="minorHAnsi"/>
                <w:color w:val="000000"/>
              </w:rPr>
              <w:t>80</w:t>
            </w:r>
          </w:p>
        </w:tc>
        <w:tc>
          <w:tcPr>
            <w:tcW w:w="1636" w:type="dxa"/>
          </w:tcPr>
          <w:p w:rsidR="00B96CF3" w:rsidRPr="006A0FA3" w:rsidP="005F15C5" w14:paraId="6E368BC4" w14:textId="77777777">
            <w:pPr>
              <w:spacing w:line="276" w:lineRule="auto"/>
              <w:rPr>
                <w:rFonts w:cstheme="minorHAnsi"/>
              </w:rPr>
            </w:pPr>
            <w:r w:rsidRPr="006A0FA3">
              <w:rPr>
                <w:rFonts w:cstheme="minorHAnsi"/>
                <w:color w:val="000000"/>
              </w:rPr>
              <w:t>14</w:t>
            </w:r>
          </w:p>
        </w:tc>
        <w:tc>
          <w:tcPr>
            <w:tcW w:w="1463" w:type="dxa"/>
          </w:tcPr>
          <w:p w:rsidR="00B96CF3" w:rsidRPr="006A0FA3" w:rsidP="005F15C5" w14:paraId="3D9CCFA5" w14:textId="77777777">
            <w:pPr>
              <w:spacing w:line="276" w:lineRule="auto"/>
              <w:rPr>
                <w:rFonts w:cstheme="minorHAnsi"/>
              </w:rPr>
            </w:pPr>
            <w:r w:rsidRPr="006A0FA3">
              <w:rPr>
                <w:rFonts w:cstheme="minorHAnsi"/>
                <w:color w:val="000000"/>
              </w:rPr>
              <w:t>3/60</w:t>
            </w:r>
          </w:p>
        </w:tc>
        <w:tc>
          <w:tcPr>
            <w:tcW w:w="985" w:type="dxa"/>
          </w:tcPr>
          <w:p w:rsidR="00B96CF3" w:rsidRPr="006A0FA3" w:rsidP="005F15C5" w14:paraId="43D6C715" w14:textId="77777777">
            <w:pPr>
              <w:spacing w:line="276" w:lineRule="auto"/>
              <w:rPr>
                <w:rFonts w:cstheme="minorHAnsi"/>
              </w:rPr>
            </w:pPr>
            <w:r w:rsidRPr="006A0FA3">
              <w:rPr>
                <w:rFonts w:cstheme="minorHAnsi"/>
                <w:color w:val="000000"/>
              </w:rPr>
              <w:t>56</w:t>
            </w:r>
          </w:p>
        </w:tc>
      </w:tr>
      <w:tr w14:paraId="04D21F67" w14:textId="77777777" w:rsidTr="00E7574A">
        <w:tblPrEx>
          <w:tblW w:w="9327" w:type="dxa"/>
          <w:tblInd w:w="497" w:type="dxa"/>
          <w:tblLook w:val="04A0"/>
        </w:tblPrEx>
        <w:tc>
          <w:tcPr>
            <w:tcW w:w="1896" w:type="dxa"/>
          </w:tcPr>
          <w:p w:rsidR="00B96CF3" w:rsidRPr="006A0FA3" w:rsidP="005F15C5" w14:paraId="1A89EF78" w14:textId="77777777">
            <w:pPr>
              <w:spacing w:line="276" w:lineRule="auto"/>
              <w:rPr>
                <w:rFonts w:cstheme="minorHAnsi"/>
              </w:rPr>
            </w:pPr>
            <w:r w:rsidRPr="006A0FA3">
              <w:rPr>
                <w:rFonts w:cstheme="minorHAnsi"/>
              </w:rPr>
              <w:t>Land-based OGE workers</w:t>
            </w:r>
          </w:p>
        </w:tc>
        <w:tc>
          <w:tcPr>
            <w:tcW w:w="1836" w:type="dxa"/>
          </w:tcPr>
          <w:p w:rsidR="00B96CF3" w:rsidRPr="006A0FA3" w:rsidP="005F15C5" w14:paraId="38B49E51" w14:textId="77777777">
            <w:pPr>
              <w:spacing w:line="276" w:lineRule="auto"/>
              <w:rPr>
                <w:rFonts w:cstheme="minorHAnsi"/>
              </w:rPr>
            </w:pPr>
            <w:r w:rsidRPr="006A0FA3">
              <w:rPr>
                <w:rFonts w:cstheme="minorHAnsi"/>
                <w:color w:val="000000" w:themeColor="text1"/>
              </w:rPr>
              <w:t>Daily Post-Shift Questionnaires</w:t>
            </w:r>
          </w:p>
        </w:tc>
        <w:tc>
          <w:tcPr>
            <w:tcW w:w="1511" w:type="dxa"/>
          </w:tcPr>
          <w:p w:rsidR="00B96CF3" w:rsidRPr="006A0FA3" w:rsidP="005F15C5" w14:paraId="042A6D76" w14:textId="77777777">
            <w:pPr>
              <w:spacing w:line="276" w:lineRule="auto"/>
              <w:rPr>
                <w:rFonts w:cstheme="minorHAnsi"/>
              </w:rPr>
            </w:pPr>
            <w:r w:rsidRPr="006A0FA3">
              <w:rPr>
                <w:rFonts w:cstheme="minorHAnsi"/>
                <w:color w:val="000000"/>
              </w:rPr>
              <w:t>80</w:t>
            </w:r>
          </w:p>
        </w:tc>
        <w:tc>
          <w:tcPr>
            <w:tcW w:w="1636" w:type="dxa"/>
          </w:tcPr>
          <w:p w:rsidR="00B96CF3" w:rsidRPr="006A0FA3" w:rsidP="005F15C5" w14:paraId="6AB5E7C9" w14:textId="77777777">
            <w:pPr>
              <w:spacing w:line="276" w:lineRule="auto"/>
              <w:rPr>
                <w:rFonts w:cstheme="minorHAnsi"/>
              </w:rPr>
            </w:pPr>
            <w:r w:rsidRPr="006A0FA3">
              <w:rPr>
                <w:rFonts w:cstheme="minorHAnsi"/>
                <w:color w:val="000000"/>
              </w:rPr>
              <w:t>14</w:t>
            </w:r>
          </w:p>
        </w:tc>
        <w:tc>
          <w:tcPr>
            <w:tcW w:w="1463" w:type="dxa"/>
          </w:tcPr>
          <w:p w:rsidR="00B96CF3" w:rsidRPr="006A0FA3" w:rsidP="005F15C5" w14:paraId="5F89F265" w14:textId="77777777">
            <w:pPr>
              <w:spacing w:line="276" w:lineRule="auto"/>
              <w:rPr>
                <w:rFonts w:cstheme="minorHAnsi"/>
              </w:rPr>
            </w:pPr>
            <w:r w:rsidRPr="006A0FA3">
              <w:rPr>
                <w:rFonts w:cstheme="minorHAnsi"/>
                <w:color w:val="000000"/>
              </w:rPr>
              <w:t>3/60</w:t>
            </w:r>
          </w:p>
        </w:tc>
        <w:tc>
          <w:tcPr>
            <w:tcW w:w="985" w:type="dxa"/>
          </w:tcPr>
          <w:p w:rsidR="00B96CF3" w:rsidRPr="006A0FA3" w:rsidP="005F15C5" w14:paraId="4A24E781" w14:textId="77777777">
            <w:pPr>
              <w:spacing w:line="276" w:lineRule="auto"/>
              <w:rPr>
                <w:rFonts w:cstheme="minorHAnsi"/>
              </w:rPr>
            </w:pPr>
            <w:r w:rsidRPr="006A0FA3">
              <w:rPr>
                <w:rFonts w:cstheme="minorHAnsi"/>
                <w:color w:val="000000"/>
              </w:rPr>
              <w:t>56</w:t>
            </w:r>
          </w:p>
        </w:tc>
      </w:tr>
      <w:tr w14:paraId="0BC236CB" w14:textId="77777777" w:rsidTr="00E7574A">
        <w:tblPrEx>
          <w:tblW w:w="9327" w:type="dxa"/>
          <w:tblInd w:w="497" w:type="dxa"/>
          <w:tblLook w:val="04A0"/>
        </w:tblPrEx>
        <w:tc>
          <w:tcPr>
            <w:tcW w:w="1896" w:type="dxa"/>
          </w:tcPr>
          <w:p w:rsidR="00B96CF3" w:rsidRPr="006A0FA3" w:rsidP="005F15C5" w14:paraId="0C0B563D" w14:textId="77777777">
            <w:pPr>
              <w:spacing w:line="276" w:lineRule="auto"/>
              <w:rPr>
                <w:rFonts w:cstheme="minorHAnsi"/>
              </w:rPr>
            </w:pPr>
            <w:r w:rsidRPr="006A0FA3">
              <w:rPr>
                <w:rFonts w:cstheme="minorHAnsi"/>
              </w:rPr>
              <w:t>Land-based OGE workers</w:t>
            </w:r>
          </w:p>
        </w:tc>
        <w:tc>
          <w:tcPr>
            <w:tcW w:w="1836" w:type="dxa"/>
          </w:tcPr>
          <w:p w:rsidR="00B96CF3" w:rsidRPr="006A0FA3" w:rsidP="005F15C5" w14:paraId="29F80EE5" w14:textId="7CA9E58B">
            <w:pPr>
              <w:spacing w:line="276" w:lineRule="auto"/>
              <w:rPr>
                <w:rFonts w:cstheme="minorHAnsi"/>
                <w:color w:val="000000" w:themeColor="text1"/>
              </w:rPr>
            </w:pPr>
            <w:r w:rsidRPr="006A0FA3">
              <w:rPr>
                <w:rFonts w:cstheme="minorHAnsi"/>
                <w:color w:val="000000" w:themeColor="text1"/>
              </w:rPr>
              <w:t>Psychomotor Vigilance Test (PVT)</w:t>
            </w:r>
            <w:r w:rsidR="00660763">
              <w:rPr>
                <w:rFonts w:cstheme="minorHAnsi"/>
                <w:color w:val="000000" w:themeColor="text1"/>
              </w:rPr>
              <w:t xml:space="preserve"> – no form</w:t>
            </w:r>
          </w:p>
        </w:tc>
        <w:tc>
          <w:tcPr>
            <w:tcW w:w="1511" w:type="dxa"/>
          </w:tcPr>
          <w:p w:rsidR="00B96CF3" w:rsidRPr="006A0FA3" w:rsidP="005F15C5" w14:paraId="2C602B87" w14:textId="77777777">
            <w:pPr>
              <w:spacing w:line="276" w:lineRule="auto"/>
              <w:rPr>
                <w:rFonts w:cstheme="minorHAnsi"/>
                <w:color w:val="000000"/>
              </w:rPr>
            </w:pPr>
            <w:r w:rsidRPr="006A0FA3">
              <w:rPr>
                <w:rFonts w:cstheme="minorHAnsi"/>
                <w:color w:val="000000"/>
              </w:rPr>
              <w:t>80</w:t>
            </w:r>
          </w:p>
        </w:tc>
        <w:tc>
          <w:tcPr>
            <w:tcW w:w="1636" w:type="dxa"/>
          </w:tcPr>
          <w:p w:rsidR="00B96CF3" w:rsidRPr="006A0FA3" w:rsidP="005F15C5" w14:paraId="0072A6B3" w14:textId="77777777">
            <w:pPr>
              <w:spacing w:line="276" w:lineRule="auto"/>
              <w:rPr>
                <w:rFonts w:cstheme="minorHAnsi"/>
                <w:color w:val="000000"/>
              </w:rPr>
            </w:pPr>
            <w:r w:rsidRPr="006A0FA3">
              <w:rPr>
                <w:rFonts w:cstheme="minorHAnsi"/>
                <w:color w:val="000000"/>
              </w:rPr>
              <w:t>28</w:t>
            </w:r>
          </w:p>
        </w:tc>
        <w:tc>
          <w:tcPr>
            <w:tcW w:w="1463" w:type="dxa"/>
          </w:tcPr>
          <w:p w:rsidR="00B96CF3" w:rsidRPr="006A0FA3" w:rsidP="005F15C5" w14:paraId="4971CD89" w14:textId="20028EA3">
            <w:pPr>
              <w:spacing w:line="276" w:lineRule="auto"/>
              <w:rPr>
                <w:rFonts w:cstheme="minorHAnsi"/>
                <w:color w:val="000000"/>
              </w:rPr>
            </w:pPr>
            <w:r w:rsidRPr="006A0FA3">
              <w:rPr>
                <w:rFonts w:cstheme="minorHAnsi"/>
                <w:color w:val="000000"/>
              </w:rPr>
              <w:t>5</w:t>
            </w:r>
            <w:r w:rsidRPr="006A0FA3">
              <w:rPr>
                <w:rFonts w:cstheme="minorHAnsi"/>
                <w:color w:val="000000"/>
              </w:rPr>
              <w:t>/60</w:t>
            </w:r>
          </w:p>
        </w:tc>
        <w:tc>
          <w:tcPr>
            <w:tcW w:w="985" w:type="dxa"/>
          </w:tcPr>
          <w:p w:rsidR="00B96CF3" w:rsidRPr="006A0FA3" w:rsidP="005F15C5" w14:paraId="2DE6D691" w14:textId="2AA84EC7">
            <w:pPr>
              <w:spacing w:line="276" w:lineRule="auto"/>
              <w:rPr>
                <w:rFonts w:cstheme="minorHAnsi"/>
                <w:color w:val="000000"/>
              </w:rPr>
            </w:pPr>
            <w:r w:rsidRPr="006A0FA3">
              <w:rPr>
                <w:rFonts w:cstheme="minorHAnsi"/>
                <w:color w:val="000000"/>
              </w:rPr>
              <w:t>1</w:t>
            </w:r>
            <w:r w:rsidRPr="006A0FA3" w:rsidR="00FD4110">
              <w:rPr>
                <w:rFonts w:cstheme="minorHAnsi"/>
                <w:color w:val="000000"/>
              </w:rPr>
              <w:t>87</w:t>
            </w:r>
          </w:p>
        </w:tc>
      </w:tr>
      <w:tr w14:paraId="7859FCE0" w14:textId="77777777" w:rsidTr="00E7574A">
        <w:tblPrEx>
          <w:tblW w:w="9327" w:type="dxa"/>
          <w:tblInd w:w="497" w:type="dxa"/>
          <w:tblLook w:val="04A0"/>
        </w:tblPrEx>
        <w:tc>
          <w:tcPr>
            <w:tcW w:w="1896" w:type="dxa"/>
          </w:tcPr>
          <w:p w:rsidR="00272051" w:rsidRPr="006A0FA3" w:rsidP="005F15C5" w14:paraId="71898D16" w14:textId="6CEF8B29">
            <w:pPr>
              <w:spacing w:line="276" w:lineRule="auto"/>
              <w:rPr>
                <w:rFonts w:cstheme="minorHAnsi"/>
              </w:rPr>
            </w:pPr>
            <w:r w:rsidRPr="006A0FA3">
              <w:rPr>
                <w:rFonts w:cstheme="minorHAnsi"/>
              </w:rPr>
              <w:t>Land-based OGE workers</w:t>
            </w:r>
          </w:p>
        </w:tc>
        <w:tc>
          <w:tcPr>
            <w:tcW w:w="1836" w:type="dxa"/>
          </w:tcPr>
          <w:p w:rsidR="00272051" w:rsidRPr="006A0FA3" w:rsidP="005F15C5" w14:paraId="44F68A5D" w14:textId="437EC2DC">
            <w:pPr>
              <w:spacing w:line="276" w:lineRule="auto"/>
              <w:rPr>
                <w:rFonts w:cstheme="minorHAnsi"/>
                <w:color w:val="000000" w:themeColor="text1"/>
              </w:rPr>
            </w:pPr>
            <w:r>
              <w:rPr>
                <w:rFonts w:cstheme="minorHAnsi"/>
                <w:color w:val="000000" w:themeColor="text1"/>
              </w:rPr>
              <w:t>Actigraphy*</w:t>
            </w:r>
          </w:p>
        </w:tc>
        <w:tc>
          <w:tcPr>
            <w:tcW w:w="1511" w:type="dxa"/>
          </w:tcPr>
          <w:p w:rsidR="00272051" w:rsidRPr="006A0FA3" w:rsidP="005F15C5" w14:paraId="4126F7EA" w14:textId="76B99AAB">
            <w:pPr>
              <w:spacing w:line="276" w:lineRule="auto"/>
              <w:rPr>
                <w:rFonts w:cstheme="minorHAnsi"/>
                <w:color w:val="000000"/>
              </w:rPr>
            </w:pPr>
            <w:r>
              <w:rPr>
                <w:rFonts w:cstheme="minorHAnsi"/>
                <w:color w:val="000000"/>
              </w:rPr>
              <w:t>80</w:t>
            </w:r>
          </w:p>
        </w:tc>
        <w:tc>
          <w:tcPr>
            <w:tcW w:w="1636" w:type="dxa"/>
          </w:tcPr>
          <w:p w:rsidR="00272051" w:rsidRPr="006A0FA3" w:rsidP="005F15C5" w14:paraId="0F019597" w14:textId="6E2F2F54">
            <w:pPr>
              <w:spacing w:line="276" w:lineRule="auto"/>
              <w:rPr>
                <w:rFonts w:cstheme="minorHAnsi"/>
                <w:color w:val="000000"/>
              </w:rPr>
            </w:pPr>
            <w:r>
              <w:rPr>
                <w:rFonts w:cstheme="minorHAnsi"/>
                <w:color w:val="000000"/>
              </w:rPr>
              <w:t>1</w:t>
            </w:r>
          </w:p>
        </w:tc>
        <w:tc>
          <w:tcPr>
            <w:tcW w:w="1463" w:type="dxa"/>
          </w:tcPr>
          <w:p w:rsidR="00272051" w:rsidRPr="006A0FA3" w:rsidP="005F15C5" w14:paraId="4AD48391" w14:textId="563F91B1">
            <w:pPr>
              <w:spacing w:line="276" w:lineRule="auto"/>
              <w:rPr>
                <w:rFonts w:cstheme="minorHAnsi"/>
                <w:color w:val="000000"/>
              </w:rPr>
            </w:pPr>
            <w:r>
              <w:rPr>
                <w:rFonts w:cstheme="minorHAnsi"/>
                <w:color w:val="000000"/>
              </w:rPr>
              <w:t>15/60</w:t>
            </w:r>
          </w:p>
        </w:tc>
        <w:tc>
          <w:tcPr>
            <w:tcW w:w="985" w:type="dxa"/>
          </w:tcPr>
          <w:p w:rsidR="00272051" w:rsidRPr="006A0FA3" w:rsidP="005F15C5" w14:paraId="55C836FA" w14:textId="0D84EB49">
            <w:pPr>
              <w:spacing w:line="276" w:lineRule="auto"/>
              <w:rPr>
                <w:rFonts w:cstheme="minorHAnsi"/>
                <w:color w:val="000000"/>
              </w:rPr>
            </w:pPr>
            <w:r>
              <w:rPr>
                <w:rFonts w:cstheme="minorHAnsi"/>
                <w:color w:val="000000"/>
              </w:rPr>
              <w:t>20</w:t>
            </w:r>
          </w:p>
        </w:tc>
      </w:tr>
      <w:tr w14:paraId="7F788D7B" w14:textId="77777777" w:rsidTr="00BF14A6">
        <w:tblPrEx>
          <w:tblW w:w="9327" w:type="dxa"/>
          <w:tblInd w:w="497" w:type="dxa"/>
          <w:tblLook w:val="04A0"/>
        </w:tblPrEx>
        <w:tc>
          <w:tcPr>
            <w:tcW w:w="9327" w:type="dxa"/>
            <w:gridSpan w:val="6"/>
            <w:shd w:val="clear" w:color="auto" w:fill="E7E6E6" w:themeFill="background2"/>
          </w:tcPr>
          <w:p w:rsidR="00E7574A" w:rsidRPr="00BF14A6" w:rsidP="005F15C5" w14:paraId="75314D8A" w14:textId="74090A79">
            <w:pPr>
              <w:spacing w:line="276" w:lineRule="auto"/>
              <w:rPr>
                <w:rFonts w:cstheme="minorHAnsi"/>
                <w:b/>
                <w:bCs/>
                <w:color w:val="000000"/>
              </w:rPr>
            </w:pPr>
            <w:r w:rsidRPr="00BF14A6">
              <w:rPr>
                <w:rFonts w:cstheme="minorHAnsi"/>
                <w:b/>
                <w:bCs/>
              </w:rPr>
              <w:t xml:space="preserve">Aim 2) </w:t>
            </w:r>
            <w:r w:rsidR="00B80FF5">
              <w:rPr>
                <w:rFonts w:cstheme="minorHAnsi"/>
                <w:b/>
                <w:bCs/>
              </w:rPr>
              <w:t>W</w:t>
            </w:r>
            <w:r w:rsidRPr="00BF14A6">
              <w:rPr>
                <w:rFonts w:cstheme="minorHAnsi"/>
                <w:b/>
                <w:bCs/>
              </w:rPr>
              <w:t>orker focus groups and field-level supervisor interviews</w:t>
            </w:r>
            <w:r w:rsidR="00B80FF5">
              <w:rPr>
                <w:rFonts w:cstheme="minorHAnsi"/>
                <w:b/>
                <w:bCs/>
              </w:rPr>
              <w:t xml:space="preserve"> </w:t>
            </w:r>
            <w:r w:rsidR="00BF14A6">
              <w:rPr>
                <w:rFonts w:cstheme="minorHAnsi"/>
                <w:b/>
                <w:bCs/>
              </w:rPr>
              <w:t xml:space="preserve">       </w:t>
            </w:r>
            <w:r w:rsidR="00B80FF5">
              <w:rPr>
                <w:rFonts w:cstheme="minorHAnsi"/>
                <w:b/>
                <w:bCs/>
              </w:rPr>
              <w:t xml:space="preserve">Total Burden hours = </w:t>
            </w:r>
            <w:r w:rsidR="00BF14A6">
              <w:rPr>
                <w:rFonts w:cstheme="minorHAnsi"/>
                <w:b/>
                <w:bCs/>
              </w:rPr>
              <w:t>55 hours</w:t>
            </w:r>
          </w:p>
        </w:tc>
      </w:tr>
      <w:tr w14:paraId="31AFC0C3" w14:textId="77777777" w:rsidTr="00E7574A">
        <w:tblPrEx>
          <w:tblW w:w="9327" w:type="dxa"/>
          <w:tblInd w:w="497" w:type="dxa"/>
          <w:tblLook w:val="04A0"/>
        </w:tblPrEx>
        <w:tc>
          <w:tcPr>
            <w:tcW w:w="1896" w:type="dxa"/>
          </w:tcPr>
          <w:p w:rsidR="00B96CF3" w:rsidRPr="006A0FA3" w:rsidP="005F15C5" w14:paraId="34BCD37A" w14:textId="77777777">
            <w:pPr>
              <w:spacing w:line="276" w:lineRule="auto"/>
              <w:rPr>
                <w:rFonts w:cstheme="minorHAnsi"/>
              </w:rPr>
            </w:pPr>
            <w:r w:rsidRPr="006A0FA3">
              <w:rPr>
                <w:rFonts w:cstheme="minorHAnsi"/>
              </w:rPr>
              <w:t>Land-based OGE workers</w:t>
            </w:r>
          </w:p>
        </w:tc>
        <w:tc>
          <w:tcPr>
            <w:tcW w:w="1836" w:type="dxa"/>
          </w:tcPr>
          <w:p w:rsidR="00B96CF3" w:rsidRPr="006A0FA3" w:rsidP="005F15C5" w14:paraId="4B09BEF8" w14:textId="77777777">
            <w:pPr>
              <w:spacing w:line="276" w:lineRule="auto"/>
              <w:rPr>
                <w:rFonts w:cstheme="minorHAnsi"/>
                <w:color w:val="000000" w:themeColor="text1"/>
              </w:rPr>
            </w:pPr>
            <w:r w:rsidRPr="006A0FA3">
              <w:rPr>
                <w:rFonts w:cstheme="minorHAnsi"/>
                <w:color w:val="000000" w:themeColor="text1"/>
              </w:rPr>
              <w:t>Worker Interview Guide</w:t>
            </w:r>
          </w:p>
        </w:tc>
        <w:tc>
          <w:tcPr>
            <w:tcW w:w="1511" w:type="dxa"/>
          </w:tcPr>
          <w:p w:rsidR="00B96CF3" w:rsidRPr="006A0FA3" w:rsidP="005F15C5" w14:paraId="4FF00D27" w14:textId="77777777">
            <w:pPr>
              <w:spacing w:line="276" w:lineRule="auto"/>
              <w:rPr>
                <w:rFonts w:cstheme="minorHAnsi"/>
                <w:color w:val="000000"/>
              </w:rPr>
            </w:pPr>
            <w:r w:rsidRPr="006A0FA3">
              <w:rPr>
                <w:rFonts w:cstheme="minorHAnsi"/>
                <w:color w:val="000000"/>
              </w:rPr>
              <w:t>30</w:t>
            </w:r>
          </w:p>
        </w:tc>
        <w:tc>
          <w:tcPr>
            <w:tcW w:w="1636" w:type="dxa"/>
          </w:tcPr>
          <w:p w:rsidR="00B96CF3" w:rsidRPr="006A0FA3" w:rsidP="005F15C5" w14:paraId="473581EF" w14:textId="77777777">
            <w:pPr>
              <w:spacing w:line="276" w:lineRule="auto"/>
              <w:rPr>
                <w:rFonts w:cstheme="minorHAnsi"/>
                <w:color w:val="000000"/>
              </w:rPr>
            </w:pPr>
            <w:r w:rsidRPr="006A0FA3">
              <w:rPr>
                <w:rFonts w:cstheme="minorHAnsi"/>
                <w:color w:val="000000"/>
              </w:rPr>
              <w:t>1</w:t>
            </w:r>
          </w:p>
        </w:tc>
        <w:tc>
          <w:tcPr>
            <w:tcW w:w="1463" w:type="dxa"/>
          </w:tcPr>
          <w:p w:rsidR="00B96CF3" w:rsidRPr="006A0FA3" w:rsidP="005F15C5" w14:paraId="6AC695D3" w14:textId="77777777">
            <w:pPr>
              <w:spacing w:line="276" w:lineRule="auto"/>
              <w:rPr>
                <w:rFonts w:cstheme="minorHAnsi"/>
                <w:color w:val="000000"/>
              </w:rPr>
            </w:pPr>
            <w:r w:rsidRPr="006A0FA3">
              <w:rPr>
                <w:rFonts w:cstheme="minorHAnsi"/>
                <w:color w:val="000000"/>
              </w:rPr>
              <w:t>1.5</w:t>
            </w:r>
          </w:p>
        </w:tc>
        <w:tc>
          <w:tcPr>
            <w:tcW w:w="985" w:type="dxa"/>
          </w:tcPr>
          <w:p w:rsidR="00B96CF3" w:rsidRPr="006A0FA3" w:rsidP="005F15C5" w14:paraId="5F6E9DFC" w14:textId="77777777">
            <w:pPr>
              <w:spacing w:line="276" w:lineRule="auto"/>
              <w:rPr>
                <w:rFonts w:cstheme="minorHAnsi"/>
                <w:color w:val="000000"/>
              </w:rPr>
            </w:pPr>
            <w:r w:rsidRPr="006A0FA3">
              <w:rPr>
                <w:rFonts w:cstheme="minorHAnsi"/>
                <w:color w:val="000000"/>
              </w:rPr>
              <w:t>45</w:t>
            </w:r>
          </w:p>
        </w:tc>
      </w:tr>
      <w:tr w14:paraId="63BF2575" w14:textId="77777777" w:rsidTr="00E7574A">
        <w:tblPrEx>
          <w:tblW w:w="9327" w:type="dxa"/>
          <w:tblInd w:w="497" w:type="dxa"/>
          <w:tblLook w:val="04A0"/>
        </w:tblPrEx>
        <w:tc>
          <w:tcPr>
            <w:tcW w:w="1896" w:type="dxa"/>
          </w:tcPr>
          <w:p w:rsidR="00B96CF3" w:rsidRPr="006A0FA3" w:rsidP="005F15C5" w14:paraId="3E82C81D" w14:textId="77777777">
            <w:pPr>
              <w:spacing w:line="276" w:lineRule="auto"/>
              <w:rPr>
                <w:rFonts w:cstheme="minorHAnsi"/>
              </w:rPr>
            </w:pPr>
            <w:r w:rsidRPr="006A0FA3">
              <w:rPr>
                <w:rFonts w:cstheme="minorHAnsi"/>
              </w:rPr>
              <w:t>Field-level Supervisors</w:t>
            </w:r>
          </w:p>
        </w:tc>
        <w:tc>
          <w:tcPr>
            <w:tcW w:w="1836" w:type="dxa"/>
          </w:tcPr>
          <w:p w:rsidR="00B96CF3" w:rsidRPr="006A0FA3" w:rsidP="005F15C5" w14:paraId="3A43E11E" w14:textId="77777777">
            <w:pPr>
              <w:spacing w:line="276" w:lineRule="auto"/>
              <w:rPr>
                <w:rFonts w:cstheme="minorHAnsi"/>
                <w:color w:val="000000" w:themeColor="text1"/>
              </w:rPr>
            </w:pPr>
            <w:r w:rsidRPr="006A0FA3">
              <w:rPr>
                <w:rFonts w:cstheme="minorHAnsi"/>
                <w:color w:val="000000" w:themeColor="text1"/>
              </w:rPr>
              <w:t>Manager Interview Guide</w:t>
            </w:r>
          </w:p>
        </w:tc>
        <w:tc>
          <w:tcPr>
            <w:tcW w:w="1511" w:type="dxa"/>
          </w:tcPr>
          <w:p w:rsidR="00B96CF3" w:rsidRPr="006A0FA3" w:rsidP="005F15C5" w14:paraId="59201AE8" w14:textId="77777777">
            <w:pPr>
              <w:spacing w:line="276" w:lineRule="auto"/>
              <w:rPr>
                <w:rFonts w:cstheme="minorHAnsi"/>
                <w:color w:val="000000"/>
              </w:rPr>
            </w:pPr>
            <w:r w:rsidRPr="006A0FA3">
              <w:rPr>
                <w:rFonts w:cstheme="minorHAnsi"/>
                <w:color w:val="000000"/>
              </w:rPr>
              <w:t>10</w:t>
            </w:r>
          </w:p>
        </w:tc>
        <w:tc>
          <w:tcPr>
            <w:tcW w:w="1636" w:type="dxa"/>
          </w:tcPr>
          <w:p w:rsidR="00B96CF3" w:rsidRPr="006A0FA3" w:rsidP="005F15C5" w14:paraId="3FB51C69" w14:textId="77777777">
            <w:pPr>
              <w:spacing w:line="276" w:lineRule="auto"/>
              <w:rPr>
                <w:rFonts w:cstheme="minorHAnsi"/>
                <w:color w:val="000000"/>
              </w:rPr>
            </w:pPr>
            <w:r w:rsidRPr="006A0FA3">
              <w:rPr>
                <w:rFonts w:cstheme="minorHAnsi"/>
                <w:color w:val="000000"/>
              </w:rPr>
              <w:t>1</w:t>
            </w:r>
          </w:p>
        </w:tc>
        <w:tc>
          <w:tcPr>
            <w:tcW w:w="1463" w:type="dxa"/>
          </w:tcPr>
          <w:p w:rsidR="00B96CF3" w:rsidRPr="006A0FA3" w:rsidP="005F15C5" w14:paraId="220FB1BA" w14:textId="2E1147F8">
            <w:pPr>
              <w:spacing w:line="276" w:lineRule="auto"/>
              <w:rPr>
                <w:rFonts w:cstheme="minorHAnsi"/>
                <w:color w:val="000000"/>
              </w:rPr>
            </w:pPr>
            <w:r w:rsidRPr="006A0FA3">
              <w:rPr>
                <w:rFonts w:cstheme="minorHAnsi"/>
                <w:color w:val="000000"/>
              </w:rPr>
              <w:t>1</w:t>
            </w:r>
            <w:r w:rsidR="003011D0">
              <w:rPr>
                <w:rFonts w:cstheme="minorHAnsi"/>
                <w:color w:val="000000"/>
              </w:rPr>
              <w:t>1</w:t>
            </w:r>
          </w:p>
        </w:tc>
        <w:tc>
          <w:tcPr>
            <w:tcW w:w="985" w:type="dxa"/>
          </w:tcPr>
          <w:p w:rsidR="00B96CF3" w:rsidRPr="006A0FA3" w:rsidP="005F15C5" w14:paraId="4F21EE48" w14:textId="77777777">
            <w:pPr>
              <w:spacing w:line="276" w:lineRule="auto"/>
              <w:rPr>
                <w:rFonts w:cstheme="minorHAnsi"/>
                <w:color w:val="000000"/>
              </w:rPr>
            </w:pPr>
            <w:r w:rsidRPr="006A0FA3">
              <w:rPr>
                <w:rFonts w:cstheme="minorHAnsi"/>
                <w:color w:val="000000"/>
              </w:rPr>
              <w:t>10</w:t>
            </w:r>
          </w:p>
        </w:tc>
      </w:tr>
      <w:tr w14:paraId="073DE573" w14:textId="77777777" w:rsidTr="00BF14A6">
        <w:tblPrEx>
          <w:tblW w:w="9327" w:type="dxa"/>
          <w:tblInd w:w="497" w:type="dxa"/>
          <w:tblLook w:val="04A0"/>
        </w:tblPrEx>
        <w:tc>
          <w:tcPr>
            <w:tcW w:w="9327" w:type="dxa"/>
            <w:gridSpan w:val="6"/>
            <w:shd w:val="clear" w:color="auto" w:fill="E7E6E6" w:themeFill="background2"/>
          </w:tcPr>
          <w:p w:rsidR="00B80FF5" w:rsidRPr="00BF14A6" w:rsidP="005F15C5" w14:paraId="265E35AD" w14:textId="19E9DCC8">
            <w:pPr>
              <w:spacing w:line="276" w:lineRule="auto"/>
              <w:rPr>
                <w:rFonts w:cstheme="minorHAnsi"/>
                <w:b/>
                <w:bCs/>
                <w:color w:val="000000"/>
              </w:rPr>
            </w:pPr>
            <w:r w:rsidRPr="00BF14A6">
              <w:rPr>
                <w:rFonts w:cstheme="minorHAnsi"/>
                <w:b/>
                <w:bCs/>
                <w:color w:val="000000"/>
              </w:rPr>
              <w:t xml:space="preserve">Aim 3) </w:t>
            </w:r>
            <w:r w:rsidR="00BF14A6">
              <w:rPr>
                <w:rFonts w:cstheme="minorHAnsi"/>
                <w:b/>
                <w:bCs/>
                <w:color w:val="000000"/>
              </w:rPr>
              <w:t>Leader</w:t>
            </w:r>
            <w:r w:rsidRPr="00BF14A6">
              <w:rPr>
                <w:rFonts w:cstheme="minorHAnsi"/>
                <w:b/>
                <w:bCs/>
                <w:color w:val="000000"/>
              </w:rPr>
              <w:t xml:space="preserve"> interviews</w:t>
            </w:r>
            <w:r w:rsidR="003233EB">
              <w:rPr>
                <w:rFonts w:cstheme="minorHAnsi"/>
                <w:b/>
                <w:bCs/>
                <w:color w:val="000000"/>
              </w:rPr>
              <w:t xml:space="preserve"> </w:t>
            </w:r>
            <w:r w:rsidRPr="00BF14A6">
              <w:rPr>
                <w:rFonts w:cstheme="minorHAnsi"/>
                <w:b/>
                <w:bCs/>
                <w:color w:val="000000"/>
              </w:rPr>
              <w:t xml:space="preserve"> </w:t>
            </w:r>
            <w:r w:rsidR="00BF14A6">
              <w:rPr>
                <w:rFonts w:cstheme="minorHAnsi"/>
                <w:b/>
                <w:bCs/>
                <w:color w:val="000000"/>
              </w:rPr>
              <w:t xml:space="preserve">                                                                                           </w:t>
            </w:r>
            <w:r w:rsidRPr="00BF14A6">
              <w:rPr>
                <w:rFonts w:cstheme="minorHAnsi"/>
                <w:b/>
                <w:bCs/>
                <w:color w:val="000000"/>
              </w:rPr>
              <w:t xml:space="preserve">Total Burden hours = </w:t>
            </w:r>
            <w:r w:rsidR="00BF14A6">
              <w:rPr>
                <w:rFonts w:cstheme="minorHAnsi"/>
                <w:b/>
                <w:bCs/>
                <w:color w:val="000000"/>
              </w:rPr>
              <w:t>10</w:t>
            </w:r>
          </w:p>
        </w:tc>
      </w:tr>
      <w:tr w14:paraId="3481598F" w14:textId="77777777" w:rsidTr="00E7574A">
        <w:tblPrEx>
          <w:tblW w:w="9327" w:type="dxa"/>
          <w:tblInd w:w="497" w:type="dxa"/>
          <w:tblLook w:val="04A0"/>
        </w:tblPrEx>
        <w:tc>
          <w:tcPr>
            <w:tcW w:w="1896" w:type="dxa"/>
          </w:tcPr>
          <w:p w:rsidR="00B96CF3" w:rsidRPr="006A0FA3" w:rsidP="005F15C5" w14:paraId="370CE986" w14:textId="77777777">
            <w:pPr>
              <w:spacing w:line="276" w:lineRule="auto"/>
              <w:rPr>
                <w:rFonts w:cstheme="minorHAnsi"/>
              </w:rPr>
            </w:pPr>
            <w:r w:rsidRPr="006A0FA3">
              <w:rPr>
                <w:rFonts w:cstheme="minorHAnsi"/>
              </w:rPr>
              <w:t>Health and Safety Leaders</w:t>
            </w:r>
          </w:p>
        </w:tc>
        <w:tc>
          <w:tcPr>
            <w:tcW w:w="1836" w:type="dxa"/>
          </w:tcPr>
          <w:p w:rsidR="00B96CF3" w:rsidRPr="006A0FA3" w:rsidP="005F15C5" w14:paraId="0567825D" w14:textId="77777777">
            <w:pPr>
              <w:spacing w:line="276" w:lineRule="auto"/>
              <w:rPr>
                <w:rFonts w:cstheme="minorHAnsi"/>
                <w:color w:val="000000" w:themeColor="text1"/>
              </w:rPr>
            </w:pPr>
            <w:r w:rsidRPr="006A0FA3">
              <w:rPr>
                <w:rFonts w:cstheme="minorHAnsi"/>
                <w:color w:val="000000" w:themeColor="text1"/>
              </w:rPr>
              <w:t>HSE Interview Guide</w:t>
            </w:r>
          </w:p>
        </w:tc>
        <w:tc>
          <w:tcPr>
            <w:tcW w:w="1511" w:type="dxa"/>
          </w:tcPr>
          <w:p w:rsidR="00B96CF3" w:rsidRPr="006A0FA3" w:rsidP="005F15C5" w14:paraId="6F00E49A" w14:textId="77777777">
            <w:pPr>
              <w:spacing w:line="276" w:lineRule="auto"/>
              <w:rPr>
                <w:rFonts w:cstheme="minorHAnsi"/>
                <w:color w:val="000000"/>
              </w:rPr>
            </w:pPr>
            <w:r w:rsidRPr="006A0FA3">
              <w:rPr>
                <w:rFonts w:cstheme="minorHAnsi"/>
                <w:color w:val="000000"/>
              </w:rPr>
              <w:t>7</w:t>
            </w:r>
          </w:p>
        </w:tc>
        <w:tc>
          <w:tcPr>
            <w:tcW w:w="1636" w:type="dxa"/>
          </w:tcPr>
          <w:p w:rsidR="00B96CF3" w:rsidRPr="006A0FA3" w:rsidP="005F15C5" w14:paraId="104ED857" w14:textId="77777777">
            <w:pPr>
              <w:spacing w:line="276" w:lineRule="auto"/>
              <w:rPr>
                <w:rFonts w:cstheme="minorHAnsi"/>
                <w:color w:val="000000"/>
              </w:rPr>
            </w:pPr>
            <w:r w:rsidRPr="006A0FA3">
              <w:rPr>
                <w:rFonts w:cstheme="minorHAnsi"/>
                <w:color w:val="000000"/>
              </w:rPr>
              <w:t>1</w:t>
            </w:r>
          </w:p>
        </w:tc>
        <w:tc>
          <w:tcPr>
            <w:tcW w:w="1463" w:type="dxa"/>
          </w:tcPr>
          <w:p w:rsidR="00B96CF3" w:rsidRPr="006A0FA3" w:rsidP="005F15C5" w14:paraId="3BCE46C4" w14:textId="77777777">
            <w:pPr>
              <w:spacing w:line="276" w:lineRule="auto"/>
              <w:rPr>
                <w:rFonts w:cstheme="minorHAnsi"/>
                <w:color w:val="000000"/>
              </w:rPr>
            </w:pPr>
            <w:r w:rsidRPr="006A0FA3">
              <w:rPr>
                <w:rFonts w:cstheme="minorHAnsi"/>
                <w:color w:val="000000"/>
              </w:rPr>
              <w:t>1</w:t>
            </w:r>
          </w:p>
        </w:tc>
        <w:tc>
          <w:tcPr>
            <w:tcW w:w="985" w:type="dxa"/>
          </w:tcPr>
          <w:p w:rsidR="00B96CF3" w:rsidRPr="006A0FA3" w:rsidP="005F15C5" w14:paraId="737D99C7" w14:textId="77777777">
            <w:pPr>
              <w:spacing w:line="276" w:lineRule="auto"/>
              <w:rPr>
                <w:rFonts w:cstheme="minorHAnsi"/>
                <w:color w:val="000000"/>
              </w:rPr>
            </w:pPr>
            <w:r w:rsidRPr="006A0FA3">
              <w:rPr>
                <w:rFonts w:cstheme="minorHAnsi"/>
                <w:color w:val="000000"/>
              </w:rPr>
              <w:t>7</w:t>
            </w:r>
          </w:p>
        </w:tc>
      </w:tr>
      <w:tr w14:paraId="1FAEF849" w14:textId="77777777" w:rsidTr="00E7574A">
        <w:tblPrEx>
          <w:tblW w:w="9327" w:type="dxa"/>
          <w:tblInd w:w="497" w:type="dxa"/>
          <w:tblLook w:val="04A0"/>
        </w:tblPrEx>
        <w:tc>
          <w:tcPr>
            <w:tcW w:w="1896" w:type="dxa"/>
          </w:tcPr>
          <w:p w:rsidR="00B96CF3" w:rsidRPr="006A0FA3" w:rsidP="005F15C5" w14:paraId="61559CF0" w14:textId="77777777">
            <w:pPr>
              <w:spacing w:line="276" w:lineRule="auto"/>
              <w:rPr>
                <w:rFonts w:cstheme="minorHAnsi"/>
              </w:rPr>
            </w:pPr>
            <w:r w:rsidRPr="006A0FA3">
              <w:rPr>
                <w:rFonts w:cstheme="minorHAnsi"/>
              </w:rPr>
              <w:t>Subject Matter Experts</w:t>
            </w:r>
          </w:p>
        </w:tc>
        <w:tc>
          <w:tcPr>
            <w:tcW w:w="1836" w:type="dxa"/>
          </w:tcPr>
          <w:p w:rsidR="00B96CF3" w:rsidRPr="006A0FA3" w:rsidP="005F15C5" w14:paraId="2C7282CC" w14:textId="77777777">
            <w:pPr>
              <w:spacing w:line="276" w:lineRule="auto"/>
              <w:rPr>
                <w:rFonts w:cstheme="minorHAnsi"/>
                <w:color w:val="000000" w:themeColor="text1"/>
              </w:rPr>
            </w:pPr>
            <w:r w:rsidRPr="006A0FA3">
              <w:rPr>
                <w:rFonts w:cstheme="minorHAnsi"/>
                <w:color w:val="000000" w:themeColor="text1"/>
              </w:rPr>
              <w:t>SME Interview Guide</w:t>
            </w:r>
          </w:p>
        </w:tc>
        <w:tc>
          <w:tcPr>
            <w:tcW w:w="1511" w:type="dxa"/>
          </w:tcPr>
          <w:p w:rsidR="00B96CF3" w:rsidRPr="006A0FA3" w:rsidP="005F15C5" w14:paraId="40109D42" w14:textId="77777777">
            <w:pPr>
              <w:spacing w:line="276" w:lineRule="auto"/>
              <w:rPr>
                <w:rFonts w:cstheme="minorHAnsi"/>
                <w:color w:val="000000"/>
              </w:rPr>
            </w:pPr>
            <w:r w:rsidRPr="006A0FA3">
              <w:rPr>
                <w:rFonts w:cstheme="minorHAnsi"/>
                <w:color w:val="000000"/>
              </w:rPr>
              <w:t>3</w:t>
            </w:r>
          </w:p>
        </w:tc>
        <w:tc>
          <w:tcPr>
            <w:tcW w:w="1636" w:type="dxa"/>
          </w:tcPr>
          <w:p w:rsidR="00B96CF3" w:rsidRPr="006A0FA3" w:rsidP="005F15C5" w14:paraId="586DBBF3" w14:textId="77777777">
            <w:pPr>
              <w:spacing w:line="276" w:lineRule="auto"/>
              <w:rPr>
                <w:rFonts w:cstheme="minorHAnsi"/>
                <w:color w:val="000000"/>
              </w:rPr>
            </w:pPr>
            <w:r w:rsidRPr="006A0FA3">
              <w:rPr>
                <w:rFonts w:cstheme="minorHAnsi"/>
                <w:color w:val="000000"/>
              </w:rPr>
              <w:t>1</w:t>
            </w:r>
          </w:p>
        </w:tc>
        <w:tc>
          <w:tcPr>
            <w:tcW w:w="1463" w:type="dxa"/>
          </w:tcPr>
          <w:p w:rsidR="00B96CF3" w:rsidRPr="006A0FA3" w:rsidP="005F15C5" w14:paraId="04D0445B" w14:textId="77777777">
            <w:pPr>
              <w:spacing w:line="276" w:lineRule="auto"/>
              <w:rPr>
                <w:rFonts w:cstheme="minorHAnsi"/>
                <w:color w:val="000000"/>
              </w:rPr>
            </w:pPr>
            <w:r w:rsidRPr="006A0FA3">
              <w:rPr>
                <w:rFonts w:cstheme="minorHAnsi"/>
                <w:color w:val="000000"/>
              </w:rPr>
              <w:t>1</w:t>
            </w:r>
          </w:p>
        </w:tc>
        <w:tc>
          <w:tcPr>
            <w:tcW w:w="985" w:type="dxa"/>
          </w:tcPr>
          <w:p w:rsidR="00B96CF3" w:rsidRPr="006A0FA3" w:rsidP="005F15C5" w14:paraId="44DAF9D3" w14:textId="77777777">
            <w:pPr>
              <w:spacing w:line="276" w:lineRule="auto"/>
              <w:rPr>
                <w:rFonts w:cstheme="minorHAnsi"/>
                <w:color w:val="000000"/>
              </w:rPr>
            </w:pPr>
            <w:r w:rsidRPr="006A0FA3">
              <w:rPr>
                <w:rFonts w:cstheme="minorHAnsi"/>
                <w:color w:val="000000"/>
              </w:rPr>
              <w:t>3</w:t>
            </w:r>
          </w:p>
        </w:tc>
      </w:tr>
      <w:tr w14:paraId="1464CFAC" w14:textId="77777777" w:rsidTr="00E7574A">
        <w:tblPrEx>
          <w:tblW w:w="9327" w:type="dxa"/>
          <w:tblInd w:w="497" w:type="dxa"/>
          <w:tblLook w:val="04A0"/>
        </w:tblPrEx>
        <w:tc>
          <w:tcPr>
            <w:tcW w:w="1896" w:type="dxa"/>
          </w:tcPr>
          <w:p w:rsidR="00B96CF3" w:rsidRPr="006A0FA3" w:rsidP="005F15C5" w14:paraId="1677B9D3" w14:textId="77777777">
            <w:pPr>
              <w:spacing w:line="276" w:lineRule="auto"/>
              <w:rPr>
                <w:rFonts w:cstheme="minorHAnsi"/>
                <w:b/>
                <w:bCs/>
              </w:rPr>
            </w:pPr>
            <w:r w:rsidRPr="006A0FA3">
              <w:rPr>
                <w:rFonts w:cstheme="minorHAnsi"/>
                <w:b/>
                <w:bCs/>
              </w:rPr>
              <w:t xml:space="preserve">Total </w:t>
            </w:r>
          </w:p>
        </w:tc>
        <w:tc>
          <w:tcPr>
            <w:tcW w:w="1836" w:type="dxa"/>
          </w:tcPr>
          <w:p w:rsidR="00B96CF3" w:rsidRPr="006A0FA3" w:rsidP="005F15C5" w14:paraId="0A209B10" w14:textId="77777777">
            <w:pPr>
              <w:spacing w:line="276" w:lineRule="auto"/>
              <w:rPr>
                <w:rFonts w:cstheme="minorHAnsi"/>
                <w:b/>
                <w:bCs/>
                <w:color w:val="000000" w:themeColor="text1"/>
              </w:rPr>
            </w:pPr>
          </w:p>
        </w:tc>
        <w:tc>
          <w:tcPr>
            <w:tcW w:w="1511" w:type="dxa"/>
          </w:tcPr>
          <w:p w:rsidR="00B96CF3" w:rsidRPr="006A0FA3" w:rsidP="005F15C5" w14:paraId="1FE96C43" w14:textId="77777777">
            <w:pPr>
              <w:spacing w:line="276" w:lineRule="auto"/>
              <w:rPr>
                <w:rFonts w:cstheme="minorHAnsi"/>
                <w:b/>
                <w:bCs/>
                <w:color w:val="000000"/>
              </w:rPr>
            </w:pPr>
          </w:p>
        </w:tc>
        <w:tc>
          <w:tcPr>
            <w:tcW w:w="1636" w:type="dxa"/>
          </w:tcPr>
          <w:p w:rsidR="00B96CF3" w:rsidRPr="006A0FA3" w:rsidP="005F15C5" w14:paraId="58EB09B3" w14:textId="77777777">
            <w:pPr>
              <w:spacing w:line="276" w:lineRule="auto"/>
              <w:rPr>
                <w:rFonts w:cstheme="minorHAnsi"/>
                <w:b/>
                <w:bCs/>
                <w:color w:val="000000"/>
              </w:rPr>
            </w:pPr>
          </w:p>
        </w:tc>
        <w:tc>
          <w:tcPr>
            <w:tcW w:w="1463" w:type="dxa"/>
          </w:tcPr>
          <w:p w:rsidR="00B96CF3" w:rsidRPr="006A0FA3" w:rsidP="005F15C5" w14:paraId="4BDFFD2E" w14:textId="77777777">
            <w:pPr>
              <w:spacing w:line="276" w:lineRule="auto"/>
              <w:rPr>
                <w:rFonts w:cstheme="minorHAnsi"/>
                <w:b/>
                <w:bCs/>
                <w:color w:val="000000"/>
              </w:rPr>
            </w:pPr>
          </w:p>
        </w:tc>
        <w:tc>
          <w:tcPr>
            <w:tcW w:w="985" w:type="dxa"/>
          </w:tcPr>
          <w:p w:rsidR="00B96CF3" w:rsidRPr="006A0FA3" w:rsidP="005F15C5" w14:paraId="6B00AFCA" w14:textId="7F7BB5C6">
            <w:pPr>
              <w:spacing w:line="276" w:lineRule="auto"/>
              <w:rPr>
                <w:rFonts w:cstheme="minorHAnsi"/>
                <w:b/>
                <w:bCs/>
                <w:color w:val="000000"/>
              </w:rPr>
            </w:pPr>
            <w:r>
              <w:rPr>
                <w:rFonts w:cstheme="minorHAnsi"/>
                <w:b/>
                <w:bCs/>
                <w:color w:val="000000"/>
              </w:rPr>
              <w:t>404</w:t>
            </w:r>
          </w:p>
        </w:tc>
      </w:tr>
    </w:tbl>
    <w:p w:rsidR="00F41100" w:rsidP="00BF14A6" w14:paraId="540332CB" w14:textId="0A555E7D">
      <w:pPr>
        <w:ind w:left="720"/>
      </w:pPr>
      <w:r>
        <w:t xml:space="preserve">*Actigraphy watches will collect data passively and will not require participant effort except for training and fitting of the watch. </w:t>
      </w:r>
    </w:p>
    <w:p w:rsidR="00B96CF3" w:rsidP="00BC0081" w14:paraId="4F8A6AF0" w14:textId="54251576">
      <w:pPr>
        <w:pStyle w:val="Heading3"/>
      </w:pPr>
      <w:bookmarkStart w:id="18" w:name="_Toc137115886"/>
      <w:r>
        <w:t>A.12.B</w:t>
      </w:r>
      <w:r w:rsidR="0015359F">
        <w:t>.</w:t>
      </w:r>
      <w:r>
        <w:t xml:space="preserve"> Estimated of annualized burden costs</w:t>
      </w:r>
      <w:bookmarkEnd w:id="18"/>
    </w:p>
    <w:p w:rsidR="00F41100" w:rsidRPr="008B45B9" w:rsidP="00F41100" w14:paraId="2B20D226" w14:textId="69B26BA4">
      <w:pPr>
        <w:pStyle w:val="CommentText"/>
        <w:spacing w:after="0"/>
        <w:rPr>
          <w:rFonts w:cstheme="minorHAnsi"/>
          <w:sz w:val="22"/>
          <w:szCs w:val="22"/>
        </w:rPr>
      </w:pPr>
      <w:bookmarkStart w:id="19" w:name="_Toc420492165"/>
      <w:r w:rsidRPr="008B45B9">
        <w:rPr>
          <w:rFonts w:cstheme="minorHAnsi"/>
          <w:sz w:val="22"/>
          <w:szCs w:val="22"/>
        </w:rPr>
        <w:t>The annualized cost to the respondents is segmented in Table A.12.B, with total respondent cost estimated at $</w:t>
      </w:r>
      <w:r w:rsidRPr="008B45B9">
        <w:rPr>
          <w:rFonts w:cstheme="minorHAnsi"/>
          <w:sz w:val="22"/>
          <w:szCs w:val="22"/>
        </w:rPr>
        <w:t>10,</w:t>
      </w:r>
      <w:r w:rsidR="003233EB">
        <w:rPr>
          <w:rFonts w:cstheme="minorHAnsi"/>
          <w:sz w:val="22"/>
          <w:szCs w:val="22"/>
        </w:rPr>
        <w:t>869</w:t>
      </w:r>
      <w:r w:rsidRPr="008B45B9">
        <w:rPr>
          <w:rFonts w:cstheme="minorHAnsi"/>
          <w:sz w:val="22"/>
          <w:szCs w:val="22"/>
        </w:rPr>
        <w:t>.</w:t>
      </w:r>
      <w:r w:rsidR="003233EB">
        <w:rPr>
          <w:rFonts w:cstheme="minorHAnsi"/>
          <w:sz w:val="22"/>
          <w:szCs w:val="22"/>
        </w:rPr>
        <w:t>9</w:t>
      </w:r>
      <w:r w:rsidRPr="008B45B9">
        <w:rPr>
          <w:rFonts w:cstheme="minorHAnsi"/>
          <w:sz w:val="22"/>
          <w:szCs w:val="22"/>
        </w:rPr>
        <w:t>7</w:t>
      </w:r>
      <w:r w:rsidRPr="008B45B9">
        <w:rPr>
          <w:rFonts w:cstheme="minorHAnsi"/>
          <w:sz w:val="22"/>
          <w:szCs w:val="22"/>
        </w:rPr>
        <w:t>.</w:t>
      </w:r>
      <w:r w:rsidRPr="008B45B9">
        <w:rPr>
          <w:rFonts w:cstheme="minorHAnsi"/>
          <w:color w:val="FF0000"/>
          <w:sz w:val="22"/>
          <w:szCs w:val="22"/>
        </w:rPr>
        <w:t xml:space="preserve">  </w:t>
      </w:r>
      <w:r w:rsidRPr="008B45B9">
        <w:rPr>
          <w:rFonts w:cstheme="minorHAnsi"/>
          <w:sz w:val="22"/>
          <w:szCs w:val="22"/>
        </w:rPr>
        <w:t>The Bureau of Labor Statistics (BLS) National Occupational Employment and Wage Estimates</w:t>
      </w:r>
      <w:r w:rsidRPr="008B45B9">
        <w:rPr>
          <w:rFonts w:cstheme="minorHAnsi"/>
          <w:sz w:val="22"/>
          <w:szCs w:val="22"/>
        </w:rPr>
        <w:t xml:space="preserve"> - Current Employment and Wages from Occupational Employment Statistics (OES) Survey</w:t>
      </w:r>
      <w:r w:rsidRPr="008B45B9">
        <w:rPr>
          <w:rFonts w:cstheme="minorHAnsi"/>
          <w:sz w:val="22"/>
          <w:szCs w:val="22"/>
        </w:rPr>
        <w:t xml:space="preserve"> for May 2022 was used to estimate the average hourly wage rate (</w:t>
      </w:r>
      <w:hyperlink r:id="rId11" w:history="1">
        <w:r w:rsidRPr="008B45B9">
          <w:rPr>
            <w:rStyle w:val="Hyperlink"/>
            <w:rFonts w:cstheme="minorHAnsi"/>
            <w:sz w:val="22"/>
            <w:szCs w:val="22"/>
          </w:rPr>
          <w:t>https://www.bls.gov/oes/current/oes_nat.htm</w:t>
        </w:r>
      </w:hyperlink>
      <w:r w:rsidRPr="008B45B9">
        <w:rPr>
          <w:rFonts w:cstheme="minorHAnsi"/>
          <w:sz w:val="22"/>
          <w:szCs w:val="22"/>
        </w:rPr>
        <w:t xml:space="preserve">). </w:t>
      </w:r>
      <w:bookmarkEnd w:id="19"/>
    </w:p>
    <w:p w:rsidR="00F41100" w:rsidRPr="00F41100" w:rsidP="00F41100" w14:paraId="022B2ABA" w14:textId="77777777">
      <w:pPr>
        <w:pStyle w:val="CommentText"/>
        <w:spacing w:after="0"/>
        <w:rPr>
          <w:rFonts w:cstheme="minorHAnsi"/>
          <w:sz w:val="24"/>
          <w:szCs w:val="24"/>
        </w:rPr>
      </w:pPr>
    </w:p>
    <w:p w:rsidR="00C15850" w:rsidRPr="00F41100" w:rsidP="00BC0081" w14:paraId="3FACE9B3" w14:textId="2564E7E4">
      <w:pPr>
        <w:rPr>
          <w:b/>
          <w:bCs/>
        </w:rPr>
      </w:pPr>
      <w:r w:rsidRPr="00F41100">
        <w:rPr>
          <w:b/>
          <w:bCs/>
        </w:rPr>
        <w:t>Table A.12.B: Estimated Annual Burden Costs</w:t>
      </w:r>
    </w:p>
    <w:tbl>
      <w:tblPr>
        <w:tblStyle w:val="TableGrid"/>
        <w:tblCaption w:val="Example Table, Table A12: Estimated Annualized Burden Costs"/>
        <w:tblDescription w:val="Example Table, Table A12: Estimated Annualized Burden Costs"/>
        <w:tblW w:w="8853" w:type="dxa"/>
        <w:tblInd w:w="497" w:type="dxa"/>
        <w:tblLook w:val="04A0"/>
      </w:tblPr>
      <w:tblGrid>
        <w:gridCol w:w="1424"/>
        <w:gridCol w:w="1453"/>
        <w:gridCol w:w="1823"/>
        <w:gridCol w:w="1174"/>
        <w:gridCol w:w="1396"/>
        <w:gridCol w:w="1583"/>
      </w:tblGrid>
      <w:tr w14:paraId="16ABA265" w14:textId="769CD70C" w:rsidTr="00272051">
        <w:tblPrEx>
          <w:tblW w:w="8853" w:type="dxa"/>
          <w:tblInd w:w="497" w:type="dxa"/>
          <w:tblLook w:val="04A0"/>
        </w:tblPrEx>
        <w:trPr>
          <w:trHeight w:val="665"/>
          <w:tblHeader/>
        </w:trPr>
        <w:tc>
          <w:tcPr>
            <w:tcW w:w="1424" w:type="dxa"/>
          </w:tcPr>
          <w:p w:rsidR="00F41100" w:rsidRPr="006A0FA3" w:rsidP="005F15C5" w14:paraId="5787F875" w14:textId="4EF48991">
            <w:pPr>
              <w:spacing w:line="276" w:lineRule="auto"/>
              <w:rPr>
                <w:rFonts w:cstheme="minorHAnsi"/>
                <w:b/>
                <w:bCs/>
              </w:rPr>
            </w:pPr>
            <w:r>
              <w:rPr>
                <w:rFonts w:cstheme="minorHAnsi"/>
                <w:b/>
                <w:bCs/>
              </w:rPr>
              <w:t>BLS OES Occupational Code</w:t>
            </w:r>
          </w:p>
        </w:tc>
        <w:tc>
          <w:tcPr>
            <w:tcW w:w="1453" w:type="dxa"/>
          </w:tcPr>
          <w:p w:rsidR="00F41100" w:rsidRPr="006A0FA3" w:rsidP="005F15C5" w14:paraId="02B83BA1" w14:textId="3473BF8B">
            <w:pPr>
              <w:spacing w:line="276" w:lineRule="auto"/>
              <w:rPr>
                <w:rFonts w:cstheme="minorHAnsi"/>
                <w:b/>
                <w:bCs/>
              </w:rPr>
            </w:pPr>
            <w:r w:rsidRPr="006A0FA3">
              <w:rPr>
                <w:rFonts w:cstheme="minorHAnsi"/>
                <w:b/>
                <w:bCs/>
              </w:rPr>
              <w:t>Type of Respondents</w:t>
            </w:r>
          </w:p>
        </w:tc>
        <w:tc>
          <w:tcPr>
            <w:tcW w:w="1823" w:type="dxa"/>
          </w:tcPr>
          <w:p w:rsidR="00F41100" w:rsidRPr="006A0FA3" w:rsidP="005F15C5" w14:paraId="70D43121" w14:textId="77777777">
            <w:pPr>
              <w:spacing w:line="276" w:lineRule="auto"/>
              <w:rPr>
                <w:rFonts w:cstheme="minorHAnsi"/>
                <w:b/>
                <w:bCs/>
              </w:rPr>
            </w:pPr>
            <w:r w:rsidRPr="006A0FA3">
              <w:rPr>
                <w:rFonts w:cstheme="minorHAnsi"/>
                <w:b/>
                <w:bCs/>
              </w:rPr>
              <w:t>Form Name</w:t>
            </w:r>
          </w:p>
        </w:tc>
        <w:tc>
          <w:tcPr>
            <w:tcW w:w="1174" w:type="dxa"/>
          </w:tcPr>
          <w:p w:rsidR="00F41100" w:rsidRPr="006A0FA3" w:rsidP="005F15C5" w14:paraId="2A1F87DB" w14:textId="77777777">
            <w:pPr>
              <w:spacing w:line="276" w:lineRule="auto"/>
              <w:rPr>
                <w:rFonts w:cstheme="minorHAnsi"/>
                <w:b/>
                <w:bCs/>
              </w:rPr>
            </w:pPr>
            <w:r w:rsidRPr="006A0FA3">
              <w:rPr>
                <w:rFonts w:cstheme="minorHAnsi"/>
                <w:b/>
                <w:bCs/>
              </w:rPr>
              <w:t>Total Burden Hours</w:t>
            </w:r>
          </w:p>
        </w:tc>
        <w:tc>
          <w:tcPr>
            <w:tcW w:w="1396" w:type="dxa"/>
          </w:tcPr>
          <w:p w:rsidR="00F41100" w:rsidRPr="006A0FA3" w:rsidP="005F15C5" w14:paraId="5580F310" w14:textId="25B0E7E2">
            <w:pPr>
              <w:spacing w:line="276" w:lineRule="auto"/>
              <w:rPr>
                <w:rFonts w:cstheme="minorHAnsi"/>
                <w:b/>
                <w:bCs/>
              </w:rPr>
            </w:pPr>
            <w:r>
              <w:rPr>
                <w:rFonts w:cstheme="minorHAnsi"/>
                <w:b/>
                <w:bCs/>
              </w:rPr>
              <w:t>Mean Hourly Wage Rate</w:t>
            </w:r>
          </w:p>
        </w:tc>
        <w:tc>
          <w:tcPr>
            <w:tcW w:w="1583" w:type="dxa"/>
          </w:tcPr>
          <w:p w:rsidR="00F41100" w:rsidRPr="006A0FA3" w:rsidP="005F15C5" w14:paraId="79F2E6A9" w14:textId="2557CE99">
            <w:pPr>
              <w:spacing w:line="276" w:lineRule="auto"/>
              <w:rPr>
                <w:rFonts w:cstheme="minorHAnsi"/>
                <w:b/>
                <w:bCs/>
              </w:rPr>
            </w:pPr>
            <w:r>
              <w:rPr>
                <w:rFonts w:cstheme="minorHAnsi"/>
                <w:b/>
                <w:bCs/>
              </w:rPr>
              <w:t>Total Respondent Cost</w:t>
            </w:r>
          </w:p>
        </w:tc>
      </w:tr>
      <w:tr w14:paraId="39FDBB5B" w14:textId="77777777" w:rsidTr="00BF14A6">
        <w:tblPrEx>
          <w:tblW w:w="8853" w:type="dxa"/>
          <w:tblInd w:w="497" w:type="dxa"/>
          <w:tblLook w:val="04A0"/>
        </w:tblPrEx>
        <w:tc>
          <w:tcPr>
            <w:tcW w:w="8853" w:type="dxa"/>
            <w:gridSpan w:val="6"/>
            <w:shd w:val="clear" w:color="auto" w:fill="E7E6E6" w:themeFill="background2"/>
          </w:tcPr>
          <w:p w:rsidR="00BF14A6" w:rsidP="00BF14A6" w14:paraId="6BB5D6C9" w14:textId="264E6680">
            <w:pPr>
              <w:spacing w:line="276" w:lineRule="auto"/>
              <w:rPr>
                <w:rFonts w:cstheme="minorHAnsi"/>
              </w:rPr>
            </w:pPr>
            <w:r w:rsidRPr="00BF14A6">
              <w:rPr>
                <w:rFonts w:cstheme="minorHAnsi"/>
                <w:b/>
                <w:bCs/>
              </w:rPr>
              <w:t xml:space="preserve">Aim 1) Field study </w:t>
            </w:r>
            <w:r>
              <w:rPr>
                <w:rFonts w:cstheme="minorHAnsi"/>
                <w:b/>
                <w:bCs/>
              </w:rPr>
              <w:t xml:space="preserve">                                                                                 </w:t>
            </w:r>
            <w:r w:rsidR="003233EB">
              <w:rPr>
                <w:rFonts w:cstheme="minorHAnsi"/>
                <w:b/>
                <w:bCs/>
              </w:rPr>
              <w:t xml:space="preserve">                </w:t>
            </w:r>
            <w:r>
              <w:rPr>
                <w:rFonts w:cstheme="minorHAnsi"/>
                <w:b/>
                <w:bCs/>
              </w:rPr>
              <w:t xml:space="preserve"> Total Cost = </w:t>
            </w:r>
            <w:r w:rsidR="003233EB">
              <w:rPr>
                <w:rFonts w:cstheme="minorHAnsi"/>
                <w:b/>
                <w:bCs/>
              </w:rPr>
              <w:t>$8,776.71</w:t>
            </w:r>
          </w:p>
        </w:tc>
      </w:tr>
      <w:tr w14:paraId="76429381" w14:textId="7687D29C" w:rsidTr="00272051">
        <w:tblPrEx>
          <w:tblW w:w="8853" w:type="dxa"/>
          <w:tblInd w:w="497" w:type="dxa"/>
          <w:tblLook w:val="04A0"/>
        </w:tblPrEx>
        <w:tc>
          <w:tcPr>
            <w:tcW w:w="1424" w:type="dxa"/>
          </w:tcPr>
          <w:p w:rsidR="00BF14A6" w:rsidRPr="006A0FA3" w:rsidP="00BF14A6" w14:paraId="1E4F53B3" w14:textId="56EAFD82">
            <w:pPr>
              <w:spacing w:line="276" w:lineRule="auto"/>
              <w:rPr>
                <w:rFonts w:cstheme="minorHAnsi"/>
              </w:rPr>
            </w:pPr>
            <w:r>
              <w:rPr>
                <w:rFonts w:cstheme="minorHAnsi"/>
              </w:rPr>
              <w:t>47-5000</w:t>
            </w:r>
          </w:p>
        </w:tc>
        <w:tc>
          <w:tcPr>
            <w:tcW w:w="1453" w:type="dxa"/>
          </w:tcPr>
          <w:p w:rsidR="00BF14A6" w:rsidRPr="006A0FA3" w:rsidP="00BF14A6" w14:paraId="5181BB41" w14:textId="16538CDA">
            <w:pPr>
              <w:spacing w:line="276" w:lineRule="auto"/>
              <w:rPr>
                <w:rFonts w:cstheme="minorHAnsi"/>
              </w:rPr>
            </w:pPr>
            <w:r w:rsidRPr="006A0FA3">
              <w:rPr>
                <w:rFonts w:cstheme="minorHAnsi"/>
              </w:rPr>
              <w:t>Land-based OGE workers</w:t>
            </w:r>
          </w:p>
        </w:tc>
        <w:tc>
          <w:tcPr>
            <w:tcW w:w="1823" w:type="dxa"/>
          </w:tcPr>
          <w:p w:rsidR="00BF14A6" w:rsidRPr="006A0FA3" w:rsidP="00BF14A6" w14:paraId="78F9A026" w14:textId="77777777">
            <w:pPr>
              <w:spacing w:line="276" w:lineRule="auto"/>
              <w:rPr>
                <w:rFonts w:cstheme="minorHAnsi"/>
              </w:rPr>
            </w:pPr>
            <w:r w:rsidRPr="006A0FA3">
              <w:rPr>
                <w:rFonts w:cstheme="minorHAnsi"/>
              </w:rPr>
              <w:t>Baseline Questionnaire</w:t>
            </w:r>
          </w:p>
        </w:tc>
        <w:tc>
          <w:tcPr>
            <w:tcW w:w="1174" w:type="dxa"/>
          </w:tcPr>
          <w:p w:rsidR="00BF14A6" w:rsidRPr="006A0FA3" w:rsidP="00BF14A6" w14:paraId="016AB8DC" w14:textId="77777777">
            <w:pPr>
              <w:spacing w:line="276" w:lineRule="auto"/>
              <w:rPr>
                <w:rFonts w:cstheme="minorHAnsi"/>
              </w:rPr>
            </w:pPr>
            <w:r w:rsidRPr="006A0FA3">
              <w:rPr>
                <w:rFonts w:cstheme="minorHAnsi"/>
              </w:rPr>
              <w:t>20</w:t>
            </w:r>
          </w:p>
        </w:tc>
        <w:tc>
          <w:tcPr>
            <w:tcW w:w="1396" w:type="dxa"/>
          </w:tcPr>
          <w:p w:rsidR="00BF14A6" w:rsidRPr="006A0FA3" w:rsidP="00BF14A6" w14:paraId="582DA9A1" w14:textId="3F981B04">
            <w:pPr>
              <w:spacing w:line="276" w:lineRule="auto"/>
              <w:rPr>
                <w:rFonts w:cstheme="minorHAnsi"/>
              </w:rPr>
            </w:pPr>
            <w:r>
              <w:rPr>
                <w:rFonts w:cstheme="minorHAnsi"/>
              </w:rPr>
              <w:t>$25.89</w:t>
            </w:r>
          </w:p>
        </w:tc>
        <w:tc>
          <w:tcPr>
            <w:tcW w:w="1583" w:type="dxa"/>
          </w:tcPr>
          <w:p w:rsidR="00BF14A6" w:rsidRPr="006A0FA3" w:rsidP="00BF14A6" w14:paraId="53A79631" w14:textId="2F561B92">
            <w:pPr>
              <w:spacing w:line="276" w:lineRule="auto"/>
              <w:rPr>
                <w:rFonts w:cstheme="minorHAnsi"/>
              </w:rPr>
            </w:pPr>
            <w:r>
              <w:rPr>
                <w:rFonts w:cstheme="minorHAnsi"/>
              </w:rPr>
              <w:t>$517.80</w:t>
            </w:r>
          </w:p>
        </w:tc>
      </w:tr>
      <w:tr w14:paraId="753C9D12" w14:textId="5F39C8D0" w:rsidTr="00272051">
        <w:tblPrEx>
          <w:tblW w:w="8853" w:type="dxa"/>
          <w:tblInd w:w="497" w:type="dxa"/>
          <w:tblLook w:val="04A0"/>
        </w:tblPrEx>
        <w:tc>
          <w:tcPr>
            <w:tcW w:w="1424" w:type="dxa"/>
          </w:tcPr>
          <w:p w:rsidR="00BF14A6" w:rsidRPr="006A0FA3" w:rsidP="00BF14A6" w14:paraId="228CC168" w14:textId="66D11CC8">
            <w:pPr>
              <w:spacing w:line="276" w:lineRule="auto"/>
              <w:rPr>
                <w:rFonts w:cstheme="minorHAnsi"/>
              </w:rPr>
            </w:pPr>
            <w:r>
              <w:rPr>
                <w:rFonts w:cstheme="minorHAnsi"/>
              </w:rPr>
              <w:t>47-5000</w:t>
            </w:r>
          </w:p>
        </w:tc>
        <w:tc>
          <w:tcPr>
            <w:tcW w:w="1453" w:type="dxa"/>
          </w:tcPr>
          <w:p w:rsidR="00BF14A6" w:rsidRPr="006A0FA3" w:rsidP="00BF14A6" w14:paraId="7321B5EB" w14:textId="644ABEF6">
            <w:pPr>
              <w:spacing w:line="276" w:lineRule="auto"/>
              <w:rPr>
                <w:rFonts w:cstheme="minorHAnsi"/>
              </w:rPr>
            </w:pPr>
            <w:r w:rsidRPr="006A0FA3">
              <w:rPr>
                <w:rFonts w:cstheme="minorHAnsi"/>
              </w:rPr>
              <w:t>Land-based OGE workers</w:t>
            </w:r>
          </w:p>
        </w:tc>
        <w:tc>
          <w:tcPr>
            <w:tcW w:w="1823" w:type="dxa"/>
          </w:tcPr>
          <w:p w:rsidR="00BF14A6" w:rsidRPr="006A0FA3" w:rsidP="00BF14A6" w14:paraId="6F4D0010" w14:textId="77777777">
            <w:pPr>
              <w:spacing w:line="276" w:lineRule="auto"/>
              <w:rPr>
                <w:rFonts w:cstheme="minorHAnsi"/>
              </w:rPr>
            </w:pPr>
            <w:r w:rsidRPr="006A0FA3">
              <w:rPr>
                <w:rFonts w:cstheme="minorHAnsi"/>
                <w:color w:val="000000"/>
              </w:rPr>
              <w:t>Daily Pre-Shift Questionnaires</w:t>
            </w:r>
          </w:p>
        </w:tc>
        <w:tc>
          <w:tcPr>
            <w:tcW w:w="1174" w:type="dxa"/>
          </w:tcPr>
          <w:p w:rsidR="00BF14A6" w:rsidRPr="006A0FA3" w:rsidP="00BF14A6" w14:paraId="22781EA6" w14:textId="77777777">
            <w:pPr>
              <w:spacing w:line="276" w:lineRule="auto"/>
              <w:rPr>
                <w:rFonts w:cstheme="minorHAnsi"/>
              </w:rPr>
            </w:pPr>
            <w:r w:rsidRPr="006A0FA3">
              <w:rPr>
                <w:rFonts w:cstheme="minorHAnsi"/>
                <w:color w:val="000000"/>
              </w:rPr>
              <w:t>56</w:t>
            </w:r>
          </w:p>
        </w:tc>
        <w:tc>
          <w:tcPr>
            <w:tcW w:w="1396" w:type="dxa"/>
          </w:tcPr>
          <w:p w:rsidR="00BF14A6" w:rsidRPr="006A0FA3" w:rsidP="00BF14A6" w14:paraId="7E11E1DF" w14:textId="5C227978">
            <w:pPr>
              <w:spacing w:line="276" w:lineRule="auto"/>
              <w:rPr>
                <w:rFonts w:cstheme="minorHAnsi"/>
                <w:color w:val="000000"/>
              </w:rPr>
            </w:pPr>
            <w:r>
              <w:rPr>
                <w:rFonts w:cstheme="minorHAnsi"/>
              </w:rPr>
              <w:t>$25.89</w:t>
            </w:r>
          </w:p>
        </w:tc>
        <w:tc>
          <w:tcPr>
            <w:tcW w:w="1583" w:type="dxa"/>
          </w:tcPr>
          <w:p w:rsidR="00BF14A6" w:rsidRPr="006A0FA3" w:rsidP="00BF14A6" w14:paraId="46D9CCCC" w14:textId="4E2BD76D">
            <w:pPr>
              <w:spacing w:line="276" w:lineRule="auto"/>
              <w:rPr>
                <w:rFonts w:cstheme="minorHAnsi"/>
                <w:color w:val="000000"/>
              </w:rPr>
            </w:pPr>
            <w:r>
              <w:rPr>
                <w:rFonts w:cstheme="minorHAnsi"/>
                <w:color w:val="000000"/>
              </w:rPr>
              <w:t>$1,449.84</w:t>
            </w:r>
          </w:p>
        </w:tc>
      </w:tr>
      <w:tr w14:paraId="6FB84C7F" w14:textId="2C9283E7" w:rsidTr="00272051">
        <w:tblPrEx>
          <w:tblW w:w="8853" w:type="dxa"/>
          <w:tblInd w:w="497" w:type="dxa"/>
          <w:tblLook w:val="04A0"/>
        </w:tblPrEx>
        <w:tc>
          <w:tcPr>
            <w:tcW w:w="1424" w:type="dxa"/>
          </w:tcPr>
          <w:p w:rsidR="00BF14A6" w:rsidRPr="006A0FA3" w:rsidP="00BF14A6" w14:paraId="30F7665E" w14:textId="7F4A17D1">
            <w:pPr>
              <w:spacing w:line="276" w:lineRule="auto"/>
              <w:rPr>
                <w:rFonts w:cstheme="minorHAnsi"/>
              </w:rPr>
            </w:pPr>
            <w:r>
              <w:rPr>
                <w:rFonts w:cstheme="minorHAnsi"/>
              </w:rPr>
              <w:t>47-5000</w:t>
            </w:r>
          </w:p>
        </w:tc>
        <w:tc>
          <w:tcPr>
            <w:tcW w:w="1453" w:type="dxa"/>
          </w:tcPr>
          <w:p w:rsidR="00BF14A6" w:rsidRPr="006A0FA3" w:rsidP="00BF14A6" w14:paraId="3162A26B" w14:textId="0CE464B0">
            <w:pPr>
              <w:spacing w:line="276" w:lineRule="auto"/>
              <w:rPr>
                <w:rFonts w:cstheme="minorHAnsi"/>
              </w:rPr>
            </w:pPr>
            <w:r w:rsidRPr="006A0FA3">
              <w:rPr>
                <w:rFonts w:cstheme="minorHAnsi"/>
              </w:rPr>
              <w:t>Land-based OGE workers</w:t>
            </w:r>
          </w:p>
        </w:tc>
        <w:tc>
          <w:tcPr>
            <w:tcW w:w="1823" w:type="dxa"/>
          </w:tcPr>
          <w:p w:rsidR="00BF14A6" w:rsidRPr="006A0FA3" w:rsidP="00BF14A6" w14:paraId="2FFDA57C" w14:textId="77777777">
            <w:pPr>
              <w:spacing w:line="276" w:lineRule="auto"/>
              <w:rPr>
                <w:rFonts w:cstheme="minorHAnsi"/>
              </w:rPr>
            </w:pPr>
            <w:r w:rsidRPr="006A0FA3">
              <w:rPr>
                <w:rFonts w:cstheme="minorHAnsi"/>
                <w:color w:val="000000" w:themeColor="text1"/>
              </w:rPr>
              <w:t>Daily Post-Shift Questionnaires</w:t>
            </w:r>
          </w:p>
        </w:tc>
        <w:tc>
          <w:tcPr>
            <w:tcW w:w="1174" w:type="dxa"/>
          </w:tcPr>
          <w:p w:rsidR="00BF14A6" w:rsidRPr="006A0FA3" w:rsidP="00BF14A6" w14:paraId="6063CCE5" w14:textId="77777777">
            <w:pPr>
              <w:spacing w:line="276" w:lineRule="auto"/>
              <w:rPr>
                <w:rFonts w:cstheme="minorHAnsi"/>
              </w:rPr>
            </w:pPr>
            <w:r w:rsidRPr="006A0FA3">
              <w:rPr>
                <w:rFonts w:cstheme="minorHAnsi"/>
                <w:color w:val="000000"/>
              </w:rPr>
              <w:t>56</w:t>
            </w:r>
          </w:p>
        </w:tc>
        <w:tc>
          <w:tcPr>
            <w:tcW w:w="1396" w:type="dxa"/>
          </w:tcPr>
          <w:p w:rsidR="00BF14A6" w:rsidRPr="006A0FA3" w:rsidP="00BF14A6" w14:paraId="6E7606A7" w14:textId="319AD5F9">
            <w:pPr>
              <w:spacing w:line="276" w:lineRule="auto"/>
              <w:rPr>
                <w:rFonts w:cstheme="minorHAnsi"/>
                <w:color w:val="000000"/>
              </w:rPr>
            </w:pPr>
            <w:r>
              <w:rPr>
                <w:rFonts w:cstheme="minorHAnsi"/>
              </w:rPr>
              <w:t>$25.89</w:t>
            </w:r>
          </w:p>
        </w:tc>
        <w:tc>
          <w:tcPr>
            <w:tcW w:w="1583" w:type="dxa"/>
          </w:tcPr>
          <w:p w:rsidR="00BF14A6" w:rsidRPr="006A0FA3" w:rsidP="00BF14A6" w14:paraId="0BDB0DF0" w14:textId="6F8CAA2F">
            <w:pPr>
              <w:spacing w:line="276" w:lineRule="auto"/>
              <w:rPr>
                <w:rFonts w:cstheme="minorHAnsi"/>
                <w:color w:val="000000"/>
              </w:rPr>
            </w:pPr>
            <w:r>
              <w:rPr>
                <w:rFonts w:cstheme="minorHAnsi"/>
                <w:color w:val="000000"/>
              </w:rPr>
              <w:t>$1,449.84</w:t>
            </w:r>
          </w:p>
        </w:tc>
      </w:tr>
      <w:tr w14:paraId="5DD80B5B" w14:textId="6DB25B92" w:rsidTr="00272051">
        <w:tblPrEx>
          <w:tblW w:w="8853" w:type="dxa"/>
          <w:tblInd w:w="497" w:type="dxa"/>
          <w:tblLook w:val="04A0"/>
        </w:tblPrEx>
        <w:tc>
          <w:tcPr>
            <w:tcW w:w="1424" w:type="dxa"/>
          </w:tcPr>
          <w:p w:rsidR="00BF14A6" w:rsidRPr="006A0FA3" w:rsidP="00BF14A6" w14:paraId="21AA36A2" w14:textId="5880B418">
            <w:pPr>
              <w:spacing w:line="276" w:lineRule="auto"/>
              <w:rPr>
                <w:rFonts w:cstheme="minorHAnsi"/>
              </w:rPr>
            </w:pPr>
            <w:r>
              <w:rPr>
                <w:rFonts w:cstheme="minorHAnsi"/>
              </w:rPr>
              <w:t>47-5000</w:t>
            </w:r>
          </w:p>
        </w:tc>
        <w:tc>
          <w:tcPr>
            <w:tcW w:w="1453" w:type="dxa"/>
          </w:tcPr>
          <w:p w:rsidR="00BF14A6" w:rsidRPr="006A0FA3" w:rsidP="00BF14A6" w14:paraId="0C5BA624" w14:textId="1E1EE0FE">
            <w:pPr>
              <w:spacing w:line="276" w:lineRule="auto"/>
              <w:rPr>
                <w:rFonts w:cstheme="minorHAnsi"/>
              </w:rPr>
            </w:pPr>
            <w:r w:rsidRPr="006A0FA3">
              <w:rPr>
                <w:rFonts w:cstheme="minorHAnsi"/>
              </w:rPr>
              <w:t>Land-based OGE workers</w:t>
            </w:r>
          </w:p>
        </w:tc>
        <w:tc>
          <w:tcPr>
            <w:tcW w:w="1823" w:type="dxa"/>
          </w:tcPr>
          <w:p w:rsidR="00BF14A6" w:rsidRPr="006A0FA3" w:rsidP="00BF14A6" w14:paraId="33016C40" w14:textId="77777777">
            <w:pPr>
              <w:spacing w:line="276" w:lineRule="auto"/>
              <w:rPr>
                <w:rFonts w:cstheme="minorHAnsi"/>
                <w:color w:val="000000" w:themeColor="text1"/>
              </w:rPr>
            </w:pPr>
            <w:r w:rsidRPr="006A0FA3">
              <w:rPr>
                <w:rFonts w:cstheme="minorHAnsi"/>
                <w:color w:val="000000" w:themeColor="text1"/>
              </w:rPr>
              <w:t>Psychomotor Vigilance Test (PVT)</w:t>
            </w:r>
          </w:p>
        </w:tc>
        <w:tc>
          <w:tcPr>
            <w:tcW w:w="1174" w:type="dxa"/>
          </w:tcPr>
          <w:p w:rsidR="00BF14A6" w:rsidRPr="006A0FA3" w:rsidP="00BF14A6" w14:paraId="353C1AAC" w14:textId="77777777">
            <w:pPr>
              <w:spacing w:line="276" w:lineRule="auto"/>
              <w:rPr>
                <w:rFonts w:cstheme="minorHAnsi"/>
                <w:color w:val="000000"/>
              </w:rPr>
            </w:pPr>
            <w:r w:rsidRPr="006A0FA3">
              <w:rPr>
                <w:rFonts w:cstheme="minorHAnsi"/>
                <w:color w:val="000000"/>
              </w:rPr>
              <w:t>187</w:t>
            </w:r>
          </w:p>
        </w:tc>
        <w:tc>
          <w:tcPr>
            <w:tcW w:w="1396" w:type="dxa"/>
          </w:tcPr>
          <w:p w:rsidR="00BF14A6" w:rsidRPr="006A0FA3" w:rsidP="00BF14A6" w14:paraId="73ECC17A" w14:textId="1C0F8215">
            <w:pPr>
              <w:spacing w:line="276" w:lineRule="auto"/>
              <w:rPr>
                <w:rFonts w:cstheme="minorHAnsi"/>
                <w:color w:val="000000"/>
              </w:rPr>
            </w:pPr>
            <w:r>
              <w:rPr>
                <w:rFonts w:cstheme="minorHAnsi"/>
              </w:rPr>
              <w:t>$25.89</w:t>
            </w:r>
          </w:p>
        </w:tc>
        <w:tc>
          <w:tcPr>
            <w:tcW w:w="1583" w:type="dxa"/>
          </w:tcPr>
          <w:p w:rsidR="00BF14A6" w:rsidRPr="006A0FA3" w:rsidP="00BF14A6" w14:paraId="6E6FD065" w14:textId="7BA55BCB">
            <w:pPr>
              <w:spacing w:line="276" w:lineRule="auto"/>
              <w:rPr>
                <w:rFonts w:cstheme="minorHAnsi"/>
                <w:color w:val="000000"/>
              </w:rPr>
            </w:pPr>
            <w:r>
              <w:rPr>
                <w:rFonts w:cstheme="minorHAnsi"/>
                <w:color w:val="000000"/>
              </w:rPr>
              <w:t>$4,841.43</w:t>
            </w:r>
          </w:p>
        </w:tc>
      </w:tr>
      <w:tr w14:paraId="238C32E3" w14:textId="77777777" w:rsidTr="00272051">
        <w:tblPrEx>
          <w:tblW w:w="8853" w:type="dxa"/>
          <w:tblInd w:w="497" w:type="dxa"/>
          <w:tblLook w:val="04A0"/>
        </w:tblPrEx>
        <w:tc>
          <w:tcPr>
            <w:tcW w:w="1424" w:type="dxa"/>
          </w:tcPr>
          <w:p w:rsidR="00BF14A6" w:rsidP="00BF14A6" w14:paraId="662C9683" w14:textId="1866CFCE">
            <w:pPr>
              <w:spacing w:line="276" w:lineRule="auto"/>
              <w:rPr>
                <w:rFonts w:cstheme="minorHAnsi"/>
              </w:rPr>
            </w:pPr>
            <w:r>
              <w:rPr>
                <w:rFonts w:cstheme="minorHAnsi"/>
              </w:rPr>
              <w:t>47-5000</w:t>
            </w:r>
          </w:p>
        </w:tc>
        <w:tc>
          <w:tcPr>
            <w:tcW w:w="1453" w:type="dxa"/>
          </w:tcPr>
          <w:p w:rsidR="00BF14A6" w:rsidRPr="006A0FA3" w:rsidP="00BF14A6" w14:paraId="57970A36" w14:textId="3B3ECDB4">
            <w:pPr>
              <w:spacing w:line="276" w:lineRule="auto"/>
              <w:rPr>
                <w:rFonts w:cstheme="minorHAnsi"/>
              </w:rPr>
            </w:pPr>
            <w:r w:rsidRPr="006A0FA3">
              <w:rPr>
                <w:rFonts w:cstheme="minorHAnsi"/>
              </w:rPr>
              <w:t>Land-based OGE workers</w:t>
            </w:r>
          </w:p>
        </w:tc>
        <w:tc>
          <w:tcPr>
            <w:tcW w:w="1823" w:type="dxa"/>
          </w:tcPr>
          <w:p w:rsidR="00BF14A6" w:rsidRPr="006A0FA3" w:rsidP="00BF14A6" w14:paraId="586FA5AA" w14:textId="4BE33586">
            <w:pPr>
              <w:spacing w:line="276" w:lineRule="auto"/>
              <w:rPr>
                <w:rFonts w:cstheme="minorHAnsi"/>
                <w:color w:val="000000" w:themeColor="text1"/>
              </w:rPr>
            </w:pPr>
            <w:r>
              <w:rPr>
                <w:rFonts w:cstheme="minorHAnsi"/>
                <w:color w:val="000000" w:themeColor="text1"/>
              </w:rPr>
              <w:t>Actigraphy</w:t>
            </w:r>
          </w:p>
        </w:tc>
        <w:tc>
          <w:tcPr>
            <w:tcW w:w="1174" w:type="dxa"/>
          </w:tcPr>
          <w:p w:rsidR="00BF14A6" w:rsidRPr="006A0FA3" w:rsidP="00BF14A6" w14:paraId="4E3341C0" w14:textId="5AE57B57">
            <w:pPr>
              <w:spacing w:line="276" w:lineRule="auto"/>
              <w:rPr>
                <w:rFonts w:cstheme="minorHAnsi"/>
                <w:color w:val="000000"/>
              </w:rPr>
            </w:pPr>
            <w:r>
              <w:rPr>
                <w:rFonts w:cstheme="minorHAnsi"/>
                <w:color w:val="000000"/>
              </w:rPr>
              <w:t>20</w:t>
            </w:r>
          </w:p>
        </w:tc>
        <w:tc>
          <w:tcPr>
            <w:tcW w:w="1396" w:type="dxa"/>
          </w:tcPr>
          <w:p w:rsidR="00BF14A6" w:rsidP="00BF14A6" w14:paraId="1F6E382C" w14:textId="1E52E28D">
            <w:pPr>
              <w:spacing w:line="276" w:lineRule="auto"/>
              <w:rPr>
                <w:rFonts w:cstheme="minorHAnsi"/>
              </w:rPr>
            </w:pPr>
            <w:r>
              <w:rPr>
                <w:rFonts w:cstheme="minorHAnsi"/>
              </w:rPr>
              <w:t>$25.89</w:t>
            </w:r>
          </w:p>
        </w:tc>
        <w:tc>
          <w:tcPr>
            <w:tcW w:w="1583" w:type="dxa"/>
          </w:tcPr>
          <w:p w:rsidR="00BF14A6" w:rsidP="00BF14A6" w14:paraId="626DA628" w14:textId="21E5E919">
            <w:pPr>
              <w:spacing w:line="276" w:lineRule="auto"/>
              <w:rPr>
                <w:rFonts w:cstheme="minorHAnsi"/>
                <w:color w:val="000000"/>
              </w:rPr>
            </w:pPr>
            <w:r>
              <w:rPr>
                <w:rFonts w:cstheme="minorHAnsi"/>
              </w:rPr>
              <w:t>$517.80</w:t>
            </w:r>
          </w:p>
        </w:tc>
      </w:tr>
      <w:tr w14:paraId="1C4CD6C9" w14:textId="77777777" w:rsidTr="003233EB">
        <w:tblPrEx>
          <w:tblW w:w="8853" w:type="dxa"/>
          <w:tblInd w:w="497" w:type="dxa"/>
          <w:tblLook w:val="04A0"/>
        </w:tblPrEx>
        <w:tc>
          <w:tcPr>
            <w:tcW w:w="8853" w:type="dxa"/>
            <w:gridSpan w:val="6"/>
            <w:shd w:val="clear" w:color="auto" w:fill="E7E6E6" w:themeFill="background2"/>
          </w:tcPr>
          <w:p w:rsidR="003233EB" w:rsidP="003233EB" w14:paraId="4D42F20E" w14:textId="73B3DD04">
            <w:pPr>
              <w:spacing w:line="276" w:lineRule="auto"/>
              <w:rPr>
                <w:rFonts w:cstheme="minorHAnsi"/>
                <w:color w:val="000000"/>
              </w:rPr>
            </w:pPr>
            <w:r w:rsidRPr="00BF14A6">
              <w:rPr>
                <w:rFonts w:cstheme="minorHAnsi"/>
                <w:b/>
                <w:bCs/>
              </w:rPr>
              <w:t xml:space="preserve">Aim 2) </w:t>
            </w:r>
            <w:r>
              <w:rPr>
                <w:rFonts w:cstheme="minorHAnsi"/>
                <w:b/>
                <w:bCs/>
              </w:rPr>
              <w:t>W</w:t>
            </w:r>
            <w:r w:rsidRPr="00BF14A6">
              <w:rPr>
                <w:rFonts w:cstheme="minorHAnsi"/>
                <w:b/>
                <w:bCs/>
              </w:rPr>
              <w:t>orker focus groups and field-level supervisor interviews</w:t>
            </w:r>
            <w:r>
              <w:rPr>
                <w:rFonts w:cstheme="minorHAnsi"/>
                <w:b/>
                <w:bCs/>
              </w:rPr>
              <w:t xml:space="preserve">              Total Cost = $1,538.35</w:t>
            </w:r>
          </w:p>
        </w:tc>
      </w:tr>
      <w:tr w14:paraId="6A1F84DD" w14:textId="529AA34F" w:rsidTr="00272051">
        <w:tblPrEx>
          <w:tblW w:w="8853" w:type="dxa"/>
          <w:tblInd w:w="497" w:type="dxa"/>
          <w:tblLook w:val="04A0"/>
        </w:tblPrEx>
        <w:tc>
          <w:tcPr>
            <w:tcW w:w="1424" w:type="dxa"/>
          </w:tcPr>
          <w:p w:rsidR="003233EB" w:rsidRPr="006A0FA3" w:rsidP="003233EB" w14:paraId="5A5F9B12" w14:textId="5C89F0A2">
            <w:pPr>
              <w:spacing w:line="276" w:lineRule="auto"/>
              <w:rPr>
                <w:rFonts w:cstheme="minorHAnsi"/>
              </w:rPr>
            </w:pPr>
            <w:r>
              <w:rPr>
                <w:rFonts w:cstheme="minorHAnsi"/>
              </w:rPr>
              <w:t>47-5000</w:t>
            </w:r>
          </w:p>
        </w:tc>
        <w:tc>
          <w:tcPr>
            <w:tcW w:w="1453" w:type="dxa"/>
          </w:tcPr>
          <w:p w:rsidR="003233EB" w:rsidRPr="006A0FA3" w:rsidP="003233EB" w14:paraId="443877DA" w14:textId="19FEADD6">
            <w:pPr>
              <w:spacing w:line="276" w:lineRule="auto"/>
              <w:rPr>
                <w:rFonts w:cstheme="minorHAnsi"/>
              </w:rPr>
            </w:pPr>
            <w:r w:rsidRPr="006A0FA3">
              <w:rPr>
                <w:rFonts w:cstheme="minorHAnsi"/>
              </w:rPr>
              <w:t>Land-based OGE workers</w:t>
            </w:r>
          </w:p>
        </w:tc>
        <w:tc>
          <w:tcPr>
            <w:tcW w:w="1823" w:type="dxa"/>
          </w:tcPr>
          <w:p w:rsidR="003233EB" w:rsidRPr="006A0FA3" w:rsidP="003233EB" w14:paraId="455ABF36" w14:textId="77777777">
            <w:pPr>
              <w:spacing w:line="276" w:lineRule="auto"/>
              <w:rPr>
                <w:rFonts w:cstheme="minorHAnsi"/>
                <w:color w:val="000000" w:themeColor="text1"/>
              </w:rPr>
            </w:pPr>
            <w:r w:rsidRPr="006A0FA3">
              <w:rPr>
                <w:rFonts w:cstheme="minorHAnsi"/>
                <w:color w:val="000000" w:themeColor="text1"/>
              </w:rPr>
              <w:t>Worker Interview Guide</w:t>
            </w:r>
          </w:p>
        </w:tc>
        <w:tc>
          <w:tcPr>
            <w:tcW w:w="1174" w:type="dxa"/>
          </w:tcPr>
          <w:p w:rsidR="003233EB" w:rsidRPr="006A0FA3" w:rsidP="003233EB" w14:paraId="576573FD" w14:textId="77777777">
            <w:pPr>
              <w:spacing w:line="276" w:lineRule="auto"/>
              <w:rPr>
                <w:rFonts w:cstheme="minorHAnsi"/>
                <w:color w:val="000000"/>
              </w:rPr>
            </w:pPr>
            <w:r w:rsidRPr="006A0FA3">
              <w:rPr>
                <w:rFonts w:cstheme="minorHAnsi"/>
                <w:color w:val="000000"/>
              </w:rPr>
              <w:t>45</w:t>
            </w:r>
          </w:p>
        </w:tc>
        <w:tc>
          <w:tcPr>
            <w:tcW w:w="1396" w:type="dxa"/>
          </w:tcPr>
          <w:p w:rsidR="003233EB" w:rsidRPr="006A0FA3" w:rsidP="003233EB" w14:paraId="67EABEDF" w14:textId="19FE2431">
            <w:pPr>
              <w:spacing w:line="276" w:lineRule="auto"/>
              <w:rPr>
                <w:rFonts w:cstheme="minorHAnsi"/>
                <w:color w:val="000000"/>
              </w:rPr>
            </w:pPr>
            <w:r>
              <w:rPr>
                <w:rFonts w:cstheme="minorHAnsi"/>
              </w:rPr>
              <w:t>$25.89</w:t>
            </w:r>
          </w:p>
        </w:tc>
        <w:tc>
          <w:tcPr>
            <w:tcW w:w="1583" w:type="dxa"/>
          </w:tcPr>
          <w:p w:rsidR="003233EB" w:rsidRPr="006A0FA3" w:rsidP="003233EB" w14:paraId="1177E7D7" w14:textId="03A7DA4F">
            <w:pPr>
              <w:spacing w:line="276" w:lineRule="auto"/>
              <w:rPr>
                <w:rFonts w:cstheme="minorHAnsi"/>
                <w:color w:val="000000"/>
              </w:rPr>
            </w:pPr>
            <w:r>
              <w:rPr>
                <w:rFonts w:cstheme="minorHAnsi"/>
                <w:color w:val="000000"/>
              </w:rPr>
              <w:t>$1,165.05</w:t>
            </w:r>
          </w:p>
        </w:tc>
      </w:tr>
      <w:tr w14:paraId="6393A8C5" w14:textId="4005EA4A" w:rsidTr="00272051">
        <w:tblPrEx>
          <w:tblW w:w="8853" w:type="dxa"/>
          <w:tblInd w:w="497" w:type="dxa"/>
          <w:tblLook w:val="04A0"/>
        </w:tblPrEx>
        <w:tc>
          <w:tcPr>
            <w:tcW w:w="1424" w:type="dxa"/>
          </w:tcPr>
          <w:p w:rsidR="003233EB" w:rsidRPr="006A0FA3" w:rsidP="003233EB" w14:paraId="6EF1BF6F" w14:textId="34AAF940">
            <w:pPr>
              <w:spacing w:line="276" w:lineRule="auto"/>
              <w:rPr>
                <w:rFonts w:cstheme="minorHAnsi"/>
              </w:rPr>
            </w:pPr>
            <w:r>
              <w:rPr>
                <w:rFonts w:cstheme="minorHAnsi"/>
              </w:rPr>
              <w:t>47-1011</w:t>
            </w:r>
          </w:p>
        </w:tc>
        <w:tc>
          <w:tcPr>
            <w:tcW w:w="1453" w:type="dxa"/>
          </w:tcPr>
          <w:p w:rsidR="003233EB" w:rsidRPr="006A0FA3" w:rsidP="003233EB" w14:paraId="5639139C" w14:textId="20CCE173">
            <w:pPr>
              <w:spacing w:line="276" w:lineRule="auto"/>
              <w:rPr>
                <w:rFonts w:cstheme="minorHAnsi"/>
              </w:rPr>
            </w:pPr>
            <w:r w:rsidRPr="006A0FA3">
              <w:rPr>
                <w:rFonts w:cstheme="minorHAnsi"/>
              </w:rPr>
              <w:t>Field-level Supervisors</w:t>
            </w:r>
          </w:p>
        </w:tc>
        <w:tc>
          <w:tcPr>
            <w:tcW w:w="1823" w:type="dxa"/>
          </w:tcPr>
          <w:p w:rsidR="003233EB" w:rsidRPr="006A0FA3" w:rsidP="003233EB" w14:paraId="66B23524" w14:textId="77777777">
            <w:pPr>
              <w:spacing w:line="276" w:lineRule="auto"/>
              <w:rPr>
                <w:rFonts w:cstheme="minorHAnsi"/>
                <w:color w:val="000000" w:themeColor="text1"/>
              </w:rPr>
            </w:pPr>
            <w:r w:rsidRPr="006A0FA3">
              <w:rPr>
                <w:rFonts w:cstheme="minorHAnsi"/>
                <w:color w:val="000000" w:themeColor="text1"/>
              </w:rPr>
              <w:t>Manager Interview Guide</w:t>
            </w:r>
          </w:p>
        </w:tc>
        <w:tc>
          <w:tcPr>
            <w:tcW w:w="1174" w:type="dxa"/>
          </w:tcPr>
          <w:p w:rsidR="003233EB" w:rsidRPr="006A0FA3" w:rsidP="003233EB" w14:paraId="25B9CA53" w14:textId="77777777">
            <w:pPr>
              <w:spacing w:line="276" w:lineRule="auto"/>
              <w:rPr>
                <w:rFonts w:cstheme="minorHAnsi"/>
                <w:color w:val="000000"/>
              </w:rPr>
            </w:pPr>
            <w:r w:rsidRPr="006A0FA3">
              <w:rPr>
                <w:rFonts w:cstheme="minorHAnsi"/>
                <w:color w:val="000000"/>
              </w:rPr>
              <w:t>10</w:t>
            </w:r>
          </w:p>
        </w:tc>
        <w:tc>
          <w:tcPr>
            <w:tcW w:w="1396" w:type="dxa"/>
          </w:tcPr>
          <w:p w:rsidR="003233EB" w:rsidRPr="006A0FA3" w:rsidP="003233EB" w14:paraId="0363DF72" w14:textId="1B6C741F">
            <w:pPr>
              <w:spacing w:line="276" w:lineRule="auto"/>
              <w:rPr>
                <w:rFonts w:cstheme="minorHAnsi"/>
                <w:color w:val="000000"/>
              </w:rPr>
            </w:pPr>
            <w:r>
              <w:rPr>
                <w:rFonts w:cstheme="minorHAnsi"/>
              </w:rPr>
              <w:t>$37.33</w:t>
            </w:r>
          </w:p>
        </w:tc>
        <w:tc>
          <w:tcPr>
            <w:tcW w:w="1583" w:type="dxa"/>
          </w:tcPr>
          <w:p w:rsidR="003233EB" w:rsidRPr="006A0FA3" w:rsidP="003233EB" w14:paraId="3DF9E1CA" w14:textId="6025E01A">
            <w:pPr>
              <w:spacing w:line="276" w:lineRule="auto"/>
              <w:rPr>
                <w:rFonts w:cstheme="minorHAnsi"/>
                <w:color w:val="000000"/>
              </w:rPr>
            </w:pPr>
            <w:r>
              <w:rPr>
                <w:rFonts w:cstheme="minorHAnsi"/>
                <w:color w:val="000000"/>
              </w:rPr>
              <w:t>$373.30</w:t>
            </w:r>
          </w:p>
        </w:tc>
      </w:tr>
      <w:tr w14:paraId="1944A209" w14:textId="77777777" w:rsidTr="003233EB">
        <w:tblPrEx>
          <w:tblW w:w="8853" w:type="dxa"/>
          <w:tblInd w:w="497" w:type="dxa"/>
          <w:tblLook w:val="04A0"/>
        </w:tblPrEx>
        <w:tc>
          <w:tcPr>
            <w:tcW w:w="8853" w:type="dxa"/>
            <w:gridSpan w:val="6"/>
            <w:shd w:val="clear" w:color="auto" w:fill="E7E6E6" w:themeFill="background2"/>
          </w:tcPr>
          <w:p w:rsidR="003233EB" w:rsidP="003233EB" w14:paraId="1E9A1C83" w14:textId="05B7D5C9">
            <w:pPr>
              <w:spacing w:line="276" w:lineRule="auto"/>
              <w:rPr>
                <w:rFonts w:cstheme="minorHAnsi"/>
                <w:color w:val="000000"/>
              </w:rPr>
            </w:pPr>
            <w:r w:rsidRPr="00BF14A6">
              <w:rPr>
                <w:rFonts w:cstheme="minorHAnsi"/>
                <w:b/>
                <w:bCs/>
                <w:color w:val="000000"/>
              </w:rPr>
              <w:t xml:space="preserve">Aim 3) </w:t>
            </w:r>
            <w:r>
              <w:rPr>
                <w:rFonts w:cstheme="minorHAnsi"/>
                <w:b/>
                <w:bCs/>
                <w:color w:val="000000"/>
              </w:rPr>
              <w:t>Leader</w:t>
            </w:r>
            <w:r w:rsidRPr="00BF14A6">
              <w:rPr>
                <w:rFonts w:cstheme="minorHAnsi"/>
                <w:b/>
                <w:bCs/>
                <w:color w:val="000000"/>
              </w:rPr>
              <w:t xml:space="preserve"> interviews</w:t>
            </w:r>
            <w:r>
              <w:rPr>
                <w:rFonts w:cstheme="minorHAnsi"/>
                <w:b/>
                <w:bCs/>
                <w:color w:val="000000"/>
              </w:rPr>
              <w:t xml:space="preserve"> </w:t>
            </w:r>
            <w:r w:rsidRPr="00BF14A6">
              <w:rPr>
                <w:rFonts w:cstheme="minorHAnsi"/>
                <w:b/>
                <w:bCs/>
                <w:color w:val="000000"/>
              </w:rPr>
              <w:t xml:space="preserve"> </w:t>
            </w:r>
            <w:r>
              <w:rPr>
                <w:rFonts w:cstheme="minorHAnsi"/>
                <w:b/>
                <w:bCs/>
                <w:color w:val="000000"/>
              </w:rPr>
              <w:t xml:space="preserve">                                                                                        </w:t>
            </w:r>
            <w:r w:rsidRPr="00BF14A6">
              <w:rPr>
                <w:rFonts w:cstheme="minorHAnsi"/>
                <w:b/>
                <w:bCs/>
                <w:color w:val="000000"/>
              </w:rPr>
              <w:t xml:space="preserve">Total </w:t>
            </w:r>
            <w:r>
              <w:rPr>
                <w:rFonts w:cstheme="minorHAnsi"/>
                <w:b/>
                <w:bCs/>
                <w:color w:val="000000"/>
              </w:rPr>
              <w:t>Cost</w:t>
            </w:r>
            <w:r w:rsidRPr="00BF14A6">
              <w:rPr>
                <w:rFonts w:cstheme="minorHAnsi"/>
                <w:b/>
                <w:bCs/>
                <w:color w:val="000000"/>
              </w:rPr>
              <w:t xml:space="preserve"> = </w:t>
            </w:r>
            <w:r>
              <w:rPr>
                <w:rFonts w:cstheme="minorHAnsi"/>
                <w:b/>
                <w:bCs/>
                <w:color w:val="000000"/>
              </w:rPr>
              <w:t>$554.91</w:t>
            </w:r>
          </w:p>
        </w:tc>
      </w:tr>
      <w:tr w14:paraId="287E9F8D" w14:textId="3657D21C" w:rsidTr="00272051">
        <w:tblPrEx>
          <w:tblW w:w="8853" w:type="dxa"/>
          <w:tblInd w:w="497" w:type="dxa"/>
          <w:tblLook w:val="04A0"/>
        </w:tblPrEx>
        <w:tc>
          <w:tcPr>
            <w:tcW w:w="1424" w:type="dxa"/>
          </w:tcPr>
          <w:p w:rsidR="003233EB" w:rsidRPr="006A0FA3" w:rsidP="003233EB" w14:paraId="6DA9AD11" w14:textId="640B7FFA">
            <w:pPr>
              <w:spacing w:line="276" w:lineRule="auto"/>
              <w:rPr>
                <w:rFonts w:cstheme="minorHAnsi"/>
              </w:rPr>
            </w:pPr>
            <w:r>
              <w:rPr>
                <w:rFonts w:cstheme="minorHAnsi"/>
              </w:rPr>
              <w:t>11-1000</w:t>
            </w:r>
          </w:p>
        </w:tc>
        <w:tc>
          <w:tcPr>
            <w:tcW w:w="1453" w:type="dxa"/>
          </w:tcPr>
          <w:p w:rsidR="003233EB" w:rsidRPr="006A0FA3" w:rsidP="003233EB" w14:paraId="32BE6682" w14:textId="4B49EA2D">
            <w:pPr>
              <w:spacing w:line="276" w:lineRule="auto"/>
              <w:rPr>
                <w:rFonts w:cstheme="minorHAnsi"/>
              </w:rPr>
            </w:pPr>
            <w:r w:rsidRPr="006A0FA3">
              <w:rPr>
                <w:rFonts w:cstheme="minorHAnsi"/>
              </w:rPr>
              <w:t>Health and Safety Leaders</w:t>
            </w:r>
          </w:p>
        </w:tc>
        <w:tc>
          <w:tcPr>
            <w:tcW w:w="1823" w:type="dxa"/>
          </w:tcPr>
          <w:p w:rsidR="003233EB" w:rsidRPr="006A0FA3" w:rsidP="003233EB" w14:paraId="4D6F5401" w14:textId="77777777">
            <w:pPr>
              <w:spacing w:line="276" w:lineRule="auto"/>
              <w:rPr>
                <w:rFonts w:cstheme="minorHAnsi"/>
                <w:color w:val="000000" w:themeColor="text1"/>
              </w:rPr>
            </w:pPr>
            <w:r w:rsidRPr="006A0FA3">
              <w:rPr>
                <w:rFonts w:cstheme="minorHAnsi"/>
                <w:color w:val="000000" w:themeColor="text1"/>
              </w:rPr>
              <w:t>HSE Interview Guide</w:t>
            </w:r>
          </w:p>
        </w:tc>
        <w:tc>
          <w:tcPr>
            <w:tcW w:w="1174" w:type="dxa"/>
          </w:tcPr>
          <w:p w:rsidR="003233EB" w:rsidRPr="006A0FA3" w:rsidP="003233EB" w14:paraId="7776ED68" w14:textId="77777777">
            <w:pPr>
              <w:spacing w:line="276" w:lineRule="auto"/>
              <w:rPr>
                <w:rFonts w:cstheme="minorHAnsi"/>
                <w:color w:val="000000"/>
              </w:rPr>
            </w:pPr>
            <w:r w:rsidRPr="006A0FA3">
              <w:rPr>
                <w:rFonts w:cstheme="minorHAnsi"/>
                <w:color w:val="000000"/>
              </w:rPr>
              <w:t>7</w:t>
            </w:r>
          </w:p>
        </w:tc>
        <w:tc>
          <w:tcPr>
            <w:tcW w:w="1396" w:type="dxa"/>
          </w:tcPr>
          <w:p w:rsidR="003233EB" w:rsidRPr="006A0FA3" w:rsidP="003233EB" w14:paraId="26142322" w14:textId="191FE92B">
            <w:pPr>
              <w:spacing w:line="276" w:lineRule="auto"/>
              <w:rPr>
                <w:rFonts w:cstheme="minorHAnsi"/>
                <w:color w:val="000000"/>
              </w:rPr>
            </w:pPr>
            <w:r>
              <w:rPr>
                <w:rFonts w:cstheme="minorHAnsi"/>
                <w:color w:val="000000"/>
              </w:rPr>
              <w:t>$62.04</w:t>
            </w:r>
          </w:p>
        </w:tc>
        <w:tc>
          <w:tcPr>
            <w:tcW w:w="1583" w:type="dxa"/>
          </w:tcPr>
          <w:p w:rsidR="003233EB" w:rsidRPr="006A0FA3" w:rsidP="003233EB" w14:paraId="622439D6" w14:textId="3917B180">
            <w:pPr>
              <w:spacing w:line="276" w:lineRule="auto"/>
              <w:rPr>
                <w:rFonts w:cstheme="minorHAnsi"/>
                <w:color w:val="000000"/>
              </w:rPr>
            </w:pPr>
            <w:r>
              <w:rPr>
                <w:rFonts w:cstheme="minorHAnsi"/>
                <w:color w:val="000000"/>
              </w:rPr>
              <w:t>$434.28</w:t>
            </w:r>
          </w:p>
        </w:tc>
      </w:tr>
      <w:tr w14:paraId="32CBE613" w14:textId="22CBB364" w:rsidTr="00272051">
        <w:tblPrEx>
          <w:tblW w:w="8853" w:type="dxa"/>
          <w:tblInd w:w="497" w:type="dxa"/>
          <w:tblLook w:val="04A0"/>
        </w:tblPrEx>
        <w:tc>
          <w:tcPr>
            <w:tcW w:w="1424" w:type="dxa"/>
          </w:tcPr>
          <w:p w:rsidR="003233EB" w:rsidRPr="006A0FA3" w:rsidP="003233EB" w14:paraId="2DF44929" w14:textId="5A6A7678">
            <w:pPr>
              <w:spacing w:line="276" w:lineRule="auto"/>
              <w:rPr>
                <w:rFonts w:cstheme="minorHAnsi"/>
              </w:rPr>
            </w:pPr>
            <w:r>
              <w:rPr>
                <w:rFonts w:cstheme="minorHAnsi"/>
              </w:rPr>
              <w:t>19-0000</w:t>
            </w:r>
          </w:p>
        </w:tc>
        <w:tc>
          <w:tcPr>
            <w:tcW w:w="1453" w:type="dxa"/>
          </w:tcPr>
          <w:p w:rsidR="003233EB" w:rsidRPr="006A0FA3" w:rsidP="003233EB" w14:paraId="1CBBA5F0" w14:textId="21615485">
            <w:pPr>
              <w:spacing w:line="276" w:lineRule="auto"/>
              <w:rPr>
                <w:rFonts w:cstheme="minorHAnsi"/>
              </w:rPr>
            </w:pPr>
            <w:r w:rsidRPr="006A0FA3">
              <w:rPr>
                <w:rFonts w:cstheme="minorHAnsi"/>
              </w:rPr>
              <w:t>Subject Matter Experts</w:t>
            </w:r>
          </w:p>
        </w:tc>
        <w:tc>
          <w:tcPr>
            <w:tcW w:w="1823" w:type="dxa"/>
          </w:tcPr>
          <w:p w:rsidR="003233EB" w:rsidRPr="006A0FA3" w:rsidP="003233EB" w14:paraId="65D9A720" w14:textId="77777777">
            <w:pPr>
              <w:spacing w:line="276" w:lineRule="auto"/>
              <w:rPr>
                <w:rFonts w:cstheme="minorHAnsi"/>
                <w:color w:val="000000" w:themeColor="text1"/>
              </w:rPr>
            </w:pPr>
            <w:r w:rsidRPr="006A0FA3">
              <w:rPr>
                <w:rFonts w:cstheme="minorHAnsi"/>
                <w:color w:val="000000" w:themeColor="text1"/>
              </w:rPr>
              <w:t>SME Interview Guide</w:t>
            </w:r>
          </w:p>
        </w:tc>
        <w:tc>
          <w:tcPr>
            <w:tcW w:w="1174" w:type="dxa"/>
          </w:tcPr>
          <w:p w:rsidR="003233EB" w:rsidRPr="006A0FA3" w:rsidP="003233EB" w14:paraId="04FE81F2" w14:textId="77777777">
            <w:pPr>
              <w:spacing w:line="276" w:lineRule="auto"/>
              <w:rPr>
                <w:rFonts w:cstheme="minorHAnsi"/>
                <w:color w:val="000000"/>
              </w:rPr>
            </w:pPr>
            <w:r w:rsidRPr="006A0FA3">
              <w:rPr>
                <w:rFonts w:cstheme="minorHAnsi"/>
                <w:color w:val="000000"/>
              </w:rPr>
              <w:t>3</w:t>
            </w:r>
          </w:p>
        </w:tc>
        <w:tc>
          <w:tcPr>
            <w:tcW w:w="1396" w:type="dxa"/>
          </w:tcPr>
          <w:p w:rsidR="003233EB" w:rsidRPr="006A0FA3" w:rsidP="003233EB" w14:paraId="774BDB16" w14:textId="44505058">
            <w:pPr>
              <w:spacing w:line="276" w:lineRule="auto"/>
              <w:rPr>
                <w:rFonts w:cstheme="minorHAnsi"/>
                <w:color w:val="000000"/>
              </w:rPr>
            </w:pPr>
            <w:r>
              <w:rPr>
                <w:rFonts w:cstheme="minorHAnsi"/>
                <w:color w:val="000000"/>
              </w:rPr>
              <w:t>$40.21</w:t>
            </w:r>
          </w:p>
        </w:tc>
        <w:tc>
          <w:tcPr>
            <w:tcW w:w="1583" w:type="dxa"/>
          </w:tcPr>
          <w:p w:rsidR="003233EB" w:rsidRPr="006A0FA3" w:rsidP="003233EB" w14:paraId="7BADC556" w14:textId="53D6B3C8">
            <w:pPr>
              <w:spacing w:line="276" w:lineRule="auto"/>
              <w:rPr>
                <w:rFonts w:cstheme="minorHAnsi"/>
                <w:color w:val="000000"/>
              </w:rPr>
            </w:pPr>
            <w:r>
              <w:rPr>
                <w:rFonts w:cstheme="minorHAnsi"/>
                <w:color w:val="000000"/>
              </w:rPr>
              <w:t>$120.63</w:t>
            </w:r>
          </w:p>
        </w:tc>
      </w:tr>
      <w:tr w14:paraId="53A6DF76" w14:textId="5478756B" w:rsidTr="00272051">
        <w:tblPrEx>
          <w:tblW w:w="8853" w:type="dxa"/>
          <w:tblInd w:w="497" w:type="dxa"/>
          <w:tblLook w:val="04A0"/>
        </w:tblPrEx>
        <w:tc>
          <w:tcPr>
            <w:tcW w:w="1424" w:type="dxa"/>
          </w:tcPr>
          <w:p w:rsidR="003233EB" w:rsidRPr="006A0FA3" w:rsidP="003233EB" w14:paraId="25B554A8" w14:textId="540DFC1F">
            <w:pPr>
              <w:spacing w:line="276" w:lineRule="auto"/>
              <w:rPr>
                <w:rFonts w:cstheme="minorHAnsi"/>
                <w:b/>
                <w:bCs/>
              </w:rPr>
            </w:pPr>
            <w:r w:rsidRPr="006A0FA3">
              <w:rPr>
                <w:rFonts w:cstheme="minorHAnsi"/>
                <w:b/>
                <w:bCs/>
              </w:rPr>
              <w:t>Total</w:t>
            </w:r>
          </w:p>
        </w:tc>
        <w:tc>
          <w:tcPr>
            <w:tcW w:w="1453" w:type="dxa"/>
          </w:tcPr>
          <w:p w:rsidR="003233EB" w:rsidRPr="006A0FA3" w:rsidP="003233EB" w14:paraId="5346337A" w14:textId="6AFF0274">
            <w:pPr>
              <w:spacing w:line="276" w:lineRule="auto"/>
              <w:rPr>
                <w:rFonts w:cstheme="minorHAnsi"/>
                <w:b/>
                <w:bCs/>
              </w:rPr>
            </w:pPr>
          </w:p>
        </w:tc>
        <w:tc>
          <w:tcPr>
            <w:tcW w:w="1823" w:type="dxa"/>
          </w:tcPr>
          <w:p w:rsidR="003233EB" w:rsidRPr="006A0FA3" w:rsidP="003233EB" w14:paraId="4731C196" w14:textId="77777777">
            <w:pPr>
              <w:spacing w:line="276" w:lineRule="auto"/>
              <w:rPr>
                <w:rFonts w:cstheme="minorHAnsi"/>
                <w:b/>
                <w:bCs/>
                <w:color w:val="000000" w:themeColor="text1"/>
              </w:rPr>
            </w:pPr>
          </w:p>
        </w:tc>
        <w:tc>
          <w:tcPr>
            <w:tcW w:w="1174" w:type="dxa"/>
          </w:tcPr>
          <w:p w:rsidR="003233EB" w:rsidRPr="006A0FA3" w:rsidP="003233EB" w14:paraId="3D612A77" w14:textId="6EBBD359">
            <w:pPr>
              <w:spacing w:line="276" w:lineRule="auto"/>
              <w:rPr>
                <w:rFonts w:cstheme="minorHAnsi"/>
                <w:b/>
                <w:bCs/>
                <w:color w:val="000000"/>
              </w:rPr>
            </w:pPr>
          </w:p>
        </w:tc>
        <w:tc>
          <w:tcPr>
            <w:tcW w:w="1396" w:type="dxa"/>
          </w:tcPr>
          <w:p w:rsidR="003233EB" w:rsidRPr="006A0FA3" w:rsidP="003233EB" w14:paraId="6BD09B8C" w14:textId="77777777">
            <w:pPr>
              <w:spacing w:line="276" w:lineRule="auto"/>
              <w:rPr>
                <w:rFonts w:cstheme="minorHAnsi"/>
                <w:b/>
                <w:bCs/>
                <w:color w:val="000000"/>
              </w:rPr>
            </w:pPr>
          </w:p>
        </w:tc>
        <w:tc>
          <w:tcPr>
            <w:tcW w:w="1583" w:type="dxa"/>
          </w:tcPr>
          <w:p w:rsidR="003233EB" w:rsidRPr="006A0FA3" w:rsidP="003233EB" w14:paraId="2C3D6968" w14:textId="319F9265">
            <w:pPr>
              <w:spacing w:line="276" w:lineRule="auto"/>
              <w:rPr>
                <w:rFonts w:cstheme="minorHAnsi"/>
                <w:b/>
                <w:bCs/>
                <w:color w:val="000000"/>
              </w:rPr>
            </w:pPr>
            <w:r>
              <w:rPr>
                <w:rFonts w:cstheme="minorHAnsi"/>
                <w:b/>
                <w:bCs/>
                <w:color w:val="000000"/>
              </w:rPr>
              <w:t>$10,869.97</w:t>
            </w:r>
          </w:p>
        </w:tc>
      </w:tr>
    </w:tbl>
    <w:p w:rsidR="00BC0081" w:rsidRPr="00BC0081" w:rsidP="00BC0081" w14:paraId="0ADD94AA" w14:textId="77777777"/>
    <w:p w:rsidR="006567C8" w:rsidP="00127216" w14:paraId="7C161F07" w14:textId="00231D4F">
      <w:pPr>
        <w:pStyle w:val="Heading2"/>
      </w:pPr>
      <w:bookmarkStart w:id="20" w:name="_Toc137115887"/>
      <w:r>
        <w:t>A.</w:t>
      </w:r>
      <w:r w:rsidRPr="00561C24">
        <w:t>13. Estimates of Other Total Annual Cost Burden to Respondents and Record Keepers</w:t>
      </w:r>
      <w:bookmarkEnd w:id="20"/>
    </w:p>
    <w:p w:rsidR="003B3410" w:rsidRPr="003B3410" w:rsidP="003B3410" w14:paraId="5E28041D" w14:textId="40A649CC">
      <w:r>
        <w:t>There are no additional cost burdens to respondents or record keepers.</w:t>
      </w:r>
    </w:p>
    <w:p w:rsidR="006567C8" w:rsidP="00127216" w14:paraId="77B14C38" w14:textId="1BC1BE97">
      <w:pPr>
        <w:pStyle w:val="Heading2"/>
      </w:pPr>
      <w:bookmarkStart w:id="21" w:name="_Toc137115888"/>
      <w:r>
        <w:t>A.</w:t>
      </w:r>
      <w:r w:rsidRPr="00561C24">
        <w:t>14. Annualized Cost to the Federal Government</w:t>
      </w:r>
      <w:bookmarkEnd w:id="21"/>
    </w:p>
    <w:p w:rsidR="002963E2" w:rsidP="00772B69" w14:paraId="7646B7D8" w14:textId="69385F0B">
      <w:pPr>
        <w:pStyle w:val="Heading3"/>
      </w:pPr>
      <w:bookmarkStart w:id="22" w:name="_Toc137115889"/>
      <w:r>
        <w:rPr>
          <w:bCs/>
        </w:rPr>
        <w:t>Table</w:t>
      </w:r>
      <w:r w:rsidRPr="002963E2">
        <w:rPr>
          <w:bCs/>
        </w:rPr>
        <w:t xml:space="preserve"> A.14</w:t>
      </w:r>
      <w:r w:rsidRPr="002963E2">
        <w:t xml:space="preserve">. Annualized Cost to </w:t>
      </w:r>
      <w:r>
        <w:t xml:space="preserve">the Federal </w:t>
      </w:r>
      <w:r w:rsidRPr="002963E2">
        <w:t>Government</w:t>
      </w:r>
      <w:bookmarkEnd w:id="22"/>
      <w:r w:rsidRPr="002963E2">
        <w:t xml:space="preserve"> </w:t>
      </w:r>
    </w:p>
    <w:tbl>
      <w:tblPr>
        <w:tblStyle w:val="TableGrid"/>
        <w:tblW w:w="0" w:type="auto"/>
        <w:tblLook w:val="04A0"/>
      </w:tblPr>
      <w:tblGrid>
        <w:gridCol w:w="2605"/>
        <w:gridCol w:w="4500"/>
        <w:gridCol w:w="2245"/>
      </w:tblGrid>
      <w:tr w14:paraId="5C73F398" w14:textId="77777777" w:rsidTr="00772B69">
        <w:tblPrEx>
          <w:tblW w:w="0" w:type="auto"/>
          <w:tblLook w:val="04A0"/>
        </w:tblPrEx>
        <w:tc>
          <w:tcPr>
            <w:tcW w:w="2605" w:type="dxa"/>
          </w:tcPr>
          <w:p w:rsidR="002963E2" w:rsidP="002963E2" w14:paraId="408BE819" w14:textId="6E237235">
            <w:pPr>
              <w:pStyle w:val="NormalWeb"/>
              <w:spacing w:before="0" w:beforeAutospacing="0" w:after="0"/>
              <w:rPr>
                <w:rFonts w:asciiTheme="minorHAnsi" w:hAnsiTheme="minorHAnsi" w:cstheme="minorHAnsi"/>
                <w:b/>
                <w:sz w:val="22"/>
                <w:szCs w:val="22"/>
              </w:rPr>
            </w:pPr>
            <w:r>
              <w:rPr>
                <w:rFonts w:asciiTheme="minorHAnsi" w:hAnsiTheme="minorHAnsi" w:cstheme="minorHAnsi"/>
                <w:b/>
                <w:sz w:val="22"/>
                <w:szCs w:val="22"/>
              </w:rPr>
              <w:t>Expense Type</w:t>
            </w:r>
          </w:p>
        </w:tc>
        <w:tc>
          <w:tcPr>
            <w:tcW w:w="4500" w:type="dxa"/>
          </w:tcPr>
          <w:p w:rsidR="002963E2" w:rsidP="002963E2" w14:paraId="5253E989" w14:textId="6B469D47">
            <w:pPr>
              <w:pStyle w:val="NormalWeb"/>
              <w:spacing w:before="0" w:beforeAutospacing="0" w:after="0"/>
              <w:rPr>
                <w:rFonts w:asciiTheme="minorHAnsi" w:hAnsiTheme="minorHAnsi" w:cstheme="minorHAnsi"/>
                <w:b/>
                <w:sz w:val="22"/>
                <w:szCs w:val="22"/>
              </w:rPr>
            </w:pPr>
            <w:r>
              <w:rPr>
                <w:rFonts w:asciiTheme="minorHAnsi" w:hAnsiTheme="minorHAnsi" w:cstheme="minorHAnsi"/>
                <w:b/>
                <w:sz w:val="22"/>
                <w:szCs w:val="22"/>
              </w:rPr>
              <w:t>Expense Explanation</w:t>
            </w:r>
          </w:p>
        </w:tc>
        <w:tc>
          <w:tcPr>
            <w:tcW w:w="2245" w:type="dxa"/>
          </w:tcPr>
          <w:p w:rsidR="002963E2" w:rsidP="002963E2" w14:paraId="78332088" w14:textId="56743B4E">
            <w:pPr>
              <w:pStyle w:val="NormalWeb"/>
              <w:spacing w:before="0" w:beforeAutospacing="0" w:after="0"/>
              <w:rPr>
                <w:rFonts w:asciiTheme="minorHAnsi" w:hAnsiTheme="minorHAnsi" w:cstheme="minorHAnsi"/>
                <w:b/>
                <w:sz w:val="22"/>
                <w:szCs w:val="22"/>
              </w:rPr>
            </w:pPr>
            <w:r>
              <w:rPr>
                <w:rFonts w:asciiTheme="minorHAnsi" w:hAnsiTheme="minorHAnsi" w:cstheme="minorHAnsi"/>
                <w:b/>
                <w:sz w:val="22"/>
                <w:szCs w:val="22"/>
              </w:rPr>
              <w:t>Annual Costs (dollars)</w:t>
            </w:r>
          </w:p>
        </w:tc>
      </w:tr>
      <w:tr w14:paraId="11B2110F" w14:textId="77777777" w:rsidTr="00772B69">
        <w:tblPrEx>
          <w:tblW w:w="0" w:type="auto"/>
          <w:tblLook w:val="04A0"/>
        </w:tblPrEx>
        <w:tc>
          <w:tcPr>
            <w:tcW w:w="2605" w:type="dxa"/>
          </w:tcPr>
          <w:p w:rsidR="002963E2" w:rsidRPr="002963E2" w:rsidP="002963E2" w14:paraId="67550787" w14:textId="1AA05109">
            <w:pPr>
              <w:pStyle w:val="NormalWeb"/>
              <w:spacing w:before="0" w:beforeAutospacing="0" w:after="0"/>
              <w:rPr>
                <w:rFonts w:asciiTheme="minorHAnsi" w:hAnsiTheme="minorHAnsi" w:cstheme="minorHAnsi"/>
                <w:bCs/>
                <w:sz w:val="22"/>
                <w:szCs w:val="22"/>
              </w:rPr>
            </w:pPr>
            <w:r w:rsidRPr="002963E2">
              <w:rPr>
                <w:rFonts w:asciiTheme="minorHAnsi" w:hAnsiTheme="minorHAnsi" w:cstheme="minorHAnsi"/>
                <w:bCs/>
                <w:sz w:val="22"/>
                <w:szCs w:val="22"/>
              </w:rPr>
              <w:t>Direct costs to the federal government</w:t>
            </w:r>
          </w:p>
        </w:tc>
        <w:tc>
          <w:tcPr>
            <w:tcW w:w="4500" w:type="dxa"/>
          </w:tcPr>
          <w:p w:rsidR="002963E2" w:rsidRPr="002963E2" w:rsidP="002963E2" w14:paraId="440EA2CE" w14:textId="77777777">
            <w:pPr>
              <w:pStyle w:val="NormalWeb"/>
              <w:spacing w:before="0" w:beforeAutospacing="0" w:after="0"/>
              <w:rPr>
                <w:rFonts w:asciiTheme="minorHAnsi" w:hAnsiTheme="minorHAnsi" w:cstheme="minorHAnsi"/>
                <w:bCs/>
                <w:sz w:val="22"/>
                <w:szCs w:val="22"/>
              </w:rPr>
            </w:pPr>
          </w:p>
        </w:tc>
        <w:tc>
          <w:tcPr>
            <w:tcW w:w="2245" w:type="dxa"/>
          </w:tcPr>
          <w:p w:rsidR="002963E2" w:rsidRPr="002963E2" w:rsidP="00772B69" w14:paraId="00888DBC" w14:textId="77777777">
            <w:pPr>
              <w:pStyle w:val="NormalWeb"/>
              <w:spacing w:before="0" w:beforeAutospacing="0" w:after="0"/>
              <w:jc w:val="right"/>
              <w:rPr>
                <w:rFonts w:asciiTheme="minorHAnsi" w:hAnsiTheme="minorHAnsi" w:cstheme="minorHAnsi"/>
                <w:bCs/>
                <w:sz w:val="22"/>
                <w:szCs w:val="22"/>
              </w:rPr>
            </w:pPr>
          </w:p>
        </w:tc>
      </w:tr>
      <w:tr w14:paraId="3AF5797E" w14:textId="77777777" w:rsidTr="00772B69">
        <w:tblPrEx>
          <w:tblW w:w="0" w:type="auto"/>
          <w:tblLook w:val="04A0"/>
        </w:tblPrEx>
        <w:tc>
          <w:tcPr>
            <w:tcW w:w="2605" w:type="dxa"/>
          </w:tcPr>
          <w:p w:rsidR="002963E2" w:rsidRPr="002963E2" w:rsidP="002963E2" w14:paraId="774522EC" w14:textId="77777777">
            <w:pPr>
              <w:pStyle w:val="NormalWeb"/>
              <w:spacing w:before="0" w:beforeAutospacing="0" w:after="0"/>
              <w:rPr>
                <w:rFonts w:asciiTheme="minorHAnsi" w:hAnsiTheme="minorHAnsi" w:cstheme="minorHAnsi"/>
                <w:bCs/>
                <w:sz w:val="22"/>
                <w:szCs w:val="22"/>
              </w:rPr>
            </w:pPr>
          </w:p>
        </w:tc>
        <w:tc>
          <w:tcPr>
            <w:tcW w:w="4500" w:type="dxa"/>
          </w:tcPr>
          <w:p w:rsidR="002963E2" w:rsidRPr="002963E2" w:rsidP="002963E2" w14:paraId="32599F19" w14:textId="7E6BD9F9">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CDC Project Officer (GS-12, 1 FTE)</w:t>
            </w:r>
          </w:p>
        </w:tc>
        <w:tc>
          <w:tcPr>
            <w:tcW w:w="2245" w:type="dxa"/>
          </w:tcPr>
          <w:p w:rsidR="002963E2" w:rsidRPr="00BC32B8" w:rsidP="00772B69" w14:paraId="33395EC5" w14:textId="08EFFF0E">
            <w:pPr>
              <w:pStyle w:val="NormalWeb"/>
              <w:spacing w:before="0" w:beforeAutospacing="0" w:after="0"/>
              <w:jc w:val="right"/>
              <w:rPr>
                <w:rFonts w:asciiTheme="minorHAnsi" w:hAnsiTheme="minorHAnsi" w:cstheme="minorHAnsi"/>
                <w:bCs/>
                <w:sz w:val="22"/>
                <w:szCs w:val="22"/>
              </w:rPr>
            </w:pPr>
            <w:r w:rsidRPr="00BC32B8">
              <w:rPr>
                <w:rFonts w:asciiTheme="minorHAnsi" w:hAnsiTheme="minorHAnsi" w:cstheme="minorHAnsi"/>
                <w:sz w:val="22"/>
                <w:szCs w:val="22"/>
              </w:rPr>
              <w:t>$121,153</w:t>
            </w:r>
          </w:p>
        </w:tc>
      </w:tr>
      <w:tr w14:paraId="0E930CC1" w14:textId="77777777" w:rsidTr="00772B69">
        <w:tblPrEx>
          <w:tblW w:w="0" w:type="auto"/>
          <w:tblLook w:val="04A0"/>
        </w:tblPrEx>
        <w:tc>
          <w:tcPr>
            <w:tcW w:w="2605" w:type="dxa"/>
          </w:tcPr>
          <w:p w:rsidR="002963E2" w:rsidRPr="002963E2" w:rsidP="002963E2" w14:paraId="7642AD03" w14:textId="77777777">
            <w:pPr>
              <w:pStyle w:val="NormalWeb"/>
              <w:spacing w:before="0" w:beforeAutospacing="0" w:after="0"/>
              <w:rPr>
                <w:rFonts w:asciiTheme="minorHAnsi" w:hAnsiTheme="minorHAnsi" w:cstheme="minorHAnsi"/>
                <w:bCs/>
                <w:sz w:val="22"/>
                <w:szCs w:val="22"/>
              </w:rPr>
            </w:pPr>
          </w:p>
        </w:tc>
        <w:tc>
          <w:tcPr>
            <w:tcW w:w="4500" w:type="dxa"/>
          </w:tcPr>
          <w:p w:rsidR="002963E2" w:rsidRPr="002963E2" w:rsidP="002963E2" w14:paraId="76F44EE9" w14:textId="00631A86">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Travel</w:t>
            </w:r>
          </w:p>
        </w:tc>
        <w:tc>
          <w:tcPr>
            <w:tcW w:w="2245" w:type="dxa"/>
          </w:tcPr>
          <w:p w:rsidR="002963E2" w:rsidRPr="002963E2" w:rsidP="00772B69" w14:paraId="1584468B" w14:textId="0CABFF4B">
            <w:pPr>
              <w:pStyle w:val="NormalWeb"/>
              <w:spacing w:before="0" w:beforeAutospacing="0" w:after="0"/>
              <w:jc w:val="right"/>
              <w:rPr>
                <w:rFonts w:asciiTheme="minorHAnsi" w:hAnsiTheme="minorHAnsi" w:cstheme="minorHAnsi"/>
                <w:bCs/>
                <w:sz w:val="22"/>
                <w:szCs w:val="22"/>
              </w:rPr>
            </w:pPr>
            <w:r>
              <w:rPr>
                <w:rFonts w:asciiTheme="minorHAnsi" w:hAnsiTheme="minorHAnsi" w:cstheme="minorHAnsi"/>
                <w:bCs/>
                <w:sz w:val="22"/>
                <w:szCs w:val="22"/>
              </w:rPr>
              <w:t>$15,000</w:t>
            </w:r>
          </w:p>
        </w:tc>
      </w:tr>
      <w:tr w14:paraId="2D5DC2D8" w14:textId="77777777" w:rsidTr="00772B69">
        <w:tblPrEx>
          <w:tblW w:w="0" w:type="auto"/>
          <w:tblLook w:val="04A0"/>
        </w:tblPrEx>
        <w:tc>
          <w:tcPr>
            <w:tcW w:w="2605" w:type="dxa"/>
          </w:tcPr>
          <w:p w:rsidR="00772B69" w:rsidRPr="002963E2" w:rsidP="002963E2" w14:paraId="5D6FA2F8" w14:textId="77777777">
            <w:pPr>
              <w:pStyle w:val="NormalWeb"/>
              <w:spacing w:before="0" w:beforeAutospacing="0" w:after="0"/>
              <w:rPr>
                <w:rFonts w:asciiTheme="minorHAnsi" w:hAnsiTheme="minorHAnsi" w:cstheme="minorHAnsi"/>
                <w:bCs/>
                <w:sz w:val="22"/>
                <w:szCs w:val="22"/>
              </w:rPr>
            </w:pPr>
          </w:p>
        </w:tc>
        <w:tc>
          <w:tcPr>
            <w:tcW w:w="4500" w:type="dxa"/>
          </w:tcPr>
          <w:p w:rsidR="00772B69" w:rsidP="002963E2" w14:paraId="1ECBE1D5" w14:textId="788FC547">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Equipment</w:t>
            </w:r>
          </w:p>
        </w:tc>
        <w:tc>
          <w:tcPr>
            <w:tcW w:w="2245" w:type="dxa"/>
          </w:tcPr>
          <w:p w:rsidR="00772B69" w:rsidP="00772B69" w14:paraId="0EA364C6" w14:textId="5CEEA160">
            <w:pPr>
              <w:pStyle w:val="NormalWeb"/>
              <w:spacing w:before="0" w:beforeAutospacing="0" w:after="0"/>
              <w:jc w:val="right"/>
              <w:rPr>
                <w:rFonts w:asciiTheme="minorHAnsi" w:hAnsiTheme="minorHAnsi" w:cstheme="minorHAnsi"/>
                <w:bCs/>
                <w:sz w:val="22"/>
                <w:szCs w:val="22"/>
              </w:rPr>
            </w:pPr>
            <w:r>
              <w:rPr>
                <w:rFonts w:asciiTheme="minorHAnsi" w:hAnsiTheme="minorHAnsi" w:cstheme="minorHAnsi"/>
                <w:bCs/>
                <w:sz w:val="22"/>
                <w:szCs w:val="22"/>
              </w:rPr>
              <w:t>$7,000</w:t>
            </w:r>
          </w:p>
        </w:tc>
      </w:tr>
      <w:tr w14:paraId="3836121F" w14:textId="77777777" w:rsidTr="00772B69">
        <w:tblPrEx>
          <w:tblW w:w="0" w:type="auto"/>
          <w:tblLook w:val="04A0"/>
        </w:tblPrEx>
        <w:tc>
          <w:tcPr>
            <w:tcW w:w="2605" w:type="dxa"/>
          </w:tcPr>
          <w:p w:rsidR="00772B69" w:rsidRPr="002963E2" w:rsidP="002963E2" w14:paraId="136FF816" w14:textId="77777777">
            <w:pPr>
              <w:pStyle w:val="NormalWeb"/>
              <w:spacing w:before="0" w:beforeAutospacing="0" w:after="0"/>
              <w:rPr>
                <w:rFonts w:asciiTheme="minorHAnsi" w:hAnsiTheme="minorHAnsi" w:cstheme="minorHAnsi"/>
                <w:bCs/>
                <w:sz w:val="22"/>
                <w:szCs w:val="22"/>
              </w:rPr>
            </w:pPr>
          </w:p>
        </w:tc>
        <w:tc>
          <w:tcPr>
            <w:tcW w:w="4500" w:type="dxa"/>
          </w:tcPr>
          <w:p w:rsidR="00772B69" w:rsidP="002963E2" w14:paraId="498D0F3A" w14:textId="603FB4E3">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Supplies</w:t>
            </w:r>
          </w:p>
        </w:tc>
        <w:tc>
          <w:tcPr>
            <w:tcW w:w="2245" w:type="dxa"/>
          </w:tcPr>
          <w:p w:rsidR="00772B69" w:rsidP="00772B69" w14:paraId="438DF67E" w14:textId="69C61929">
            <w:pPr>
              <w:pStyle w:val="NormalWeb"/>
              <w:spacing w:before="0" w:beforeAutospacing="0" w:after="0"/>
              <w:jc w:val="right"/>
              <w:rPr>
                <w:rFonts w:asciiTheme="minorHAnsi" w:hAnsiTheme="minorHAnsi" w:cstheme="minorHAnsi"/>
                <w:bCs/>
                <w:sz w:val="22"/>
                <w:szCs w:val="22"/>
              </w:rPr>
            </w:pPr>
            <w:r>
              <w:rPr>
                <w:rFonts w:asciiTheme="minorHAnsi" w:hAnsiTheme="minorHAnsi" w:cstheme="minorHAnsi"/>
                <w:bCs/>
                <w:sz w:val="22"/>
                <w:szCs w:val="22"/>
              </w:rPr>
              <w:t>$1,000</w:t>
            </w:r>
          </w:p>
        </w:tc>
      </w:tr>
      <w:tr w14:paraId="19E60E29" w14:textId="77777777" w:rsidTr="00772B69">
        <w:tblPrEx>
          <w:tblW w:w="0" w:type="auto"/>
          <w:tblLook w:val="04A0"/>
        </w:tblPrEx>
        <w:tc>
          <w:tcPr>
            <w:tcW w:w="2605" w:type="dxa"/>
          </w:tcPr>
          <w:p w:rsidR="002963E2" w:rsidRPr="002963E2" w:rsidP="002963E2" w14:paraId="3A5CFBD1" w14:textId="77777777">
            <w:pPr>
              <w:pStyle w:val="NormalWeb"/>
              <w:spacing w:before="0" w:beforeAutospacing="0" w:after="0"/>
              <w:rPr>
                <w:rFonts w:asciiTheme="minorHAnsi" w:hAnsiTheme="minorHAnsi" w:cstheme="minorHAnsi"/>
                <w:bCs/>
                <w:sz w:val="22"/>
                <w:szCs w:val="22"/>
              </w:rPr>
            </w:pPr>
          </w:p>
        </w:tc>
        <w:tc>
          <w:tcPr>
            <w:tcW w:w="4500" w:type="dxa"/>
          </w:tcPr>
          <w:p w:rsidR="002963E2" w:rsidRPr="002963E2" w:rsidP="002963E2" w14:paraId="1C354124" w14:textId="1950E43F">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Other (Tokens of appreciation, printing, shipping)</w:t>
            </w:r>
          </w:p>
        </w:tc>
        <w:tc>
          <w:tcPr>
            <w:tcW w:w="2245" w:type="dxa"/>
          </w:tcPr>
          <w:p w:rsidR="002963E2" w:rsidRPr="002963E2" w:rsidP="00772B69" w14:paraId="4210CF1B" w14:textId="5AD300B4">
            <w:pPr>
              <w:pStyle w:val="NormalWeb"/>
              <w:spacing w:before="0" w:beforeAutospacing="0" w:after="0"/>
              <w:jc w:val="right"/>
              <w:rPr>
                <w:rFonts w:asciiTheme="minorHAnsi" w:hAnsiTheme="minorHAnsi" w:cstheme="minorHAnsi"/>
                <w:bCs/>
                <w:sz w:val="22"/>
                <w:szCs w:val="22"/>
              </w:rPr>
            </w:pPr>
            <w:r>
              <w:rPr>
                <w:rFonts w:asciiTheme="minorHAnsi" w:hAnsiTheme="minorHAnsi" w:cstheme="minorHAnsi"/>
                <w:bCs/>
                <w:sz w:val="22"/>
                <w:szCs w:val="22"/>
              </w:rPr>
              <w:t>$10,000</w:t>
            </w:r>
          </w:p>
        </w:tc>
      </w:tr>
      <w:tr w14:paraId="3574A921" w14:textId="77777777" w:rsidTr="00772B69">
        <w:tblPrEx>
          <w:tblW w:w="0" w:type="auto"/>
          <w:tblLook w:val="04A0"/>
        </w:tblPrEx>
        <w:tc>
          <w:tcPr>
            <w:tcW w:w="2605" w:type="dxa"/>
          </w:tcPr>
          <w:p w:rsidR="002963E2" w:rsidRPr="002963E2" w:rsidP="002963E2" w14:paraId="206217C9" w14:textId="66A89D11">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Cooperative Agreement or Contract</w:t>
            </w:r>
          </w:p>
        </w:tc>
        <w:tc>
          <w:tcPr>
            <w:tcW w:w="4500" w:type="dxa"/>
          </w:tcPr>
          <w:p w:rsidR="002963E2" w:rsidRPr="002963E2" w:rsidP="002963E2" w14:paraId="6E373AD4" w14:textId="00178C6E">
            <w:pPr>
              <w:pStyle w:val="NormalWeb"/>
              <w:spacing w:before="0" w:beforeAutospacing="0" w:after="0"/>
              <w:rPr>
                <w:rFonts w:asciiTheme="minorHAnsi" w:hAnsiTheme="minorHAnsi" w:cstheme="minorHAnsi"/>
                <w:bCs/>
                <w:sz w:val="22"/>
                <w:szCs w:val="22"/>
              </w:rPr>
            </w:pPr>
            <w:r>
              <w:rPr>
                <w:rFonts w:asciiTheme="minorHAnsi" w:hAnsiTheme="minorHAnsi" w:cstheme="minorHAnsi"/>
                <w:bCs/>
                <w:sz w:val="22"/>
                <w:szCs w:val="22"/>
              </w:rPr>
              <w:t>IPA Agreement with the University of Colorado</w:t>
            </w:r>
          </w:p>
        </w:tc>
        <w:tc>
          <w:tcPr>
            <w:tcW w:w="2245" w:type="dxa"/>
          </w:tcPr>
          <w:p w:rsidR="002963E2" w:rsidRPr="002963E2" w:rsidP="00772B69" w14:paraId="57D8DBCA" w14:textId="52CCA561">
            <w:pPr>
              <w:pStyle w:val="NormalWeb"/>
              <w:spacing w:before="0" w:beforeAutospacing="0" w:after="0"/>
              <w:jc w:val="right"/>
              <w:rPr>
                <w:rFonts w:asciiTheme="minorHAnsi" w:hAnsiTheme="minorHAnsi" w:cstheme="minorHAnsi"/>
                <w:bCs/>
                <w:sz w:val="22"/>
                <w:szCs w:val="22"/>
              </w:rPr>
            </w:pPr>
            <w:r>
              <w:rPr>
                <w:rFonts w:asciiTheme="minorHAnsi" w:hAnsiTheme="minorHAnsi" w:cstheme="minorHAnsi"/>
                <w:bCs/>
                <w:sz w:val="22"/>
                <w:szCs w:val="22"/>
              </w:rPr>
              <w:t>$26,000</w:t>
            </w:r>
          </w:p>
        </w:tc>
      </w:tr>
      <w:tr w14:paraId="2F964525" w14:textId="77777777" w:rsidTr="00772B69">
        <w:tblPrEx>
          <w:tblW w:w="0" w:type="auto"/>
          <w:tblLook w:val="04A0"/>
        </w:tblPrEx>
        <w:tc>
          <w:tcPr>
            <w:tcW w:w="2605" w:type="dxa"/>
          </w:tcPr>
          <w:p w:rsidR="002963E2" w:rsidRPr="002963E2" w:rsidP="002963E2" w14:paraId="57891B2C" w14:textId="77777777">
            <w:pPr>
              <w:pStyle w:val="NormalWeb"/>
              <w:spacing w:before="0" w:beforeAutospacing="0" w:after="0"/>
              <w:rPr>
                <w:rFonts w:asciiTheme="minorHAnsi" w:hAnsiTheme="minorHAnsi" w:cstheme="minorHAnsi"/>
                <w:bCs/>
                <w:sz w:val="22"/>
                <w:szCs w:val="22"/>
              </w:rPr>
            </w:pPr>
          </w:p>
        </w:tc>
        <w:tc>
          <w:tcPr>
            <w:tcW w:w="4500" w:type="dxa"/>
          </w:tcPr>
          <w:p w:rsidR="002963E2" w:rsidRPr="00772B69" w:rsidP="00772B69" w14:paraId="41E44C10" w14:textId="5CCEE1A1">
            <w:pPr>
              <w:pStyle w:val="NormalWeb"/>
              <w:spacing w:before="0" w:beforeAutospacing="0" w:after="0"/>
              <w:jc w:val="right"/>
              <w:rPr>
                <w:rFonts w:asciiTheme="minorHAnsi" w:hAnsiTheme="minorHAnsi" w:cstheme="minorHAnsi"/>
                <w:b/>
                <w:sz w:val="22"/>
                <w:szCs w:val="22"/>
              </w:rPr>
            </w:pPr>
            <w:r w:rsidRPr="00772B69">
              <w:rPr>
                <w:rFonts w:asciiTheme="minorHAnsi" w:hAnsiTheme="minorHAnsi" w:cstheme="minorHAnsi"/>
                <w:b/>
                <w:sz w:val="22"/>
                <w:szCs w:val="22"/>
              </w:rPr>
              <w:t>TOTAL COST TO THE GOVERNMENT</w:t>
            </w:r>
          </w:p>
        </w:tc>
        <w:tc>
          <w:tcPr>
            <w:tcW w:w="2245" w:type="dxa"/>
          </w:tcPr>
          <w:p w:rsidR="002963E2" w:rsidRPr="002963E2" w:rsidP="00772B69" w14:paraId="6E46DCEC" w14:textId="6B6AF71A">
            <w:pPr>
              <w:pStyle w:val="NormalWeb"/>
              <w:spacing w:before="0" w:beforeAutospacing="0" w:after="0"/>
              <w:jc w:val="right"/>
              <w:rPr>
                <w:rFonts w:asciiTheme="minorHAnsi" w:hAnsiTheme="minorHAnsi" w:cstheme="minorHAnsi"/>
                <w:bCs/>
                <w:sz w:val="22"/>
                <w:szCs w:val="22"/>
              </w:rPr>
            </w:pPr>
            <w:r>
              <w:rPr>
                <w:rFonts w:asciiTheme="minorHAnsi" w:hAnsiTheme="minorHAnsi" w:cstheme="minorHAnsi"/>
                <w:bCs/>
                <w:sz w:val="22"/>
                <w:szCs w:val="22"/>
              </w:rPr>
              <w:t>$180,153</w:t>
            </w:r>
          </w:p>
        </w:tc>
      </w:tr>
    </w:tbl>
    <w:p w:rsidR="002963E2" w:rsidRPr="002963E2" w:rsidP="002963E2" w14:paraId="688F26D6" w14:textId="77777777"/>
    <w:p w:rsidR="006567C8" w:rsidP="00127216" w14:paraId="67C60A23" w14:textId="6CB60EB1">
      <w:pPr>
        <w:pStyle w:val="Heading2"/>
      </w:pPr>
      <w:bookmarkStart w:id="23" w:name="_Toc137115890"/>
      <w:r>
        <w:t>A.</w:t>
      </w:r>
      <w:r w:rsidRPr="00561C24">
        <w:t>15. Explanation for Program Changes or Adjustments</w:t>
      </w:r>
      <w:bookmarkEnd w:id="23"/>
    </w:p>
    <w:p w:rsidR="00EC1C67" w:rsidRPr="00561C24" w:rsidP="006567C8" w14:paraId="1F112732" w14:textId="1CF12CD7">
      <w:pPr>
        <w:rPr>
          <w:rFonts w:cstheme="minorHAnsi"/>
        </w:rPr>
      </w:pPr>
      <w:r>
        <w:rPr>
          <w:rFonts w:cstheme="minorHAnsi"/>
        </w:rPr>
        <w:t xml:space="preserve">This is a new </w:t>
      </w:r>
      <w:r w:rsidR="00127216">
        <w:rPr>
          <w:rFonts w:cstheme="minorHAnsi"/>
        </w:rPr>
        <w:t xml:space="preserve">a new data/information collection. </w:t>
      </w:r>
    </w:p>
    <w:p w:rsidR="005A7812" w:rsidRPr="005A7812" w:rsidP="005A7812" w14:paraId="5AECCCE0" w14:textId="6F1C95BC">
      <w:pPr>
        <w:pStyle w:val="Heading2"/>
      </w:pPr>
      <w:bookmarkStart w:id="24" w:name="_Toc137115891"/>
      <w:r>
        <w:t>A.</w:t>
      </w:r>
      <w:r w:rsidRPr="00561C24" w:rsidR="006567C8">
        <w:t>16. Plans for Tabulation and Publication and Project Time Schedule</w:t>
      </w:r>
      <w:bookmarkEnd w:id="24"/>
    </w:p>
    <w:p w:rsidR="005A7812" w:rsidP="005A7812" w14:paraId="024C1998" w14:textId="752CD774">
      <w:pPr>
        <w:rPr>
          <w:rFonts w:cstheme="minorHAnsi"/>
          <w:szCs w:val="24"/>
        </w:rPr>
      </w:pPr>
      <w:r w:rsidRPr="005A7812">
        <w:rPr>
          <w:rFonts w:cstheme="minorHAnsi"/>
          <w:szCs w:val="24"/>
        </w:rPr>
        <w:t>We plan to publish study results in both peer reviewed and non-peer reviewed journals</w:t>
      </w:r>
      <w:r w:rsidR="00B80FF5">
        <w:rPr>
          <w:rFonts w:cstheme="minorHAnsi"/>
          <w:szCs w:val="24"/>
        </w:rPr>
        <w:t xml:space="preserve"> (e.g., trade publications)</w:t>
      </w:r>
      <w:r w:rsidRPr="005A7812">
        <w:rPr>
          <w:rFonts w:cstheme="minorHAnsi"/>
          <w:szCs w:val="24"/>
        </w:rPr>
        <w:t xml:space="preserve">. Our projected timeline for the project is detailed in table A.16-1 below. </w:t>
      </w:r>
    </w:p>
    <w:p w:rsidR="00647F2C" w:rsidRPr="005A7812" w:rsidP="00647F2C" w14:paraId="0A349917" w14:textId="20A5C584">
      <w:pPr>
        <w:pStyle w:val="Heading3"/>
      </w:pPr>
      <w:bookmarkStart w:id="25" w:name="_Toc137115892"/>
      <w:r>
        <w:t>Table A.16.1</w:t>
      </w:r>
      <w:bookmarkEnd w:id="25"/>
    </w:p>
    <w:tbl>
      <w:tblPr>
        <w:tblStyle w:val="TableGrid"/>
        <w:tblW w:w="0" w:type="auto"/>
        <w:tblLook w:val="04A0"/>
      </w:tblPr>
      <w:tblGrid>
        <w:gridCol w:w="5665"/>
        <w:gridCol w:w="3685"/>
      </w:tblGrid>
      <w:tr w14:paraId="2FF8A0AE" w14:textId="77777777" w:rsidTr="00647F2C">
        <w:tblPrEx>
          <w:tblW w:w="0" w:type="auto"/>
          <w:tblLook w:val="04A0"/>
        </w:tblPrEx>
        <w:tc>
          <w:tcPr>
            <w:tcW w:w="5665" w:type="dxa"/>
          </w:tcPr>
          <w:p w:rsidR="00647F2C" w:rsidRPr="00647F2C" w:rsidP="005F15C5" w14:paraId="7C837D63" w14:textId="77777777">
            <w:pPr>
              <w:rPr>
                <w:b/>
                <w:bCs/>
              </w:rPr>
            </w:pPr>
            <w:r w:rsidRPr="00647F2C">
              <w:rPr>
                <w:b/>
                <w:bCs/>
              </w:rPr>
              <w:t>Activity</w:t>
            </w:r>
          </w:p>
        </w:tc>
        <w:tc>
          <w:tcPr>
            <w:tcW w:w="3685" w:type="dxa"/>
          </w:tcPr>
          <w:p w:rsidR="00647F2C" w:rsidRPr="00647F2C" w:rsidP="005F15C5" w14:paraId="5B6E4276" w14:textId="4FF7E118">
            <w:pPr>
              <w:rPr>
                <w:b/>
                <w:bCs/>
              </w:rPr>
            </w:pPr>
            <w:r w:rsidRPr="00647F2C">
              <w:rPr>
                <w:b/>
                <w:bCs/>
              </w:rPr>
              <w:t>Time</w:t>
            </w:r>
            <w:r>
              <w:rPr>
                <w:b/>
                <w:bCs/>
              </w:rPr>
              <w:t xml:space="preserve"> Schedule</w:t>
            </w:r>
          </w:p>
        </w:tc>
      </w:tr>
      <w:tr w14:paraId="4A918251" w14:textId="77777777" w:rsidTr="00647F2C">
        <w:tblPrEx>
          <w:tblW w:w="0" w:type="auto"/>
          <w:tblLook w:val="04A0"/>
        </w:tblPrEx>
        <w:tc>
          <w:tcPr>
            <w:tcW w:w="5665" w:type="dxa"/>
          </w:tcPr>
          <w:p w:rsidR="00647F2C" w:rsidP="005F15C5" w14:paraId="7038F7B1" w14:textId="77777777">
            <w:r>
              <w:t xml:space="preserve">Develop database to collect questionnaire responses </w:t>
            </w:r>
          </w:p>
        </w:tc>
        <w:tc>
          <w:tcPr>
            <w:tcW w:w="3685" w:type="dxa"/>
          </w:tcPr>
          <w:p w:rsidR="00647F2C" w:rsidP="005F15C5" w14:paraId="54834240" w14:textId="77777777">
            <w:r>
              <w:t>During OMB Review</w:t>
            </w:r>
          </w:p>
        </w:tc>
      </w:tr>
      <w:tr w14:paraId="3D0C69E8" w14:textId="77777777" w:rsidTr="00647F2C">
        <w:tblPrEx>
          <w:tblW w:w="0" w:type="auto"/>
          <w:tblLook w:val="04A0"/>
        </w:tblPrEx>
        <w:tc>
          <w:tcPr>
            <w:tcW w:w="5665" w:type="dxa"/>
          </w:tcPr>
          <w:p w:rsidR="00647F2C" w:rsidP="005F15C5" w14:paraId="4B413AF0" w14:textId="77777777">
            <w:r>
              <w:t>Outreach to oil and gas companies to identify potential participants</w:t>
            </w:r>
          </w:p>
        </w:tc>
        <w:tc>
          <w:tcPr>
            <w:tcW w:w="3685" w:type="dxa"/>
          </w:tcPr>
          <w:p w:rsidR="00647F2C" w:rsidP="005F15C5" w14:paraId="207ED70A" w14:textId="77777777">
            <w:r>
              <w:t>During OMB Review</w:t>
            </w:r>
          </w:p>
        </w:tc>
      </w:tr>
      <w:tr w14:paraId="1D1CDD60" w14:textId="77777777" w:rsidTr="00647F2C">
        <w:tblPrEx>
          <w:tblW w:w="0" w:type="auto"/>
          <w:tblLook w:val="04A0"/>
        </w:tblPrEx>
        <w:tc>
          <w:tcPr>
            <w:tcW w:w="5665" w:type="dxa"/>
          </w:tcPr>
          <w:p w:rsidR="00647F2C" w:rsidP="005F15C5" w14:paraId="2047C9DE" w14:textId="77777777">
            <w:r>
              <w:t>Data Collection</w:t>
            </w:r>
          </w:p>
        </w:tc>
        <w:tc>
          <w:tcPr>
            <w:tcW w:w="3685" w:type="dxa"/>
          </w:tcPr>
          <w:p w:rsidR="00647F2C" w:rsidP="005F15C5" w14:paraId="7D18024A" w14:textId="5A7F4603">
            <w:r>
              <w:t>1–18 months after OMB Approval</w:t>
            </w:r>
          </w:p>
        </w:tc>
      </w:tr>
      <w:tr w14:paraId="53624C53" w14:textId="77777777" w:rsidTr="00647F2C">
        <w:tblPrEx>
          <w:tblW w:w="0" w:type="auto"/>
          <w:tblLook w:val="04A0"/>
        </w:tblPrEx>
        <w:tc>
          <w:tcPr>
            <w:tcW w:w="5665" w:type="dxa"/>
          </w:tcPr>
          <w:p w:rsidR="00647F2C" w:rsidP="005F15C5" w14:paraId="77657587" w14:textId="77777777">
            <w:r>
              <w:t>Data Cleaning</w:t>
            </w:r>
          </w:p>
        </w:tc>
        <w:tc>
          <w:tcPr>
            <w:tcW w:w="3685" w:type="dxa"/>
          </w:tcPr>
          <w:p w:rsidR="00647F2C" w:rsidP="005F15C5" w14:paraId="0A5AAB17" w14:textId="45343442">
            <w:r>
              <w:t>6–20 months after OMB Approval</w:t>
            </w:r>
          </w:p>
        </w:tc>
      </w:tr>
      <w:tr w14:paraId="3E3D501D" w14:textId="77777777" w:rsidTr="00647F2C">
        <w:tblPrEx>
          <w:tblW w:w="0" w:type="auto"/>
          <w:tblLook w:val="04A0"/>
        </w:tblPrEx>
        <w:tc>
          <w:tcPr>
            <w:tcW w:w="5665" w:type="dxa"/>
          </w:tcPr>
          <w:p w:rsidR="00647F2C" w:rsidP="005F15C5" w14:paraId="7D16E41D" w14:textId="77777777">
            <w:r>
              <w:t>Data Analysis</w:t>
            </w:r>
          </w:p>
        </w:tc>
        <w:tc>
          <w:tcPr>
            <w:tcW w:w="3685" w:type="dxa"/>
          </w:tcPr>
          <w:p w:rsidR="00647F2C" w:rsidP="005F15C5" w14:paraId="723A362D" w14:textId="1ED6A15E">
            <w:r>
              <w:t>20–30 months after OMB Approval</w:t>
            </w:r>
          </w:p>
        </w:tc>
      </w:tr>
      <w:tr w14:paraId="2CAF9A96" w14:textId="77777777" w:rsidTr="00647F2C">
        <w:tblPrEx>
          <w:tblW w:w="0" w:type="auto"/>
          <w:tblLook w:val="04A0"/>
        </w:tblPrEx>
        <w:tc>
          <w:tcPr>
            <w:tcW w:w="5665" w:type="dxa"/>
          </w:tcPr>
          <w:p w:rsidR="00647F2C" w:rsidP="005F15C5" w14:paraId="51373470" w14:textId="77777777">
            <w:r>
              <w:t>Publication</w:t>
            </w:r>
          </w:p>
        </w:tc>
        <w:tc>
          <w:tcPr>
            <w:tcW w:w="3685" w:type="dxa"/>
          </w:tcPr>
          <w:p w:rsidR="00647F2C" w:rsidP="005F15C5" w14:paraId="4DE3869A" w14:textId="7E716266">
            <w:r>
              <w:t>30–36 months after OMB Approval</w:t>
            </w:r>
          </w:p>
        </w:tc>
      </w:tr>
    </w:tbl>
    <w:p w:rsidR="005A7812" w:rsidRPr="005A7812" w:rsidP="005A7812" w14:paraId="19259EF7" w14:textId="77777777"/>
    <w:p w:rsidR="006567C8" w:rsidP="00127216" w14:paraId="465E28AC" w14:textId="4F7B7EFD">
      <w:pPr>
        <w:pStyle w:val="Heading2"/>
      </w:pPr>
      <w:bookmarkStart w:id="26" w:name="_Toc137115893"/>
      <w:r>
        <w:t>A.</w:t>
      </w:r>
      <w:r w:rsidRPr="00561C24">
        <w:t>17. Reason(s) Display of OMB Expiration Date is Inappropriate</w:t>
      </w:r>
      <w:bookmarkEnd w:id="26"/>
    </w:p>
    <w:p w:rsidR="00561C24" w:rsidRPr="00561C24" w:rsidP="006567C8" w14:paraId="7FE561E1" w14:textId="15DD879B">
      <w:pPr>
        <w:rPr>
          <w:rFonts w:cstheme="minorHAnsi"/>
        </w:rPr>
      </w:pPr>
      <w:r>
        <w:rPr>
          <w:rFonts w:cstheme="minorHAnsi"/>
        </w:rPr>
        <w:t>The display of the OMB expiration date is not inappropriate.</w:t>
      </w:r>
    </w:p>
    <w:p w:rsidR="005F15C5" w:rsidP="00127216" w14:paraId="02E9F501" w14:textId="1BB09A9D">
      <w:pPr>
        <w:pStyle w:val="Heading2"/>
      </w:pPr>
      <w:bookmarkStart w:id="27" w:name="_Toc137115894"/>
      <w:r>
        <w:t>A.</w:t>
      </w:r>
      <w:r w:rsidRPr="00561C24" w:rsidR="006567C8">
        <w:t>18. Exceptions to Certification for Paperwork Reduction Act Submissions</w:t>
      </w:r>
      <w:bookmarkEnd w:id="27"/>
    </w:p>
    <w:p w:rsidR="00212102" w:rsidP="006567C8" w14:paraId="1FFB03F0" w14:textId="4F45E0D8">
      <w:pPr>
        <w:rPr>
          <w:rFonts w:cstheme="minorHAnsi"/>
        </w:rPr>
      </w:pPr>
      <w:r>
        <w:rPr>
          <w:rFonts w:cstheme="minorHAnsi"/>
        </w:rPr>
        <w:t xml:space="preserve">There are no exceptions to the certification statement. </w:t>
      </w:r>
    </w:p>
    <w:p w:rsidR="00212102" w14:paraId="46CF9D2E" w14:textId="77777777">
      <w:pPr>
        <w:rPr>
          <w:rFonts w:cstheme="minorHAnsi"/>
        </w:rPr>
      </w:pPr>
      <w:r>
        <w:rPr>
          <w:rFonts w:cstheme="minorHAnsi"/>
        </w:rPr>
        <w:br w:type="page"/>
      </w:r>
    </w:p>
    <w:p w:rsidR="00212102" w:rsidP="008B45B9" w14:paraId="79C3EB2F" w14:textId="40917E90">
      <w:pPr>
        <w:pStyle w:val="Heading2"/>
      </w:pPr>
      <w:bookmarkStart w:id="28" w:name="_Toc137115895"/>
      <w:r>
        <w:t>References</w:t>
      </w:r>
      <w:bookmarkEnd w:id="28"/>
    </w:p>
    <w:p w:rsidR="008B45B9" w:rsidRPr="00BC5C69" w:rsidP="008B45B9" w14:paraId="1E5D3DDC" w14:textId="2968E4E8">
      <w:pPr>
        <w:pStyle w:val="EndNoteBibliography"/>
        <w:numPr>
          <w:ilvl w:val="0"/>
          <w:numId w:val="8"/>
        </w:numPr>
        <w:spacing w:after="0"/>
      </w:pPr>
      <w:r w:rsidRPr="00BC5C69">
        <w:t xml:space="preserve">Lombardi, D.A., et al., </w:t>
      </w:r>
      <w:r w:rsidRPr="00BC5C69">
        <w:rPr>
          <w:i/>
        </w:rPr>
        <w:t>Daily sleep, weekly working hours, and risk of work-related injury: US National Health Interview Survey (2004-2008).</w:t>
      </w:r>
      <w:r w:rsidRPr="00BC5C69">
        <w:t xml:space="preserve"> Chronobiol Int, 2010. </w:t>
      </w:r>
      <w:r w:rsidRPr="00BC5C69">
        <w:rPr>
          <w:b/>
        </w:rPr>
        <w:t>27</w:t>
      </w:r>
      <w:r w:rsidRPr="00BC5C69">
        <w:t>(5): p. 1013-30.</w:t>
      </w:r>
    </w:p>
    <w:p w:rsidR="008B45B9" w:rsidRPr="00BC5C69" w:rsidP="008B45B9" w14:paraId="7A1AF1C4" w14:textId="70A66387">
      <w:pPr>
        <w:pStyle w:val="EndNoteBibliography"/>
        <w:numPr>
          <w:ilvl w:val="0"/>
          <w:numId w:val="8"/>
        </w:numPr>
        <w:spacing w:after="0"/>
      </w:pPr>
      <w:r w:rsidRPr="00BC5C69">
        <w:t xml:space="preserve">Wagstaff, A.S. and J.-A. Sigstad Lie, </w:t>
      </w:r>
      <w:r w:rsidRPr="00BC5C69">
        <w:rPr>
          <w:i/>
        </w:rPr>
        <w:t>Shift and night work and long working hours – a systematic review of safety implications.</w:t>
      </w:r>
      <w:r w:rsidRPr="00BC5C69">
        <w:t xml:space="preserve"> Scand J Work Environ Health, 2011. </w:t>
      </w:r>
      <w:r w:rsidRPr="00BC5C69">
        <w:rPr>
          <w:b/>
        </w:rPr>
        <w:t>37</w:t>
      </w:r>
      <w:r w:rsidRPr="00BC5C69">
        <w:t>(3): p. 173-185.</w:t>
      </w:r>
    </w:p>
    <w:p w:rsidR="008B45B9" w:rsidP="008B45B9" w14:paraId="76B9EC07" w14:textId="1B4824A5">
      <w:pPr>
        <w:pStyle w:val="EndNoteBibliography"/>
        <w:numPr>
          <w:ilvl w:val="0"/>
          <w:numId w:val="8"/>
        </w:numPr>
        <w:spacing w:after="0"/>
      </w:pPr>
      <w:r w:rsidRPr="00BC5C69">
        <w:t xml:space="preserve">Williamson, A., et al., </w:t>
      </w:r>
      <w:r w:rsidRPr="00BC5C69">
        <w:rPr>
          <w:i/>
        </w:rPr>
        <w:t>The link between fatigue and safety.</w:t>
      </w:r>
      <w:r w:rsidRPr="00BC5C69">
        <w:t xml:space="preserve"> Accid Anal Prev, 2011. </w:t>
      </w:r>
      <w:r w:rsidRPr="00BC5C69">
        <w:rPr>
          <w:b/>
        </w:rPr>
        <w:t>43</w:t>
      </w:r>
      <w:r w:rsidRPr="00BC5C69">
        <w:t>(2): p. 498-515.</w:t>
      </w:r>
    </w:p>
    <w:p w:rsidR="008B45B9" w:rsidRPr="00BC5C69" w:rsidP="008B45B9" w14:paraId="11E7A2DB" w14:textId="48625455">
      <w:pPr>
        <w:pStyle w:val="EndNoteBibliography"/>
        <w:numPr>
          <w:ilvl w:val="0"/>
          <w:numId w:val="8"/>
        </w:numPr>
        <w:spacing w:after="0"/>
      </w:pPr>
      <w:r w:rsidRPr="00BC5C69">
        <w:t xml:space="preserve">Hagan-Haynes, K., et al., </w:t>
      </w:r>
      <w:r w:rsidRPr="00BC5C69">
        <w:rPr>
          <w:i/>
        </w:rPr>
        <w:t>US research needs related to fatigue, sleep, and working hours among oil and gas extraction workers.</w:t>
      </w:r>
      <w:r w:rsidRPr="00BC5C69">
        <w:t xml:space="preserve"> American Journal of Industrial Medicine, 2021. </w:t>
      </w:r>
      <w:r w:rsidRPr="007F4C73">
        <w:rPr>
          <w:b/>
        </w:rPr>
        <w:t>65</w:t>
      </w:r>
      <w:r w:rsidRPr="007F4C73">
        <w:rPr>
          <w:bCs/>
        </w:rPr>
        <w:t>(11):</w:t>
      </w:r>
      <w:r>
        <w:rPr>
          <w:bCs/>
        </w:rPr>
        <w:t xml:space="preserve"> p. </w:t>
      </w:r>
      <w:r w:rsidRPr="007F4C73">
        <w:rPr>
          <w:bCs/>
        </w:rPr>
        <w:t>840-856</w:t>
      </w:r>
      <w:r w:rsidRPr="00BC5C69">
        <w:t>.</w:t>
      </w:r>
    </w:p>
    <w:p w:rsidR="008B45B9" w:rsidRPr="00BC5C69" w:rsidP="008B45B9" w14:paraId="3D0CCB1A" w14:textId="5C8A2928">
      <w:pPr>
        <w:pStyle w:val="EndNoteBibliography"/>
        <w:numPr>
          <w:ilvl w:val="0"/>
          <w:numId w:val="8"/>
        </w:numPr>
        <w:spacing w:after="0"/>
      </w:pPr>
      <w:r w:rsidRPr="00BC5C69">
        <w:t xml:space="preserve">Mehta, R.K., et al., </w:t>
      </w:r>
      <w:r w:rsidRPr="00BC5C69">
        <w:rPr>
          <w:i/>
        </w:rPr>
        <w:t>Comparison of objective and subjective operator fatigue assessment methods in offshore shiftwork.</w:t>
      </w:r>
      <w:r w:rsidRPr="00BC5C69">
        <w:t xml:space="preserve"> J Loss Prev Process Ind, 2017. </w:t>
      </w:r>
      <w:r w:rsidRPr="00BC5C69">
        <w:rPr>
          <w:b/>
        </w:rPr>
        <w:t>48</w:t>
      </w:r>
      <w:r w:rsidRPr="00BC5C69">
        <w:t>: p. 376-381.</w:t>
      </w:r>
    </w:p>
    <w:p w:rsidR="008B45B9" w:rsidRPr="00BC5C69" w:rsidP="008B45B9" w14:paraId="2ED87778" w14:textId="5646117B">
      <w:pPr>
        <w:pStyle w:val="EndNoteBibliography"/>
        <w:numPr>
          <w:ilvl w:val="0"/>
          <w:numId w:val="8"/>
        </w:numPr>
        <w:spacing w:after="0"/>
      </w:pPr>
      <w:r w:rsidRPr="00BC5C69">
        <w:t xml:space="preserve">Parkes, K.R., </w:t>
      </w:r>
      <w:r w:rsidRPr="00BC5C69">
        <w:rPr>
          <w:i/>
        </w:rPr>
        <w:t>Work environment, overtime and sleep among offshore personnel.</w:t>
      </w:r>
      <w:r w:rsidRPr="00BC5C69">
        <w:t xml:space="preserve"> Accid Anal Prev, 2017. </w:t>
      </w:r>
      <w:r w:rsidRPr="00BC5C69">
        <w:rPr>
          <w:b/>
        </w:rPr>
        <w:t>99</w:t>
      </w:r>
      <w:r w:rsidRPr="00BC5C69">
        <w:t>: p. 383-388.</w:t>
      </w:r>
    </w:p>
    <w:p w:rsidR="008B45B9" w:rsidRPr="00BC5C69" w:rsidP="008B45B9" w14:paraId="416BF3F6" w14:textId="591F2C37">
      <w:pPr>
        <w:pStyle w:val="EndNoteBibliography"/>
        <w:numPr>
          <w:ilvl w:val="0"/>
          <w:numId w:val="8"/>
        </w:numPr>
        <w:spacing w:after="0"/>
      </w:pPr>
      <w:r w:rsidRPr="00BC5C69">
        <w:t xml:space="preserve">Riethmeister, V., et al., </w:t>
      </w:r>
      <w:r w:rsidRPr="00BC5C69">
        <w:rPr>
          <w:i/>
        </w:rPr>
        <w:t>Time-of-day and days-on-shift predict increased fatigue over two-week offshore day-shifts.</w:t>
      </w:r>
      <w:r w:rsidRPr="00BC5C69">
        <w:t xml:space="preserve"> Appl Ergon, 2019. </w:t>
      </w:r>
      <w:r w:rsidRPr="00BC5C69">
        <w:rPr>
          <w:b/>
        </w:rPr>
        <w:t>78</w:t>
      </w:r>
      <w:r w:rsidRPr="00BC5C69">
        <w:t>: p. 157-163.</w:t>
      </w:r>
    </w:p>
    <w:p w:rsidR="008B45B9" w:rsidRPr="00BC5C69" w:rsidP="008B45B9" w14:paraId="657AF523" w14:textId="17969E7C">
      <w:pPr>
        <w:pStyle w:val="EndNoteBibliography"/>
        <w:numPr>
          <w:ilvl w:val="0"/>
          <w:numId w:val="8"/>
        </w:numPr>
        <w:spacing w:after="0"/>
      </w:pPr>
      <w:r w:rsidRPr="00BC5C69">
        <w:t xml:space="preserve">Sneddon, A., K. Mearns, and R. Flin, </w:t>
      </w:r>
      <w:r w:rsidRPr="00BC5C69">
        <w:rPr>
          <w:i/>
        </w:rPr>
        <w:t>Stress, fatigue, situation awareness and safety in offshore drilling crews.</w:t>
      </w:r>
      <w:r w:rsidRPr="00BC5C69">
        <w:t xml:space="preserve"> Saf Sci, 2012. </w:t>
      </w:r>
      <w:r w:rsidRPr="00BC5C69">
        <w:rPr>
          <w:b/>
        </w:rPr>
        <w:t>56</w:t>
      </w:r>
      <w:r w:rsidRPr="00BC5C69">
        <w:t>: p. 80-88.</w:t>
      </w:r>
    </w:p>
    <w:p w:rsidR="008B45B9" w:rsidRPr="00BC5C69" w:rsidP="008B45B9" w14:paraId="391B3893" w14:textId="50D991C9">
      <w:pPr>
        <w:pStyle w:val="EndNoteBibliography"/>
        <w:numPr>
          <w:ilvl w:val="0"/>
          <w:numId w:val="8"/>
        </w:numPr>
        <w:spacing w:after="0"/>
      </w:pPr>
      <w:r w:rsidRPr="00BC5C69">
        <w:t xml:space="preserve">Waage, S., et al., </w:t>
      </w:r>
      <w:r w:rsidRPr="00BC5C69">
        <w:rPr>
          <w:i/>
        </w:rPr>
        <w:t>Subjective and objective sleepiness among oil rig workers during three different shift schedules.</w:t>
      </w:r>
      <w:r w:rsidRPr="00BC5C69">
        <w:t xml:space="preserve"> Sleep Med, 2012. </w:t>
      </w:r>
      <w:r w:rsidRPr="00BC5C69">
        <w:rPr>
          <w:b/>
        </w:rPr>
        <w:t>13</w:t>
      </w:r>
      <w:r w:rsidRPr="00BC5C69">
        <w:t>(1): p. 64-72.</w:t>
      </w:r>
    </w:p>
    <w:p w:rsidR="008B45B9" w:rsidRPr="00BC5C69" w:rsidP="008B45B9" w14:paraId="645638B7" w14:textId="482FBD52">
      <w:pPr>
        <w:pStyle w:val="EndNoteBibliography"/>
        <w:numPr>
          <w:ilvl w:val="0"/>
          <w:numId w:val="8"/>
        </w:numPr>
        <w:spacing w:after="0"/>
      </w:pPr>
      <w:r w:rsidRPr="00BC5C69">
        <w:t xml:space="preserve">Baker Hughes. </w:t>
      </w:r>
      <w:r w:rsidRPr="00BC5C69">
        <w:rPr>
          <w:i/>
        </w:rPr>
        <w:t>North America Rig Count</w:t>
      </w:r>
      <w:r w:rsidRPr="00BC5C69">
        <w:t xml:space="preserve">. 2019; Available from: </w:t>
      </w:r>
      <w:r w:rsidRPr="00F732DE">
        <w:t>https://rigcount.bakerhughes.com/na-rig-count</w:t>
      </w:r>
      <w:r w:rsidRPr="00BC5C69">
        <w:t>.</w:t>
      </w:r>
    </w:p>
    <w:p w:rsidR="008B45B9" w:rsidRPr="00BC5C69" w:rsidP="008B45B9" w14:paraId="0FFE1EE0" w14:textId="751ACEE8">
      <w:pPr>
        <w:pStyle w:val="EndNoteBibliography"/>
        <w:numPr>
          <w:ilvl w:val="0"/>
          <w:numId w:val="8"/>
        </w:numPr>
        <w:spacing w:after="0"/>
      </w:pPr>
      <w:r w:rsidRPr="00BC5C69">
        <w:rPr>
          <w:i/>
        </w:rPr>
        <w:t>49 CFR Parts 270 and 271: Fatigue Risk Management Programs for Certain Passenger and Freight Railroads</w:t>
      </w:r>
      <w:r w:rsidRPr="00BC5C69">
        <w:t>, D</w:t>
      </w:r>
      <w:r>
        <w:t>epartment of</w:t>
      </w:r>
      <w:r w:rsidRPr="00BC5C69">
        <w:t xml:space="preserve"> Transportation.</w:t>
      </w:r>
    </w:p>
    <w:p w:rsidR="008B45B9" w:rsidRPr="00BC5C69" w:rsidP="008B45B9" w14:paraId="22F32A67" w14:textId="56EF96E4">
      <w:pPr>
        <w:pStyle w:val="EndNoteBibliography"/>
        <w:numPr>
          <w:ilvl w:val="0"/>
          <w:numId w:val="8"/>
        </w:numPr>
        <w:spacing w:after="0"/>
      </w:pPr>
      <w:r>
        <w:t xml:space="preserve">Federal Aviation </w:t>
      </w:r>
      <w:r w:rsidRPr="00BC5C69">
        <w:t xml:space="preserve">Administration </w:t>
      </w:r>
      <w:r>
        <w:t>(</w:t>
      </w:r>
      <w:r w:rsidRPr="00BC5C69">
        <w:t>FA</w:t>
      </w:r>
      <w:r>
        <w:t>A)</w:t>
      </w:r>
      <w:r w:rsidRPr="00BC5C69">
        <w:t xml:space="preserve">, </w:t>
      </w:r>
      <w:r w:rsidRPr="00BC5C69">
        <w:rPr>
          <w:i/>
        </w:rPr>
        <w:t>AC 120-103A - Fatigue Risk Management Systems for Aviation Safety</w:t>
      </w:r>
      <w:r>
        <w:rPr>
          <w:i/>
        </w:rPr>
        <w:t>.</w:t>
      </w:r>
      <w:r w:rsidRPr="00BC5C69">
        <w:t xml:space="preserve"> 2013.</w:t>
      </w:r>
    </w:p>
    <w:p w:rsidR="008B45B9" w:rsidRPr="008B45B9" w:rsidP="008B45B9" w14:paraId="252709D6" w14:textId="1047FAFE">
      <w:pPr>
        <w:pStyle w:val="EndNoteBibliography"/>
        <w:numPr>
          <w:ilvl w:val="0"/>
          <w:numId w:val="8"/>
        </w:numPr>
        <w:spacing w:after="0"/>
      </w:pPr>
      <w:r w:rsidRPr="008B45B9">
        <w:t xml:space="preserve">Menezes, M.C.R., et al., </w:t>
      </w:r>
      <w:r w:rsidRPr="008B45B9">
        <w:rPr>
          <w:i/>
        </w:rPr>
        <w:t>Sleep Parameters among Offshore Workers: An Initial Assessment in the Campos Basin, Rio De Janeiro, Brazil.</w:t>
      </w:r>
      <w:r w:rsidRPr="008B45B9">
        <w:t xml:space="preserve"> Chronobiol. Int., 2004. </w:t>
      </w:r>
      <w:r w:rsidRPr="008B45B9">
        <w:rPr>
          <w:b/>
        </w:rPr>
        <w:t>21</w:t>
      </w:r>
      <w:r w:rsidRPr="008B45B9">
        <w:t>(6): p. 889-897.</w:t>
      </w:r>
    </w:p>
    <w:p w:rsidR="008B45B9" w:rsidRPr="008B45B9" w:rsidP="008B45B9" w14:paraId="14990DB3" w14:textId="77777777">
      <w:pPr>
        <w:pStyle w:val="ListParagraph"/>
        <w:numPr>
          <w:ilvl w:val="0"/>
          <w:numId w:val="8"/>
        </w:numPr>
      </w:pPr>
      <w:r w:rsidRPr="008B45B9">
        <w:t xml:space="preserve">Hagan-Haynes, K., et al., </w:t>
      </w:r>
      <w:r w:rsidRPr="008B45B9">
        <w:rPr>
          <w:i/>
        </w:rPr>
        <w:t>On the road again: A cross-sectional survey examining work schedules, commuting time, and driving-related outcomes among U.S. oil and gas extraction workers.</w:t>
      </w:r>
      <w:r w:rsidRPr="008B45B9">
        <w:t xml:space="preserve"> American Journal of Industrial Medicine, 2022; </w:t>
      </w:r>
      <w:r w:rsidRPr="008B45B9">
        <w:rPr>
          <w:b/>
        </w:rPr>
        <w:t>65</w:t>
      </w:r>
      <w:r w:rsidRPr="008B45B9">
        <w:rPr>
          <w:bCs/>
        </w:rPr>
        <w:t>(9):749-761</w:t>
      </w:r>
      <w:r w:rsidRPr="008B45B9">
        <w:t>.</w:t>
      </w:r>
    </w:p>
    <w:p w:rsidR="008B45B9" w:rsidRPr="008B45B9" w:rsidP="008B45B9" w14:paraId="4EAF3C5B" w14:textId="77777777">
      <w:pPr>
        <w:pStyle w:val="ListParagraph"/>
        <w:numPr>
          <w:ilvl w:val="0"/>
          <w:numId w:val="8"/>
        </w:numPr>
        <w:spacing w:after="0" w:line="240" w:lineRule="auto"/>
      </w:pPr>
      <w:r w:rsidRPr="008B45B9">
        <w:t xml:space="preserve">Wingate KC, et al. </w:t>
      </w:r>
      <w:r w:rsidRPr="008B45B9">
        <w:rPr>
          <w:i/>
          <w:iCs/>
        </w:rPr>
        <w:t>Self-reported exposure to hazards and mitigation strategies among oil and gas extraction workers in 3 U.S. states</w:t>
      </w:r>
      <w:r w:rsidRPr="008B45B9">
        <w:t xml:space="preserve">. Journal of Occupational and Environmental Hygiene. 2022; </w:t>
      </w:r>
      <w:r w:rsidRPr="008B45B9">
        <w:rPr>
          <w:b/>
          <w:bCs/>
        </w:rPr>
        <w:t>19</w:t>
      </w:r>
      <w:r w:rsidRPr="008B45B9">
        <w:t>(10-11):676-689.</w:t>
      </w:r>
    </w:p>
    <w:p w:rsidR="008B45B9" w:rsidRPr="008B45B9" w:rsidP="008B45B9" w14:paraId="39B28D68" w14:textId="77777777">
      <w:pPr>
        <w:pStyle w:val="EndNoteBibliography"/>
        <w:spacing w:after="0"/>
        <w:ind w:left="768"/>
      </w:pPr>
    </w:p>
    <w:p w:rsidR="008B45B9" w:rsidP="00212102" w14:paraId="56D37A06" w14:textId="77777777"/>
    <w:p w:rsidR="00212102" w:rsidP="00212102" w14:paraId="4AD030F9" w14:textId="51ED35D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30B7F"/>
    <w:multiLevelType w:val="hybridMultilevel"/>
    <w:tmpl w:val="A1885D30"/>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1">
    <w:nsid w:val="27714179"/>
    <w:multiLevelType w:val="hybridMultilevel"/>
    <w:tmpl w:val="B6C2A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C61BB"/>
    <w:multiLevelType w:val="hybridMultilevel"/>
    <w:tmpl w:val="1AD26538"/>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99B3527"/>
    <w:multiLevelType w:val="hybridMultilevel"/>
    <w:tmpl w:val="B3B4A65A"/>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B6C4F3E"/>
    <w:multiLevelType w:val="hybridMultilevel"/>
    <w:tmpl w:val="653C0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2D3456"/>
    <w:multiLevelType w:val="hybridMultilevel"/>
    <w:tmpl w:val="079407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410512"/>
    <w:multiLevelType w:val="hybridMultilevel"/>
    <w:tmpl w:val="5E5A0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961277"/>
    <w:multiLevelType w:val="hybridMultilevel"/>
    <w:tmpl w:val="C610DF4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D16B35"/>
    <w:multiLevelType w:val="hybridMultilevel"/>
    <w:tmpl w:val="5E80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5581ED0"/>
    <w:multiLevelType w:val="hybridMultilevel"/>
    <w:tmpl w:val="4AB473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5324003">
    <w:abstractNumId w:val="8"/>
  </w:num>
  <w:num w:numId="2" w16cid:durableId="475025963">
    <w:abstractNumId w:val="2"/>
  </w:num>
  <w:num w:numId="3" w16cid:durableId="1849253011">
    <w:abstractNumId w:val="6"/>
  </w:num>
  <w:num w:numId="4" w16cid:durableId="388068400">
    <w:abstractNumId w:val="7"/>
  </w:num>
  <w:num w:numId="5" w16cid:durableId="1318025398">
    <w:abstractNumId w:val="5"/>
  </w:num>
  <w:num w:numId="6" w16cid:durableId="767233486">
    <w:abstractNumId w:val="1"/>
  </w:num>
  <w:num w:numId="7" w16cid:durableId="844250472">
    <w:abstractNumId w:val="3"/>
  </w:num>
  <w:num w:numId="8" w16cid:durableId="1757818562">
    <w:abstractNumId w:val="0"/>
  </w:num>
  <w:num w:numId="9" w16cid:durableId="1226140369">
    <w:abstractNumId w:val="4"/>
  </w:num>
  <w:num w:numId="10" w16cid:durableId="428428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C8"/>
    <w:rsid w:val="00013B70"/>
    <w:rsid w:val="00020306"/>
    <w:rsid w:val="0002284C"/>
    <w:rsid w:val="00024E45"/>
    <w:rsid w:val="00042996"/>
    <w:rsid w:val="00046053"/>
    <w:rsid w:val="00053001"/>
    <w:rsid w:val="00072B6D"/>
    <w:rsid w:val="00072FA8"/>
    <w:rsid w:val="00073578"/>
    <w:rsid w:val="00081196"/>
    <w:rsid w:val="000A6E65"/>
    <w:rsid w:val="000C550F"/>
    <w:rsid w:val="000D0F09"/>
    <w:rsid w:val="000D1AE2"/>
    <w:rsid w:val="000E065B"/>
    <w:rsid w:val="000E3E34"/>
    <w:rsid w:val="000F6B85"/>
    <w:rsid w:val="001020E3"/>
    <w:rsid w:val="0011585C"/>
    <w:rsid w:val="00125423"/>
    <w:rsid w:val="00127216"/>
    <w:rsid w:val="0013560A"/>
    <w:rsid w:val="00143400"/>
    <w:rsid w:val="00144039"/>
    <w:rsid w:val="00146E53"/>
    <w:rsid w:val="0015359F"/>
    <w:rsid w:val="00173C33"/>
    <w:rsid w:val="001759F4"/>
    <w:rsid w:val="001A6D0B"/>
    <w:rsid w:val="001D70A5"/>
    <w:rsid w:val="001E1A7D"/>
    <w:rsid w:val="001E7B26"/>
    <w:rsid w:val="00212102"/>
    <w:rsid w:val="00226D37"/>
    <w:rsid w:val="00244F09"/>
    <w:rsid w:val="00244FDE"/>
    <w:rsid w:val="002715A3"/>
    <w:rsid w:val="00272051"/>
    <w:rsid w:val="002756F5"/>
    <w:rsid w:val="0028240D"/>
    <w:rsid w:val="002963E2"/>
    <w:rsid w:val="002C0F9B"/>
    <w:rsid w:val="002F632B"/>
    <w:rsid w:val="003011D0"/>
    <w:rsid w:val="00315FD8"/>
    <w:rsid w:val="003163AF"/>
    <w:rsid w:val="0031694C"/>
    <w:rsid w:val="003233EB"/>
    <w:rsid w:val="00326189"/>
    <w:rsid w:val="00361C46"/>
    <w:rsid w:val="003967DC"/>
    <w:rsid w:val="003A56D0"/>
    <w:rsid w:val="003A675D"/>
    <w:rsid w:val="003B3410"/>
    <w:rsid w:val="003E7F77"/>
    <w:rsid w:val="003F3CD5"/>
    <w:rsid w:val="00435624"/>
    <w:rsid w:val="00486709"/>
    <w:rsid w:val="004B434B"/>
    <w:rsid w:val="004C2B32"/>
    <w:rsid w:val="004E404A"/>
    <w:rsid w:val="004E5DB0"/>
    <w:rsid w:val="00512CC7"/>
    <w:rsid w:val="00515359"/>
    <w:rsid w:val="00535312"/>
    <w:rsid w:val="005561B2"/>
    <w:rsid w:val="00560B98"/>
    <w:rsid w:val="00561C24"/>
    <w:rsid w:val="00570E96"/>
    <w:rsid w:val="005742FC"/>
    <w:rsid w:val="00582ED1"/>
    <w:rsid w:val="005852FD"/>
    <w:rsid w:val="00593D81"/>
    <w:rsid w:val="005A309D"/>
    <w:rsid w:val="005A4AEE"/>
    <w:rsid w:val="005A7812"/>
    <w:rsid w:val="005B35AA"/>
    <w:rsid w:val="005B3D65"/>
    <w:rsid w:val="005D3FF8"/>
    <w:rsid w:val="005F0695"/>
    <w:rsid w:val="005F15C5"/>
    <w:rsid w:val="005F25BC"/>
    <w:rsid w:val="005F323F"/>
    <w:rsid w:val="005F6CD3"/>
    <w:rsid w:val="00631C11"/>
    <w:rsid w:val="0064384A"/>
    <w:rsid w:val="00643E02"/>
    <w:rsid w:val="006453F3"/>
    <w:rsid w:val="00647F2C"/>
    <w:rsid w:val="0065631B"/>
    <w:rsid w:val="006567C8"/>
    <w:rsid w:val="00660763"/>
    <w:rsid w:val="0066457A"/>
    <w:rsid w:val="00690E2A"/>
    <w:rsid w:val="006A0FA3"/>
    <w:rsid w:val="006B651E"/>
    <w:rsid w:val="006C226E"/>
    <w:rsid w:val="006E61B2"/>
    <w:rsid w:val="006F39DF"/>
    <w:rsid w:val="006F4905"/>
    <w:rsid w:val="006F6860"/>
    <w:rsid w:val="00714586"/>
    <w:rsid w:val="00721D62"/>
    <w:rsid w:val="007258EE"/>
    <w:rsid w:val="007536E3"/>
    <w:rsid w:val="007669B7"/>
    <w:rsid w:val="00772B69"/>
    <w:rsid w:val="0078315E"/>
    <w:rsid w:val="00795977"/>
    <w:rsid w:val="007D2CA1"/>
    <w:rsid w:val="007E71A6"/>
    <w:rsid w:val="007F4C73"/>
    <w:rsid w:val="007F7470"/>
    <w:rsid w:val="0080585F"/>
    <w:rsid w:val="008272CC"/>
    <w:rsid w:val="00832188"/>
    <w:rsid w:val="00843EE1"/>
    <w:rsid w:val="0086560B"/>
    <w:rsid w:val="008667EA"/>
    <w:rsid w:val="0087238E"/>
    <w:rsid w:val="00874F8D"/>
    <w:rsid w:val="00885552"/>
    <w:rsid w:val="008B45B9"/>
    <w:rsid w:val="008C1EEE"/>
    <w:rsid w:val="008E55D7"/>
    <w:rsid w:val="008F5501"/>
    <w:rsid w:val="008F5CEE"/>
    <w:rsid w:val="00922603"/>
    <w:rsid w:val="009350A2"/>
    <w:rsid w:val="00935828"/>
    <w:rsid w:val="00935DDE"/>
    <w:rsid w:val="00941B06"/>
    <w:rsid w:val="00965227"/>
    <w:rsid w:val="009661B6"/>
    <w:rsid w:val="00972079"/>
    <w:rsid w:val="009753BA"/>
    <w:rsid w:val="00980A15"/>
    <w:rsid w:val="009A1AEE"/>
    <w:rsid w:val="009B4A4E"/>
    <w:rsid w:val="00A20BC7"/>
    <w:rsid w:val="00A222EA"/>
    <w:rsid w:val="00A26159"/>
    <w:rsid w:val="00A33FFC"/>
    <w:rsid w:val="00A37D22"/>
    <w:rsid w:val="00A63B7E"/>
    <w:rsid w:val="00A736DF"/>
    <w:rsid w:val="00AC0A1C"/>
    <w:rsid w:val="00AD20DC"/>
    <w:rsid w:val="00AE5211"/>
    <w:rsid w:val="00B33ACC"/>
    <w:rsid w:val="00B62349"/>
    <w:rsid w:val="00B6666C"/>
    <w:rsid w:val="00B80FF5"/>
    <w:rsid w:val="00B96CF3"/>
    <w:rsid w:val="00BB5F86"/>
    <w:rsid w:val="00BC0081"/>
    <w:rsid w:val="00BC32B8"/>
    <w:rsid w:val="00BC5C69"/>
    <w:rsid w:val="00BF14A6"/>
    <w:rsid w:val="00C03227"/>
    <w:rsid w:val="00C07FF3"/>
    <w:rsid w:val="00C15850"/>
    <w:rsid w:val="00C36F31"/>
    <w:rsid w:val="00C545EB"/>
    <w:rsid w:val="00C70B62"/>
    <w:rsid w:val="00C71465"/>
    <w:rsid w:val="00C877E5"/>
    <w:rsid w:val="00C9218A"/>
    <w:rsid w:val="00CA6A85"/>
    <w:rsid w:val="00CB4F3C"/>
    <w:rsid w:val="00CC34C9"/>
    <w:rsid w:val="00D015FA"/>
    <w:rsid w:val="00D22880"/>
    <w:rsid w:val="00D327A6"/>
    <w:rsid w:val="00D43FF4"/>
    <w:rsid w:val="00D50211"/>
    <w:rsid w:val="00D6510B"/>
    <w:rsid w:val="00D84352"/>
    <w:rsid w:val="00D87DC7"/>
    <w:rsid w:val="00D9047B"/>
    <w:rsid w:val="00DA51E3"/>
    <w:rsid w:val="00DA75E4"/>
    <w:rsid w:val="00DB10FA"/>
    <w:rsid w:val="00DB63BF"/>
    <w:rsid w:val="00DE0BE1"/>
    <w:rsid w:val="00DE2A4F"/>
    <w:rsid w:val="00E21B24"/>
    <w:rsid w:val="00E63439"/>
    <w:rsid w:val="00E72D3C"/>
    <w:rsid w:val="00E7574A"/>
    <w:rsid w:val="00E90900"/>
    <w:rsid w:val="00EA083C"/>
    <w:rsid w:val="00EC113B"/>
    <w:rsid w:val="00EC1C67"/>
    <w:rsid w:val="00EC2FC8"/>
    <w:rsid w:val="00EC4460"/>
    <w:rsid w:val="00ED1612"/>
    <w:rsid w:val="00ED1BEE"/>
    <w:rsid w:val="00F41100"/>
    <w:rsid w:val="00F53BB1"/>
    <w:rsid w:val="00F559F3"/>
    <w:rsid w:val="00F61977"/>
    <w:rsid w:val="00F62024"/>
    <w:rsid w:val="00F732DE"/>
    <w:rsid w:val="00F8640E"/>
    <w:rsid w:val="00F957E5"/>
    <w:rsid w:val="00F962DA"/>
    <w:rsid w:val="00FA0499"/>
    <w:rsid w:val="00FB1171"/>
    <w:rsid w:val="00FC5700"/>
    <w:rsid w:val="00FC64C2"/>
    <w:rsid w:val="00FD4110"/>
    <w:rsid w:val="00FE0B12"/>
    <w:rsid w:val="00FF0524"/>
  </w:rsids>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dr5wwp509f96ep0ph5w92xsraawvdrdtpv&quot;&gt;FY22 NORA Proposal-Converted&lt;record-ids&gt;&lt;item&gt;16&lt;/item&gt;&lt;/record-ids&gt;&lt;/item&gt;&lt;/Libraries&gt;"/>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6E7ED0A"/>
  <w15:docId w15:val="{B89389E9-DF86-4C4F-B348-A852F65A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2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7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C24"/>
  </w:style>
  <w:style w:type="paragraph" w:styleId="Footer">
    <w:name w:val="footer"/>
    <w:basedOn w:val="Normal"/>
    <w:link w:val="FooterChar"/>
    <w:uiPriority w:val="99"/>
    <w:unhideWhenUsed/>
    <w:rsid w:val="0056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C24"/>
  </w:style>
  <w:style w:type="character" w:customStyle="1" w:styleId="Heading2Char">
    <w:name w:val="Heading 2 Char"/>
    <w:basedOn w:val="DefaultParagraphFont"/>
    <w:link w:val="Heading2"/>
    <w:uiPriority w:val="9"/>
    <w:rsid w:val="0012721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272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87DC7"/>
    <w:pPr>
      <w:ind w:left="720"/>
      <w:contextualSpacing/>
    </w:pPr>
  </w:style>
  <w:style w:type="character" w:styleId="Hyperlink">
    <w:name w:val="Hyperlink"/>
    <w:basedOn w:val="DefaultParagraphFont"/>
    <w:uiPriority w:val="99"/>
    <w:unhideWhenUsed/>
    <w:rsid w:val="00AD20DC"/>
    <w:rPr>
      <w:color w:val="0563C1" w:themeColor="hyperlink"/>
      <w:u w:val="single"/>
    </w:rPr>
  </w:style>
  <w:style w:type="character" w:styleId="CommentReference">
    <w:name w:val="annotation reference"/>
    <w:basedOn w:val="DefaultParagraphFont"/>
    <w:uiPriority w:val="99"/>
    <w:semiHidden/>
    <w:unhideWhenUsed/>
    <w:rsid w:val="00AD20DC"/>
    <w:rPr>
      <w:sz w:val="16"/>
      <w:szCs w:val="16"/>
    </w:rPr>
  </w:style>
  <w:style w:type="paragraph" w:styleId="CommentText">
    <w:name w:val="annotation text"/>
    <w:basedOn w:val="Normal"/>
    <w:link w:val="CommentTextChar"/>
    <w:uiPriority w:val="99"/>
    <w:unhideWhenUsed/>
    <w:rsid w:val="00AD20DC"/>
    <w:pPr>
      <w:spacing w:line="240" w:lineRule="auto"/>
    </w:pPr>
    <w:rPr>
      <w:sz w:val="20"/>
      <w:szCs w:val="20"/>
    </w:rPr>
  </w:style>
  <w:style w:type="character" w:customStyle="1" w:styleId="CommentTextChar">
    <w:name w:val="Comment Text Char"/>
    <w:basedOn w:val="DefaultParagraphFont"/>
    <w:link w:val="CommentText"/>
    <w:uiPriority w:val="99"/>
    <w:rsid w:val="00AD20DC"/>
    <w:rPr>
      <w:sz w:val="20"/>
      <w:szCs w:val="20"/>
    </w:rPr>
  </w:style>
  <w:style w:type="paragraph" w:styleId="TOC1">
    <w:name w:val="toc 1"/>
    <w:basedOn w:val="Normal"/>
    <w:next w:val="Normal"/>
    <w:autoRedefine/>
    <w:uiPriority w:val="39"/>
    <w:unhideWhenUsed/>
    <w:rsid w:val="00A37D22"/>
    <w:pPr>
      <w:tabs>
        <w:tab w:val="right" w:leader="underscore" w:pos="9350"/>
      </w:tabs>
      <w:spacing w:before="240" w:after="120"/>
    </w:pPr>
    <w:rPr>
      <w:rFonts w:cstheme="minorHAnsi"/>
      <w:b/>
      <w:bCs/>
      <w:sz w:val="20"/>
      <w:szCs w:val="20"/>
    </w:rPr>
  </w:style>
  <w:style w:type="paragraph" w:styleId="TOC2">
    <w:name w:val="toc 2"/>
    <w:basedOn w:val="Normal"/>
    <w:next w:val="Normal"/>
    <w:autoRedefine/>
    <w:uiPriority w:val="39"/>
    <w:unhideWhenUsed/>
    <w:rsid w:val="00AD20DC"/>
    <w:pPr>
      <w:spacing w:before="120" w:after="0"/>
      <w:ind w:left="220"/>
    </w:pPr>
    <w:rPr>
      <w:rFonts w:cstheme="minorHAnsi"/>
      <w:i/>
      <w:iCs/>
      <w:sz w:val="20"/>
      <w:szCs w:val="20"/>
    </w:rPr>
  </w:style>
  <w:style w:type="paragraph" w:styleId="TOC3">
    <w:name w:val="toc 3"/>
    <w:basedOn w:val="Normal"/>
    <w:next w:val="Normal"/>
    <w:autoRedefine/>
    <w:uiPriority w:val="39"/>
    <w:unhideWhenUsed/>
    <w:rsid w:val="00AD20DC"/>
    <w:pPr>
      <w:spacing w:after="0"/>
      <w:ind w:left="440"/>
    </w:pPr>
    <w:rPr>
      <w:rFonts w:cstheme="minorHAnsi"/>
      <w:sz w:val="20"/>
      <w:szCs w:val="20"/>
    </w:rPr>
  </w:style>
  <w:style w:type="paragraph" w:styleId="TOC4">
    <w:name w:val="toc 4"/>
    <w:basedOn w:val="Normal"/>
    <w:next w:val="Normal"/>
    <w:autoRedefine/>
    <w:uiPriority w:val="39"/>
    <w:unhideWhenUsed/>
    <w:rsid w:val="00AD20DC"/>
    <w:pPr>
      <w:spacing w:after="0"/>
      <w:ind w:left="660"/>
    </w:pPr>
    <w:rPr>
      <w:rFonts w:cstheme="minorHAnsi"/>
      <w:sz w:val="20"/>
      <w:szCs w:val="20"/>
    </w:rPr>
  </w:style>
  <w:style w:type="paragraph" w:styleId="TOC5">
    <w:name w:val="toc 5"/>
    <w:basedOn w:val="Normal"/>
    <w:next w:val="Normal"/>
    <w:autoRedefine/>
    <w:uiPriority w:val="39"/>
    <w:unhideWhenUsed/>
    <w:rsid w:val="00AD20DC"/>
    <w:pPr>
      <w:spacing w:after="0"/>
      <w:ind w:left="880"/>
    </w:pPr>
    <w:rPr>
      <w:rFonts w:cstheme="minorHAnsi"/>
      <w:sz w:val="20"/>
      <w:szCs w:val="20"/>
    </w:rPr>
  </w:style>
  <w:style w:type="paragraph" w:styleId="TOC6">
    <w:name w:val="toc 6"/>
    <w:basedOn w:val="Normal"/>
    <w:next w:val="Normal"/>
    <w:autoRedefine/>
    <w:uiPriority w:val="39"/>
    <w:unhideWhenUsed/>
    <w:rsid w:val="00AD20DC"/>
    <w:pPr>
      <w:spacing w:after="0"/>
      <w:ind w:left="1100"/>
    </w:pPr>
    <w:rPr>
      <w:rFonts w:cstheme="minorHAnsi"/>
      <w:sz w:val="20"/>
      <w:szCs w:val="20"/>
    </w:rPr>
  </w:style>
  <w:style w:type="paragraph" w:styleId="TOC7">
    <w:name w:val="toc 7"/>
    <w:basedOn w:val="Normal"/>
    <w:next w:val="Normal"/>
    <w:autoRedefine/>
    <w:uiPriority w:val="39"/>
    <w:unhideWhenUsed/>
    <w:rsid w:val="00AD20DC"/>
    <w:pPr>
      <w:spacing w:after="0"/>
      <w:ind w:left="1320"/>
    </w:pPr>
    <w:rPr>
      <w:rFonts w:cstheme="minorHAnsi"/>
      <w:sz w:val="20"/>
      <w:szCs w:val="20"/>
    </w:rPr>
  </w:style>
  <w:style w:type="paragraph" w:styleId="TOC8">
    <w:name w:val="toc 8"/>
    <w:basedOn w:val="Normal"/>
    <w:next w:val="Normal"/>
    <w:autoRedefine/>
    <w:uiPriority w:val="39"/>
    <w:unhideWhenUsed/>
    <w:rsid w:val="00AD20DC"/>
    <w:pPr>
      <w:spacing w:after="0"/>
      <w:ind w:left="1540"/>
    </w:pPr>
    <w:rPr>
      <w:rFonts w:cstheme="minorHAnsi"/>
      <w:sz w:val="20"/>
      <w:szCs w:val="20"/>
    </w:rPr>
  </w:style>
  <w:style w:type="paragraph" w:styleId="TOC9">
    <w:name w:val="toc 9"/>
    <w:basedOn w:val="Normal"/>
    <w:next w:val="Normal"/>
    <w:autoRedefine/>
    <w:uiPriority w:val="39"/>
    <w:unhideWhenUsed/>
    <w:rsid w:val="00AD20DC"/>
    <w:pPr>
      <w:spacing w:after="0"/>
      <w:ind w:left="1760"/>
    </w:pPr>
    <w:rPr>
      <w:rFonts w:cstheme="minorHAnsi"/>
      <w:sz w:val="20"/>
      <w:szCs w:val="20"/>
    </w:rPr>
  </w:style>
  <w:style w:type="table" w:styleId="TableGrid">
    <w:name w:val="Table Grid"/>
    <w:basedOn w:val="TableNormal"/>
    <w:uiPriority w:val="59"/>
    <w:rsid w:val="0064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7F2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963E2"/>
    <w:pPr>
      <w:spacing w:before="100" w:beforeAutospacing="1" w:after="11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5850"/>
    <w:rPr>
      <w:color w:val="954F72" w:themeColor="followedHyperlink"/>
      <w:u w:val="single"/>
    </w:rPr>
  </w:style>
  <w:style w:type="character" w:styleId="UnresolvedMention">
    <w:name w:val="Unresolved Mention"/>
    <w:basedOn w:val="DefaultParagraphFont"/>
    <w:uiPriority w:val="99"/>
    <w:semiHidden/>
    <w:unhideWhenUsed/>
    <w:rsid w:val="00FB117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559F3"/>
    <w:rPr>
      <w:b/>
      <w:bCs/>
    </w:rPr>
  </w:style>
  <w:style w:type="character" w:customStyle="1" w:styleId="CommentSubjectChar">
    <w:name w:val="Comment Subject Char"/>
    <w:basedOn w:val="CommentTextChar"/>
    <w:link w:val="CommentSubject"/>
    <w:uiPriority w:val="99"/>
    <w:semiHidden/>
    <w:rsid w:val="00F559F3"/>
    <w:rPr>
      <w:b/>
      <w:bCs/>
      <w:sz w:val="20"/>
      <w:szCs w:val="20"/>
    </w:rPr>
  </w:style>
  <w:style w:type="paragraph" w:customStyle="1" w:styleId="EndNoteBibliographyTitle">
    <w:name w:val="EndNote Bibliography Title"/>
    <w:basedOn w:val="Normal"/>
    <w:link w:val="EndNoteBibliographyTitleChar"/>
    <w:rsid w:val="0021210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12102"/>
    <w:rPr>
      <w:rFonts w:ascii="Calibri" w:hAnsi="Calibri" w:cs="Calibri"/>
      <w:noProof/>
    </w:rPr>
  </w:style>
  <w:style w:type="paragraph" w:customStyle="1" w:styleId="EndNoteBibliography">
    <w:name w:val="EndNote Bibliography"/>
    <w:basedOn w:val="Normal"/>
    <w:link w:val="EndNoteBibliographyChar"/>
    <w:rsid w:val="0021210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12102"/>
    <w:rPr>
      <w:rFonts w:ascii="Calibri" w:hAnsi="Calibri" w:cs="Calibri"/>
      <w:noProof/>
    </w:rPr>
  </w:style>
  <w:style w:type="paragraph" w:styleId="Revision">
    <w:name w:val="Revision"/>
    <w:hidden/>
    <w:uiPriority w:val="99"/>
    <w:semiHidden/>
    <w:rsid w:val="00721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shall.Mike@dol.gov" TargetMode="External" /><Relationship Id="rId11" Type="http://schemas.openxmlformats.org/officeDocument/2006/relationships/hyperlink" Target="https://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xa5@cdc.gov" TargetMode="External" /><Relationship Id="rId6" Type="http://schemas.openxmlformats.org/officeDocument/2006/relationships/hyperlink" Target="mailto:kwn0@cdc.gov" TargetMode="External" /><Relationship Id="rId7" Type="http://schemas.openxmlformats.org/officeDocument/2006/relationships/hyperlink" Target="https://www.cdc.gov/niosh/r2p/default.html" TargetMode="External" /><Relationship Id="rId8" Type="http://schemas.openxmlformats.org/officeDocument/2006/relationships/hyperlink" Target="mailto:sean@filamarenergy.com" TargetMode="External" /><Relationship Id="rId9" Type="http://schemas.openxmlformats.org/officeDocument/2006/relationships/hyperlink" Target="mailto:billy.pruett@px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9FC0-1876-453D-8115-E74FF4EF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4228</Words>
  <Characters>24700</Characters>
  <Application>Microsoft Office Word</Application>
  <DocSecurity>0</DocSecurity>
  <Lines>616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Ramirez-Cardenas, Alejandra (CDC/NIOSH/WSD)</dc:creator>
  <cp:lastModifiedBy>Clunis, Odion (CDC/IOD/OS)</cp:lastModifiedBy>
  <cp:revision>3</cp:revision>
  <dcterms:created xsi:type="dcterms:W3CDTF">2023-11-30T19:40:00Z</dcterms:created>
  <dcterms:modified xsi:type="dcterms:W3CDTF">2023-12-20T17:35:00Z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65f27df8d178550e71ac2852522a33cdfbb604090e5179d98072fd4014cf87c2</vt:lpwstr>
  </property>
  <property fmtid="{D5CDD505-2E9C-101B-9397-08002B2CF9AE}" pid="3" name="MSIP_Label_7b94a7b8-f06c-4dfe-bdcc-9b548fd58c31_ActionId">
    <vt:lpwstr>d88a5c4f-6e29-4491-9161-63b74386adb6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2023-04-28T19:59:01Z</vt:lpwstr>
  </property>
  <property fmtid="{D5CDD505-2E9C-101B-9397-08002B2CF9AE}" pid="9" name="MSIP_Label_7b94a7b8-f06c-4dfe-bdcc-9b548fd58c31_SiteId">
    <vt:lpwstr>9ce70869-60db-44fd-abe8-d2767077fc8f</vt:lpwstr>
  </property>
</Properties>
</file>