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0647" w:rsidP="005F50FA" w14:paraId="78853F75" w14:textId="77777777">
      <w:pPr>
        <w:jc w:val="center"/>
        <w:rPr>
          <w:b/>
        </w:rPr>
      </w:pPr>
    </w:p>
    <w:p w:rsidR="0093506A" w:rsidRPr="00152067" w:rsidP="0093506A" w14:paraId="4E19532E" w14:textId="71067F7F">
      <w:pPr>
        <w:jc w:val="center"/>
        <w:rPr>
          <w:b/>
          <w:sz w:val="28"/>
          <w:szCs w:val="28"/>
        </w:rPr>
      </w:pPr>
      <w:r w:rsidRPr="00152067">
        <w:rPr>
          <w:b/>
          <w:sz w:val="28"/>
          <w:szCs w:val="28"/>
        </w:rPr>
        <w:t>ST</w:t>
      </w:r>
      <w:r w:rsidR="00163E7F">
        <w:rPr>
          <w:b/>
          <w:sz w:val="28"/>
          <w:szCs w:val="28"/>
        </w:rPr>
        <w:t>I</w:t>
      </w:r>
      <w:r w:rsidRPr="00152067">
        <w:rPr>
          <w:b/>
          <w:sz w:val="28"/>
          <w:szCs w:val="28"/>
        </w:rPr>
        <w:t xml:space="preserve"> Surveillance Network (</w:t>
      </w:r>
      <w:r w:rsidRPr="00152067">
        <w:rPr>
          <w:b/>
          <w:sz w:val="28"/>
          <w:szCs w:val="28"/>
        </w:rPr>
        <w:t>SSuN</w:t>
      </w:r>
      <w:r w:rsidRPr="00152067">
        <w:rPr>
          <w:b/>
          <w:sz w:val="28"/>
          <w:szCs w:val="28"/>
        </w:rPr>
        <w:t>)</w:t>
      </w:r>
    </w:p>
    <w:p w:rsidR="009868B7" w:rsidP="00204865" w14:paraId="7CD0053C" w14:textId="5E05AF3C">
      <w:pPr>
        <w:jc w:val="center"/>
        <w:rPr>
          <w:b/>
          <w:sz w:val="28"/>
          <w:szCs w:val="28"/>
        </w:rPr>
      </w:pPr>
      <w:r>
        <w:rPr>
          <w:b/>
          <w:sz w:val="28"/>
          <w:szCs w:val="28"/>
        </w:rPr>
        <w:t>Revision</w:t>
      </w:r>
    </w:p>
    <w:p w:rsidR="009868B7" w:rsidP="00204865" w14:paraId="5365BA05" w14:textId="77777777">
      <w:pPr>
        <w:jc w:val="center"/>
        <w:rPr>
          <w:b/>
          <w:sz w:val="28"/>
          <w:szCs w:val="28"/>
        </w:rPr>
      </w:pPr>
    </w:p>
    <w:p w:rsidR="009868B7" w:rsidP="009868B7" w14:paraId="009E28F6" w14:textId="77777777">
      <w:pPr>
        <w:jc w:val="center"/>
        <w:rPr>
          <w:b/>
          <w:sz w:val="28"/>
          <w:szCs w:val="28"/>
        </w:rPr>
      </w:pPr>
      <w:r w:rsidRPr="00152067">
        <w:rPr>
          <w:b/>
          <w:sz w:val="28"/>
          <w:szCs w:val="28"/>
        </w:rPr>
        <w:t>OMB No. 0920-</w:t>
      </w:r>
      <w:r>
        <w:rPr>
          <w:b/>
          <w:sz w:val="28"/>
          <w:szCs w:val="28"/>
        </w:rPr>
        <w:t>1072</w:t>
      </w:r>
    </w:p>
    <w:p w:rsidR="0093506A" w:rsidP="009868B7" w14:paraId="50A83539" w14:textId="15946D1C">
      <w:pPr>
        <w:jc w:val="center"/>
        <w:rPr>
          <w:b/>
          <w:sz w:val="28"/>
          <w:szCs w:val="28"/>
        </w:rPr>
      </w:pPr>
      <w:r>
        <w:rPr>
          <w:b/>
          <w:sz w:val="28"/>
          <w:szCs w:val="28"/>
        </w:rPr>
        <w:t>Exp. 09/30/2026</w:t>
      </w:r>
    </w:p>
    <w:p w:rsidR="009868B7" w:rsidP="00204865" w14:paraId="4E96225C" w14:textId="77777777">
      <w:pPr>
        <w:jc w:val="center"/>
        <w:rPr>
          <w:b/>
          <w:sz w:val="28"/>
          <w:szCs w:val="28"/>
        </w:rPr>
      </w:pPr>
    </w:p>
    <w:p w:rsidR="009868B7" w:rsidP="00204865" w14:paraId="70B0F7B7" w14:textId="77777777">
      <w:pPr>
        <w:jc w:val="center"/>
        <w:rPr>
          <w:b/>
          <w:sz w:val="28"/>
          <w:szCs w:val="28"/>
        </w:rPr>
      </w:pPr>
    </w:p>
    <w:p w:rsidR="009868B7" w:rsidP="00204865" w14:paraId="501C1A0C" w14:textId="77777777">
      <w:pPr>
        <w:jc w:val="center"/>
        <w:rPr>
          <w:b/>
          <w:sz w:val="28"/>
          <w:szCs w:val="28"/>
        </w:rPr>
      </w:pPr>
    </w:p>
    <w:p w:rsidR="009868B7" w:rsidP="00204865" w14:paraId="61200DDB" w14:textId="0922CD75">
      <w:pPr>
        <w:jc w:val="center"/>
        <w:rPr>
          <w:b/>
          <w:sz w:val="28"/>
          <w:szCs w:val="28"/>
        </w:rPr>
      </w:pPr>
      <w:r>
        <w:rPr>
          <w:b/>
          <w:sz w:val="28"/>
          <w:szCs w:val="28"/>
        </w:rPr>
        <w:t>April 2025</w:t>
      </w:r>
    </w:p>
    <w:p w:rsidR="009868B7" w:rsidP="00204865" w14:paraId="25C0800C" w14:textId="77777777">
      <w:pPr>
        <w:jc w:val="center"/>
        <w:rPr>
          <w:b/>
          <w:sz w:val="28"/>
          <w:szCs w:val="28"/>
        </w:rPr>
      </w:pPr>
    </w:p>
    <w:p w:rsidR="00204865" w:rsidRPr="00152067" w:rsidP="00204865" w14:paraId="5D9B509D" w14:textId="4DA48650">
      <w:pPr>
        <w:jc w:val="center"/>
        <w:rPr>
          <w:b/>
          <w:sz w:val="28"/>
          <w:szCs w:val="28"/>
        </w:rPr>
      </w:pPr>
      <w:r>
        <w:rPr>
          <w:b/>
          <w:sz w:val="28"/>
          <w:szCs w:val="28"/>
        </w:rPr>
        <w:t>Supporting Statement B</w:t>
      </w:r>
    </w:p>
    <w:p w:rsidR="009868B7" w:rsidP="00204865" w14:paraId="2A707C6A" w14:textId="77777777">
      <w:pPr>
        <w:jc w:val="center"/>
        <w:rPr>
          <w:b/>
          <w:sz w:val="28"/>
          <w:szCs w:val="28"/>
        </w:rPr>
      </w:pPr>
    </w:p>
    <w:p w:rsidR="009868B7" w:rsidP="00204865" w14:paraId="3861BF22" w14:textId="77777777">
      <w:pPr>
        <w:jc w:val="center"/>
        <w:rPr>
          <w:b/>
          <w:sz w:val="28"/>
          <w:szCs w:val="28"/>
        </w:rPr>
      </w:pPr>
    </w:p>
    <w:p w:rsidR="009868B7" w:rsidP="00204865" w14:paraId="18EE3FEA" w14:textId="77777777">
      <w:pPr>
        <w:jc w:val="center"/>
        <w:rPr>
          <w:b/>
          <w:sz w:val="28"/>
          <w:szCs w:val="28"/>
        </w:rPr>
      </w:pPr>
    </w:p>
    <w:p w:rsidR="009868B7" w:rsidP="00204865" w14:paraId="0716AF34" w14:textId="77777777">
      <w:pPr>
        <w:jc w:val="center"/>
        <w:rPr>
          <w:b/>
          <w:sz w:val="28"/>
          <w:szCs w:val="28"/>
        </w:rPr>
      </w:pPr>
      <w:r>
        <w:rPr>
          <w:b/>
          <w:sz w:val="28"/>
          <w:szCs w:val="28"/>
        </w:rPr>
        <w:t xml:space="preserve">Supported by: </w:t>
      </w:r>
    </w:p>
    <w:p w:rsidR="009868B7" w:rsidP="00204865" w14:paraId="0C4C2467" w14:textId="77777777">
      <w:pPr>
        <w:jc w:val="center"/>
        <w:rPr>
          <w:b/>
          <w:sz w:val="28"/>
          <w:szCs w:val="28"/>
        </w:rPr>
      </w:pPr>
      <w:r>
        <w:rPr>
          <w:b/>
          <w:sz w:val="28"/>
          <w:szCs w:val="28"/>
        </w:rPr>
        <w:t>Department of Health and Human Services</w:t>
      </w:r>
    </w:p>
    <w:p w:rsidR="009868B7" w:rsidP="00204865" w14:paraId="601D33F8" w14:textId="77777777">
      <w:pPr>
        <w:jc w:val="center"/>
        <w:rPr>
          <w:b/>
          <w:sz w:val="28"/>
          <w:szCs w:val="28"/>
        </w:rPr>
      </w:pPr>
      <w:r>
        <w:rPr>
          <w:b/>
          <w:sz w:val="28"/>
          <w:szCs w:val="28"/>
        </w:rPr>
        <w:t>Centers for Disease Control and Prevention</w:t>
      </w:r>
    </w:p>
    <w:p w:rsidR="009868B7" w:rsidP="00204865" w14:paraId="5B5FA5E8" w14:textId="0ADD0031">
      <w:pPr>
        <w:jc w:val="center"/>
        <w:rPr>
          <w:b/>
          <w:sz w:val="28"/>
          <w:szCs w:val="28"/>
        </w:rPr>
      </w:pPr>
      <w:r w:rsidRPr="009868B7">
        <w:rPr>
          <w:b/>
          <w:sz w:val="28"/>
          <w:szCs w:val="28"/>
        </w:rPr>
        <w:t xml:space="preserve">National Center for HIV/AIDS, Viral Hepatitis, </w:t>
      </w:r>
      <w:r w:rsidR="00513098">
        <w:rPr>
          <w:b/>
          <w:sz w:val="28"/>
          <w:szCs w:val="28"/>
        </w:rPr>
        <w:t>STI</w:t>
      </w:r>
      <w:r w:rsidRPr="009868B7">
        <w:rPr>
          <w:b/>
          <w:sz w:val="28"/>
          <w:szCs w:val="28"/>
        </w:rPr>
        <w:t>, and TB Prevention</w:t>
      </w:r>
    </w:p>
    <w:p w:rsidR="009868B7" w:rsidP="00204865" w14:paraId="7F6C95EF" w14:textId="5B5D1D8F">
      <w:pPr>
        <w:jc w:val="center"/>
        <w:rPr>
          <w:b/>
          <w:sz w:val="28"/>
          <w:szCs w:val="28"/>
        </w:rPr>
      </w:pPr>
      <w:r>
        <w:rPr>
          <w:b/>
          <w:sz w:val="28"/>
          <w:szCs w:val="28"/>
        </w:rPr>
        <w:t xml:space="preserve">Division of </w:t>
      </w:r>
      <w:r w:rsidR="00513098">
        <w:rPr>
          <w:b/>
          <w:sz w:val="28"/>
          <w:szCs w:val="28"/>
        </w:rPr>
        <w:t>STI</w:t>
      </w:r>
      <w:r>
        <w:rPr>
          <w:b/>
          <w:sz w:val="28"/>
          <w:szCs w:val="28"/>
        </w:rPr>
        <w:t xml:space="preserve"> Prevention</w:t>
      </w:r>
    </w:p>
    <w:p w:rsidR="009868B7" w:rsidP="00204865" w14:paraId="03C0FE2B" w14:textId="77777777">
      <w:pPr>
        <w:jc w:val="center"/>
        <w:rPr>
          <w:b/>
          <w:sz w:val="28"/>
          <w:szCs w:val="28"/>
        </w:rPr>
      </w:pPr>
    </w:p>
    <w:p w:rsidR="00204865" w:rsidP="00204865" w14:paraId="1DE37357" w14:textId="77777777">
      <w:pPr>
        <w:jc w:val="center"/>
      </w:pPr>
    </w:p>
    <w:p w:rsidR="009868B7" w:rsidP="00204865" w14:paraId="39CCA187" w14:textId="77777777">
      <w:pPr>
        <w:jc w:val="center"/>
      </w:pPr>
    </w:p>
    <w:p w:rsidR="009868B7" w:rsidP="00204865" w14:paraId="7A5D9879" w14:textId="77777777">
      <w:pPr>
        <w:jc w:val="center"/>
      </w:pPr>
    </w:p>
    <w:p w:rsidR="009868B7" w:rsidP="00204865" w14:paraId="73AF5164" w14:textId="77777777">
      <w:pPr>
        <w:jc w:val="center"/>
      </w:pPr>
    </w:p>
    <w:p w:rsidR="009868B7" w:rsidP="00204865" w14:paraId="27D257D9" w14:textId="77777777">
      <w:pPr>
        <w:jc w:val="center"/>
      </w:pPr>
    </w:p>
    <w:p w:rsidR="009868B7" w:rsidRPr="009868B7" w:rsidP="00204865" w14:paraId="4B80F6AC" w14:textId="77777777">
      <w:pPr>
        <w:jc w:val="center"/>
        <w:rPr>
          <w:b/>
        </w:rPr>
      </w:pPr>
      <w:r w:rsidRPr="009868B7">
        <w:rPr>
          <w:b/>
        </w:rPr>
        <w:t>Project Officer:</w:t>
      </w:r>
    </w:p>
    <w:p w:rsidR="00374B3F" w:rsidRPr="00051C47" w:rsidP="00374B3F" w14:paraId="0CB5511E" w14:textId="140F5D77">
      <w:pPr>
        <w:jc w:val="center"/>
      </w:pPr>
      <w:r>
        <w:t>Emily Rowlinson</w:t>
      </w:r>
      <w:r>
        <w:t xml:space="preserve">, </w:t>
      </w:r>
      <w:r>
        <w:t>Epidemiologist</w:t>
      </w:r>
    </w:p>
    <w:p w:rsidR="00374B3F" w:rsidRPr="00051C47" w:rsidP="00374B3F" w14:paraId="22F5A84B" w14:textId="77777777">
      <w:pPr>
        <w:jc w:val="center"/>
      </w:pPr>
      <w:r w:rsidRPr="00051C47">
        <w:t>Centers of Disease Control and Prevention</w:t>
      </w:r>
    </w:p>
    <w:p w:rsidR="00374B3F" w:rsidRPr="00051C47" w:rsidP="00374B3F" w14:paraId="45460828" w14:textId="2C815AB3">
      <w:pPr>
        <w:jc w:val="center"/>
      </w:pPr>
      <w:r w:rsidRPr="00051C47">
        <w:t xml:space="preserve">National Center for HIV/AIDS, Viral Hepatitis, </w:t>
      </w:r>
      <w:r w:rsidR="00513098">
        <w:t>STI</w:t>
      </w:r>
      <w:r w:rsidRPr="00051C47">
        <w:t>, and TB Prevention</w:t>
      </w:r>
    </w:p>
    <w:p w:rsidR="0093506A" w:rsidP="00374B3F" w14:paraId="565928D3" w14:textId="5BD08E3D">
      <w:pPr>
        <w:jc w:val="center"/>
      </w:pPr>
      <w:r w:rsidRPr="00051C47">
        <w:t xml:space="preserve">Division of </w:t>
      </w:r>
      <w:r w:rsidR="00513098">
        <w:t>STI</w:t>
      </w:r>
      <w:r>
        <w:t xml:space="preserve"> Prevention</w:t>
      </w:r>
      <w:r w:rsidRPr="00051C47">
        <w:t xml:space="preserve"> </w:t>
      </w:r>
      <w:r w:rsidRPr="00051C47">
        <w:br/>
      </w:r>
      <w:r w:rsidR="00513098">
        <w:t>STI</w:t>
      </w:r>
      <w:r w:rsidRPr="00051C47">
        <w:t>1600 Clifton R</w:t>
      </w:r>
      <w:r>
        <w:t>oa</w:t>
      </w:r>
      <w:r w:rsidRPr="00051C47">
        <w:t>d,</w:t>
      </w:r>
      <w:r>
        <w:t xml:space="preserve"> NE</w:t>
      </w:r>
    </w:p>
    <w:p w:rsidR="00374B3F" w:rsidRPr="00051C47" w:rsidP="00374B3F" w14:paraId="4E15A09B" w14:textId="78D13D68">
      <w:pPr>
        <w:jc w:val="center"/>
      </w:pPr>
      <w:r w:rsidRPr="00051C47">
        <w:t xml:space="preserve">MS </w:t>
      </w:r>
      <w:r w:rsidR="0093506A">
        <w:t>H24-4</w:t>
      </w:r>
    </w:p>
    <w:p w:rsidR="00374B3F" w:rsidRPr="00051C47" w:rsidP="00374B3F" w14:paraId="2EBF28FC" w14:textId="77777777">
      <w:pPr>
        <w:jc w:val="center"/>
      </w:pPr>
      <w:r w:rsidRPr="00051C47">
        <w:t>Atlanta, GA 303</w:t>
      </w:r>
      <w:r>
        <w:t>29</w:t>
      </w:r>
    </w:p>
    <w:p w:rsidR="00374B3F" w:rsidRPr="00051C47" w:rsidP="00374B3F" w14:paraId="76941ABE" w14:textId="0AE2486F">
      <w:pPr>
        <w:jc w:val="center"/>
      </w:pPr>
      <w:r w:rsidRPr="00051C47">
        <w:t>Phone: 404-</w:t>
      </w:r>
      <w:r w:rsidR="0093506A">
        <w:t>718</w:t>
      </w:r>
      <w:r w:rsidRPr="00051C47">
        <w:t>-</w:t>
      </w:r>
      <w:r w:rsidR="0093506A">
        <w:t>3517</w:t>
      </w:r>
    </w:p>
    <w:p w:rsidR="00204865" w:rsidRPr="00051C47" w:rsidP="00204865" w14:paraId="0D2C67BE" w14:textId="02284693">
      <w:pPr>
        <w:jc w:val="center"/>
      </w:pPr>
      <w:r w:rsidRPr="00051C47">
        <w:t xml:space="preserve">Email: </w:t>
      </w:r>
      <w:r w:rsidR="0093506A">
        <w:t>fva5@cdc.gov</w:t>
      </w:r>
    </w:p>
    <w:p w:rsidR="00204865" w:rsidRPr="00051C47" w:rsidP="00204865" w14:paraId="7B94A68E" w14:textId="77777777">
      <w:pPr>
        <w:jc w:val="center"/>
      </w:pPr>
    </w:p>
    <w:p w:rsidR="00204865" w:rsidRPr="00051C47" w:rsidP="00204865" w14:paraId="10C6A12E" w14:textId="77777777">
      <w:pPr>
        <w:jc w:val="center"/>
      </w:pPr>
    </w:p>
    <w:p w:rsidR="00204865" w:rsidRPr="00204865" w:rsidP="00204865" w14:paraId="2F222479" w14:textId="77777777">
      <w:pPr>
        <w:rPr>
          <w:rFonts w:eastAsia="Calibri"/>
        </w:rPr>
      </w:pPr>
    </w:p>
    <w:p w:rsidR="00204865" w:rsidRPr="00051C47" w:rsidP="00204865" w14:paraId="4BDE09BA" w14:textId="77777777"/>
    <w:p w:rsidR="00204865" w:rsidRPr="00051C47" w:rsidP="00204865" w14:paraId="20280142" w14:textId="77777777"/>
    <w:p w:rsidR="00102574" w:rsidRPr="004712DC" w:rsidP="00102574" w14:paraId="39C50EE7" w14:textId="5E281D7D">
      <w:pPr>
        <w:autoSpaceDE w:val="0"/>
        <w:autoSpaceDN w:val="0"/>
        <w:adjustRightInd w:val="0"/>
        <w:jc w:val="center"/>
        <w:rPr>
          <w:b/>
          <w:bCs/>
          <w:color w:val="000000"/>
        </w:rPr>
      </w:pPr>
      <w:r w:rsidRPr="004712DC">
        <w:rPr>
          <w:b/>
          <w:bCs/>
          <w:color w:val="000000"/>
        </w:rPr>
        <w:t>Enhanced ST</w:t>
      </w:r>
      <w:r w:rsidR="00163E7F">
        <w:rPr>
          <w:b/>
          <w:bCs/>
          <w:color w:val="000000"/>
        </w:rPr>
        <w:t>I</w:t>
      </w:r>
      <w:r w:rsidRPr="004712DC">
        <w:rPr>
          <w:b/>
          <w:bCs/>
          <w:color w:val="000000"/>
        </w:rPr>
        <w:t xml:space="preserve"> Surveillance Network</w:t>
      </w:r>
    </w:p>
    <w:p w:rsidR="00102574" w:rsidRPr="004712DC" w:rsidP="00102574" w14:paraId="57D98A29" w14:textId="77777777">
      <w:pPr>
        <w:autoSpaceDE w:val="0"/>
        <w:autoSpaceDN w:val="0"/>
        <w:adjustRightInd w:val="0"/>
        <w:jc w:val="center"/>
        <w:rPr>
          <w:b/>
          <w:bCs/>
          <w:color w:val="000000"/>
        </w:rPr>
      </w:pPr>
      <w:r w:rsidRPr="004712DC">
        <w:rPr>
          <w:b/>
          <w:bCs/>
          <w:color w:val="000000"/>
        </w:rPr>
        <w:t>0920-1072</w:t>
      </w:r>
    </w:p>
    <w:p w:rsidR="00102574" w:rsidRPr="004712DC" w:rsidP="00102574" w14:paraId="4F96235B" w14:textId="77777777">
      <w:pPr>
        <w:autoSpaceDE w:val="0"/>
        <w:autoSpaceDN w:val="0"/>
        <w:adjustRightInd w:val="0"/>
        <w:jc w:val="center"/>
        <w:rPr>
          <w:b/>
          <w:bCs/>
          <w:color w:val="000000"/>
        </w:rPr>
      </w:pPr>
    </w:p>
    <w:p w:rsidR="00102574" w:rsidRPr="004712DC" w:rsidP="00102574" w14:paraId="4DD73971" w14:textId="77777777">
      <w:pPr>
        <w:autoSpaceDE w:val="0"/>
        <w:autoSpaceDN w:val="0"/>
        <w:adjustRightInd w:val="0"/>
        <w:jc w:val="center"/>
        <w:rPr>
          <w:b/>
          <w:bCs/>
          <w:color w:val="000000"/>
        </w:rPr>
      </w:pPr>
      <w:r w:rsidRPr="004712DC">
        <w:rPr>
          <w:b/>
          <w:bCs/>
          <w:color w:val="000000"/>
        </w:rPr>
        <w:t>TABLE OF CONTENTS</w:t>
      </w:r>
    </w:p>
    <w:p w:rsidR="00102574" w:rsidRPr="004712DC" w:rsidP="00102574" w14:paraId="54C386A8" w14:textId="77777777">
      <w:pPr>
        <w:autoSpaceDE w:val="0"/>
        <w:autoSpaceDN w:val="0"/>
        <w:adjustRightInd w:val="0"/>
        <w:rPr>
          <w:b/>
          <w:bCs/>
          <w:color w:val="000000"/>
        </w:rPr>
      </w:pPr>
    </w:p>
    <w:p w:rsidR="00102574" w:rsidRPr="004712DC" w:rsidP="00102574" w14:paraId="6C11B65E" w14:textId="77777777">
      <w:pPr>
        <w:rPr>
          <w:b/>
        </w:rPr>
      </w:pPr>
      <w:r w:rsidRPr="004712DC">
        <w:rPr>
          <w:b/>
        </w:rPr>
        <w:t>Section B. Statistical Methods</w:t>
      </w:r>
    </w:p>
    <w:p w:rsidR="00102574" w:rsidRPr="004712DC" w:rsidP="00102574" w14:paraId="7E8E1E18" w14:textId="77777777">
      <w:r w:rsidRPr="004712DC">
        <w:t>1. Respondent Universe and Sampling Methods</w:t>
      </w:r>
    </w:p>
    <w:p w:rsidR="00102574" w:rsidRPr="004712DC" w:rsidP="00102574" w14:paraId="2D2578EE" w14:textId="77777777">
      <w:r w:rsidRPr="004712DC">
        <w:t>2. Procedures for the Collection of Information</w:t>
      </w:r>
    </w:p>
    <w:p w:rsidR="00102574" w:rsidRPr="004712DC" w:rsidP="00102574" w14:paraId="119CFFD5" w14:textId="77777777">
      <w:r w:rsidRPr="004712DC">
        <w:t>3. Methods to Maximize Response Rates and Deal with Non-response</w:t>
      </w:r>
    </w:p>
    <w:p w:rsidR="00102574" w:rsidRPr="004712DC" w:rsidP="00102574" w14:paraId="4F0F38CA" w14:textId="77777777">
      <w:r w:rsidRPr="004712DC">
        <w:t>4. Test of Procedures or Methods to be Undertaken</w:t>
      </w:r>
    </w:p>
    <w:p w:rsidR="00102574" w:rsidRPr="004712DC" w:rsidP="00102574" w14:paraId="16026FE2" w14:textId="77777777">
      <w:r w:rsidRPr="004712DC">
        <w:t>5. Individuals Consulted on Statistical Aspects and Individuals Collecting and/or Analyzing Data</w:t>
      </w:r>
    </w:p>
    <w:p w:rsidR="00FD7391" w:rsidP="00D01186" w14:paraId="768AE40D" w14:textId="77777777">
      <w:pPr>
        <w:rPr>
          <w:b/>
        </w:rPr>
      </w:pPr>
    </w:p>
    <w:p w:rsidR="00102574" w:rsidP="00D01186" w14:paraId="495BB458" w14:textId="77777777">
      <w:pPr>
        <w:rPr>
          <w:b/>
        </w:rPr>
      </w:pPr>
    </w:p>
    <w:p w:rsidR="00102574" w:rsidP="00D01186" w14:paraId="5E2263EA" w14:textId="77777777">
      <w:pPr>
        <w:rPr>
          <w:b/>
        </w:rPr>
      </w:pPr>
    </w:p>
    <w:p w:rsidR="00102574" w:rsidP="00D01186" w14:paraId="686000F1" w14:textId="77777777">
      <w:pPr>
        <w:rPr>
          <w:b/>
        </w:rPr>
      </w:pPr>
    </w:p>
    <w:p w:rsidR="00102574" w:rsidP="00D01186" w14:paraId="4610FDD5" w14:textId="77777777">
      <w:pPr>
        <w:rPr>
          <w:b/>
        </w:rPr>
      </w:pPr>
    </w:p>
    <w:p w:rsidR="00102574" w:rsidP="00D01186" w14:paraId="14E6BDE2" w14:textId="77777777">
      <w:pPr>
        <w:rPr>
          <w:b/>
        </w:rPr>
      </w:pPr>
    </w:p>
    <w:p w:rsidR="00102574" w:rsidP="00D01186" w14:paraId="730F30FC" w14:textId="77777777">
      <w:pPr>
        <w:rPr>
          <w:b/>
        </w:rPr>
      </w:pPr>
    </w:p>
    <w:p w:rsidR="00102574" w:rsidP="00D01186" w14:paraId="28D721FE" w14:textId="77777777">
      <w:pPr>
        <w:rPr>
          <w:b/>
        </w:rPr>
      </w:pPr>
    </w:p>
    <w:p w:rsidR="00102574" w:rsidP="00D01186" w14:paraId="603FDD38" w14:textId="77777777">
      <w:pPr>
        <w:rPr>
          <w:b/>
        </w:rPr>
      </w:pPr>
    </w:p>
    <w:p w:rsidR="00102574" w:rsidP="00D01186" w14:paraId="0D16A648" w14:textId="77777777">
      <w:pPr>
        <w:rPr>
          <w:b/>
        </w:rPr>
      </w:pPr>
    </w:p>
    <w:p w:rsidR="00102574" w:rsidP="00D01186" w14:paraId="38F5D214" w14:textId="77777777">
      <w:pPr>
        <w:rPr>
          <w:b/>
        </w:rPr>
      </w:pPr>
    </w:p>
    <w:p w:rsidR="00102574" w:rsidP="00D01186" w14:paraId="49890C67" w14:textId="77777777">
      <w:pPr>
        <w:rPr>
          <w:b/>
        </w:rPr>
      </w:pPr>
    </w:p>
    <w:p w:rsidR="00102574" w:rsidP="00D01186" w14:paraId="29AD9BAB" w14:textId="77777777">
      <w:pPr>
        <w:rPr>
          <w:b/>
        </w:rPr>
      </w:pPr>
    </w:p>
    <w:p w:rsidR="00102574" w:rsidP="00D01186" w14:paraId="0439B735" w14:textId="77777777">
      <w:pPr>
        <w:rPr>
          <w:b/>
        </w:rPr>
      </w:pPr>
    </w:p>
    <w:p w:rsidR="00102574" w:rsidP="00D01186" w14:paraId="353615B1" w14:textId="77777777">
      <w:pPr>
        <w:rPr>
          <w:b/>
        </w:rPr>
      </w:pPr>
    </w:p>
    <w:p w:rsidR="00102574" w:rsidP="00D01186" w14:paraId="76EAEBEF" w14:textId="77777777">
      <w:pPr>
        <w:rPr>
          <w:b/>
        </w:rPr>
      </w:pPr>
    </w:p>
    <w:p w:rsidR="00102574" w:rsidP="00D01186" w14:paraId="2D6A185A" w14:textId="77777777">
      <w:pPr>
        <w:rPr>
          <w:b/>
        </w:rPr>
      </w:pPr>
    </w:p>
    <w:p w:rsidR="00102574" w:rsidP="00D01186" w14:paraId="5A34F728" w14:textId="77777777">
      <w:pPr>
        <w:rPr>
          <w:b/>
        </w:rPr>
      </w:pPr>
    </w:p>
    <w:p w:rsidR="00102574" w:rsidP="00D01186" w14:paraId="3CFA97CB" w14:textId="77777777">
      <w:pPr>
        <w:rPr>
          <w:b/>
        </w:rPr>
      </w:pPr>
    </w:p>
    <w:p w:rsidR="00102574" w:rsidP="00D01186" w14:paraId="749E0D8D" w14:textId="77777777">
      <w:pPr>
        <w:rPr>
          <w:b/>
        </w:rPr>
      </w:pPr>
    </w:p>
    <w:p w:rsidR="00102574" w:rsidP="00D01186" w14:paraId="6E7ACD03" w14:textId="77777777">
      <w:pPr>
        <w:rPr>
          <w:b/>
        </w:rPr>
      </w:pPr>
    </w:p>
    <w:p w:rsidR="00102574" w:rsidP="00D01186" w14:paraId="7817D06A" w14:textId="77777777">
      <w:pPr>
        <w:rPr>
          <w:b/>
        </w:rPr>
      </w:pPr>
    </w:p>
    <w:p w:rsidR="00102574" w:rsidP="00D01186" w14:paraId="44A37B1A" w14:textId="77777777">
      <w:pPr>
        <w:rPr>
          <w:b/>
        </w:rPr>
      </w:pPr>
    </w:p>
    <w:p w:rsidR="00952F9D" w:rsidP="00C77DD0" w14:paraId="4EB67361" w14:textId="77777777">
      <w:pPr>
        <w:spacing w:after="120"/>
        <w:rPr>
          <w:b/>
        </w:rPr>
      </w:pPr>
    </w:p>
    <w:p w:rsidR="00102574" w:rsidP="00C77DD0" w14:paraId="48752F66" w14:textId="77777777">
      <w:pPr>
        <w:spacing w:after="120"/>
        <w:rPr>
          <w:b/>
        </w:rPr>
      </w:pPr>
    </w:p>
    <w:p w:rsidR="00102574" w:rsidP="00C77DD0" w14:paraId="52A829C1" w14:textId="77777777">
      <w:pPr>
        <w:spacing w:after="120"/>
        <w:rPr>
          <w:b/>
        </w:rPr>
      </w:pPr>
    </w:p>
    <w:p w:rsidR="00102574" w:rsidP="00C77DD0" w14:paraId="1856B8D1" w14:textId="77777777">
      <w:pPr>
        <w:spacing w:after="120"/>
        <w:rPr>
          <w:b/>
        </w:rPr>
      </w:pPr>
    </w:p>
    <w:p w:rsidR="00102574" w:rsidP="00C77DD0" w14:paraId="51FCEC63" w14:textId="77777777">
      <w:pPr>
        <w:spacing w:after="120"/>
        <w:rPr>
          <w:b/>
        </w:rPr>
      </w:pPr>
    </w:p>
    <w:p w:rsidR="00102574" w:rsidP="00C77DD0" w14:paraId="6F057039" w14:textId="77777777">
      <w:pPr>
        <w:spacing w:after="120"/>
        <w:rPr>
          <w:b/>
        </w:rPr>
      </w:pPr>
    </w:p>
    <w:p w:rsidR="00102574" w:rsidP="00C77DD0" w14:paraId="3EAF27E1" w14:textId="77777777">
      <w:pPr>
        <w:spacing w:after="120"/>
        <w:rPr>
          <w:b/>
        </w:rPr>
      </w:pPr>
    </w:p>
    <w:p w:rsidR="00102574" w:rsidP="00C77DD0" w14:paraId="6099AF3D" w14:textId="77777777">
      <w:pPr>
        <w:spacing w:after="120"/>
        <w:rPr>
          <w:b/>
        </w:rPr>
      </w:pPr>
    </w:p>
    <w:p w:rsidR="00D73027" w:rsidP="009868B7" w14:paraId="4BB6FFC4" w14:textId="77777777">
      <w:pPr>
        <w:spacing w:after="120"/>
        <w:rPr>
          <w:b/>
        </w:rPr>
      </w:pPr>
    </w:p>
    <w:p w:rsidR="00102574" w:rsidRPr="009868B7" w:rsidP="009868B7" w14:paraId="02E4A276" w14:textId="5E43022A">
      <w:pPr>
        <w:spacing w:after="120"/>
        <w:rPr>
          <w:b/>
        </w:rPr>
      </w:pPr>
      <w:r w:rsidRPr="009868B7">
        <w:rPr>
          <w:b/>
        </w:rPr>
        <w:t>B. COLLECTIONS OF INFORMATION EMPLOYING STATISTICAL METHODS</w:t>
      </w:r>
    </w:p>
    <w:p w:rsidR="00222B9B" w:rsidRPr="00010723" w:rsidP="00C77DD0" w14:paraId="1839408B" w14:textId="77777777">
      <w:pPr>
        <w:spacing w:after="120"/>
        <w:rPr>
          <w:b/>
        </w:rPr>
      </w:pPr>
      <w:r>
        <w:rPr>
          <w:b/>
        </w:rPr>
        <w:t>B.</w:t>
      </w:r>
      <w:r w:rsidRPr="00010723" w:rsidR="00D01186">
        <w:rPr>
          <w:b/>
        </w:rPr>
        <w:t>1. Respondent Universe and Sampling Methods</w:t>
      </w:r>
    </w:p>
    <w:p w:rsidR="009868B7" w:rsidP="009868B7" w14:paraId="676DC666" w14:textId="32AC86D4">
      <w:pPr>
        <w:spacing w:before="120"/>
      </w:pPr>
      <w:r w:rsidRPr="009868B7">
        <w:t xml:space="preserve">This is a </w:t>
      </w:r>
      <w:r w:rsidR="00AC70FE">
        <w:t>r</w:t>
      </w:r>
      <w:r w:rsidR="00B075EB">
        <w:t xml:space="preserve">evision </w:t>
      </w:r>
      <w:r w:rsidRPr="009868B7" w:rsidR="00724846">
        <w:t xml:space="preserve">request </w:t>
      </w:r>
      <w:r w:rsidR="005665A4">
        <w:t>with change</w:t>
      </w:r>
      <w:r w:rsidR="00AC70FE">
        <w:t>s</w:t>
      </w:r>
      <w:r w:rsidRPr="009868B7">
        <w:t xml:space="preserve"> for the currently approved </w:t>
      </w:r>
      <w:r w:rsidR="00513098">
        <w:t>STI</w:t>
      </w:r>
      <w:r>
        <w:t xml:space="preserve"> Surveillance Network (</w:t>
      </w:r>
      <w:r>
        <w:t>SSuN</w:t>
      </w:r>
      <w:r>
        <w:t>)</w:t>
      </w:r>
      <w:r w:rsidR="00745A96">
        <w:t xml:space="preserve"> </w:t>
      </w:r>
      <w:r w:rsidRPr="009868B7">
        <w:t>- OMB# 0920-</w:t>
      </w:r>
      <w:r>
        <w:t>1072</w:t>
      </w:r>
      <w:r w:rsidRPr="009868B7">
        <w:t xml:space="preserve">, expiration date </w:t>
      </w:r>
      <w:r w:rsidR="0093506A">
        <w:t>9/30/2026</w:t>
      </w:r>
      <w:r>
        <w:t xml:space="preserve">. </w:t>
      </w:r>
    </w:p>
    <w:p w:rsidR="000E4F25" w:rsidRPr="00010723" w:rsidP="00C77DD0" w14:paraId="796126D8" w14:textId="45142CBB">
      <w:pPr>
        <w:spacing w:before="120"/>
      </w:pPr>
      <w:r>
        <w:t>The</w:t>
      </w:r>
      <w:r w:rsidRPr="00010723" w:rsidR="002C665B">
        <w:t xml:space="preserve"> </w:t>
      </w:r>
      <w:r w:rsidR="00513098">
        <w:t>STI</w:t>
      </w:r>
      <w:r>
        <w:t xml:space="preserve"> Surveillance Network</w:t>
      </w:r>
      <w:r w:rsidRPr="00010723" w:rsidR="00337FAA">
        <w:t xml:space="preserve"> is </w:t>
      </w:r>
      <w:r w:rsidR="00086BFB">
        <w:t xml:space="preserve">a </w:t>
      </w:r>
      <w:r w:rsidRPr="00010723" w:rsidR="00337FAA">
        <w:t>network o</w:t>
      </w:r>
      <w:r w:rsidR="005376C8">
        <w:t>f</w:t>
      </w:r>
      <w:r w:rsidRPr="00010723" w:rsidR="00D6217E">
        <w:t xml:space="preserve"> </w:t>
      </w:r>
      <w:r w:rsidR="00086BFB">
        <w:t>1</w:t>
      </w:r>
      <w:r>
        <w:t>1</w:t>
      </w:r>
      <w:r w:rsidR="005376C8">
        <w:t xml:space="preserve"> </w:t>
      </w:r>
      <w:r w:rsidRPr="00010723" w:rsidR="00337FAA">
        <w:t xml:space="preserve">collaborating </w:t>
      </w:r>
      <w:r w:rsidRPr="00010723" w:rsidR="007624CF">
        <w:t xml:space="preserve">surveillance </w:t>
      </w:r>
      <w:r w:rsidR="009868B7">
        <w:t>jurisdictions</w:t>
      </w:r>
      <w:r w:rsidR="00724846">
        <w:t xml:space="preserve"> </w:t>
      </w:r>
      <w:r w:rsidRPr="00010723" w:rsidR="00D01CC1">
        <w:t>in the</w:t>
      </w:r>
      <w:r w:rsidRPr="00010723" w:rsidR="007624CF">
        <w:t xml:space="preserve"> U</w:t>
      </w:r>
      <w:r w:rsidRPr="00010723" w:rsidR="00D77989">
        <w:t xml:space="preserve">nited </w:t>
      </w:r>
      <w:r w:rsidRPr="00010723" w:rsidR="007624CF">
        <w:t>S</w:t>
      </w:r>
      <w:r w:rsidRPr="00010723" w:rsidR="00D77989">
        <w:t>tates</w:t>
      </w:r>
      <w:r w:rsidRPr="00010723" w:rsidR="00337FAA">
        <w:t xml:space="preserve"> </w:t>
      </w:r>
      <w:r w:rsidRPr="00010723" w:rsidR="00D01CC1">
        <w:t xml:space="preserve">serving as a </w:t>
      </w:r>
      <w:r>
        <w:t>surveillance infrastructure</w:t>
      </w:r>
      <w:r w:rsidRPr="00010723" w:rsidR="00D01CC1">
        <w:t xml:space="preserve"> </w:t>
      </w:r>
      <w:r>
        <w:t>providing information to characterize</w:t>
      </w:r>
      <w:r w:rsidRPr="00010723" w:rsidR="00D01CC1">
        <w:t xml:space="preserve"> </w:t>
      </w:r>
      <w:r w:rsidR="00513098">
        <w:t>STI</w:t>
      </w:r>
      <w:r w:rsidRPr="00010723" w:rsidR="00D01CC1">
        <w:t xml:space="preserve"> trends, </w:t>
      </w:r>
      <w:r>
        <w:t>refine</w:t>
      </w:r>
      <w:r w:rsidRPr="00010723" w:rsidR="00D01CC1">
        <w:t xml:space="preserve"> </w:t>
      </w:r>
      <w:r>
        <w:t xml:space="preserve">understanding of </w:t>
      </w:r>
      <w:r w:rsidR="00513098">
        <w:t>STI</w:t>
      </w:r>
      <w:r w:rsidRPr="00010723" w:rsidR="00D01CC1">
        <w:t xml:space="preserve"> epidemiology</w:t>
      </w:r>
      <w:r>
        <w:t>, monitor emergent/re-emergent health issues (mpox, etc.)</w:t>
      </w:r>
      <w:r w:rsidRPr="00010723" w:rsidR="00D01CC1">
        <w:t xml:space="preserve"> and evaluate the effectiveness of public health interventions through active </w:t>
      </w:r>
      <w:r>
        <w:t xml:space="preserve">data </w:t>
      </w:r>
      <w:r w:rsidRPr="00010723">
        <w:t>collection</w:t>
      </w:r>
      <w:r w:rsidRPr="00010723" w:rsidR="00D01CC1">
        <w:t xml:space="preserve">, reporting, analysis, </w:t>
      </w:r>
      <w:r w:rsidRPr="00010723">
        <w:t>visualization,</w:t>
      </w:r>
      <w:r w:rsidRPr="00010723" w:rsidR="00D01CC1">
        <w:t xml:space="preserve"> and interpretation of disease information.</w:t>
      </w:r>
      <w:r w:rsidR="00086BFB">
        <w:t xml:space="preserve"> Eleven</w:t>
      </w:r>
      <w:r w:rsidR="00FF2B94">
        <w:t xml:space="preserve"> (11)</w:t>
      </w:r>
      <w:r w:rsidR="00086BFB">
        <w:t xml:space="preserve"> jurisdictions </w:t>
      </w:r>
      <w:r>
        <w:t xml:space="preserve">are </w:t>
      </w:r>
      <w:r w:rsidR="00086BFB">
        <w:t>participat</w:t>
      </w:r>
      <w:r>
        <w:t>ing</w:t>
      </w:r>
      <w:r w:rsidR="00086BFB">
        <w:t xml:space="preserve"> in </w:t>
      </w:r>
      <w:r>
        <w:t>this</w:t>
      </w:r>
      <w:r w:rsidR="00086BFB">
        <w:t xml:space="preserve"> </w:t>
      </w:r>
      <w:r w:rsidR="00745A96">
        <w:t xml:space="preserve">5-year </w:t>
      </w:r>
      <w:r w:rsidR="00086BFB">
        <w:t>funding cycle</w:t>
      </w:r>
      <w:r>
        <w:t>, which</w:t>
      </w:r>
      <w:r w:rsidR="00086BFB">
        <w:t xml:space="preserve"> beg</w:t>
      </w:r>
      <w:r>
        <w:t>an</w:t>
      </w:r>
      <w:r w:rsidR="00086BFB">
        <w:t xml:space="preserve"> </w:t>
      </w:r>
      <w:r w:rsidR="00FF2B94">
        <w:t>September 30,</w:t>
      </w:r>
      <w:r w:rsidR="00086BFB">
        <w:t xml:space="preserve"> 2019 (</w:t>
      </w:r>
      <w:r w:rsidRPr="00745A96" w:rsidR="00086BFB">
        <w:rPr>
          <w:b/>
        </w:rPr>
        <w:t>A</w:t>
      </w:r>
      <w:r w:rsidRPr="00745A96" w:rsidR="00FF2B94">
        <w:rPr>
          <w:b/>
        </w:rPr>
        <w:t>TTACHMENT</w:t>
      </w:r>
      <w:r w:rsidRPr="00745A96" w:rsidR="00086BFB">
        <w:rPr>
          <w:b/>
        </w:rPr>
        <w:t xml:space="preserve"> 6</w:t>
      </w:r>
      <w:r w:rsidR="00086BFB">
        <w:t>).</w:t>
      </w:r>
      <w:r w:rsidRPr="00010723" w:rsidR="00D01CC1">
        <w:t xml:space="preserve"> </w:t>
      </w:r>
      <w:r w:rsidRPr="00010723" w:rsidR="0002449C">
        <w:t>SSuN</w:t>
      </w:r>
      <w:r w:rsidRPr="00010723" w:rsidR="00D01CC1">
        <w:t xml:space="preserve"> utilize</w:t>
      </w:r>
      <w:r w:rsidR="00724846">
        <w:t>s</w:t>
      </w:r>
      <w:r w:rsidRPr="00010723" w:rsidR="00D01CC1">
        <w:t xml:space="preserve"> two distinct surveillance strategies to collect information</w:t>
      </w:r>
      <w:r w:rsidRPr="00010723" w:rsidR="006B2E02">
        <w:t>:</w:t>
      </w:r>
      <w:r w:rsidRPr="00010723" w:rsidR="0002449C">
        <w:t xml:space="preserve"> </w:t>
      </w:r>
      <w:r w:rsidR="00513098">
        <w:t>STI</w:t>
      </w:r>
      <w:r w:rsidR="00A3193A">
        <w:t xml:space="preserve"> clinic</w:t>
      </w:r>
      <w:r w:rsidRPr="00010723" w:rsidR="0002449C">
        <w:t>-based</w:t>
      </w:r>
      <w:r w:rsidR="00724846">
        <w:t xml:space="preserve"> sentinel</w:t>
      </w:r>
      <w:r w:rsidRPr="00010723" w:rsidR="0002449C">
        <w:t xml:space="preserve"> surveillance</w:t>
      </w:r>
      <w:r w:rsidR="00724846">
        <w:t xml:space="preserve"> (Strategy A)</w:t>
      </w:r>
      <w:r w:rsidRPr="00010723" w:rsidR="0002449C">
        <w:t xml:space="preserve"> and </w:t>
      </w:r>
      <w:r w:rsidR="00724846">
        <w:t>case</w:t>
      </w:r>
      <w:r w:rsidRPr="00010723" w:rsidR="0002449C">
        <w:t>-based</w:t>
      </w:r>
      <w:r w:rsidR="00724846">
        <w:t xml:space="preserve"> enhanced</w:t>
      </w:r>
      <w:r w:rsidRPr="00010723" w:rsidR="0002449C">
        <w:t xml:space="preserve"> </w:t>
      </w:r>
      <w:r w:rsidR="00513098">
        <w:t>STI</w:t>
      </w:r>
      <w:r w:rsidRPr="00010723" w:rsidR="007624CF">
        <w:t xml:space="preserve"> </w:t>
      </w:r>
      <w:r w:rsidRPr="00010723" w:rsidR="0002449C">
        <w:t>surveillance</w:t>
      </w:r>
      <w:r w:rsidR="00724846">
        <w:t xml:space="preserve"> (Strategy B)</w:t>
      </w:r>
      <w:r w:rsidRPr="00010723" w:rsidR="0002449C">
        <w:t>, as outlined below.</w:t>
      </w:r>
    </w:p>
    <w:p w:rsidR="0002449C" w:rsidRPr="00010723" w:rsidP="00C77DD0" w14:paraId="1F1C2CF9" w14:textId="3204D747">
      <w:pPr>
        <w:spacing w:before="120"/>
        <w:rPr>
          <w:i/>
        </w:rPr>
      </w:pPr>
      <w:r>
        <w:rPr>
          <w:i/>
        </w:rPr>
        <w:t xml:space="preserve">Strategy A: </w:t>
      </w:r>
      <w:r w:rsidR="004663D2">
        <w:rPr>
          <w:i/>
        </w:rPr>
        <w:t>Facility</w:t>
      </w:r>
      <w:r w:rsidRPr="00010723">
        <w:rPr>
          <w:i/>
        </w:rPr>
        <w:t xml:space="preserve">-based </w:t>
      </w:r>
      <w:r w:rsidR="00513098">
        <w:rPr>
          <w:i/>
        </w:rPr>
        <w:t>STI</w:t>
      </w:r>
      <w:r w:rsidRPr="00010723">
        <w:rPr>
          <w:i/>
        </w:rPr>
        <w:t xml:space="preserve"> surveillance:</w:t>
      </w:r>
    </w:p>
    <w:p w:rsidR="0002449C" w:rsidRPr="00010723" w:rsidP="00C77DD0" w14:paraId="16F613B7" w14:textId="48C8CB14">
      <w:pPr>
        <w:spacing w:before="120"/>
      </w:pPr>
      <w:r w:rsidRPr="00010723">
        <w:t xml:space="preserve">The respondents providing the information for </w:t>
      </w:r>
      <w:r w:rsidRPr="00010723" w:rsidR="006B2E02">
        <w:t>S</w:t>
      </w:r>
      <w:r w:rsidRPr="00010723" w:rsidR="00225E00">
        <w:t>SuN</w:t>
      </w:r>
      <w:r w:rsidRPr="00010723" w:rsidR="006B2E02">
        <w:t>’s</w:t>
      </w:r>
      <w:r w:rsidRPr="00010723" w:rsidR="00225E00">
        <w:t xml:space="preserve"> </w:t>
      </w:r>
      <w:r w:rsidR="00513098">
        <w:t>STI</w:t>
      </w:r>
      <w:r w:rsidR="009868B7">
        <w:t xml:space="preserve"> clinic</w:t>
      </w:r>
      <w:r w:rsidRPr="00010723" w:rsidR="006B2E02">
        <w:t xml:space="preserve">-based </w:t>
      </w:r>
      <w:r w:rsidR="00724846">
        <w:t xml:space="preserve">sentinel </w:t>
      </w:r>
      <w:r w:rsidRPr="00010723" w:rsidR="006B2E02">
        <w:t xml:space="preserve">surveillance </w:t>
      </w:r>
      <w:r w:rsidRPr="00010723">
        <w:t>are</w:t>
      </w:r>
      <w:r w:rsidR="00724846">
        <w:t>;</w:t>
      </w:r>
      <w:r w:rsidRPr="00010723">
        <w:t xml:space="preserve"> </w:t>
      </w:r>
      <w:r w:rsidR="001351E5">
        <w:t xml:space="preserve">(1) </w:t>
      </w:r>
      <w:r w:rsidR="00724846">
        <w:t>data managers at collaborating</w:t>
      </w:r>
      <w:r w:rsidRPr="00010723" w:rsidR="00724846">
        <w:t xml:space="preserve"> </w:t>
      </w:r>
      <w:r w:rsidR="00513098">
        <w:t>STI</w:t>
      </w:r>
      <w:r w:rsidR="009868B7">
        <w:t xml:space="preserve"> </w:t>
      </w:r>
      <w:r w:rsidR="001351E5">
        <w:t>clinic</w:t>
      </w:r>
      <w:r w:rsidR="00724846">
        <w:t>al</w:t>
      </w:r>
      <w:r w:rsidR="001351E5">
        <w:t xml:space="preserve"> facilities</w:t>
      </w:r>
      <w:r w:rsidR="00724846">
        <w:t>,</w:t>
      </w:r>
      <w:r w:rsidR="001351E5">
        <w:t xml:space="preserve"> </w:t>
      </w:r>
      <w:r w:rsidR="001351E5">
        <w:t>and</w:t>
      </w:r>
      <w:r w:rsidR="00724846">
        <w:t>,</w:t>
      </w:r>
      <w:r w:rsidR="001351E5">
        <w:t xml:space="preserve"> (2) data managers at the </w:t>
      </w:r>
      <w:r w:rsidRPr="00010723">
        <w:t>1</w:t>
      </w:r>
      <w:r w:rsidR="00B075EB">
        <w:t>1</w:t>
      </w:r>
      <w:r w:rsidRPr="00010723">
        <w:t xml:space="preserve"> </w:t>
      </w:r>
      <w:r w:rsidR="00724846">
        <w:t xml:space="preserve">participating city, county and state health departments </w:t>
      </w:r>
      <w:r w:rsidRPr="000E6EC7">
        <w:t>(</w:t>
      </w:r>
      <w:r w:rsidRPr="000E6EC7" w:rsidR="00C73761">
        <w:t>Table</w:t>
      </w:r>
      <w:r w:rsidRPr="000E6EC7">
        <w:t xml:space="preserve"> B.1.A).  </w:t>
      </w:r>
      <w:r w:rsidRPr="000E6EC7" w:rsidR="00225E00">
        <w:t>Within t</w:t>
      </w:r>
      <w:r w:rsidRPr="000E6EC7">
        <w:t>hese 1</w:t>
      </w:r>
      <w:r w:rsidR="00B075EB">
        <w:t>1</w:t>
      </w:r>
      <w:r w:rsidRPr="000E6EC7">
        <w:t xml:space="preserve"> </w:t>
      </w:r>
      <w:r w:rsidRPr="000E6EC7" w:rsidR="00225E00">
        <w:t xml:space="preserve">collaborating </w:t>
      </w:r>
      <w:r w:rsidRPr="000E6EC7">
        <w:t xml:space="preserve">sites </w:t>
      </w:r>
      <w:r w:rsidRPr="000E6EC7" w:rsidR="00225E00">
        <w:t xml:space="preserve">there </w:t>
      </w:r>
      <w:r w:rsidRPr="00AC03BA">
        <w:t>are</w:t>
      </w:r>
      <w:r w:rsidRPr="000E6EC7" w:rsidR="00881D03">
        <w:t xml:space="preserve"> </w:t>
      </w:r>
      <w:r w:rsidR="003A2174">
        <w:t>1</w:t>
      </w:r>
      <w:r w:rsidR="001922DB">
        <w:t>5</w:t>
      </w:r>
      <w:r w:rsidRPr="000E6EC7">
        <w:t xml:space="preserve"> </w:t>
      </w:r>
      <w:r w:rsidR="00513098">
        <w:t>STI</w:t>
      </w:r>
      <w:r w:rsidRPr="000E6EC7">
        <w:t xml:space="preserve"> clinics that</w:t>
      </w:r>
      <w:r w:rsidRPr="000E6EC7" w:rsidR="00E22386">
        <w:t xml:space="preserve"> </w:t>
      </w:r>
      <w:r w:rsidR="001922DB">
        <w:t>currently</w:t>
      </w:r>
      <w:r w:rsidR="00AC70FE">
        <w:t xml:space="preserve"> </w:t>
      </w:r>
      <w:r w:rsidRPr="000E6EC7" w:rsidR="00FC2F15">
        <w:t>report</w:t>
      </w:r>
      <w:r w:rsidRPr="000E6EC7">
        <w:t xml:space="preserve"> </w:t>
      </w:r>
      <w:r w:rsidRPr="000E6EC7" w:rsidR="00225E00">
        <w:t xml:space="preserve">data from </w:t>
      </w:r>
      <w:r w:rsidRPr="000E6EC7">
        <w:t xml:space="preserve">approximately </w:t>
      </w:r>
      <w:r w:rsidR="003A2174">
        <w:t>1</w:t>
      </w:r>
      <w:r w:rsidR="00745A96">
        <w:t>45</w:t>
      </w:r>
      <w:r w:rsidR="003A2174">
        <w:t xml:space="preserve">,000 </w:t>
      </w:r>
      <w:r w:rsidRPr="000E6EC7">
        <w:t>patient</w:t>
      </w:r>
      <w:r w:rsidR="00724846">
        <w:t>-</w:t>
      </w:r>
      <w:r w:rsidRPr="000E6EC7">
        <w:t xml:space="preserve">visits </w:t>
      </w:r>
      <w:r w:rsidRPr="000E6EC7" w:rsidR="00FC2F15">
        <w:t>per year</w:t>
      </w:r>
      <w:r w:rsidRPr="000E6EC7" w:rsidR="001351E5">
        <w:t xml:space="preserve"> </w:t>
      </w:r>
      <w:r w:rsidRPr="000E6EC7" w:rsidR="00225E00">
        <w:t>(</w:t>
      </w:r>
      <w:r w:rsidRPr="000E6EC7" w:rsidR="00C73761">
        <w:t>Table</w:t>
      </w:r>
      <w:r w:rsidRPr="000E6EC7" w:rsidR="00225E00">
        <w:t xml:space="preserve"> B.1.A)</w:t>
      </w:r>
      <w:r w:rsidRPr="000E6EC7">
        <w:t>.</w:t>
      </w:r>
      <w:r w:rsidRPr="000E6EC7" w:rsidR="00517C64">
        <w:t xml:space="preserve"> </w:t>
      </w:r>
      <w:r w:rsidR="001922DB">
        <w:t>This revision anticipates expansion to up to 25 additional clinics in a new funding cycle beginning in October 2024</w:t>
      </w:r>
      <w:r w:rsidR="00D82839">
        <w:t>, which will increase the patient visits per year by up to 250,000 additional visits for a possible total of 395,300</w:t>
      </w:r>
      <w:r w:rsidR="001922DB">
        <w:t>.</w:t>
      </w:r>
      <w:r w:rsidRPr="000E6EC7" w:rsidR="00517C64">
        <w:t xml:space="preserve"> All patient visits to the</w:t>
      </w:r>
      <w:r w:rsidRPr="000E6EC7" w:rsidR="00E22386">
        <w:t xml:space="preserve"> participating</w:t>
      </w:r>
      <w:r w:rsidRPr="000E6EC7" w:rsidR="001351E5">
        <w:t xml:space="preserve"> </w:t>
      </w:r>
      <w:r w:rsidR="00513098">
        <w:t>STI</w:t>
      </w:r>
      <w:r w:rsidRPr="000E6EC7" w:rsidR="001351E5">
        <w:t xml:space="preserve"> clinics </w:t>
      </w:r>
      <w:r w:rsidR="00724846">
        <w:t>are</w:t>
      </w:r>
      <w:r w:rsidRPr="000E6EC7" w:rsidR="00517C64">
        <w:t xml:space="preserve"> </w:t>
      </w:r>
      <w:r w:rsidR="00724846">
        <w:t>abstracted for</w:t>
      </w:r>
      <w:r w:rsidRPr="000E6EC7" w:rsidR="00517C64">
        <w:t xml:space="preserve"> the </w:t>
      </w:r>
      <w:r w:rsidRPr="000E6EC7" w:rsidR="001351E5">
        <w:t>projec</w:t>
      </w:r>
      <w:r w:rsidR="00724846">
        <w:t>t, recoded per protocol by data mangers</w:t>
      </w:r>
      <w:r w:rsidRPr="000E6EC7" w:rsidR="00517C64">
        <w:t xml:space="preserve"> </w:t>
      </w:r>
      <w:r w:rsidR="00724846">
        <w:t xml:space="preserve">and </w:t>
      </w:r>
      <w:r w:rsidRPr="000E6EC7" w:rsidR="00517C64">
        <w:t xml:space="preserve">reported to CDC by the </w:t>
      </w:r>
      <w:r w:rsidR="00D82839">
        <w:t xml:space="preserve">clinic or </w:t>
      </w:r>
      <w:r w:rsidRPr="000E6EC7" w:rsidR="00517C64">
        <w:t xml:space="preserve">collaborating </w:t>
      </w:r>
      <w:r w:rsidR="00724846">
        <w:t>health departments</w:t>
      </w:r>
      <w:r w:rsidRPr="000E6EC7" w:rsidR="00517C64">
        <w:t>.</w:t>
      </w:r>
      <w:r w:rsidRPr="000E6EC7" w:rsidR="009C79B3">
        <w:t xml:space="preserve">  </w:t>
      </w:r>
      <w:r w:rsidRPr="000E6EC7" w:rsidR="00FA5968">
        <w:t>As</w:t>
      </w:r>
      <w:r w:rsidRPr="00010723" w:rsidR="00FA5968">
        <w:t xml:space="preserve"> part of routine patient care, i</w:t>
      </w:r>
      <w:r w:rsidRPr="00010723" w:rsidR="009C79B3">
        <w:t>nformation</w:t>
      </w:r>
      <w:r w:rsidRPr="00010723" w:rsidR="00FA5968">
        <w:t xml:space="preserve"> on demographics, </w:t>
      </w:r>
      <w:r w:rsidRPr="00010723" w:rsidR="00D24FED">
        <w:t xml:space="preserve">limited </w:t>
      </w:r>
      <w:r w:rsidRPr="00010723" w:rsidR="00FA5968">
        <w:t xml:space="preserve">behavioral risk factors, and </w:t>
      </w:r>
      <w:r w:rsidRPr="00010723" w:rsidR="00D24FED">
        <w:t xml:space="preserve">details about the </w:t>
      </w:r>
      <w:r w:rsidRPr="00010723" w:rsidR="001E6558">
        <w:t>clinical</w:t>
      </w:r>
      <w:r w:rsidRPr="00010723" w:rsidR="00D24FED">
        <w:t xml:space="preserve"> encounter (e.g., </w:t>
      </w:r>
      <w:r w:rsidR="001351E5">
        <w:t xml:space="preserve">signs and physical exam findings, diagnoses, </w:t>
      </w:r>
      <w:r w:rsidRPr="00010723" w:rsidR="00D24FED">
        <w:t>laboratory test</w:t>
      </w:r>
      <w:r w:rsidR="001351E5">
        <w:t>s and treatment</w:t>
      </w:r>
      <w:r w:rsidRPr="00010723" w:rsidR="00D24FED">
        <w:t xml:space="preserve">) </w:t>
      </w:r>
      <w:r w:rsidR="00A3193A">
        <w:t>are</w:t>
      </w:r>
      <w:r w:rsidR="001351E5">
        <w:t xml:space="preserve"> </w:t>
      </w:r>
      <w:r w:rsidRPr="00010723" w:rsidR="00D24FED">
        <w:t xml:space="preserve">collected by clinic staff and </w:t>
      </w:r>
      <w:r w:rsidRPr="00010723" w:rsidR="00FA5968">
        <w:t xml:space="preserve">entered </w:t>
      </w:r>
      <w:r w:rsidRPr="00010723" w:rsidR="009C79B3">
        <w:t>into</w:t>
      </w:r>
      <w:r w:rsidRPr="00010723" w:rsidR="00D24FED">
        <w:t xml:space="preserve"> the patient’s health record. </w:t>
      </w:r>
      <w:r w:rsidR="00B13446">
        <w:t>Cl</w:t>
      </w:r>
      <w:r w:rsidR="001351E5">
        <w:t>i</w:t>
      </w:r>
      <w:r w:rsidR="00B13446">
        <w:t>nic</w:t>
      </w:r>
      <w:r w:rsidRPr="00010723" w:rsidR="009C79B3">
        <w:t xml:space="preserve"> staff abstract </w:t>
      </w:r>
      <w:r w:rsidR="00724846">
        <w:t xml:space="preserve">these </w:t>
      </w:r>
      <w:r w:rsidR="00A3193A">
        <w:t xml:space="preserve">routinely collected </w:t>
      </w:r>
      <w:r w:rsidRPr="00010723" w:rsidR="00E72DEC">
        <w:t>data</w:t>
      </w:r>
      <w:r w:rsidR="00724846">
        <w:t xml:space="preserve"> elements</w:t>
      </w:r>
      <w:r w:rsidRPr="00010723" w:rsidR="00E72DEC">
        <w:t xml:space="preserve"> from </w:t>
      </w:r>
      <w:r w:rsidR="00724846">
        <w:t xml:space="preserve">existing </w:t>
      </w:r>
      <w:r w:rsidRPr="00010723" w:rsidR="00E72DEC">
        <w:t xml:space="preserve">electronic medical records </w:t>
      </w:r>
      <w:r w:rsidRPr="00010723" w:rsidR="00FA5968">
        <w:t>and</w:t>
      </w:r>
      <w:r w:rsidR="00724846">
        <w:t xml:space="preserve"> securely</w:t>
      </w:r>
      <w:r w:rsidRPr="00010723" w:rsidR="00FA5968">
        <w:t xml:space="preserve"> </w:t>
      </w:r>
      <w:r w:rsidRPr="00010723" w:rsidR="00D24FED">
        <w:t>transmit</w:t>
      </w:r>
      <w:r w:rsidR="00724846">
        <w:t xml:space="preserve"> de-identified records</w:t>
      </w:r>
      <w:r w:rsidRPr="00010723" w:rsidR="00D24FED">
        <w:t xml:space="preserve"> to </w:t>
      </w:r>
      <w:r w:rsidRPr="00010723" w:rsidR="00D24FED">
        <w:t>SSuN</w:t>
      </w:r>
      <w:r w:rsidRPr="00010723" w:rsidR="00D24FED">
        <w:t xml:space="preserve"> project staff at the local level. </w:t>
      </w:r>
      <w:r w:rsidRPr="00010723" w:rsidR="009C79B3">
        <w:t xml:space="preserve"> </w:t>
      </w:r>
    </w:p>
    <w:p w:rsidR="0002449C" w:rsidRPr="00010723" w:rsidP="0002449C" w14:paraId="795F235A" w14:textId="77777777">
      <w:pPr>
        <w:spacing w:before="120"/>
      </w:pPr>
    </w:p>
    <w:p w:rsidR="0002449C" w:rsidRPr="00010723" w:rsidP="0002449C" w14:paraId="51DC25A9" w14:textId="77777777">
      <w:pPr>
        <w:spacing w:before="120"/>
      </w:pPr>
      <w:r w:rsidRPr="00010723">
        <w:t>Table</w:t>
      </w:r>
      <w:r w:rsidRPr="00010723">
        <w:t xml:space="preserve"> B.1.A</w:t>
      </w:r>
    </w:p>
    <w:tbl>
      <w:tblPr>
        <w:tblStyle w:val="TableGrid"/>
        <w:tblW w:w="10350" w:type="dxa"/>
        <w:tblInd w:w="-365" w:type="dxa"/>
        <w:tblLayout w:type="fixed"/>
        <w:tblLook w:val="01E0"/>
      </w:tblPr>
      <w:tblGrid>
        <w:gridCol w:w="1733"/>
        <w:gridCol w:w="4567"/>
        <w:gridCol w:w="2070"/>
        <w:gridCol w:w="1980"/>
      </w:tblGrid>
      <w:tr w14:paraId="53641815" w14:textId="77777777" w:rsidTr="00A43FC5">
        <w:tblPrEx>
          <w:tblW w:w="10350" w:type="dxa"/>
          <w:tblInd w:w="-365" w:type="dxa"/>
          <w:tblLayout w:type="fixed"/>
          <w:tblLook w:val="01E0"/>
        </w:tblPrEx>
        <w:tc>
          <w:tcPr>
            <w:tcW w:w="1733" w:type="dxa"/>
          </w:tcPr>
          <w:p w:rsidR="00334E5D" w:rsidRPr="00E55BDE" w14:paraId="059DA8E1" w14:textId="58EBCBEC">
            <w:pPr>
              <w:spacing w:before="120"/>
              <w:jc w:val="center"/>
              <w:rPr>
                <w:b/>
                <w:bCs/>
              </w:rPr>
            </w:pPr>
            <w:r w:rsidRPr="00E55BDE">
              <w:rPr>
                <w:b/>
                <w:bCs/>
              </w:rPr>
              <w:t xml:space="preserve">Collaborating </w:t>
            </w:r>
            <w:r w:rsidRPr="00E55BDE" w:rsidR="00552887">
              <w:rPr>
                <w:b/>
                <w:bCs/>
              </w:rPr>
              <w:t>jurisdictions</w:t>
            </w:r>
            <w:r w:rsidR="0046780F">
              <w:rPr>
                <w:b/>
                <w:bCs/>
              </w:rPr>
              <w:t>, Cycle 4, 2019 - 20</w:t>
            </w:r>
            <w:r w:rsidR="003E3DFB">
              <w:rPr>
                <w:b/>
                <w:bCs/>
              </w:rPr>
              <w:t>2</w:t>
            </w:r>
            <w:r w:rsidR="0046780F">
              <w:rPr>
                <w:b/>
                <w:bCs/>
              </w:rPr>
              <w:t>4</w:t>
            </w:r>
          </w:p>
        </w:tc>
        <w:tc>
          <w:tcPr>
            <w:tcW w:w="4567" w:type="dxa"/>
          </w:tcPr>
          <w:p w:rsidR="00334E5D" w:rsidRPr="00E55BDE" w:rsidP="00552887" w14:paraId="0C64631C" w14:textId="5A238ED0">
            <w:pPr>
              <w:spacing w:before="120"/>
              <w:jc w:val="center"/>
              <w:rPr>
                <w:b/>
                <w:bCs/>
              </w:rPr>
            </w:pPr>
            <w:r w:rsidRPr="00E55BDE">
              <w:rPr>
                <w:b/>
                <w:bCs/>
              </w:rPr>
              <w:t xml:space="preserve">Participating </w:t>
            </w:r>
            <w:r w:rsidR="00513098">
              <w:rPr>
                <w:b/>
                <w:bCs/>
              </w:rPr>
              <w:t>STI</w:t>
            </w:r>
            <w:r w:rsidRPr="00E55BDE" w:rsidR="00552887">
              <w:rPr>
                <w:b/>
                <w:bCs/>
              </w:rPr>
              <w:t xml:space="preserve"> Clinics</w:t>
            </w:r>
          </w:p>
        </w:tc>
        <w:tc>
          <w:tcPr>
            <w:tcW w:w="2070" w:type="dxa"/>
          </w:tcPr>
          <w:p w:rsidR="00334E5D" w:rsidRPr="00E55BDE" w:rsidP="001F1C0C" w14:paraId="023AD276" w14:textId="77777777">
            <w:pPr>
              <w:spacing w:before="120"/>
              <w:jc w:val="center"/>
              <w:rPr>
                <w:b/>
                <w:bCs/>
              </w:rPr>
            </w:pPr>
            <w:r w:rsidRPr="00E55BDE">
              <w:rPr>
                <w:b/>
                <w:bCs/>
              </w:rPr>
              <w:t>Total No. of Clinic Data Managers abstracting data</w:t>
            </w:r>
          </w:p>
        </w:tc>
        <w:tc>
          <w:tcPr>
            <w:tcW w:w="1980" w:type="dxa"/>
          </w:tcPr>
          <w:p w:rsidR="00334E5D" w:rsidRPr="00E55BDE" w:rsidP="001F1C0C" w14:paraId="25A8AF91" w14:textId="212AA585">
            <w:pPr>
              <w:spacing w:before="120"/>
              <w:jc w:val="center"/>
              <w:rPr>
                <w:b/>
                <w:bCs/>
              </w:rPr>
            </w:pPr>
            <w:r w:rsidRPr="00E55BDE">
              <w:rPr>
                <w:b/>
                <w:bCs/>
              </w:rPr>
              <w:t xml:space="preserve">Estimated # </w:t>
            </w:r>
            <w:r w:rsidR="00513098">
              <w:rPr>
                <w:b/>
                <w:bCs/>
              </w:rPr>
              <w:t>STI</w:t>
            </w:r>
            <w:r w:rsidRPr="00E55BDE">
              <w:rPr>
                <w:b/>
                <w:bCs/>
              </w:rPr>
              <w:t xml:space="preserve"> patient visits/year</w:t>
            </w:r>
          </w:p>
        </w:tc>
      </w:tr>
      <w:tr w14:paraId="69DE62AA" w14:textId="77777777" w:rsidTr="00A43FC5">
        <w:tblPrEx>
          <w:tblW w:w="10350" w:type="dxa"/>
          <w:tblInd w:w="-365" w:type="dxa"/>
          <w:tblLayout w:type="fixed"/>
          <w:tblLook w:val="01E0"/>
        </w:tblPrEx>
        <w:tc>
          <w:tcPr>
            <w:tcW w:w="1733" w:type="dxa"/>
          </w:tcPr>
          <w:p w:rsidR="00334E5D" w:rsidRPr="00E55BDE" w14:paraId="3039C099" w14:textId="77777777">
            <w:pPr>
              <w:spacing w:before="120"/>
            </w:pPr>
            <w:r w:rsidRPr="00E55BDE">
              <w:t>Baltimore City Health Department</w:t>
            </w:r>
          </w:p>
        </w:tc>
        <w:tc>
          <w:tcPr>
            <w:tcW w:w="4567" w:type="dxa"/>
          </w:tcPr>
          <w:p w:rsidR="00334E5D" w:rsidRPr="00E55BDE" w:rsidP="00334E5D" w14:paraId="329E707F" w14:textId="05853A50">
            <w:pPr>
              <w:spacing w:before="120"/>
            </w:pPr>
            <w:r w:rsidRPr="00E55BDE">
              <w:t>Druid</w:t>
            </w:r>
            <w:r w:rsidR="000A613B">
              <w:t xml:space="preserve"> Clinic</w:t>
            </w:r>
            <w:r w:rsidRPr="00E55BDE">
              <w:t>, Eastern</w:t>
            </w:r>
            <w:r w:rsidR="000A613B">
              <w:t xml:space="preserve"> Clinic</w:t>
            </w:r>
          </w:p>
        </w:tc>
        <w:tc>
          <w:tcPr>
            <w:tcW w:w="2070" w:type="dxa"/>
          </w:tcPr>
          <w:p w:rsidR="00334E5D" w:rsidRPr="00E55BDE" w:rsidP="001F1C0C" w14:paraId="034E737C" w14:textId="77777777">
            <w:pPr>
              <w:spacing w:before="120"/>
              <w:jc w:val="center"/>
            </w:pPr>
            <w:r w:rsidRPr="00E55BDE">
              <w:t>1</w:t>
            </w:r>
          </w:p>
        </w:tc>
        <w:tc>
          <w:tcPr>
            <w:tcW w:w="1980" w:type="dxa"/>
          </w:tcPr>
          <w:p w:rsidR="00334E5D" w:rsidRPr="00E55BDE" w:rsidP="004D050C" w14:paraId="73B10A20" w14:textId="5C2EC34A">
            <w:pPr>
              <w:spacing w:before="120"/>
              <w:jc w:val="center"/>
            </w:pPr>
            <w:r>
              <w:t>10,000</w:t>
            </w:r>
          </w:p>
        </w:tc>
      </w:tr>
      <w:tr w14:paraId="09057EDD" w14:textId="77777777" w:rsidTr="00A43FC5">
        <w:tblPrEx>
          <w:tblW w:w="10350" w:type="dxa"/>
          <w:tblInd w:w="-365" w:type="dxa"/>
          <w:tblLayout w:type="fixed"/>
          <w:tblLook w:val="01E0"/>
        </w:tblPrEx>
        <w:tc>
          <w:tcPr>
            <w:tcW w:w="1733" w:type="dxa"/>
          </w:tcPr>
          <w:p w:rsidR="00334E5D" w:rsidRPr="00E55BDE" w14:paraId="137BFA0A" w14:textId="77777777">
            <w:pPr>
              <w:spacing w:before="120"/>
            </w:pPr>
            <w:r w:rsidRPr="00E55BDE">
              <w:t>California Department of Public Health</w:t>
            </w:r>
          </w:p>
        </w:tc>
        <w:tc>
          <w:tcPr>
            <w:tcW w:w="4567" w:type="dxa"/>
          </w:tcPr>
          <w:p w:rsidR="00334E5D" w:rsidRPr="00E55BDE" w:rsidP="00334E5D" w14:paraId="163402CA" w14:textId="0906D450">
            <w:pPr>
              <w:spacing w:before="120"/>
            </w:pPr>
            <w:r w:rsidRPr="00FF6D5D">
              <w:t>17th Street Testing,</w:t>
            </w:r>
            <w:r w:rsidR="003A2174">
              <w:t xml:space="preserve"> </w:t>
            </w:r>
            <w:r w:rsidRPr="00FF6D5D">
              <w:t>Treatment, and Care Clinic (Orange County)</w:t>
            </w:r>
          </w:p>
        </w:tc>
        <w:tc>
          <w:tcPr>
            <w:tcW w:w="2070" w:type="dxa"/>
          </w:tcPr>
          <w:p w:rsidR="00334E5D" w:rsidRPr="00E55BDE" w:rsidP="001F1C0C" w14:paraId="645BB8DA" w14:textId="77777777">
            <w:pPr>
              <w:spacing w:before="120"/>
              <w:jc w:val="center"/>
            </w:pPr>
            <w:r w:rsidRPr="00E55BDE">
              <w:t>1</w:t>
            </w:r>
          </w:p>
        </w:tc>
        <w:tc>
          <w:tcPr>
            <w:tcW w:w="1980" w:type="dxa"/>
          </w:tcPr>
          <w:p w:rsidR="00334E5D" w:rsidRPr="00E55BDE" w:rsidP="00FF6D5D" w14:paraId="2DCF6940" w14:textId="660BC026">
            <w:pPr>
              <w:spacing w:before="120"/>
              <w:jc w:val="center"/>
            </w:pPr>
            <w:r>
              <w:t>8691</w:t>
            </w:r>
          </w:p>
        </w:tc>
      </w:tr>
      <w:tr w14:paraId="0093870C" w14:textId="77777777" w:rsidTr="00A43FC5">
        <w:tblPrEx>
          <w:tblW w:w="10350" w:type="dxa"/>
          <w:tblInd w:w="-365" w:type="dxa"/>
          <w:tblLayout w:type="fixed"/>
          <w:tblLook w:val="01E0"/>
        </w:tblPrEx>
        <w:tc>
          <w:tcPr>
            <w:tcW w:w="1733" w:type="dxa"/>
          </w:tcPr>
          <w:p w:rsidR="00334E5D" w:rsidRPr="00E55BDE" w14:paraId="32E0AA1F" w14:textId="77777777">
            <w:pPr>
              <w:spacing w:before="120"/>
            </w:pPr>
            <w:r w:rsidRPr="00E55BDE">
              <w:t>Florida Department of Health</w:t>
            </w:r>
          </w:p>
        </w:tc>
        <w:tc>
          <w:tcPr>
            <w:tcW w:w="4567" w:type="dxa"/>
          </w:tcPr>
          <w:p w:rsidR="00FF6D5D" w:rsidRPr="00745A96" w:rsidP="00745A96" w14:paraId="23905A5D" w14:textId="6C8E07FC">
            <w:pPr>
              <w:spacing w:before="120"/>
              <w:rPr>
                <w:color w:val="000000"/>
              </w:rPr>
            </w:pPr>
            <w:r w:rsidRPr="003A2174">
              <w:t xml:space="preserve">Miami-Dade </w:t>
            </w:r>
            <w:r w:rsidR="00513098">
              <w:t>STI</w:t>
            </w:r>
            <w:r w:rsidRPr="003A2174">
              <w:t xml:space="preserve"> Clinic</w:t>
            </w:r>
            <w:r w:rsidRPr="003A2174">
              <w:t xml:space="preserve">, </w:t>
            </w:r>
            <w:r w:rsidRPr="00745A96">
              <w:rPr>
                <w:color w:val="000000"/>
              </w:rPr>
              <w:t xml:space="preserve">Escambia </w:t>
            </w:r>
            <w:r w:rsidR="00513098">
              <w:rPr>
                <w:color w:val="000000"/>
              </w:rPr>
              <w:t>STI</w:t>
            </w:r>
            <w:r w:rsidRPr="00745A96">
              <w:rPr>
                <w:color w:val="000000"/>
              </w:rPr>
              <w:t xml:space="preserve"> Clinic (Pensacola) and Leon County </w:t>
            </w:r>
            <w:r w:rsidR="00513098">
              <w:rPr>
                <w:color w:val="000000"/>
              </w:rPr>
              <w:t>STI</w:t>
            </w:r>
            <w:r w:rsidRPr="00745A96">
              <w:rPr>
                <w:color w:val="000000"/>
              </w:rPr>
              <w:t xml:space="preserve"> Clinic (Tallahassee)</w:t>
            </w:r>
          </w:p>
          <w:p w:rsidR="00FF6D5D" w:rsidRPr="00745A96" w:rsidP="00745A96" w14:paraId="74748585" w14:textId="5690399C">
            <w:pPr>
              <w:spacing w:before="120"/>
              <w:rPr>
                <w:color w:val="000000"/>
              </w:rPr>
            </w:pPr>
          </w:p>
          <w:p w:rsidR="00334E5D" w:rsidRPr="00E55BDE" w:rsidP="00334E5D" w14:paraId="6FEB25D3" w14:textId="79DF2CE5">
            <w:pPr>
              <w:spacing w:before="120"/>
            </w:pPr>
          </w:p>
        </w:tc>
        <w:tc>
          <w:tcPr>
            <w:tcW w:w="2070" w:type="dxa"/>
          </w:tcPr>
          <w:p w:rsidR="00334E5D" w:rsidRPr="00E55BDE" w:rsidP="001F1C0C" w14:paraId="2B170332" w14:textId="6BD76FC2">
            <w:pPr>
              <w:spacing w:before="120"/>
              <w:jc w:val="center"/>
            </w:pPr>
            <w:r>
              <w:t>1</w:t>
            </w:r>
          </w:p>
        </w:tc>
        <w:tc>
          <w:tcPr>
            <w:tcW w:w="1980" w:type="dxa"/>
          </w:tcPr>
          <w:p w:rsidR="00334E5D" w:rsidRPr="00E55BDE" w:rsidP="004D050C" w14:paraId="2CE24C3D" w14:textId="42E74C47">
            <w:pPr>
              <w:spacing w:before="120"/>
              <w:jc w:val="center"/>
            </w:pPr>
            <w:r>
              <w:t>15,000</w:t>
            </w:r>
          </w:p>
        </w:tc>
      </w:tr>
      <w:tr w14:paraId="521EB0F2" w14:textId="77777777" w:rsidTr="00A43FC5">
        <w:tblPrEx>
          <w:tblW w:w="10350" w:type="dxa"/>
          <w:tblInd w:w="-365" w:type="dxa"/>
          <w:tblLayout w:type="fixed"/>
          <w:tblLook w:val="01E0"/>
        </w:tblPrEx>
        <w:tc>
          <w:tcPr>
            <w:tcW w:w="1733" w:type="dxa"/>
          </w:tcPr>
          <w:p w:rsidR="00334E5D" w:rsidRPr="00E55BDE" w14:paraId="36B08464" w14:textId="3E6621BA">
            <w:pPr>
              <w:spacing w:before="120"/>
            </w:pPr>
            <w:r>
              <w:t xml:space="preserve"> City of Columbus Public Health</w:t>
            </w:r>
          </w:p>
        </w:tc>
        <w:tc>
          <w:tcPr>
            <w:tcW w:w="4567" w:type="dxa"/>
          </w:tcPr>
          <w:p w:rsidR="00334E5D" w:rsidRPr="00E55BDE" w:rsidP="00334E5D" w14:paraId="2CD3D08A" w14:textId="047DF344">
            <w:pPr>
              <w:spacing w:before="120"/>
            </w:pPr>
            <w:r>
              <w:t xml:space="preserve"> </w:t>
            </w:r>
            <w:r w:rsidRPr="00B2501D">
              <w:t>CPH Sexual Health Clinic (Columbus, OH)</w:t>
            </w:r>
          </w:p>
        </w:tc>
        <w:tc>
          <w:tcPr>
            <w:tcW w:w="2070" w:type="dxa"/>
          </w:tcPr>
          <w:p w:rsidR="00334E5D" w:rsidRPr="00E55BDE" w:rsidP="001F1C0C" w14:paraId="54F405C3" w14:textId="6EEA21BC">
            <w:pPr>
              <w:spacing w:before="120"/>
              <w:jc w:val="center"/>
            </w:pPr>
            <w:r>
              <w:t>1</w:t>
            </w:r>
          </w:p>
        </w:tc>
        <w:tc>
          <w:tcPr>
            <w:tcW w:w="1980" w:type="dxa"/>
          </w:tcPr>
          <w:p w:rsidR="00334E5D" w:rsidRPr="00E55BDE" w:rsidP="004D050C" w14:paraId="308DFC8E" w14:textId="271D25AE">
            <w:pPr>
              <w:spacing w:before="120"/>
              <w:jc w:val="center"/>
            </w:pPr>
            <w:r>
              <w:t>9,200</w:t>
            </w:r>
          </w:p>
        </w:tc>
      </w:tr>
      <w:tr w14:paraId="42FAD785" w14:textId="77777777" w:rsidTr="00A43FC5">
        <w:tblPrEx>
          <w:tblW w:w="10350" w:type="dxa"/>
          <w:tblInd w:w="-365" w:type="dxa"/>
          <w:tblLayout w:type="fixed"/>
          <w:tblLook w:val="01E0"/>
        </w:tblPrEx>
        <w:tc>
          <w:tcPr>
            <w:tcW w:w="1733" w:type="dxa"/>
          </w:tcPr>
          <w:p w:rsidR="00B2501D" w:rsidRPr="00E55BDE" w14:paraId="7E771A30" w14:textId="243B4BC5">
            <w:pPr>
              <w:spacing w:before="120"/>
            </w:pPr>
            <w:r>
              <w:t>Indiana Department of Health</w:t>
            </w:r>
          </w:p>
        </w:tc>
        <w:tc>
          <w:tcPr>
            <w:tcW w:w="4567" w:type="dxa"/>
          </w:tcPr>
          <w:p w:rsidR="00334E5D" w:rsidRPr="00E55BDE" w:rsidP="00334E5D" w14:paraId="3A34A151" w14:textId="11D689F4">
            <w:r>
              <w:t>Bell Flower Clinic</w:t>
            </w:r>
          </w:p>
        </w:tc>
        <w:tc>
          <w:tcPr>
            <w:tcW w:w="2070" w:type="dxa"/>
          </w:tcPr>
          <w:p w:rsidR="00334E5D" w:rsidRPr="00E55BDE" w:rsidP="001F1C0C" w14:paraId="101D8043" w14:textId="6E7710C2">
            <w:pPr>
              <w:spacing w:before="120"/>
              <w:jc w:val="center"/>
            </w:pPr>
            <w:r>
              <w:t>1</w:t>
            </w:r>
          </w:p>
        </w:tc>
        <w:tc>
          <w:tcPr>
            <w:tcW w:w="1980" w:type="dxa"/>
          </w:tcPr>
          <w:p w:rsidR="00334E5D" w:rsidP="004D050C" w14:paraId="52DB755D" w14:textId="68CAC860">
            <w:pPr>
              <w:spacing w:before="120"/>
              <w:jc w:val="center"/>
            </w:pPr>
            <w:r>
              <w:t>10,000</w:t>
            </w:r>
          </w:p>
          <w:p w:rsidR="00B2501D" w:rsidRPr="00E55BDE" w:rsidP="004D050C" w14:paraId="56CE4A07" w14:textId="6383D050">
            <w:pPr>
              <w:spacing w:before="120"/>
              <w:jc w:val="center"/>
            </w:pPr>
          </w:p>
        </w:tc>
      </w:tr>
      <w:tr w14:paraId="3FFC4672" w14:textId="77777777" w:rsidTr="00A43FC5">
        <w:tblPrEx>
          <w:tblW w:w="10350" w:type="dxa"/>
          <w:tblInd w:w="-365" w:type="dxa"/>
          <w:tblLayout w:type="fixed"/>
          <w:tblLook w:val="01E0"/>
        </w:tblPrEx>
        <w:tc>
          <w:tcPr>
            <w:tcW w:w="1733" w:type="dxa"/>
          </w:tcPr>
          <w:p w:rsidR="00334E5D" w:rsidRPr="00E55BDE" w14:paraId="2C2ACF27" w14:textId="77777777">
            <w:pPr>
              <w:spacing w:before="120"/>
            </w:pPr>
            <w:r w:rsidRPr="00E55BDE">
              <w:t>Multnomah County Health Department</w:t>
            </w:r>
          </w:p>
        </w:tc>
        <w:tc>
          <w:tcPr>
            <w:tcW w:w="4567" w:type="dxa"/>
          </w:tcPr>
          <w:p w:rsidR="00334E5D" w:rsidRPr="00E55BDE" w:rsidP="00334E5D" w14:paraId="0159C9BD" w14:textId="1FD531AE">
            <w:pPr>
              <w:spacing w:before="120"/>
            </w:pPr>
            <w:r w:rsidRPr="00E55BDE">
              <w:t>Multnomah</w:t>
            </w:r>
            <w:r w:rsidR="00B2501D">
              <w:t xml:space="preserve"> County</w:t>
            </w:r>
            <w:r w:rsidRPr="00E55BDE">
              <w:t xml:space="preserve"> </w:t>
            </w:r>
            <w:r w:rsidR="00513098">
              <w:t>STI</w:t>
            </w:r>
            <w:r w:rsidRPr="00E55BDE">
              <w:t xml:space="preserve"> Clinic</w:t>
            </w:r>
          </w:p>
        </w:tc>
        <w:tc>
          <w:tcPr>
            <w:tcW w:w="2070" w:type="dxa"/>
          </w:tcPr>
          <w:p w:rsidR="00334E5D" w:rsidRPr="00E55BDE" w:rsidP="001F1C0C" w14:paraId="6C9CFE78" w14:textId="77777777">
            <w:pPr>
              <w:spacing w:before="120"/>
              <w:jc w:val="center"/>
            </w:pPr>
            <w:r w:rsidRPr="00E55BDE">
              <w:t>1</w:t>
            </w:r>
          </w:p>
        </w:tc>
        <w:tc>
          <w:tcPr>
            <w:tcW w:w="1980" w:type="dxa"/>
          </w:tcPr>
          <w:p w:rsidR="00334E5D" w:rsidRPr="00E55BDE" w:rsidP="00B2501D" w14:paraId="5DDB453E" w14:textId="46760C47">
            <w:pPr>
              <w:spacing w:before="120"/>
              <w:jc w:val="center"/>
            </w:pPr>
            <w:r w:rsidRPr="00E55BDE">
              <w:t>5,</w:t>
            </w:r>
            <w:r w:rsidR="00B2501D">
              <w:t>384</w:t>
            </w:r>
          </w:p>
        </w:tc>
      </w:tr>
      <w:tr w14:paraId="2E533EC6" w14:textId="77777777" w:rsidTr="00A43FC5">
        <w:tblPrEx>
          <w:tblW w:w="10350" w:type="dxa"/>
          <w:tblInd w:w="-365" w:type="dxa"/>
          <w:tblLayout w:type="fixed"/>
          <w:tblLook w:val="01E0"/>
        </w:tblPrEx>
        <w:tc>
          <w:tcPr>
            <w:tcW w:w="1733" w:type="dxa"/>
          </w:tcPr>
          <w:p w:rsidR="00334E5D" w:rsidRPr="00E55BDE" w14:paraId="4C2764F8" w14:textId="77777777">
            <w:pPr>
              <w:spacing w:before="120"/>
            </w:pPr>
            <w:r w:rsidRPr="00E55BDE">
              <w:t>New York City Department of Health &amp; Mental Hygiene</w:t>
            </w:r>
          </w:p>
        </w:tc>
        <w:tc>
          <w:tcPr>
            <w:tcW w:w="4567" w:type="dxa"/>
          </w:tcPr>
          <w:p w:rsidR="00334E5D" w:rsidRPr="00E55BDE" w:rsidP="00B2501D" w14:paraId="1E596AF8" w14:textId="3564163C">
            <w:pPr>
              <w:spacing w:before="120"/>
            </w:pPr>
            <w:r w:rsidRPr="00E55BDE">
              <w:t>Fort Greene</w:t>
            </w:r>
            <w:r w:rsidR="00B2501D">
              <w:t xml:space="preserve"> Sexual Health Clinic, Riverside Sexual Health Clinic</w:t>
            </w:r>
          </w:p>
        </w:tc>
        <w:tc>
          <w:tcPr>
            <w:tcW w:w="2070" w:type="dxa"/>
          </w:tcPr>
          <w:p w:rsidR="00334E5D" w:rsidRPr="00E55BDE" w:rsidP="001F1C0C" w14:paraId="67695CA5" w14:textId="5BB5DBEE">
            <w:pPr>
              <w:spacing w:before="120"/>
              <w:jc w:val="center"/>
            </w:pPr>
            <w:r>
              <w:t>1</w:t>
            </w:r>
          </w:p>
        </w:tc>
        <w:tc>
          <w:tcPr>
            <w:tcW w:w="1980" w:type="dxa"/>
          </w:tcPr>
          <w:p w:rsidR="00334E5D" w:rsidRPr="00E55BDE" w:rsidP="004D050C" w14:paraId="50141AC1" w14:textId="6AC31505">
            <w:pPr>
              <w:spacing w:before="120"/>
              <w:jc w:val="center"/>
            </w:pPr>
            <w:r>
              <w:t>25,384</w:t>
            </w:r>
          </w:p>
        </w:tc>
      </w:tr>
      <w:tr w14:paraId="15AFBA89" w14:textId="77777777" w:rsidTr="00A43FC5">
        <w:tblPrEx>
          <w:tblW w:w="10350" w:type="dxa"/>
          <w:tblInd w:w="-365" w:type="dxa"/>
          <w:tblLayout w:type="fixed"/>
          <w:tblLook w:val="01E0"/>
        </w:tblPrEx>
        <w:tc>
          <w:tcPr>
            <w:tcW w:w="1733" w:type="dxa"/>
          </w:tcPr>
          <w:p w:rsidR="00334E5D" w:rsidRPr="00E55BDE" w14:paraId="4A9BF18B" w14:textId="77777777">
            <w:pPr>
              <w:spacing w:before="120"/>
            </w:pPr>
            <w:r w:rsidRPr="00E55BDE">
              <w:t>Philadelphia Department of Public Health</w:t>
            </w:r>
          </w:p>
        </w:tc>
        <w:tc>
          <w:tcPr>
            <w:tcW w:w="4567" w:type="dxa"/>
          </w:tcPr>
          <w:p w:rsidR="00334E5D" w:rsidRPr="00E55BDE" w:rsidP="00B2501D" w14:paraId="5B8E4380" w14:textId="4C61FA1F">
            <w:pPr>
              <w:spacing w:before="120"/>
            </w:pPr>
            <w:r w:rsidRPr="00E55BDE">
              <w:t xml:space="preserve">Philadelphia Health </w:t>
            </w:r>
            <w:r w:rsidR="00B2501D">
              <w:t>Center</w:t>
            </w:r>
            <w:r w:rsidRPr="00E55BDE" w:rsidR="00B2501D">
              <w:t xml:space="preserve"> </w:t>
            </w:r>
            <w:r w:rsidRPr="00E55BDE">
              <w:t># 1</w:t>
            </w:r>
          </w:p>
        </w:tc>
        <w:tc>
          <w:tcPr>
            <w:tcW w:w="2070" w:type="dxa"/>
          </w:tcPr>
          <w:p w:rsidR="00334E5D" w:rsidRPr="00E55BDE" w:rsidP="001F1C0C" w14:paraId="7BC075D0" w14:textId="2362F8C5">
            <w:pPr>
              <w:spacing w:before="120"/>
              <w:jc w:val="center"/>
            </w:pPr>
            <w:r>
              <w:t>1</w:t>
            </w:r>
          </w:p>
        </w:tc>
        <w:tc>
          <w:tcPr>
            <w:tcW w:w="1980" w:type="dxa"/>
          </w:tcPr>
          <w:p w:rsidR="00334E5D" w:rsidP="004D050C" w14:paraId="53CA9B1B" w14:textId="26EE6520">
            <w:pPr>
              <w:spacing w:before="120"/>
              <w:jc w:val="center"/>
            </w:pPr>
            <w:r>
              <w:t>21</w:t>
            </w:r>
            <w:r w:rsidR="00B2501D">
              <w:t>,000</w:t>
            </w:r>
          </w:p>
          <w:p w:rsidR="00B2501D" w:rsidRPr="00E55BDE" w:rsidP="004D050C" w14:paraId="2174B77B" w14:textId="51AF793B">
            <w:pPr>
              <w:spacing w:before="120"/>
              <w:jc w:val="center"/>
            </w:pPr>
          </w:p>
        </w:tc>
      </w:tr>
      <w:tr w14:paraId="7FCF035C" w14:textId="77777777" w:rsidTr="00A43FC5">
        <w:tblPrEx>
          <w:tblW w:w="10350" w:type="dxa"/>
          <w:tblInd w:w="-365" w:type="dxa"/>
          <w:tblLayout w:type="fixed"/>
          <w:tblLook w:val="01E0"/>
        </w:tblPrEx>
        <w:tc>
          <w:tcPr>
            <w:tcW w:w="1733" w:type="dxa"/>
          </w:tcPr>
          <w:p w:rsidR="00334E5D" w:rsidRPr="00E55BDE" w14:paraId="1193CCE0" w14:textId="77777777">
            <w:pPr>
              <w:spacing w:before="120"/>
            </w:pPr>
            <w:r w:rsidRPr="00E55BDE">
              <w:t>San Francisco Department of Public Health</w:t>
            </w:r>
          </w:p>
        </w:tc>
        <w:tc>
          <w:tcPr>
            <w:tcW w:w="4567" w:type="dxa"/>
          </w:tcPr>
          <w:p w:rsidR="00334E5D" w:rsidRPr="00E55BDE" w:rsidP="00334E5D" w14:paraId="6E275C34" w14:textId="50DF9FAD">
            <w:pPr>
              <w:spacing w:before="120"/>
            </w:pPr>
            <w:r w:rsidRPr="00E55BDE">
              <w:t xml:space="preserve">SF City </w:t>
            </w:r>
            <w:r w:rsidR="00513098">
              <w:t>STI</w:t>
            </w:r>
            <w:r w:rsidRPr="00E55BDE">
              <w:t xml:space="preserve"> Clinic</w:t>
            </w:r>
          </w:p>
        </w:tc>
        <w:tc>
          <w:tcPr>
            <w:tcW w:w="2070" w:type="dxa"/>
          </w:tcPr>
          <w:p w:rsidR="00334E5D" w:rsidRPr="00E55BDE" w:rsidP="001F1C0C" w14:paraId="770924E2" w14:textId="77777777">
            <w:pPr>
              <w:spacing w:before="120"/>
              <w:jc w:val="center"/>
            </w:pPr>
            <w:r w:rsidRPr="00E55BDE">
              <w:t>1</w:t>
            </w:r>
          </w:p>
        </w:tc>
        <w:tc>
          <w:tcPr>
            <w:tcW w:w="1980" w:type="dxa"/>
          </w:tcPr>
          <w:p w:rsidR="00334E5D" w:rsidRPr="00E55BDE" w:rsidP="001F1C0C" w14:paraId="34D8E4D1" w14:textId="78B32835">
            <w:pPr>
              <w:spacing w:before="120"/>
              <w:jc w:val="center"/>
            </w:pPr>
            <w:r w:rsidRPr="00E55BDE">
              <w:t>1</w:t>
            </w:r>
            <w:r w:rsidR="00B2501D">
              <w:t>7</w:t>
            </w:r>
            <w:r w:rsidRPr="00E55BDE">
              <w:t>,</w:t>
            </w:r>
            <w:r w:rsidR="00B04712">
              <w:t>107</w:t>
            </w:r>
          </w:p>
        </w:tc>
      </w:tr>
      <w:tr w14:paraId="2E1B321A" w14:textId="77777777" w:rsidTr="00A43FC5">
        <w:tblPrEx>
          <w:tblW w:w="10350" w:type="dxa"/>
          <w:tblInd w:w="-365" w:type="dxa"/>
          <w:tblLayout w:type="fixed"/>
          <w:tblLook w:val="01E0"/>
        </w:tblPrEx>
        <w:trPr>
          <w:trHeight w:val="1137"/>
        </w:trPr>
        <w:tc>
          <w:tcPr>
            <w:tcW w:w="1733" w:type="dxa"/>
          </w:tcPr>
          <w:p w:rsidR="00B2501D" w:rsidRPr="00E55BDE" w14:paraId="20CFC16A" w14:textId="3BDE9B03">
            <w:pPr>
              <w:spacing w:before="120"/>
            </w:pPr>
            <w:r>
              <w:t>Utah Department of Public Health</w:t>
            </w:r>
          </w:p>
        </w:tc>
        <w:tc>
          <w:tcPr>
            <w:tcW w:w="4567" w:type="dxa"/>
          </w:tcPr>
          <w:p w:rsidR="00B2501D" w:rsidRPr="00E55BDE" w:rsidP="00334E5D" w14:paraId="5D3BCD6F" w14:textId="2DFD83EB">
            <w:pPr>
              <w:spacing w:before="120"/>
            </w:pPr>
            <w:r>
              <w:t xml:space="preserve">Salt Lake County </w:t>
            </w:r>
            <w:r w:rsidR="00513098">
              <w:t>STI</w:t>
            </w:r>
            <w:r>
              <w:t>/HIV Clinic</w:t>
            </w:r>
          </w:p>
        </w:tc>
        <w:tc>
          <w:tcPr>
            <w:tcW w:w="2070" w:type="dxa"/>
          </w:tcPr>
          <w:p w:rsidR="00B2501D" w:rsidRPr="00E55BDE" w:rsidP="001F1C0C" w14:paraId="5A44F191" w14:textId="0139FD11">
            <w:pPr>
              <w:spacing w:before="120"/>
              <w:jc w:val="center"/>
            </w:pPr>
            <w:r>
              <w:t>1</w:t>
            </w:r>
          </w:p>
        </w:tc>
        <w:tc>
          <w:tcPr>
            <w:tcW w:w="1980" w:type="dxa"/>
          </w:tcPr>
          <w:p w:rsidR="00B2501D" w:rsidRPr="00E55BDE" w:rsidP="004D050C" w14:paraId="21F42424" w14:textId="462950E5">
            <w:pPr>
              <w:spacing w:before="120"/>
              <w:jc w:val="center"/>
            </w:pPr>
            <w:r>
              <w:t>6,160</w:t>
            </w:r>
          </w:p>
        </w:tc>
      </w:tr>
      <w:tr w14:paraId="68CFD95F" w14:textId="77777777" w:rsidTr="00A43FC5">
        <w:tblPrEx>
          <w:tblW w:w="10350" w:type="dxa"/>
          <w:tblInd w:w="-365" w:type="dxa"/>
          <w:tblLayout w:type="fixed"/>
          <w:tblLook w:val="01E0"/>
        </w:tblPrEx>
        <w:trPr>
          <w:trHeight w:val="1137"/>
        </w:trPr>
        <w:tc>
          <w:tcPr>
            <w:tcW w:w="1733" w:type="dxa"/>
          </w:tcPr>
          <w:p w:rsidR="00334E5D" w:rsidRPr="00E55BDE" w14:paraId="43C0CDAB" w14:textId="77777777">
            <w:pPr>
              <w:spacing w:before="120"/>
            </w:pPr>
            <w:r w:rsidRPr="00E55BDE">
              <w:t>Washington State Department of Health</w:t>
            </w:r>
          </w:p>
        </w:tc>
        <w:tc>
          <w:tcPr>
            <w:tcW w:w="4567" w:type="dxa"/>
          </w:tcPr>
          <w:p w:rsidR="00334E5D" w:rsidRPr="00E55BDE" w:rsidP="00334E5D" w14:paraId="569EECAA" w14:textId="71BAA091">
            <w:pPr>
              <w:spacing w:before="120"/>
            </w:pPr>
            <w:r w:rsidRPr="00E55BDE">
              <w:t xml:space="preserve">Harborview </w:t>
            </w:r>
            <w:r w:rsidR="00513098">
              <w:t>STI</w:t>
            </w:r>
            <w:r w:rsidRPr="00E55BDE">
              <w:t xml:space="preserve"> Clinic</w:t>
            </w:r>
          </w:p>
        </w:tc>
        <w:tc>
          <w:tcPr>
            <w:tcW w:w="2070" w:type="dxa"/>
          </w:tcPr>
          <w:p w:rsidR="00334E5D" w:rsidRPr="00E55BDE" w:rsidP="001F1C0C" w14:paraId="29EA23E7" w14:textId="77777777">
            <w:pPr>
              <w:spacing w:before="120"/>
              <w:jc w:val="center"/>
            </w:pPr>
            <w:r w:rsidRPr="00E55BDE">
              <w:t>1</w:t>
            </w:r>
          </w:p>
        </w:tc>
        <w:tc>
          <w:tcPr>
            <w:tcW w:w="1980" w:type="dxa"/>
          </w:tcPr>
          <w:p w:rsidR="00334E5D" w:rsidRPr="00E55BDE" w:rsidP="004D050C" w14:paraId="16702F36" w14:textId="0C1A5F29">
            <w:pPr>
              <w:spacing w:before="120"/>
              <w:jc w:val="center"/>
            </w:pPr>
            <w:r>
              <w:t>12,000</w:t>
            </w:r>
          </w:p>
        </w:tc>
      </w:tr>
      <w:tr w14:paraId="257A6BF5" w14:textId="77777777" w:rsidTr="00A43FC5">
        <w:tblPrEx>
          <w:tblW w:w="10350" w:type="dxa"/>
          <w:tblInd w:w="-365" w:type="dxa"/>
          <w:tblLayout w:type="fixed"/>
          <w:tblLook w:val="01E0"/>
        </w:tblPrEx>
        <w:trPr>
          <w:trHeight w:val="1137"/>
        </w:trPr>
        <w:tc>
          <w:tcPr>
            <w:tcW w:w="1733" w:type="dxa"/>
          </w:tcPr>
          <w:p w:rsidR="001922DB" w:rsidRPr="00E55BDE" w14:paraId="047DE356" w14:textId="11F16912">
            <w:pPr>
              <w:spacing w:before="120"/>
            </w:pPr>
            <w:r>
              <w:t>TBD – future expansion</w:t>
            </w:r>
          </w:p>
        </w:tc>
        <w:tc>
          <w:tcPr>
            <w:tcW w:w="4567" w:type="dxa"/>
          </w:tcPr>
          <w:p w:rsidR="001922DB" w:rsidRPr="00E55BDE" w:rsidP="00334E5D" w14:paraId="6C871210" w14:textId="654F3445">
            <w:pPr>
              <w:spacing w:before="120"/>
            </w:pPr>
            <w:r>
              <w:t>TBD</w:t>
            </w:r>
          </w:p>
        </w:tc>
        <w:tc>
          <w:tcPr>
            <w:tcW w:w="2070" w:type="dxa"/>
          </w:tcPr>
          <w:p w:rsidR="001922DB" w:rsidRPr="00E55BDE" w:rsidP="001F1C0C" w14:paraId="14CCD605" w14:textId="45A796A8">
            <w:pPr>
              <w:spacing w:before="120"/>
              <w:jc w:val="center"/>
            </w:pPr>
            <w:r>
              <w:t>Up to 25</w:t>
            </w:r>
          </w:p>
        </w:tc>
        <w:tc>
          <w:tcPr>
            <w:tcW w:w="1980" w:type="dxa"/>
          </w:tcPr>
          <w:p w:rsidR="001922DB" w:rsidP="004D050C" w14:paraId="113B2801" w14:textId="0A07EC90">
            <w:pPr>
              <w:spacing w:before="120"/>
              <w:jc w:val="center"/>
            </w:pPr>
            <w:r>
              <w:t>TBD</w:t>
            </w:r>
          </w:p>
        </w:tc>
      </w:tr>
      <w:tr w14:paraId="480BBA1E" w14:textId="77777777" w:rsidTr="00A43FC5">
        <w:tblPrEx>
          <w:tblW w:w="10350" w:type="dxa"/>
          <w:tblInd w:w="-365" w:type="dxa"/>
          <w:tblLayout w:type="fixed"/>
          <w:tblLook w:val="01E0"/>
        </w:tblPrEx>
        <w:tc>
          <w:tcPr>
            <w:tcW w:w="1733" w:type="dxa"/>
          </w:tcPr>
          <w:p w:rsidR="00334E5D" w:rsidRPr="00E55BDE" w:rsidP="001F1C0C" w14:paraId="08D2F88B" w14:textId="77777777">
            <w:pPr>
              <w:spacing w:before="120"/>
              <w:rPr>
                <w:b/>
                <w:bCs/>
              </w:rPr>
            </w:pPr>
            <w:r w:rsidRPr="00E55BDE">
              <w:rPr>
                <w:b/>
                <w:bCs/>
              </w:rPr>
              <w:t>Totals</w:t>
            </w:r>
          </w:p>
        </w:tc>
        <w:tc>
          <w:tcPr>
            <w:tcW w:w="4567" w:type="dxa"/>
          </w:tcPr>
          <w:p w:rsidR="00334E5D" w:rsidRPr="00E55BDE" w:rsidP="001F1C0C" w14:paraId="2095969C" w14:textId="2F40790E">
            <w:pPr>
              <w:spacing w:before="120"/>
              <w:jc w:val="center"/>
              <w:rPr>
                <w:b/>
              </w:rPr>
            </w:pPr>
            <w:r>
              <w:rPr>
                <w:b/>
              </w:rPr>
              <w:t>Up to 40</w:t>
            </w:r>
            <w:r w:rsidRPr="00E55BDE">
              <w:rPr>
                <w:b/>
              </w:rPr>
              <w:t xml:space="preserve"> facilities</w:t>
            </w:r>
          </w:p>
        </w:tc>
        <w:tc>
          <w:tcPr>
            <w:tcW w:w="2070" w:type="dxa"/>
          </w:tcPr>
          <w:p w:rsidR="00334E5D" w:rsidRPr="00E55BDE" w:rsidP="001F1C0C" w14:paraId="25BF954C" w14:textId="32D7AA72">
            <w:pPr>
              <w:spacing w:before="120"/>
              <w:jc w:val="center"/>
              <w:rPr>
                <w:b/>
              </w:rPr>
            </w:pPr>
            <w:r>
              <w:rPr>
                <w:b/>
              </w:rPr>
              <w:t>40</w:t>
            </w:r>
          </w:p>
        </w:tc>
        <w:tc>
          <w:tcPr>
            <w:tcW w:w="1980" w:type="dxa"/>
          </w:tcPr>
          <w:p w:rsidR="00B2501D" w:rsidRPr="00E55BDE" w:rsidP="00B2501D" w14:paraId="41CF480C" w14:textId="65A12FEE">
            <w:pPr>
              <w:spacing w:before="120"/>
              <w:jc w:val="center"/>
              <w:rPr>
                <w:b/>
              </w:rPr>
            </w:pPr>
            <w:r>
              <w:rPr>
                <w:b/>
              </w:rPr>
              <w:t>Up to 39</w:t>
            </w:r>
            <w:r w:rsidR="00B04712">
              <w:rPr>
                <w:b/>
              </w:rPr>
              <w:t>5,300</w:t>
            </w:r>
          </w:p>
        </w:tc>
      </w:tr>
    </w:tbl>
    <w:p w:rsidR="0002449C" w:rsidRPr="00010723" w:rsidP="0002449C" w14:paraId="04EFEEDD" w14:textId="77777777">
      <w:pPr>
        <w:spacing w:before="120"/>
        <w:rPr>
          <w:b/>
        </w:rPr>
      </w:pPr>
    </w:p>
    <w:p w:rsidR="00D82839" w:rsidP="00C77DD0" w14:paraId="0F206DA7" w14:textId="77777777">
      <w:pPr>
        <w:spacing w:before="120"/>
        <w:rPr>
          <w:i/>
        </w:rPr>
      </w:pPr>
    </w:p>
    <w:p w:rsidR="00FF3A05" w:rsidRPr="00010723" w:rsidP="00C77DD0" w14:paraId="03AB3F39" w14:textId="73B8AF0D">
      <w:pPr>
        <w:spacing w:before="120"/>
        <w:rPr>
          <w:i/>
        </w:rPr>
      </w:pPr>
      <w:r>
        <w:rPr>
          <w:i/>
        </w:rPr>
        <w:t>Strategy B: Case</w:t>
      </w:r>
      <w:r w:rsidRPr="00010723">
        <w:rPr>
          <w:i/>
        </w:rPr>
        <w:t xml:space="preserve">-based </w:t>
      </w:r>
      <w:r w:rsidR="003A2174">
        <w:rPr>
          <w:i/>
        </w:rPr>
        <w:t xml:space="preserve">enhanced </w:t>
      </w:r>
      <w:r w:rsidR="00063264">
        <w:rPr>
          <w:i/>
        </w:rPr>
        <w:t>gonorrhea</w:t>
      </w:r>
      <w:r>
        <w:rPr>
          <w:i/>
        </w:rPr>
        <w:t xml:space="preserve"> and syphilis</w:t>
      </w:r>
      <w:r w:rsidR="003A2174">
        <w:rPr>
          <w:i/>
        </w:rPr>
        <w:t xml:space="preserve"> </w:t>
      </w:r>
      <w:r w:rsidRPr="00010723">
        <w:rPr>
          <w:i/>
        </w:rPr>
        <w:t>surveillance:</w:t>
      </w:r>
    </w:p>
    <w:p w:rsidR="00937AAC" w:rsidRPr="00010723" w:rsidP="00DC3A0F" w14:paraId="696CB471" w14:textId="7DF29BA6">
      <w:pPr>
        <w:spacing w:before="120"/>
      </w:pPr>
      <w:r w:rsidRPr="001351E5">
        <w:t xml:space="preserve">The respondents for </w:t>
      </w:r>
      <w:r w:rsidRPr="001351E5">
        <w:t>SSuN’s</w:t>
      </w:r>
      <w:r w:rsidRPr="001351E5">
        <w:t xml:space="preserve"> </w:t>
      </w:r>
      <w:r w:rsidR="00891907">
        <w:t>case</w:t>
      </w:r>
      <w:r w:rsidRPr="001351E5">
        <w:t>-</w:t>
      </w:r>
      <w:r w:rsidR="00994BE2">
        <w:t xml:space="preserve">based </w:t>
      </w:r>
      <w:r w:rsidR="00724846">
        <w:t xml:space="preserve">enhanced </w:t>
      </w:r>
      <w:r w:rsidR="00994BE2">
        <w:t>surveillance are</w:t>
      </w:r>
      <w:r w:rsidR="00724846">
        <w:t>;</w:t>
      </w:r>
      <w:r w:rsidR="00994BE2">
        <w:t xml:space="preserve"> (1) </w:t>
      </w:r>
      <w:r w:rsidRPr="001351E5">
        <w:t xml:space="preserve">data managers at the </w:t>
      </w:r>
      <w:r w:rsidRPr="001351E5">
        <w:t>1</w:t>
      </w:r>
      <w:r w:rsidR="00AC70FE">
        <w:t>1</w:t>
      </w:r>
      <w:r w:rsidRPr="001351E5">
        <w:t xml:space="preserve"> collaborating</w:t>
      </w:r>
      <w:r w:rsidRPr="001351E5">
        <w:t xml:space="preserve"> </w:t>
      </w:r>
      <w:r w:rsidR="00724846">
        <w:t>city, county and state health departments</w:t>
      </w:r>
      <w:r w:rsidRPr="001351E5">
        <w:t xml:space="preserve"> (Table B.1.A)</w:t>
      </w:r>
      <w:r w:rsidR="00724846">
        <w:t>,</w:t>
      </w:r>
      <w:r>
        <w:t xml:space="preserve"> and</w:t>
      </w:r>
      <w:r w:rsidR="00817DC9">
        <w:t>,</w:t>
      </w:r>
      <w:r>
        <w:t xml:space="preserve"> (2)</w:t>
      </w:r>
      <w:r w:rsidRPr="001351E5">
        <w:t xml:space="preserve"> persons identified </w:t>
      </w:r>
      <w:r w:rsidRPr="001351E5">
        <w:t>as having</w:t>
      </w:r>
      <w:r w:rsidR="003A2174">
        <w:t xml:space="preserve"> </w:t>
      </w:r>
      <w:r w:rsidRPr="001351E5">
        <w:t>gonorrhea</w:t>
      </w:r>
      <w:r w:rsidR="00D82839">
        <w:t xml:space="preserve"> or syphilis</w:t>
      </w:r>
      <w:r w:rsidRPr="001351E5">
        <w:t xml:space="preserve"> by</w:t>
      </w:r>
      <w:r w:rsidR="00724846">
        <w:t xml:space="preserve"> routine public health</w:t>
      </w:r>
      <w:r w:rsidRPr="001351E5">
        <w:t xml:space="preserve"> case report</w:t>
      </w:r>
      <w:r w:rsidR="00724846">
        <w:t>ing</w:t>
      </w:r>
      <w:r>
        <w:t xml:space="preserve"> </w:t>
      </w:r>
      <w:r w:rsidR="00793F95">
        <w:t>in the participating jurisdictions</w:t>
      </w:r>
      <w:r>
        <w:t xml:space="preserve">. </w:t>
      </w:r>
      <w:r w:rsidRPr="001351E5">
        <w:t xml:space="preserve">From </w:t>
      </w:r>
      <w:r w:rsidR="003A2174">
        <w:t>the universe of persons reported with gonorrhea</w:t>
      </w:r>
      <w:r w:rsidR="00D82839">
        <w:t xml:space="preserve"> or syphilis</w:t>
      </w:r>
      <w:r w:rsidRPr="001351E5">
        <w:t xml:space="preserve">, a </w:t>
      </w:r>
      <w:r w:rsidR="00793F95">
        <w:t xml:space="preserve">probability </w:t>
      </w:r>
      <w:r w:rsidRPr="001351E5">
        <w:t xml:space="preserve">sample </w:t>
      </w:r>
      <w:r w:rsidR="00793F95">
        <w:t>is</w:t>
      </w:r>
      <w:r w:rsidRPr="001351E5">
        <w:t xml:space="preserve"> </w:t>
      </w:r>
      <w:r w:rsidR="003A2174">
        <w:t>selected</w:t>
      </w:r>
      <w:r w:rsidRPr="001351E5">
        <w:t xml:space="preserve"> </w:t>
      </w:r>
      <w:r>
        <w:t xml:space="preserve">for </w:t>
      </w:r>
      <w:r w:rsidR="003A2174">
        <w:t>enhanced investigations</w:t>
      </w:r>
      <w:r w:rsidR="00793F95">
        <w:t>.</w:t>
      </w:r>
      <w:r w:rsidR="003A2174">
        <w:t xml:space="preserve"> </w:t>
      </w:r>
      <w:r w:rsidR="00793F95">
        <w:t xml:space="preserve">Enhanced case investigations include look-back investigations using existing department of health disease registries, clinical information from diagnosing providers and </w:t>
      </w:r>
      <w:r w:rsidR="003A2174">
        <w:t>patient interviews. The initi</w:t>
      </w:r>
      <w:r w:rsidR="00793F95">
        <w:t>al sample size is variable by protocol but</w:t>
      </w:r>
      <w:r w:rsidR="003A2174">
        <w:t xml:space="preserve"> include at</w:t>
      </w:r>
      <w:r w:rsidR="00817DC9">
        <w:t xml:space="preserve"> least</w:t>
      </w:r>
      <w:r>
        <w:t xml:space="preserve"> </w:t>
      </w:r>
      <w:r w:rsidR="00D82839">
        <w:t>7</w:t>
      </w:r>
      <w:r w:rsidR="00817DC9">
        <w:t xml:space="preserve">% of all reported cases </w:t>
      </w:r>
      <w:r w:rsidRPr="001351E5">
        <w:t>(</w:t>
      </w:r>
      <w:r w:rsidR="00793F95">
        <w:t>T</w:t>
      </w:r>
      <w:r w:rsidRPr="001351E5">
        <w:t xml:space="preserve">able B.1.B).  </w:t>
      </w:r>
      <w:r w:rsidRPr="00010723" w:rsidR="00890D55">
        <w:t>Within these 1</w:t>
      </w:r>
      <w:r w:rsidR="00817DC9">
        <w:t>1</w:t>
      </w:r>
      <w:r w:rsidRPr="00010723" w:rsidR="00890D55">
        <w:t xml:space="preserve"> collaborating sites there </w:t>
      </w:r>
      <w:r w:rsidR="004663D2">
        <w:t>is an</w:t>
      </w:r>
      <w:r w:rsidRPr="00010723" w:rsidR="00890D55">
        <w:t xml:space="preserve"> estimated population of </w:t>
      </w:r>
      <w:r w:rsidR="00EB5AAD">
        <w:t>82,170,000</w:t>
      </w:r>
      <w:r w:rsidRPr="00010723" w:rsidR="00890D55">
        <w:t xml:space="preserve"> people (U.S. Census Bureau 20</w:t>
      </w:r>
      <w:r w:rsidR="00EE6CE8">
        <w:t>22</w:t>
      </w:r>
      <w:r w:rsidRPr="00010723" w:rsidR="00890D55">
        <w:t xml:space="preserve">, </w:t>
      </w:r>
      <w:r w:rsidRPr="00687636" w:rsidR="00687636">
        <w:t xml:space="preserve">Annual Estimates of the Resident Population: April 1, </w:t>
      </w:r>
      <w:r w:rsidRPr="00687636" w:rsidR="00687636">
        <w:t>20</w:t>
      </w:r>
      <w:r w:rsidR="00EE6CE8">
        <w:t>20</w:t>
      </w:r>
      <w:r w:rsidRPr="00687636" w:rsidR="00687636">
        <w:t xml:space="preserve"> to July 1, 20</w:t>
      </w:r>
      <w:r w:rsidR="00EE6CE8">
        <w:t>22</w:t>
      </w:r>
      <w:r w:rsidRPr="00010723" w:rsidR="00890D55">
        <w:t>).  In 20</w:t>
      </w:r>
      <w:r w:rsidR="00D82839">
        <w:t>21</w:t>
      </w:r>
      <w:r w:rsidRPr="00010723" w:rsidR="00890D55">
        <w:t xml:space="preserve"> there were there were </w:t>
      </w:r>
      <w:r w:rsidR="00EE6CE8">
        <w:t>212,596</w:t>
      </w:r>
      <w:r w:rsidR="00817DC9">
        <w:t xml:space="preserve"> </w:t>
      </w:r>
      <w:r w:rsidRPr="00010723" w:rsidR="00890D55">
        <w:t>gonorrhea case</w:t>
      </w:r>
      <w:r w:rsidR="00817DC9">
        <w:t>s</w:t>
      </w:r>
      <w:r w:rsidRPr="00010723" w:rsidR="00890D55">
        <w:t xml:space="preserve"> </w:t>
      </w:r>
      <w:r w:rsidR="00395B82">
        <w:t xml:space="preserve">and </w:t>
      </w:r>
      <w:r w:rsidR="00EE6CE8">
        <w:t>67,790</w:t>
      </w:r>
      <w:r w:rsidR="00395B82">
        <w:t xml:space="preserve"> syphilis cases </w:t>
      </w:r>
      <w:r w:rsidRPr="00010723" w:rsidR="00890D55">
        <w:t>report</w:t>
      </w:r>
      <w:r w:rsidR="00817DC9">
        <w:t>ed</w:t>
      </w:r>
      <w:r w:rsidRPr="00010723" w:rsidR="00890D55">
        <w:t xml:space="preserve"> </w:t>
      </w:r>
      <w:r w:rsidR="00793F95">
        <w:t>among</w:t>
      </w:r>
      <w:r w:rsidRPr="00010723" w:rsidR="00890D55">
        <w:t xml:space="preserve"> this population, representing approximately </w:t>
      </w:r>
      <w:r w:rsidR="00C55FF0">
        <w:t>31.</w:t>
      </w:r>
      <w:r w:rsidR="00EE6CE8">
        <w:t>7</w:t>
      </w:r>
      <w:r w:rsidRPr="00010723" w:rsidR="00890D55">
        <w:t xml:space="preserve">% of the national gonorrhea </w:t>
      </w:r>
      <w:r w:rsidR="00395B82">
        <w:t xml:space="preserve">and syphilis </w:t>
      </w:r>
      <w:r w:rsidRPr="00010723" w:rsidR="00890D55">
        <w:t>case reports.</w:t>
      </w:r>
      <w:r w:rsidRPr="00010723" w:rsidR="00517C64">
        <w:t xml:space="preserve">  </w:t>
      </w:r>
      <w:r w:rsidR="00817DC9">
        <w:t xml:space="preserve">Following standardized protocols, </w:t>
      </w:r>
      <w:r w:rsidR="00793F95">
        <w:t xml:space="preserve">trained </w:t>
      </w:r>
      <w:r w:rsidR="00817DC9">
        <w:t>h</w:t>
      </w:r>
      <w:r w:rsidRPr="00010723" w:rsidR="00517C64">
        <w:t>ealth department</w:t>
      </w:r>
      <w:r w:rsidR="00793F95">
        <w:t xml:space="preserve"> staff </w:t>
      </w:r>
      <w:r w:rsidR="00395B82">
        <w:t>contact</w:t>
      </w:r>
      <w:r w:rsidRPr="00010723" w:rsidR="00517C64">
        <w:t xml:space="preserve"> </w:t>
      </w:r>
      <w:r w:rsidRPr="00010723" w:rsidR="00395B82">
        <w:t>randomly selected</w:t>
      </w:r>
      <w:r w:rsidRPr="00010723" w:rsidR="00C90FCF">
        <w:t xml:space="preserve"> </w:t>
      </w:r>
      <w:r w:rsidR="00395B82">
        <w:t>cases</w:t>
      </w:r>
      <w:r w:rsidRPr="00010723" w:rsidR="00C90FCF">
        <w:t xml:space="preserve"> reported with gonorrhea</w:t>
      </w:r>
      <w:r w:rsidR="00395B82">
        <w:t xml:space="preserve"> (and in future, syphilis cases)</w:t>
      </w:r>
      <w:r w:rsidRPr="00010723" w:rsidR="00C90FCF">
        <w:t xml:space="preserve"> </w:t>
      </w:r>
      <w:r w:rsidR="00817DC9">
        <w:t>to</w:t>
      </w:r>
      <w:r w:rsidRPr="00010723" w:rsidR="00C90FCF">
        <w:t xml:space="preserve"> request their participation</w:t>
      </w:r>
      <w:r w:rsidRPr="00010723" w:rsidR="00517C64">
        <w:t xml:space="preserve"> </w:t>
      </w:r>
      <w:r w:rsidR="00817DC9">
        <w:t>in the enhanced surveillance</w:t>
      </w:r>
      <w:r w:rsidRPr="00010723" w:rsidR="00517C64">
        <w:t xml:space="preserve"> interview</w:t>
      </w:r>
      <w:r w:rsidRPr="00010723" w:rsidR="00C90FCF">
        <w:t>.</w:t>
      </w:r>
      <w:r w:rsidR="00817DC9">
        <w:t xml:space="preserve"> Interview completion r</w:t>
      </w:r>
      <w:r w:rsidR="00793F95">
        <w:t xml:space="preserve">ates in </w:t>
      </w:r>
      <w:r w:rsidR="00793F95">
        <w:t>SSuN</w:t>
      </w:r>
      <w:r w:rsidR="00793F95">
        <w:t xml:space="preserve"> have historically varied between </w:t>
      </w:r>
      <w:r w:rsidR="00395B82">
        <w:t>35</w:t>
      </w:r>
      <w:r w:rsidR="00793F95">
        <w:t xml:space="preserve"> and 60%</w:t>
      </w:r>
      <w:r w:rsidR="00817DC9">
        <w:t xml:space="preserve"> of </w:t>
      </w:r>
      <w:r w:rsidR="00793F95">
        <w:t xml:space="preserve">all </w:t>
      </w:r>
      <w:r w:rsidR="00817DC9">
        <w:t>sampled cases</w:t>
      </w:r>
      <w:r w:rsidR="00395B82">
        <w:t xml:space="preserve">; </w:t>
      </w:r>
      <w:r w:rsidR="00DD6A37">
        <w:t>efforts are ongoing to maximize response rates</w:t>
      </w:r>
      <w:r w:rsidR="00817DC9">
        <w:t>.</w:t>
      </w:r>
      <w:r w:rsidRPr="00010723" w:rsidR="00C90FCF">
        <w:t xml:space="preserve">  </w:t>
      </w:r>
    </w:p>
    <w:p w:rsidR="00A43FC5" w:rsidP="00937AAC" w14:paraId="1FAFE5BD" w14:textId="77777777">
      <w:pPr>
        <w:spacing w:before="120"/>
      </w:pPr>
    </w:p>
    <w:p w:rsidR="00937AAC" w:rsidRPr="00B35AD2" w:rsidP="00937AAC" w14:paraId="0A53434C" w14:textId="27EBE4A9">
      <w:pPr>
        <w:spacing w:before="120"/>
        <w:rPr>
          <w:b/>
        </w:rPr>
      </w:pPr>
      <w:r w:rsidRPr="00B35AD2">
        <w:t>Table</w:t>
      </w:r>
      <w:r w:rsidRPr="00B35AD2" w:rsidR="0002449C">
        <w:t xml:space="preserve"> B.1.B</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2340"/>
        <w:gridCol w:w="2790"/>
      </w:tblGrid>
      <w:tr w14:paraId="31A73C2B" w14:textId="77777777" w:rsidTr="00D24FED">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248" w:type="dxa"/>
            <w:shd w:val="clear" w:color="auto" w:fill="auto"/>
          </w:tcPr>
          <w:p w:rsidR="00D24FED" w:rsidRPr="000E4E0A" w:rsidP="00565BCA" w14:paraId="374971D5" w14:textId="77777777">
            <w:pPr>
              <w:spacing w:before="120"/>
              <w:jc w:val="center"/>
            </w:pPr>
            <w:r w:rsidRPr="000E4E0A">
              <w:t>Collaborating sentinel surveillance sites</w:t>
            </w:r>
          </w:p>
        </w:tc>
        <w:tc>
          <w:tcPr>
            <w:tcW w:w="2340" w:type="dxa"/>
            <w:shd w:val="clear" w:color="auto" w:fill="auto"/>
          </w:tcPr>
          <w:p w:rsidR="00D24FED" w:rsidRPr="000E4E0A" w:rsidP="00D24FED" w14:paraId="17A0CD33" w14:textId="137C4BA9">
            <w:pPr>
              <w:spacing w:before="120"/>
              <w:jc w:val="center"/>
            </w:pPr>
            <w:r>
              <w:t>G</w:t>
            </w:r>
            <w:r w:rsidRPr="000E4E0A">
              <w:t>onorrhea case</w:t>
            </w:r>
            <w:r>
              <w:t>s</w:t>
            </w:r>
            <w:r w:rsidRPr="000E4E0A">
              <w:t xml:space="preserve"> report</w:t>
            </w:r>
            <w:r>
              <w:t>ed</w:t>
            </w:r>
            <w:r w:rsidRPr="000E4E0A">
              <w:t xml:space="preserve"> in 20</w:t>
            </w:r>
            <w:r>
              <w:t>21</w:t>
            </w:r>
          </w:p>
        </w:tc>
        <w:tc>
          <w:tcPr>
            <w:tcW w:w="2790" w:type="dxa"/>
            <w:shd w:val="clear" w:color="auto" w:fill="auto"/>
          </w:tcPr>
          <w:p w:rsidR="00D24FED" w:rsidRPr="000E4E0A" w14:paraId="0EECE8AF" w14:textId="14654E4C">
            <w:pPr>
              <w:spacing w:before="120"/>
              <w:jc w:val="center"/>
            </w:pPr>
            <w:r>
              <w:t>I</w:t>
            </w:r>
            <w:r w:rsidRPr="000E4E0A">
              <w:t>nterviews</w:t>
            </w:r>
            <w:r w:rsidR="0046780F">
              <w:t xml:space="preserve"> </w:t>
            </w:r>
            <w:r w:rsidRPr="000E4E0A">
              <w:t>completed</w:t>
            </w:r>
            <w:r w:rsidR="00B04712">
              <w:t xml:space="preserve"> 202</w:t>
            </w:r>
            <w:r>
              <w:t>1</w:t>
            </w:r>
            <w:r w:rsidRPr="000E4E0A">
              <w:t xml:space="preserve"> </w:t>
            </w:r>
          </w:p>
        </w:tc>
      </w:tr>
      <w:tr w14:paraId="45FEC55E" w14:textId="77777777" w:rsidTr="00B35AD2">
        <w:tblPrEx>
          <w:tblW w:w="9378" w:type="dxa"/>
          <w:tblLook w:val="01E0"/>
        </w:tblPrEx>
        <w:tc>
          <w:tcPr>
            <w:tcW w:w="4248" w:type="dxa"/>
            <w:shd w:val="clear" w:color="auto" w:fill="auto"/>
          </w:tcPr>
          <w:p w:rsidR="00A54797" w:rsidRPr="000E4E0A" w:rsidP="00A54797" w14:paraId="77BC191B" w14:textId="346FD2AA">
            <w:r w:rsidRPr="000E4E0A">
              <w:t>1</w:t>
            </w:r>
            <w:r w:rsidR="00DD6A37">
              <w:t>.</w:t>
            </w:r>
            <w:r w:rsidRPr="000E4E0A">
              <w:t xml:space="preserve"> Baltimore City Health Department</w:t>
            </w:r>
          </w:p>
        </w:tc>
        <w:tc>
          <w:tcPr>
            <w:tcW w:w="2340" w:type="dxa"/>
            <w:shd w:val="clear" w:color="auto" w:fill="auto"/>
            <w:vAlign w:val="bottom"/>
          </w:tcPr>
          <w:p w:rsidR="00B7457B" w:rsidRPr="00B7457B" w:rsidP="00B7457B" w14:paraId="061C18B3" w14:textId="74F6D988">
            <w:pPr>
              <w:jc w:val="right"/>
              <w:rPr>
                <w:color w:val="000000"/>
              </w:rPr>
            </w:pPr>
            <w:r>
              <w:rPr>
                <w:color w:val="000000"/>
              </w:rPr>
              <w:t>3,364</w:t>
            </w:r>
          </w:p>
        </w:tc>
        <w:tc>
          <w:tcPr>
            <w:tcW w:w="2790" w:type="dxa"/>
            <w:shd w:val="clear" w:color="auto" w:fill="auto"/>
          </w:tcPr>
          <w:p w:rsidR="00A54797" w:rsidRPr="000E4E0A" w:rsidP="00E22386" w14:paraId="7EEC301D" w14:textId="4325308B">
            <w:pPr>
              <w:jc w:val="right"/>
            </w:pPr>
            <w:r>
              <w:t>416</w:t>
            </w:r>
          </w:p>
        </w:tc>
      </w:tr>
      <w:tr w14:paraId="528D00E0" w14:textId="77777777" w:rsidTr="00B35AD2">
        <w:tblPrEx>
          <w:tblW w:w="9378" w:type="dxa"/>
          <w:tblLook w:val="01E0"/>
        </w:tblPrEx>
        <w:tc>
          <w:tcPr>
            <w:tcW w:w="4248" w:type="dxa"/>
            <w:shd w:val="clear" w:color="auto" w:fill="auto"/>
          </w:tcPr>
          <w:p w:rsidR="00A54797" w:rsidRPr="000E4E0A" w:rsidP="00A54797" w14:paraId="59E6724D" w14:textId="52896222">
            <w:r w:rsidRPr="000E4E0A">
              <w:t>2</w:t>
            </w:r>
            <w:r w:rsidR="00DD6A37">
              <w:t>.</w:t>
            </w:r>
            <w:r w:rsidRPr="000E4E0A">
              <w:t xml:space="preserve"> California Department of Public Health</w:t>
            </w:r>
          </w:p>
        </w:tc>
        <w:tc>
          <w:tcPr>
            <w:tcW w:w="2340" w:type="dxa"/>
            <w:shd w:val="clear" w:color="auto" w:fill="auto"/>
            <w:vAlign w:val="bottom"/>
          </w:tcPr>
          <w:p w:rsidR="00A54797" w:rsidRPr="000E4E0A" w:rsidP="00A54797" w14:paraId="78BBD4ED" w14:textId="3A128EA3">
            <w:pPr>
              <w:jc w:val="right"/>
            </w:pPr>
            <w:r>
              <w:t>85,964</w:t>
            </w:r>
          </w:p>
        </w:tc>
        <w:tc>
          <w:tcPr>
            <w:tcW w:w="2790" w:type="dxa"/>
            <w:shd w:val="clear" w:color="auto" w:fill="auto"/>
          </w:tcPr>
          <w:p w:rsidR="00A54797" w:rsidRPr="000E4E0A" w:rsidP="0000072D" w14:paraId="58E489F2" w14:textId="2A159FD8">
            <w:pPr>
              <w:jc w:val="right"/>
            </w:pPr>
            <w:r>
              <w:t>711</w:t>
            </w:r>
          </w:p>
        </w:tc>
      </w:tr>
      <w:tr w14:paraId="6DC74799" w14:textId="77777777" w:rsidTr="00B35AD2">
        <w:tblPrEx>
          <w:tblW w:w="9378" w:type="dxa"/>
          <w:tblLook w:val="01E0"/>
        </w:tblPrEx>
        <w:tc>
          <w:tcPr>
            <w:tcW w:w="4248" w:type="dxa"/>
            <w:shd w:val="clear" w:color="auto" w:fill="auto"/>
          </w:tcPr>
          <w:p w:rsidR="00A54797" w:rsidRPr="000E4E0A" w:rsidP="00A54797" w14:paraId="066763CD" w14:textId="52B07CE7">
            <w:r w:rsidRPr="000E4E0A">
              <w:t>3</w:t>
            </w:r>
            <w:r w:rsidR="00DD6A37">
              <w:t>.</w:t>
            </w:r>
            <w:r w:rsidRPr="000E4E0A">
              <w:t xml:space="preserve"> Florida Department of Health</w:t>
            </w:r>
          </w:p>
        </w:tc>
        <w:tc>
          <w:tcPr>
            <w:tcW w:w="2340" w:type="dxa"/>
            <w:shd w:val="clear" w:color="auto" w:fill="auto"/>
            <w:vAlign w:val="bottom"/>
          </w:tcPr>
          <w:p w:rsidR="00FC33F8" w:rsidRPr="000E4E0A" w:rsidP="00FC33F8" w14:paraId="476C5B75" w14:textId="2CFE7D1D">
            <w:pPr>
              <w:jc w:val="right"/>
            </w:pPr>
            <w:r>
              <w:t>44,738</w:t>
            </w:r>
          </w:p>
        </w:tc>
        <w:tc>
          <w:tcPr>
            <w:tcW w:w="2790" w:type="dxa"/>
            <w:shd w:val="clear" w:color="auto" w:fill="auto"/>
          </w:tcPr>
          <w:p w:rsidR="00A54797" w:rsidRPr="000E4E0A" w:rsidP="0000072D" w14:paraId="22FD62E2" w14:textId="3732FD56">
            <w:pPr>
              <w:jc w:val="right"/>
            </w:pPr>
            <w:r>
              <w:t>1922</w:t>
            </w:r>
          </w:p>
        </w:tc>
      </w:tr>
      <w:tr w14:paraId="2DF21288" w14:textId="77777777" w:rsidTr="00B35AD2">
        <w:tblPrEx>
          <w:tblW w:w="9378" w:type="dxa"/>
          <w:tblLook w:val="01E0"/>
        </w:tblPrEx>
        <w:tc>
          <w:tcPr>
            <w:tcW w:w="4248" w:type="dxa"/>
            <w:shd w:val="clear" w:color="auto" w:fill="auto"/>
          </w:tcPr>
          <w:p w:rsidR="00A54797" w:rsidRPr="000E4E0A" w:rsidP="00817DC9" w14:paraId="1112AE13" w14:textId="6237F021">
            <w:r w:rsidRPr="000E4E0A">
              <w:t>4</w:t>
            </w:r>
            <w:r w:rsidR="00DD6A37">
              <w:t>.</w:t>
            </w:r>
            <w:r w:rsidRPr="000E4E0A">
              <w:t xml:space="preserve"> </w:t>
            </w:r>
            <w:r w:rsidR="00817DC9">
              <w:t>Columbus Health Department</w:t>
            </w:r>
          </w:p>
        </w:tc>
        <w:tc>
          <w:tcPr>
            <w:tcW w:w="2340" w:type="dxa"/>
            <w:shd w:val="clear" w:color="auto" w:fill="auto"/>
            <w:vAlign w:val="bottom"/>
          </w:tcPr>
          <w:p w:rsidR="00A54797" w:rsidRPr="000E4E0A" w:rsidP="00A54797" w14:paraId="14ACBB30" w14:textId="17BC470D">
            <w:pPr>
              <w:jc w:val="right"/>
            </w:pPr>
            <w:r>
              <w:t>5,414</w:t>
            </w:r>
          </w:p>
        </w:tc>
        <w:tc>
          <w:tcPr>
            <w:tcW w:w="2790" w:type="dxa"/>
            <w:shd w:val="clear" w:color="auto" w:fill="auto"/>
          </w:tcPr>
          <w:p w:rsidR="00A54797" w:rsidRPr="000E4E0A" w:rsidP="0000072D" w14:paraId="4195E153" w14:textId="04C2031F">
            <w:pPr>
              <w:jc w:val="right"/>
            </w:pPr>
            <w:r>
              <w:t>135</w:t>
            </w:r>
          </w:p>
        </w:tc>
      </w:tr>
      <w:tr w14:paraId="2F3DC4E4" w14:textId="77777777" w:rsidTr="00B35AD2">
        <w:tblPrEx>
          <w:tblW w:w="9378" w:type="dxa"/>
          <w:tblLook w:val="01E0"/>
        </w:tblPrEx>
        <w:tc>
          <w:tcPr>
            <w:tcW w:w="4248" w:type="dxa"/>
            <w:shd w:val="clear" w:color="auto" w:fill="auto"/>
          </w:tcPr>
          <w:p w:rsidR="00A54797" w:rsidRPr="000E4E0A" w:rsidP="00817DC9" w14:paraId="3ABDBC08" w14:textId="703FEF41">
            <w:r w:rsidRPr="000E4E0A">
              <w:t>5</w:t>
            </w:r>
            <w:r w:rsidR="00DD6A37">
              <w:t>.</w:t>
            </w:r>
            <w:r w:rsidRPr="000E4E0A">
              <w:t xml:space="preserve"> </w:t>
            </w:r>
            <w:r w:rsidR="00817DC9">
              <w:t>Indiana</w:t>
            </w:r>
            <w:r w:rsidRPr="000E4E0A" w:rsidR="00817DC9">
              <w:t xml:space="preserve"> </w:t>
            </w:r>
            <w:r w:rsidRPr="000E4E0A">
              <w:t>Department of Health</w:t>
            </w:r>
          </w:p>
        </w:tc>
        <w:tc>
          <w:tcPr>
            <w:tcW w:w="2340" w:type="dxa"/>
            <w:shd w:val="clear" w:color="auto" w:fill="auto"/>
            <w:vAlign w:val="bottom"/>
          </w:tcPr>
          <w:p w:rsidR="00A54797" w:rsidRPr="000E4E0A" w:rsidP="00A54797" w14:paraId="1BE34378" w14:textId="3FA77EE7">
            <w:pPr>
              <w:jc w:val="right"/>
            </w:pPr>
            <w:r>
              <w:t>14,483</w:t>
            </w:r>
          </w:p>
        </w:tc>
        <w:tc>
          <w:tcPr>
            <w:tcW w:w="2790" w:type="dxa"/>
            <w:shd w:val="clear" w:color="auto" w:fill="auto"/>
          </w:tcPr>
          <w:p w:rsidR="00A54797" w:rsidRPr="000E4E0A" w:rsidP="00A54797" w14:paraId="78A00DC9" w14:textId="76B15182">
            <w:pPr>
              <w:jc w:val="right"/>
            </w:pPr>
            <w:r>
              <w:t>346</w:t>
            </w:r>
          </w:p>
        </w:tc>
      </w:tr>
      <w:tr w14:paraId="64A4073C" w14:textId="77777777" w:rsidTr="00B35AD2">
        <w:tblPrEx>
          <w:tblW w:w="9378" w:type="dxa"/>
          <w:tblLook w:val="01E0"/>
        </w:tblPrEx>
        <w:tc>
          <w:tcPr>
            <w:tcW w:w="4248" w:type="dxa"/>
            <w:shd w:val="clear" w:color="auto" w:fill="auto"/>
          </w:tcPr>
          <w:p w:rsidR="00A54797" w:rsidRPr="000E4E0A" w:rsidP="00A54797" w14:paraId="6FB735D1" w14:textId="24B3D495">
            <w:r w:rsidRPr="000E4E0A">
              <w:t>6</w:t>
            </w:r>
            <w:r w:rsidR="00DD6A37">
              <w:t>.</w:t>
            </w:r>
            <w:r w:rsidRPr="000E4E0A">
              <w:t xml:space="preserve"> Multnomah County Health Department</w:t>
            </w:r>
          </w:p>
        </w:tc>
        <w:tc>
          <w:tcPr>
            <w:tcW w:w="2340" w:type="dxa"/>
            <w:shd w:val="clear" w:color="auto" w:fill="auto"/>
            <w:vAlign w:val="bottom"/>
          </w:tcPr>
          <w:p w:rsidR="00A54797" w:rsidRPr="000E4E0A" w:rsidP="00A54797" w14:paraId="62988EB5" w14:textId="4CBB11D2">
            <w:pPr>
              <w:jc w:val="right"/>
            </w:pPr>
            <w:r>
              <w:t>2,555</w:t>
            </w:r>
          </w:p>
        </w:tc>
        <w:tc>
          <w:tcPr>
            <w:tcW w:w="2790" w:type="dxa"/>
            <w:shd w:val="clear" w:color="auto" w:fill="auto"/>
          </w:tcPr>
          <w:p w:rsidR="00A54797" w:rsidRPr="000E4E0A" w14:paraId="11A7924B" w14:textId="6E715E21">
            <w:pPr>
              <w:jc w:val="right"/>
            </w:pPr>
            <w:r>
              <w:t>221</w:t>
            </w:r>
          </w:p>
        </w:tc>
      </w:tr>
      <w:tr w14:paraId="22A0ED5B" w14:textId="77777777" w:rsidTr="00B35AD2">
        <w:tblPrEx>
          <w:tblW w:w="9378" w:type="dxa"/>
          <w:tblLook w:val="01E0"/>
        </w:tblPrEx>
        <w:tc>
          <w:tcPr>
            <w:tcW w:w="4248" w:type="dxa"/>
            <w:shd w:val="clear" w:color="auto" w:fill="auto"/>
          </w:tcPr>
          <w:p w:rsidR="00A54797" w:rsidRPr="000E4E0A" w:rsidP="00A54797" w14:paraId="03B66749" w14:textId="6686FD03">
            <w:r w:rsidRPr="000E4E0A">
              <w:t>7</w:t>
            </w:r>
            <w:r w:rsidR="00DD6A37">
              <w:t>.</w:t>
            </w:r>
            <w:r w:rsidRPr="000E4E0A">
              <w:t xml:space="preserve"> New York City Department of Health &amp; Mental Hygiene</w:t>
            </w:r>
          </w:p>
        </w:tc>
        <w:tc>
          <w:tcPr>
            <w:tcW w:w="2340" w:type="dxa"/>
            <w:shd w:val="clear" w:color="auto" w:fill="auto"/>
            <w:vAlign w:val="bottom"/>
          </w:tcPr>
          <w:p w:rsidR="00A54797" w:rsidRPr="000E4E0A" w:rsidP="00A54797" w14:paraId="07A510DF" w14:textId="1608052B">
            <w:pPr>
              <w:jc w:val="right"/>
            </w:pPr>
            <w:r>
              <w:t>28,129</w:t>
            </w:r>
          </w:p>
        </w:tc>
        <w:tc>
          <w:tcPr>
            <w:tcW w:w="2790" w:type="dxa"/>
            <w:shd w:val="clear" w:color="auto" w:fill="auto"/>
          </w:tcPr>
          <w:p w:rsidR="00A54797" w:rsidRPr="000E4E0A" w:rsidP="00A54797" w14:paraId="6284FB13" w14:textId="628118A8">
            <w:pPr>
              <w:jc w:val="right"/>
            </w:pPr>
            <w:r>
              <w:t>1298</w:t>
            </w:r>
          </w:p>
        </w:tc>
      </w:tr>
      <w:tr w14:paraId="0AA27303" w14:textId="77777777" w:rsidTr="00B35AD2">
        <w:tblPrEx>
          <w:tblW w:w="9378" w:type="dxa"/>
          <w:tblLook w:val="01E0"/>
        </w:tblPrEx>
        <w:tc>
          <w:tcPr>
            <w:tcW w:w="4248" w:type="dxa"/>
            <w:shd w:val="clear" w:color="auto" w:fill="auto"/>
          </w:tcPr>
          <w:p w:rsidR="00A54797" w:rsidRPr="000E4E0A" w:rsidP="00A54797" w14:paraId="12BE93A7" w14:textId="0A6D3AE2">
            <w:r w:rsidRPr="000E4E0A">
              <w:t>8</w:t>
            </w:r>
            <w:r w:rsidR="00DD6A37">
              <w:t>.</w:t>
            </w:r>
            <w:r w:rsidRPr="000E4E0A">
              <w:t xml:space="preserve"> Philadelphia Department of Public Health</w:t>
            </w:r>
          </w:p>
        </w:tc>
        <w:tc>
          <w:tcPr>
            <w:tcW w:w="2340" w:type="dxa"/>
            <w:shd w:val="clear" w:color="auto" w:fill="auto"/>
            <w:vAlign w:val="bottom"/>
          </w:tcPr>
          <w:p w:rsidR="00A54797" w:rsidRPr="000E4E0A" w:rsidP="00A54797" w14:paraId="34332E1B" w14:textId="4F33EC96">
            <w:pPr>
              <w:jc w:val="right"/>
            </w:pPr>
            <w:r>
              <w:t>7,824</w:t>
            </w:r>
          </w:p>
        </w:tc>
        <w:tc>
          <w:tcPr>
            <w:tcW w:w="2790" w:type="dxa"/>
            <w:shd w:val="clear" w:color="auto" w:fill="auto"/>
          </w:tcPr>
          <w:p w:rsidR="00A54797" w:rsidRPr="000E4E0A" w:rsidP="0000072D" w14:paraId="2A7CA3BE" w14:textId="67026D6F">
            <w:pPr>
              <w:jc w:val="right"/>
            </w:pPr>
            <w:r>
              <w:t>216</w:t>
            </w:r>
          </w:p>
        </w:tc>
      </w:tr>
      <w:tr w14:paraId="30FE2FA8" w14:textId="77777777" w:rsidTr="00B35AD2">
        <w:tblPrEx>
          <w:tblW w:w="9378" w:type="dxa"/>
          <w:tblLook w:val="01E0"/>
        </w:tblPrEx>
        <w:tc>
          <w:tcPr>
            <w:tcW w:w="4248" w:type="dxa"/>
            <w:shd w:val="clear" w:color="auto" w:fill="auto"/>
          </w:tcPr>
          <w:p w:rsidR="00A54797" w:rsidRPr="000E4E0A" w:rsidP="00A54797" w14:paraId="1522FC68" w14:textId="712D76D5">
            <w:r w:rsidRPr="000E4E0A">
              <w:t>9</w:t>
            </w:r>
            <w:r w:rsidR="00DD6A37">
              <w:t>.</w:t>
            </w:r>
            <w:r w:rsidRPr="000E4E0A">
              <w:t xml:space="preserve"> San Francisco Department of Public Health</w:t>
            </w:r>
          </w:p>
        </w:tc>
        <w:tc>
          <w:tcPr>
            <w:tcW w:w="2340" w:type="dxa"/>
            <w:shd w:val="clear" w:color="auto" w:fill="auto"/>
            <w:vAlign w:val="bottom"/>
          </w:tcPr>
          <w:p w:rsidR="00A54797" w:rsidRPr="000E4E0A" w:rsidP="00A54797" w14:paraId="7A39CBBD" w14:textId="0CE52E75">
            <w:pPr>
              <w:jc w:val="right"/>
            </w:pPr>
            <w:r>
              <w:t>5,273</w:t>
            </w:r>
          </w:p>
        </w:tc>
        <w:tc>
          <w:tcPr>
            <w:tcW w:w="2790" w:type="dxa"/>
            <w:shd w:val="clear" w:color="auto" w:fill="auto"/>
          </w:tcPr>
          <w:p w:rsidR="00A54797" w:rsidRPr="000E4E0A" w:rsidP="00A54797" w14:paraId="164A0713" w14:textId="4E3DD212">
            <w:pPr>
              <w:jc w:val="right"/>
            </w:pPr>
            <w:r>
              <w:t>142</w:t>
            </w:r>
          </w:p>
        </w:tc>
      </w:tr>
      <w:tr w14:paraId="0CD1FB71" w14:textId="77777777" w:rsidTr="00B35AD2">
        <w:tblPrEx>
          <w:tblW w:w="9378" w:type="dxa"/>
          <w:tblLook w:val="01E0"/>
        </w:tblPrEx>
        <w:tc>
          <w:tcPr>
            <w:tcW w:w="4248" w:type="dxa"/>
            <w:shd w:val="clear" w:color="auto" w:fill="auto"/>
          </w:tcPr>
          <w:p w:rsidR="00817DC9" w:rsidRPr="000E4E0A" w:rsidP="00A54797" w14:paraId="0A849AF0" w14:textId="48AB049D">
            <w:r>
              <w:t>10</w:t>
            </w:r>
            <w:r w:rsidR="00DD6A37">
              <w:t>.</w:t>
            </w:r>
            <w:r>
              <w:t xml:space="preserve">  Utah Dept. of Public Health</w:t>
            </w:r>
          </w:p>
        </w:tc>
        <w:tc>
          <w:tcPr>
            <w:tcW w:w="2340" w:type="dxa"/>
            <w:shd w:val="clear" w:color="auto" w:fill="auto"/>
            <w:vAlign w:val="bottom"/>
          </w:tcPr>
          <w:p w:rsidR="00817DC9" w:rsidRPr="000E4E0A" w:rsidP="00A54797" w14:paraId="1C389253" w14:textId="6BF764DC">
            <w:pPr>
              <w:jc w:val="right"/>
              <w:rPr>
                <w:color w:val="000000"/>
              </w:rPr>
            </w:pPr>
            <w:r>
              <w:rPr>
                <w:color w:val="000000"/>
              </w:rPr>
              <w:t>3,621</w:t>
            </w:r>
          </w:p>
        </w:tc>
        <w:tc>
          <w:tcPr>
            <w:tcW w:w="2790" w:type="dxa"/>
            <w:shd w:val="clear" w:color="auto" w:fill="auto"/>
          </w:tcPr>
          <w:p w:rsidR="00817DC9" w:rsidRPr="000E4E0A" w:rsidP="0000072D" w14:paraId="41524947" w14:textId="5EF39916">
            <w:pPr>
              <w:jc w:val="right"/>
            </w:pPr>
            <w:r>
              <w:t>317</w:t>
            </w:r>
          </w:p>
        </w:tc>
      </w:tr>
      <w:tr w14:paraId="735DFF71" w14:textId="77777777" w:rsidTr="00B35AD2">
        <w:tblPrEx>
          <w:tblW w:w="9378" w:type="dxa"/>
          <w:tblLook w:val="01E0"/>
        </w:tblPrEx>
        <w:tc>
          <w:tcPr>
            <w:tcW w:w="4248" w:type="dxa"/>
            <w:shd w:val="clear" w:color="auto" w:fill="auto"/>
          </w:tcPr>
          <w:p w:rsidR="00A54797" w:rsidRPr="000E4E0A" w:rsidP="00A54797" w14:paraId="22770C03" w14:textId="3AEF9D1A">
            <w:r w:rsidRPr="000E4E0A">
              <w:t>1</w:t>
            </w:r>
            <w:r w:rsidR="00817DC9">
              <w:t>1</w:t>
            </w:r>
            <w:r w:rsidR="00DD6A37">
              <w:t>.</w:t>
            </w:r>
            <w:r w:rsidRPr="000E4E0A">
              <w:t xml:space="preserve"> Washington State Department of Health</w:t>
            </w:r>
          </w:p>
        </w:tc>
        <w:tc>
          <w:tcPr>
            <w:tcW w:w="2340" w:type="dxa"/>
            <w:shd w:val="clear" w:color="auto" w:fill="auto"/>
            <w:vAlign w:val="bottom"/>
          </w:tcPr>
          <w:p w:rsidR="00A54797" w:rsidRPr="000E4E0A" w:rsidP="00A54797" w14:paraId="4C14899C" w14:textId="7D922DE3">
            <w:pPr>
              <w:jc w:val="right"/>
            </w:pPr>
            <w:r>
              <w:t>11,231</w:t>
            </w:r>
          </w:p>
        </w:tc>
        <w:tc>
          <w:tcPr>
            <w:tcW w:w="2790" w:type="dxa"/>
            <w:shd w:val="clear" w:color="auto" w:fill="auto"/>
          </w:tcPr>
          <w:p w:rsidR="00A54797" w:rsidRPr="000E4E0A" w:rsidP="0000072D" w14:paraId="4AEFFA31" w14:textId="3111F785">
            <w:pPr>
              <w:jc w:val="right"/>
            </w:pPr>
            <w:r>
              <w:t>463</w:t>
            </w:r>
          </w:p>
        </w:tc>
      </w:tr>
      <w:tr w14:paraId="336CDA94" w14:textId="77777777" w:rsidTr="00D24FED">
        <w:tblPrEx>
          <w:tblW w:w="9378" w:type="dxa"/>
          <w:tblLook w:val="01E0"/>
        </w:tblPrEx>
        <w:tc>
          <w:tcPr>
            <w:tcW w:w="4248" w:type="dxa"/>
            <w:shd w:val="clear" w:color="auto" w:fill="auto"/>
          </w:tcPr>
          <w:p w:rsidR="00D24FED" w:rsidRPr="000E4E0A" w:rsidP="00565BCA" w14:paraId="781D837D" w14:textId="77777777">
            <w:pPr>
              <w:spacing w:before="120"/>
            </w:pPr>
            <w:r w:rsidRPr="000E4E0A">
              <w:t>Totals</w:t>
            </w:r>
          </w:p>
        </w:tc>
        <w:tc>
          <w:tcPr>
            <w:tcW w:w="2340" w:type="dxa"/>
            <w:shd w:val="clear" w:color="auto" w:fill="auto"/>
          </w:tcPr>
          <w:p w:rsidR="00D24FED" w:rsidRPr="000E4E0A" w:rsidP="00014EC2" w14:paraId="1F4A52EA" w14:textId="7F01A7E0">
            <w:pPr>
              <w:spacing w:before="120"/>
              <w:jc w:val="right"/>
            </w:pPr>
            <w:r>
              <w:t>212,596</w:t>
            </w:r>
          </w:p>
        </w:tc>
        <w:tc>
          <w:tcPr>
            <w:tcW w:w="2790" w:type="dxa"/>
            <w:shd w:val="clear" w:color="auto" w:fill="auto"/>
          </w:tcPr>
          <w:p w:rsidR="00D24FED" w:rsidRPr="000E4E0A" w:rsidP="0000072D" w14:paraId="015BA245" w14:textId="7ADE6469">
            <w:pPr>
              <w:spacing w:before="120"/>
              <w:jc w:val="right"/>
            </w:pPr>
            <w:r>
              <w:t>6,1</w:t>
            </w:r>
            <w:r w:rsidR="007D7FEC">
              <w:t>87</w:t>
            </w:r>
          </w:p>
        </w:tc>
      </w:tr>
    </w:tbl>
    <w:p w:rsidR="006B2E02" w:rsidRPr="00010723" w:rsidP="00DC3A0F" w14:paraId="720A2B5E" w14:textId="77777777">
      <w:pPr>
        <w:spacing w:before="120"/>
      </w:pPr>
    </w:p>
    <w:p w:rsidR="006F7E0D" w:rsidP="00C77DD0" w14:paraId="0B2EA50F" w14:textId="1A236A99">
      <w:pPr>
        <w:spacing w:before="120"/>
        <w:rPr>
          <w:i/>
        </w:rPr>
      </w:pPr>
      <w:r w:rsidRPr="00010723">
        <w:rPr>
          <w:i/>
        </w:rPr>
        <w:t>Minimum sample size for subgroup analysis</w:t>
      </w:r>
      <w:r w:rsidRPr="00010723" w:rsidR="009568B1">
        <w:rPr>
          <w:i/>
        </w:rPr>
        <w:t xml:space="preserve"> for </w:t>
      </w:r>
      <w:r w:rsidR="00DD6A37">
        <w:rPr>
          <w:i/>
        </w:rPr>
        <w:t>case</w:t>
      </w:r>
      <w:r w:rsidRPr="00010723" w:rsidR="009568B1">
        <w:rPr>
          <w:i/>
        </w:rPr>
        <w:t xml:space="preserve">-based </w:t>
      </w:r>
      <w:r w:rsidR="00DD6A37">
        <w:rPr>
          <w:i/>
        </w:rPr>
        <w:t xml:space="preserve">enhanced gonorrhea surveillance </w:t>
      </w:r>
      <w:r w:rsidRPr="00010723" w:rsidR="009568B1">
        <w:rPr>
          <w:i/>
        </w:rPr>
        <w:t>activities</w:t>
      </w:r>
    </w:p>
    <w:p w:rsidR="009568B1" w:rsidRPr="00010723" w:rsidP="00C77DD0" w14:paraId="177EDB89" w14:textId="78D45C97">
      <w:r w:rsidRPr="00010723">
        <w:t xml:space="preserve">For the </w:t>
      </w:r>
      <w:r w:rsidR="00793F95">
        <w:t>case</w:t>
      </w:r>
      <w:r w:rsidRPr="00010723">
        <w:t xml:space="preserve">-based </w:t>
      </w:r>
      <w:r w:rsidR="00DD6A37">
        <w:t>investigations</w:t>
      </w:r>
      <w:r w:rsidRPr="00010723">
        <w:t>, 1</w:t>
      </w:r>
      <w:r w:rsidR="00DD6A37">
        <w:t>1</w:t>
      </w:r>
      <w:r w:rsidRPr="00010723">
        <w:t xml:space="preserve"> collaborating </w:t>
      </w:r>
      <w:r w:rsidR="000C0647">
        <w:t>jurisdiction</w:t>
      </w:r>
      <w:r w:rsidR="00DD6A37">
        <w:t xml:space="preserve">s </w:t>
      </w:r>
      <w:r w:rsidR="000C0647">
        <w:t xml:space="preserve">conducted a total of </w:t>
      </w:r>
      <w:r w:rsidR="00286993">
        <w:t>6,1</w:t>
      </w:r>
      <w:r w:rsidR="00C55FF0">
        <w:t>87</w:t>
      </w:r>
      <w:r w:rsidR="000C0647">
        <w:t xml:space="preserve"> </w:t>
      </w:r>
      <w:r w:rsidRPr="00010723">
        <w:t>interviews with persons infected with gonorrhea</w:t>
      </w:r>
      <w:r w:rsidR="005376C8">
        <w:t xml:space="preserve"> (Table B.1.B)</w:t>
      </w:r>
      <w:r w:rsidRPr="00010723">
        <w:t xml:space="preserve">.  </w:t>
      </w:r>
      <w:r w:rsidR="00C55FF0">
        <w:t>I</w:t>
      </w:r>
      <w:r w:rsidRPr="00010723">
        <w:t xml:space="preserve">nterviews </w:t>
      </w:r>
      <w:r w:rsidR="000C0647">
        <w:t>are</w:t>
      </w:r>
      <w:r w:rsidRPr="00010723">
        <w:t xml:space="preserve"> </w:t>
      </w:r>
      <w:r w:rsidR="00C55FF0">
        <w:t>attempted</w:t>
      </w:r>
      <w:r w:rsidRPr="00010723">
        <w:t xml:space="preserve"> </w:t>
      </w:r>
      <w:r w:rsidR="00C55FF0">
        <w:t>for</w:t>
      </w:r>
      <w:r w:rsidRPr="00010723">
        <w:t xml:space="preserve"> </w:t>
      </w:r>
      <w:r w:rsidR="00C55FF0">
        <w:t xml:space="preserve">all </w:t>
      </w:r>
      <w:r w:rsidRPr="00010723" w:rsidR="00D04FB5">
        <w:t>persons who are r</w:t>
      </w:r>
      <w:r w:rsidRPr="00010723">
        <w:t xml:space="preserve">andomly </w:t>
      </w:r>
      <w:r w:rsidR="00C55FF0">
        <w:t>sampled</w:t>
      </w:r>
      <w:r w:rsidRPr="00010723">
        <w:t xml:space="preserve"> </w:t>
      </w:r>
      <w:r w:rsidRPr="00010723" w:rsidR="00D04FB5">
        <w:t xml:space="preserve">out of the total number of gonorrhea </w:t>
      </w:r>
      <w:r w:rsidRPr="00010723">
        <w:t>cas</w:t>
      </w:r>
      <w:r w:rsidRPr="00010723" w:rsidR="00593F16">
        <w:t>e-reports received by each site.</w:t>
      </w:r>
    </w:p>
    <w:p w:rsidR="00F81CA6" w:rsidRPr="00010723" w:rsidP="00C77DD0" w14:paraId="78B8DB40" w14:textId="429442AF">
      <w:pPr>
        <w:spacing w:before="120"/>
      </w:pPr>
      <w:r w:rsidRPr="001351E5">
        <w:t>Through a</w:t>
      </w:r>
      <w:r w:rsidR="00AA77AA">
        <w:t>n informal</w:t>
      </w:r>
      <w:r w:rsidR="00A54797">
        <w:t xml:space="preserve"> verbal</w:t>
      </w:r>
      <w:r w:rsidRPr="001351E5">
        <w:t xml:space="preserve"> consent process</w:t>
      </w:r>
      <w:r w:rsidR="00AA77AA">
        <w:t xml:space="preserve"> consistent with local disease investigation processes</w:t>
      </w:r>
      <w:r w:rsidRPr="001351E5">
        <w:t xml:space="preserve">, selected patients are </w:t>
      </w:r>
      <w:r>
        <w:t xml:space="preserve">contacted for interview. </w:t>
      </w:r>
      <w:r w:rsidRPr="001351E5">
        <w:t xml:space="preserve">Data collected from the interview </w:t>
      </w:r>
      <w:r w:rsidR="004A0E0E">
        <w:t>includes</w:t>
      </w:r>
      <w:r w:rsidRPr="001351E5">
        <w:t xml:space="preserve"> </w:t>
      </w:r>
      <w:r>
        <w:t xml:space="preserve">basic </w:t>
      </w:r>
      <w:r w:rsidRPr="001351E5">
        <w:t>demographics, medical history, high-ris</w:t>
      </w:r>
      <w:r>
        <w:t>k sexual</w:t>
      </w:r>
      <w:r w:rsidR="004A0E0E">
        <w:t xml:space="preserve"> behaviors, drug</w:t>
      </w:r>
      <w:r>
        <w:t xml:space="preserve"> use behaviors</w:t>
      </w:r>
      <w:r w:rsidR="004A0E0E">
        <w:t xml:space="preserve"> and </w:t>
      </w:r>
      <w:r w:rsidR="00AA77AA">
        <w:t>preventive services accessed</w:t>
      </w:r>
      <w:r w:rsidRPr="001351E5">
        <w:t xml:space="preserve">. </w:t>
      </w:r>
      <w:r w:rsidR="000C0647">
        <w:t>Local/s</w:t>
      </w:r>
      <w:r w:rsidR="004A0E0E">
        <w:t xml:space="preserve">tate </w:t>
      </w:r>
      <w:r w:rsidR="000C0647">
        <w:t>h</w:t>
      </w:r>
      <w:r w:rsidRPr="001351E5">
        <w:t xml:space="preserve">ealth department </w:t>
      </w:r>
      <w:r w:rsidR="00AA77AA">
        <w:t xml:space="preserve">manage these data in their </w:t>
      </w:r>
      <w:r w:rsidR="004A0E0E">
        <w:t xml:space="preserve">local </w:t>
      </w:r>
      <w:r w:rsidRPr="00010723" w:rsidR="00127D2C">
        <w:t>project’s electronic database</w:t>
      </w:r>
      <w:r w:rsidR="004A0E0E">
        <w:t>, perf</w:t>
      </w:r>
      <w:r w:rsidR="00D26F3F">
        <w:t>orm</w:t>
      </w:r>
      <w:r w:rsidR="004A0E0E">
        <w:t xml:space="preserve"> quality assurance and transmit de-identified date to CDC</w:t>
      </w:r>
      <w:r w:rsidRPr="00010723" w:rsidR="00127D2C">
        <w:t xml:space="preserve">. </w:t>
      </w:r>
      <w:r w:rsidRPr="001351E5">
        <w:t>These methods</w:t>
      </w:r>
      <w:r w:rsidR="004A0E0E">
        <w:t xml:space="preserve"> </w:t>
      </w:r>
      <w:r w:rsidRPr="001351E5">
        <w:t xml:space="preserve">result in a representative sample of patients </w:t>
      </w:r>
      <w:r>
        <w:t xml:space="preserve">diagnosed with gonorrhea </w:t>
      </w:r>
      <w:r w:rsidRPr="001351E5">
        <w:t>at the project area level</w:t>
      </w:r>
      <w:r>
        <w:t xml:space="preserve"> and </w:t>
      </w:r>
      <w:r w:rsidRPr="00010723" w:rsidR="00EA0917">
        <w:t>significantly improve ascertainment of critically important information often missing from routine case reporting s</w:t>
      </w:r>
      <w:r w:rsidRPr="00010723" w:rsidR="005A40CF">
        <w:t xml:space="preserve">uch as the race, </w:t>
      </w:r>
      <w:r w:rsidRPr="00010723" w:rsidR="00EA0917">
        <w:t>Hispanic ethnicity</w:t>
      </w:r>
      <w:r>
        <w:t xml:space="preserve">, </w:t>
      </w:r>
      <w:r w:rsidR="0093506A">
        <w:t>sex</w:t>
      </w:r>
      <w:r w:rsidRPr="00010723" w:rsidR="0093506A">
        <w:t xml:space="preserve"> </w:t>
      </w:r>
      <w:r w:rsidRPr="00010723" w:rsidR="005A40CF">
        <w:t>of sex</w:t>
      </w:r>
      <w:r w:rsidR="0093506A">
        <w:t>ual</w:t>
      </w:r>
      <w:r w:rsidRPr="00010723" w:rsidR="005A40CF">
        <w:t xml:space="preserve"> partners</w:t>
      </w:r>
      <w:r w:rsidR="00AA77AA">
        <w:t>, sexual orientation/</w:t>
      </w:r>
      <w:r w:rsidR="0093506A">
        <w:t>sex</w:t>
      </w:r>
      <w:r w:rsidR="00AA77AA">
        <w:t xml:space="preserve"> </w:t>
      </w:r>
      <w:r w:rsidRPr="00010723" w:rsidR="00EA0917">
        <w:t>of the patient</w:t>
      </w:r>
      <w:r>
        <w:t xml:space="preserve">, anatomic site(s) of infection, </w:t>
      </w:r>
      <w:r w:rsidR="00AA77AA">
        <w:t>preventive services</w:t>
      </w:r>
      <w:r w:rsidRPr="001351E5">
        <w:t xml:space="preserve"> </w:t>
      </w:r>
      <w:r w:rsidR="004D707D">
        <w:t>experience,</w:t>
      </w:r>
      <w:r>
        <w:t xml:space="preserve"> and </w:t>
      </w:r>
      <w:r w:rsidRPr="001351E5">
        <w:t>HIV co-morbidity</w:t>
      </w:r>
      <w:r>
        <w:t xml:space="preserve">. </w:t>
      </w:r>
      <w:r w:rsidRPr="00010723" w:rsidR="005A40CF">
        <w:t>More complete ascertainment of these data allow</w:t>
      </w:r>
      <w:r w:rsidR="004A0E0E">
        <w:t>s</w:t>
      </w:r>
      <w:r w:rsidRPr="00010723" w:rsidR="005A40CF">
        <w:t xml:space="preserve"> for accurate</w:t>
      </w:r>
      <w:r w:rsidR="00AA77AA">
        <w:t xml:space="preserve"> assessment</w:t>
      </w:r>
      <w:r w:rsidRPr="00010723" w:rsidR="005A40CF">
        <w:t xml:space="preserve"> of the </w:t>
      </w:r>
      <w:r w:rsidR="00F571A5">
        <w:t xml:space="preserve">differential </w:t>
      </w:r>
      <w:r w:rsidRPr="00010723" w:rsidR="005A40CF">
        <w:t xml:space="preserve">burden of disease across </w:t>
      </w:r>
      <w:r w:rsidR="00AA77AA">
        <w:t xml:space="preserve">important </w:t>
      </w:r>
      <w:r w:rsidRPr="00010723" w:rsidR="005A40CF">
        <w:t>populations</w:t>
      </w:r>
      <w:r w:rsidR="00AA77AA">
        <w:t xml:space="preserve">, </w:t>
      </w:r>
      <w:r w:rsidRPr="00010723" w:rsidR="005A40CF">
        <w:t>contribute</w:t>
      </w:r>
      <w:r w:rsidR="004A0E0E">
        <w:t>s</w:t>
      </w:r>
      <w:r w:rsidRPr="00010723" w:rsidR="005A40CF">
        <w:t xml:space="preserve"> to a more com</w:t>
      </w:r>
      <w:r w:rsidR="004A0E0E">
        <w:t>plete</w:t>
      </w:r>
      <w:r w:rsidRPr="00010723" w:rsidR="005A40CF">
        <w:t xml:space="preserve"> understanding of inequalities and </w:t>
      </w:r>
      <w:r w:rsidR="00AA77AA">
        <w:t xml:space="preserve">facilitates </w:t>
      </w:r>
      <w:r w:rsidRPr="00010723" w:rsidR="005A40CF">
        <w:t>identification of disproportionately affected populations</w:t>
      </w:r>
      <w:r w:rsidRPr="00010723" w:rsidR="00B91BF2">
        <w:t xml:space="preserve">.  Currently, there are no systems in place that easily identify </w:t>
      </w:r>
      <w:r w:rsidR="00AA77AA">
        <w:t>critical sub-populations</w:t>
      </w:r>
      <w:r w:rsidRPr="00010723" w:rsidR="00B91BF2">
        <w:t xml:space="preserve"> with </w:t>
      </w:r>
      <w:r w:rsidRPr="00010723" w:rsidR="005A40CF">
        <w:t xml:space="preserve">higher burdens </w:t>
      </w:r>
      <w:r w:rsidRPr="00010723" w:rsidR="00B91BF2">
        <w:t>of gonorrhea</w:t>
      </w:r>
      <w:r w:rsidR="00F571A5">
        <w:t xml:space="preserve"> are fully responsive to CDC’s health equity imperatives.</w:t>
      </w:r>
      <w:r w:rsidRPr="00010723" w:rsidR="00B91BF2">
        <w:t xml:space="preserve">  </w:t>
      </w:r>
    </w:p>
    <w:p w:rsidR="00994BE2" w:rsidP="00745A96" w14:paraId="638AA022" w14:textId="5182C5C3">
      <w:pPr>
        <w:spacing w:before="120"/>
      </w:pPr>
      <w:r>
        <w:rPr>
          <w:color w:val="000000"/>
        </w:rPr>
        <w:t>A more comprehensive</w:t>
      </w:r>
      <w:r w:rsidRPr="00010723">
        <w:rPr>
          <w:color w:val="000000"/>
        </w:rPr>
        <w:t xml:space="preserve"> u</w:t>
      </w:r>
      <w:r w:rsidRPr="00010723">
        <w:t xml:space="preserve">nderstanding of </w:t>
      </w:r>
      <w:r>
        <w:t>the</w:t>
      </w:r>
      <w:r w:rsidRPr="00010723">
        <w:t xml:space="preserve"> epidemiology of GC</w:t>
      </w:r>
      <w:r w:rsidR="00F571A5">
        <w:t xml:space="preserve"> and syphilis</w:t>
      </w:r>
      <w:r w:rsidRPr="00010723">
        <w:t xml:space="preserve"> is fundamental</w:t>
      </w:r>
      <w:r w:rsidRPr="00010723">
        <w:rPr>
          <w:color w:val="000000"/>
        </w:rPr>
        <w:t xml:space="preserve"> </w:t>
      </w:r>
      <w:r>
        <w:rPr>
          <w:color w:val="000000"/>
        </w:rPr>
        <w:t>t</w:t>
      </w:r>
      <w:r w:rsidRPr="00010723" w:rsidR="00666740">
        <w:rPr>
          <w:color w:val="000000"/>
        </w:rPr>
        <w:t xml:space="preserve">o improve the capacity of national, state, and local </w:t>
      </w:r>
      <w:r w:rsidR="00513098">
        <w:rPr>
          <w:color w:val="000000"/>
        </w:rPr>
        <w:t>STI</w:t>
      </w:r>
      <w:r w:rsidRPr="00010723" w:rsidR="00666740">
        <w:rPr>
          <w:color w:val="000000"/>
        </w:rPr>
        <w:t xml:space="preserve"> programs to detect, monitor, and respond rapidly to trends in </w:t>
      </w:r>
      <w:r w:rsidR="00513098">
        <w:rPr>
          <w:color w:val="000000"/>
        </w:rPr>
        <w:t>STI</w:t>
      </w:r>
      <w:r w:rsidRPr="00010723" w:rsidR="00666740">
        <w:rPr>
          <w:color w:val="000000"/>
        </w:rPr>
        <w:t>s</w:t>
      </w:r>
      <w:r w:rsidRPr="00010723" w:rsidR="00E841DE">
        <w:rPr>
          <w:color w:val="000000"/>
        </w:rPr>
        <w:t xml:space="preserve"> and </w:t>
      </w:r>
      <w:r w:rsidRPr="00010723" w:rsidR="00E841DE">
        <w:t xml:space="preserve">to improve the health of populations disproportionately affected by </w:t>
      </w:r>
      <w:r w:rsidR="00513098">
        <w:t>STI</w:t>
      </w:r>
      <w:r w:rsidRPr="00010723" w:rsidR="00E841DE">
        <w:t>s and other related diseases and conditions</w:t>
      </w:r>
      <w:r w:rsidRPr="00010723" w:rsidR="00666740">
        <w:t xml:space="preserve">. </w:t>
      </w:r>
      <w:r>
        <w:t>Moreover, the addition of questions related to mpox vaccination will allow for more rapid identification of populations needing to be vaccinated in the case of additional</w:t>
      </w:r>
      <w:r w:rsidR="00F571A5">
        <w:t>,</w:t>
      </w:r>
      <w:r>
        <w:t xml:space="preserve"> emergent clusters of cases. </w:t>
      </w:r>
      <w:r w:rsidR="00F571A5">
        <w:t>Record level d</w:t>
      </w:r>
      <w:r w:rsidR="004A0E0E">
        <w:t>esign</w:t>
      </w:r>
      <w:r w:rsidRPr="00010723" w:rsidR="004A0E0E">
        <w:t xml:space="preserve"> </w:t>
      </w:r>
      <w:r w:rsidRPr="00010723" w:rsidR="0067005E">
        <w:t xml:space="preserve">weights </w:t>
      </w:r>
      <w:r w:rsidR="004A0E0E">
        <w:t>are</w:t>
      </w:r>
      <w:r w:rsidRPr="00010723" w:rsidR="0067005E">
        <w:t xml:space="preserve"> calculated separately for each collaborating jurisdiction based on the effective</w:t>
      </w:r>
      <w:r>
        <w:t xml:space="preserve"> county-level</w:t>
      </w:r>
      <w:r w:rsidRPr="00010723" w:rsidR="0067005E">
        <w:t xml:space="preserve"> sample fraction for the participating jurisdiction. Post-stratification weights </w:t>
      </w:r>
      <w:r w:rsidR="004A0E0E">
        <w:t>are also</w:t>
      </w:r>
      <w:r w:rsidRPr="00010723" w:rsidR="0067005E">
        <w:t xml:space="preserve"> calculated to adjust for observed non-response at the jurisdiction level by sex</w:t>
      </w:r>
      <w:r w:rsidR="004A0E0E">
        <w:t xml:space="preserve"> and </w:t>
      </w:r>
      <w:r>
        <w:t>age group</w:t>
      </w:r>
      <w:r w:rsidR="004A0E0E">
        <w:t xml:space="preserve"> </w:t>
      </w:r>
      <w:r w:rsidRPr="00010723" w:rsidR="0067005E">
        <w:t>allowing for weighted analysis at the individual site and overall project levels</w:t>
      </w:r>
      <w:r>
        <w:t xml:space="preserve"> allowing for estimating case characteristics fully representative of the universe of all reported cases in the collaborating jurisdictions</w:t>
      </w:r>
      <w:r w:rsidRPr="00010723" w:rsidR="0067005E">
        <w:t xml:space="preserve">. </w:t>
      </w:r>
    </w:p>
    <w:p w:rsidR="00745A96" w:rsidP="00745A96" w14:paraId="2652E96B" w14:textId="77777777">
      <w:pPr>
        <w:spacing w:before="120"/>
      </w:pPr>
    </w:p>
    <w:p w:rsidR="00D01186" w:rsidRPr="00010723" w:rsidP="00C77DD0" w14:paraId="582E3661" w14:textId="77777777">
      <w:pPr>
        <w:spacing w:after="120"/>
        <w:rPr>
          <w:b/>
        </w:rPr>
      </w:pPr>
      <w:r w:rsidRPr="00010723">
        <w:rPr>
          <w:b/>
        </w:rPr>
        <w:t>2. Procedures for the Collection of Information</w:t>
      </w:r>
    </w:p>
    <w:p w:rsidR="004C00F9" w:rsidRPr="00010723" w:rsidP="00C77DD0" w14:paraId="7FE91501" w14:textId="77777777">
      <w:pPr>
        <w:spacing w:after="120"/>
      </w:pPr>
    </w:p>
    <w:p w:rsidR="00C257CF" w:rsidRPr="00010723" w:rsidP="00C77DD0" w14:paraId="2BD7CB8A" w14:textId="20E9BDC2">
      <w:pPr>
        <w:spacing w:after="120"/>
        <w:rPr>
          <w:i/>
        </w:rPr>
      </w:pPr>
      <w:r>
        <w:rPr>
          <w:i/>
        </w:rPr>
        <w:t xml:space="preserve">Strategy A - </w:t>
      </w:r>
      <w:r w:rsidR="008A3A51">
        <w:rPr>
          <w:i/>
        </w:rPr>
        <w:t>Facility</w:t>
      </w:r>
      <w:r w:rsidRPr="00010723">
        <w:rPr>
          <w:i/>
        </w:rPr>
        <w:t xml:space="preserve">-based </w:t>
      </w:r>
      <w:r w:rsidR="00513098">
        <w:rPr>
          <w:i/>
        </w:rPr>
        <w:t>STI</w:t>
      </w:r>
      <w:r w:rsidRPr="00010723">
        <w:rPr>
          <w:i/>
        </w:rPr>
        <w:t xml:space="preserve"> surveillance:</w:t>
      </w:r>
    </w:p>
    <w:p w:rsidR="008F0328" w:rsidP="00C77DD0" w14:paraId="10A8307F" w14:textId="17A77872">
      <w:pPr>
        <w:spacing w:before="120"/>
      </w:pPr>
      <w:r>
        <w:t>Clinic</w:t>
      </w:r>
      <w:r w:rsidRPr="00010723" w:rsidR="00456B42">
        <w:t xml:space="preserve"> staff </w:t>
      </w:r>
      <w:r>
        <w:t xml:space="preserve">at each facility or network of facilities at </w:t>
      </w:r>
      <w:r w:rsidRPr="00010723" w:rsidR="00071005">
        <w:t xml:space="preserve">participating </w:t>
      </w:r>
      <w:r w:rsidRPr="00010723" w:rsidR="00071005">
        <w:t>SSuN</w:t>
      </w:r>
      <w:r w:rsidRPr="00010723" w:rsidR="00071005">
        <w:t xml:space="preserve"> sites </w:t>
      </w:r>
      <w:r w:rsidR="000217B6">
        <w:t>electronically extract</w:t>
      </w:r>
      <w:r w:rsidRPr="00010723" w:rsidR="00456B42">
        <w:t xml:space="preserve"> </w:t>
      </w:r>
      <w:r>
        <w:t xml:space="preserve">and transmit clinical data </w:t>
      </w:r>
      <w:r w:rsidRPr="001351E5">
        <w:t>f</w:t>
      </w:r>
      <w:r w:rsidR="000217B6">
        <w:t>or</w:t>
      </w:r>
      <w:r w:rsidRPr="001351E5">
        <w:t xml:space="preserve"> </w:t>
      </w:r>
      <w:r>
        <w:t xml:space="preserve">(1) </w:t>
      </w:r>
      <w:r w:rsidRPr="001351E5">
        <w:t xml:space="preserve">all patients visiting participating </w:t>
      </w:r>
      <w:r w:rsidR="00513098">
        <w:t>STI</w:t>
      </w:r>
      <w:r w:rsidRPr="001351E5">
        <w:t xml:space="preserve"> clinics </w:t>
      </w:r>
      <w:r>
        <w:t>at the state and local health jurisdictions</w:t>
      </w:r>
      <w:r w:rsidR="000217B6">
        <w:t xml:space="preserve"> (2) all associated laboratory observations, (3) diagnoses received and (4) treatments dispensed or prescribed.</w:t>
      </w:r>
      <w:r>
        <w:t xml:space="preserve"> </w:t>
      </w:r>
      <w:r w:rsidRPr="00010723" w:rsidR="00127D2C">
        <w:t xml:space="preserve"> </w:t>
      </w:r>
      <w:r w:rsidRPr="001351E5">
        <w:t xml:space="preserve">Data are de-identified and recoded by health departments </w:t>
      </w:r>
      <w:r w:rsidR="00EB5AAD">
        <w:t xml:space="preserve">or clinic staff </w:t>
      </w:r>
      <w:r w:rsidRPr="001351E5">
        <w:t xml:space="preserve">and </w:t>
      </w:r>
      <w:r w:rsidRPr="00010723">
        <w:t>uploaded on a</w:t>
      </w:r>
      <w:r>
        <w:t xml:space="preserve"> </w:t>
      </w:r>
      <w:r w:rsidR="004A0E0E">
        <w:t>bi-</w:t>
      </w:r>
      <w:r w:rsidRPr="00010723" w:rsidR="00F552D7">
        <w:t>month</w:t>
      </w:r>
      <w:r>
        <w:t>ly</w:t>
      </w:r>
      <w:r w:rsidRPr="00010723" w:rsidR="00F552D7">
        <w:t xml:space="preserve"> basis</w:t>
      </w:r>
      <w:r w:rsidRPr="00010723">
        <w:t xml:space="preserve"> by</w:t>
      </w:r>
      <w:r w:rsidRPr="00010723" w:rsidR="00F552D7">
        <w:t xml:space="preserve"> </w:t>
      </w:r>
      <w:r w:rsidRPr="00010723">
        <w:t xml:space="preserve">trained </w:t>
      </w:r>
      <w:r w:rsidRPr="00010723" w:rsidR="00F552D7">
        <w:t xml:space="preserve">local </w:t>
      </w:r>
      <w:r w:rsidRPr="00010723">
        <w:t>data manager</w:t>
      </w:r>
      <w:r w:rsidR="004A0E0E">
        <w:t>s</w:t>
      </w:r>
      <w:r w:rsidRPr="00010723">
        <w:t xml:space="preserve"> to a CDC- operated secure </w:t>
      </w:r>
      <w:r w:rsidR="00010723">
        <w:t>access management</w:t>
      </w:r>
      <w:r w:rsidR="00BE38E0">
        <w:t xml:space="preserve"> system</w:t>
      </w:r>
      <w:r w:rsidRPr="00010723">
        <w:t xml:space="preserve"> (S</w:t>
      </w:r>
      <w:r w:rsidRPr="00010723" w:rsidR="00F552D7">
        <w:t>AM</w:t>
      </w:r>
      <w:r w:rsidR="00BE38E0">
        <w:t>S</w:t>
      </w:r>
      <w:r w:rsidRPr="00010723">
        <w:t xml:space="preserve">).  None of the data transmitted to CDC contain any </w:t>
      </w:r>
      <w:r w:rsidR="004A0E0E">
        <w:t xml:space="preserve">identifiable </w:t>
      </w:r>
      <w:r w:rsidRPr="00010723" w:rsidR="005B69CD">
        <w:t>information</w:t>
      </w:r>
      <w:r w:rsidRPr="00010723">
        <w:t>.  Data</w:t>
      </w:r>
      <w:r w:rsidR="004A0E0E">
        <w:t xml:space="preserve"> are</w:t>
      </w:r>
      <w:r w:rsidRPr="00010723">
        <w:t xml:space="preserve"> stored and maintained at CDC by a data manager in the S</w:t>
      </w:r>
      <w:r w:rsidRPr="00010723" w:rsidR="00F552D7">
        <w:t xml:space="preserve">urveillance </w:t>
      </w:r>
      <w:r w:rsidRPr="00010723">
        <w:t xml:space="preserve">and Data </w:t>
      </w:r>
      <w:r w:rsidR="000217B6">
        <w:t>Science</w:t>
      </w:r>
      <w:r w:rsidRPr="00010723">
        <w:t xml:space="preserve"> Branch of the National Center for HIV</w:t>
      </w:r>
      <w:r>
        <w:t>/AIDS</w:t>
      </w:r>
      <w:r w:rsidRPr="00010723">
        <w:t xml:space="preserve">, </w:t>
      </w:r>
      <w:r>
        <w:t xml:space="preserve">Viral </w:t>
      </w:r>
      <w:r w:rsidRPr="00010723">
        <w:t xml:space="preserve">Hepatitis, </w:t>
      </w:r>
      <w:r w:rsidR="00513098">
        <w:t>STI</w:t>
      </w:r>
      <w:r w:rsidRPr="00010723">
        <w:t>, and TB Prevention.</w:t>
      </w:r>
    </w:p>
    <w:p w:rsidR="00063264" w:rsidRPr="00010723" w:rsidP="00C77DD0" w14:paraId="1F5936EE" w14:textId="77777777">
      <w:pPr>
        <w:spacing w:before="120"/>
      </w:pPr>
    </w:p>
    <w:p w:rsidR="00C257CF" w:rsidRPr="00010723" w:rsidP="00C77DD0" w14:paraId="3C9D042E" w14:textId="393C99FD">
      <w:r w:rsidRPr="00010723">
        <w:t>D</w:t>
      </w:r>
      <w:r w:rsidRPr="00010723">
        <w:t xml:space="preserve">ata elements </w:t>
      </w:r>
      <w:r w:rsidRPr="00010723">
        <w:t xml:space="preserve">collected in </w:t>
      </w:r>
      <w:r w:rsidR="001351E5">
        <w:t>facility</w:t>
      </w:r>
      <w:r w:rsidRPr="00010723">
        <w:t xml:space="preserve">-based </w:t>
      </w:r>
      <w:r w:rsidR="00513098">
        <w:t>STI</w:t>
      </w:r>
      <w:r w:rsidR="000217B6">
        <w:t xml:space="preserve"> sentinel</w:t>
      </w:r>
      <w:r w:rsidRPr="00010723">
        <w:t xml:space="preserve"> surveillance </w:t>
      </w:r>
      <w:r w:rsidRPr="00010723">
        <w:t>include patient demographics,</w:t>
      </w:r>
      <w:r w:rsidRPr="00010723" w:rsidR="00F552D7">
        <w:t xml:space="preserve"> </w:t>
      </w:r>
      <w:r w:rsidRPr="00010723">
        <w:t xml:space="preserve">behavioral risk factors associated with </w:t>
      </w:r>
      <w:r w:rsidR="00513098">
        <w:t>STI</w:t>
      </w:r>
      <w:r w:rsidRPr="00010723">
        <w:t xml:space="preserve">s, clinical history and </w:t>
      </w:r>
      <w:r w:rsidRPr="00010723" w:rsidR="00F552D7">
        <w:t xml:space="preserve">physical exam </w:t>
      </w:r>
      <w:r w:rsidRPr="00010723">
        <w:t xml:space="preserve">findings, </w:t>
      </w:r>
      <w:r w:rsidR="00513098">
        <w:t>STI</w:t>
      </w:r>
      <w:r w:rsidRPr="00010723">
        <w:t xml:space="preserve"> laboratory test</w:t>
      </w:r>
      <w:r w:rsidRPr="00010723" w:rsidR="00F552D7">
        <w:t xml:space="preserve"> and</w:t>
      </w:r>
      <w:r w:rsidRPr="00010723">
        <w:t xml:space="preserve"> results, </w:t>
      </w:r>
      <w:r w:rsidR="00513098">
        <w:t>STI</w:t>
      </w:r>
      <w:r w:rsidRPr="00010723">
        <w:t xml:space="preserve"> diagnoses</w:t>
      </w:r>
      <w:r w:rsidRPr="00010723" w:rsidR="00F552D7">
        <w:t>, and treatment</w:t>
      </w:r>
      <w:r w:rsidRPr="00010723">
        <w:t xml:space="preserve"> (see </w:t>
      </w:r>
      <w:r w:rsidRPr="000217B6" w:rsidR="000217B6">
        <w:rPr>
          <w:b/>
          <w:bCs/>
        </w:rPr>
        <w:t>ATTACHMENT 5</w:t>
      </w:r>
      <w:r w:rsidRPr="00010723">
        <w:t xml:space="preserve">).  These data elements were developed collaboratively and agreed upon by members of </w:t>
      </w:r>
      <w:r w:rsidRPr="00010723" w:rsidR="00F552D7">
        <w:t>e</w:t>
      </w:r>
      <w:r w:rsidR="002258B6">
        <w:t xml:space="preserve">nhanced </w:t>
      </w:r>
      <w:r w:rsidRPr="00010723">
        <w:t>SSuN</w:t>
      </w:r>
      <w:r w:rsidR="000217B6">
        <w:t xml:space="preserve"> and </w:t>
      </w:r>
      <w:r w:rsidR="000217B6">
        <w:t>informed with input from CDC staff, including mpox vaccination and testing history in response to recently emergent cases cluster in the U.S.</w:t>
      </w:r>
      <w:r w:rsidRPr="00010723">
        <w:t xml:space="preserve">  Participation in </w:t>
      </w:r>
      <w:r w:rsidRPr="00010723">
        <w:t>SSuN</w:t>
      </w:r>
      <w:r w:rsidRPr="00010723">
        <w:t xml:space="preserve"> does not require the collection of data elements </w:t>
      </w:r>
      <w:r w:rsidR="000217B6">
        <w:t>beyond what</w:t>
      </w:r>
      <w:r w:rsidRPr="00010723">
        <w:t xml:space="preserve"> </w:t>
      </w:r>
      <w:r w:rsidR="000217B6">
        <w:t>would ordinarily be</w:t>
      </w:r>
      <w:r w:rsidRPr="00010723">
        <w:t xml:space="preserve"> collected </w:t>
      </w:r>
      <w:r w:rsidR="000217B6">
        <w:t xml:space="preserve">during </w:t>
      </w:r>
      <w:r w:rsidR="004A0E0E">
        <w:t xml:space="preserve">routine care </w:t>
      </w:r>
      <w:r w:rsidRPr="00010723">
        <w:t xml:space="preserve">at collaborating </w:t>
      </w:r>
      <w:r w:rsidR="003E2135">
        <w:t>facilities</w:t>
      </w:r>
      <w:r w:rsidRPr="00010723">
        <w:t>.</w:t>
      </w:r>
      <w:r w:rsidRPr="00010723">
        <w:t xml:space="preserve">  </w:t>
      </w:r>
      <w:r w:rsidRPr="00010723">
        <w:t xml:space="preserve">Completeness of reporting and the quality of data submitted </w:t>
      </w:r>
      <w:r w:rsidR="000217B6">
        <w:t>is</w:t>
      </w:r>
      <w:r w:rsidRPr="00010723">
        <w:t xml:space="preserve"> monitored by CDC </w:t>
      </w:r>
      <w:r w:rsidRPr="00010723" w:rsidR="000217B6">
        <w:t>monthly</w:t>
      </w:r>
      <w:r w:rsidRPr="00010723">
        <w:t>.  Site visits, regular communication with CDC, data quality checks</w:t>
      </w:r>
      <w:r w:rsidR="001351E5">
        <w:t xml:space="preserve"> and technical assistance</w:t>
      </w:r>
      <w:r w:rsidRPr="00010723">
        <w:t xml:space="preserve"> </w:t>
      </w:r>
      <w:r w:rsidR="001351E5">
        <w:t>also</w:t>
      </w:r>
      <w:r w:rsidRPr="00010723">
        <w:t xml:space="preserve"> provide opportunit</w:t>
      </w:r>
      <w:r w:rsidR="001351E5">
        <w:t>ies</w:t>
      </w:r>
      <w:r w:rsidRPr="00010723">
        <w:t xml:space="preserve"> for evaluation and troubleshooting of these processes.</w:t>
      </w:r>
    </w:p>
    <w:p w:rsidR="00E55BDE" w:rsidP="00C77DD0" w14:paraId="6EB629A2" w14:textId="77777777">
      <w:pPr>
        <w:spacing w:before="120"/>
        <w:rPr>
          <w:i/>
        </w:rPr>
      </w:pPr>
    </w:p>
    <w:p w:rsidR="006F7E0D" w:rsidRPr="00010723" w:rsidP="00C77DD0" w14:paraId="5D680C48" w14:textId="35DBA681">
      <w:pPr>
        <w:spacing w:before="120"/>
        <w:rPr>
          <w:i/>
        </w:rPr>
      </w:pPr>
      <w:r>
        <w:rPr>
          <w:i/>
        </w:rPr>
        <w:t xml:space="preserve">Strategy B - </w:t>
      </w:r>
      <w:r w:rsidRPr="00010723" w:rsidR="004A5F9F">
        <w:rPr>
          <w:i/>
        </w:rPr>
        <w:t>P</w:t>
      </w:r>
      <w:r w:rsidRPr="00010723">
        <w:rPr>
          <w:i/>
        </w:rPr>
        <w:t xml:space="preserve">opulation-based </w:t>
      </w:r>
      <w:r w:rsidR="007628C7">
        <w:rPr>
          <w:i/>
        </w:rPr>
        <w:t>enhanced</w:t>
      </w:r>
      <w:r w:rsidRPr="00010723">
        <w:rPr>
          <w:i/>
        </w:rPr>
        <w:t xml:space="preserve"> surveillance:</w:t>
      </w:r>
    </w:p>
    <w:p w:rsidR="007D32CC" w:rsidP="00C77DD0" w14:paraId="7BAC1DAA" w14:textId="33419432">
      <w:r w:rsidRPr="00010723">
        <w:t>A random sample of persons with gonorrhea</w:t>
      </w:r>
      <w:r w:rsidR="000217B6">
        <w:t xml:space="preserve"> or syphilis </w:t>
      </w:r>
      <w:r w:rsidRPr="00010723" w:rsidR="00E94F31">
        <w:t xml:space="preserve">reported to the health department </w:t>
      </w:r>
      <w:r w:rsidR="000217B6">
        <w:t>is selected, contact attempted, and brief patient</w:t>
      </w:r>
      <w:r w:rsidRPr="00010723">
        <w:t xml:space="preserve"> interview</w:t>
      </w:r>
      <w:r w:rsidR="000217B6">
        <w:t>s conducted</w:t>
      </w:r>
      <w:r w:rsidRPr="00010723">
        <w:t xml:space="preserve"> by </w:t>
      </w:r>
      <w:r w:rsidR="00602154">
        <w:t xml:space="preserve">trained </w:t>
      </w:r>
      <w:r w:rsidRPr="00010723" w:rsidR="00933EF3">
        <w:t>state/</w:t>
      </w:r>
      <w:r w:rsidRPr="00010723">
        <w:t>local health department</w:t>
      </w:r>
      <w:r w:rsidR="005570E8">
        <w:t xml:space="preserve"> staff</w:t>
      </w:r>
      <w:r w:rsidRPr="00010723" w:rsidR="00EA17E0">
        <w:t>.</w:t>
      </w:r>
    </w:p>
    <w:p w:rsidR="0089050E" w:rsidRPr="00010723" w:rsidP="00C77DD0" w14:paraId="14FAF819" w14:textId="77777777"/>
    <w:p w:rsidR="00071005" w:rsidP="00C77DD0" w14:paraId="7B0C9BF0" w14:textId="481EABB9">
      <w:r w:rsidRPr="00010723">
        <w:t xml:space="preserve">As a gonorrhea </w:t>
      </w:r>
      <w:r w:rsidR="000217B6">
        <w:t xml:space="preserve">or syphilis </w:t>
      </w:r>
      <w:r w:rsidRPr="00010723">
        <w:t>case report</w:t>
      </w:r>
      <w:r w:rsidR="000217B6">
        <w:t xml:space="preserve"> or laboratory result</w:t>
      </w:r>
      <w:r w:rsidRPr="00010723">
        <w:t xml:space="preserve"> is received</w:t>
      </w:r>
      <w:r w:rsidRPr="00010723" w:rsidR="00756375">
        <w:t xml:space="preserve"> by the local health department</w:t>
      </w:r>
      <w:r w:rsidRPr="00010723">
        <w:t xml:space="preserve">, </w:t>
      </w:r>
      <w:r w:rsidRPr="00010723" w:rsidR="00EA17E0">
        <w:t xml:space="preserve">it </w:t>
      </w:r>
      <w:r w:rsidR="004A0E0E">
        <w:t>is</w:t>
      </w:r>
      <w:r w:rsidRPr="00010723" w:rsidR="00EA17E0">
        <w:t xml:space="preserve"> assigned a</w:t>
      </w:r>
      <w:r w:rsidRPr="00010723">
        <w:t xml:space="preserve"> random number </w:t>
      </w:r>
      <w:r w:rsidR="000217B6">
        <w:t xml:space="preserve">between 0 and 1 </w:t>
      </w:r>
      <w:r w:rsidRPr="00010723" w:rsidR="00EA17E0">
        <w:t xml:space="preserve">by local </w:t>
      </w:r>
      <w:r w:rsidR="000217B6">
        <w:t>staff</w:t>
      </w:r>
      <w:r w:rsidRPr="00010723" w:rsidR="00EA17E0">
        <w:t xml:space="preserve">.  </w:t>
      </w:r>
      <w:r w:rsidR="00361A72">
        <w:t>This number is then used to draw a probability sample of cases for enhanced investigations. S</w:t>
      </w:r>
      <w:r w:rsidR="00745A96">
        <w:t>ample sizes</w:t>
      </w:r>
      <w:r w:rsidR="00361A72">
        <w:t xml:space="preserve"> vary between funded sites but</w:t>
      </w:r>
      <w:r w:rsidR="00745A96">
        <w:t xml:space="preserve"> generally</w:t>
      </w:r>
      <w:r w:rsidR="00361A72">
        <w:t xml:space="preserve"> include </w:t>
      </w:r>
      <w:r w:rsidR="00EB5AAD">
        <w:t>4</w:t>
      </w:r>
      <w:r w:rsidR="00361A72">
        <w:t xml:space="preserve"> - </w:t>
      </w:r>
      <w:r w:rsidR="00745A96">
        <w:t>10% of all reported cases</w:t>
      </w:r>
      <w:r w:rsidR="00361A72">
        <w:t xml:space="preserve">. </w:t>
      </w:r>
      <w:r w:rsidRPr="00010723">
        <w:t xml:space="preserve"> </w:t>
      </w:r>
      <w:r w:rsidR="00361A72">
        <w:t>C</w:t>
      </w:r>
      <w:r w:rsidRPr="00010723">
        <w:t>ase</w:t>
      </w:r>
      <w:r w:rsidR="00361A72">
        <w:t>s in this random sample</w:t>
      </w:r>
      <w:r w:rsidRPr="00010723">
        <w:t xml:space="preserve"> </w:t>
      </w:r>
      <w:r w:rsidR="00361A72">
        <w:t>are</w:t>
      </w:r>
      <w:r w:rsidRPr="00010723">
        <w:t xml:space="preserve"> </w:t>
      </w:r>
      <w:r w:rsidR="00745A96">
        <w:t>referred to investigators for follow-up investigations and a patient interview is attempted</w:t>
      </w:r>
      <w:r w:rsidRPr="00010723" w:rsidR="00756375">
        <w:t>.</w:t>
      </w:r>
      <w:r w:rsidRPr="00010723">
        <w:t xml:space="preserve">  </w:t>
      </w:r>
      <w:r w:rsidR="00745A96">
        <w:t>Funded jurisdictions</w:t>
      </w:r>
      <w:r w:rsidRPr="00010723" w:rsidR="00593F16">
        <w:t xml:space="preserve"> use th</w:t>
      </w:r>
      <w:r w:rsidRPr="00010723" w:rsidR="00756375">
        <w:t>is</w:t>
      </w:r>
      <w:r w:rsidRPr="00010723" w:rsidR="00593F16">
        <w:t xml:space="preserve"> randomization</w:t>
      </w:r>
      <w:r w:rsidRPr="00010723">
        <w:t xml:space="preserve"> method</w:t>
      </w:r>
      <w:r w:rsidR="00361A72">
        <w:t>,</w:t>
      </w:r>
      <w:r w:rsidRPr="00010723">
        <w:t xml:space="preserve"> </w:t>
      </w:r>
      <w:r w:rsidR="00745A96">
        <w:t xml:space="preserve">per </w:t>
      </w:r>
      <w:r w:rsidR="00361A72">
        <w:t xml:space="preserve">consensus </w:t>
      </w:r>
      <w:r w:rsidR="00745A96">
        <w:t>protocol</w:t>
      </w:r>
      <w:r w:rsidR="00361A72">
        <w:t>s,</w:t>
      </w:r>
      <w:r w:rsidR="00745A96">
        <w:t xml:space="preserve"> </w:t>
      </w:r>
      <w:r w:rsidRPr="00010723">
        <w:t xml:space="preserve">to </w:t>
      </w:r>
      <w:r w:rsidR="007960D8">
        <w:t xml:space="preserve">identify cases and </w:t>
      </w:r>
      <w:r w:rsidRPr="00010723">
        <w:t xml:space="preserve">complete </w:t>
      </w:r>
      <w:r w:rsidRPr="00010723" w:rsidR="00756375">
        <w:t>interview</w:t>
      </w:r>
      <w:r w:rsidRPr="00010723">
        <w:t>s</w:t>
      </w:r>
      <w:r w:rsidR="007960D8">
        <w:t xml:space="preserve">. </w:t>
      </w:r>
      <w:r w:rsidRPr="00010723" w:rsidR="00933EF3">
        <w:t xml:space="preserve"> </w:t>
      </w:r>
      <w:r w:rsidR="00361A72">
        <w:t xml:space="preserve">All identifiable information is held locally in compliance with state/local disease reporting regulations; </w:t>
      </w:r>
      <w:r w:rsidRPr="00010723" w:rsidR="00EA17E0">
        <w:t>CDC</w:t>
      </w:r>
      <w:r w:rsidRPr="00010723" w:rsidR="007D32CC">
        <w:t xml:space="preserve"> </w:t>
      </w:r>
      <w:r w:rsidR="00C65E1B">
        <w:t xml:space="preserve">does not receive </w:t>
      </w:r>
      <w:r w:rsidR="00361A72">
        <w:t xml:space="preserve">any </w:t>
      </w:r>
      <w:r w:rsidRPr="00010723" w:rsidR="005B69CD">
        <w:t>information</w:t>
      </w:r>
      <w:r w:rsidR="00361A72">
        <w:t xml:space="preserve"> for</w:t>
      </w:r>
      <w:r w:rsidRPr="00010723" w:rsidR="007D32CC">
        <w:t xml:space="preserve"> cases</w:t>
      </w:r>
      <w:r w:rsidR="00361A72">
        <w:t xml:space="preserve"> investigated</w:t>
      </w:r>
      <w:r w:rsidRPr="00010723" w:rsidR="007D32CC">
        <w:t xml:space="preserve"> </w:t>
      </w:r>
      <w:r w:rsidRPr="00010723" w:rsidR="00EA17E0">
        <w:t>and</w:t>
      </w:r>
      <w:r w:rsidR="00C65E1B">
        <w:t xml:space="preserve"> </w:t>
      </w:r>
      <w:r w:rsidR="00361A72">
        <w:t xml:space="preserve">CDC </w:t>
      </w:r>
      <w:r w:rsidR="00C65E1B">
        <w:t>does</w:t>
      </w:r>
      <w:r w:rsidRPr="00010723" w:rsidR="00EA17E0">
        <w:t xml:space="preserve"> not participate in any way in the contact of cases for interview.</w:t>
      </w:r>
    </w:p>
    <w:p w:rsidR="0089050E" w:rsidRPr="00010723" w:rsidP="00C77DD0" w14:paraId="2DC7439E" w14:textId="77777777"/>
    <w:p w:rsidR="00071005" w:rsidP="00C77DD0" w14:paraId="5079E0EF" w14:textId="5ADBE67F">
      <w:r>
        <w:t>Among s</w:t>
      </w:r>
      <w:r w:rsidRPr="00010723" w:rsidR="00D73C85">
        <w:t>ampl</w:t>
      </w:r>
      <w:r w:rsidR="00C65E1B">
        <w:t>e</w:t>
      </w:r>
      <w:r>
        <w:t xml:space="preserve">d cases, a minimum of 4 contact attempts </w:t>
      </w:r>
      <w:r w:rsidRPr="00361A72" w:rsidR="00361A72">
        <w:t xml:space="preserve">to complete a telephone or in-person interview </w:t>
      </w:r>
      <w:r w:rsidR="00361A72">
        <w:t>is</w:t>
      </w:r>
      <w:r>
        <w:t xml:space="preserve"> made </w:t>
      </w:r>
      <w:r w:rsidRPr="00010723">
        <w:t>by trained interviewers</w:t>
      </w:r>
      <w:r>
        <w:t xml:space="preserve"> within 3</w:t>
      </w:r>
      <w:r w:rsidRPr="00010723" w:rsidR="00C65E1B">
        <w:t>0 days of receipt of their case report</w:t>
      </w:r>
      <w:r w:rsidRPr="00010723" w:rsidR="0066469F">
        <w:t xml:space="preserve">.  </w:t>
      </w:r>
      <w:r w:rsidRPr="00010723" w:rsidR="0042786E">
        <w:t>I</w:t>
      </w:r>
      <w:r w:rsidRPr="00010723" w:rsidR="0020451F">
        <w:t>nterviewers</w:t>
      </w:r>
      <w:r w:rsidR="007F6B53">
        <w:t xml:space="preserve"> follow protocols to</w:t>
      </w:r>
      <w:r w:rsidRPr="00010723" w:rsidR="0020451F">
        <w:t xml:space="preserve"> collect information on demographics,</w:t>
      </w:r>
      <w:r w:rsidRPr="00010723" w:rsidR="00DE1C52">
        <w:t xml:space="preserve"> </w:t>
      </w:r>
      <w:r w:rsidR="00513098">
        <w:t>STI</w:t>
      </w:r>
      <w:r w:rsidRPr="00010723" w:rsidR="00DE1C52">
        <w:t xml:space="preserve"> clinical</w:t>
      </w:r>
      <w:r w:rsidRPr="00010723" w:rsidR="0020451F">
        <w:t xml:space="preserve"> history, and behavioral risk factors associated with </w:t>
      </w:r>
      <w:r w:rsidR="00513098">
        <w:t>STI</w:t>
      </w:r>
      <w:r w:rsidRPr="00010723" w:rsidR="0020451F">
        <w:t>s</w:t>
      </w:r>
      <w:r w:rsidR="007628C7">
        <w:t>, including mpox vaccination history</w:t>
      </w:r>
      <w:r w:rsidRPr="00010723" w:rsidR="0020451F">
        <w:t xml:space="preserve"> (see </w:t>
      </w:r>
      <w:r w:rsidRPr="007628C7" w:rsidR="007628C7">
        <w:rPr>
          <w:b/>
          <w:bCs/>
        </w:rPr>
        <w:t>ATTACHMENT 5</w:t>
      </w:r>
      <w:r w:rsidRPr="00010723" w:rsidR="0020451F">
        <w:t xml:space="preserve">). </w:t>
      </w:r>
      <w:r w:rsidRPr="00EB2D92" w:rsidR="00EB2D92">
        <w:t>Funded jurisdictio</w:t>
      </w:r>
      <w:r w:rsidR="007F6B53">
        <w:t xml:space="preserve">ns </w:t>
      </w:r>
      <w:r w:rsidRPr="00EB2D92" w:rsidR="00EB2D92">
        <w:t>develop</w:t>
      </w:r>
      <w:r w:rsidR="007F6B53">
        <w:t xml:space="preserve"> their own local</w:t>
      </w:r>
      <w:r w:rsidRPr="00EB2D92" w:rsidR="00EB2D92">
        <w:t xml:space="preserve"> data collection instruments</w:t>
      </w:r>
      <w:r w:rsidR="007F6B53">
        <w:t>, in compliance with protocols,</w:t>
      </w:r>
      <w:r w:rsidRPr="00EB2D92" w:rsidR="00EB2D92">
        <w:t xml:space="preserve"> to elicit case-specific information from diagnosing providers</w:t>
      </w:r>
      <w:r w:rsidR="007F6B53">
        <w:t>. Jurisdictions employ</w:t>
      </w:r>
      <w:r w:rsidRPr="00EB2D92" w:rsidR="00EB2D92">
        <w:t xml:space="preserve"> </w:t>
      </w:r>
      <w:r w:rsidR="007628C7">
        <w:t xml:space="preserve">local </w:t>
      </w:r>
      <w:r w:rsidRPr="00EB2D92" w:rsidR="00EB2D92">
        <w:t>data collection method(s)</w:t>
      </w:r>
      <w:r w:rsidR="007F6B53">
        <w:t xml:space="preserve"> that</w:t>
      </w:r>
      <w:r w:rsidRPr="00EB2D92" w:rsidR="00EB2D92">
        <w:t xml:space="preserve"> work best in their project area</w:t>
      </w:r>
      <w:r w:rsidR="007628C7">
        <w:t>,</w:t>
      </w:r>
      <w:r w:rsidR="007F6B53">
        <w:t xml:space="preserve"> such as conducting phone interviews with a computer-assisted data entry capability or use printed interview forms</w:t>
      </w:r>
      <w:r w:rsidRPr="00EB2D92" w:rsidR="00EB2D92">
        <w:t>.</w:t>
      </w:r>
      <w:r w:rsidRPr="00010723" w:rsidR="0020451F">
        <w:t xml:space="preserve"> </w:t>
      </w:r>
      <w:r w:rsidR="007F6B53">
        <w:t>Field experience and pilot testing confirms that patient interview</w:t>
      </w:r>
      <w:r w:rsidR="007628C7">
        <w:t>s</w:t>
      </w:r>
      <w:r w:rsidR="007F6B53">
        <w:t xml:space="preserve"> </w:t>
      </w:r>
      <w:r w:rsidR="007628C7">
        <w:t>take</w:t>
      </w:r>
      <w:r w:rsidRPr="001351E5" w:rsidR="001351E5">
        <w:t xml:space="preserve"> approximately </w:t>
      </w:r>
      <w:r w:rsidR="001351E5">
        <w:t>10</w:t>
      </w:r>
      <w:r w:rsidRPr="001351E5" w:rsidR="001351E5">
        <w:t xml:space="preserve"> minutes</w:t>
      </w:r>
      <w:r w:rsidR="007628C7">
        <w:t xml:space="preserve"> for patients to complete</w:t>
      </w:r>
      <w:r w:rsidR="007F6B53">
        <w:t>.</w:t>
      </w:r>
      <w:r w:rsidRPr="00010723">
        <w:t xml:space="preserve"> </w:t>
      </w:r>
    </w:p>
    <w:p w:rsidR="0089050E" w:rsidRPr="00010723" w:rsidP="00C77DD0" w14:paraId="6EB7172C" w14:textId="77777777"/>
    <w:p w:rsidR="00071005" w:rsidP="00C77DD0" w14:paraId="0100F7D6" w14:textId="1594B929">
      <w:r>
        <w:t xml:space="preserve">Interview data </w:t>
      </w:r>
      <w:r w:rsidR="00C65E1B">
        <w:t>are</w:t>
      </w:r>
      <w:r>
        <w:t xml:space="preserve"> maintained in </w:t>
      </w:r>
      <w:r w:rsidR="007F6B53">
        <w:t>secure data systems</w:t>
      </w:r>
      <w:r>
        <w:t xml:space="preserve"> by the collaborating jurisdictions.</w:t>
      </w:r>
    </w:p>
    <w:p w:rsidR="00DA31C4" w:rsidP="00C77DD0" w14:paraId="1D30822B" w14:textId="7DF29556">
      <w:r>
        <w:t>These d</w:t>
      </w:r>
      <w:r w:rsidR="00C65E1B">
        <w:t>ata are</w:t>
      </w:r>
      <w:r w:rsidRPr="00010723" w:rsidR="00504B4F">
        <w:t xml:space="preserve"> </w:t>
      </w:r>
      <w:r w:rsidR="007960D8">
        <w:t xml:space="preserve">routinely verified </w:t>
      </w:r>
      <w:r w:rsidRPr="00010723" w:rsidR="00D123D0">
        <w:t xml:space="preserve">by trained </w:t>
      </w:r>
      <w:r w:rsidR="007960D8">
        <w:t xml:space="preserve">data management </w:t>
      </w:r>
      <w:r>
        <w:t>staff</w:t>
      </w:r>
      <w:r w:rsidRPr="00010723" w:rsidR="00D123D0">
        <w:t xml:space="preserve"> </w:t>
      </w:r>
      <w:r>
        <w:t>using CDC-provided</w:t>
      </w:r>
      <w:r w:rsidRPr="00010723" w:rsidR="004C6F59">
        <w:t xml:space="preserve"> </w:t>
      </w:r>
      <w:r w:rsidRPr="00010723" w:rsidR="00CA618F">
        <w:t xml:space="preserve">edit check </w:t>
      </w:r>
      <w:r w:rsidRPr="00010723" w:rsidR="004C6F59">
        <w:t>program</w:t>
      </w:r>
      <w:r w:rsidR="00C65E1B">
        <w:t>s</w:t>
      </w:r>
      <w:r w:rsidRPr="00010723" w:rsidR="004C6F59">
        <w:t xml:space="preserve">.  </w:t>
      </w:r>
      <w:r w:rsidRPr="00010723" w:rsidR="00071005">
        <w:t>On a</w:t>
      </w:r>
      <w:r w:rsidR="001351E5">
        <w:t xml:space="preserve"> </w:t>
      </w:r>
      <w:r w:rsidR="00C65E1B">
        <w:t>bi-</w:t>
      </w:r>
      <w:r w:rsidRPr="00010723" w:rsidR="00933EF3">
        <w:t>month</w:t>
      </w:r>
      <w:r w:rsidR="001351E5">
        <w:t>ly</w:t>
      </w:r>
      <w:r w:rsidRPr="00010723" w:rsidR="00933EF3">
        <w:t xml:space="preserve"> basis</w:t>
      </w:r>
      <w:r w:rsidRPr="00010723" w:rsidR="00071005">
        <w:t>, d</w:t>
      </w:r>
      <w:r w:rsidRPr="00010723" w:rsidR="004C6F59">
        <w:t xml:space="preserve">ata </w:t>
      </w:r>
      <w:r w:rsidR="00C65E1B">
        <w:t>are</w:t>
      </w:r>
      <w:r w:rsidRPr="00010723" w:rsidR="004C6F59">
        <w:t xml:space="preserve"> </w:t>
      </w:r>
      <w:r>
        <w:t>securely transferred to CDC</w:t>
      </w:r>
      <w:r w:rsidRPr="00010723" w:rsidR="00017CA2">
        <w:t xml:space="preserve"> </w:t>
      </w:r>
      <w:bookmarkStart w:id="0" w:name="OLE_LINK9"/>
      <w:bookmarkStart w:id="1" w:name="OLE_LINK10"/>
      <w:r w:rsidRPr="00010723" w:rsidR="00504B4F">
        <w:t xml:space="preserve">by trained data managers </w:t>
      </w:r>
      <w:bookmarkEnd w:id="0"/>
      <w:bookmarkEnd w:id="1"/>
      <w:r w:rsidRPr="00010723" w:rsidR="00017CA2">
        <w:t xml:space="preserve">at collaborating sites </w:t>
      </w:r>
      <w:r>
        <w:t xml:space="preserve">using CDC’s </w:t>
      </w:r>
      <w:r w:rsidRPr="00BE38E0" w:rsidR="00BE38E0">
        <w:t>secure access management system (SAMS)</w:t>
      </w:r>
      <w:r w:rsidRPr="00010723" w:rsidR="00FD6F3D">
        <w:t xml:space="preserve">.  </w:t>
      </w:r>
      <w:r w:rsidRPr="00010723" w:rsidR="00071005">
        <w:t>At CDC, d</w:t>
      </w:r>
      <w:r w:rsidRPr="00010723" w:rsidR="00FD6F3D">
        <w:t xml:space="preserve">ata </w:t>
      </w:r>
      <w:r w:rsidR="00C65E1B">
        <w:t>are</w:t>
      </w:r>
      <w:r w:rsidRPr="00010723" w:rsidR="00017CA2">
        <w:t xml:space="preserve"> </w:t>
      </w:r>
      <w:r w:rsidRPr="00010723" w:rsidR="004E3F53">
        <w:t xml:space="preserve">stored </w:t>
      </w:r>
      <w:r w:rsidRPr="00010723" w:rsidR="004C6F59">
        <w:t xml:space="preserve">and maintained </w:t>
      </w:r>
      <w:r w:rsidRPr="00010723" w:rsidR="004E3F53">
        <w:t xml:space="preserve">by a data manager in the </w:t>
      </w:r>
      <w:r>
        <w:t>Surveillance</w:t>
      </w:r>
      <w:r w:rsidRPr="00010723" w:rsidR="004E3F53">
        <w:t xml:space="preserve"> and Data </w:t>
      </w:r>
      <w:r w:rsidR="007628C7">
        <w:t>Science</w:t>
      </w:r>
      <w:r w:rsidRPr="00010723" w:rsidR="004E3F53">
        <w:t xml:space="preserve"> Branch </w:t>
      </w:r>
      <w:r w:rsidR="00593187">
        <w:t xml:space="preserve">(Division of </w:t>
      </w:r>
      <w:r w:rsidR="00513098">
        <w:t>STI</w:t>
      </w:r>
      <w:r w:rsidR="00593187">
        <w:t xml:space="preserve"> and Prevention/</w:t>
      </w:r>
      <w:r w:rsidRPr="00010723" w:rsidR="004E3F53">
        <w:t xml:space="preserve"> National Center for HIV</w:t>
      </w:r>
      <w:r w:rsidR="001351E5">
        <w:t>/AIDS</w:t>
      </w:r>
      <w:r w:rsidRPr="00010723" w:rsidR="004E3F53">
        <w:t>,</w:t>
      </w:r>
      <w:r w:rsidR="001351E5">
        <w:t xml:space="preserve"> Viral</w:t>
      </w:r>
      <w:r w:rsidRPr="00010723" w:rsidR="004E3F53">
        <w:t xml:space="preserve"> Hepatitis, </w:t>
      </w:r>
      <w:r w:rsidR="00513098">
        <w:t>STI</w:t>
      </w:r>
      <w:r w:rsidRPr="00010723" w:rsidR="004E3F53">
        <w:t>, and TB Prevention</w:t>
      </w:r>
      <w:r w:rsidR="00593187">
        <w:t>)</w:t>
      </w:r>
      <w:r w:rsidRPr="00010723" w:rsidR="004E3F53">
        <w:t>.</w:t>
      </w:r>
      <w:r w:rsidRPr="00010723" w:rsidR="00B550FC">
        <w:t xml:space="preserve">  </w:t>
      </w:r>
      <w:r w:rsidRPr="00010723" w:rsidR="00563665">
        <w:t xml:space="preserve">Completeness </w:t>
      </w:r>
      <w:r>
        <w:t xml:space="preserve">of reporting and </w:t>
      </w:r>
      <w:r w:rsidRPr="00010723" w:rsidR="00563665">
        <w:t>data</w:t>
      </w:r>
      <w:r>
        <w:t xml:space="preserve"> quality</w:t>
      </w:r>
      <w:r w:rsidR="00593187">
        <w:t xml:space="preserve"> </w:t>
      </w:r>
      <w:r>
        <w:t>are</w:t>
      </w:r>
      <w:r w:rsidR="00C65E1B">
        <w:t xml:space="preserve"> actively</w:t>
      </w:r>
      <w:r w:rsidRPr="00010723" w:rsidR="00563665">
        <w:t xml:space="preserve"> monitored by CDC</w:t>
      </w:r>
      <w:r w:rsidRPr="00010723" w:rsidR="006545CA">
        <w:t xml:space="preserve"> on </w:t>
      </w:r>
      <w:r w:rsidR="001351E5">
        <w:t>a</w:t>
      </w:r>
      <w:r w:rsidR="00C65E1B">
        <w:t xml:space="preserve"> routine</w:t>
      </w:r>
      <w:r w:rsidRPr="00010723" w:rsidR="00933EF3">
        <w:t xml:space="preserve"> basis</w:t>
      </w:r>
      <w:r w:rsidRPr="00010723" w:rsidR="00563665">
        <w:t xml:space="preserve">.  </w:t>
      </w:r>
      <w:r w:rsidRPr="00010723" w:rsidR="00B550FC">
        <w:t>Site visits, regular communication with CDC, data quality checks</w:t>
      </w:r>
      <w:r w:rsidR="001351E5">
        <w:t xml:space="preserve"> and technical assistance also</w:t>
      </w:r>
      <w:r w:rsidRPr="00010723" w:rsidR="00B550FC">
        <w:t xml:space="preserve"> provide opportunit</w:t>
      </w:r>
      <w:r w:rsidR="001351E5">
        <w:t>ies</w:t>
      </w:r>
      <w:r w:rsidRPr="00010723" w:rsidR="00B550FC">
        <w:t xml:space="preserve"> for evaluation a</w:t>
      </w:r>
      <w:r w:rsidRPr="00010723" w:rsidR="0042786E">
        <w:t xml:space="preserve">nd troubleshooting of these </w:t>
      </w:r>
      <w:r w:rsidRPr="00010723" w:rsidR="00B550FC">
        <w:t>processes.</w:t>
      </w:r>
    </w:p>
    <w:p w:rsidR="0089050E" w:rsidP="00C77DD0" w14:paraId="68FE72A7" w14:textId="77777777"/>
    <w:p w:rsidR="00C53D5D" w:rsidP="00C77DD0" w14:paraId="71ECDE26" w14:textId="41423EB8">
      <w:r w:rsidRPr="00505A98">
        <w:t xml:space="preserve">Given the nature of how STD surveillance data is collected and compiled from various sources, the design of local surveillance systems at the health departments, and how data is to be reported and submitted from the health departments to CDC, surveillance systems at the health departments currently lack the ability to collect the granularity of sub-categories beyond the race/ethnicity categories included in this project. At this time, revising this component of data collection would pose a financial and logistical hardship to the collaborating sites, while also significantly impacting CDC’s ability to implement proper sentinel surveillance and ensure interoperability/comparability with other existing data systems. Many local health department collaborators and other Federal partners are in the process of updating their data collection standards, and will have capability to collect more reliable and valid race/ethnicity data from the populations we serve within the next 12-18 months. Accordingly, the </w:t>
      </w:r>
      <w:r w:rsidR="002F701E">
        <w:t>next revision or extension of this data collection</w:t>
      </w:r>
      <w:r w:rsidR="00F968FA">
        <w:t xml:space="preserve"> will be designed to achieve </w:t>
      </w:r>
      <w:r w:rsidR="002F701E">
        <w:t xml:space="preserve">full </w:t>
      </w:r>
      <w:r w:rsidR="00F968FA">
        <w:t>compliance with the</w:t>
      </w:r>
      <w:r w:rsidRPr="00010723" w:rsidR="00F87109">
        <w:t xml:space="preserve"> Office of Management and Budget’s Standards for Maintaining, Collecting, and Presenting Federal Data on Race and Ethnicity, also known as Statistical Policy Directive 15.</w:t>
      </w:r>
      <w:r w:rsidR="007F6B53">
        <w:t xml:space="preserve"> Validated questions, or widely recognized best practices, were used for all other data collection activities.</w:t>
      </w:r>
      <w:r w:rsidR="007628C7">
        <w:t xml:space="preserve"> All gonorrhea and syphilis cases are also matched locally against the local jurisdictions HIV surveillance registry to determine HIV coinfection.</w:t>
      </w:r>
    </w:p>
    <w:p w:rsidR="00C53D5D" w:rsidRPr="00010723" w:rsidP="00C77DD0" w14:paraId="291866A6" w14:textId="77777777"/>
    <w:p w:rsidR="00E821EF" w:rsidRPr="00010723" w:rsidP="00EC018D" w14:paraId="2826AEF8" w14:textId="77777777"/>
    <w:p w:rsidR="00D01186" w:rsidRPr="00010723" w:rsidP="00C77DD0" w14:paraId="6F133090" w14:textId="77777777">
      <w:pPr>
        <w:tabs>
          <w:tab w:val="left" w:pos="2880"/>
        </w:tabs>
        <w:spacing w:after="120"/>
        <w:rPr>
          <w:b/>
        </w:rPr>
      </w:pPr>
      <w:r w:rsidRPr="00010723">
        <w:rPr>
          <w:b/>
        </w:rPr>
        <w:t>3. Methods to Maximize Response Rates and Deal with Nonresponse</w:t>
      </w:r>
    </w:p>
    <w:p w:rsidR="00C257CF" w:rsidRPr="00010723" w:rsidP="00C77DD0" w14:paraId="4E3B07A9" w14:textId="5E580FE8">
      <w:pPr>
        <w:spacing w:after="120"/>
        <w:rPr>
          <w:i/>
        </w:rPr>
      </w:pPr>
      <w:bookmarkStart w:id="2" w:name="OLE_LINK3"/>
      <w:bookmarkStart w:id="3" w:name="OLE_LINK4"/>
      <w:r>
        <w:rPr>
          <w:i/>
        </w:rPr>
        <w:t xml:space="preserve">Strategy A - </w:t>
      </w:r>
      <w:r w:rsidR="008A3A51">
        <w:rPr>
          <w:i/>
        </w:rPr>
        <w:t>Facility</w:t>
      </w:r>
      <w:r w:rsidRPr="00010723">
        <w:rPr>
          <w:i/>
        </w:rPr>
        <w:t xml:space="preserve">-based </w:t>
      </w:r>
      <w:r w:rsidR="00513098">
        <w:rPr>
          <w:i/>
        </w:rPr>
        <w:t>STI</w:t>
      </w:r>
      <w:r w:rsidRPr="00010723">
        <w:rPr>
          <w:i/>
        </w:rPr>
        <w:t xml:space="preserve"> surveillance:</w:t>
      </w:r>
    </w:p>
    <w:p w:rsidR="00C257CF" w:rsidRPr="00010723" w:rsidP="00C77DD0" w14:paraId="49A1C845" w14:textId="7367274C">
      <w:pPr>
        <w:tabs>
          <w:tab w:val="left" w:pos="2880"/>
        </w:tabs>
        <w:spacing w:before="120"/>
      </w:pPr>
      <w:r w:rsidRPr="00010723">
        <w:t>Facility</w:t>
      </w:r>
      <w:r w:rsidRPr="00010723">
        <w:t xml:space="preserve"> data for </w:t>
      </w:r>
      <w:r w:rsidRPr="00010723">
        <w:t>SSuN</w:t>
      </w:r>
      <w:r w:rsidRPr="00010723">
        <w:t xml:space="preserve"> are extracted from </w:t>
      </w:r>
      <w:r w:rsidR="0072030E">
        <w:t>information</w:t>
      </w:r>
      <w:r w:rsidRPr="00010723">
        <w:t xml:space="preserve"> collected </w:t>
      </w:r>
      <w:r w:rsidR="0072030E">
        <w:t xml:space="preserve">in electronic health records </w:t>
      </w:r>
      <w:r w:rsidRPr="00010723">
        <w:t xml:space="preserve">as a routine part of all </w:t>
      </w:r>
      <w:r w:rsidR="00513098">
        <w:t>STI</w:t>
      </w:r>
      <w:r w:rsidRPr="00010723">
        <w:t xml:space="preserve"> </w:t>
      </w:r>
      <w:r w:rsidR="00010723">
        <w:t>facility</w:t>
      </w:r>
      <w:r w:rsidR="007960D8">
        <w:t xml:space="preserve"> </w:t>
      </w:r>
      <w:r w:rsidRPr="00010723">
        <w:t>encounters</w:t>
      </w:r>
      <w:r w:rsidR="001B7B2F">
        <w:t xml:space="preserve"> in the participating clinics</w:t>
      </w:r>
      <w:r w:rsidRPr="00010723">
        <w:t xml:space="preserve">.  </w:t>
      </w:r>
      <w:r w:rsidRPr="00010723" w:rsidR="00DE591E">
        <w:t xml:space="preserve">The challenge of non-response is not applicable for </w:t>
      </w:r>
      <w:r w:rsidRPr="00010723" w:rsidR="00AE090D">
        <w:t xml:space="preserve">this </w:t>
      </w:r>
      <w:r w:rsidR="00C65E1B">
        <w:t xml:space="preserve">activity </w:t>
      </w:r>
      <w:r w:rsidRPr="00010723" w:rsidR="00DE591E">
        <w:t xml:space="preserve">because the data elements </w:t>
      </w:r>
      <w:r w:rsidR="00C65E1B">
        <w:t>are</w:t>
      </w:r>
      <w:r w:rsidRPr="00010723" w:rsidR="00DE591E">
        <w:t xml:space="preserve"> extracted according to a pre-determined protocol </w:t>
      </w:r>
      <w:r w:rsidRPr="00010723" w:rsidR="00F01DD1">
        <w:t xml:space="preserve">for all patients </w:t>
      </w:r>
      <w:r w:rsidR="00C65E1B">
        <w:t>presenting for care at the</w:t>
      </w:r>
      <w:r w:rsidRPr="00010723" w:rsidR="00F01DD1">
        <w:t xml:space="preserve"> </w:t>
      </w:r>
      <w:r w:rsidRPr="00010723">
        <w:t>facility</w:t>
      </w:r>
      <w:r w:rsidRPr="00010723" w:rsidR="00F01DD1">
        <w:t xml:space="preserve"> </w:t>
      </w:r>
      <w:r w:rsidRPr="00010723" w:rsidR="00DE591E">
        <w:t>and submitted to CDC through the existing secure data network.</w:t>
      </w:r>
    </w:p>
    <w:p w:rsidR="004A5F9F" w:rsidRPr="00010723" w:rsidP="00C77DD0" w14:paraId="5E8CCBCB" w14:textId="53EF4379">
      <w:pPr>
        <w:spacing w:before="120"/>
        <w:rPr>
          <w:i/>
        </w:rPr>
      </w:pPr>
      <w:r>
        <w:rPr>
          <w:i/>
        </w:rPr>
        <w:t xml:space="preserve">Strategy B - </w:t>
      </w:r>
      <w:r w:rsidR="001B7B2F">
        <w:rPr>
          <w:i/>
        </w:rPr>
        <w:t>Case</w:t>
      </w:r>
      <w:r w:rsidRPr="00010723">
        <w:rPr>
          <w:i/>
        </w:rPr>
        <w:t xml:space="preserve">-based </w:t>
      </w:r>
      <w:r w:rsidR="001B7B2F">
        <w:rPr>
          <w:i/>
        </w:rPr>
        <w:t xml:space="preserve">Enhanced </w:t>
      </w:r>
      <w:r w:rsidR="005570E8">
        <w:rPr>
          <w:i/>
        </w:rPr>
        <w:t>Gonorrhea</w:t>
      </w:r>
      <w:r w:rsidRPr="00010723" w:rsidR="005570E8">
        <w:rPr>
          <w:i/>
        </w:rPr>
        <w:t xml:space="preserve"> </w:t>
      </w:r>
      <w:r w:rsidR="001B7B2F">
        <w:rPr>
          <w:i/>
        </w:rPr>
        <w:t>S</w:t>
      </w:r>
      <w:r w:rsidRPr="00010723">
        <w:rPr>
          <w:i/>
        </w:rPr>
        <w:t>urveillance:</w:t>
      </w:r>
    </w:p>
    <w:bookmarkEnd w:id="2"/>
    <w:bookmarkEnd w:id="3"/>
    <w:p w:rsidR="00A11614" w:rsidP="00B93D3C" w14:paraId="0BC9D2B5" w14:textId="1C7CA266">
      <w:pPr>
        <w:tabs>
          <w:tab w:val="left" w:pos="2880"/>
        </w:tabs>
        <w:spacing w:before="120"/>
      </w:pPr>
      <w:r w:rsidRPr="00A174A1">
        <w:t>Th</w:t>
      </w:r>
      <w:r w:rsidR="0072030E">
        <w:t xml:space="preserve">is </w:t>
      </w:r>
      <w:r w:rsidRPr="00A174A1">
        <w:t>project</w:t>
      </w:r>
      <w:r w:rsidR="0072030E">
        <w:t xml:space="preserve"> requires compliance with protocols (see ATTACHMENT 4) for multiple contact attempts, outreach to diagnosing providers for current contact information and evening/weekend contact attempts to maximize response rates</w:t>
      </w:r>
      <w:r w:rsidRPr="00A174A1">
        <w:t>.</w:t>
      </w:r>
      <w:r w:rsidRPr="00B93D3C" w:rsidR="00B93D3C">
        <w:t xml:space="preserve"> </w:t>
      </w:r>
      <w:r w:rsidR="0072030E">
        <w:t>T</w:t>
      </w:r>
      <w:r w:rsidR="00B93D3C">
        <w:t xml:space="preserve">rained </w:t>
      </w:r>
      <w:r w:rsidRPr="00B93D3C" w:rsidR="00B93D3C">
        <w:t>project staff</w:t>
      </w:r>
      <w:r w:rsidR="0072030E">
        <w:t xml:space="preserve"> routinely</w:t>
      </w:r>
      <w:r w:rsidRPr="00B93D3C" w:rsidR="00B93D3C">
        <w:t xml:space="preserve"> employ telephone</w:t>
      </w:r>
      <w:r w:rsidR="00B93D3C">
        <w:t xml:space="preserve"> or in-person</w:t>
      </w:r>
      <w:r w:rsidRPr="00B93D3C" w:rsidR="00B93D3C">
        <w:t xml:space="preserve"> interviewing</w:t>
      </w:r>
      <w:r w:rsidR="0072030E">
        <w:t xml:space="preserve"> and may also incorporate SMS messaging to recruit patients</w:t>
      </w:r>
      <w:r w:rsidR="00B93D3C">
        <w:t>.</w:t>
      </w:r>
      <w:r w:rsidR="00AC7653">
        <w:t xml:space="preserve"> </w:t>
      </w:r>
      <w:r w:rsidR="0072030E">
        <w:t>Specific p</w:t>
      </w:r>
      <w:r w:rsidRPr="00010723" w:rsidR="00560475">
        <w:t xml:space="preserve">rotocols for maximizing the likelihood of a successful interview with patients vary by site, but </w:t>
      </w:r>
      <w:r w:rsidR="00C65E1B">
        <w:t>a minimum of</w:t>
      </w:r>
      <w:r w:rsidRPr="00010723" w:rsidR="0015678D">
        <w:t xml:space="preserve"> </w:t>
      </w:r>
      <w:r>
        <w:t>four</w:t>
      </w:r>
      <w:r w:rsidRPr="00010723" w:rsidR="0015678D">
        <w:t xml:space="preserve"> attempts to contact selected patient</w:t>
      </w:r>
      <w:r w:rsidR="00C65E1B">
        <w:t>s</w:t>
      </w:r>
      <w:r w:rsidRPr="00010723" w:rsidR="0015678D">
        <w:t xml:space="preserve"> </w:t>
      </w:r>
      <w:r w:rsidR="00E55BDE">
        <w:t>are</w:t>
      </w:r>
      <w:r w:rsidRPr="00010723" w:rsidR="00560475">
        <w:t xml:space="preserve"> made </w:t>
      </w:r>
      <w:r w:rsidRPr="00010723" w:rsidR="00501E8C">
        <w:t>in all sites</w:t>
      </w:r>
      <w:r w:rsidR="0072030E">
        <w:t>. A</w:t>
      </w:r>
      <w:r>
        <w:t>dditional sources of patient contact information</w:t>
      </w:r>
      <w:r w:rsidR="0072030E">
        <w:t xml:space="preserve"> are also used</w:t>
      </w:r>
      <w:r>
        <w:t>, such as provider emergency contact information, state licensing data and/or social services registries</w:t>
      </w:r>
      <w:r w:rsidR="0072030E">
        <w:t xml:space="preserve"> to reduce loss to follow-up</w:t>
      </w:r>
      <w:r>
        <w:t xml:space="preserve">. </w:t>
      </w:r>
    </w:p>
    <w:p w:rsidR="001351E5" w:rsidP="00C77DD0" w14:paraId="0983C02B" w14:textId="148253A4">
      <w:pPr>
        <w:tabs>
          <w:tab w:val="left" w:pos="2880"/>
        </w:tabs>
        <w:spacing w:before="120"/>
      </w:pPr>
      <w:r w:rsidRPr="001351E5">
        <w:t xml:space="preserve">Participants are informed </w:t>
      </w:r>
      <w:r w:rsidR="00A11614">
        <w:t>that</w:t>
      </w:r>
      <w:r w:rsidRPr="001351E5">
        <w:t xml:space="preserve"> the interview is voluntary </w:t>
      </w:r>
      <w:r w:rsidR="00A11614">
        <w:t xml:space="preserve">and </w:t>
      </w:r>
      <w:r w:rsidR="0072030E">
        <w:t xml:space="preserve">that </w:t>
      </w:r>
      <w:r w:rsidR="00A11614">
        <w:t>refusal to participate</w:t>
      </w:r>
      <w:r w:rsidR="0072030E">
        <w:t xml:space="preserve"> or respond to specific questions</w:t>
      </w:r>
      <w:r w:rsidR="00A11614">
        <w:t xml:space="preserve"> accrues no risk or harm</w:t>
      </w:r>
      <w:r>
        <w:t xml:space="preserve">. </w:t>
      </w:r>
      <w:r w:rsidR="00B93D3C">
        <w:t>T</w:t>
      </w:r>
      <w:r w:rsidRPr="00B93D3C" w:rsidR="00B93D3C">
        <w:t>he response rate</w:t>
      </w:r>
      <w:r w:rsidR="0072030E">
        <w:t xml:space="preserve"> varies</w:t>
      </w:r>
      <w:r w:rsidR="00EB5AAD">
        <w:t xml:space="preserve"> between funded jurisdictions</w:t>
      </w:r>
      <w:r w:rsidR="0072030E">
        <w:t xml:space="preserve"> but has historically been between 35% - 70% of all randomly sampled cases</w:t>
      </w:r>
      <w:r w:rsidRPr="00B93D3C" w:rsidR="00B93D3C">
        <w:t xml:space="preserve">. </w:t>
      </w:r>
      <w:r w:rsidR="0072030E">
        <w:t>T</w:t>
      </w:r>
      <w:r w:rsidRPr="00B93D3C" w:rsidR="00B93D3C">
        <w:t xml:space="preserve">he </w:t>
      </w:r>
      <w:r w:rsidR="0072030E">
        <w:t xml:space="preserve">project </w:t>
      </w:r>
      <w:r w:rsidRPr="00B93D3C" w:rsidR="00B93D3C">
        <w:t>goal</w:t>
      </w:r>
      <w:r w:rsidR="0072030E">
        <w:t xml:space="preserve"> is</w:t>
      </w:r>
      <w:r w:rsidRPr="00B93D3C" w:rsidR="00B93D3C">
        <w:t xml:space="preserve"> to interview </w:t>
      </w:r>
      <w:r w:rsidR="00B93D3C">
        <w:t xml:space="preserve">&gt; </w:t>
      </w:r>
      <w:r w:rsidR="0072030E">
        <w:t>6</w:t>
      </w:r>
      <w:r w:rsidR="00B93D3C">
        <w:t>0</w:t>
      </w:r>
      <w:r w:rsidRPr="00B93D3C" w:rsidR="00B93D3C">
        <w:t>% of eligible persons sampled</w:t>
      </w:r>
      <w:r w:rsidR="00EB5AAD">
        <w:t xml:space="preserve"> for </w:t>
      </w:r>
      <w:r w:rsidR="00A77681">
        <w:t>an effective overall sample of at least</w:t>
      </w:r>
      <w:r w:rsidR="00EB5AAD">
        <w:t xml:space="preserve"> 2% of all reported cases</w:t>
      </w:r>
      <w:r w:rsidRPr="00B93D3C" w:rsidR="00B93D3C">
        <w:t>.</w:t>
      </w:r>
      <w:r w:rsidR="0072030E">
        <w:t xml:space="preserve"> </w:t>
      </w:r>
      <w:r w:rsidRPr="001351E5">
        <w:t xml:space="preserve">If local </w:t>
      </w:r>
      <w:r w:rsidR="00C65E1B">
        <w:t>health departments</w:t>
      </w:r>
      <w:r w:rsidRPr="001351E5" w:rsidR="00C65E1B">
        <w:t xml:space="preserve"> </w:t>
      </w:r>
      <w:r>
        <w:t>offer additional partner management</w:t>
      </w:r>
      <w:r w:rsidR="0072030E">
        <w:t>, treatment or additional preventive</w:t>
      </w:r>
      <w:r>
        <w:t xml:space="preserve"> services </w:t>
      </w:r>
      <w:r w:rsidR="0072030E">
        <w:t>to</w:t>
      </w:r>
      <w:r>
        <w:t xml:space="preserve"> patients,</w:t>
      </w:r>
      <w:r w:rsidR="00365D40">
        <w:t xml:space="preserve"> referr</w:t>
      </w:r>
      <w:r w:rsidR="0072030E">
        <w:t>als</w:t>
      </w:r>
      <w:r>
        <w:t xml:space="preserve"> </w:t>
      </w:r>
      <w:r w:rsidR="00A11614">
        <w:t xml:space="preserve">to these services </w:t>
      </w:r>
      <w:r w:rsidR="0072030E">
        <w:t xml:space="preserve">are provided </w:t>
      </w:r>
      <w:r w:rsidR="00A11614">
        <w:t xml:space="preserve">regardless of participation in the enhanced </w:t>
      </w:r>
      <w:r w:rsidR="0072030E">
        <w:t xml:space="preserve">case </w:t>
      </w:r>
      <w:r w:rsidR="00A11614">
        <w:t>investigations</w:t>
      </w:r>
      <w:r>
        <w:t>.</w:t>
      </w:r>
      <w:r w:rsidR="009533E8">
        <w:t xml:space="preserve"> </w:t>
      </w:r>
    </w:p>
    <w:p w:rsidR="00B93D3C" w:rsidRPr="00B93D3C" w:rsidP="00B93D3C" w14:paraId="1E6FE4A6" w14:textId="77777777">
      <w:pPr>
        <w:tabs>
          <w:tab w:val="left" w:pos="2880"/>
        </w:tabs>
        <w:spacing w:before="120"/>
        <w:rPr>
          <w:i/>
        </w:rPr>
      </w:pPr>
      <w:r w:rsidRPr="00B93D3C">
        <w:rPr>
          <w:i/>
        </w:rPr>
        <w:t>Assessing Non-Response Bias</w:t>
      </w:r>
    </w:p>
    <w:p w:rsidR="00DB1551" w:rsidP="00B93D3C" w14:paraId="68F31F52" w14:textId="0CD5B178">
      <w:pPr>
        <w:tabs>
          <w:tab w:val="left" w:pos="2880"/>
        </w:tabs>
        <w:spacing w:before="120"/>
      </w:pPr>
      <w:r>
        <w:t>Non</w:t>
      </w:r>
      <w:r w:rsidR="00B93D3C">
        <w:t xml:space="preserve">-response bias </w:t>
      </w:r>
      <w:r>
        <w:t>is routinely assessed by comparing</w:t>
      </w:r>
      <w:r>
        <w:t xml:space="preserve"> characteristics of</w:t>
      </w:r>
      <w:r>
        <w:t xml:space="preserve"> respondents/complete </w:t>
      </w:r>
      <w:r>
        <w:t>investigations</w:t>
      </w:r>
      <w:r>
        <w:t xml:space="preserve"> </w:t>
      </w:r>
      <w:r>
        <w:t xml:space="preserve">to those initially sampled. Corrective actions are implemented if response bias of greater than 2% is noted by </w:t>
      </w:r>
      <w:r w:rsidR="00A77681">
        <w:t xml:space="preserve">either </w:t>
      </w:r>
      <w:r>
        <w:t xml:space="preserve">sex or age. Similarly, selection bias is assessed by regularly </w:t>
      </w:r>
      <w:r w:rsidR="00A77681">
        <w:t>comparing</w:t>
      </w:r>
      <w:r>
        <w:t xml:space="preserve"> the random sample against the universe of reported cases. No oversampling of cases is </w:t>
      </w:r>
      <w:r w:rsidR="00E5293C">
        <w:t>permitted,</w:t>
      </w:r>
      <w:r>
        <w:t xml:space="preserve"> and the project goal is a </w:t>
      </w:r>
      <w:r w:rsidR="00A77681">
        <w:t xml:space="preserve">true </w:t>
      </w:r>
      <w:r>
        <w:t xml:space="preserve">probability sample of all reported gonorrhea and syphilis cases. </w:t>
      </w:r>
      <w:r w:rsidR="00B93D3C">
        <w:t xml:space="preserve"> Along with selection probabilities</w:t>
      </w:r>
      <w:r>
        <w:t>, which can vary within and between collaborating jurisdictions,</w:t>
      </w:r>
      <w:r w:rsidR="00B93D3C">
        <w:t xml:space="preserve"> </w:t>
      </w:r>
      <w:r w:rsidR="00A11614">
        <w:t>(</w:t>
      </w:r>
      <w:r w:rsidR="00B93D3C">
        <w:t>design</w:t>
      </w:r>
      <w:r>
        <w:t xml:space="preserve"> weights</w:t>
      </w:r>
      <w:r w:rsidR="00A11614">
        <w:t>)</w:t>
      </w:r>
      <w:r w:rsidR="00B93D3C">
        <w:t xml:space="preserve">, non-response </w:t>
      </w:r>
      <w:r w:rsidR="00A11614">
        <w:t>or post-stratification</w:t>
      </w:r>
      <w:r w:rsidR="00B93D3C">
        <w:t xml:space="preserve"> weights</w:t>
      </w:r>
      <w:r w:rsidR="00A11614">
        <w:t xml:space="preserve"> are calculated</w:t>
      </w:r>
      <w:r>
        <w:t xml:space="preserve"> by sex and by age through iterative raking (to within 2% of marginal totals)</w:t>
      </w:r>
      <w:r w:rsidR="00B93D3C">
        <w:t xml:space="preserve"> to increase the generalizability of results to the </w:t>
      </w:r>
      <w:r w:rsidR="00A11614">
        <w:t xml:space="preserve">entire </w:t>
      </w:r>
      <w:r w:rsidR="00B93D3C">
        <w:t xml:space="preserve">universe of patients diagnosed </w:t>
      </w:r>
      <w:r w:rsidR="00A11614">
        <w:t>with gonorrhea</w:t>
      </w:r>
      <w:r w:rsidR="00B93D3C">
        <w:t>.</w:t>
      </w:r>
      <w:r w:rsidR="00A11614">
        <w:t xml:space="preserve"> </w:t>
      </w:r>
    </w:p>
    <w:p w:rsidR="00B93D3C" w:rsidP="00B93D3C" w14:paraId="45295BDF" w14:textId="692FC706">
      <w:pPr>
        <w:tabs>
          <w:tab w:val="left" w:pos="2880"/>
        </w:tabs>
        <w:spacing w:before="120"/>
      </w:pPr>
      <w:r>
        <w:t>Interview success rates</w:t>
      </w:r>
      <w:r>
        <w:t xml:space="preserve"> </w:t>
      </w:r>
      <w:r w:rsidR="00B34FCB">
        <w:t>are</w:t>
      </w:r>
      <w:r>
        <w:t xml:space="preserve"> monitored through on-going data reports generated </w:t>
      </w:r>
      <w:r>
        <w:t>bi</w:t>
      </w:r>
      <w:r>
        <w:t>monthly from the data submitted to CDC</w:t>
      </w:r>
      <w:r w:rsidR="00A11614">
        <w:t xml:space="preserve"> and provided back to collaborating jurisdictions during monthly conference calls</w:t>
      </w:r>
      <w:r w:rsidR="00B34FCB">
        <w:t>. Technical assistance is available to jurisdictions encountering difficulties in maintaining acceptable interview response rates</w:t>
      </w:r>
      <w:r>
        <w:t xml:space="preserve">. </w:t>
      </w:r>
    </w:p>
    <w:p w:rsidR="00B93D3C" w:rsidP="00C77DD0" w14:paraId="5EB65AE4" w14:textId="77777777">
      <w:pPr>
        <w:tabs>
          <w:tab w:val="left" w:pos="2880"/>
        </w:tabs>
        <w:spacing w:before="120"/>
      </w:pPr>
    </w:p>
    <w:p w:rsidR="00747884" w:rsidRPr="00010723" w:rsidP="00C77DD0" w14:paraId="14C9D7B7" w14:textId="77777777">
      <w:pPr>
        <w:spacing w:before="120" w:after="120"/>
        <w:rPr>
          <w:b/>
        </w:rPr>
      </w:pPr>
      <w:r w:rsidRPr="00010723">
        <w:rPr>
          <w:b/>
        </w:rPr>
        <w:t xml:space="preserve">4. </w:t>
      </w:r>
      <w:bookmarkStart w:id="4" w:name="OLE_LINK11"/>
      <w:bookmarkStart w:id="5" w:name="OLE_LINK12"/>
      <w:r w:rsidRPr="00010723">
        <w:rPr>
          <w:b/>
        </w:rPr>
        <w:t>Test of Procedures or Methods to be Undertaken</w:t>
      </w:r>
      <w:bookmarkEnd w:id="4"/>
      <w:bookmarkEnd w:id="5"/>
    </w:p>
    <w:p w:rsidR="00DB1551" w:rsidP="00DB1551" w14:paraId="34FBADF3" w14:textId="71429B28">
      <w:pPr>
        <w:spacing w:before="120" w:after="120"/>
      </w:pPr>
      <w:r>
        <w:rPr>
          <w:i/>
        </w:rPr>
        <w:t xml:space="preserve">Strategy A - </w:t>
      </w:r>
      <w:r w:rsidRPr="00010723" w:rsidR="00933EF3">
        <w:rPr>
          <w:i/>
        </w:rPr>
        <w:t>Facility</w:t>
      </w:r>
      <w:r w:rsidRPr="00010723" w:rsidR="00C257CF">
        <w:rPr>
          <w:i/>
        </w:rPr>
        <w:t xml:space="preserve">-based </w:t>
      </w:r>
      <w:r w:rsidR="00513098">
        <w:rPr>
          <w:i/>
        </w:rPr>
        <w:t>STI</w:t>
      </w:r>
      <w:r w:rsidRPr="00010723" w:rsidR="00C257CF">
        <w:rPr>
          <w:i/>
        </w:rPr>
        <w:t xml:space="preserve"> surveillance:</w:t>
      </w:r>
      <w:r w:rsidRPr="001351E5" w:rsidR="001351E5">
        <w:t xml:space="preserve"> </w:t>
      </w:r>
    </w:p>
    <w:p w:rsidR="001351E5" w:rsidRPr="00DB1551" w:rsidP="00DB1551" w14:paraId="2BF2A1EB" w14:textId="132195B5">
      <w:pPr>
        <w:spacing w:before="120" w:after="120"/>
        <w:rPr>
          <w:i/>
        </w:rPr>
      </w:pPr>
      <w:r w:rsidRPr="001351E5">
        <w:t>SSuN</w:t>
      </w:r>
      <w:r w:rsidRPr="001351E5">
        <w:t xml:space="preserve"> collect</w:t>
      </w:r>
      <w:r w:rsidR="00DB1551">
        <w:t>s</w:t>
      </w:r>
      <w:r w:rsidRPr="001351E5">
        <w:t xml:space="preserve"> the results of multiple diagnostic tests, clinical procedures, and laboratory </w:t>
      </w:r>
      <w:r w:rsidR="00B34FCB">
        <w:t>test</w:t>
      </w:r>
      <w:r w:rsidRPr="001351E5">
        <w:t>s such as bacterial culture, gram stain, wet mount, nucleic acid amplification tests, pregnancy test, rapid HIV test, ELISA, Western blot.  The information received for this project reports the results carried out by the collaborating facilities as part of the routine clinical care of their patients.</w:t>
      </w:r>
    </w:p>
    <w:p w:rsidR="001C3B02" w:rsidRPr="00010723" w:rsidP="00C77DD0" w14:paraId="163A8E5D" w14:textId="3EF6A61D">
      <w:pPr>
        <w:spacing w:before="120"/>
        <w:rPr>
          <w:i/>
        </w:rPr>
      </w:pPr>
      <w:r>
        <w:rPr>
          <w:i/>
        </w:rPr>
        <w:t xml:space="preserve">Strategy B - </w:t>
      </w:r>
      <w:r w:rsidRPr="00010723">
        <w:rPr>
          <w:i/>
        </w:rPr>
        <w:t xml:space="preserve">Population-based </w:t>
      </w:r>
      <w:r w:rsidR="00DB1551">
        <w:rPr>
          <w:i/>
        </w:rPr>
        <w:t xml:space="preserve">enhanced case </w:t>
      </w:r>
      <w:r w:rsidRPr="00010723">
        <w:rPr>
          <w:i/>
        </w:rPr>
        <w:t>surveillance:</w:t>
      </w:r>
    </w:p>
    <w:p w:rsidR="001351E5" w:rsidP="00C77DD0" w14:paraId="5F743F07" w14:textId="5CEDAEF1">
      <w:pPr>
        <w:spacing w:before="120"/>
      </w:pPr>
      <w:r w:rsidRPr="004711C0">
        <w:t xml:space="preserve">CDC </w:t>
      </w:r>
      <w:r w:rsidR="00DB1551">
        <w:t>conducted</w:t>
      </w:r>
      <w:r w:rsidRPr="004711C0">
        <w:t xml:space="preserve"> an evaluation of the </w:t>
      </w:r>
      <w:r w:rsidR="00DB1551">
        <w:t>patient</w:t>
      </w:r>
      <w:r>
        <w:t xml:space="preserve"> </w:t>
      </w:r>
      <w:r w:rsidRPr="004711C0">
        <w:t>interview template</w:t>
      </w:r>
      <w:r w:rsidR="00DB1551">
        <w:t>s and</w:t>
      </w:r>
      <w:r w:rsidRPr="004711C0">
        <w:t xml:space="preserve"> instrument</w:t>
      </w:r>
      <w:r w:rsidR="00DB1551">
        <w:t>s</w:t>
      </w:r>
      <w:r w:rsidRPr="004711C0">
        <w:t xml:space="preserve"> that included consultation with external stakeholders, including grantees, subject matter experts, and colleagues from other federal agencies. The evaluation focused on examination of the relevance, coherence, and scientific contribution of interview questions. </w:t>
      </w:r>
      <w:r>
        <w:t xml:space="preserve">In addition, questions from </w:t>
      </w:r>
      <w:r w:rsidRPr="004711C0">
        <w:t xml:space="preserve">Behavioral Risk Factor Surveillance System </w:t>
      </w:r>
      <w:r>
        <w:t>(BRFSS), California Health Survey</w:t>
      </w:r>
      <w:r w:rsidRPr="001351E5">
        <w:t xml:space="preserve"> and </w:t>
      </w:r>
      <w:r>
        <w:t xml:space="preserve">other ongoing, or </w:t>
      </w:r>
      <w:r w:rsidRPr="001351E5">
        <w:t>previous CDC surveillance projects</w:t>
      </w:r>
      <w:r>
        <w:t xml:space="preserve"> were considered</w:t>
      </w:r>
      <w:r w:rsidR="00A77681">
        <w:t>, including End the HIV Epidemic (EHE) initiatives</w:t>
      </w:r>
      <w:r>
        <w:t xml:space="preserve">. </w:t>
      </w:r>
      <w:r>
        <w:t xml:space="preserve"> Local s</w:t>
      </w:r>
      <w:r w:rsidRPr="001351E5">
        <w:t>taff</w:t>
      </w:r>
      <w:r w:rsidR="005570E8">
        <w:t xml:space="preserve"> extensively</w:t>
      </w:r>
      <w:r w:rsidRPr="001351E5">
        <w:t xml:space="preserve"> tested the skip patterns and responses using </w:t>
      </w:r>
      <w:r>
        <w:t xml:space="preserve">a </w:t>
      </w:r>
      <w:r w:rsidRPr="001351E5">
        <w:t xml:space="preserve">paper version of the </w:t>
      </w:r>
      <w:r>
        <w:t xml:space="preserve">interview </w:t>
      </w:r>
      <w:r w:rsidRPr="001351E5">
        <w:t>instrument</w:t>
      </w:r>
      <w:r w:rsidR="00365D40">
        <w:t xml:space="preserve"> prior to initial implementation</w:t>
      </w:r>
      <w:r w:rsidRPr="001351E5">
        <w:t>.</w:t>
      </w:r>
      <w:r>
        <w:t xml:space="preserve"> </w:t>
      </w:r>
      <w:r w:rsidR="00365D40">
        <w:t>Experience in the field confirms that</w:t>
      </w:r>
      <w:r>
        <w:t xml:space="preserve"> interviews</w:t>
      </w:r>
      <w:r w:rsidR="00365D40">
        <w:t xml:space="preserve"> take</w:t>
      </w:r>
      <w:r>
        <w:t xml:space="preserve"> </w:t>
      </w:r>
      <w:r w:rsidRPr="001351E5">
        <w:t>approximately 10 minutes</w:t>
      </w:r>
      <w:r>
        <w:t xml:space="preserve"> to complete. </w:t>
      </w:r>
    </w:p>
    <w:p w:rsidR="00A261CD" w:rsidP="00C77DD0" w14:paraId="6181CACF" w14:textId="3F5345A2">
      <w:pPr>
        <w:spacing w:before="120"/>
      </w:pPr>
    </w:p>
    <w:p w:rsidR="00D01186" w:rsidP="00D01186" w14:paraId="4B4E4BD4" w14:textId="77777777">
      <w:pPr>
        <w:spacing w:before="120"/>
        <w:rPr>
          <w:b/>
        </w:rPr>
      </w:pPr>
      <w:r w:rsidRPr="00010723">
        <w:rPr>
          <w:b/>
        </w:rPr>
        <w:t>5. Individuals Consulted on Statistical Aspects and Individuals Collecting and/or Analyzing Data</w:t>
      </w:r>
    </w:p>
    <w:p w:rsidR="00210166" w:rsidP="001351E5" w14:paraId="15BFDBAF" w14:textId="6D195B59">
      <w:pPr>
        <w:spacing w:before="120"/>
      </w:pPr>
      <w:r w:rsidRPr="004711C0">
        <w:t xml:space="preserve">The following </w:t>
      </w:r>
      <w:r w:rsidR="00DB1551">
        <w:t>Subject Matter Expert</w:t>
      </w:r>
      <w:r w:rsidRPr="004711C0">
        <w:t xml:space="preserve"> </w:t>
      </w:r>
      <w:r w:rsidR="00DB1551">
        <w:t>was</w:t>
      </w:r>
      <w:r w:rsidR="00E30E7E">
        <w:t xml:space="preserve"> </w:t>
      </w:r>
      <w:r w:rsidRPr="004711C0">
        <w:t xml:space="preserve">consulted on </w:t>
      </w:r>
      <w:r w:rsidR="00DB1551">
        <w:t xml:space="preserve">the initial </w:t>
      </w:r>
      <w:r w:rsidR="00A77681">
        <w:t xml:space="preserve">project </w:t>
      </w:r>
      <w:r w:rsidR="00DB1551">
        <w:t xml:space="preserve">design of </w:t>
      </w:r>
      <w:r w:rsidR="00A72E1D">
        <w:t xml:space="preserve">sampling, </w:t>
      </w:r>
      <w:r w:rsidR="002303C1">
        <w:t>weighting,</w:t>
      </w:r>
      <w:r w:rsidR="00A72E1D">
        <w:t xml:space="preserve"> and </w:t>
      </w:r>
      <w:r w:rsidRPr="004711C0">
        <w:t>statistical</w:t>
      </w:r>
      <w:r w:rsidR="00A72E1D">
        <w:t xml:space="preserve"> analysis</w:t>
      </w:r>
      <w:r w:rsidRPr="004711C0">
        <w:t xml:space="preserve"> </w:t>
      </w:r>
      <w:r w:rsidR="00A72E1D">
        <w:t>of data</w:t>
      </w:r>
      <w:r w:rsidRPr="004711C0">
        <w:t>:</w:t>
      </w:r>
    </w:p>
    <w:p w:rsidR="00E30E7E" w:rsidP="00E30E7E" w14:paraId="7C5B8FFA" w14:textId="77777777"/>
    <w:p w:rsidR="004711C0" w:rsidP="00E30E7E" w14:paraId="5FAF6DFE" w14:textId="77777777">
      <w:r>
        <w:t>Joseph Kang, PhD</w:t>
      </w:r>
    </w:p>
    <w:p w:rsidR="00E30E7E" w:rsidP="00E30E7E" w14:paraId="681B92FF" w14:textId="77777777">
      <w:r>
        <w:t>Statistics Team Lead, Epidemiology &amp; Statistics Branch</w:t>
      </w:r>
    </w:p>
    <w:p w:rsidR="00E30E7E" w:rsidP="00E30E7E" w14:paraId="04E325CB" w14:textId="23474F3C">
      <w:r>
        <w:t xml:space="preserve">Division of </w:t>
      </w:r>
      <w:r w:rsidR="00513098">
        <w:t>STI</w:t>
      </w:r>
      <w:r>
        <w:t xml:space="preserve"> Prevention</w:t>
      </w:r>
    </w:p>
    <w:p w:rsidR="00E30E7E" w:rsidP="00E30E7E" w14:paraId="192D9877" w14:textId="77777777">
      <w:r>
        <w:t>Centers for Disease Control and Prevention</w:t>
      </w:r>
    </w:p>
    <w:p w:rsidR="00E30E7E" w:rsidP="00E30E7E" w14:paraId="053EDE28" w14:textId="77777777">
      <w:r w:rsidRPr="00E30E7E">
        <w:t>1600 Clifton Rd, NE MS E-02</w:t>
      </w:r>
      <w:r>
        <w:t>, Atlanta, GA 30329</w:t>
      </w:r>
    </w:p>
    <w:p w:rsidR="00E30E7E" w:rsidP="00E30E7E" w14:paraId="57DD5E99" w14:textId="77777777">
      <w:r>
        <w:t>Telephone: 404-639-2072</w:t>
      </w:r>
    </w:p>
    <w:p w:rsidR="00E30E7E" w:rsidP="00E30E7E" w14:paraId="62830B04" w14:textId="77777777">
      <w:r>
        <w:t xml:space="preserve">Email: </w:t>
      </w:r>
      <w:hyperlink r:id="rId4" w:history="1">
        <w:r w:rsidRPr="00FD71F4">
          <w:rPr>
            <w:rStyle w:val="Hyperlink"/>
          </w:rPr>
          <w:t>yma9@cdc.gov</w:t>
        </w:r>
      </w:hyperlink>
    </w:p>
    <w:p w:rsidR="00280F1C" w:rsidP="00E30E7E" w14:paraId="3A61263E" w14:textId="77777777">
      <w:pPr>
        <w:spacing w:before="120"/>
        <w:rPr>
          <w:u w:val="single"/>
        </w:rPr>
      </w:pPr>
    </w:p>
    <w:p w:rsidR="00280F1C" w:rsidP="00E30E7E" w14:paraId="5E991197" w14:textId="5168BE80">
      <w:pPr>
        <w:spacing w:before="120"/>
        <w:rPr>
          <w:u w:val="single"/>
        </w:rPr>
      </w:pPr>
      <w:r w:rsidRPr="00A72E1D">
        <w:rPr>
          <w:u w:val="single"/>
        </w:rPr>
        <w:t>Individuals Collecting and/or Analyzing Data</w:t>
      </w:r>
    </w:p>
    <w:p w:rsidR="00E30E7E" w:rsidRPr="00280F1C" w:rsidP="00E30E7E" w14:paraId="62FBFECD" w14:textId="0041279B">
      <w:pPr>
        <w:spacing w:before="120"/>
        <w:rPr>
          <w:u w:val="single"/>
        </w:rPr>
      </w:pPr>
      <w:r>
        <w:t xml:space="preserve">CDC is not directly engaged with human subjects during data collection. However, CDC Project Staff </w:t>
      </w:r>
      <w:r w:rsidR="00B34FCB">
        <w:t xml:space="preserve">listed </w:t>
      </w:r>
      <w:r>
        <w:t xml:space="preserve">below monitor </w:t>
      </w:r>
      <w:r w:rsidR="00B34FCB">
        <w:t>investigation</w:t>
      </w:r>
      <w:r>
        <w:t xml:space="preserve"> success rates by health department </w:t>
      </w:r>
      <w:r w:rsidR="007854E6">
        <w:t>staff and</w:t>
      </w:r>
      <w:r>
        <w:t xml:space="preserve"> analyze the data.</w:t>
      </w:r>
    </w:p>
    <w:p w:rsidR="00E30E7E" w:rsidP="00E30E7E" w14:paraId="786AE69F" w14:textId="77777777"/>
    <w:p w:rsidR="00C448D4" w:rsidP="00E30E7E" w14:paraId="7EEBC163" w14:textId="4B60155D">
      <w:r>
        <w:t xml:space="preserve">All CDC project staff can be reached at the following address and phone number: </w:t>
      </w:r>
    </w:p>
    <w:p w:rsidR="0011524C" w:rsidP="0011524C" w14:paraId="25556ADE" w14:textId="77777777">
      <w:r>
        <w:t>CDC Project Staff</w:t>
      </w:r>
    </w:p>
    <w:p w:rsidR="0011524C" w:rsidP="0011524C" w14:paraId="58F18C41" w14:textId="77777777">
      <w:r>
        <w:t>Surveillance and Data Management Branch</w:t>
      </w:r>
    </w:p>
    <w:p w:rsidR="0011524C" w:rsidP="0011524C" w14:paraId="459E9000" w14:textId="77777777">
      <w:r>
        <w:t>Division of STI Prevention</w:t>
      </w:r>
    </w:p>
    <w:p w:rsidR="0011524C" w:rsidP="0011524C" w14:paraId="6F072989" w14:textId="77777777">
      <w:r>
        <w:t>Centers for Disease Control and Prevention</w:t>
      </w:r>
    </w:p>
    <w:p w:rsidR="0011524C" w:rsidP="0011524C" w14:paraId="00D16F4C" w14:textId="77777777">
      <w:r>
        <w:t>1600 Clifton Rd, NE MS E-02</w:t>
      </w:r>
    </w:p>
    <w:p w:rsidR="0011524C" w:rsidP="00E30E7E" w14:paraId="49B21EEE" w14:textId="1D0A83BC">
      <w:r>
        <w:t>Atlanta, GA 30333</w:t>
      </w:r>
    </w:p>
    <w:p w:rsidR="00E30E7E" w:rsidP="00E30E7E" w14:paraId="3881560F" w14:textId="4AF5906A">
      <w:r>
        <w:t>Phone: (404) 639-1800</w:t>
      </w:r>
    </w:p>
    <w:p w:rsidR="00E30E7E" w:rsidP="00E30E7E" w14:paraId="54CF4FF2" w14:textId="77777777"/>
    <w:tbl>
      <w:tblPr>
        <w:tblW w:w="0" w:type="auto"/>
        <w:tblLook w:val="04A0"/>
      </w:tblPr>
      <w:tblGrid>
        <w:gridCol w:w="4682"/>
        <w:gridCol w:w="4678"/>
      </w:tblGrid>
      <w:tr w14:paraId="2A904907" w14:textId="77777777" w:rsidTr="00C448D4">
        <w:tblPrEx>
          <w:tblW w:w="0" w:type="auto"/>
          <w:tblLook w:val="04A0"/>
        </w:tblPrEx>
        <w:tc>
          <w:tcPr>
            <w:tcW w:w="4682" w:type="dxa"/>
            <w:shd w:val="clear" w:color="auto" w:fill="auto"/>
          </w:tcPr>
          <w:p w:rsidR="00E30E7E" w:rsidP="00E30E7E" w14:paraId="303AD03B" w14:textId="5B2EA3C4">
            <w:r>
              <w:t xml:space="preserve">R. Luke </w:t>
            </w:r>
            <w:r>
              <w:t>Shouse</w:t>
            </w:r>
            <w:r w:rsidR="00B34FCB">
              <w:t>,</w:t>
            </w:r>
            <w:r>
              <w:t>MD</w:t>
            </w:r>
          </w:p>
          <w:p w:rsidR="00E30E7E" w:rsidP="00E30E7E" w14:paraId="5B532EB0" w14:textId="6414A208">
            <w:r>
              <w:t>Branch Chief</w:t>
            </w:r>
            <w:r w:rsidR="00B873C9">
              <w:t xml:space="preserve">, </w:t>
            </w:r>
            <w:r>
              <w:t xml:space="preserve">Surveillance and Data </w:t>
            </w:r>
            <w:r w:rsidR="00A72E1D">
              <w:t>Science</w:t>
            </w:r>
            <w:r>
              <w:t xml:space="preserve"> Branch</w:t>
            </w:r>
          </w:p>
          <w:p w:rsidR="00E30E7E" w:rsidP="00E30E7E" w14:paraId="21330C2D" w14:textId="7656050E">
            <w:r w:rsidRPr="00E30E7E">
              <w:t xml:space="preserve">Email: </w:t>
            </w:r>
            <w:hyperlink r:id="rId5" w:history="1">
              <w:r w:rsidRPr="00B873C9" w:rsidR="00B873C9">
                <w:rPr>
                  <w:rStyle w:val="Hyperlink"/>
                </w:rPr>
                <w:t>zxz3@cdc.gov</w:t>
              </w:r>
            </w:hyperlink>
          </w:p>
          <w:p w:rsidR="00E30E7E" w:rsidRPr="00E30E7E" w:rsidP="00E30E7E" w14:paraId="3E66E5F3" w14:textId="77777777"/>
          <w:p w:rsidR="00B34FCB" w:rsidRPr="00E30E7E" w:rsidP="00B34FCB" w14:paraId="67C88CE0" w14:textId="4FB95657">
            <w:r>
              <w:t>Emily Rowlinson</w:t>
            </w:r>
            <w:r>
              <w:t xml:space="preserve">, </w:t>
            </w:r>
            <w:r>
              <w:t>PhD</w:t>
            </w:r>
          </w:p>
          <w:p w:rsidR="00B34FCB" w:rsidRPr="00E30E7E" w:rsidP="00B34FCB" w14:paraId="13D161BE" w14:textId="143233CE">
            <w:r w:rsidRPr="00E30E7E">
              <w:t>Epidemiologist</w:t>
            </w:r>
            <w:r>
              <w:t xml:space="preserve">, </w:t>
            </w:r>
            <w:r w:rsidR="00B873C9">
              <w:t>Project Lead</w:t>
            </w:r>
          </w:p>
          <w:p w:rsidR="00B34FCB" w:rsidP="00B34FCB" w14:paraId="629F6CDF" w14:textId="64FA2466">
            <w:r w:rsidRPr="00E30E7E">
              <w:t xml:space="preserve">Email: </w:t>
            </w:r>
            <w:hyperlink r:id="rId6" w:history="1">
              <w:r w:rsidRPr="00B873C9" w:rsidR="00B873C9">
                <w:rPr>
                  <w:rStyle w:val="Hyperlink"/>
                </w:rPr>
                <w:t>fva5@cdc.gov</w:t>
              </w:r>
            </w:hyperlink>
          </w:p>
          <w:p w:rsidR="00E30E7E" w:rsidRPr="00E30E7E" w:rsidP="00E30E7E" w14:paraId="0C907FAF" w14:textId="77777777"/>
        </w:tc>
        <w:tc>
          <w:tcPr>
            <w:tcW w:w="4678" w:type="dxa"/>
            <w:shd w:val="clear" w:color="auto" w:fill="auto"/>
          </w:tcPr>
          <w:p w:rsidR="00E30E7E" w:rsidRPr="00E30E7E" w:rsidP="00E30E7E" w14:paraId="2AB99D38" w14:textId="77777777"/>
          <w:p w:rsidR="00E30E7E" w:rsidRPr="00E30E7E" w:rsidP="00E30E7E" w14:paraId="2DD14396" w14:textId="77777777"/>
          <w:p w:rsidR="00E30E7E" w:rsidRPr="00E30E7E" w:rsidP="00E30E7E" w14:paraId="501AADF4" w14:textId="77777777"/>
        </w:tc>
      </w:tr>
      <w:tr w14:paraId="5FCC20A9" w14:textId="77777777" w:rsidTr="00C448D4">
        <w:tblPrEx>
          <w:tblW w:w="0" w:type="auto"/>
          <w:tblLook w:val="04A0"/>
        </w:tblPrEx>
        <w:tc>
          <w:tcPr>
            <w:tcW w:w="4682" w:type="dxa"/>
            <w:shd w:val="clear" w:color="auto" w:fill="auto"/>
          </w:tcPr>
          <w:p w:rsidR="00B873C9" w:rsidP="00E30E7E" w14:paraId="6B392678" w14:textId="04D43A4D">
            <w:r>
              <w:t>Kristen Eberly, MPH</w:t>
            </w:r>
          </w:p>
          <w:p w:rsidR="00B873C9" w:rsidP="00E30E7E" w14:paraId="200388DC" w14:textId="042BC005">
            <w:r>
              <w:t>Epidemiologist, Science Officer</w:t>
            </w:r>
          </w:p>
          <w:p w:rsidR="00B873C9" w:rsidP="00E30E7E" w14:paraId="4A988ABC" w14:textId="0B47D951">
            <w:r>
              <w:t xml:space="preserve">Email: </w:t>
            </w:r>
            <w:hyperlink r:id="rId7" w:history="1">
              <w:r w:rsidRPr="00A32D4F">
                <w:rPr>
                  <w:rStyle w:val="Hyperlink"/>
                </w:rPr>
                <w:t>tgo7@cdc.gov</w:t>
              </w:r>
            </w:hyperlink>
          </w:p>
          <w:p w:rsidR="00B873C9" w:rsidP="00E30E7E" w14:paraId="2277630F" w14:textId="77777777"/>
          <w:p w:rsidR="00E30E7E" w:rsidRPr="00E30E7E" w:rsidP="00E30E7E" w14:paraId="7C4E4DC8" w14:textId="75236DD3">
            <w:r>
              <w:t xml:space="preserve">Eloisa </w:t>
            </w:r>
            <w:r>
              <w:t>Llata</w:t>
            </w:r>
            <w:r w:rsidRPr="00E30E7E">
              <w:t xml:space="preserve">, </w:t>
            </w:r>
            <w:r>
              <w:t>MD MPH</w:t>
            </w:r>
          </w:p>
          <w:p w:rsidR="00E30E7E" w:rsidRPr="00E30E7E" w:rsidP="00E30E7E" w14:paraId="630AF35B" w14:textId="2A606A18">
            <w:r>
              <w:t xml:space="preserve">Medical </w:t>
            </w:r>
            <w:r w:rsidRPr="00E30E7E">
              <w:t>Epidemiologist</w:t>
            </w:r>
            <w:r w:rsidR="00B34FCB">
              <w:t>, Science Officer</w:t>
            </w:r>
          </w:p>
          <w:p w:rsidR="00E30E7E" w:rsidRPr="00E30E7E" w:rsidP="00A72E1D" w14:paraId="2AE882D8" w14:textId="3144B51C">
            <w:r w:rsidRPr="00E30E7E">
              <w:t xml:space="preserve">Email: </w:t>
            </w:r>
            <w:hyperlink r:id="rId8" w:history="1">
              <w:r w:rsidRPr="00FD71F4">
                <w:rPr>
                  <w:rStyle w:val="Hyperlink"/>
                </w:rPr>
                <w:t>gge3@cdc.gov</w:t>
              </w:r>
            </w:hyperlink>
          </w:p>
        </w:tc>
        <w:tc>
          <w:tcPr>
            <w:tcW w:w="4678" w:type="dxa"/>
            <w:shd w:val="clear" w:color="auto" w:fill="auto"/>
          </w:tcPr>
          <w:p w:rsidR="00E30E7E" w:rsidRPr="00E30E7E" w:rsidP="00B34FCB" w14:paraId="5CC72B11" w14:textId="77777777"/>
        </w:tc>
      </w:tr>
      <w:tr w14:paraId="6E20E5B3" w14:textId="77777777" w:rsidTr="00C448D4">
        <w:tblPrEx>
          <w:tblW w:w="0" w:type="auto"/>
          <w:tblLook w:val="04A0"/>
        </w:tblPrEx>
        <w:tc>
          <w:tcPr>
            <w:tcW w:w="4682" w:type="dxa"/>
            <w:shd w:val="clear" w:color="auto" w:fill="auto"/>
          </w:tcPr>
          <w:p w:rsidR="00B34FCB" w:rsidP="00B34FCB" w14:paraId="654170E7" w14:textId="51441BFB">
            <w:hyperlink r:id="rId9" w:history="1"/>
          </w:p>
          <w:p w:rsidR="00B34FCB" w:rsidP="00B34FCB" w14:paraId="63F97A8B" w14:textId="55958CA5">
            <w:r>
              <w:t>LaZetta</w:t>
            </w:r>
            <w:r>
              <w:t xml:space="preserve"> Grier </w:t>
            </w:r>
          </w:p>
          <w:p w:rsidR="00B34FCB" w:rsidP="00B34FCB" w14:paraId="74DF1F81" w14:textId="77777777">
            <w:r>
              <w:t>Data Manager</w:t>
            </w:r>
          </w:p>
          <w:p w:rsidR="00B34FCB" w:rsidRPr="00E30E7E" w:rsidP="00B34FCB" w14:paraId="7C3F7232" w14:textId="072CA67B">
            <w:r>
              <w:t xml:space="preserve">Email: </w:t>
            </w:r>
            <w:hyperlink r:id="rId10" w:history="1">
              <w:r w:rsidRPr="00FD71F4">
                <w:rPr>
                  <w:rStyle w:val="Hyperlink"/>
                </w:rPr>
                <w:t>lig9@cdc.gov</w:t>
              </w:r>
            </w:hyperlink>
          </w:p>
        </w:tc>
        <w:tc>
          <w:tcPr>
            <w:tcW w:w="4678" w:type="dxa"/>
            <w:shd w:val="clear" w:color="auto" w:fill="auto"/>
          </w:tcPr>
          <w:p w:rsidR="00D53363" w:rsidRPr="00E30E7E" w:rsidP="00B34FCB" w14:paraId="30815EDC" w14:textId="77777777"/>
        </w:tc>
      </w:tr>
      <w:tr w14:paraId="3D36FF8A" w14:textId="77777777" w:rsidTr="00280F1C">
        <w:tblPrEx>
          <w:tblW w:w="0" w:type="auto"/>
          <w:tblLook w:val="04A0"/>
        </w:tblPrEx>
        <w:trPr>
          <w:trHeight w:val="162"/>
        </w:trPr>
        <w:tc>
          <w:tcPr>
            <w:tcW w:w="4682" w:type="dxa"/>
            <w:shd w:val="clear" w:color="auto" w:fill="auto"/>
          </w:tcPr>
          <w:p w:rsidR="00D53363" w:rsidRPr="00E30E7E" w:rsidP="00B34FCB" w14:paraId="1FAC93CF" w14:textId="77777777"/>
        </w:tc>
        <w:tc>
          <w:tcPr>
            <w:tcW w:w="4678" w:type="dxa"/>
            <w:shd w:val="clear" w:color="auto" w:fill="auto"/>
          </w:tcPr>
          <w:p w:rsidR="00D53363" w:rsidRPr="00E30E7E" w:rsidP="00D53363" w14:paraId="1F91F37F" w14:textId="77777777"/>
        </w:tc>
      </w:tr>
    </w:tbl>
    <w:p w:rsidR="00F70F16" w:rsidRPr="00010723" w:rsidP="0089050E" w14:paraId="2A09BD94" w14:textId="20493F14">
      <w:r>
        <w:t>Current</w:t>
      </w:r>
      <w:r w:rsidR="00D53363">
        <w:t xml:space="preserve"> </w:t>
      </w:r>
      <w:r w:rsidR="00265930">
        <w:t>SSuN</w:t>
      </w:r>
      <w:r w:rsidR="00265930">
        <w:t xml:space="preserve"> </w:t>
      </w:r>
      <w:r w:rsidR="00365D40">
        <w:t>Awardees</w:t>
      </w:r>
      <w:r w:rsidR="00750807">
        <w:t>:</w:t>
      </w:r>
    </w:p>
    <w:p w:rsidR="0000444B" w:rsidRPr="00010723" w:rsidP="0089050E" w14:paraId="52BAA9EF" w14:textId="77777777">
      <w:pPr>
        <w:numPr>
          <w:ilvl w:val="0"/>
          <w:numId w:val="11"/>
        </w:numPr>
      </w:pPr>
      <w:r w:rsidRPr="00010723">
        <w:t>Baltimore City Health Department</w:t>
      </w:r>
    </w:p>
    <w:p w:rsidR="00010723" w:rsidRPr="00010723" w:rsidP="0089050E" w14:paraId="5E16277D" w14:textId="77777777">
      <w:pPr>
        <w:numPr>
          <w:ilvl w:val="0"/>
          <w:numId w:val="11"/>
        </w:numPr>
      </w:pPr>
      <w:r w:rsidRPr="00010723">
        <w:t xml:space="preserve">California Department of Public Health </w:t>
      </w:r>
    </w:p>
    <w:p w:rsidR="00010723" w:rsidP="0089050E" w14:paraId="7C04E494" w14:textId="38E947F7">
      <w:pPr>
        <w:numPr>
          <w:ilvl w:val="0"/>
          <w:numId w:val="11"/>
        </w:numPr>
      </w:pPr>
      <w:r>
        <w:t>City of Columbus Public Health</w:t>
      </w:r>
    </w:p>
    <w:p w:rsidR="00B34FCB" w:rsidRPr="00010723" w:rsidP="00B34FCB" w14:paraId="5991CD24" w14:textId="77777777">
      <w:pPr>
        <w:numPr>
          <w:ilvl w:val="0"/>
          <w:numId w:val="11"/>
        </w:numPr>
      </w:pPr>
      <w:r w:rsidRPr="00010723">
        <w:t xml:space="preserve">Florida Department of Health </w:t>
      </w:r>
    </w:p>
    <w:p w:rsidR="00B34FCB" w:rsidRPr="00010723" w:rsidP="0089050E" w14:paraId="687A9E14" w14:textId="0A286561">
      <w:pPr>
        <w:numPr>
          <w:ilvl w:val="0"/>
          <w:numId w:val="11"/>
        </w:numPr>
      </w:pPr>
      <w:r>
        <w:t>Indiana State Health Department</w:t>
      </w:r>
    </w:p>
    <w:p w:rsidR="00010723" w:rsidRPr="00010723" w:rsidP="0089050E" w14:paraId="46B005FA" w14:textId="77777777">
      <w:pPr>
        <w:numPr>
          <w:ilvl w:val="0"/>
          <w:numId w:val="11"/>
        </w:numPr>
      </w:pPr>
      <w:r w:rsidRPr="00010723">
        <w:t xml:space="preserve">Multnomah County Health Department </w:t>
      </w:r>
    </w:p>
    <w:p w:rsidR="00641656" w:rsidRPr="00010723" w:rsidP="0089050E" w14:paraId="69E22960" w14:textId="77777777">
      <w:pPr>
        <w:numPr>
          <w:ilvl w:val="0"/>
          <w:numId w:val="11"/>
        </w:numPr>
      </w:pPr>
      <w:r w:rsidRPr="00010723">
        <w:t>New York City Department of Health and Mental Hygiene</w:t>
      </w:r>
    </w:p>
    <w:p w:rsidR="00641656" w:rsidRPr="00010723" w:rsidP="0089050E" w14:paraId="245A34BF" w14:textId="77777777">
      <w:pPr>
        <w:numPr>
          <w:ilvl w:val="0"/>
          <w:numId w:val="11"/>
        </w:numPr>
      </w:pPr>
      <w:r w:rsidRPr="00010723">
        <w:t>Philadelphia Department of Public Health</w:t>
      </w:r>
    </w:p>
    <w:p w:rsidR="00010723" w:rsidP="0089050E" w14:paraId="33A65A4E" w14:textId="196795A1">
      <w:pPr>
        <w:numPr>
          <w:ilvl w:val="0"/>
          <w:numId w:val="11"/>
        </w:numPr>
      </w:pPr>
      <w:r w:rsidRPr="00010723">
        <w:t>San Francisco Department of Public Health</w:t>
      </w:r>
    </w:p>
    <w:p w:rsidR="00B34FCB" w:rsidRPr="00010723" w:rsidP="00B34FCB" w14:paraId="35E402C0" w14:textId="313D34CA">
      <w:pPr>
        <w:numPr>
          <w:ilvl w:val="0"/>
          <w:numId w:val="11"/>
        </w:numPr>
      </w:pPr>
      <w:r>
        <w:t>Utah Department of Public Health</w:t>
      </w:r>
    </w:p>
    <w:p w:rsidR="008F7B39" w:rsidP="0089050E" w14:paraId="5F7025D3" w14:textId="340A9980">
      <w:pPr>
        <w:numPr>
          <w:ilvl w:val="0"/>
          <w:numId w:val="11"/>
        </w:numPr>
      </w:pPr>
      <w:r w:rsidRPr="00010723">
        <w:t>Washington State Department of Health</w:t>
      </w:r>
    </w:p>
    <w:sectPr w:rsidSect="00DA31C4">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614" w:rsidP="00970FD1" w14:paraId="17A9A7B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11614" w14:paraId="6293A1E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614" w14:paraId="7FC61C26" w14:textId="0D45708D">
    <w:pPr>
      <w:pStyle w:val="Footer"/>
      <w:jc w:val="center"/>
    </w:pPr>
    <w:r>
      <w:fldChar w:fldCharType="begin"/>
    </w:r>
    <w:r>
      <w:instrText xml:space="preserve"> PAGE   \* MERGEFORMAT </w:instrText>
    </w:r>
    <w:r>
      <w:fldChar w:fldCharType="separate"/>
    </w:r>
    <w:r w:rsidR="00B34FCB">
      <w:rPr>
        <w:noProof/>
      </w:rPr>
      <w:t>10</w:t>
    </w:r>
    <w:r>
      <w:rPr>
        <w:noProof/>
      </w:rPr>
      <w:fldChar w:fldCharType="end"/>
    </w:r>
  </w:p>
  <w:p w:rsidR="00A11614" w14:paraId="6E32EB4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614" w14:paraId="55D98D2A" w14:textId="23093627">
    <w:pPr>
      <w:pStyle w:val="Footer"/>
      <w:jc w:val="center"/>
    </w:pPr>
    <w:r>
      <w:fldChar w:fldCharType="begin"/>
    </w:r>
    <w:r>
      <w:instrText xml:space="preserve"> PAGE   \* MERGEFORMAT </w:instrText>
    </w:r>
    <w:r>
      <w:fldChar w:fldCharType="separate"/>
    </w:r>
    <w:r w:rsidR="00B34FCB">
      <w:rPr>
        <w:noProof/>
      </w:rPr>
      <w:t>1</w:t>
    </w:r>
    <w:r>
      <w:rPr>
        <w:noProof/>
      </w:rPr>
      <w:fldChar w:fldCharType="end"/>
    </w:r>
  </w:p>
  <w:p w:rsidR="00A11614" w14:paraId="1609756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5B82" w14:paraId="56AAE12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5B82" w14:paraId="5C82A27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5B82" w14:paraId="0745FA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B0725"/>
    <w:multiLevelType w:val="hybridMultilevel"/>
    <w:tmpl w:val="75909F04"/>
    <w:lvl w:ilvl="0">
      <w:start w:val="1"/>
      <w:numFmt w:val="bullet"/>
      <w:lvlText w:val="o"/>
      <w:lvlJc w:val="left"/>
      <w:pPr>
        <w:tabs>
          <w:tab w:val="num" w:pos="2880"/>
        </w:tabs>
        <w:ind w:left="288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17D0E8B"/>
    <w:multiLevelType w:val="hybridMultilevel"/>
    <w:tmpl w:val="E10885F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5D300D1"/>
    <w:multiLevelType w:val="hybridMultilevel"/>
    <w:tmpl w:val="4A88C8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06908A2"/>
    <w:multiLevelType w:val="hybridMultilevel"/>
    <w:tmpl w:val="22A476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1A31780"/>
    <w:multiLevelType w:val="hybridMultilevel"/>
    <w:tmpl w:val="87AA08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5F36873"/>
    <w:multiLevelType w:val="hybridMultilevel"/>
    <w:tmpl w:val="244A8E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46B67884"/>
    <w:multiLevelType w:val="hybridMultilevel"/>
    <w:tmpl w:val="42C28D70"/>
    <w:lvl w:ilvl="0">
      <w:start w:val="1"/>
      <w:numFmt w:val="bullet"/>
      <w:lvlText w:val="o"/>
      <w:lvlJc w:val="left"/>
      <w:pPr>
        <w:tabs>
          <w:tab w:val="num" w:pos="2880"/>
        </w:tabs>
        <w:ind w:left="288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A821A41"/>
    <w:multiLevelType w:val="hybridMultilevel"/>
    <w:tmpl w:val="EAC8BF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501C0FEC"/>
    <w:multiLevelType w:val="hybridMultilevel"/>
    <w:tmpl w:val="E2DA54BC"/>
    <w:lvl w:ilvl="0">
      <w:start w:val="1"/>
      <w:numFmt w:val="bullet"/>
      <w:lvlText w:val="o"/>
      <w:lvlJc w:val="left"/>
      <w:pPr>
        <w:tabs>
          <w:tab w:val="num" w:pos="1080"/>
        </w:tabs>
        <w:ind w:left="1080" w:hanging="360"/>
      </w:pPr>
      <w:rPr>
        <w:rFonts w:ascii="Courier New" w:hAnsi="Courier New" w:hint="default"/>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360"/>
        </w:tabs>
        <w:ind w:left="360" w:hanging="360"/>
      </w:pPr>
      <w:rPr>
        <w:rFonts w:ascii="Wingdings" w:hAnsi="Wingdings" w:hint="default"/>
      </w:rPr>
    </w:lvl>
    <w:lvl w:ilvl="3" w:tentative="1">
      <w:start w:val="1"/>
      <w:numFmt w:val="bullet"/>
      <w:lvlText w:val=""/>
      <w:lvlJc w:val="left"/>
      <w:pPr>
        <w:tabs>
          <w:tab w:val="num" w:pos="1080"/>
        </w:tabs>
        <w:ind w:left="1080" w:hanging="360"/>
      </w:pPr>
      <w:rPr>
        <w:rFonts w:ascii="Symbol" w:hAnsi="Symbol" w:hint="default"/>
      </w:rPr>
    </w:lvl>
    <w:lvl w:ilvl="4" w:tentative="1">
      <w:start w:val="1"/>
      <w:numFmt w:val="bullet"/>
      <w:lvlText w:val="o"/>
      <w:lvlJc w:val="left"/>
      <w:pPr>
        <w:tabs>
          <w:tab w:val="num" w:pos="1800"/>
        </w:tabs>
        <w:ind w:left="1800" w:hanging="360"/>
      </w:pPr>
      <w:rPr>
        <w:rFonts w:ascii="Courier New" w:hAnsi="Courier New" w:cs="Courier New" w:hint="default"/>
      </w:rPr>
    </w:lvl>
    <w:lvl w:ilvl="5" w:tentative="1">
      <w:start w:val="1"/>
      <w:numFmt w:val="bullet"/>
      <w:lvlText w:val=""/>
      <w:lvlJc w:val="left"/>
      <w:pPr>
        <w:tabs>
          <w:tab w:val="num" w:pos="2520"/>
        </w:tabs>
        <w:ind w:left="2520" w:hanging="360"/>
      </w:pPr>
      <w:rPr>
        <w:rFonts w:ascii="Wingdings" w:hAnsi="Wingdings" w:hint="default"/>
      </w:rPr>
    </w:lvl>
    <w:lvl w:ilvl="6" w:tentative="1">
      <w:start w:val="1"/>
      <w:numFmt w:val="bullet"/>
      <w:lvlText w:val=""/>
      <w:lvlJc w:val="left"/>
      <w:pPr>
        <w:tabs>
          <w:tab w:val="num" w:pos="3240"/>
        </w:tabs>
        <w:ind w:left="3240" w:hanging="360"/>
      </w:pPr>
      <w:rPr>
        <w:rFonts w:ascii="Symbol" w:hAnsi="Symbol" w:hint="default"/>
      </w:rPr>
    </w:lvl>
    <w:lvl w:ilvl="7" w:tentative="1">
      <w:start w:val="1"/>
      <w:numFmt w:val="bullet"/>
      <w:lvlText w:val="o"/>
      <w:lvlJc w:val="left"/>
      <w:pPr>
        <w:tabs>
          <w:tab w:val="num" w:pos="3960"/>
        </w:tabs>
        <w:ind w:left="3960" w:hanging="360"/>
      </w:pPr>
      <w:rPr>
        <w:rFonts w:ascii="Courier New" w:hAnsi="Courier New" w:cs="Courier New" w:hint="default"/>
      </w:rPr>
    </w:lvl>
    <w:lvl w:ilvl="8" w:tentative="1">
      <w:start w:val="1"/>
      <w:numFmt w:val="bullet"/>
      <w:lvlText w:val=""/>
      <w:lvlJc w:val="left"/>
      <w:pPr>
        <w:tabs>
          <w:tab w:val="num" w:pos="4680"/>
        </w:tabs>
        <w:ind w:left="4680" w:hanging="360"/>
      </w:pPr>
      <w:rPr>
        <w:rFonts w:ascii="Wingdings" w:hAnsi="Wingdings" w:hint="default"/>
      </w:rPr>
    </w:lvl>
  </w:abstractNum>
  <w:abstractNum w:abstractNumId="9">
    <w:nsid w:val="69BB0887"/>
    <w:multiLevelType w:val="hybridMultilevel"/>
    <w:tmpl w:val="16E6DD3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74093DF5"/>
    <w:multiLevelType w:val="hybridMultilevel"/>
    <w:tmpl w:val="415E02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82731594">
    <w:abstractNumId w:val="5"/>
  </w:num>
  <w:num w:numId="2" w16cid:durableId="518784824">
    <w:abstractNumId w:val="7"/>
  </w:num>
  <w:num w:numId="3" w16cid:durableId="1561790556">
    <w:abstractNumId w:val="2"/>
  </w:num>
  <w:num w:numId="4" w16cid:durableId="764690541">
    <w:abstractNumId w:val="4"/>
  </w:num>
  <w:num w:numId="5" w16cid:durableId="923757597">
    <w:abstractNumId w:val="10"/>
  </w:num>
  <w:num w:numId="6" w16cid:durableId="100533628">
    <w:abstractNumId w:val="9"/>
  </w:num>
  <w:num w:numId="7" w16cid:durableId="813570213">
    <w:abstractNumId w:val="6"/>
  </w:num>
  <w:num w:numId="8" w16cid:durableId="561672868">
    <w:abstractNumId w:val="8"/>
  </w:num>
  <w:num w:numId="9" w16cid:durableId="1877236908">
    <w:abstractNumId w:val="0"/>
  </w:num>
  <w:num w:numId="10" w16cid:durableId="2062631978">
    <w:abstractNumId w:val="3"/>
  </w:num>
  <w:num w:numId="11" w16cid:durableId="1090354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186"/>
    <w:rsid w:val="0000072D"/>
    <w:rsid w:val="0000444B"/>
    <w:rsid w:val="00010723"/>
    <w:rsid w:val="00012E3A"/>
    <w:rsid w:val="00014EC2"/>
    <w:rsid w:val="0001738A"/>
    <w:rsid w:val="00017CA2"/>
    <w:rsid w:val="000217B6"/>
    <w:rsid w:val="0002449C"/>
    <w:rsid w:val="000260F7"/>
    <w:rsid w:val="0004154E"/>
    <w:rsid w:val="00045DBA"/>
    <w:rsid w:val="00046E64"/>
    <w:rsid w:val="0004797D"/>
    <w:rsid w:val="00051C47"/>
    <w:rsid w:val="0005654C"/>
    <w:rsid w:val="00057CA8"/>
    <w:rsid w:val="00057F46"/>
    <w:rsid w:val="00063264"/>
    <w:rsid w:val="00071005"/>
    <w:rsid w:val="00082FDD"/>
    <w:rsid w:val="00086BFB"/>
    <w:rsid w:val="00094732"/>
    <w:rsid w:val="000959D4"/>
    <w:rsid w:val="00096E3A"/>
    <w:rsid w:val="000A071E"/>
    <w:rsid w:val="000A613B"/>
    <w:rsid w:val="000A697D"/>
    <w:rsid w:val="000B1EE8"/>
    <w:rsid w:val="000C0647"/>
    <w:rsid w:val="000C2E1E"/>
    <w:rsid w:val="000D0F5E"/>
    <w:rsid w:val="000D48AC"/>
    <w:rsid w:val="000E2A50"/>
    <w:rsid w:val="000E3AD9"/>
    <w:rsid w:val="000E4E0A"/>
    <w:rsid w:val="000E4F25"/>
    <w:rsid w:val="000E6EC7"/>
    <w:rsid w:val="000F2584"/>
    <w:rsid w:val="000F30A9"/>
    <w:rsid w:val="000F57E2"/>
    <w:rsid w:val="00102574"/>
    <w:rsid w:val="00106562"/>
    <w:rsid w:val="00106A26"/>
    <w:rsid w:val="001074B2"/>
    <w:rsid w:val="00107DD6"/>
    <w:rsid w:val="001102E9"/>
    <w:rsid w:val="0011524C"/>
    <w:rsid w:val="00127D2C"/>
    <w:rsid w:val="001351E5"/>
    <w:rsid w:val="0013618B"/>
    <w:rsid w:val="0013711B"/>
    <w:rsid w:val="00137965"/>
    <w:rsid w:val="00143E39"/>
    <w:rsid w:val="0014501C"/>
    <w:rsid w:val="00147F10"/>
    <w:rsid w:val="00152067"/>
    <w:rsid w:val="00154BD3"/>
    <w:rsid w:val="0015678D"/>
    <w:rsid w:val="00161A63"/>
    <w:rsid w:val="00163E7F"/>
    <w:rsid w:val="00166A4D"/>
    <w:rsid w:val="00167255"/>
    <w:rsid w:val="001708E3"/>
    <w:rsid w:val="0017106F"/>
    <w:rsid w:val="001758AE"/>
    <w:rsid w:val="00176B13"/>
    <w:rsid w:val="00177E20"/>
    <w:rsid w:val="0018248D"/>
    <w:rsid w:val="0018389C"/>
    <w:rsid w:val="001922DB"/>
    <w:rsid w:val="001959FA"/>
    <w:rsid w:val="00195B55"/>
    <w:rsid w:val="001A00D4"/>
    <w:rsid w:val="001A29A9"/>
    <w:rsid w:val="001B068F"/>
    <w:rsid w:val="001B75F6"/>
    <w:rsid w:val="001B7B2F"/>
    <w:rsid w:val="001C3B02"/>
    <w:rsid w:val="001D3050"/>
    <w:rsid w:val="001D5B03"/>
    <w:rsid w:val="001E3D1A"/>
    <w:rsid w:val="001E4A3E"/>
    <w:rsid w:val="001E5A8C"/>
    <w:rsid w:val="001E6558"/>
    <w:rsid w:val="001F04B2"/>
    <w:rsid w:val="001F1C0C"/>
    <w:rsid w:val="001F3861"/>
    <w:rsid w:val="0020451F"/>
    <w:rsid w:val="00204865"/>
    <w:rsid w:val="00204EA7"/>
    <w:rsid w:val="00210166"/>
    <w:rsid w:val="002108B7"/>
    <w:rsid w:val="00216DBB"/>
    <w:rsid w:val="00221222"/>
    <w:rsid w:val="00222B9B"/>
    <w:rsid w:val="00224795"/>
    <w:rsid w:val="002258B6"/>
    <w:rsid w:val="00225E00"/>
    <w:rsid w:val="002303C1"/>
    <w:rsid w:val="002328FC"/>
    <w:rsid w:val="00234B5C"/>
    <w:rsid w:val="00256D54"/>
    <w:rsid w:val="00265930"/>
    <w:rsid w:val="00267D47"/>
    <w:rsid w:val="00277A45"/>
    <w:rsid w:val="00280F1C"/>
    <w:rsid w:val="00286993"/>
    <w:rsid w:val="002A26EF"/>
    <w:rsid w:val="002A3CE3"/>
    <w:rsid w:val="002B4C2F"/>
    <w:rsid w:val="002B4CD5"/>
    <w:rsid w:val="002B7D82"/>
    <w:rsid w:val="002C4FBA"/>
    <w:rsid w:val="002C665B"/>
    <w:rsid w:val="002E770B"/>
    <w:rsid w:val="002F0DAF"/>
    <w:rsid w:val="002F0F70"/>
    <w:rsid w:val="002F2519"/>
    <w:rsid w:val="002F701E"/>
    <w:rsid w:val="00306881"/>
    <w:rsid w:val="00306924"/>
    <w:rsid w:val="00313728"/>
    <w:rsid w:val="00315EA0"/>
    <w:rsid w:val="00316D1C"/>
    <w:rsid w:val="003249C1"/>
    <w:rsid w:val="00327080"/>
    <w:rsid w:val="00334E5D"/>
    <w:rsid w:val="00337FAA"/>
    <w:rsid w:val="0034533B"/>
    <w:rsid w:val="00345D31"/>
    <w:rsid w:val="00355B58"/>
    <w:rsid w:val="00361A72"/>
    <w:rsid w:val="00365D40"/>
    <w:rsid w:val="00374B3F"/>
    <w:rsid w:val="00392B7E"/>
    <w:rsid w:val="0039485B"/>
    <w:rsid w:val="00395B82"/>
    <w:rsid w:val="00397F10"/>
    <w:rsid w:val="003A1130"/>
    <w:rsid w:val="003A1989"/>
    <w:rsid w:val="003A1C0E"/>
    <w:rsid w:val="003A2174"/>
    <w:rsid w:val="003A3D43"/>
    <w:rsid w:val="003B0ED7"/>
    <w:rsid w:val="003C0A69"/>
    <w:rsid w:val="003C1453"/>
    <w:rsid w:val="003C6E3F"/>
    <w:rsid w:val="003C7E86"/>
    <w:rsid w:val="003D2098"/>
    <w:rsid w:val="003D7EBD"/>
    <w:rsid w:val="003E02C1"/>
    <w:rsid w:val="003E2135"/>
    <w:rsid w:val="003E3DFB"/>
    <w:rsid w:val="003E40C5"/>
    <w:rsid w:val="003E79F3"/>
    <w:rsid w:val="003F0DDF"/>
    <w:rsid w:val="004028D7"/>
    <w:rsid w:val="00403918"/>
    <w:rsid w:val="00404FFF"/>
    <w:rsid w:val="00405ACC"/>
    <w:rsid w:val="00407774"/>
    <w:rsid w:val="00407FD6"/>
    <w:rsid w:val="00413C7E"/>
    <w:rsid w:val="00416476"/>
    <w:rsid w:val="0042259D"/>
    <w:rsid w:val="0042403B"/>
    <w:rsid w:val="00425522"/>
    <w:rsid w:val="0042786E"/>
    <w:rsid w:val="00431B70"/>
    <w:rsid w:val="00434599"/>
    <w:rsid w:val="00437DC7"/>
    <w:rsid w:val="0045298F"/>
    <w:rsid w:val="004544CF"/>
    <w:rsid w:val="00456B42"/>
    <w:rsid w:val="00456F13"/>
    <w:rsid w:val="004663D2"/>
    <w:rsid w:val="0046780F"/>
    <w:rsid w:val="004703C8"/>
    <w:rsid w:val="004711C0"/>
    <w:rsid w:val="004712DC"/>
    <w:rsid w:val="004726C7"/>
    <w:rsid w:val="00474518"/>
    <w:rsid w:val="00483316"/>
    <w:rsid w:val="00485DD0"/>
    <w:rsid w:val="004903A7"/>
    <w:rsid w:val="00497158"/>
    <w:rsid w:val="004A0E0E"/>
    <w:rsid w:val="004A0E22"/>
    <w:rsid w:val="004A3369"/>
    <w:rsid w:val="004A5F9F"/>
    <w:rsid w:val="004B1287"/>
    <w:rsid w:val="004B2831"/>
    <w:rsid w:val="004B367C"/>
    <w:rsid w:val="004B72E8"/>
    <w:rsid w:val="004C00F9"/>
    <w:rsid w:val="004C436E"/>
    <w:rsid w:val="004C538E"/>
    <w:rsid w:val="004C6F59"/>
    <w:rsid w:val="004D050C"/>
    <w:rsid w:val="004D3B69"/>
    <w:rsid w:val="004D3F68"/>
    <w:rsid w:val="004D6792"/>
    <w:rsid w:val="004D707D"/>
    <w:rsid w:val="004E1904"/>
    <w:rsid w:val="004E3F53"/>
    <w:rsid w:val="004E5B91"/>
    <w:rsid w:val="004F0496"/>
    <w:rsid w:val="004F073D"/>
    <w:rsid w:val="00501E8C"/>
    <w:rsid w:val="00504B4F"/>
    <w:rsid w:val="00505A98"/>
    <w:rsid w:val="00506379"/>
    <w:rsid w:val="00513098"/>
    <w:rsid w:val="005146B4"/>
    <w:rsid w:val="00515B4C"/>
    <w:rsid w:val="00517494"/>
    <w:rsid w:val="00517C64"/>
    <w:rsid w:val="00522214"/>
    <w:rsid w:val="00523AAC"/>
    <w:rsid w:val="00525985"/>
    <w:rsid w:val="00534805"/>
    <w:rsid w:val="005376C8"/>
    <w:rsid w:val="00544132"/>
    <w:rsid w:val="00547461"/>
    <w:rsid w:val="00552887"/>
    <w:rsid w:val="00556D33"/>
    <w:rsid w:val="005570E8"/>
    <w:rsid w:val="00560475"/>
    <w:rsid w:val="005617C1"/>
    <w:rsid w:val="00563665"/>
    <w:rsid w:val="00565BCA"/>
    <w:rsid w:val="005665A4"/>
    <w:rsid w:val="005671F8"/>
    <w:rsid w:val="00576E34"/>
    <w:rsid w:val="00585CDE"/>
    <w:rsid w:val="00587EBC"/>
    <w:rsid w:val="00593187"/>
    <w:rsid w:val="00593F16"/>
    <w:rsid w:val="00594591"/>
    <w:rsid w:val="00596338"/>
    <w:rsid w:val="0059771E"/>
    <w:rsid w:val="00597D2D"/>
    <w:rsid w:val="005A0590"/>
    <w:rsid w:val="005A28EE"/>
    <w:rsid w:val="005A40CF"/>
    <w:rsid w:val="005A4B0C"/>
    <w:rsid w:val="005B1E51"/>
    <w:rsid w:val="005B574A"/>
    <w:rsid w:val="005B69CD"/>
    <w:rsid w:val="005C17E5"/>
    <w:rsid w:val="005D0CEE"/>
    <w:rsid w:val="005E046A"/>
    <w:rsid w:val="005E664C"/>
    <w:rsid w:val="005F50FA"/>
    <w:rsid w:val="00601957"/>
    <w:rsid w:val="00602154"/>
    <w:rsid w:val="00602772"/>
    <w:rsid w:val="006058DC"/>
    <w:rsid w:val="00623440"/>
    <w:rsid w:val="00631F8B"/>
    <w:rsid w:val="006367A1"/>
    <w:rsid w:val="00641518"/>
    <w:rsid w:val="00641656"/>
    <w:rsid w:val="00643154"/>
    <w:rsid w:val="006441C9"/>
    <w:rsid w:val="00651782"/>
    <w:rsid w:val="006545CA"/>
    <w:rsid w:val="006558A5"/>
    <w:rsid w:val="00655B16"/>
    <w:rsid w:val="0066469F"/>
    <w:rsid w:val="00665843"/>
    <w:rsid w:val="00665B2B"/>
    <w:rsid w:val="00666740"/>
    <w:rsid w:val="006677B9"/>
    <w:rsid w:val="0067005E"/>
    <w:rsid w:val="006705EB"/>
    <w:rsid w:val="0067181F"/>
    <w:rsid w:val="0067765B"/>
    <w:rsid w:val="00687636"/>
    <w:rsid w:val="00687E9E"/>
    <w:rsid w:val="006902DF"/>
    <w:rsid w:val="006A1394"/>
    <w:rsid w:val="006B00CB"/>
    <w:rsid w:val="006B23F2"/>
    <w:rsid w:val="006B2E02"/>
    <w:rsid w:val="006C55C7"/>
    <w:rsid w:val="006D0362"/>
    <w:rsid w:val="006D174A"/>
    <w:rsid w:val="006D3CAE"/>
    <w:rsid w:val="006E17CF"/>
    <w:rsid w:val="006E725C"/>
    <w:rsid w:val="006F2905"/>
    <w:rsid w:val="006F37A8"/>
    <w:rsid w:val="006F493D"/>
    <w:rsid w:val="006F65C7"/>
    <w:rsid w:val="006F7E0D"/>
    <w:rsid w:val="00701926"/>
    <w:rsid w:val="00702D74"/>
    <w:rsid w:val="00710157"/>
    <w:rsid w:val="0072030E"/>
    <w:rsid w:val="00722226"/>
    <w:rsid w:val="00724846"/>
    <w:rsid w:val="00725699"/>
    <w:rsid w:val="0072729E"/>
    <w:rsid w:val="00732A9F"/>
    <w:rsid w:val="00733652"/>
    <w:rsid w:val="00745A96"/>
    <w:rsid w:val="00747254"/>
    <w:rsid w:val="00747884"/>
    <w:rsid w:val="0075010C"/>
    <w:rsid w:val="00750807"/>
    <w:rsid w:val="00754F2B"/>
    <w:rsid w:val="00756375"/>
    <w:rsid w:val="007624CF"/>
    <w:rsid w:val="007628C7"/>
    <w:rsid w:val="00765300"/>
    <w:rsid w:val="00771FA5"/>
    <w:rsid w:val="00773152"/>
    <w:rsid w:val="007771C6"/>
    <w:rsid w:val="00781905"/>
    <w:rsid w:val="0078237D"/>
    <w:rsid w:val="007854E6"/>
    <w:rsid w:val="00786AAF"/>
    <w:rsid w:val="00790C3C"/>
    <w:rsid w:val="007921C6"/>
    <w:rsid w:val="0079252D"/>
    <w:rsid w:val="00793F95"/>
    <w:rsid w:val="007960D8"/>
    <w:rsid w:val="007A117F"/>
    <w:rsid w:val="007A7772"/>
    <w:rsid w:val="007B2EEA"/>
    <w:rsid w:val="007B5F74"/>
    <w:rsid w:val="007C2EFE"/>
    <w:rsid w:val="007C34E2"/>
    <w:rsid w:val="007C5D6E"/>
    <w:rsid w:val="007D2D49"/>
    <w:rsid w:val="007D32CC"/>
    <w:rsid w:val="007D3E72"/>
    <w:rsid w:val="007D6833"/>
    <w:rsid w:val="007D7FEC"/>
    <w:rsid w:val="007E70BE"/>
    <w:rsid w:val="007F656E"/>
    <w:rsid w:val="007F6B53"/>
    <w:rsid w:val="00802DF5"/>
    <w:rsid w:val="008064F8"/>
    <w:rsid w:val="0081435F"/>
    <w:rsid w:val="00817DC9"/>
    <w:rsid w:val="00820B11"/>
    <w:rsid w:val="0082747E"/>
    <w:rsid w:val="0083659D"/>
    <w:rsid w:val="00840287"/>
    <w:rsid w:val="00840444"/>
    <w:rsid w:val="00842AA9"/>
    <w:rsid w:val="00842F7C"/>
    <w:rsid w:val="00844F0F"/>
    <w:rsid w:val="008567D2"/>
    <w:rsid w:val="00863E52"/>
    <w:rsid w:val="00873380"/>
    <w:rsid w:val="00881D03"/>
    <w:rsid w:val="00885C17"/>
    <w:rsid w:val="0089050E"/>
    <w:rsid w:val="00890C0A"/>
    <w:rsid w:val="00890D55"/>
    <w:rsid w:val="00891907"/>
    <w:rsid w:val="00894BB7"/>
    <w:rsid w:val="008A16E9"/>
    <w:rsid w:val="008A2EBE"/>
    <w:rsid w:val="008A3600"/>
    <w:rsid w:val="008A3A51"/>
    <w:rsid w:val="008B2B6F"/>
    <w:rsid w:val="008B7D48"/>
    <w:rsid w:val="008C19A6"/>
    <w:rsid w:val="008D1058"/>
    <w:rsid w:val="008D3183"/>
    <w:rsid w:val="008F0328"/>
    <w:rsid w:val="008F0519"/>
    <w:rsid w:val="008F35CE"/>
    <w:rsid w:val="008F48DA"/>
    <w:rsid w:val="008F688D"/>
    <w:rsid w:val="008F7B39"/>
    <w:rsid w:val="00900AC1"/>
    <w:rsid w:val="0091164A"/>
    <w:rsid w:val="0091455F"/>
    <w:rsid w:val="00920D22"/>
    <w:rsid w:val="00921517"/>
    <w:rsid w:val="009269E2"/>
    <w:rsid w:val="00927700"/>
    <w:rsid w:val="00933EF3"/>
    <w:rsid w:val="0093506A"/>
    <w:rsid w:val="00937AAC"/>
    <w:rsid w:val="00940581"/>
    <w:rsid w:val="00942F4B"/>
    <w:rsid w:val="00952F9D"/>
    <w:rsid w:val="009533E8"/>
    <w:rsid w:val="009568B1"/>
    <w:rsid w:val="00957443"/>
    <w:rsid w:val="00960E9E"/>
    <w:rsid w:val="009634DD"/>
    <w:rsid w:val="00963760"/>
    <w:rsid w:val="00966C38"/>
    <w:rsid w:val="00970FD1"/>
    <w:rsid w:val="009745CC"/>
    <w:rsid w:val="0098037E"/>
    <w:rsid w:val="00983708"/>
    <w:rsid w:val="009868B7"/>
    <w:rsid w:val="00991FEA"/>
    <w:rsid w:val="00994BE2"/>
    <w:rsid w:val="009A13FB"/>
    <w:rsid w:val="009A2CE8"/>
    <w:rsid w:val="009A3B2D"/>
    <w:rsid w:val="009A6C1C"/>
    <w:rsid w:val="009A7D51"/>
    <w:rsid w:val="009C14A7"/>
    <w:rsid w:val="009C6E97"/>
    <w:rsid w:val="009C79B3"/>
    <w:rsid w:val="009F58DE"/>
    <w:rsid w:val="009F7ACC"/>
    <w:rsid w:val="00A0086D"/>
    <w:rsid w:val="00A04E11"/>
    <w:rsid w:val="00A11614"/>
    <w:rsid w:val="00A14C7A"/>
    <w:rsid w:val="00A174A1"/>
    <w:rsid w:val="00A20319"/>
    <w:rsid w:val="00A206AD"/>
    <w:rsid w:val="00A20BB2"/>
    <w:rsid w:val="00A2273F"/>
    <w:rsid w:val="00A261CD"/>
    <w:rsid w:val="00A30F8F"/>
    <w:rsid w:val="00A3148F"/>
    <w:rsid w:val="00A3160E"/>
    <w:rsid w:val="00A318C7"/>
    <w:rsid w:val="00A3193A"/>
    <w:rsid w:val="00A32D4F"/>
    <w:rsid w:val="00A32EAA"/>
    <w:rsid w:val="00A32F9A"/>
    <w:rsid w:val="00A43FC5"/>
    <w:rsid w:val="00A5252D"/>
    <w:rsid w:val="00A54797"/>
    <w:rsid w:val="00A61D60"/>
    <w:rsid w:val="00A66FDD"/>
    <w:rsid w:val="00A72E1D"/>
    <w:rsid w:val="00A77681"/>
    <w:rsid w:val="00A81B07"/>
    <w:rsid w:val="00A8765C"/>
    <w:rsid w:val="00AA02F5"/>
    <w:rsid w:val="00AA7533"/>
    <w:rsid w:val="00AA77AA"/>
    <w:rsid w:val="00AB4FF6"/>
    <w:rsid w:val="00AB6959"/>
    <w:rsid w:val="00AC03BA"/>
    <w:rsid w:val="00AC2AF0"/>
    <w:rsid w:val="00AC4FBD"/>
    <w:rsid w:val="00AC5C2D"/>
    <w:rsid w:val="00AC6857"/>
    <w:rsid w:val="00AC70FE"/>
    <w:rsid w:val="00AC7653"/>
    <w:rsid w:val="00AC7AD7"/>
    <w:rsid w:val="00AD4E95"/>
    <w:rsid w:val="00AE0202"/>
    <w:rsid w:val="00AE090D"/>
    <w:rsid w:val="00AE1CC3"/>
    <w:rsid w:val="00AF5CA8"/>
    <w:rsid w:val="00AF6100"/>
    <w:rsid w:val="00B04712"/>
    <w:rsid w:val="00B075EB"/>
    <w:rsid w:val="00B10C0F"/>
    <w:rsid w:val="00B13446"/>
    <w:rsid w:val="00B13BA9"/>
    <w:rsid w:val="00B2501D"/>
    <w:rsid w:val="00B2588D"/>
    <w:rsid w:val="00B26898"/>
    <w:rsid w:val="00B32153"/>
    <w:rsid w:val="00B3488A"/>
    <w:rsid w:val="00B34FCB"/>
    <w:rsid w:val="00B35AD2"/>
    <w:rsid w:val="00B35F8A"/>
    <w:rsid w:val="00B361BC"/>
    <w:rsid w:val="00B40FF4"/>
    <w:rsid w:val="00B41A29"/>
    <w:rsid w:val="00B550FC"/>
    <w:rsid w:val="00B62734"/>
    <w:rsid w:val="00B63D19"/>
    <w:rsid w:val="00B67963"/>
    <w:rsid w:val="00B67BD9"/>
    <w:rsid w:val="00B702DD"/>
    <w:rsid w:val="00B70CDA"/>
    <w:rsid w:val="00B7457B"/>
    <w:rsid w:val="00B8076A"/>
    <w:rsid w:val="00B873C9"/>
    <w:rsid w:val="00B91BF2"/>
    <w:rsid w:val="00B92F93"/>
    <w:rsid w:val="00B93D3C"/>
    <w:rsid w:val="00B9570E"/>
    <w:rsid w:val="00BA0290"/>
    <w:rsid w:val="00BB2338"/>
    <w:rsid w:val="00BB2373"/>
    <w:rsid w:val="00BB3836"/>
    <w:rsid w:val="00BC3346"/>
    <w:rsid w:val="00BC495F"/>
    <w:rsid w:val="00BD0B4F"/>
    <w:rsid w:val="00BD0BD8"/>
    <w:rsid w:val="00BE2EE6"/>
    <w:rsid w:val="00BE38E0"/>
    <w:rsid w:val="00BE5266"/>
    <w:rsid w:val="00BE54C0"/>
    <w:rsid w:val="00BF43CA"/>
    <w:rsid w:val="00BF4830"/>
    <w:rsid w:val="00C07888"/>
    <w:rsid w:val="00C13E4F"/>
    <w:rsid w:val="00C15C0D"/>
    <w:rsid w:val="00C17356"/>
    <w:rsid w:val="00C24AF2"/>
    <w:rsid w:val="00C257CF"/>
    <w:rsid w:val="00C31520"/>
    <w:rsid w:val="00C35C1D"/>
    <w:rsid w:val="00C448D4"/>
    <w:rsid w:val="00C452BE"/>
    <w:rsid w:val="00C47A13"/>
    <w:rsid w:val="00C5216A"/>
    <w:rsid w:val="00C53D5D"/>
    <w:rsid w:val="00C5414E"/>
    <w:rsid w:val="00C55FF0"/>
    <w:rsid w:val="00C57387"/>
    <w:rsid w:val="00C65E1B"/>
    <w:rsid w:val="00C66F8E"/>
    <w:rsid w:val="00C7135D"/>
    <w:rsid w:val="00C72DD5"/>
    <w:rsid w:val="00C73761"/>
    <w:rsid w:val="00C7393D"/>
    <w:rsid w:val="00C77DD0"/>
    <w:rsid w:val="00C82AC4"/>
    <w:rsid w:val="00C90FCF"/>
    <w:rsid w:val="00C915B2"/>
    <w:rsid w:val="00C92BF1"/>
    <w:rsid w:val="00C9322C"/>
    <w:rsid w:val="00C95787"/>
    <w:rsid w:val="00C95D3D"/>
    <w:rsid w:val="00CA1A12"/>
    <w:rsid w:val="00CA36EF"/>
    <w:rsid w:val="00CA618F"/>
    <w:rsid w:val="00CB27F5"/>
    <w:rsid w:val="00CB5BF3"/>
    <w:rsid w:val="00CC6BE7"/>
    <w:rsid w:val="00CD3437"/>
    <w:rsid w:val="00CD5D11"/>
    <w:rsid w:val="00CD7416"/>
    <w:rsid w:val="00CE103B"/>
    <w:rsid w:val="00CE3C8C"/>
    <w:rsid w:val="00CE42E0"/>
    <w:rsid w:val="00CF1A17"/>
    <w:rsid w:val="00CF343B"/>
    <w:rsid w:val="00CF3556"/>
    <w:rsid w:val="00CF6D63"/>
    <w:rsid w:val="00D01014"/>
    <w:rsid w:val="00D01186"/>
    <w:rsid w:val="00D01CC1"/>
    <w:rsid w:val="00D02CD8"/>
    <w:rsid w:val="00D04FB5"/>
    <w:rsid w:val="00D07C81"/>
    <w:rsid w:val="00D123D0"/>
    <w:rsid w:val="00D13A9A"/>
    <w:rsid w:val="00D14DCA"/>
    <w:rsid w:val="00D15B8E"/>
    <w:rsid w:val="00D213AF"/>
    <w:rsid w:val="00D22B4C"/>
    <w:rsid w:val="00D23B50"/>
    <w:rsid w:val="00D24FED"/>
    <w:rsid w:val="00D258F5"/>
    <w:rsid w:val="00D26F3F"/>
    <w:rsid w:val="00D31560"/>
    <w:rsid w:val="00D34622"/>
    <w:rsid w:val="00D41B0D"/>
    <w:rsid w:val="00D41EF4"/>
    <w:rsid w:val="00D42916"/>
    <w:rsid w:val="00D51478"/>
    <w:rsid w:val="00D51F32"/>
    <w:rsid w:val="00D53363"/>
    <w:rsid w:val="00D5363C"/>
    <w:rsid w:val="00D53842"/>
    <w:rsid w:val="00D6217E"/>
    <w:rsid w:val="00D62AE6"/>
    <w:rsid w:val="00D65E6E"/>
    <w:rsid w:val="00D72491"/>
    <w:rsid w:val="00D73027"/>
    <w:rsid w:val="00D73C85"/>
    <w:rsid w:val="00D77989"/>
    <w:rsid w:val="00D77C36"/>
    <w:rsid w:val="00D82839"/>
    <w:rsid w:val="00D82A35"/>
    <w:rsid w:val="00D833A0"/>
    <w:rsid w:val="00D86AFB"/>
    <w:rsid w:val="00D90243"/>
    <w:rsid w:val="00DA1838"/>
    <w:rsid w:val="00DA31C4"/>
    <w:rsid w:val="00DB1551"/>
    <w:rsid w:val="00DB4811"/>
    <w:rsid w:val="00DC3A0F"/>
    <w:rsid w:val="00DC444B"/>
    <w:rsid w:val="00DD029D"/>
    <w:rsid w:val="00DD632B"/>
    <w:rsid w:val="00DD6A37"/>
    <w:rsid w:val="00DE1C52"/>
    <w:rsid w:val="00DE591E"/>
    <w:rsid w:val="00DE7028"/>
    <w:rsid w:val="00DF2754"/>
    <w:rsid w:val="00DF5979"/>
    <w:rsid w:val="00DF7A90"/>
    <w:rsid w:val="00E0535E"/>
    <w:rsid w:val="00E151BD"/>
    <w:rsid w:val="00E22386"/>
    <w:rsid w:val="00E30E7E"/>
    <w:rsid w:val="00E36BD0"/>
    <w:rsid w:val="00E4003A"/>
    <w:rsid w:val="00E525A0"/>
    <w:rsid w:val="00E5260D"/>
    <w:rsid w:val="00E5293C"/>
    <w:rsid w:val="00E55BDE"/>
    <w:rsid w:val="00E612F6"/>
    <w:rsid w:val="00E71AE6"/>
    <w:rsid w:val="00E72DEC"/>
    <w:rsid w:val="00E770D5"/>
    <w:rsid w:val="00E7735F"/>
    <w:rsid w:val="00E821EF"/>
    <w:rsid w:val="00E837B0"/>
    <w:rsid w:val="00E841DE"/>
    <w:rsid w:val="00E90757"/>
    <w:rsid w:val="00E94B70"/>
    <w:rsid w:val="00E94F31"/>
    <w:rsid w:val="00E96E09"/>
    <w:rsid w:val="00E973FF"/>
    <w:rsid w:val="00EA0917"/>
    <w:rsid w:val="00EA17E0"/>
    <w:rsid w:val="00EA202A"/>
    <w:rsid w:val="00EA38FF"/>
    <w:rsid w:val="00EA524D"/>
    <w:rsid w:val="00EB2D92"/>
    <w:rsid w:val="00EB5AAD"/>
    <w:rsid w:val="00EC018D"/>
    <w:rsid w:val="00EC055D"/>
    <w:rsid w:val="00EE0BFC"/>
    <w:rsid w:val="00EE6CE8"/>
    <w:rsid w:val="00EF6F9C"/>
    <w:rsid w:val="00EF76AF"/>
    <w:rsid w:val="00F01DD1"/>
    <w:rsid w:val="00F070F9"/>
    <w:rsid w:val="00F2458D"/>
    <w:rsid w:val="00F27F68"/>
    <w:rsid w:val="00F27FE0"/>
    <w:rsid w:val="00F33653"/>
    <w:rsid w:val="00F3445E"/>
    <w:rsid w:val="00F4090C"/>
    <w:rsid w:val="00F4101A"/>
    <w:rsid w:val="00F5156F"/>
    <w:rsid w:val="00F54947"/>
    <w:rsid w:val="00F552D7"/>
    <w:rsid w:val="00F571A5"/>
    <w:rsid w:val="00F60471"/>
    <w:rsid w:val="00F66CA2"/>
    <w:rsid w:val="00F70F16"/>
    <w:rsid w:val="00F72CF2"/>
    <w:rsid w:val="00F72EB0"/>
    <w:rsid w:val="00F7510A"/>
    <w:rsid w:val="00F80307"/>
    <w:rsid w:val="00F81CA6"/>
    <w:rsid w:val="00F833C9"/>
    <w:rsid w:val="00F83A43"/>
    <w:rsid w:val="00F87109"/>
    <w:rsid w:val="00F90A6C"/>
    <w:rsid w:val="00F93F4C"/>
    <w:rsid w:val="00F95FB7"/>
    <w:rsid w:val="00F968FA"/>
    <w:rsid w:val="00FA07A8"/>
    <w:rsid w:val="00FA1137"/>
    <w:rsid w:val="00FA3D06"/>
    <w:rsid w:val="00FA5968"/>
    <w:rsid w:val="00FA639E"/>
    <w:rsid w:val="00FA6527"/>
    <w:rsid w:val="00FB3978"/>
    <w:rsid w:val="00FB434D"/>
    <w:rsid w:val="00FB647E"/>
    <w:rsid w:val="00FC2F15"/>
    <w:rsid w:val="00FC33F8"/>
    <w:rsid w:val="00FD21DB"/>
    <w:rsid w:val="00FD6F3D"/>
    <w:rsid w:val="00FD71F4"/>
    <w:rsid w:val="00FD7391"/>
    <w:rsid w:val="00FE10D4"/>
    <w:rsid w:val="00FE716A"/>
    <w:rsid w:val="00FE74BA"/>
    <w:rsid w:val="00FF188F"/>
    <w:rsid w:val="00FF2B94"/>
    <w:rsid w:val="00FF3A05"/>
    <w:rsid w:val="00FF3C07"/>
    <w:rsid w:val="00FF45BA"/>
    <w:rsid w:val="00FF6D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DBD3DE"/>
  <w15:docId w15:val="{89776D0F-BD30-45BE-9081-094430B4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1186"/>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01186"/>
    <w:rPr>
      <w:color w:val="0000FF"/>
      <w:u w:val="single"/>
    </w:rPr>
  </w:style>
  <w:style w:type="paragraph" w:styleId="FootnoteText">
    <w:name w:val="footnote text"/>
    <w:basedOn w:val="Normal"/>
    <w:semiHidden/>
    <w:rsid w:val="00D01186"/>
    <w:rPr>
      <w:sz w:val="20"/>
      <w:szCs w:val="20"/>
    </w:rPr>
  </w:style>
  <w:style w:type="character" w:styleId="FootnoteReference">
    <w:name w:val="footnote reference"/>
    <w:semiHidden/>
    <w:rsid w:val="00D01186"/>
    <w:rPr>
      <w:vertAlign w:val="superscript"/>
    </w:rPr>
  </w:style>
  <w:style w:type="paragraph" w:customStyle="1" w:styleId="Default">
    <w:name w:val="Default"/>
    <w:rsid w:val="00D01186"/>
    <w:pPr>
      <w:autoSpaceDE w:val="0"/>
      <w:autoSpaceDN w:val="0"/>
      <w:adjustRightInd w:val="0"/>
    </w:pPr>
    <w:rPr>
      <w:color w:val="000000"/>
      <w:sz w:val="24"/>
      <w:szCs w:val="24"/>
    </w:rPr>
  </w:style>
  <w:style w:type="paragraph" w:styleId="Header">
    <w:name w:val="header"/>
    <w:basedOn w:val="Normal"/>
    <w:rsid w:val="00D01186"/>
    <w:pPr>
      <w:tabs>
        <w:tab w:val="center" w:pos="4320"/>
        <w:tab w:val="right" w:pos="8640"/>
      </w:tabs>
    </w:pPr>
  </w:style>
  <w:style w:type="paragraph" w:styleId="Footer">
    <w:name w:val="footer"/>
    <w:basedOn w:val="Normal"/>
    <w:link w:val="FooterChar"/>
    <w:uiPriority w:val="99"/>
    <w:rsid w:val="00D01186"/>
    <w:pPr>
      <w:tabs>
        <w:tab w:val="center" w:pos="4320"/>
        <w:tab w:val="right" w:pos="8640"/>
      </w:tabs>
    </w:pPr>
  </w:style>
  <w:style w:type="character" w:styleId="PageNumber">
    <w:name w:val="page number"/>
    <w:basedOn w:val="DefaultParagraphFont"/>
    <w:rsid w:val="00597D2D"/>
  </w:style>
  <w:style w:type="paragraph" w:styleId="BalloonText">
    <w:name w:val="Balloon Text"/>
    <w:basedOn w:val="Normal"/>
    <w:semiHidden/>
    <w:rsid w:val="005A0590"/>
    <w:rPr>
      <w:rFonts w:ascii="Tahoma" w:hAnsi="Tahoma" w:cs="Tahoma"/>
      <w:sz w:val="16"/>
      <w:szCs w:val="16"/>
    </w:rPr>
  </w:style>
  <w:style w:type="character" w:styleId="CommentReference">
    <w:name w:val="annotation reference"/>
    <w:semiHidden/>
    <w:rsid w:val="00665843"/>
    <w:rPr>
      <w:sz w:val="16"/>
      <w:szCs w:val="16"/>
    </w:rPr>
  </w:style>
  <w:style w:type="paragraph" w:styleId="CommentText">
    <w:name w:val="annotation text"/>
    <w:basedOn w:val="Normal"/>
    <w:semiHidden/>
    <w:rsid w:val="00665843"/>
    <w:rPr>
      <w:sz w:val="20"/>
      <w:szCs w:val="20"/>
    </w:rPr>
  </w:style>
  <w:style w:type="paragraph" w:styleId="CommentSubject">
    <w:name w:val="annotation subject"/>
    <w:basedOn w:val="CommentText"/>
    <w:next w:val="CommentText"/>
    <w:semiHidden/>
    <w:rsid w:val="00665843"/>
    <w:rPr>
      <w:b/>
      <w:bCs/>
    </w:rPr>
  </w:style>
  <w:style w:type="table" w:styleId="TableGrid">
    <w:name w:val="Table Grid"/>
    <w:basedOn w:val="TableNormal"/>
    <w:rsid w:val="00665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A3A51"/>
    <w:rPr>
      <w:sz w:val="24"/>
      <w:szCs w:val="24"/>
    </w:rPr>
  </w:style>
  <w:style w:type="table" w:styleId="Table3Deffects2">
    <w:name w:val="Table 3D effects 2"/>
    <w:basedOn w:val="TableNormal"/>
    <w:rsid w:val="001351E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3506A"/>
    <w:rPr>
      <w:sz w:val="24"/>
      <w:szCs w:val="24"/>
    </w:rPr>
  </w:style>
  <w:style w:type="character" w:styleId="UnresolvedMention">
    <w:name w:val="Unresolved Mention"/>
    <w:basedOn w:val="DefaultParagraphFont"/>
    <w:uiPriority w:val="99"/>
    <w:semiHidden/>
    <w:unhideWhenUsed/>
    <w:rsid w:val="00B87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lig9@cdc.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ma9@cdc.gov" TargetMode="External" /><Relationship Id="rId5" Type="http://schemas.openxmlformats.org/officeDocument/2006/relationships/hyperlink" Target="mailto:zxz3@cdc.gov" TargetMode="External" /><Relationship Id="rId6" Type="http://schemas.openxmlformats.org/officeDocument/2006/relationships/hyperlink" Target="mailto:fva5@cdc.gov" TargetMode="External" /><Relationship Id="rId7" Type="http://schemas.openxmlformats.org/officeDocument/2006/relationships/hyperlink" Target="mailto:tgo7@cdc.gov" TargetMode="External" /><Relationship Id="rId8" Type="http://schemas.openxmlformats.org/officeDocument/2006/relationships/hyperlink" Target="mailto:gge3@cdc.gov" TargetMode="External" /><Relationship Id="rId9" Type="http://schemas.openxmlformats.org/officeDocument/2006/relationships/hyperlink" Target="mailt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3363</Words>
  <Characters>19173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Title</vt:lpstr>
    </vt:vector>
  </TitlesOfParts>
  <Company>ITSO</Company>
  <LinksUpToDate>false</LinksUpToDate>
  <CharactersWithSpaces>22492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vbs6</dc:creator>
  <cp:lastModifiedBy>Cody, Aisha (CDC/NCHHSTP/OD)</cp:lastModifiedBy>
  <cp:revision>9</cp:revision>
  <cp:lastPrinted>2017-11-17T18:07:00Z</cp:lastPrinted>
  <dcterms:created xsi:type="dcterms:W3CDTF">2025-04-16T15:50:00Z</dcterms:created>
  <dcterms:modified xsi:type="dcterms:W3CDTF">2025-05-20T22:13:00Z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6423545b-7fed-4dcd-a88b-cfab38fb7139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2023-02-23T14:43:44Z</vt:lpwstr>
  </property>
  <property fmtid="{D5CDD505-2E9C-101B-9397-08002B2CF9AE}" pid="8" name="MSIP_Label_7b94a7b8-f06c-4dfe-bdcc-9b548fd58c31_SiteId">
    <vt:lpwstr>9ce70869-60db-44fd-abe8-d2767077fc8f</vt:lpwstr>
  </property>
</Properties>
</file>