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2F2334" w14:paraId="55FE1770" w14:textId="77777777">
      <w:pPr>
        <w:spacing w:line="240" w:lineRule="auto"/>
      </w:pPr>
      <w:bookmarkStart w:id="0" w:name="_Toc473880015"/>
    </w:p>
    <w:p w:rsidR="005F75B7" w:rsidP="00DB5853" w14:paraId="6AB0D0FD" w14:textId="77777777">
      <w:pPr>
        <w:spacing w:after="0" w:line="240" w:lineRule="auto"/>
        <w:jc w:val="center"/>
        <w:rPr>
          <w:b/>
        </w:rPr>
      </w:pPr>
    </w:p>
    <w:p w:rsidR="005F75B7" w:rsidRPr="005F75B7" w:rsidP="002F2334" w14:paraId="1C4E6775" w14:textId="77777777">
      <w:pPr>
        <w:spacing w:after="0" w:line="240" w:lineRule="auto"/>
        <w:jc w:val="center"/>
        <w:rPr>
          <w:b/>
          <w:sz w:val="32"/>
          <w:szCs w:val="32"/>
        </w:rPr>
      </w:pPr>
      <w:r w:rsidRPr="005F75B7">
        <w:rPr>
          <w:b/>
          <w:sz w:val="32"/>
          <w:szCs w:val="32"/>
        </w:rPr>
        <w:t>GenIC</w:t>
      </w:r>
      <w:r w:rsidRPr="005F75B7">
        <w:rPr>
          <w:b/>
          <w:sz w:val="32"/>
          <w:szCs w:val="32"/>
        </w:rPr>
        <w:t xml:space="preserve"> Clearance for CDC/ATSDR</w:t>
      </w:r>
    </w:p>
    <w:p w:rsidR="005F75B7" w:rsidRPr="005F75B7" w:rsidP="002F2334" w14:paraId="06E3BC6A" w14:textId="77777777">
      <w:pPr>
        <w:spacing w:line="240" w:lineRule="auto"/>
        <w:jc w:val="center"/>
        <w:rPr>
          <w:b/>
          <w:sz w:val="32"/>
          <w:szCs w:val="32"/>
        </w:rPr>
      </w:pPr>
      <w:r w:rsidRPr="005F75B7">
        <w:rPr>
          <w:b/>
          <w:sz w:val="32"/>
          <w:szCs w:val="32"/>
        </w:rPr>
        <w:t>Formative Research and Tool Development</w:t>
      </w:r>
    </w:p>
    <w:p w:rsidR="00304BBB" w:rsidP="002F2334" w14:paraId="55FE1771" w14:textId="77777777">
      <w:pPr>
        <w:spacing w:line="240" w:lineRule="auto"/>
      </w:pPr>
    </w:p>
    <w:bookmarkEnd w:id="0"/>
    <w:p w:rsidR="004A13E8" w:rsidP="002F2334" w14:paraId="55FE1773" w14:textId="7D366C0A">
      <w:pPr>
        <w:spacing w:after="0" w:line="240" w:lineRule="auto"/>
        <w:jc w:val="center"/>
        <w:rPr>
          <w:b/>
          <w:sz w:val="48"/>
          <w:szCs w:val="48"/>
        </w:rPr>
      </w:pPr>
      <w:r w:rsidRPr="00D67035">
        <w:rPr>
          <w:b/>
          <w:sz w:val="48"/>
          <w:szCs w:val="48"/>
        </w:rPr>
        <w:t>Focus Groups with Healthcare Providers on Endemic Mycoses</w:t>
      </w:r>
    </w:p>
    <w:p w:rsidR="00D67035" w:rsidP="002F2334" w14:paraId="27041B07" w14:textId="77777777">
      <w:pPr>
        <w:spacing w:after="0" w:line="240" w:lineRule="auto"/>
        <w:jc w:val="center"/>
        <w:rPr>
          <w:b/>
        </w:rPr>
      </w:pPr>
    </w:p>
    <w:p w:rsidR="004A13E8" w:rsidRPr="004A13E8" w:rsidP="002F2334" w14:paraId="55FE1774" w14:textId="7F2CFF7A">
      <w:pPr>
        <w:pStyle w:val="Heading3"/>
      </w:pPr>
      <w:r>
        <w:t>OMB Control No. 0920-1154</w:t>
      </w:r>
    </w:p>
    <w:p w:rsidR="004A13E8" w:rsidP="002F2334" w14:paraId="55FE1775" w14:textId="77777777">
      <w:pPr>
        <w:spacing w:after="0" w:line="240" w:lineRule="auto"/>
        <w:jc w:val="center"/>
        <w:rPr>
          <w:b/>
        </w:rPr>
      </w:pPr>
    </w:p>
    <w:p w:rsidR="004A13E8" w:rsidRPr="004A13E8" w:rsidP="002F2334" w14:paraId="55FE1776" w14:textId="5E140BAE">
      <w:pPr>
        <w:pStyle w:val="Heading4"/>
      </w:pPr>
      <w:r>
        <w:t xml:space="preserve">December </w:t>
      </w:r>
      <w:r w:rsidR="00FD1C02">
        <w:t>21</w:t>
      </w:r>
      <w:r w:rsidR="000D3799">
        <w:t>, 2023</w:t>
      </w:r>
    </w:p>
    <w:p w:rsidR="004A13E8" w:rsidP="002F2334" w14:paraId="55FE1777" w14:textId="77777777">
      <w:pPr>
        <w:spacing w:after="0" w:line="240" w:lineRule="auto"/>
        <w:jc w:val="center"/>
        <w:rPr>
          <w:b/>
        </w:rPr>
      </w:pPr>
    </w:p>
    <w:p w:rsidR="004A13E8" w:rsidP="002F2334" w14:paraId="55FE1778" w14:textId="77777777">
      <w:pPr>
        <w:spacing w:line="240" w:lineRule="auto"/>
      </w:pPr>
    </w:p>
    <w:p w:rsidR="004A13E8" w:rsidP="002F2334" w14:paraId="55FE1779" w14:textId="77777777">
      <w:pPr>
        <w:spacing w:line="240" w:lineRule="auto"/>
      </w:pPr>
    </w:p>
    <w:p w:rsidR="004A13E8" w:rsidP="002F2334" w14:paraId="55FE177A" w14:textId="77777777">
      <w:pPr>
        <w:spacing w:line="240" w:lineRule="auto"/>
      </w:pPr>
    </w:p>
    <w:p w:rsidR="004A13E8" w:rsidP="002F2334" w14:paraId="55FE177E" w14:textId="77777777">
      <w:pPr>
        <w:spacing w:after="0" w:line="240" w:lineRule="auto"/>
        <w:jc w:val="center"/>
        <w:rPr>
          <w:b/>
        </w:rPr>
      </w:pPr>
    </w:p>
    <w:p w:rsidR="004A13E8" w:rsidP="002F2334" w14:paraId="55FE177F" w14:textId="77777777">
      <w:pPr>
        <w:pStyle w:val="Heading4"/>
      </w:pPr>
      <w:r>
        <w:t xml:space="preserve">Supporting </w:t>
      </w:r>
      <w:r>
        <w:t>Statement</w:t>
      </w:r>
      <w:r>
        <w:t xml:space="preserve"> A</w:t>
      </w:r>
    </w:p>
    <w:p w:rsidR="004A13E8" w:rsidP="002F2334" w14:paraId="55FE1780" w14:textId="77777777">
      <w:pPr>
        <w:spacing w:after="0" w:line="240" w:lineRule="auto"/>
        <w:rPr>
          <w:b/>
        </w:rPr>
      </w:pPr>
    </w:p>
    <w:p w:rsidR="004A13E8" w:rsidP="002F2334" w14:paraId="55FE1781" w14:textId="77777777">
      <w:pPr>
        <w:spacing w:after="0" w:line="240" w:lineRule="auto"/>
        <w:rPr>
          <w:b/>
        </w:rPr>
      </w:pPr>
    </w:p>
    <w:p w:rsidR="004A13E8" w:rsidP="002F2334" w14:paraId="55FE1782" w14:textId="77777777">
      <w:pPr>
        <w:spacing w:after="0" w:line="240" w:lineRule="auto"/>
        <w:rPr>
          <w:b/>
        </w:rPr>
      </w:pPr>
    </w:p>
    <w:p w:rsidR="004A13E8" w:rsidP="002F2334" w14:paraId="55FE1783" w14:textId="77777777">
      <w:pPr>
        <w:spacing w:after="0" w:line="240" w:lineRule="auto"/>
        <w:rPr>
          <w:b/>
        </w:rPr>
      </w:pPr>
    </w:p>
    <w:p w:rsidR="004A13E8" w:rsidP="002F2334" w14:paraId="55FE1784" w14:textId="77777777">
      <w:pPr>
        <w:spacing w:after="0" w:line="240" w:lineRule="auto"/>
        <w:rPr>
          <w:b/>
        </w:rPr>
      </w:pPr>
    </w:p>
    <w:p w:rsidR="004A13E8" w:rsidP="002F2334" w14:paraId="55FE1785" w14:textId="77777777">
      <w:pPr>
        <w:spacing w:after="0" w:line="240" w:lineRule="auto"/>
        <w:rPr>
          <w:b/>
        </w:rPr>
      </w:pPr>
    </w:p>
    <w:p w:rsidR="004A13E8" w:rsidP="002F2334" w14:paraId="55FE1786" w14:textId="77777777">
      <w:pPr>
        <w:spacing w:after="0" w:line="240" w:lineRule="auto"/>
        <w:rPr>
          <w:b/>
        </w:rPr>
      </w:pPr>
    </w:p>
    <w:p w:rsidR="004A13E8" w:rsidP="002F2334" w14:paraId="55FE178E" w14:textId="77777777">
      <w:pPr>
        <w:spacing w:after="0" w:line="240" w:lineRule="auto"/>
        <w:rPr>
          <w:b/>
        </w:rPr>
      </w:pPr>
    </w:p>
    <w:p w:rsidR="004A13E8" w:rsidP="002F2334" w14:paraId="55FE178F" w14:textId="77777777">
      <w:pPr>
        <w:spacing w:after="0" w:line="240" w:lineRule="auto"/>
        <w:rPr>
          <w:b/>
        </w:rPr>
      </w:pPr>
    </w:p>
    <w:p w:rsidR="004A13E8" w:rsidP="002F2334" w14:paraId="55FE1791" w14:textId="77777777">
      <w:pPr>
        <w:spacing w:after="0" w:line="240" w:lineRule="auto"/>
        <w:rPr>
          <w:b/>
        </w:rPr>
      </w:pPr>
    </w:p>
    <w:p w:rsidR="00D67035" w:rsidP="002F2334" w14:paraId="4A32D34A" w14:textId="77777777">
      <w:pPr>
        <w:spacing w:after="0" w:line="240" w:lineRule="auto"/>
        <w:rPr>
          <w:b/>
        </w:rPr>
      </w:pPr>
    </w:p>
    <w:p w:rsidR="00D67035" w:rsidP="002F2334" w14:paraId="337199AB" w14:textId="77777777">
      <w:pPr>
        <w:spacing w:after="0" w:line="240" w:lineRule="auto"/>
        <w:rPr>
          <w:b/>
        </w:rPr>
      </w:pPr>
    </w:p>
    <w:p w:rsidR="00D67035" w:rsidP="002F2334" w14:paraId="13F7CB31" w14:textId="77777777">
      <w:pPr>
        <w:spacing w:after="0" w:line="240" w:lineRule="auto"/>
        <w:rPr>
          <w:b/>
        </w:rPr>
      </w:pPr>
    </w:p>
    <w:p w:rsidR="004A13E8" w:rsidP="002F2334" w14:paraId="55FE1792" w14:textId="77777777">
      <w:pPr>
        <w:spacing w:after="0" w:line="240" w:lineRule="auto"/>
        <w:rPr>
          <w:b/>
        </w:rPr>
      </w:pPr>
    </w:p>
    <w:p w:rsidR="00490D85" w:rsidP="00490D85" w14:paraId="2902076D" w14:textId="77777777">
      <w:pPr>
        <w:pStyle w:val="NoSpacing"/>
        <w:rPr>
          <w:b/>
        </w:rPr>
      </w:pPr>
      <w:r>
        <w:rPr>
          <w:b/>
        </w:rPr>
        <w:t xml:space="preserve">Contact: </w:t>
      </w:r>
    </w:p>
    <w:p w:rsidR="00490D85" w:rsidP="00490D85" w14:paraId="4DE3A8FA" w14:textId="77777777">
      <w:pPr>
        <w:pStyle w:val="NoSpacing"/>
      </w:pPr>
      <w:r>
        <w:t>Rudith Vice</w:t>
      </w:r>
    </w:p>
    <w:p w:rsidR="00490D85" w:rsidP="00490D85" w14:paraId="31D66A7E" w14:textId="77777777">
      <w:pPr>
        <w:pStyle w:val="NoSpacing"/>
      </w:pPr>
      <w:r>
        <w:t xml:space="preserve">National Center for Emerging and Zoonotic Infectious Diseases </w:t>
      </w:r>
    </w:p>
    <w:p w:rsidR="00490D85" w:rsidP="00490D85" w14:paraId="09C03E4A" w14:textId="77777777">
      <w:pPr>
        <w:pStyle w:val="NoSpacing"/>
      </w:pPr>
      <w:r>
        <w:t xml:space="preserve">Centers for Disease Control and Prevention </w:t>
      </w:r>
    </w:p>
    <w:p w:rsidR="00490D85" w:rsidP="00490D85" w14:paraId="2F22608B" w14:textId="77777777">
      <w:pPr>
        <w:pStyle w:val="NoSpacing"/>
      </w:pPr>
      <w:r>
        <w:t xml:space="preserve">1600 Clifton Road, NE </w:t>
      </w:r>
    </w:p>
    <w:p w:rsidR="00490D85" w:rsidP="00490D85" w14:paraId="54DE8F29" w14:textId="77777777">
      <w:pPr>
        <w:pStyle w:val="NoSpacing"/>
      </w:pPr>
      <w:r>
        <w:t xml:space="preserve">Atlanta, Georgia 30333 </w:t>
      </w:r>
    </w:p>
    <w:p w:rsidR="00490D85" w:rsidP="00490D85" w14:paraId="7926E97D" w14:textId="77777777">
      <w:pPr>
        <w:pStyle w:val="NoSpacing"/>
      </w:pPr>
      <w:r>
        <w:t xml:space="preserve">Phone: (404)718-7292 </w:t>
      </w:r>
    </w:p>
    <w:p w:rsidR="004A13E8" w:rsidP="00490D85" w14:paraId="55FE179A" w14:textId="64D85931">
      <w:pPr>
        <w:pStyle w:val="NoSpacing"/>
      </w:pPr>
      <w:r>
        <w:t xml:space="preserve">Email: </w:t>
      </w:r>
      <w:hyperlink r:id="rId9" w:history="1">
        <w:r>
          <w:rPr>
            <w:rStyle w:val="Hyperlink"/>
          </w:rPr>
          <w:t>nhr9@cdc.gov</w:t>
        </w:r>
      </w:hyperlink>
      <w: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2F2334" w14:paraId="55FE179B" w14:textId="091556FE">
          <w:pPr>
            <w:pStyle w:val="Heading4"/>
            <w:rPr>
              <w:sz w:val="28"/>
              <w:szCs w:val="28"/>
            </w:rPr>
          </w:pPr>
          <w:r w:rsidRPr="00D13EA1">
            <w:rPr>
              <w:sz w:val="28"/>
              <w:szCs w:val="28"/>
            </w:rPr>
            <w:t xml:space="preserve">Table of </w:t>
          </w:r>
          <w:r w:rsidRPr="00D13EA1">
            <w:rPr>
              <w:sz w:val="28"/>
              <w:szCs w:val="28"/>
            </w:rPr>
            <w:t>Contents</w:t>
          </w:r>
        </w:p>
        <w:p w:rsidR="00C90B13" w:rsidP="002F2334" w14:paraId="55FE179C" w14:textId="77777777">
          <w:pPr>
            <w:pStyle w:val="TOC2"/>
            <w:tabs>
              <w:tab w:val="right" w:leader="dot" w:pos="10070"/>
            </w:tabs>
            <w:spacing w:line="240" w:lineRule="auto"/>
            <w:rPr>
              <w:rFonts w:asciiTheme="minorHAnsi" w:eastAsiaTheme="minorEastAsia" w:hAnsiTheme="minorHAnsi"/>
              <w:noProof/>
              <w:sz w:val="22"/>
            </w:rPr>
          </w:pPr>
          <w:r>
            <w:fldChar w:fldCharType="begin"/>
          </w:r>
          <w:r>
            <w:instrText xml:space="preserve"> TOC \o "1-3" \h \z \u </w:instrText>
          </w:r>
          <w:r>
            <w:fldChar w:fldCharType="separate"/>
          </w:r>
        </w:p>
        <w:p w:rsidR="00C90B13" w:rsidP="002F2334" w14:paraId="55FE179D" w14:textId="25FA88F0">
          <w:pPr>
            <w:pStyle w:val="TOC1"/>
            <w:tabs>
              <w:tab w:val="left" w:pos="480"/>
              <w:tab w:val="right" w:leader="dot" w:pos="10070"/>
            </w:tabs>
            <w:spacing w:line="240" w:lineRule="auto"/>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E903D2">
              <w:rPr>
                <w:noProof/>
                <w:webHidden/>
              </w:rPr>
              <w:t>3</w:t>
            </w:r>
            <w:r>
              <w:rPr>
                <w:noProof/>
                <w:webHidden/>
              </w:rPr>
              <w:fldChar w:fldCharType="end"/>
            </w:r>
          </w:hyperlink>
        </w:p>
        <w:p w:rsidR="00C90B13" w:rsidP="002F2334" w14:paraId="55FE179E" w14:textId="7C7D6294">
          <w:pPr>
            <w:pStyle w:val="TOC1"/>
            <w:tabs>
              <w:tab w:val="left" w:pos="480"/>
              <w:tab w:val="right" w:leader="dot" w:pos="10070"/>
            </w:tabs>
            <w:spacing w:line="240" w:lineRule="auto"/>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E903D2">
              <w:rPr>
                <w:noProof/>
                <w:webHidden/>
              </w:rPr>
              <w:t>4</w:t>
            </w:r>
            <w:r>
              <w:rPr>
                <w:noProof/>
                <w:webHidden/>
              </w:rPr>
              <w:fldChar w:fldCharType="end"/>
            </w:r>
          </w:hyperlink>
        </w:p>
        <w:p w:rsidR="00C90B13" w:rsidP="002F2334" w14:paraId="55FE179F" w14:textId="01EFB8C2">
          <w:pPr>
            <w:pStyle w:val="TOC1"/>
            <w:tabs>
              <w:tab w:val="left" w:pos="480"/>
              <w:tab w:val="right" w:leader="dot" w:pos="10070"/>
            </w:tabs>
            <w:spacing w:line="240" w:lineRule="auto"/>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E903D2">
              <w:rPr>
                <w:noProof/>
                <w:webHidden/>
              </w:rPr>
              <w:t>5</w:t>
            </w:r>
            <w:r>
              <w:rPr>
                <w:noProof/>
                <w:webHidden/>
              </w:rPr>
              <w:fldChar w:fldCharType="end"/>
            </w:r>
          </w:hyperlink>
        </w:p>
        <w:p w:rsidR="00C90B13" w:rsidP="002F2334" w14:paraId="55FE17A0" w14:textId="33F8FB6F">
          <w:pPr>
            <w:pStyle w:val="TOC1"/>
            <w:tabs>
              <w:tab w:val="left" w:pos="480"/>
              <w:tab w:val="right" w:leader="dot" w:pos="10070"/>
            </w:tabs>
            <w:spacing w:line="240" w:lineRule="auto"/>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E903D2">
              <w:rPr>
                <w:noProof/>
                <w:webHidden/>
              </w:rPr>
              <w:t>5</w:t>
            </w:r>
            <w:r>
              <w:rPr>
                <w:noProof/>
                <w:webHidden/>
              </w:rPr>
              <w:fldChar w:fldCharType="end"/>
            </w:r>
          </w:hyperlink>
        </w:p>
        <w:p w:rsidR="00C90B13" w:rsidP="002F2334" w14:paraId="55FE17A1" w14:textId="72258819">
          <w:pPr>
            <w:pStyle w:val="TOC1"/>
            <w:tabs>
              <w:tab w:val="left" w:pos="480"/>
              <w:tab w:val="right" w:leader="dot" w:pos="10070"/>
            </w:tabs>
            <w:spacing w:line="240" w:lineRule="auto"/>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E903D2">
              <w:rPr>
                <w:noProof/>
                <w:webHidden/>
              </w:rPr>
              <w:t>5</w:t>
            </w:r>
            <w:r>
              <w:rPr>
                <w:noProof/>
                <w:webHidden/>
              </w:rPr>
              <w:fldChar w:fldCharType="end"/>
            </w:r>
          </w:hyperlink>
        </w:p>
        <w:p w:rsidR="00C90B13" w:rsidP="002F2334" w14:paraId="55FE17A2" w14:textId="14D68C93">
          <w:pPr>
            <w:pStyle w:val="TOC1"/>
            <w:tabs>
              <w:tab w:val="left" w:pos="480"/>
              <w:tab w:val="right" w:leader="dot" w:pos="10070"/>
            </w:tabs>
            <w:spacing w:line="240" w:lineRule="auto"/>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E903D2">
              <w:rPr>
                <w:noProof/>
                <w:webHidden/>
              </w:rPr>
              <w:t>5</w:t>
            </w:r>
            <w:r>
              <w:rPr>
                <w:noProof/>
                <w:webHidden/>
              </w:rPr>
              <w:fldChar w:fldCharType="end"/>
            </w:r>
          </w:hyperlink>
        </w:p>
        <w:p w:rsidR="00C90B13" w:rsidP="002F2334" w14:paraId="55FE17A3" w14:textId="26D3B1F1">
          <w:pPr>
            <w:pStyle w:val="TOC1"/>
            <w:tabs>
              <w:tab w:val="left" w:pos="480"/>
              <w:tab w:val="right" w:leader="dot" w:pos="10070"/>
            </w:tabs>
            <w:spacing w:line="240" w:lineRule="auto"/>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E903D2">
              <w:rPr>
                <w:noProof/>
                <w:webHidden/>
              </w:rPr>
              <w:t>5</w:t>
            </w:r>
            <w:r>
              <w:rPr>
                <w:noProof/>
                <w:webHidden/>
              </w:rPr>
              <w:fldChar w:fldCharType="end"/>
            </w:r>
          </w:hyperlink>
        </w:p>
        <w:p w:rsidR="00C90B13" w:rsidP="002F2334" w14:paraId="55FE17A4" w14:textId="34C97A67">
          <w:pPr>
            <w:pStyle w:val="TOC1"/>
            <w:tabs>
              <w:tab w:val="left" w:pos="480"/>
              <w:tab w:val="right" w:leader="dot" w:pos="10070"/>
            </w:tabs>
            <w:spacing w:line="240" w:lineRule="auto"/>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E903D2">
              <w:rPr>
                <w:noProof/>
                <w:webHidden/>
              </w:rPr>
              <w:t>5</w:t>
            </w:r>
            <w:r>
              <w:rPr>
                <w:noProof/>
                <w:webHidden/>
              </w:rPr>
              <w:fldChar w:fldCharType="end"/>
            </w:r>
          </w:hyperlink>
        </w:p>
        <w:p w:rsidR="00C90B13" w:rsidP="002F2334" w14:paraId="55FE17A5" w14:textId="381EEA87">
          <w:pPr>
            <w:pStyle w:val="TOC1"/>
            <w:tabs>
              <w:tab w:val="left" w:pos="480"/>
              <w:tab w:val="right" w:leader="dot" w:pos="10070"/>
            </w:tabs>
            <w:spacing w:line="240" w:lineRule="auto"/>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E903D2">
              <w:rPr>
                <w:noProof/>
                <w:webHidden/>
              </w:rPr>
              <w:t>6</w:t>
            </w:r>
            <w:r>
              <w:rPr>
                <w:noProof/>
                <w:webHidden/>
              </w:rPr>
              <w:fldChar w:fldCharType="end"/>
            </w:r>
          </w:hyperlink>
        </w:p>
        <w:p w:rsidR="00C90B13" w:rsidP="002F2334" w14:paraId="55FE17A6" w14:textId="4C057B82">
          <w:pPr>
            <w:pStyle w:val="TOC1"/>
            <w:tabs>
              <w:tab w:val="left" w:pos="660"/>
              <w:tab w:val="right" w:leader="dot" w:pos="10070"/>
            </w:tabs>
            <w:spacing w:line="240" w:lineRule="auto"/>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E903D2">
              <w:rPr>
                <w:noProof/>
                <w:webHidden/>
              </w:rPr>
              <w:t>6</w:t>
            </w:r>
            <w:r>
              <w:rPr>
                <w:noProof/>
                <w:webHidden/>
              </w:rPr>
              <w:fldChar w:fldCharType="end"/>
            </w:r>
          </w:hyperlink>
        </w:p>
        <w:p w:rsidR="00C90B13" w:rsidP="002F2334" w14:paraId="55FE17A7" w14:textId="7AE43D2A">
          <w:pPr>
            <w:pStyle w:val="TOC1"/>
            <w:tabs>
              <w:tab w:val="left" w:pos="660"/>
              <w:tab w:val="right" w:leader="dot" w:pos="10070"/>
            </w:tabs>
            <w:spacing w:line="240" w:lineRule="auto"/>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E903D2">
              <w:rPr>
                <w:noProof/>
                <w:webHidden/>
              </w:rPr>
              <w:t>6</w:t>
            </w:r>
            <w:r>
              <w:rPr>
                <w:noProof/>
                <w:webHidden/>
              </w:rPr>
              <w:fldChar w:fldCharType="end"/>
            </w:r>
          </w:hyperlink>
        </w:p>
        <w:p w:rsidR="00C90B13" w:rsidP="002F2334" w14:paraId="55FE17A8" w14:textId="3BC301D8">
          <w:pPr>
            <w:pStyle w:val="TOC1"/>
            <w:tabs>
              <w:tab w:val="left" w:pos="660"/>
              <w:tab w:val="right" w:leader="dot" w:pos="10070"/>
            </w:tabs>
            <w:spacing w:line="240" w:lineRule="auto"/>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E903D2">
              <w:rPr>
                <w:noProof/>
                <w:webHidden/>
              </w:rPr>
              <w:t>7</w:t>
            </w:r>
            <w:r>
              <w:rPr>
                <w:noProof/>
                <w:webHidden/>
              </w:rPr>
              <w:fldChar w:fldCharType="end"/>
            </w:r>
          </w:hyperlink>
        </w:p>
        <w:p w:rsidR="00C90B13" w:rsidP="002F2334" w14:paraId="55FE17A9" w14:textId="2D0F6F16">
          <w:pPr>
            <w:pStyle w:val="TOC1"/>
            <w:tabs>
              <w:tab w:val="left" w:pos="660"/>
              <w:tab w:val="right" w:leader="dot" w:pos="10070"/>
            </w:tabs>
            <w:spacing w:line="240" w:lineRule="auto"/>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E903D2">
              <w:rPr>
                <w:noProof/>
                <w:webHidden/>
              </w:rPr>
              <w:t>8</w:t>
            </w:r>
            <w:r>
              <w:rPr>
                <w:noProof/>
                <w:webHidden/>
              </w:rPr>
              <w:fldChar w:fldCharType="end"/>
            </w:r>
          </w:hyperlink>
        </w:p>
        <w:p w:rsidR="00C90B13" w:rsidP="002F2334" w14:paraId="55FE17AA" w14:textId="22430B02">
          <w:pPr>
            <w:pStyle w:val="TOC1"/>
            <w:tabs>
              <w:tab w:val="left" w:pos="660"/>
              <w:tab w:val="right" w:leader="dot" w:pos="10070"/>
            </w:tabs>
            <w:spacing w:line="240" w:lineRule="auto"/>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E903D2">
              <w:rPr>
                <w:noProof/>
                <w:webHidden/>
              </w:rPr>
              <w:t>8</w:t>
            </w:r>
            <w:r>
              <w:rPr>
                <w:noProof/>
                <w:webHidden/>
              </w:rPr>
              <w:fldChar w:fldCharType="end"/>
            </w:r>
          </w:hyperlink>
        </w:p>
        <w:p w:rsidR="00C90B13" w:rsidP="002F2334" w14:paraId="55FE17AB" w14:textId="793483A2">
          <w:pPr>
            <w:pStyle w:val="TOC1"/>
            <w:tabs>
              <w:tab w:val="left" w:pos="660"/>
              <w:tab w:val="right" w:leader="dot" w:pos="10070"/>
            </w:tabs>
            <w:spacing w:line="240" w:lineRule="auto"/>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E903D2">
              <w:rPr>
                <w:noProof/>
                <w:webHidden/>
              </w:rPr>
              <w:t>9</w:t>
            </w:r>
            <w:r>
              <w:rPr>
                <w:noProof/>
                <w:webHidden/>
              </w:rPr>
              <w:fldChar w:fldCharType="end"/>
            </w:r>
          </w:hyperlink>
        </w:p>
        <w:p w:rsidR="00C90B13" w:rsidP="002F2334" w14:paraId="55FE17AC" w14:textId="0D07C896">
          <w:pPr>
            <w:pStyle w:val="TOC1"/>
            <w:tabs>
              <w:tab w:val="left" w:pos="660"/>
              <w:tab w:val="right" w:leader="dot" w:pos="10070"/>
            </w:tabs>
            <w:spacing w:line="240" w:lineRule="auto"/>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E903D2">
              <w:rPr>
                <w:noProof/>
                <w:webHidden/>
              </w:rPr>
              <w:t>9</w:t>
            </w:r>
            <w:r>
              <w:rPr>
                <w:noProof/>
                <w:webHidden/>
              </w:rPr>
              <w:fldChar w:fldCharType="end"/>
            </w:r>
          </w:hyperlink>
        </w:p>
        <w:p w:rsidR="00C90B13" w:rsidP="002F2334" w14:paraId="55FE17AD" w14:textId="3072DA12">
          <w:pPr>
            <w:pStyle w:val="TOC1"/>
            <w:tabs>
              <w:tab w:val="left" w:pos="660"/>
              <w:tab w:val="right" w:leader="dot" w:pos="10070"/>
            </w:tabs>
            <w:spacing w:line="240" w:lineRule="auto"/>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E903D2">
              <w:rPr>
                <w:noProof/>
                <w:webHidden/>
              </w:rPr>
              <w:t>9</w:t>
            </w:r>
            <w:r>
              <w:rPr>
                <w:noProof/>
                <w:webHidden/>
              </w:rPr>
              <w:fldChar w:fldCharType="end"/>
            </w:r>
          </w:hyperlink>
        </w:p>
        <w:p w:rsidR="00C90B13" w:rsidP="002F2334" w14:paraId="55FE17AE" w14:textId="78ACA671">
          <w:pPr>
            <w:pStyle w:val="TOC1"/>
            <w:tabs>
              <w:tab w:val="left" w:pos="660"/>
              <w:tab w:val="right" w:leader="dot" w:pos="10070"/>
            </w:tabs>
            <w:spacing w:line="240" w:lineRule="auto"/>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E903D2">
              <w:rPr>
                <w:noProof/>
                <w:webHidden/>
              </w:rPr>
              <w:t>10</w:t>
            </w:r>
            <w:r>
              <w:rPr>
                <w:noProof/>
                <w:webHidden/>
              </w:rPr>
              <w:fldChar w:fldCharType="end"/>
            </w:r>
          </w:hyperlink>
        </w:p>
        <w:p w:rsidR="00C90B13" w:rsidP="002F2334" w14:paraId="55FE17AF" w14:textId="05C89E1B">
          <w:pPr>
            <w:pStyle w:val="TOC1"/>
            <w:tabs>
              <w:tab w:val="right" w:leader="dot" w:pos="10070"/>
            </w:tabs>
            <w:spacing w:line="240" w:lineRule="auto"/>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E903D2">
              <w:rPr>
                <w:noProof/>
                <w:webHidden/>
              </w:rPr>
              <w:t>10</w:t>
            </w:r>
            <w:r>
              <w:rPr>
                <w:noProof/>
                <w:webHidden/>
              </w:rPr>
              <w:fldChar w:fldCharType="end"/>
            </w:r>
          </w:hyperlink>
        </w:p>
        <w:p w:rsidR="004A13E8" w:rsidP="002F2334" w14:paraId="55FE17B0" w14:textId="77777777">
          <w:pPr>
            <w:spacing w:line="240" w:lineRule="auto"/>
          </w:pPr>
          <w:r>
            <w:rPr>
              <w:b/>
              <w:bCs/>
              <w:noProof/>
            </w:rPr>
            <w:fldChar w:fldCharType="end"/>
          </w:r>
        </w:p>
      </w:sdtContent>
    </w:sdt>
    <w:p w:rsidR="004A13E8" w:rsidP="002F2334" w14:paraId="55FE17B1" w14:textId="77777777">
      <w:pPr>
        <w:spacing w:line="240" w:lineRule="auto"/>
      </w:pPr>
      <w:r>
        <w:br w:type="page"/>
      </w:r>
    </w:p>
    <w:p w:rsidR="004A13E8" w:rsidP="002F2334"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5963285" cy="2251075"/>
                <wp:effectExtent l="0" t="0" r="18415" b="15875"/>
                <wp:wrapTight wrapText="bothSides">
                  <wp:wrapPolygon>
                    <wp:start x="0" y="0"/>
                    <wp:lineTo x="0" y="21570"/>
                    <wp:lineTo x="21598" y="21570"/>
                    <wp:lineTo x="21598" y="0"/>
                    <wp:lineTo x="0"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3285" cy="2251075"/>
                        </a:xfrm>
                        <a:prstGeom prst="rect">
                          <a:avLst/>
                        </a:prstGeom>
                        <a:solidFill>
                          <a:srgbClr val="FFFFFF"/>
                        </a:solidFill>
                        <a:ln w="9525">
                          <a:solidFill>
                            <a:srgbClr val="000000"/>
                          </a:solidFill>
                          <a:miter lim="800000"/>
                          <a:headEnd/>
                          <a:tailEnd/>
                        </a:ln>
                      </wps:spPr>
                      <wps:txbx>
                        <w:txbxContent>
                          <w:p w:rsidR="00D67035" w:rsidRPr="00D67035" w14:textId="3DE8754E">
                            <w:pPr>
                              <w:pStyle w:val="Bullets"/>
                              <w:rPr>
                                <w:b/>
                              </w:rPr>
                            </w:pPr>
                            <w:r w:rsidRPr="00D67035">
                              <w:rPr>
                                <w:b/>
                              </w:rPr>
                              <w:t>Goal of the study:</w:t>
                            </w:r>
                            <w:r w:rsidRPr="00D67035" w:rsidR="001A58BE">
                              <w:rPr>
                                <w:b/>
                              </w:rPr>
                              <w:t xml:space="preserve"> </w:t>
                            </w:r>
                            <w:r w:rsidRPr="00D67035" w:rsidR="000D3799">
                              <w:rPr>
                                <w:bCs/>
                              </w:rPr>
                              <w:t xml:space="preserve">The purpose of this project is to </w:t>
                            </w:r>
                            <w:r w:rsidRPr="00D67035">
                              <w:t xml:space="preserve">understand healthcare providers’ </w:t>
                            </w:r>
                            <w:r w:rsidRPr="008928EE" w:rsidR="008928EE">
                              <w:t>awareness and experiences with endemic mycoses (in particular, coccidioidomycosis, histoplasmosis, and blastomycosis) and motivators and barriers to testing</w:t>
                            </w:r>
                            <w:r>
                              <w:t>.</w:t>
                            </w:r>
                          </w:p>
                          <w:p w:rsidR="00567512" w:rsidRPr="00567512" w14:textId="4D8190D2">
                            <w:pPr>
                              <w:pStyle w:val="Bullets"/>
                              <w:rPr>
                                <w:b/>
                              </w:rPr>
                            </w:pPr>
                            <w:r w:rsidRPr="00D67035">
                              <w:rPr>
                                <w:b/>
                              </w:rPr>
                              <w:t>Intended use of the resulting data:</w:t>
                            </w:r>
                            <w:r w:rsidRPr="00D67035" w:rsidR="001A58BE">
                              <w:rPr>
                                <w:b/>
                              </w:rPr>
                              <w:t xml:space="preserve"> </w:t>
                            </w:r>
                            <w:r w:rsidRPr="00D67035" w:rsidR="000D3799">
                              <w:rPr>
                                <w:bCs/>
                              </w:rPr>
                              <w:t>Insights will</w:t>
                            </w:r>
                            <w:r w:rsidR="000D3799">
                              <w:t xml:space="preserve"> </w:t>
                            </w:r>
                            <w:r w:rsidRPr="00D67035" w:rsidR="00D67035">
                              <w:t xml:space="preserve">inform </w:t>
                            </w:r>
                            <w:r>
                              <w:t xml:space="preserve">the development and refinement of </w:t>
                            </w:r>
                            <w:r w:rsidRPr="00D67035">
                              <w:t>communications materials and strategies</w:t>
                            </w:r>
                            <w:r>
                              <w:t xml:space="preserve"> to advance awareness of endemic mycoses and the use of diagnostic testing (and associated algorithms) among healthcare providers. </w:t>
                            </w:r>
                          </w:p>
                          <w:p w:rsidR="004A13E8" w:rsidRPr="001A58BE" w:rsidP="004A13E8" w14:textId="39688DEE">
                            <w:pPr>
                              <w:pStyle w:val="Bullets"/>
                              <w:rPr>
                                <w:b/>
                              </w:rPr>
                            </w:pPr>
                            <w:r w:rsidRPr="001A58BE">
                              <w:rPr>
                                <w:b/>
                              </w:rPr>
                              <w:t>Methods to be used to collect:</w:t>
                            </w:r>
                            <w:r w:rsidR="001A58BE">
                              <w:rPr>
                                <w:b/>
                              </w:rPr>
                              <w:t xml:space="preserve"> </w:t>
                            </w:r>
                            <w:r w:rsidRPr="00FE72E4" w:rsidR="00FE72E4">
                              <w:rPr>
                                <w:bCs/>
                              </w:rPr>
                              <w:t>Online f</w:t>
                            </w:r>
                            <w:r w:rsidRPr="00FE72E4" w:rsidR="000D3799">
                              <w:rPr>
                                <w:bCs/>
                              </w:rPr>
                              <w:t>ocus</w:t>
                            </w:r>
                            <w:r w:rsidR="000D3799">
                              <w:t xml:space="preserve"> groups.</w:t>
                            </w:r>
                          </w:p>
                          <w:p w:rsidR="00FE72E4" w:rsidRPr="00FE72E4" w14:textId="29774B24">
                            <w:pPr>
                              <w:pStyle w:val="Bullets"/>
                              <w:rPr>
                                <w:b/>
                              </w:rPr>
                            </w:pPr>
                            <w:r w:rsidRPr="00FE72E4">
                              <w:rPr>
                                <w:b/>
                              </w:rPr>
                              <w:t>The subpopulation to be studied:</w:t>
                            </w:r>
                            <w:r w:rsidRPr="00FE72E4" w:rsidR="001A58BE">
                              <w:rPr>
                                <w:b/>
                              </w:rPr>
                              <w:t xml:space="preserve"> </w:t>
                            </w:r>
                            <w:r w:rsidR="00D67035">
                              <w:t>Physicians, physician assistants, and nurse practitioners in primary care, urgent care, and emergency care settings.</w:t>
                            </w:r>
                          </w:p>
                          <w:p w:rsidR="004A13E8" w:rsidRPr="00FE72E4" w14:textId="14CB5BC7">
                            <w:pPr>
                              <w:pStyle w:val="Bullets"/>
                              <w:rPr>
                                <w:b/>
                              </w:rPr>
                            </w:pPr>
                            <w:r w:rsidRPr="00FE72E4">
                              <w:rPr>
                                <w:b/>
                              </w:rPr>
                              <w:t>How data will be analyzed:</w:t>
                            </w:r>
                            <w:r w:rsidRPr="00FE72E4" w:rsidR="001A58BE">
                              <w:rPr>
                                <w:b/>
                              </w:rPr>
                              <w:t xml:space="preserve"> </w:t>
                            </w:r>
                            <w:r w:rsidRPr="00FE72E4" w:rsidR="008456E4">
                              <w:rPr>
                                <w:rFonts w:cs="Times New Roman"/>
                                <w:szCs w:val="24"/>
                              </w:rPr>
                              <w:t>Descriptive and thematic analyses of qualitative data.</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69.55pt;height:177.2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D67035" w:rsidRPr="00D67035" w14:paraId="6F694036" w14:textId="3DE8754E">
                      <w:pPr>
                        <w:pStyle w:val="Bullets"/>
                        <w:rPr>
                          <w:b/>
                        </w:rPr>
                      </w:pPr>
                      <w:r w:rsidRPr="00D67035">
                        <w:rPr>
                          <w:b/>
                        </w:rPr>
                        <w:t>Goal of the study:</w:t>
                      </w:r>
                      <w:r w:rsidRPr="00D67035" w:rsidR="001A58BE">
                        <w:rPr>
                          <w:b/>
                        </w:rPr>
                        <w:t xml:space="preserve"> </w:t>
                      </w:r>
                      <w:r w:rsidRPr="00D67035" w:rsidR="000D3799">
                        <w:rPr>
                          <w:bCs/>
                        </w:rPr>
                        <w:t xml:space="preserve">The purpose of this project is to </w:t>
                      </w:r>
                      <w:r w:rsidRPr="00D67035">
                        <w:t xml:space="preserve">understand healthcare providers’ </w:t>
                      </w:r>
                      <w:r w:rsidRPr="008928EE" w:rsidR="008928EE">
                        <w:t>awareness and experiences with endemic mycoses (in particular, coccidioidomycosis, histoplasmosis, and blastomycosis) and motivators and barriers to testing</w:t>
                      </w:r>
                      <w:r>
                        <w:t>.</w:t>
                      </w:r>
                    </w:p>
                    <w:p w:rsidR="00567512" w:rsidRPr="00567512" w14:paraId="6F5F973C" w14:textId="4D8190D2">
                      <w:pPr>
                        <w:pStyle w:val="Bullets"/>
                        <w:rPr>
                          <w:b/>
                        </w:rPr>
                      </w:pPr>
                      <w:r w:rsidRPr="00D67035">
                        <w:rPr>
                          <w:b/>
                        </w:rPr>
                        <w:t>Intended use of the resulting data:</w:t>
                      </w:r>
                      <w:r w:rsidRPr="00D67035" w:rsidR="001A58BE">
                        <w:rPr>
                          <w:b/>
                        </w:rPr>
                        <w:t xml:space="preserve"> </w:t>
                      </w:r>
                      <w:r w:rsidRPr="00D67035" w:rsidR="000D3799">
                        <w:rPr>
                          <w:bCs/>
                        </w:rPr>
                        <w:t>Insights will</w:t>
                      </w:r>
                      <w:r w:rsidR="000D3799">
                        <w:t xml:space="preserve"> </w:t>
                      </w:r>
                      <w:r w:rsidRPr="00D67035" w:rsidR="00D67035">
                        <w:t xml:space="preserve">inform </w:t>
                      </w:r>
                      <w:r>
                        <w:t xml:space="preserve">the development and refinement of </w:t>
                      </w:r>
                      <w:r w:rsidRPr="00D67035">
                        <w:t>communications materials and strategies</w:t>
                      </w:r>
                      <w:r>
                        <w:t xml:space="preserve"> to advance awareness of endemic mycoses and the use of diagnostic testing (and associated algorithms) among healthcare providers. </w:t>
                      </w:r>
                    </w:p>
                    <w:p w:rsidR="004A13E8" w:rsidRPr="001A58BE" w:rsidP="004A13E8" w14:paraId="55FE1839" w14:textId="39688DEE">
                      <w:pPr>
                        <w:pStyle w:val="Bullets"/>
                        <w:rPr>
                          <w:b/>
                        </w:rPr>
                      </w:pPr>
                      <w:r w:rsidRPr="001A58BE">
                        <w:rPr>
                          <w:b/>
                        </w:rPr>
                        <w:t>Methods to be used to collect:</w:t>
                      </w:r>
                      <w:r w:rsidR="001A58BE">
                        <w:rPr>
                          <w:b/>
                        </w:rPr>
                        <w:t xml:space="preserve"> </w:t>
                      </w:r>
                      <w:r w:rsidRPr="00FE72E4" w:rsidR="00FE72E4">
                        <w:rPr>
                          <w:bCs/>
                        </w:rPr>
                        <w:t>Online f</w:t>
                      </w:r>
                      <w:r w:rsidRPr="00FE72E4" w:rsidR="000D3799">
                        <w:rPr>
                          <w:bCs/>
                        </w:rPr>
                        <w:t>ocus</w:t>
                      </w:r>
                      <w:r w:rsidR="000D3799">
                        <w:t xml:space="preserve"> groups.</w:t>
                      </w:r>
                    </w:p>
                    <w:p w:rsidR="00FE72E4" w:rsidRPr="00FE72E4" w14:paraId="73C2D752" w14:textId="29774B24">
                      <w:pPr>
                        <w:pStyle w:val="Bullets"/>
                        <w:rPr>
                          <w:b/>
                        </w:rPr>
                      </w:pPr>
                      <w:r w:rsidRPr="00FE72E4">
                        <w:rPr>
                          <w:b/>
                        </w:rPr>
                        <w:t>The subpopulation to be studied:</w:t>
                      </w:r>
                      <w:r w:rsidRPr="00FE72E4" w:rsidR="001A58BE">
                        <w:rPr>
                          <w:b/>
                        </w:rPr>
                        <w:t xml:space="preserve"> </w:t>
                      </w:r>
                      <w:r w:rsidR="00D67035">
                        <w:t>Physicians, physician assistants, and nurse practitioners in primary care, urgent care, and emergency care settings.</w:t>
                      </w:r>
                    </w:p>
                    <w:p w:rsidR="004A13E8" w:rsidRPr="00FE72E4" w14:paraId="55FE183D" w14:textId="14CB5BC7">
                      <w:pPr>
                        <w:pStyle w:val="Bullets"/>
                        <w:rPr>
                          <w:b/>
                        </w:rPr>
                      </w:pPr>
                      <w:r w:rsidRPr="00FE72E4">
                        <w:rPr>
                          <w:b/>
                        </w:rPr>
                        <w:t>How data will be analyzed:</w:t>
                      </w:r>
                      <w:r w:rsidRPr="00FE72E4" w:rsidR="001A58BE">
                        <w:rPr>
                          <w:b/>
                        </w:rPr>
                        <w:t xml:space="preserve"> </w:t>
                      </w:r>
                      <w:r w:rsidRPr="00FE72E4" w:rsidR="008456E4">
                        <w:rPr>
                          <w:rFonts w:cs="Times New Roman"/>
                          <w:szCs w:val="24"/>
                        </w:rPr>
                        <w:t>Descriptive and thematic analyses of qualitative data.</w:t>
                      </w:r>
                    </w:p>
                  </w:txbxContent>
                </v:textbox>
                <w10:wrap type="tight"/>
              </v:shape>
            </w:pict>
          </mc:Fallback>
        </mc:AlternateContent>
      </w:r>
    </w:p>
    <w:p w:rsidR="004A13E8" w:rsidP="002F2334" w14:paraId="55FE17B3" w14:textId="77777777">
      <w:pPr>
        <w:pStyle w:val="Heading1"/>
      </w:pPr>
      <w:bookmarkStart w:id="1" w:name="_Toc473880017"/>
      <w:r w:rsidRPr="004A13E8">
        <w:t>Circumstances Making the Collection of Information Necessary</w:t>
      </w:r>
      <w:bookmarkEnd w:id="1"/>
    </w:p>
    <w:p w:rsidR="00E21144" w:rsidP="002F2334" w14:paraId="397D151D" w14:textId="2E88C1BC">
      <w:pPr>
        <w:spacing w:line="240" w:lineRule="auto"/>
      </w:pPr>
      <w:r>
        <w:t>CDC requests approval for a new Gen-IC under OMB Control No. 0920-1154.</w:t>
      </w:r>
    </w:p>
    <w:p w:rsidR="00E21144" w:rsidP="002F2334" w14:paraId="72E55DB5" w14:textId="600945B9">
      <w:pPr>
        <w:spacing w:line="240" w:lineRule="auto"/>
      </w:pPr>
      <w:r>
        <w:t xml:space="preserve">Information collection activities are limited to formative work that will result in the development of </w:t>
      </w:r>
      <w:r w:rsidR="00083EBB">
        <w:t xml:space="preserve">new or improved messages and tools. </w:t>
      </w:r>
    </w:p>
    <w:p w:rsidR="00567512" w:rsidP="003412B5" w14:paraId="60B3D295" w14:textId="449D83E2">
      <w:pPr>
        <w:spacing w:line="240" w:lineRule="auto"/>
      </w:pPr>
      <w:r>
        <w:t>C</w:t>
      </w:r>
      <w:r>
        <w:t xml:space="preserve">ertain types of fungi </w:t>
      </w:r>
      <w:r w:rsidR="64570549">
        <w:t xml:space="preserve">found in the environment </w:t>
      </w:r>
      <w:r>
        <w:t>can</w:t>
      </w:r>
      <w:r w:rsidR="480AD08C">
        <w:t xml:space="preserve"> release spores that can</w:t>
      </w:r>
      <w:r>
        <w:t xml:space="preserve"> affect the lungs and cause pneumonia.</w:t>
      </w:r>
      <w:r>
        <w:t xml:space="preserve"> Three such fungal infections are coccidioidomycosis (also called Valley fever), histoplasmosis, and blastomycosis. </w:t>
      </w:r>
      <w:r w:rsidR="47918708">
        <w:t xml:space="preserve"> </w:t>
      </w:r>
      <w:r>
        <w:t xml:space="preserve">Each is endemic to large parts of the United States, </w:t>
      </w:r>
      <w:r w:rsidR="46260E28">
        <w:t xml:space="preserve">meaning each has been </w:t>
      </w:r>
      <w:r w:rsidR="664FC606">
        <w:t>identified consistently in distinct areas or regions of the country.</w:t>
      </w:r>
      <w:r w:rsidR="62B0B7AC">
        <w:t xml:space="preserve"> These are also referred to as community-acquired pneumonias because people who live in or travel to communities in impacted areas can be exposed and infected.</w:t>
      </w:r>
      <w:r>
        <w:t xml:space="preserve"> These endemic mycoses are the primary subject of this data collection. </w:t>
      </w:r>
    </w:p>
    <w:p w:rsidR="00DA6F9E" w:rsidP="002F2334" w14:paraId="782142F0" w14:textId="3E8856C1">
      <w:pPr>
        <w:spacing w:line="240" w:lineRule="auto"/>
      </w:pPr>
      <w:r>
        <w:t>According to CDC, “E</w:t>
      </w:r>
      <w:r w:rsidRPr="00914369">
        <w:t>arly diagnosis of these fungal diseases, mainly in primary and urgent care settings, can prevent severe and disseminated disease.</w:t>
      </w:r>
      <w:r>
        <w:t>”</w:t>
      </w:r>
      <w:r>
        <w:rPr>
          <w:rStyle w:val="FootnoteReference"/>
        </w:rPr>
        <w:footnoteReference w:id="3"/>
      </w:r>
      <w:r>
        <w:t xml:space="preserve"> However, and crucially, </w:t>
      </w:r>
      <w:r w:rsidRPr="00914369">
        <w:t>these endemic mycoses are often misdiagnosed</w:t>
      </w:r>
      <w:r>
        <w:t xml:space="preserve"> or much delayed in diagnosis</w:t>
      </w:r>
      <w:r w:rsidRPr="00914369">
        <w:t xml:space="preserve"> by healthcare providers</w:t>
      </w:r>
      <w:r>
        <w:t>,</w:t>
      </w:r>
      <w:r>
        <w:t xml:space="preserve"> because</w:t>
      </w:r>
      <w:r>
        <w:t xml:space="preserve"> many providers do not consider fungal infections as candidate conditions when evaluating patients with community-acquired pneumonia. </w:t>
      </w:r>
    </w:p>
    <w:p w:rsidR="00914369" w:rsidP="002F2334" w14:paraId="4F379490" w14:textId="14B5B561">
      <w:pPr>
        <w:spacing w:line="240" w:lineRule="auto"/>
      </w:pPr>
      <w:r>
        <w:t>In one</w:t>
      </w:r>
      <w:r>
        <w:t xml:space="preserve"> recent survey study of 1258 healthcare providers</w:t>
      </w:r>
      <w:r>
        <w:t>,</w:t>
      </w:r>
      <w:r>
        <w:t xml:space="preserve"> fewer than four percent </w:t>
      </w:r>
      <w:r>
        <w:t xml:space="preserve">of providers </w:t>
      </w:r>
      <w:r>
        <w:t xml:space="preserve">said they “frequently” </w:t>
      </w:r>
      <w:r w:rsidR="00724753">
        <w:t xml:space="preserve">test </w:t>
      </w:r>
      <w:r>
        <w:t xml:space="preserve">their patients </w:t>
      </w:r>
      <w:r>
        <w:t>for either Valley fever or histoplasmosis when caring for patients with community-acquired pneumonia; the study concluded, “Th</w:t>
      </w:r>
      <w:r w:rsidRPr="00914369">
        <w:t>ese diseases are likely underdiagnosed, and increased awareness is needed.</w:t>
      </w:r>
      <w:r w:rsidR="00DA6F9E">
        <w:t>”</w:t>
      </w:r>
      <w:r>
        <w:rPr>
          <w:rStyle w:val="FootnoteReference"/>
        </w:rPr>
        <w:footnoteReference w:id="4"/>
      </w:r>
      <w:r w:rsidR="00DA6F9E">
        <w:t xml:space="preserve"> Another study estimated that “</w:t>
      </w:r>
      <w:r w:rsidRPr="00DA6F9E" w:rsidR="00DA6F9E">
        <w:t>82.9% of patients with histoplasmosis experienced at least one missed diagnostic opportunity. The average delay was 39.5 days with an average of 4.0 missed opportunities.</w:t>
      </w:r>
      <w:r w:rsidR="00DA6F9E">
        <w:t>”</w:t>
      </w:r>
      <w:r>
        <w:rPr>
          <w:rStyle w:val="FootnoteReference"/>
        </w:rPr>
        <w:footnoteReference w:id="5"/>
      </w:r>
      <w:r w:rsidR="007928F4">
        <w:t xml:space="preserve"> </w:t>
      </w:r>
      <w:r w:rsidR="005F1520">
        <w:t xml:space="preserve">A third analysis, this time on </w:t>
      </w:r>
      <w:r w:rsidR="005F1520">
        <w:t>positive blastomycosis cases, found that “m</w:t>
      </w:r>
      <w:r w:rsidRPr="005F1520" w:rsidR="005F1520">
        <w:t>ost patients received multiple antibiotic courses before being diagnosed, and the sputum KOH smear was rarely used.</w:t>
      </w:r>
      <w:r w:rsidR="005F1520">
        <w:t>”</w:t>
      </w:r>
      <w:r>
        <w:rPr>
          <w:rStyle w:val="FootnoteReference"/>
        </w:rPr>
        <w:footnoteReference w:id="6"/>
      </w:r>
      <w:r w:rsidR="005F1520">
        <w:t xml:space="preserve"> </w:t>
      </w:r>
      <w:r w:rsidR="007928F4">
        <w:t>These delays</w:t>
      </w:r>
      <w:r w:rsidR="00E27B76">
        <w:t>,</w:t>
      </w:r>
      <w:r w:rsidR="007928F4">
        <w:t xml:space="preserve"> misdiagnoses</w:t>
      </w:r>
      <w:r w:rsidR="00E27B76">
        <w:t>, and dearth of testing</w:t>
      </w:r>
      <w:r w:rsidR="007928F4">
        <w:t xml:space="preserve"> can have serious negative health effects on infected patients </w:t>
      </w:r>
      <w:r w:rsidR="005F1520">
        <w:t xml:space="preserve">because </w:t>
      </w:r>
      <w:r w:rsidR="00E27B76">
        <w:t>the patients</w:t>
      </w:r>
      <w:r w:rsidR="005F1520">
        <w:t xml:space="preserve"> do not receive the antifungal drugs they need and may be prescribed ineffective antibiotics for other non-fungal infections.</w:t>
      </w:r>
    </w:p>
    <w:p w:rsidR="00CF6F49" w:rsidP="00CF6F49" w14:paraId="7A5663E9" w14:textId="5F43CC6A">
      <w:pPr>
        <w:spacing w:line="240" w:lineRule="auto"/>
      </w:pPr>
      <w:r>
        <w:rPr>
          <w:color w:val="000000" w:themeColor="text1"/>
        </w:rPr>
        <w:t xml:space="preserve">The </w:t>
      </w:r>
      <w:r w:rsidRPr="00AC73D8">
        <w:rPr>
          <w:color w:val="000000" w:themeColor="text1"/>
        </w:rPr>
        <w:t>Division of Foodborne, Waterborne, and Environmental</w:t>
      </w:r>
      <w:r>
        <w:rPr>
          <w:color w:val="000000" w:themeColor="text1"/>
        </w:rPr>
        <w:t xml:space="preserve"> Diseases (DFWED) within </w:t>
      </w:r>
      <w:r>
        <w:t xml:space="preserve">CDC’s </w:t>
      </w:r>
      <w:r w:rsidRPr="00E27B76">
        <w:t>National Center for Emerging and Zoonotic Infectious Diseases</w:t>
      </w:r>
      <w:r>
        <w:t xml:space="preserve"> (NCEZID) has determined that this proposed data collection is necessary in order to develop and refine effective communications strategies and materials that increase healthcare providers’ awareness of endemic mycoses, </w:t>
      </w:r>
      <w:r>
        <w:t>inspire increased</w:t>
      </w:r>
      <w:r>
        <w:t xml:space="preserve"> consideration of endemic mycoses as candidate conditions when evaluating </w:t>
      </w:r>
      <w:r>
        <w:t xml:space="preserve">pneumonia patients, and lead to confident and efficient use of recommended diagnostic algorithms. </w:t>
      </w:r>
      <w:bookmarkStart w:id="2" w:name="_Toc473880018"/>
    </w:p>
    <w:p w:rsidR="004A13E8" w:rsidP="002F2334" w14:paraId="55FE17B7" w14:textId="6146F5F3">
      <w:pPr>
        <w:pStyle w:val="Heading1"/>
      </w:pPr>
      <w:r>
        <w:t>Purpose and Use of Information Collection</w:t>
      </w:r>
      <w:bookmarkEnd w:id="2"/>
    </w:p>
    <w:p w:rsidR="00447D01" w:rsidRPr="00447D01" w:rsidP="00447D01" w14:paraId="3A3769B5" w14:textId="1A8643CF">
      <w:pPr>
        <w:spacing w:line="240" w:lineRule="auto"/>
        <w:rPr>
          <w:color w:val="000000" w:themeColor="text1"/>
        </w:rPr>
      </w:pPr>
      <w:r w:rsidRPr="416765FC">
        <w:rPr>
          <w:color w:val="000000" w:themeColor="text1"/>
        </w:rPr>
        <w:t xml:space="preserve">Prior research has shown that endemic mycoses like Valley fever, histoplasmosis, and blastomycosis are often misdiagnosed. As a result, this data collection is designed to determine: (1) provider </w:t>
      </w:r>
      <w:r w:rsidRPr="416765FC" w:rsidR="00301047">
        <w:rPr>
          <w:color w:val="000000" w:themeColor="text1"/>
        </w:rPr>
        <w:t>knowledge, perceptions</w:t>
      </w:r>
      <w:r w:rsidRPr="416765FC" w:rsidR="402FCC15">
        <w:rPr>
          <w:color w:val="000000" w:themeColor="text1"/>
        </w:rPr>
        <w:t xml:space="preserve"> of</w:t>
      </w:r>
      <w:r w:rsidR="00301047">
        <w:rPr>
          <w:color w:val="000000" w:themeColor="text1"/>
        </w:rPr>
        <w:t>,</w:t>
      </w:r>
      <w:r w:rsidRPr="416765FC">
        <w:rPr>
          <w:color w:val="000000" w:themeColor="text1"/>
        </w:rPr>
        <w:t xml:space="preserve"> </w:t>
      </w:r>
      <w:r w:rsidRPr="416765FC" w:rsidR="762E7001">
        <w:rPr>
          <w:color w:val="000000" w:themeColor="text1"/>
        </w:rPr>
        <w:t>and experiences with</w:t>
      </w:r>
      <w:r w:rsidRPr="416765FC">
        <w:rPr>
          <w:color w:val="000000" w:themeColor="text1"/>
        </w:rPr>
        <w:t xml:space="preserve"> endemic mycoses, (2) awareness, knowledge, and experience with diagnostic testing, (3) factors that motivate decisions whether or not to clinically suspect endemic mycoses and order tests, (4) barriers to ordering tests for endemic mycoses and interpreting results, (5) awareness, experience, and feedback on diagnostic algorithms, and (6) information sources and needs on these topics.</w:t>
      </w:r>
    </w:p>
    <w:p w:rsidR="007726AF" w:rsidP="003412B5" w14:paraId="6A80761B" w14:textId="4FEFEE25">
      <w:pPr>
        <w:spacing w:line="240" w:lineRule="auto"/>
      </w:pPr>
      <w:r>
        <w:t xml:space="preserve">Insights generated from the data collection will guide </w:t>
      </w:r>
      <w:r>
        <w:t xml:space="preserve">communication efforts to build endemic mycoses awareness and the use of diagnostic testing. </w:t>
      </w:r>
      <w:r w:rsidR="00D832A3">
        <w:t>Insights</w:t>
      </w:r>
      <w:r>
        <w:t xml:space="preserve"> will inform communications strategies and materials meant for providers </w:t>
      </w:r>
      <w:r w:rsidR="007F66D3">
        <w:t>on this topic, including those strategies and materials related to existing diagnostic algorithms.</w:t>
      </w:r>
    </w:p>
    <w:p w:rsidR="00E23514" w:rsidRPr="00A824A9" w:rsidP="002F2334" w14:paraId="1B46CBF5" w14:textId="653FD5EE">
      <w:pPr>
        <w:spacing w:line="240" w:lineRule="auto"/>
      </w:pPr>
      <w:r w:rsidRPr="00AC73D8">
        <w:rPr>
          <w:color w:val="000000" w:themeColor="text1"/>
        </w:rPr>
        <w:t xml:space="preserve">KRC Research, a contracted research firm, will conduct all data collection related to </w:t>
      </w:r>
      <w:r>
        <w:rPr>
          <w:color w:val="000000" w:themeColor="text1"/>
        </w:rPr>
        <w:t>this initiative</w:t>
      </w:r>
      <w:r w:rsidRPr="00AC73D8">
        <w:rPr>
          <w:color w:val="000000" w:themeColor="text1"/>
        </w:rPr>
        <w:t>, under the supervision of</w:t>
      </w:r>
      <w:r w:rsidR="002F2334">
        <w:rPr>
          <w:color w:val="000000" w:themeColor="text1"/>
        </w:rPr>
        <w:t xml:space="preserve"> DFWED</w:t>
      </w:r>
      <w:r w:rsidRPr="00AC73D8">
        <w:rPr>
          <w:color w:val="000000" w:themeColor="text1"/>
        </w:rPr>
        <w:t xml:space="preserve">. KRC’s data collection will include recruiting and screening participants into the project and conducting </w:t>
      </w:r>
      <w:r w:rsidR="00793496">
        <w:rPr>
          <w:color w:val="000000" w:themeColor="text1"/>
        </w:rPr>
        <w:t>six</w:t>
      </w:r>
      <w:r w:rsidRPr="00AC73D8">
        <w:rPr>
          <w:color w:val="000000" w:themeColor="text1"/>
        </w:rPr>
        <w:t xml:space="preserve"> </w:t>
      </w:r>
      <w:r>
        <w:rPr>
          <w:color w:val="000000" w:themeColor="text1"/>
        </w:rPr>
        <w:t>90</w:t>
      </w:r>
      <w:r w:rsidRPr="00AC73D8">
        <w:rPr>
          <w:color w:val="000000" w:themeColor="text1"/>
        </w:rPr>
        <w:t>-</w:t>
      </w:r>
      <w:r w:rsidRPr="00A824A9">
        <w:t>minute-long online focus groups with healthcare providers. This data collection will happen once; it is not recurring.</w:t>
      </w:r>
    </w:p>
    <w:p w:rsidR="00E23514" w:rsidRPr="00A824A9" w:rsidP="002F2334" w14:paraId="4594B665" w14:textId="060B243D">
      <w:pPr>
        <w:spacing w:line="240" w:lineRule="auto"/>
        <w:rPr>
          <w:i/>
          <w:iCs/>
        </w:rPr>
      </w:pPr>
      <w:r w:rsidRPr="00A824A9">
        <w:rPr>
          <w:i/>
          <w:iCs/>
        </w:rPr>
        <w:t>Audience Rationale</w:t>
      </w:r>
    </w:p>
    <w:p w:rsidR="00E23514" w:rsidRPr="00A824A9" w:rsidP="002F2334" w14:paraId="336B2877" w14:textId="657F5A36">
      <w:pPr>
        <w:spacing w:line="240" w:lineRule="auto"/>
      </w:pPr>
      <w:r>
        <w:t xml:space="preserve">This data collection is based on focus groups of healthcare providers. </w:t>
      </w:r>
      <w:r>
        <w:t>In particular, it</w:t>
      </w:r>
      <w:r>
        <w:t xml:space="preserve"> </w:t>
      </w:r>
      <w:r w:rsidR="0003718C">
        <w:t xml:space="preserve">is focused on physicians, physician assistants (PAs), and nurse practitioners (NPs) in three types of common settings: primary care, urgent care, and emergency care. These providers within these settings are most likely to encounter patients seeking initial care for pneumonia </w:t>
      </w:r>
      <w:r w:rsidR="6910D000">
        <w:t xml:space="preserve">of any cause, including </w:t>
      </w:r>
      <w:r w:rsidR="0003718C">
        <w:t>from a fungal infection; at the same time, these providers are not specialists in fungal diseases</w:t>
      </w:r>
      <w:r w:rsidR="00014538">
        <w:t>,</w:t>
      </w:r>
      <w:r w:rsidR="0003718C">
        <w:t xml:space="preserve"> and many</w:t>
      </w:r>
      <w:r w:rsidR="640E7203">
        <w:t xml:space="preserve"> may not consider fungal diseases when they encounter patients with pneumonia even after initially failing antibiotic treatment. Many</w:t>
      </w:r>
      <w:r w:rsidR="0003718C">
        <w:t xml:space="preserve"> are expected to have important gaps in knowledge or points of confusion about testing and interpreting results. </w:t>
      </w:r>
      <w:r>
        <w:t>Physicians</w:t>
      </w:r>
      <w:r w:rsidR="0003718C">
        <w:t xml:space="preserve">, PAs, and NPs also </w:t>
      </w:r>
      <w:r>
        <w:t>play somewhat different roles</w:t>
      </w:r>
      <w:r w:rsidR="0003718C">
        <w:t xml:space="preserve"> and have different types of training; </w:t>
      </w:r>
      <w:r>
        <w:t xml:space="preserve">part of the </w:t>
      </w:r>
      <w:r>
        <w:t xml:space="preserve">rationale for the inclusion of </w:t>
      </w:r>
      <w:r w:rsidR="0003718C">
        <w:t>these</w:t>
      </w:r>
      <w:r>
        <w:t xml:space="preserve"> audiences is </w:t>
      </w:r>
      <w:r w:rsidR="0003718C">
        <w:t xml:space="preserve">to assess what their knowledge, experiences, barriers, and needs </w:t>
      </w:r>
      <w:r w:rsidR="00301047">
        <w:t>share</w:t>
      </w:r>
      <w:r w:rsidR="0003718C">
        <w:t xml:space="preserve"> </w:t>
      </w:r>
      <w:r w:rsidR="00301047">
        <w:t>in common</w:t>
      </w:r>
      <w:r w:rsidR="00301047">
        <w:t xml:space="preserve"> </w:t>
      </w:r>
      <w:r w:rsidR="0003718C">
        <w:t>and where they differ.</w:t>
      </w:r>
      <w:r>
        <w:t xml:space="preserve"> </w:t>
      </w:r>
    </w:p>
    <w:p w:rsidR="00E23514" w:rsidRPr="00A824A9" w:rsidP="002F2334" w14:paraId="79734999" w14:textId="6E021415">
      <w:pPr>
        <w:spacing w:line="240" w:lineRule="auto"/>
        <w:rPr>
          <w:i/>
          <w:iCs/>
        </w:rPr>
      </w:pPr>
      <w:r w:rsidRPr="00A824A9">
        <w:rPr>
          <w:i/>
          <w:iCs/>
        </w:rPr>
        <w:t>Description of Instruments</w:t>
      </w:r>
    </w:p>
    <w:p w:rsidR="00A824A9" w:rsidRPr="00A824A9" w:rsidP="002F2334" w14:paraId="055C94D1" w14:textId="4FA05A5A">
      <w:pPr>
        <w:spacing w:line="240" w:lineRule="auto"/>
      </w:pPr>
      <w:r w:rsidRPr="00A824A9">
        <w:t xml:space="preserve">This data collection involves </w:t>
      </w:r>
      <w:r w:rsidRPr="00A824A9">
        <w:t>online focus groups. The instruments involved include a screening questionnaire</w:t>
      </w:r>
      <w:r w:rsidR="001C35F8">
        <w:t xml:space="preserve"> (Attachment 1)</w:t>
      </w:r>
      <w:r w:rsidRPr="00A824A9">
        <w:t>, a consent form</w:t>
      </w:r>
      <w:r w:rsidR="001C35F8">
        <w:t xml:space="preserve"> (Attachment 2)</w:t>
      </w:r>
      <w:r w:rsidRPr="00A824A9">
        <w:t>, and a focus group moderator guide</w:t>
      </w:r>
      <w:r w:rsidR="001C35F8">
        <w:t xml:space="preserve"> (Attachment 3)</w:t>
      </w:r>
      <w:r w:rsidRPr="00A824A9">
        <w:t>. The screening questionnaire has two primary purposes: (1) to ensure the proper qualifications for those who participate in the focus groups, and (2) to ensure a balance of included participants based on demographic and healthcare-related variables. The consent form is designed to ensure qualified participants are aware of key information about the group, such as privacy and the voluntary nature of the conversations. The moderator guide will be used by a trained KRC Research focus group moderator to direct the conversation and keep it on track.</w:t>
      </w:r>
    </w:p>
    <w:p w:rsidR="00A824A9" w:rsidP="002F2334" w14:paraId="72D68725" w14:textId="1DE00608">
      <w:pPr>
        <w:spacing w:line="240" w:lineRule="auto"/>
        <w:rPr>
          <w:i/>
          <w:iCs/>
        </w:rPr>
      </w:pPr>
      <w:r w:rsidRPr="00A824A9">
        <w:rPr>
          <w:i/>
          <w:iCs/>
        </w:rPr>
        <w:t>Consequences of Not Collecting</w:t>
      </w:r>
      <w:r>
        <w:rPr>
          <w:i/>
          <w:iCs/>
        </w:rPr>
        <w:t xml:space="preserve"> Information</w:t>
      </w:r>
    </w:p>
    <w:p w:rsidR="00A824A9" w:rsidRPr="00A824A9" w:rsidP="002F2334" w14:paraId="551CE890" w14:textId="5DAE91B7">
      <w:pPr>
        <w:spacing w:line="240" w:lineRule="auto"/>
      </w:pPr>
      <w:r>
        <w:t xml:space="preserve">This data collection is necessary to ensure DFWED communications initiatives are based on information gathered directly from the intended audience. If this collection were not to be carried out, DFWED would not have timely, nuanced information about </w:t>
      </w:r>
      <w:r w:rsidR="0003718C">
        <w:t>knowledge, barriers, motivators to test,</w:t>
      </w:r>
      <w:r>
        <w:t xml:space="preserve"> and information needs of its priority audiences. </w:t>
      </w:r>
      <w:r w:rsidR="007438CC">
        <w:t>Communications efforts that are not based on research may be ineffective and the CDC resources used may not be used efficiently</w:t>
      </w:r>
      <w:r w:rsidR="1F9CE81F">
        <w:t xml:space="preserve"> or may not reach intended populations with uninformed outreach strategies</w:t>
      </w:r>
      <w:r w:rsidR="007438CC">
        <w:t xml:space="preserve">. </w:t>
      </w:r>
    </w:p>
    <w:p w:rsidR="004A13E8" w:rsidP="002F2334" w14:paraId="55FE17B9" w14:textId="77777777">
      <w:pPr>
        <w:pStyle w:val="Heading1"/>
      </w:pPr>
      <w:bookmarkStart w:id="3" w:name="_Toc473880019"/>
      <w:r>
        <w:t>Use of Improved Information Technology and Burden Reduction</w:t>
      </w:r>
      <w:bookmarkEnd w:id="3"/>
    </w:p>
    <w:p w:rsidR="003172CD" w:rsidP="00D94DB3" w14:paraId="50F9D768" w14:textId="6B99D308">
      <w:pPr>
        <w:pStyle w:val="BodyText1"/>
        <w:rPr>
          <w:rFonts w:cs="Times New Roman"/>
          <w:szCs w:val="24"/>
          <w:lang w:val="en-US"/>
        </w:rPr>
      </w:pPr>
      <w:r>
        <w:rPr>
          <w:rFonts w:cs="Times New Roman"/>
          <w:szCs w:val="24"/>
        </w:rPr>
        <w:t>Data will be collected via</w:t>
      </w:r>
      <w:r>
        <w:rPr>
          <w:rFonts w:cs="Times New Roman"/>
          <w:szCs w:val="24"/>
          <w:lang w:val="en-US"/>
        </w:rPr>
        <w:t xml:space="preserve"> online focus groups through a web-based platform</w:t>
      </w:r>
      <w:r w:rsidRPr="00C45270">
        <w:rPr>
          <w:rFonts w:cs="Times New Roman"/>
          <w:szCs w:val="24"/>
          <w:lang w:val="en-US"/>
        </w:rPr>
        <w:t>,</w:t>
      </w:r>
      <w:r>
        <w:rPr>
          <w:rFonts w:cs="Times New Roman"/>
          <w:szCs w:val="24"/>
          <w:lang w:val="en-US"/>
        </w:rPr>
        <w:t xml:space="preserve"> </w:t>
      </w:r>
      <w:r w:rsidRPr="00C45270">
        <w:rPr>
          <w:rFonts w:cs="Times New Roman"/>
          <w:szCs w:val="24"/>
          <w:lang w:val="en-US"/>
        </w:rPr>
        <w:t>meaning</w:t>
      </w:r>
      <w:r>
        <w:rPr>
          <w:rFonts w:cs="Times New Roman"/>
          <w:szCs w:val="24"/>
          <w:lang w:val="en-US"/>
        </w:rPr>
        <w:t xml:space="preserve"> t</w:t>
      </w:r>
      <w:r w:rsidRPr="00C45270">
        <w:rPr>
          <w:rFonts w:cs="Times New Roman"/>
          <w:szCs w:val="24"/>
          <w:lang w:val="en-US"/>
        </w:rPr>
        <w:t xml:space="preserve">hat participants </w:t>
      </w:r>
      <w:r>
        <w:rPr>
          <w:rFonts w:cs="Times New Roman"/>
          <w:szCs w:val="24"/>
          <w:lang w:val="en-US"/>
        </w:rPr>
        <w:t xml:space="preserve">will not have </w:t>
      </w:r>
      <w:r w:rsidRPr="00C45270">
        <w:rPr>
          <w:rFonts w:cs="Times New Roman"/>
          <w:szCs w:val="24"/>
          <w:lang w:val="en-US"/>
        </w:rPr>
        <w:t>to download anything to their personal devices (participants need only to have an internet connection)</w:t>
      </w:r>
      <w:r w:rsidR="00632C10">
        <w:rPr>
          <w:rFonts w:cs="Times New Roman"/>
          <w:szCs w:val="24"/>
          <w:lang w:val="en-US"/>
        </w:rPr>
        <w:t xml:space="preserve"> and participants, CDC, and its contractor KRC Research do not need to travel</w:t>
      </w:r>
      <w:r w:rsidRPr="00C45270">
        <w:rPr>
          <w:rFonts w:cs="Times New Roman"/>
          <w:szCs w:val="24"/>
          <w:lang w:val="en-US"/>
        </w:rPr>
        <w:t>.</w:t>
      </w:r>
      <w:r>
        <w:rPr>
          <w:rFonts w:cs="Times New Roman"/>
          <w:szCs w:val="24"/>
          <w:lang w:val="en-US"/>
        </w:rPr>
        <w:t xml:space="preserve"> All focus groups will be conducted by professional moderators from KRC Research, a contracted company. All </w:t>
      </w:r>
      <w:r w:rsidR="00D609A0">
        <w:rPr>
          <w:rFonts w:cs="Times New Roman"/>
          <w:szCs w:val="24"/>
          <w:lang w:val="en-US"/>
        </w:rPr>
        <w:t>focus groups</w:t>
      </w:r>
      <w:r w:rsidRPr="00B6449E">
        <w:rPr>
          <w:rFonts w:cs="Times New Roman"/>
          <w:szCs w:val="24"/>
        </w:rPr>
        <w:t xml:space="preserve"> </w:t>
      </w:r>
      <w:r w:rsidRPr="00941542">
        <w:rPr>
          <w:rFonts w:cs="Times New Roman"/>
          <w:szCs w:val="24"/>
        </w:rPr>
        <w:t xml:space="preserve">will be </w:t>
      </w:r>
      <w:r w:rsidRPr="00144D4A">
        <w:rPr>
          <w:rFonts w:cs="Times New Roman"/>
          <w:szCs w:val="24"/>
          <w:lang w:val="en-US"/>
        </w:rPr>
        <w:t xml:space="preserve">audio </w:t>
      </w:r>
      <w:r>
        <w:rPr>
          <w:rFonts w:cs="Times New Roman"/>
          <w:szCs w:val="24"/>
          <w:lang w:val="en-US"/>
        </w:rPr>
        <w:t xml:space="preserve">and video </w:t>
      </w:r>
      <w:r w:rsidRPr="00144D4A">
        <w:rPr>
          <w:rFonts w:cs="Times New Roman"/>
          <w:szCs w:val="24"/>
        </w:rPr>
        <w:t>recorded to ensure participant responses are captured accurately</w:t>
      </w:r>
      <w:r>
        <w:rPr>
          <w:rFonts w:cs="Times New Roman"/>
          <w:szCs w:val="24"/>
          <w:lang w:val="en-US"/>
        </w:rPr>
        <w:t xml:space="preserve"> and transcribed</w:t>
      </w:r>
      <w:r w:rsidRPr="00144D4A">
        <w:rPr>
          <w:rFonts w:cs="Times New Roman"/>
          <w:szCs w:val="24"/>
        </w:rPr>
        <w:t xml:space="preserve">. </w:t>
      </w:r>
      <w:r w:rsidRPr="00144D4A">
        <w:rPr>
          <w:rFonts w:cs="Times New Roman"/>
          <w:szCs w:val="24"/>
          <w:lang w:val="en-US"/>
        </w:rPr>
        <w:t xml:space="preserve">Questions included on the </w:t>
      </w:r>
      <w:r w:rsidR="00D609A0">
        <w:rPr>
          <w:rFonts w:cs="Times New Roman"/>
          <w:szCs w:val="24"/>
          <w:lang w:val="en-US"/>
        </w:rPr>
        <w:t>focus group</w:t>
      </w:r>
      <w:r w:rsidRPr="00144D4A">
        <w:rPr>
          <w:rFonts w:cs="Times New Roman"/>
          <w:szCs w:val="24"/>
          <w:lang w:val="en-US"/>
        </w:rPr>
        <w:t xml:space="preserve"> moderator guide </w:t>
      </w:r>
      <w:r w:rsidRPr="00144D4A">
        <w:rPr>
          <w:rFonts w:cs="Times New Roman"/>
          <w:szCs w:val="24"/>
        </w:rPr>
        <w:t>have been limited to only those relevant to the target audience to reduce burden on respondents.</w:t>
      </w:r>
      <w:r w:rsidRPr="00144D4A">
        <w:rPr>
          <w:rFonts w:cs="Times New Roman"/>
          <w:szCs w:val="24"/>
          <w:lang w:val="en-US"/>
        </w:rPr>
        <w:t xml:space="preserve"> </w:t>
      </w:r>
    </w:p>
    <w:p w:rsidR="004A13E8" w:rsidP="002F2334" w14:paraId="55FE17BC" w14:textId="77777777">
      <w:pPr>
        <w:pStyle w:val="Heading1"/>
      </w:pPr>
      <w:bookmarkStart w:id="4" w:name="_Toc473880020"/>
      <w:r>
        <w:t>Efforts to Identify Duplication and Use of Similar Information</w:t>
      </w:r>
      <w:bookmarkEnd w:id="4"/>
    </w:p>
    <w:p w:rsidR="000D3799" w:rsidP="002F2334" w14:paraId="5510A239" w14:textId="26297051">
      <w:pPr>
        <w:spacing w:line="240" w:lineRule="auto"/>
      </w:pPr>
      <w:r>
        <w:t>While some quantitative survey research has been conducted to assess the frequency of endemic mycoses testing</w:t>
      </w:r>
      <w:r w:rsidR="00C525E4">
        <w:t>,</w:t>
      </w:r>
      <w:r>
        <w:t xml:space="preserve"> </w:t>
      </w:r>
      <w:r w:rsidR="00C525E4">
        <w:t>t</w:t>
      </w:r>
      <w:r>
        <w:t xml:space="preserve">o date there has been little formative qualitative evaluation exploring the perceptions, attitudes, </w:t>
      </w:r>
      <w:r>
        <w:t xml:space="preserve">barriers, motivators, </w:t>
      </w:r>
      <w:r>
        <w:t xml:space="preserve">and information needs of </w:t>
      </w:r>
      <w:r>
        <w:t>healthcare providers in these priority settings</w:t>
      </w:r>
      <w:r>
        <w:t xml:space="preserve"> </w:t>
      </w:r>
      <w:r>
        <w:t xml:space="preserve">on this topic. </w:t>
      </w:r>
      <w:r>
        <w:t>In particular, little</w:t>
      </w:r>
      <w:r>
        <w:t xml:space="preserve"> is known about providers’ impressions and experiences with </w:t>
      </w:r>
      <w:r w:rsidR="05137B60">
        <w:t xml:space="preserve">CDC’s </w:t>
      </w:r>
      <w:r w:rsidR="00D832A3">
        <w:t>newly developed</w:t>
      </w:r>
      <w:r w:rsidR="05137B60">
        <w:t xml:space="preserve"> </w:t>
      </w:r>
      <w:r>
        <w:t>endemic mycoses diagnostic algorithms. This data collection will address these points while focusing in analysis on implications for communications specifically</w:t>
      </w:r>
      <w:r w:rsidR="00190555">
        <w:t>.</w:t>
      </w:r>
    </w:p>
    <w:p w:rsidR="00DC57CC" w:rsidP="002F2334" w14:paraId="55FE17BF" w14:textId="77777777">
      <w:pPr>
        <w:pStyle w:val="Heading1"/>
      </w:pPr>
      <w:bookmarkStart w:id="5" w:name="_Toc473880021"/>
      <w:r>
        <w:t>Impact on Small Businesses or Other Small Entities</w:t>
      </w:r>
      <w:bookmarkEnd w:id="5"/>
    </w:p>
    <w:p w:rsidR="004A13E8" w:rsidP="002F2334" w14:paraId="55FE17C0" w14:textId="77777777">
      <w:pPr>
        <w:spacing w:line="240" w:lineRule="auto"/>
      </w:pPr>
      <w:r>
        <w:t>This data collection wi</w:t>
      </w:r>
      <w:r w:rsidR="001523DF">
        <w:t>ll not involve small businesses.</w:t>
      </w:r>
    </w:p>
    <w:p w:rsidR="004A13E8" w:rsidP="002F2334" w14:paraId="55FE17C3" w14:textId="77777777">
      <w:pPr>
        <w:pStyle w:val="Heading1"/>
      </w:pPr>
      <w:bookmarkStart w:id="6" w:name="_Toc473880022"/>
      <w:r>
        <w:t>Consequences of Collecting the Information Less Frequently</w:t>
      </w:r>
      <w:bookmarkEnd w:id="6"/>
    </w:p>
    <w:p w:rsidR="00E21144" w:rsidP="002F2334" w14:paraId="450DA76B" w14:textId="67CC9E82">
      <w:pPr>
        <w:spacing w:line="240" w:lineRule="auto"/>
      </w:pPr>
      <w:r>
        <w:t>This is a one-time information collection.</w:t>
      </w:r>
    </w:p>
    <w:p w:rsidR="004A13E8" w:rsidP="002F2334" w14:paraId="55FE17C6" w14:textId="77777777">
      <w:pPr>
        <w:pStyle w:val="Heading1"/>
      </w:pPr>
      <w:bookmarkStart w:id="7" w:name="_Toc473880023"/>
      <w:r>
        <w:t>Special Circumstances Relating to the Guidelines of 5 CFR 1320.5</w:t>
      </w:r>
      <w:bookmarkEnd w:id="7"/>
    </w:p>
    <w:p w:rsidR="004A13E8" w:rsidRPr="004A13E8" w:rsidP="002F2334" w14:paraId="55FE17C7" w14:textId="77777777">
      <w:pPr>
        <w:spacing w:line="240" w:lineRule="auto"/>
      </w:pPr>
      <w:r>
        <w:t>This request fully complies with the regulation 5 CFR 1320.5.</w:t>
      </w:r>
    </w:p>
    <w:p w:rsidR="004A13E8" w:rsidP="002F2334" w14:paraId="55FE17C8" w14:textId="77777777">
      <w:pPr>
        <w:pStyle w:val="Heading1"/>
      </w:pPr>
      <w:bookmarkStart w:id="8" w:name="_Toc473880024"/>
      <w:r>
        <w:t>Comments in Response to the Federal Register Notice and Efforts to Consult Outside the Agency</w:t>
      </w:r>
      <w:bookmarkEnd w:id="8"/>
    </w:p>
    <w:p w:rsidR="004A13E8" w:rsidP="002F2334" w14:paraId="55FE17C9" w14:textId="6A792067">
      <w:pPr>
        <w:spacing w:line="240" w:lineRule="auto"/>
      </w:pPr>
      <w:r w:rsidRPr="001C646A">
        <w:rPr>
          <w:u w:val="single"/>
        </w:rPr>
        <w:t>A.</w:t>
      </w:r>
      <w:r>
        <w:t xml:space="preserve"> </w:t>
      </w:r>
      <w:r w:rsidR="00E21144">
        <w:t>A</w:t>
      </w:r>
      <w:r w:rsidRPr="00E21144" w:rsidR="00E21144">
        <w:t xml:space="preserve"> </w:t>
      </w:r>
      <w:r w:rsidRPr="00E21144" w:rsidR="00E21144">
        <w:rPr>
          <w:i/>
        </w:rPr>
        <w:t>Federal Register</w:t>
      </w:r>
      <w:r w:rsidRPr="00E21144" w:rsidR="00E21144">
        <w:t xml:space="preserve"> notice was published for this</w:t>
      </w:r>
      <w:r w:rsidR="00E21144">
        <w:t xml:space="preserve"> generic package</w:t>
      </w:r>
      <w:r w:rsidRPr="00E21144" w:rsidR="00E21144">
        <w:t xml:space="preserve"> on </w:t>
      </w:r>
      <w:r w:rsidR="002F0CE1">
        <w:t xml:space="preserve">July 22, 2022, </w:t>
      </w:r>
      <w:r w:rsidRPr="00A26E81" w:rsidR="002F0CE1">
        <w:t>Vol.</w:t>
      </w:r>
      <w:r w:rsidR="002F0CE1">
        <w:t xml:space="preserve"> 87</w:t>
      </w:r>
      <w:r w:rsidRPr="00A26E81" w:rsidR="002F0CE1">
        <w:t>, No.</w:t>
      </w:r>
      <w:r w:rsidR="002F0CE1">
        <w:t>140 ,</w:t>
      </w:r>
      <w:r w:rsidRPr="00022A54" w:rsidR="002F0CE1">
        <w:t xml:space="preserve"> pp. </w:t>
      </w:r>
      <w:r w:rsidR="002F0CE1">
        <w:t>43860</w:t>
      </w:r>
      <w:r w:rsidRPr="00E21144" w:rsidR="00E21144">
        <w:t xml:space="preserve">. No public comments were received.  </w:t>
      </w:r>
    </w:p>
    <w:p w:rsidR="004A13E8" w:rsidRPr="004A13E8" w:rsidP="002F2334" w14:paraId="55FE17CA" w14:textId="237615A5">
      <w:pPr>
        <w:spacing w:line="240" w:lineRule="auto"/>
      </w:pPr>
      <w:r w:rsidRPr="001C646A">
        <w:rPr>
          <w:u w:val="single"/>
        </w:rPr>
        <w:t>B.</w:t>
      </w:r>
      <w:r>
        <w:t xml:space="preserve"> </w:t>
      </w:r>
      <w:r w:rsidRPr="000D3799" w:rsidR="000D3799">
        <w:t xml:space="preserve">KRC Research, a contracted research firm, has been consulted in the development of the research plan, sampling parameters, and </w:t>
      </w:r>
      <w:r w:rsidR="000D3799">
        <w:t>focus group</w:t>
      </w:r>
      <w:r w:rsidRPr="000D3799" w:rsidR="000D3799">
        <w:t xml:space="preserve"> guide. Under the supervision of </w:t>
      </w:r>
      <w:r w:rsidR="000D3799">
        <w:t>DFWED</w:t>
      </w:r>
      <w:r w:rsidRPr="000D3799" w:rsidR="000D3799">
        <w:t xml:space="preserve">, KRC will ultimately conduct all data collection related to the proposed evaluation. </w:t>
      </w:r>
      <w:r w:rsidRPr="0003695E" w:rsidR="000D3799">
        <w:t xml:space="preserve">Data collection will include recruiting and screening participants into the formative research, and conducting </w:t>
      </w:r>
      <w:r w:rsidR="00AA1B56">
        <w:t>six</w:t>
      </w:r>
      <w:r w:rsidRPr="0003695E" w:rsidR="000D3799">
        <w:t xml:space="preserve"> </w:t>
      </w:r>
      <w:r w:rsidRPr="0003695E" w:rsidR="000D3799">
        <w:t>90-minute long</w:t>
      </w:r>
      <w:r w:rsidRPr="0003695E" w:rsidR="000D3799">
        <w:t xml:space="preserve"> online focus groups with </w:t>
      </w:r>
      <w:r w:rsidR="00AA1B56">
        <w:t>providers in primary care, urgent care, and emergency care settings</w:t>
      </w:r>
      <w:r w:rsidR="000D3799">
        <w:t>.</w:t>
      </w:r>
    </w:p>
    <w:p w:rsidR="004A13E8" w:rsidP="002F2334" w14:paraId="55FE17CB" w14:textId="77777777">
      <w:pPr>
        <w:pStyle w:val="Heading1"/>
      </w:pPr>
      <w:bookmarkStart w:id="9" w:name="_Toc473880025"/>
      <w:r>
        <w:t>Explanation of Any Payment or Gift to Respondents</w:t>
      </w:r>
      <w:bookmarkEnd w:id="9"/>
    </w:p>
    <w:p w:rsidR="00D609A0" w:rsidRPr="002F2334" w:rsidP="002F2334" w14:paraId="610D09B2" w14:textId="04292A72">
      <w:pPr>
        <w:spacing w:line="240" w:lineRule="auto"/>
      </w:pPr>
      <w:bookmarkStart w:id="10" w:name="_Toc473880026"/>
      <w:r w:rsidRPr="002F2334">
        <w:t>Focus group participants will receive a monetary incentive of $75 for their participation. Such an incentive is a standard practice in the market research industry and helps to ensure efficient recruitment and ultimate participation among the qualified and scheduled participants. The amount is also standard for a healthcare provider audience participating in a 90-minute interview. The incentive is also intended to offset the cost of personal or professional time taken to participate.</w:t>
      </w:r>
    </w:p>
    <w:p w:rsidR="004A13E8" w:rsidP="002F2334" w14:paraId="55FE17CD" w14:textId="77777777">
      <w:pPr>
        <w:pStyle w:val="Heading1"/>
      </w:pPr>
      <w:r>
        <w:t>Protection of the Privacy and Confidentiality of Information Provided by Respondents</w:t>
      </w:r>
      <w:bookmarkEnd w:id="10"/>
    </w:p>
    <w:p w:rsidR="00163761" w:rsidP="002F2334" w14:paraId="09B80F63" w14:textId="260C1A56">
      <w:pPr>
        <w:spacing w:line="240" w:lineRule="auto"/>
      </w:pPr>
      <w:bookmarkStart w:id="11" w:name="_Toc473880027"/>
      <w:r w:rsidRPr="00163761">
        <w:t>NCEZID</w:t>
      </w:r>
      <w:r>
        <w:t xml:space="preserve"> has</w:t>
      </w:r>
      <w:r w:rsidRPr="00163761">
        <w:t xml:space="preserve"> reviewed this submission and determined that the Privacy Act does</w:t>
      </w:r>
      <w:r>
        <w:t xml:space="preserve"> </w:t>
      </w:r>
      <w:r w:rsidRPr="00163761">
        <w:t>not apply.</w:t>
      </w:r>
    </w:p>
    <w:p w:rsidR="00D609A0" w:rsidRPr="00144D4A" w:rsidP="002F2334" w14:paraId="6DA2ED1A" w14:textId="195E8557">
      <w:pPr>
        <w:spacing w:line="240" w:lineRule="auto"/>
        <w:rPr>
          <w:rFonts w:cs="Times New Roman"/>
        </w:rPr>
      </w:pPr>
      <w:r w:rsidRPr="006C4E11">
        <w:rPr>
          <w:rFonts w:cs="Times New Roman"/>
        </w:rPr>
        <w:t xml:space="preserve">KRC Research, a contracted firm, will manage recruitment and </w:t>
      </w:r>
      <w:r w:rsidR="009E77F3">
        <w:rPr>
          <w:rFonts w:cs="Times New Roman"/>
        </w:rPr>
        <w:t>execution</w:t>
      </w:r>
      <w:r w:rsidRPr="006C4E11">
        <w:rPr>
          <w:rFonts w:cs="Times New Roman"/>
        </w:rPr>
        <w:t xml:space="preserve"> for this </w:t>
      </w:r>
      <w:r w:rsidR="00163761">
        <w:rPr>
          <w:rFonts w:cs="Times New Roman"/>
        </w:rPr>
        <w:t>evaluation</w:t>
      </w:r>
      <w:r w:rsidRPr="006C4E11">
        <w:rPr>
          <w:rFonts w:cs="Times New Roman"/>
        </w:rPr>
        <w:t xml:space="preserve">, and PII will not be </w:t>
      </w:r>
      <w:r w:rsidRPr="002F2334">
        <w:t>transmitted</w:t>
      </w:r>
      <w:r w:rsidRPr="006C4E11">
        <w:rPr>
          <w:rFonts w:cs="Times New Roman"/>
        </w:rPr>
        <w:t xml:space="preserve"> to NCEZID</w:t>
      </w:r>
      <w:r w:rsidR="00163761">
        <w:rPr>
          <w:rFonts w:cs="Times New Roman"/>
        </w:rPr>
        <w:t>/DFWED</w:t>
      </w:r>
      <w:r w:rsidRPr="006C4E11">
        <w:rPr>
          <w:rFonts w:cs="Times New Roman"/>
        </w:rPr>
        <w:t xml:space="preserve"> or </w:t>
      </w:r>
      <w:r w:rsidR="00163761">
        <w:rPr>
          <w:rFonts w:cs="Times New Roman"/>
        </w:rPr>
        <w:t xml:space="preserve">anyone at </w:t>
      </w:r>
      <w:r w:rsidRPr="006C4E11">
        <w:rPr>
          <w:rFonts w:cs="Times New Roman"/>
        </w:rPr>
        <w:t>CDC.</w:t>
      </w:r>
    </w:p>
    <w:p w:rsidR="00D609A0" w:rsidP="002F2334" w14:paraId="237F543A" w14:textId="68B903F1">
      <w:pPr>
        <w:spacing w:line="240" w:lineRule="auto"/>
        <w:rPr>
          <w:rFonts w:cs="Times New Roman"/>
        </w:rPr>
      </w:pPr>
      <w:r w:rsidRPr="416765FC">
        <w:rPr>
          <w:rFonts w:cs="Times New Roman"/>
        </w:rPr>
        <w:t>This screening instrument</w:t>
      </w:r>
      <w:r w:rsidRPr="416765FC" w:rsidR="00163761">
        <w:rPr>
          <w:rFonts w:cs="Times New Roman"/>
        </w:rPr>
        <w:t xml:space="preserve">, Attachment 1, </w:t>
      </w:r>
      <w:r w:rsidRPr="416765FC">
        <w:rPr>
          <w:rFonts w:cs="Times New Roman"/>
        </w:rPr>
        <w:t>will be used to evaluate the qualification of potential focus group participants. The screening instrument includes information about privacy and confidentiality; only those individuals who agree to these terms will qualify for participation in focus groups. After an individual agrees to the terms and has qualified for focus group scheduling, they will be given a separate consent form</w:t>
      </w:r>
      <w:r w:rsidRPr="416765FC" w:rsidR="006C4E11">
        <w:rPr>
          <w:rFonts w:cs="Times New Roman"/>
        </w:rPr>
        <w:t xml:space="preserve">, Attachment 2, </w:t>
      </w:r>
      <w:r w:rsidRPr="416765FC">
        <w:rPr>
          <w:rFonts w:cs="Times New Roman"/>
        </w:rPr>
        <w:t xml:space="preserve">that reiterates privacy and confidentiality policies. The participant will be required to sign the form (electronic submission is allowed) and deliver a copy to the recruiting and moderating team. The participant will be reminded that </w:t>
      </w:r>
      <w:r>
        <w:t>participation</w:t>
      </w:r>
      <w:r w:rsidRPr="416765FC">
        <w:rPr>
          <w:rFonts w:cs="Times New Roman"/>
        </w:rPr>
        <w:t xml:space="preserve"> is entirely voluntary.</w:t>
      </w:r>
    </w:p>
    <w:p w:rsidR="00D609A0" w:rsidP="002F2334" w14:paraId="2FC0FAB9" w14:textId="120600CC">
      <w:pPr>
        <w:pStyle w:val="BodyText"/>
        <w:spacing w:after="0" w:line="240" w:lineRule="auto"/>
        <w:jc w:val="both"/>
        <w:rPr>
          <w:rFonts w:cs="Times New Roman"/>
        </w:rPr>
      </w:pPr>
      <w:r>
        <w:rPr>
          <w:rFonts w:cs="Times New Roman"/>
        </w:rPr>
        <w:t xml:space="preserve">After the consent form is signed, participants will confirm their focus group slots. </w:t>
      </w:r>
      <w:r w:rsidRPr="00144D4A">
        <w:rPr>
          <w:rFonts w:cs="Times New Roman"/>
        </w:rPr>
        <w:t xml:space="preserve">During the introduction to </w:t>
      </w:r>
      <w:r>
        <w:rPr>
          <w:rFonts w:cs="Times New Roman"/>
        </w:rPr>
        <w:t>each</w:t>
      </w:r>
      <w:r w:rsidRPr="00144D4A">
        <w:rPr>
          <w:rFonts w:cs="Times New Roman"/>
        </w:rPr>
        <w:t xml:space="preserve"> </w:t>
      </w:r>
      <w:r>
        <w:rPr>
          <w:rFonts w:cs="Times New Roman"/>
        </w:rPr>
        <w:t>focus group</w:t>
      </w:r>
      <w:r w:rsidRPr="00144D4A">
        <w:rPr>
          <w:rFonts w:cs="Times New Roman"/>
        </w:rPr>
        <w:t xml:space="preserve">, the </w:t>
      </w:r>
      <w:r>
        <w:rPr>
          <w:rFonts w:cs="Times New Roman"/>
        </w:rPr>
        <w:t>trained moderator</w:t>
      </w:r>
      <w:r w:rsidRPr="00144D4A">
        <w:rPr>
          <w:rFonts w:cs="Times New Roman"/>
        </w:rPr>
        <w:t xml:space="preserve"> will review key parts of the </w:t>
      </w:r>
      <w:r>
        <w:rPr>
          <w:rFonts w:cs="Times New Roman"/>
        </w:rPr>
        <w:t>privacy and confidentiality agreement</w:t>
      </w:r>
      <w:r w:rsidR="009E77F3">
        <w:rPr>
          <w:rFonts w:cs="Times New Roman"/>
        </w:rPr>
        <w:t>, including</w:t>
      </w:r>
      <w:r w:rsidRPr="00144D4A">
        <w:rPr>
          <w:rFonts w:cs="Times New Roman"/>
        </w:rPr>
        <w:t xml:space="preserve">: </w:t>
      </w:r>
    </w:p>
    <w:p w:rsidR="00D609A0" w:rsidRPr="00144D4A" w:rsidP="002F2334" w14:paraId="195F63ED" w14:textId="77777777">
      <w:pPr>
        <w:pStyle w:val="BodyText"/>
        <w:spacing w:after="0" w:line="240" w:lineRule="auto"/>
        <w:jc w:val="both"/>
        <w:rPr>
          <w:rFonts w:cs="Times New Roman"/>
        </w:rPr>
      </w:pPr>
    </w:p>
    <w:p w:rsidR="009E77F3" w:rsidP="009E77F3" w14:paraId="02BCA391" w14:textId="360787DC">
      <w:pPr>
        <w:pStyle w:val="Bulletblank"/>
        <w:spacing w:line="240" w:lineRule="auto"/>
        <w:jc w:val="both"/>
      </w:pPr>
      <w:r w:rsidRPr="00144D4A">
        <w:t>Th</w:t>
      </w:r>
      <w:r>
        <w:t>e</w:t>
      </w:r>
      <w:r w:rsidRPr="00144D4A">
        <w:t xml:space="preserve"> discussion is completely voluntary. Participants </w:t>
      </w:r>
      <w:r>
        <w:t>do not have to join the focus group and do not have to answer any questions they are not comfortable with</w:t>
      </w:r>
      <w:r w:rsidRPr="00144D4A">
        <w:t xml:space="preserve">. </w:t>
      </w:r>
    </w:p>
    <w:p w:rsidR="009E77F3" w14:paraId="7B29B95B" w14:textId="7A82A0C5">
      <w:pPr>
        <w:pStyle w:val="Bulletblank"/>
        <w:spacing w:line="240" w:lineRule="auto"/>
      </w:pPr>
      <w:r>
        <w:t>Only first names or preferred names will be used</w:t>
      </w:r>
      <w:r w:rsidRPr="009E77F3">
        <w:t xml:space="preserve"> during the conversation</w:t>
      </w:r>
      <w:r>
        <w:t>, and n</w:t>
      </w:r>
      <w:r w:rsidRPr="009E77F3">
        <w:t xml:space="preserve">othing </w:t>
      </w:r>
      <w:r>
        <w:t>participants</w:t>
      </w:r>
      <w:r w:rsidRPr="009E77F3">
        <w:t xml:space="preserve"> say</w:t>
      </w:r>
      <w:r>
        <w:t xml:space="preserve"> or do</w:t>
      </w:r>
      <w:r w:rsidRPr="009E77F3">
        <w:t xml:space="preserve"> will be reported in association with </w:t>
      </w:r>
      <w:r>
        <w:t>their</w:t>
      </w:r>
      <w:r w:rsidRPr="009E77F3">
        <w:t xml:space="preserve"> name</w:t>
      </w:r>
      <w:r>
        <w:t>s</w:t>
      </w:r>
      <w:r w:rsidRPr="009E77F3">
        <w:t xml:space="preserve">. </w:t>
      </w:r>
    </w:p>
    <w:p w:rsidR="00D609A0" w:rsidRPr="007709B3" w:rsidP="002F2334" w14:paraId="1CF6C2B4" w14:textId="7C633B52">
      <w:pPr>
        <w:pStyle w:val="Bulletblank"/>
        <w:spacing w:line="240" w:lineRule="auto"/>
        <w:jc w:val="both"/>
      </w:pPr>
      <w:r w:rsidRPr="007709B3">
        <w:t>Discussions will be audio</w:t>
      </w:r>
      <w:r w:rsidR="009E77F3">
        <w:t xml:space="preserve"> and video </w:t>
      </w:r>
      <w:r w:rsidRPr="007709B3">
        <w:t>recorded and notes will be ta</w:t>
      </w:r>
      <w:r>
        <w:t xml:space="preserve">ken during the discussion. All </w:t>
      </w:r>
      <w:r w:rsidRPr="007709B3">
        <w:t xml:space="preserve">information, notes, and </w:t>
      </w:r>
      <w:r w:rsidR="009E77F3">
        <w:t>files will be kept</w:t>
      </w:r>
      <w:r w:rsidRPr="007709B3">
        <w:t xml:space="preserve"> </w:t>
      </w:r>
      <w:r w:rsidR="009E77F3">
        <w:t>on a secure server</w:t>
      </w:r>
      <w:r w:rsidRPr="007709B3">
        <w:t xml:space="preserve">. </w:t>
      </w:r>
      <w:r w:rsidR="004760A9">
        <w:t>Only KRC Research and the core DFWED team that manages the evaluation will have access to these files.</w:t>
      </w:r>
    </w:p>
    <w:p w:rsidR="00D609A0" w:rsidP="002F2334" w14:paraId="4198394D" w14:textId="77777777">
      <w:pPr>
        <w:pStyle w:val="after-12"/>
        <w:spacing w:before="0" w:after="0" w:line="240" w:lineRule="auto"/>
        <w:ind w:firstLine="0"/>
        <w:jc w:val="both"/>
      </w:pPr>
    </w:p>
    <w:p w:rsidR="004A13E8" w:rsidP="002F2334" w14:paraId="55FE17D0" w14:textId="77777777">
      <w:pPr>
        <w:pStyle w:val="Heading1"/>
      </w:pPr>
      <w:r>
        <w:t>Institutional Review Board (IRB) and Justification for Sensitive Questions</w:t>
      </w:r>
      <w:bookmarkEnd w:id="11"/>
    </w:p>
    <w:p w:rsidR="004A13E8" w:rsidRPr="001C646A" w:rsidP="001C646A" w14:paraId="55FE17D1" w14:textId="79392E5F">
      <w:pPr>
        <w:pStyle w:val="ListParagraph"/>
        <w:numPr>
          <w:ilvl w:val="0"/>
          <w:numId w:val="12"/>
        </w:numPr>
        <w:spacing w:line="240" w:lineRule="auto"/>
      </w:pPr>
      <w:r w:rsidRPr="001C646A">
        <w:t>Institutional Review Board (IRB)</w:t>
      </w:r>
    </w:p>
    <w:p w:rsidR="004A13E8" w:rsidP="002F2334" w14:paraId="55FE17D2" w14:textId="1EEFA9E0">
      <w:pPr>
        <w:spacing w:line="240" w:lineRule="auto"/>
      </w:pPr>
      <w:r w:rsidRPr="006C4E11">
        <w:t xml:space="preserve">NCEZID’s Human Subjects Advisor has determined that information collection </w:t>
      </w:r>
      <w:r w:rsidRPr="006C4E11" w:rsidR="006C4E11">
        <w:t>i</w:t>
      </w:r>
      <w:r w:rsidRPr="006C4E11">
        <w:t>s no</w:t>
      </w:r>
      <w:r w:rsidRPr="006C4E11" w:rsidR="006C4E11">
        <w:t>t</w:t>
      </w:r>
      <w:r w:rsidRPr="006C4E11">
        <w:t xml:space="preserve"> research involving human subjects. IRB approval </w:t>
      </w:r>
      <w:r w:rsidRPr="006C4E11" w:rsidR="001E08A8">
        <w:t>is</w:t>
      </w:r>
      <w:r w:rsidRPr="006C4E11">
        <w:t xml:space="preserve"> no</w:t>
      </w:r>
      <w:r w:rsidRPr="006C4E11" w:rsidR="006C4E11">
        <w:t>t</w:t>
      </w:r>
      <w:r w:rsidRPr="006C4E11">
        <w:t xml:space="preserve"> required</w:t>
      </w:r>
      <w:r w:rsidRPr="006C4E11" w:rsidR="00D609A0">
        <w:t xml:space="preserve"> (Attachment </w:t>
      </w:r>
      <w:r w:rsidRPr="006C4E11" w:rsidR="006C4E11">
        <w:t>4</w:t>
      </w:r>
      <w:r w:rsidRPr="006C4E11" w:rsidR="00D609A0">
        <w:t>)</w:t>
      </w:r>
      <w:r w:rsidRPr="006C4E11">
        <w:t>.</w:t>
      </w:r>
    </w:p>
    <w:p w:rsidR="004A13E8" w:rsidRPr="001C646A" w:rsidP="001C646A" w14:paraId="55FE17D4" w14:textId="6CE30088">
      <w:pPr>
        <w:pStyle w:val="ListParagraph"/>
        <w:numPr>
          <w:ilvl w:val="0"/>
          <w:numId w:val="12"/>
        </w:numPr>
        <w:spacing w:line="240" w:lineRule="auto"/>
      </w:pPr>
      <w:r w:rsidRPr="001C646A">
        <w:t>Justification for Sensitive Questions</w:t>
      </w:r>
    </w:p>
    <w:p w:rsidR="00D609A0" w:rsidP="00D94DB3" w14:paraId="49A50C4D" w14:textId="13E36F18">
      <w:pPr>
        <w:spacing w:after="0" w:line="240" w:lineRule="auto"/>
        <w:rPr>
          <w:rFonts w:cs="Times New Roman"/>
        </w:rPr>
      </w:pPr>
      <w:bookmarkStart w:id="12" w:name="_Toc473880028"/>
      <w:r w:rsidRPr="003F4523">
        <w:rPr>
          <w:rFonts w:eastAsia="Times New Roman" w:cs="Times New Roman"/>
        </w:rPr>
        <w:t xml:space="preserve">All the questions asked in the </w:t>
      </w:r>
      <w:r>
        <w:rPr>
          <w:rFonts w:eastAsia="Times New Roman" w:cs="Times New Roman"/>
        </w:rPr>
        <w:t>interview</w:t>
      </w:r>
      <w:r w:rsidRPr="003F4523">
        <w:rPr>
          <w:rFonts w:eastAsia="Times New Roman" w:cs="Times New Roman"/>
        </w:rPr>
        <w:t xml:space="preserve">s will be non-sensitive in nature and focus </w:t>
      </w:r>
      <w:r w:rsidR="006969B7">
        <w:rPr>
          <w:rFonts w:eastAsia="Times New Roman" w:cs="Times New Roman"/>
        </w:rPr>
        <w:t xml:space="preserve">primarily </w:t>
      </w:r>
      <w:r>
        <w:rPr>
          <w:rFonts w:eastAsia="Times New Roman" w:cs="Times New Roman"/>
        </w:rPr>
        <w:t xml:space="preserve">on knowledge, attitudes, and </w:t>
      </w:r>
      <w:r w:rsidR="006969B7">
        <w:rPr>
          <w:rFonts w:eastAsia="Times New Roman" w:cs="Times New Roman"/>
        </w:rPr>
        <w:t xml:space="preserve">professional experiences with </w:t>
      </w:r>
      <w:r w:rsidR="00273FF1">
        <w:rPr>
          <w:rFonts w:eastAsia="Times New Roman" w:cs="Times New Roman"/>
        </w:rPr>
        <w:t>endemic mycoses and testing</w:t>
      </w:r>
      <w:r>
        <w:rPr>
          <w:rFonts w:eastAsia="Times New Roman" w:cs="Times New Roman"/>
        </w:rPr>
        <w:t>.</w:t>
      </w:r>
      <w:r w:rsidRPr="003F4523">
        <w:rPr>
          <w:rFonts w:eastAsia="Times New Roman" w:cs="Times New Roman"/>
        </w:rPr>
        <w:t xml:space="preserve"> All p</w:t>
      </w:r>
      <w:r w:rsidRPr="003F4523">
        <w:rPr>
          <w:rFonts w:cs="Times New Roman"/>
        </w:rPr>
        <w:t>articipants will be informed that they need not answer any question that makes them feel uncomfortable or that they simply do not wi</w:t>
      </w:r>
      <w:r>
        <w:rPr>
          <w:rFonts w:cs="Times New Roman"/>
        </w:rPr>
        <w:t>sh to answer.</w:t>
      </w:r>
    </w:p>
    <w:p w:rsidR="00D609A0" w:rsidP="002F2334" w14:paraId="1FB97B5B" w14:textId="77777777">
      <w:pPr>
        <w:spacing w:after="0" w:line="240" w:lineRule="auto"/>
        <w:jc w:val="both"/>
        <w:rPr>
          <w:rFonts w:cs="Times New Roman"/>
        </w:rPr>
      </w:pPr>
    </w:p>
    <w:p w:rsidR="004A13E8" w:rsidP="002F2334" w14:paraId="55FE17D7" w14:textId="77777777">
      <w:pPr>
        <w:pStyle w:val="Heading1"/>
      </w:pPr>
      <w:r>
        <w:t>Estimates of Annualized Burden Hours and Costs</w:t>
      </w:r>
      <w:bookmarkEnd w:id="12"/>
    </w:p>
    <w:p w:rsidR="00C553B7" w:rsidP="002F2334" w14:paraId="093B700D" w14:textId="77777777">
      <w:pPr>
        <w:spacing w:line="240" w:lineRule="auto"/>
      </w:pPr>
      <w:r w:rsidRPr="001C646A">
        <w:rPr>
          <w:u w:val="single"/>
        </w:rPr>
        <w:t>A.</w:t>
      </w:r>
      <w:r>
        <w:t xml:space="preserve"> </w:t>
      </w:r>
      <w:r>
        <w:t>Estimated Annualized Burden Hours</w:t>
      </w:r>
    </w:p>
    <w:p w:rsidR="00D609A0" w:rsidP="002F2334" w14:paraId="3EF97709" w14:textId="262EF767">
      <w:pPr>
        <w:spacing w:line="240" w:lineRule="auto"/>
      </w:pPr>
      <w:r>
        <w:t xml:space="preserve">The total estimated burden is </w:t>
      </w:r>
      <w:r w:rsidRPr="008710EC" w:rsidR="00273FF1">
        <w:t>11</w:t>
      </w:r>
      <w:r w:rsidR="00310BDA">
        <w:t>2</w:t>
      </w:r>
      <w:r w:rsidRPr="008710EC">
        <w:t xml:space="preserve"> hours.</w:t>
      </w:r>
      <w:r>
        <w:t xml:space="preserve"> Table </w:t>
      </w:r>
      <w:r w:rsidRPr="00087A53">
        <w:t>1</w:t>
      </w:r>
      <w:r>
        <w:t xml:space="preserve"> below describes the burden associated with the information collection.</w:t>
      </w:r>
    </w:p>
    <w:p w:rsidR="00087A53" w:rsidP="00687CB6" w14:paraId="67FA62ED" w14:textId="439B8E6F">
      <w:pPr>
        <w:spacing w:line="240" w:lineRule="auto"/>
      </w:pPr>
      <w:r>
        <w:t xml:space="preserve">Eight individuals will be recruited for participation in each of </w:t>
      </w:r>
      <w:r w:rsidR="00273FF1">
        <w:t>six</w:t>
      </w:r>
      <w:r>
        <w:t xml:space="preserve"> focus groups. </w:t>
      </w:r>
      <w:r w:rsidR="00D609A0">
        <w:t xml:space="preserve">The burden table assumes that </w:t>
      </w:r>
      <w:r w:rsidRPr="00087A53" w:rsidR="00D609A0">
        <w:t>10</w:t>
      </w:r>
      <w:r w:rsidR="00D609A0">
        <w:t xml:space="preserve"> respondents will be screened for </w:t>
      </w:r>
      <w:r w:rsidR="00D609A0">
        <w:t>every one</w:t>
      </w:r>
      <w:r w:rsidR="00D609A0">
        <w:t xml:space="preserve"> successfully recruited and scheduled for a focus </w:t>
      </w:r>
      <w:r w:rsidRPr="00087A53" w:rsidR="00D609A0">
        <w:t xml:space="preserve">group. (This one in ten rate is relatively high because sampling is conducted from within a panel of individuals already opted in surveys, focus groups, and interviews. </w:t>
      </w:r>
      <w:r w:rsidRPr="00087A53" w:rsidR="00D609A0">
        <w:t>Each individual</w:t>
      </w:r>
      <w:r w:rsidRPr="00087A53" w:rsidR="00D609A0">
        <w:t xml:space="preserve"> also has a preexisting demographic profile that makes targeting recruitment much more efficient.)</w:t>
      </w:r>
      <w:r w:rsidR="00D609A0">
        <w:t xml:space="preserve"> </w:t>
      </w:r>
    </w:p>
    <w:p w:rsidR="00D609A0" w:rsidP="00687CB6" w14:paraId="5600D24F" w14:textId="2F2920FA">
      <w:pPr>
        <w:spacing w:line="240" w:lineRule="auto"/>
      </w:pPr>
      <w:r>
        <w:t xml:space="preserve">The burden table assumes screening will take 5 minutes per person, and the consent form will take an additional 5 minutes for those </w:t>
      </w:r>
      <w:r w:rsidR="00273FF1">
        <w:t>48</w:t>
      </w:r>
      <w:r w:rsidR="00087A53">
        <w:t xml:space="preserve"> total</w:t>
      </w:r>
      <w:r>
        <w:t xml:space="preserve"> individuals who are successfully recruited. Focus groups last 90 minutes</w:t>
      </w:r>
      <w:r w:rsidR="00087A53">
        <w:t>, or 1.5 hours</w:t>
      </w:r>
      <w:r>
        <w:t>.</w:t>
      </w:r>
    </w:p>
    <w:p w:rsidR="00D609A0" w:rsidRPr="00941542" w:rsidP="002F2334" w14:paraId="0DF3372A" w14:textId="77777777">
      <w:pPr>
        <w:pStyle w:val="BodyText1"/>
        <w:spacing w:after="0"/>
        <w:jc w:val="both"/>
        <w:rPr>
          <w:i/>
        </w:rPr>
      </w:pPr>
      <w:r>
        <w:rPr>
          <w:i/>
        </w:rPr>
        <w:t>Table 1. Annualized Burden</w:t>
      </w:r>
    </w:p>
    <w:tbl>
      <w:tblPr>
        <w:tblStyle w:val="TableGrid1"/>
        <w:tblW w:w="9496" w:type="dxa"/>
        <w:tblLook w:val="04A0"/>
      </w:tblPr>
      <w:tblGrid>
        <w:gridCol w:w="1500"/>
        <w:gridCol w:w="2145"/>
        <w:gridCol w:w="1546"/>
        <w:gridCol w:w="1515"/>
        <w:gridCol w:w="1330"/>
        <w:gridCol w:w="1460"/>
      </w:tblGrid>
      <w:tr w14:paraId="5FF8C991" w14:textId="77777777" w:rsidTr="5DA6442E">
        <w:tblPrEx>
          <w:tblW w:w="9496" w:type="dxa"/>
          <w:tblLook w:val="04A0"/>
        </w:tblPrEx>
        <w:trPr>
          <w:trHeight w:val="1133"/>
        </w:trPr>
        <w:tc>
          <w:tcPr>
            <w:tcW w:w="1500" w:type="dxa"/>
            <w:vAlign w:val="center"/>
          </w:tcPr>
          <w:p w:rsidR="00D609A0" w:rsidRPr="004028A0" w:rsidP="002F2334" w14:paraId="46980845" w14:textId="77777777">
            <w:pPr>
              <w:rPr>
                <w:rFonts w:eastAsia="Times New Roman"/>
                <w:szCs w:val="24"/>
              </w:rPr>
            </w:pPr>
            <w:r w:rsidRPr="004028A0">
              <w:rPr>
                <w:rFonts w:eastAsia="Times New Roman"/>
                <w:b/>
                <w:szCs w:val="24"/>
              </w:rPr>
              <w:t>Type of Respondent</w:t>
            </w:r>
          </w:p>
        </w:tc>
        <w:tc>
          <w:tcPr>
            <w:tcW w:w="2145" w:type="dxa"/>
            <w:vAlign w:val="center"/>
          </w:tcPr>
          <w:p w:rsidR="00D609A0" w:rsidRPr="00864E3D" w:rsidP="002F2334" w14:paraId="518219E1" w14:textId="77777777">
            <w:pPr>
              <w:rPr>
                <w:rFonts w:eastAsia="Times New Roman"/>
                <w:szCs w:val="24"/>
              </w:rPr>
            </w:pPr>
            <w:r w:rsidRPr="00864E3D">
              <w:rPr>
                <w:rFonts w:eastAsia="Times New Roman"/>
                <w:b/>
                <w:szCs w:val="24"/>
              </w:rPr>
              <w:t>Form Name</w:t>
            </w:r>
          </w:p>
        </w:tc>
        <w:tc>
          <w:tcPr>
            <w:tcW w:w="1546" w:type="dxa"/>
            <w:vAlign w:val="center"/>
          </w:tcPr>
          <w:p w:rsidR="00D609A0" w:rsidRPr="00864E3D" w:rsidP="002F2334" w14:paraId="0727AC47" w14:textId="77777777">
            <w:pPr>
              <w:jc w:val="center"/>
              <w:rPr>
                <w:rFonts w:eastAsia="Times New Roman"/>
                <w:szCs w:val="24"/>
              </w:rPr>
            </w:pPr>
            <w:r w:rsidRPr="00864E3D">
              <w:rPr>
                <w:rFonts w:eastAsia="Times New Roman"/>
                <w:b/>
                <w:szCs w:val="24"/>
              </w:rPr>
              <w:t>No. of Respondents</w:t>
            </w:r>
          </w:p>
        </w:tc>
        <w:tc>
          <w:tcPr>
            <w:tcW w:w="1515" w:type="dxa"/>
            <w:vAlign w:val="center"/>
          </w:tcPr>
          <w:p w:rsidR="00D609A0" w:rsidRPr="00864E3D" w:rsidP="002F2334" w14:paraId="1808C39D" w14:textId="77777777">
            <w:pPr>
              <w:jc w:val="center"/>
              <w:rPr>
                <w:rFonts w:eastAsia="Times New Roman"/>
                <w:szCs w:val="24"/>
              </w:rPr>
            </w:pPr>
            <w:r w:rsidRPr="00864E3D">
              <w:rPr>
                <w:rFonts w:eastAsia="Times New Roman"/>
                <w:b/>
                <w:szCs w:val="24"/>
              </w:rPr>
              <w:t>No. of Responses per Respondent</w:t>
            </w:r>
          </w:p>
        </w:tc>
        <w:tc>
          <w:tcPr>
            <w:tcW w:w="1330" w:type="dxa"/>
            <w:vAlign w:val="center"/>
          </w:tcPr>
          <w:p w:rsidR="00D609A0" w:rsidRPr="00864E3D" w:rsidP="002F2334" w14:paraId="23450AC5" w14:textId="77777777">
            <w:pPr>
              <w:jc w:val="center"/>
              <w:rPr>
                <w:rFonts w:eastAsia="Times New Roman"/>
                <w:szCs w:val="24"/>
              </w:rPr>
            </w:pPr>
            <w:r w:rsidRPr="00864E3D">
              <w:rPr>
                <w:rFonts w:eastAsia="Times New Roman"/>
                <w:b/>
                <w:szCs w:val="24"/>
              </w:rPr>
              <w:t>Average Burden Per Response (hours)</w:t>
            </w:r>
          </w:p>
        </w:tc>
        <w:tc>
          <w:tcPr>
            <w:tcW w:w="1460" w:type="dxa"/>
            <w:vAlign w:val="center"/>
          </w:tcPr>
          <w:p w:rsidR="00D609A0" w:rsidRPr="00864E3D" w:rsidP="002F2334" w14:paraId="2ABAEBE7" w14:textId="77777777">
            <w:pPr>
              <w:jc w:val="center"/>
              <w:rPr>
                <w:rFonts w:eastAsia="Times New Roman"/>
                <w:szCs w:val="24"/>
              </w:rPr>
            </w:pPr>
            <w:r w:rsidRPr="00864E3D">
              <w:rPr>
                <w:rFonts w:eastAsia="Times New Roman"/>
                <w:b/>
                <w:szCs w:val="24"/>
              </w:rPr>
              <w:t>Total Burden Hours</w:t>
            </w:r>
          </w:p>
        </w:tc>
      </w:tr>
      <w:tr w14:paraId="4A22109D" w14:textId="77777777" w:rsidTr="5DA6442E">
        <w:tblPrEx>
          <w:tblW w:w="9496" w:type="dxa"/>
          <w:tblLook w:val="04A0"/>
        </w:tblPrEx>
        <w:tc>
          <w:tcPr>
            <w:tcW w:w="1500" w:type="dxa"/>
            <w:vMerge w:val="restart"/>
            <w:vAlign w:val="center"/>
          </w:tcPr>
          <w:p w:rsidR="00D609A0" w:rsidRPr="004028A0" w:rsidP="00165CBA" w14:paraId="6659B8E8" w14:textId="4CB1A6AD">
            <w:pPr>
              <w:rPr>
                <w:rFonts w:eastAsia="Calibri"/>
                <w:szCs w:val="24"/>
              </w:rPr>
            </w:pPr>
            <w:r>
              <w:rPr>
                <w:rFonts w:eastAsia="Calibri"/>
              </w:rPr>
              <w:t>Healthcare providers (physicians, PAs, NPs)</w:t>
            </w:r>
            <w:r>
              <w:rPr>
                <w:rFonts w:eastAsia="Calibri"/>
              </w:rPr>
              <w:t xml:space="preserve"> </w:t>
            </w:r>
          </w:p>
        </w:tc>
        <w:tc>
          <w:tcPr>
            <w:tcW w:w="2145" w:type="dxa"/>
            <w:vAlign w:val="center"/>
          </w:tcPr>
          <w:p w:rsidR="00D609A0" w:rsidRPr="00687201" w:rsidP="002F2334" w14:paraId="1B179871" w14:textId="77777777">
            <w:pPr>
              <w:rPr>
                <w:rFonts w:eastAsia="Calibri"/>
                <w:szCs w:val="24"/>
              </w:rPr>
            </w:pPr>
            <w:r w:rsidRPr="00687201">
              <w:rPr>
                <w:rFonts w:eastAsia="Calibri"/>
              </w:rPr>
              <w:t>Screener</w:t>
            </w:r>
          </w:p>
        </w:tc>
        <w:tc>
          <w:tcPr>
            <w:tcW w:w="1546" w:type="dxa"/>
            <w:shd w:val="clear" w:color="auto" w:fill="auto"/>
            <w:vAlign w:val="center"/>
          </w:tcPr>
          <w:p w:rsidR="00D609A0" w:rsidRPr="00687201" w:rsidP="002F2334" w14:paraId="733FD9B3" w14:textId="6B29811F">
            <w:pPr>
              <w:jc w:val="center"/>
              <w:rPr>
                <w:rFonts w:eastAsia="Calibri"/>
                <w:szCs w:val="24"/>
              </w:rPr>
            </w:pPr>
            <w:r>
              <w:rPr>
                <w:rFonts w:eastAsia="Calibri"/>
              </w:rPr>
              <w:t>480</w:t>
            </w:r>
          </w:p>
        </w:tc>
        <w:tc>
          <w:tcPr>
            <w:tcW w:w="1515" w:type="dxa"/>
            <w:vAlign w:val="center"/>
          </w:tcPr>
          <w:p w:rsidR="00D609A0" w:rsidRPr="00687201" w:rsidP="002F2334" w14:paraId="738FA022" w14:textId="77777777">
            <w:pPr>
              <w:jc w:val="center"/>
              <w:rPr>
                <w:rFonts w:eastAsia="Calibri"/>
                <w:szCs w:val="24"/>
              </w:rPr>
            </w:pPr>
            <w:r w:rsidRPr="00687201">
              <w:rPr>
                <w:rFonts w:eastAsia="Calibri"/>
              </w:rPr>
              <w:t>1</w:t>
            </w:r>
          </w:p>
        </w:tc>
        <w:tc>
          <w:tcPr>
            <w:tcW w:w="1330" w:type="dxa"/>
            <w:vAlign w:val="center"/>
          </w:tcPr>
          <w:p w:rsidR="00D609A0" w:rsidRPr="00687201" w:rsidP="002F2334" w14:paraId="67FF3F25" w14:textId="77777777">
            <w:pPr>
              <w:jc w:val="center"/>
              <w:rPr>
                <w:rFonts w:eastAsia="Calibri"/>
                <w:szCs w:val="24"/>
              </w:rPr>
            </w:pPr>
            <w:r w:rsidRPr="00687201">
              <w:rPr>
                <w:rFonts w:eastAsia="Calibri"/>
              </w:rPr>
              <w:t>5/60</w:t>
            </w:r>
          </w:p>
        </w:tc>
        <w:tc>
          <w:tcPr>
            <w:tcW w:w="1460" w:type="dxa"/>
            <w:vAlign w:val="center"/>
          </w:tcPr>
          <w:p w:rsidR="00D609A0" w:rsidRPr="00687201" w:rsidP="002F2334" w14:paraId="462665F4" w14:textId="15937480">
            <w:pPr>
              <w:jc w:val="center"/>
              <w:rPr>
                <w:rFonts w:eastAsia="Calibri"/>
                <w:szCs w:val="24"/>
              </w:rPr>
            </w:pPr>
            <w:r>
              <w:rPr>
                <w:rFonts w:eastAsia="Calibri"/>
                <w:szCs w:val="24"/>
              </w:rPr>
              <w:t>40</w:t>
            </w:r>
          </w:p>
        </w:tc>
      </w:tr>
      <w:tr w14:paraId="249F7512" w14:textId="77777777" w:rsidTr="5DA6442E">
        <w:tblPrEx>
          <w:tblW w:w="9496" w:type="dxa"/>
          <w:tblLook w:val="04A0"/>
        </w:tblPrEx>
        <w:tc>
          <w:tcPr>
            <w:tcW w:w="1500" w:type="dxa"/>
            <w:vMerge/>
            <w:vAlign w:val="center"/>
          </w:tcPr>
          <w:p w:rsidR="00D609A0" w:rsidRPr="004028A0" w:rsidP="00165CBA" w14:paraId="01710C3F" w14:textId="77777777">
            <w:pPr>
              <w:rPr>
                <w:rFonts w:eastAsia="Calibri"/>
                <w:szCs w:val="24"/>
              </w:rPr>
            </w:pPr>
          </w:p>
        </w:tc>
        <w:tc>
          <w:tcPr>
            <w:tcW w:w="2145" w:type="dxa"/>
            <w:vAlign w:val="center"/>
          </w:tcPr>
          <w:p w:rsidR="00D609A0" w:rsidRPr="00144D4A" w:rsidP="002F2334" w14:paraId="68EF7951" w14:textId="4D245CD3">
            <w:pPr>
              <w:rPr>
                <w:rFonts w:eastAsia="Calibri"/>
                <w:szCs w:val="24"/>
              </w:rPr>
            </w:pPr>
            <w:r>
              <w:rPr>
                <w:rFonts w:eastAsia="Calibri"/>
              </w:rPr>
              <w:t xml:space="preserve">Focus Group </w:t>
            </w:r>
            <w:r w:rsidRPr="00144D4A">
              <w:rPr>
                <w:rFonts w:eastAsia="Calibri"/>
              </w:rPr>
              <w:t>Guide</w:t>
            </w:r>
            <w:r w:rsidR="00087A53">
              <w:rPr>
                <w:rFonts w:eastAsia="Calibri"/>
              </w:rPr>
              <w:t xml:space="preserve"> </w:t>
            </w:r>
            <w:r w:rsidRPr="00165CBA" w:rsidR="00087A53">
              <w:rPr>
                <w:rFonts w:eastAsia="Calibri"/>
                <w:i/>
                <w:iCs/>
              </w:rPr>
              <w:t>(</w:t>
            </w:r>
            <w:r w:rsidR="00165CBA">
              <w:rPr>
                <w:rFonts w:eastAsia="Calibri"/>
                <w:i/>
                <w:iCs/>
              </w:rPr>
              <w:t>FG participation</w:t>
            </w:r>
            <w:r w:rsidRPr="00165CBA" w:rsidR="00087A53">
              <w:rPr>
                <w:rFonts w:eastAsia="Calibri"/>
                <w:i/>
                <w:iCs/>
              </w:rPr>
              <w:t>)</w:t>
            </w:r>
          </w:p>
        </w:tc>
        <w:tc>
          <w:tcPr>
            <w:tcW w:w="1546" w:type="dxa"/>
            <w:vAlign w:val="center"/>
          </w:tcPr>
          <w:p w:rsidR="00D609A0" w:rsidRPr="00144D4A" w:rsidP="002F2334" w14:paraId="460E0D9D" w14:textId="35E06D4C">
            <w:pPr>
              <w:jc w:val="center"/>
              <w:rPr>
                <w:rFonts w:eastAsia="Calibri"/>
                <w:szCs w:val="24"/>
              </w:rPr>
            </w:pPr>
            <w:r>
              <w:rPr>
                <w:rFonts w:eastAsia="Calibri"/>
              </w:rPr>
              <w:t>48</w:t>
            </w:r>
          </w:p>
        </w:tc>
        <w:tc>
          <w:tcPr>
            <w:tcW w:w="1515" w:type="dxa"/>
            <w:vAlign w:val="center"/>
          </w:tcPr>
          <w:p w:rsidR="00D609A0" w:rsidRPr="00144D4A" w:rsidP="002F2334" w14:paraId="242D28A3" w14:textId="77777777">
            <w:pPr>
              <w:jc w:val="center"/>
              <w:rPr>
                <w:rFonts w:eastAsia="Calibri"/>
                <w:szCs w:val="24"/>
              </w:rPr>
            </w:pPr>
            <w:r w:rsidRPr="00144D4A">
              <w:rPr>
                <w:rFonts w:eastAsia="Calibri"/>
              </w:rPr>
              <w:t>1</w:t>
            </w:r>
          </w:p>
        </w:tc>
        <w:tc>
          <w:tcPr>
            <w:tcW w:w="1330" w:type="dxa"/>
            <w:vAlign w:val="center"/>
          </w:tcPr>
          <w:p w:rsidR="00D609A0" w:rsidRPr="00144D4A" w:rsidP="002F2334" w14:paraId="737CBE91" w14:textId="04EAB5F0">
            <w:pPr>
              <w:jc w:val="center"/>
              <w:rPr>
                <w:rFonts w:eastAsia="Calibri"/>
                <w:szCs w:val="24"/>
              </w:rPr>
            </w:pPr>
            <w:r w:rsidRPr="00144D4A">
              <w:rPr>
                <w:rFonts w:eastAsia="Calibri"/>
              </w:rPr>
              <w:t>1</w:t>
            </w:r>
            <w:r w:rsidR="00A82C88">
              <w:rPr>
                <w:rFonts w:eastAsia="Calibri"/>
              </w:rPr>
              <w:t>.5</w:t>
            </w:r>
          </w:p>
        </w:tc>
        <w:tc>
          <w:tcPr>
            <w:tcW w:w="1460" w:type="dxa"/>
            <w:vAlign w:val="center"/>
          </w:tcPr>
          <w:p w:rsidR="00D609A0" w:rsidRPr="006B4E7B" w:rsidP="002F2334" w14:paraId="13A7BA36" w14:textId="182CDA27">
            <w:pPr>
              <w:jc w:val="center"/>
              <w:rPr>
                <w:rFonts w:eastAsia="Calibri"/>
                <w:szCs w:val="24"/>
                <w:highlight w:val="yellow"/>
              </w:rPr>
            </w:pPr>
            <w:r>
              <w:rPr>
                <w:rFonts w:eastAsia="Calibri"/>
                <w:szCs w:val="24"/>
              </w:rPr>
              <w:t>72</w:t>
            </w:r>
          </w:p>
        </w:tc>
      </w:tr>
      <w:tr w14:paraId="534B68F0" w14:textId="77777777" w:rsidTr="5DA6442E">
        <w:tblPrEx>
          <w:tblW w:w="9496" w:type="dxa"/>
          <w:tblLook w:val="04A0"/>
        </w:tblPrEx>
        <w:tc>
          <w:tcPr>
            <w:tcW w:w="1500" w:type="dxa"/>
          </w:tcPr>
          <w:p w:rsidR="00165CBA" w:rsidRPr="004028A0" w:rsidP="00D66240" w14:paraId="538E2935" w14:textId="68A3D30C">
            <w:pPr>
              <w:rPr>
                <w:rFonts w:eastAsia="Calibri"/>
                <w:szCs w:val="24"/>
              </w:rPr>
            </w:pPr>
            <w:r w:rsidRPr="004028A0">
              <w:rPr>
                <w:rFonts w:eastAsia="Calibri"/>
              </w:rPr>
              <w:t>Total</w:t>
            </w:r>
          </w:p>
        </w:tc>
        <w:tc>
          <w:tcPr>
            <w:tcW w:w="6536" w:type="dxa"/>
            <w:gridSpan w:val="4"/>
            <w:vAlign w:val="center"/>
          </w:tcPr>
          <w:p w:rsidR="00165CBA" w:rsidP="00165CBA" w14:paraId="32E47B89" w14:textId="77777777">
            <w:pPr>
              <w:jc w:val="center"/>
              <w:rPr>
                <w:rFonts w:eastAsia="Calibri"/>
              </w:rPr>
            </w:pPr>
          </w:p>
        </w:tc>
        <w:tc>
          <w:tcPr>
            <w:tcW w:w="1460" w:type="dxa"/>
            <w:vAlign w:val="center"/>
          </w:tcPr>
          <w:p w:rsidR="00165CBA" w:rsidP="00165CBA" w14:paraId="02640CCB" w14:textId="6460A265">
            <w:pPr>
              <w:jc w:val="center"/>
              <w:rPr>
                <w:rFonts w:eastAsia="Calibri"/>
              </w:rPr>
            </w:pPr>
            <w:r>
              <w:rPr>
                <w:rFonts w:eastAsia="Calibri"/>
              </w:rPr>
              <w:t>11</w:t>
            </w:r>
            <w:r w:rsidR="00310BDA">
              <w:rPr>
                <w:rFonts w:eastAsia="Calibri"/>
              </w:rPr>
              <w:t>2</w:t>
            </w:r>
          </w:p>
        </w:tc>
      </w:tr>
    </w:tbl>
    <w:p w:rsidR="00D609A0" w:rsidP="002F2334" w14:paraId="2B666649" w14:textId="77777777">
      <w:pPr>
        <w:spacing w:after="0" w:line="240" w:lineRule="auto"/>
        <w:jc w:val="both"/>
        <w:rPr>
          <w:rFonts w:eastAsia="Calibri" w:cs="Times New Roman"/>
        </w:rPr>
      </w:pPr>
    </w:p>
    <w:p w:rsidR="00A82C88" w:rsidP="006969B7" w14:paraId="7647B2D5" w14:textId="07EDF4F6">
      <w:pPr>
        <w:spacing w:line="240" w:lineRule="auto"/>
      </w:pPr>
      <w:r w:rsidRPr="001C646A">
        <w:rPr>
          <w:u w:val="single"/>
        </w:rPr>
        <w:t>B.</w:t>
      </w:r>
      <w:r>
        <w:t xml:space="preserve"> Esti</w:t>
      </w:r>
      <w:r w:rsidR="006969B7">
        <w:t>m</w:t>
      </w:r>
      <w:r>
        <w:t xml:space="preserve">ated Annualized Burden Costs </w:t>
      </w:r>
    </w:p>
    <w:p w:rsidR="009F2F37" w:rsidRPr="00E37291" w:rsidP="00D94DB3" w14:paraId="1CECC1FE" w14:textId="4485D000">
      <w:pPr>
        <w:spacing w:after="0" w:line="240" w:lineRule="auto"/>
        <w:rPr>
          <w:rFonts w:eastAsia="Calibri" w:cs="Times New Roman"/>
        </w:rPr>
      </w:pPr>
      <w:r w:rsidRPr="00F170F4">
        <w:rPr>
          <w:rFonts w:eastAsia="Calibri" w:cs="Times New Roman"/>
        </w:rPr>
        <w:t xml:space="preserve">According to the U.S. Bureau of Labor Statistics (BLS) May 2022 National Occupational Employment and </w:t>
      </w:r>
      <w:r w:rsidRPr="002519D8">
        <w:rPr>
          <w:rFonts w:eastAsia="Calibri" w:cs="Times New Roman"/>
        </w:rPr>
        <w:t xml:space="preserve">Wage Estimates, the </w:t>
      </w:r>
      <w:r w:rsidR="00087A53">
        <w:rPr>
          <w:rFonts w:eastAsia="Calibri" w:cs="Times New Roman"/>
        </w:rPr>
        <w:t>median</w:t>
      </w:r>
      <w:r w:rsidRPr="002519D8">
        <w:rPr>
          <w:rFonts w:eastAsia="Calibri" w:cs="Times New Roman"/>
        </w:rPr>
        <w:t xml:space="preserve"> hourly wage for </w:t>
      </w:r>
      <w:r w:rsidRPr="00087A53">
        <w:rPr>
          <w:rFonts w:eastAsia="Calibri" w:cs="Times New Roman"/>
        </w:rPr>
        <w:t>physicians is $</w:t>
      </w:r>
      <w:r w:rsidRPr="00087A53" w:rsidR="00087A53">
        <w:rPr>
          <w:rFonts w:eastAsia="Calibri" w:cs="Times New Roman"/>
        </w:rPr>
        <w:t>109</w:t>
      </w:r>
      <w:r w:rsidRPr="00087A53">
        <w:rPr>
          <w:rFonts w:eastAsia="Calibri" w:cs="Times New Roman"/>
        </w:rPr>
        <w:t>.</w:t>
      </w:r>
      <w:r w:rsidRPr="00087A53" w:rsidR="00087A53">
        <w:rPr>
          <w:rFonts w:eastAsia="Calibri" w:cs="Times New Roman"/>
        </w:rPr>
        <w:t>22</w:t>
      </w:r>
      <w:r>
        <w:rPr>
          <w:rFonts w:eastAsia="Calibri" w:cs="Times New Roman"/>
        </w:rPr>
        <w:t xml:space="preserve">, the median for physician assistants is $60.58, </w:t>
      </w:r>
      <w:r w:rsidRPr="00E37291">
        <w:rPr>
          <w:rFonts w:eastAsia="Calibri" w:cs="Times New Roman"/>
        </w:rPr>
        <w:t>and the median for nurse practitioners is $58.47. Of the 48 focus group participants, half will be physicians (24 across three physician groups), and one quarter each will be PAs and NPs (12 each across three PA/NP groups). These wages and counts have be</w:t>
      </w:r>
      <w:r w:rsidRPr="00E37291">
        <w:rPr>
          <w:rFonts w:eastAsia="Calibri" w:cs="Times New Roman"/>
        </w:rPr>
        <w:t xml:space="preserve">en used to calculate the cost of participation for the audiences. </w:t>
      </w:r>
    </w:p>
    <w:p w:rsidR="009F2F37" w:rsidRPr="00E37291" w:rsidP="002F2334" w14:paraId="4475B989" w14:textId="77777777">
      <w:pPr>
        <w:spacing w:after="0" w:line="240" w:lineRule="auto"/>
        <w:jc w:val="both"/>
        <w:rPr>
          <w:rFonts w:eastAsia="Calibri" w:cs="Times New Roman"/>
        </w:rPr>
      </w:pPr>
    </w:p>
    <w:p w:rsidR="00A82C88" w:rsidP="002F2334" w14:paraId="37EE3A2F" w14:textId="1540EA56">
      <w:pPr>
        <w:spacing w:after="0" w:line="240" w:lineRule="auto"/>
        <w:jc w:val="both"/>
        <w:rPr>
          <w:rFonts w:eastAsia="Calibri" w:cs="Times New Roman"/>
        </w:rPr>
      </w:pPr>
      <w:r w:rsidRPr="00E37291">
        <w:rPr>
          <w:rFonts w:eastAsia="Calibri" w:cs="Times New Roman"/>
        </w:rPr>
        <w:t>The total estimated cost burden is $</w:t>
      </w:r>
      <w:r w:rsidRPr="00E37291" w:rsidR="00E37291">
        <w:rPr>
          <w:rFonts w:eastAsia="Calibri" w:cs="Times New Roman"/>
        </w:rPr>
        <w:t>9</w:t>
      </w:r>
      <w:r w:rsidRPr="00E37291" w:rsidR="001C646A">
        <w:rPr>
          <w:rFonts w:eastAsia="Calibri" w:cs="Times New Roman"/>
        </w:rPr>
        <w:t>,</w:t>
      </w:r>
      <w:r w:rsidR="00310BDA">
        <w:rPr>
          <w:rFonts w:eastAsia="Calibri" w:cs="Times New Roman"/>
        </w:rPr>
        <w:t>449</w:t>
      </w:r>
      <w:r w:rsidRPr="00E37291" w:rsidR="001C646A">
        <w:rPr>
          <w:rFonts w:eastAsia="Calibri" w:cs="Times New Roman"/>
        </w:rPr>
        <w:t>.</w:t>
      </w:r>
      <w:r w:rsidR="00310BDA">
        <w:rPr>
          <w:rFonts w:eastAsia="Calibri" w:cs="Times New Roman"/>
        </w:rPr>
        <w:t>72</w:t>
      </w:r>
      <w:r w:rsidRPr="00E37291">
        <w:rPr>
          <w:rFonts w:eastAsia="Calibri" w:cs="Times New Roman"/>
        </w:rPr>
        <w:t>.</w:t>
      </w:r>
    </w:p>
    <w:p w:rsidR="00A82C88" w:rsidP="002F2334" w14:paraId="0C67CADB" w14:textId="77777777">
      <w:pPr>
        <w:spacing w:after="0" w:line="240" w:lineRule="auto"/>
        <w:jc w:val="both"/>
        <w:rPr>
          <w:rFonts w:eastAsia="Calibri" w:cs="Times New Roman"/>
        </w:rPr>
      </w:pPr>
    </w:p>
    <w:p w:rsidR="00A82C88" w:rsidRPr="00941542" w:rsidP="002F2334" w14:paraId="1A9A1381" w14:textId="1866E8E1">
      <w:pPr>
        <w:pStyle w:val="BodyText1"/>
        <w:spacing w:after="0"/>
        <w:jc w:val="both"/>
        <w:rPr>
          <w:i/>
        </w:rPr>
      </w:pPr>
      <w:r>
        <w:rPr>
          <w:i/>
        </w:rPr>
        <w:t xml:space="preserve">Table </w:t>
      </w:r>
      <w:r>
        <w:rPr>
          <w:i/>
          <w:lang w:val="en-US"/>
        </w:rPr>
        <w:t>2</w:t>
      </w:r>
      <w:r>
        <w:rPr>
          <w:i/>
        </w:rPr>
        <w:t xml:space="preserve">. </w:t>
      </w:r>
      <w:r>
        <w:rPr>
          <w:rFonts w:cs="Times New Roman"/>
          <w:i/>
        </w:rPr>
        <w:t>Cost burden associated with information collection</w:t>
      </w:r>
    </w:p>
    <w:tbl>
      <w:tblPr>
        <w:tblStyle w:val="TableGrid1"/>
        <w:tblW w:w="9471" w:type="dxa"/>
        <w:tblLook w:val="04A0"/>
      </w:tblPr>
      <w:tblGrid>
        <w:gridCol w:w="1839"/>
        <w:gridCol w:w="2592"/>
        <w:gridCol w:w="1728"/>
        <w:gridCol w:w="1728"/>
        <w:gridCol w:w="1584"/>
      </w:tblGrid>
      <w:tr w14:paraId="06A4E57E" w14:textId="77777777" w:rsidTr="00E903D2">
        <w:tblPrEx>
          <w:tblW w:w="9471" w:type="dxa"/>
          <w:tblLook w:val="04A0"/>
        </w:tblPrEx>
        <w:trPr>
          <w:trHeight w:val="1133"/>
        </w:trPr>
        <w:tc>
          <w:tcPr>
            <w:tcW w:w="1839" w:type="dxa"/>
            <w:vAlign w:val="center"/>
          </w:tcPr>
          <w:p w:rsidR="00A82C88" w:rsidRPr="004028A0" w:rsidP="002F2334" w14:paraId="23EAF602" w14:textId="77777777">
            <w:pPr>
              <w:rPr>
                <w:rFonts w:eastAsia="Times New Roman"/>
                <w:szCs w:val="24"/>
              </w:rPr>
            </w:pPr>
            <w:r w:rsidRPr="004028A0">
              <w:rPr>
                <w:rFonts w:eastAsia="Times New Roman"/>
                <w:b/>
                <w:szCs w:val="24"/>
              </w:rPr>
              <w:t>Type of Respondent</w:t>
            </w:r>
          </w:p>
        </w:tc>
        <w:tc>
          <w:tcPr>
            <w:tcW w:w="2592" w:type="dxa"/>
            <w:vAlign w:val="center"/>
          </w:tcPr>
          <w:p w:rsidR="00A82C88" w:rsidRPr="00864E3D" w:rsidP="002F2334" w14:paraId="07EC82C5" w14:textId="77777777">
            <w:pPr>
              <w:rPr>
                <w:rFonts w:eastAsia="Times New Roman"/>
                <w:szCs w:val="24"/>
              </w:rPr>
            </w:pPr>
            <w:r w:rsidRPr="00864E3D">
              <w:rPr>
                <w:rFonts w:eastAsia="Times New Roman"/>
                <w:b/>
                <w:szCs w:val="24"/>
              </w:rPr>
              <w:t>Form Name</w:t>
            </w:r>
          </w:p>
        </w:tc>
        <w:tc>
          <w:tcPr>
            <w:tcW w:w="1728" w:type="dxa"/>
            <w:vAlign w:val="center"/>
          </w:tcPr>
          <w:p w:rsidR="00A82C88" w:rsidRPr="00864E3D" w:rsidP="002F2334" w14:paraId="17618374" w14:textId="5F5C6E1E">
            <w:pPr>
              <w:jc w:val="center"/>
              <w:rPr>
                <w:rFonts w:eastAsia="Times New Roman"/>
                <w:szCs w:val="24"/>
              </w:rPr>
            </w:pPr>
            <w:r>
              <w:rPr>
                <w:rFonts w:eastAsia="Times New Roman"/>
                <w:b/>
                <w:szCs w:val="24"/>
              </w:rPr>
              <w:t>Total Burden Hours</w:t>
            </w:r>
          </w:p>
        </w:tc>
        <w:tc>
          <w:tcPr>
            <w:tcW w:w="1728" w:type="dxa"/>
            <w:vAlign w:val="center"/>
          </w:tcPr>
          <w:p w:rsidR="00A82C88" w:rsidRPr="00864E3D" w:rsidP="002F2334" w14:paraId="12FCC259" w14:textId="132417ED">
            <w:pPr>
              <w:jc w:val="center"/>
              <w:rPr>
                <w:rFonts w:eastAsia="Times New Roman"/>
                <w:szCs w:val="24"/>
              </w:rPr>
            </w:pPr>
            <w:r>
              <w:rPr>
                <w:rFonts w:eastAsia="Times New Roman"/>
                <w:b/>
                <w:szCs w:val="24"/>
              </w:rPr>
              <w:t>Hourly Wage Rate</w:t>
            </w:r>
          </w:p>
        </w:tc>
        <w:tc>
          <w:tcPr>
            <w:tcW w:w="1584" w:type="dxa"/>
            <w:vAlign w:val="center"/>
          </w:tcPr>
          <w:p w:rsidR="00A82C88" w:rsidRPr="00A82C88" w:rsidP="002F2334" w14:paraId="05B89592" w14:textId="349C681B">
            <w:pPr>
              <w:jc w:val="center"/>
              <w:rPr>
                <w:rFonts w:eastAsia="Times New Roman"/>
                <w:b/>
                <w:bCs/>
                <w:szCs w:val="24"/>
              </w:rPr>
            </w:pPr>
            <w:r w:rsidRPr="00A82C88">
              <w:rPr>
                <w:rFonts w:eastAsia="Times New Roman"/>
                <w:b/>
                <w:bCs/>
                <w:szCs w:val="24"/>
              </w:rPr>
              <w:t>Total Respondent Costs</w:t>
            </w:r>
          </w:p>
        </w:tc>
      </w:tr>
      <w:tr w14:paraId="596735A0" w14:textId="77777777" w:rsidTr="00E903D2">
        <w:tblPrEx>
          <w:tblW w:w="9471" w:type="dxa"/>
          <w:tblLook w:val="04A0"/>
        </w:tblPrEx>
        <w:tc>
          <w:tcPr>
            <w:tcW w:w="1839" w:type="dxa"/>
            <w:vMerge w:val="restart"/>
            <w:vAlign w:val="center"/>
          </w:tcPr>
          <w:p w:rsidR="00D66240" w:rsidRPr="004028A0" w:rsidP="009F2F37" w14:paraId="7F04C6B2" w14:textId="4D2AB3A5">
            <w:pPr>
              <w:rPr>
                <w:rFonts w:eastAsia="Calibri"/>
                <w:szCs w:val="24"/>
              </w:rPr>
            </w:pPr>
            <w:r>
              <w:rPr>
                <w:rFonts w:eastAsia="Calibri"/>
              </w:rPr>
              <w:t>Physicians</w:t>
            </w:r>
          </w:p>
        </w:tc>
        <w:tc>
          <w:tcPr>
            <w:tcW w:w="2592" w:type="dxa"/>
            <w:vAlign w:val="center"/>
          </w:tcPr>
          <w:p w:rsidR="00D66240" w:rsidRPr="00687201" w:rsidP="00D66240" w14:paraId="75479625" w14:textId="77777777">
            <w:pPr>
              <w:rPr>
                <w:rFonts w:eastAsia="Calibri"/>
                <w:szCs w:val="24"/>
              </w:rPr>
            </w:pPr>
            <w:r w:rsidRPr="00687201">
              <w:rPr>
                <w:rFonts w:eastAsia="Calibri"/>
              </w:rPr>
              <w:t>Screener</w:t>
            </w:r>
          </w:p>
        </w:tc>
        <w:tc>
          <w:tcPr>
            <w:tcW w:w="1728" w:type="dxa"/>
            <w:shd w:val="clear" w:color="auto" w:fill="auto"/>
            <w:vAlign w:val="center"/>
          </w:tcPr>
          <w:p w:rsidR="00D66240" w:rsidRPr="00687201" w:rsidP="00D66240" w14:paraId="5657F077" w14:textId="1866D5DA">
            <w:pPr>
              <w:jc w:val="center"/>
              <w:rPr>
                <w:rFonts w:eastAsia="Calibri"/>
                <w:szCs w:val="24"/>
              </w:rPr>
            </w:pPr>
            <w:r>
              <w:rPr>
                <w:rFonts w:eastAsia="Calibri"/>
                <w:szCs w:val="24"/>
              </w:rPr>
              <w:t>20</w:t>
            </w:r>
          </w:p>
        </w:tc>
        <w:tc>
          <w:tcPr>
            <w:tcW w:w="1728" w:type="dxa"/>
            <w:vAlign w:val="center"/>
          </w:tcPr>
          <w:p w:rsidR="00D66240" w:rsidRPr="00687201" w:rsidP="00D66240" w14:paraId="06B0FC25" w14:textId="3843B0D8">
            <w:pPr>
              <w:jc w:val="right"/>
              <w:rPr>
                <w:rFonts w:eastAsia="Calibri"/>
                <w:szCs w:val="24"/>
              </w:rPr>
            </w:pPr>
            <w:r>
              <w:rPr>
                <w:rFonts w:eastAsia="Calibri"/>
                <w:szCs w:val="24"/>
              </w:rPr>
              <w:t>$109.22</w:t>
            </w:r>
          </w:p>
        </w:tc>
        <w:tc>
          <w:tcPr>
            <w:tcW w:w="1584" w:type="dxa"/>
            <w:vAlign w:val="center"/>
          </w:tcPr>
          <w:p w:rsidR="00D66240" w:rsidRPr="00687201" w:rsidP="00D66240" w14:paraId="4EC5D508" w14:textId="2FCCF419">
            <w:pPr>
              <w:jc w:val="right"/>
              <w:rPr>
                <w:rFonts w:eastAsia="Calibri"/>
                <w:szCs w:val="24"/>
              </w:rPr>
            </w:pPr>
            <w:r>
              <w:rPr>
                <w:rFonts w:eastAsia="Calibri"/>
                <w:szCs w:val="24"/>
              </w:rPr>
              <w:t>$2,184.40</w:t>
            </w:r>
          </w:p>
        </w:tc>
      </w:tr>
      <w:tr w14:paraId="0FC888DC" w14:textId="77777777" w:rsidTr="00E903D2">
        <w:tblPrEx>
          <w:tblW w:w="9471" w:type="dxa"/>
          <w:tblLook w:val="04A0"/>
        </w:tblPrEx>
        <w:tc>
          <w:tcPr>
            <w:tcW w:w="1839" w:type="dxa"/>
            <w:vMerge/>
            <w:vAlign w:val="center"/>
          </w:tcPr>
          <w:p w:rsidR="00D66240" w:rsidRPr="004028A0" w:rsidP="009F2F37" w14:paraId="0FFC860E" w14:textId="77777777">
            <w:pPr>
              <w:rPr>
                <w:rFonts w:eastAsia="Calibri"/>
                <w:szCs w:val="24"/>
              </w:rPr>
            </w:pPr>
          </w:p>
        </w:tc>
        <w:tc>
          <w:tcPr>
            <w:tcW w:w="2592" w:type="dxa"/>
            <w:vAlign w:val="center"/>
          </w:tcPr>
          <w:p w:rsidR="00D66240" w:rsidP="00D66240" w14:paraId="166928DA" w14:textId="77777777">
            <w:pPr>
              <w:rPr>
                <w:rFonts w:eastAsia="Calibri"/>
              </w:rPr>
            </w:pPr>
            <w:r>
              <w:rPr>
                <w:rFonts w:eastAsia="Calibri"/>
              </w:rPr>
              <w:t xml:space="preserve">Focus Group </w:t>
            </w:r>
            <w:r w:rsidRPr="00144D4A">
              <w:rPr>
                <w:rFonts w:eastAsia="Calibri"/>
              </w:rPr>
              <w:t>Guide</w:t>
            </w:r>
            <w:r>
              <w:rPr>
                <w:rFonts w:eastAsia="Calibri"/>
              </w:rPr>
              <w:t xml:space="preserve"> </w:t>
            </w:r>
          </w:p>
          <w:p w:rsidR="00D66240" w:rsidRPr="00144D4A" w:rsidP="00D66240" w14:paraId="65AF8A25" w14:textId="1F40DCF3">
            <w:pPr>
              <w:rPr>
                <w:rFonts w:eastAsia="Calibri"/>
                <w:szCs w:val="24"/>
              </w:rPr>
            </w:pPr>
            <w:r w:rsidRPr="00165CBA">
              <w:rPr>
                <w:rFonts w:eastAsia="Calibri"/>
                <w:i/>
                <w:iCs/>
              </w:rPr>
              <w:t>(</w:t>
            </w:r>
            <w:r>
              <w:rPr>
                <w:rFonts w:eastAsia="Calibri"/>
                <w:i/>
                <w:iCs/>
              </w:rPr>
              <w:t>FG participation</w:t>
            </w:r>
            <w:r w:rsidRPr="00165CBA">
              <w:rPr>
                <w:rFonts w:eastAsia="Calibri"/>
                <w:i/>
                <w:iCs/>
              </w:rPr>
              <w:t>)</w:t>
            </w:r>
          </w:p>
        </w:tc>
        <w:tc>
          <w:tcPr>
            <w:tcW w:w="1728" w:type="dxa"/>
            <w:vAlign w:val="center"/>
          </w:tcPr>
          <w:p w:rsidR="00D66240" w:rsidRPr="00144D4A" w:rsidP="00D66240" w14:paraId="1A539D16" w14:textId="4ECE840F">
            <w:pPr>
              <w:jc w:val="center"/>
              <w:rPr>
                <w:rFonts w:eastAsia="Calibri"/>
                <w:szCs w:val="24"/>
              </w:rPr>
            </w:pPr>
            <w:r>
              <w:rPr>
                <w:rFonts w:eastAsia="Calibri"/>
                <w:szCs w:val="24"/>
              </w:rPr>
              <w:t>36</w:t>
            </w:r>
          </w:p>
        </w:tc>
        <w:tc>
          <w:tcPr>
            <w:tcW w:w="1728" w:type="dxa"/>
            <w:vAlign w:val="center"/>
          </w:tcPr>
          <w:p w:rsidR="00D66240" w:rsidRPr="00144D4A" w:rsidP="00D66240" w14:paraId="14BE2132" w14:textId="226D2AC5">
            <w:pPr>
              <w:jc w:val="right"/>
              <w:rPr>
                <w:rFonts w:eastAsia="Calibri"/>
                <w:szCs w:val="24"/>
              </w:rPr>
            </w:pPr>
            <w:r>
              <w:rPr>
                <w:rFonts w:eastAsia="Calibri"/>
                <w:szCs w:val="24"/>
              </w:rPr>
              <w:t>$109.22</w:t>
            </w:r>
          </w:p>
        </w:tc>
        <w:tc>
          <w:tcPr>
            <w:tcW w:w="1584" w:type="dxa"/>
            <w:vAlign w:val="center"/>
          </w:tcPr>
          <w:p w:rsidR="00D66240" w:rsidRPr="00144D4A" w:rsidP="00D66240" w14:paraId="5D0C4A96" w14:textId="17286BC7">
            <w:pPr>
              <w:jc w:val="right"/>
              <w:rPr>
                <w:rFonts w:eastAsia="Calibri"/>
                <w:szCs w:val="24"/>
              </w:rPr>
            </w:pPr>
            <w:r>
              <w:rPr>
                <w:rFonts w:eastAsia="Calibri"/>
                <w:szCs w:val="24"/>
              </w:rPr>
              <w:t>$3,931.92</w:t>
            </w:r>
          </w:p>
        </w:tc>
      </w:tr>
      <w:tr w14:paraId="180F6816" w14:textId="77777777" w:rsidTr="00E903D2">
        <w:tblPrEx>
          <w:tblW w:w="9471" w:type="dxa"/>
          <w:tblLook w:val="04A0"/>
        </w:tblPrEx>
        <w:tc>
          <w:tcPr>
            <w:tcW w:w="1839" w:type="dxa"/>
            <w:vMerge w:val="restart"/>
            <w:vAlign w:val="center"/>
          </w:tcPr>
          <w:p w:rsidR="00D66240" w:rsidRPr="004028A0" w:rsidP="009F2F37" w14:paraId="1B372070" w14:textId="440FCC54">
            <w:pPr>
              <w:rPr>
                <w:rFonts w:eastAsia="Calibri"/>
                <w:szCs w:val="24"/>
              </w:rPr>
            </w:pPr>
            <w:r>
              <w:rPr>
                <w:rFonts w:eastAsia="Calibri"/>
                <w:szCs w:val="24"/>
              </w:rPr>
              <w:t>Physician Assistants</w:t>
            </w:r>
          </w:p>
        </w:tc>
        <w:tc>
          <w:tcPr>
            <w:tcW w:w="2592" w:type="dxa"/>
            <w:vAlign w:val="center"/>
          </w:tcPr>
          <w:p w:rsidR="00D66240" w:rsidP="00D66240" w14:paraId="2CE42B3A" w14:textId="77777777">
            <w:pPr>
              <w:rPr>
                <w:rFonts w:eastAsia="Calibri"/>
              </w:rPr>
            </w:pPr>
            <w:r w:rsidRPr="00687201">
              <w:rPr>
                <w:rFonts w:eastAsia="Calibri"/>
              </w:rPr>
              <w:t>Screener</w:t>
            </w:r>
          </w:p>
        </w:tc>
        <w:tc>
          <w:tcPr>
            <w:tcW w:w="1728" w:type="dxa"/>
            <w:vAlign w:val="center"/>
          </w:tcPr>
          <w:p w:rsidR="00D66240" w:rsidP="00D66240" w14:paraId="485B0EEF" w14:textId="7F2EB535">
            <w:pPr>
              <w:jc w:val="center"/>
              <w:rPr>
                <w:rFonts w:eastAsia="Calibri"/>
              </w:rPr>
            </w:pPr>
            <w:r>
              <w:rPr>
                <w:rFonts w:eastAsia="Calibri"/>
              </w:rPr>
              <w:t>10</w:t>
            </w:r>
          </w:p>
        </w:tc>
        <w:tc>
          <w:tcPr>
            <w:tcW w:w="1728" w:type="dxa"/>
            <w:vAlign w:val="center"/>
          </w:tcPr>
          <w:p w:rsidR="00D66240" w:rsidRPr="00144D4A" w:rsidP="00D66240" w14:paraId="6858CFDF" w14:textId="677296BA">
            <w:pPr>
              <w:jc w:val="right"/>
              <w:rPr>
                <w:rFonts w:eastAsia="Calibri"/>
              </w:rPr>
            </w:pPr>
            <w:r>
              <w:rPr>
                <w:rFonts w:eastAsia="Calibri"/>
              </w:rPr>
              <w:t>$60.58</w:t>
            </w:r>
          </w:p>
        </w:tc>
        <w:tc>
          <w:tcPr>
            <w:tcW w:w="1584" w:type="dxa"/>
            <w:vAlign w:val="center"/>
          </w:tcPr>
          <w:p w:rsidR="00D66240" w:rsidRPr="00144D4A" w:rsidP="00D66240" w14:paraId="322B912D" w14:textId="18827FA8">
            <w:pPr>
              <w:jc w:val="right"/>
              <w:rPr>
                <w:rFonts w:eastAsia="Calibri"/>
              </w:rPr>
            </w:pPr>
            <w:r>
              <w:rPr>
                <w:rFonts w:eastAsia="Calibri"/>
              </w:rPr>
              <w:t>$605.80</w:t>
            </w:r>
          </w:p>
        </w:tc>
      </w:tr>
      <w:tr w14:paraId="3C88022A" w14:textId="77777777" w:rsidTr="00E903D2">
        <w:tblPrEx>
          <w:tblW w:w="9471" w:type="dxa"/>
          <w:tblLook w:val="04A0"/>
        </w:tblPrEx>
        <w:tc>
          <w:tcPr>
            <w:tcW w:w="1839" w:type="dxa"/>
            <w:vMerge/>
            <w:vAlign w:val="center"/>
          </w:tcPr>
          <w:p w:rsidR="00E37291" w:rsidRPr="004028A0" w:rsidP="00E37291" w14:paraId="7476E553" w14:textId="77777777">
            <w:pPr>
              <w:rPr>
                <w:rFonts w:eastAsia="Calibri"/>
                <w:szCs w:val="24"/>
              </w:rPr>
            </w:pPr>
          </w:p>
        </w:tc>
        <w:tc>
          <w:tcPr>
            <w:tcW w:w="2592" w:type="dxa"/>
            <w:vAlign w:val="center"/>
          </w:tcPr>
          <w:p w:rsidR="00E37291" w:rsidP="00E37291" w14:paraId="4AA55B09" w14:textId="77777777">
            <w:pPr>
              <w:rPr>
                <w:rFonts w:eastAsia="Calibri"/>
              </w:rPr>
            </w:pPr>
            <w:r>
              <w:rPr>
                <w:rFonts w:eastAsia="Calibri"/>
              </w:rPr>
              <w:t xml:space="preserve">Focus Group </w:t>
            </w:r>
            <w:r w:rsidRPr="00144D4A">
              <w:rPr>
                <w:rFonts w:eastAsia="Calibri"/>
              </w:rPr>
              <w:t>Guide</w:t>
            </w:r>
            <w:r>
              <w:rPr>
                <w:rFonts w:eastAsia="Calibri"/>
              </w:rPr>
              <w:t xml:space="preserve"> </w:t>
            </w:r>
          </w:p>
          <w:p w:rsidR="00E37291" w:rsidP="00E37291" w14:paraId="10489119" w14:textId="5B50ED1D">
            <w:pPr>
              <w:rPr>
                <w:rFonts w:eastAsia="Calibri"/>
              </w:rPr>
            </w:pPr>
            <w:r w:rsidRPr="00165CBA">
              <w:rPr>
                <w:rFonts w:eastAsia="Calibri"/>
                <w:i/>
                <w:iCs/>
              </w:rPr>
              <w:t>(</w:t>
            </w:r>
            <w:r>
              <w:rPr>
                <w:rFonts w:eastAsia="Calibri"/>
                <w:i/>
                <w:iCs/>
              </w:rPr>
              <w:t>FG participation</w:t>
            </w:r>
            <w:r w:rsidRPr="00165CBA">
              <w:rPr>
                <w:rFonts w:eastAsia="Calibri"/>
                <w:i/>
                <w:iCs/>
              </w:rPr>
              <w:t>)</w:t>
            </w:r>
          </w:p>
        </w:tc>
        <w:tc>
          <w:tcPr>
            <w:tcW w:w="1728" w:type="dxa"/>
            <w:vAlign w:val="center"/>
          </w:tcPr>
          <w:p w:rsidR="00E37291" w:rsidP="00E37291" w14:paraId="4AF32DF2" w14:textId="6FB7EDE5">
            <w:pPr>
              <w:jc w:val="center"/>
              <w:rPr>
                <w:rFonts w:eastAsia="Calibri"/>
              </w:rPr>
            </w:pPr>
            <w:r>
              <w:rPr>
                <w:rFonts w:eastAsia="Calibri"/>
              </w:rPr>
              <w:t>18</w:t>
            </w:r>
          </w:p>
        </w:tc>
        <w:tc>
          <w:tcPr>
            <w:tcW w:w="1728" w:type="dxa"/>
            <w:vAlign w:val="center"/>
          </w:tcPr>
          <w:p w:rsidR="00E37291" w:rsidRPr="00144D4A" w:rsidP="00E37291" w14:paraId="6E3669CA" w14:textId="613ACA57">
            <w:pPr>
              <w:jc w:val="right"/>
              <w:rPr>
                <w:rFonts w:eastAsia="Calibri"/>
              </w:rPr>
            </w:pPr>
            <w:r>
              <w:rPr>
                <w:rFonts w:eastAsia="Calibri"/>
              </w:rPr>
              <w:t>$60.58</w:t>
            </w:r>
          </w:p>
        </w:tc>
        <w:tc>
          <w:tcPr>
            <w:tcW w:w="1584" w:type="dxa"/>
            <w:vAlign w:val="center"/>
          </w:tcPr>
          <w:p w:rsidR="00E37291" w:rsidRPr="00144D4A" w:rsidP="00E37291" w14:paraId="38855229" w14:textId="70DA51FA">
            <w:pPr>
              <w:jc w:val="right"/>
              <w:rPr>
                <w:rFonts w:eastAsia="Calibri"/>
              </w:rPr>
            </w:pPr>
            <w:r>
              <w:rPr>
                <w:rFonts w:eastAsia="Calibri"/>
              </w:rPr>
              <w:t>$1,090.44</w:t>
            </w:r>
          </w:p>
        </w:tc>
      </w:tr>
      <w:tr w14:paraId="3671B5AE" w14:textId="77777777" w:rsidTr="00E903D2">
        <w:tblPrEx>
          <w:tblW w:w="9471" w:type="dxa"/>
          <w:tblLook w:val="04A0"/>
        </w:tblPrEx>
        <w:tc>
          <w:tcPr>
            <w:tcW w:w="1839" w:type="dxa"/>
            <w:vMerge w:val="restart"/>
            <w:vAlign w:val="center"/>
          </w:tcPr>
          <w:p w:rsidR="00E37291" w:rsidRPr="004028A0" w:rsidP="00E37291" w14:paraId="07FF6284" w14:textId="4E918ABF">
            <w:pPr>
              <w:rPr>
                <w:rFonts w:eastAsia="Calibri"/>
                <w:szCs w:val="24"/>
              </w:rPr>
            </w:pPr>
            <w:r>
              <w:rPr>
                <w:rFonts w:eastAsia="Calibri"/>
                <w:szCs w:val="24"/>
              </w:rPr>
              <w:t>Nurse Practitioners</w:t>
            </w:r>
          </w:p>
        </w:tc>
        <w:tc>
          <w:tcPr>
            <w:tcW w:w="2592" w:type="dxa"/>
            <w:vAlign w:val="center"/>
          </w:tcPr>
          <w:p w:rsidR="00E37291" w:rsidP="00E37291" w14:paraId="6B73040B" w14:textId="21875A03">
            <w:pPr>
              <w:rPr>
                <w:rFonts w:eastAsia="Calibri"/>
              </w:rPr>
            </w:pPr>
            <w:r w:rsidRPr="00687201">
              <w:rPr>
                <w:rFonts w:eastAsia="Calibri"/>
              </w:rPr>
              <w:t>Screener</w:t>
            </w:r>
          </w:p>
        </w:tc>
        <w:tc>
          <w:tcPr>
            <w:tcW w:w="1728" w:type="dxa"/>
            <w:vAlign w:val="center"/>
          </w:tcPr>
          <w:p w:rsidR="00E37291" w:rsidP="00E37291" w14:paraId="366F0CA3" w14:textId="50F1AD46">
            <w:pPr>
              <w:jc w:val="center"/>
              <w:rPr>
                <w:rFonts w:eastAsia="Calibri"/>
              </w:rPr>
            </w:pPr>
            <w:r>
              <w:rPr>
                <w:rFonts w:eastAsia="Calibri"/>
              </w:rPr>
              <w:t>10</w:t>
            </w:r>
          </w:p>
        </w:tc>
        <w:tc>
          <w:tcPr>
            <w:tcW w:w="1728" w:type="dxa"/>
            <w:vAlign w:val="center"/>
          </w:tcPr>
          <w:p w:rsidR="00E37291" w:rsidP="00E37291" w14:paraId="5D449FC1" w14:textId="7DA71A42">
            <w:pPr>
              <w:jc w:val="right"/>
              <w:rPr>
                <w:rFonts w:eastAsia="Calibri"/>
              </w:rPr>
            </w:pPr>
            <w:r>
              <w:rPr>
                <w:rFonts w:eastAsia="Calibri"/>
              </w:rPr>
              <w:t>$58.47</w:t>
            </w:r>
          </w:p>
        </w:tc>
        <w:tc>
          <w:tcPr>
            <w:tcW w:w="1584" w:type="dxa"/>
            <w:vAlign w:val="center"/>
          </w:tcPr>
          <w:p w:rsidR="00E37291" w:rsidP="00E37291" w14:paraId="2CB1A773" w14:textId="606FE995">
            <w:pPr>
              <w:jc w:val="right"/>
              <w:rPr>
                <w:rFonts w:eastAsia="Calibri"/>
              </w:rPr>
            </w:pPr>
            <w:r>
              <w:rPr>
                <w:rFonts w:eastAsia="Calibri"/>
              </w:rPr>
              <w:t>$584.70</w:t>
            </w:r>
          </w:p>
        </w:tc>
      </w:tr>
      <w:tr w14:paraId="38CF62C3" w14:textId="77777777" w:rsidTr="00E903D2">
        <w:tblPrEx>
          <w:tblW w:w="9471" w:type="dxa"/>
          <w:tblLook w:val="04A0"/>
        </w:tblPrEx>
        <w:tc>
          <w:tcPr>
            <w:tcW w:w="1839" w:type="dxa"/>
            <w:vMerge/>
            <w:vAlign w:val="center"/>
          </w:tcPr>
          <w:p w:rsidR="00E37291" w:rsidRPr="004028A0" w:rsidP="00E37291" w14:paraId="41BB3737" w14:textId="77777777">
            <w:pPr>
              <w:jc w:val="center"/>
              <w:rPr>
                <w:rFonts w:eastAsia="Calibri"/>
                <w:szCs w:val="24"/>
              </w:rPr>
            </w:pPr>
          </w:p>
        </w:tc>
        <w:tc>
          <w:tcPr>
            <w:tcW w:w="2592" w:type="dxa"/>
            <w:vAlign w:val="center"/>
          </w:tcPr>
          <w:p w:rsidR="00E37291" w:rsidP="00E37291" w14:paraId="491CC628" w14:textId="77777777">
            <w:pPr>
              <w:rPr>
                <w:rFonts w:eastAsia="Calibri"/>
              </w:rPr>
            </w:pPr>
            <w:r>
              <w:rPr>
                <w:rFonts w:eastAsia="Calibri"/>
              </w:rPr>
              <w:t xml:space="preserve">Focus Group </w:t>
            </w:r>
            <w:r w:rsidRPr="00144D4A">
              <w:rPr>
                <w:rFonts w:eastAsia="Calibri"/>
              </w:rPr>
              <w:t>Guide</w:t>
            </w:r>
            <w:r>
              <w:rPr>
                <w:rFonts w:eastAsia="Calibri"/>
              </w:rPr>
              <w:t xml:space="preserve"> </w:t>
            </w:r>
          </w:p>
          <w:p w:rsidR="00E37291" w:rsidP="00E37291" w14:paraId="46420662" w14:textId="6FEAD940">
            <w:pPr>
              <w:rPr>
                <w:rFonts w:eastAsia="Calibri"/>
              </w:rPr>
            </w:pPr>
            <w:r w:rsidRPr="00165CBA">
              <w:rPr>
                <w:rFonts w:eastAsia="Calibri"/>
                <w:i/>
                <w:iCs/>
              </w:rPr>
              <w:t>(</w:t>
            </w:r>
            <w:r>
              <w:rPr>
                <w:rFonts w:eastAsia="Calibri"/>
                <w:i/>
                <w:iCs/>
              </w:rPr>
              <w:t>FG participation</w:t>
            </w:r>
            <w:r w:rsidRPr="00165CBA">
              <w:rPr>
                <w:rFonts w:eastAsia="Calibri"/>
                <w:i/>
                <w:iCs/>
              </w:rPr>
              <w:t>)</w:t>
            </w:r>
          </w:p>
        </w:tc>
        <w:tc>
          <w:tcPr>
            <w:tcW w:w="1728" w:type="dxa"/>
            <w:vAlign w:val="center"/>
          </w:tcPr>
          <w:p w:rsidR="00E37291" w:rsidP="00E37291" w14:paraId="6DFBA96D" w14:textId="3F55D3CB">
            <w:pPr>
              <w:jc w:val="center"/>
              <w:rPr>
                <w:rFonts w:eastAsia="Calibri"/>
              </w:rPr>
            </w:pPr>
            <w:r>
              <w:rPr>
                <w:rFonts w:eastAsia="Calibri"/>
              </w:rPr>
              <w:t>18</w:t>
            </w:r>
          </w:p>
        </w:tc>
        <w:tc>
          <w:tcPr>
            <w:tcW w:w="1728" w:type="dxa"/>
            <w:vAlign w:val="center"/>
          </w:tcPr>
          <w:p w:rsidR="00E37291" w:rsidP="00E37291" w14:paraId="6A9FB3E7" w14:textId="0A322187">
            <w:pPr>
              <w:jc w:val="right"/>
              <w:rPr>
                <w:rFonts w:eastAsia="Calibri"/>
              </w:rPr>
            </w:pPr>
            <w:r>
              <w:rPr>
                <w:rFonts w:eastAsia="Calibri"/>
              </w:rPr>
              <w:t>$58.47</w:t>
            </w:r>
          </w:p>
        </w:tc>
        <w:tc>
          <w:tcPr>
            <w:tcW w:w="1584" w:type="dxa"/>
            <w:vAlign w:val="center"/>
          </w:tcPr>
          <w:p w:rsidR="00E37291" w:rsidP="00E37291" w14:paraId="0BC5A81F" w14:textId="358E60B2">
            <w:pPr>
              <w:jc w:val="right"/>
              <w:rPr>
                <w:rFonts w:eastAsia="Calibri"/>
              </w:rPr>
            </w:pPr>
            <w:r>
              <w:rPr>
                <w:rFonts w:eastAsia="Calibri"/>
              </w:rPr>
              <w:t>$1,052.46</w:t>
            </w:r>
          </w:p>
        </w:tc>
      </w:tr>
      <w:tr w14:paraId="63EFD9AC" w14:textId="77777777">
        <w:tblPrEx>
          <w:tblW w:w="9471" w:type="dxa"/>
          <w:tblLook w:val="04A0"/>
        </w:tblPrEx>
        <w:tc>
          <w:tcPr>
            <w:tcW w:w="1839" w:type="dxa"/>
            <w:vAlign w:val="center"/>
          </w:tcPr>
          <w:p w:rsidR="00E37291" w:rsidRPr="004028A0" w:rsidP="00E37291" w14:paraId="5D0DFD6B" w14:textId="0B7E0693">
            <w:pPr>
              <w:rPr>
                <w:rFonts w:eastAsia="Calibri"/>
                <w:szCs w:val="24"/>
              </w:rPr>
            </w:pPr>
            <w:r>
              <w:rPr>
                <w:rFonts w:eastAsia="Calibri"/>
                <w:szCs w:val="24"/>
              </w:rPr>
              <w:t>Total</w:t>
            </w:r>
          </w:p>
        </w:tc>
        <w:tc>
          <w:tcPr>
            <w:tcW w:w="6048" w:type="dxa"/>
            <w:gridSpan w:val="3"/>
            <w:vAlign w:val="center"/>
          </w:tcPr>
          <w:p w:rsidR="00E37291" w:rsidP="00E37291" w14:paraId="5C6AD38E" w14:textId="77777777">
            <w:pPr>
              <w:jc w:val="right"/>
              <w:rPr>
                <w:rFonts w:eastAsia="Calibri"/>
              </w:rPr>
            </w:pPr>
          </w:p>
        </w:tc>
        <w:tc>
          <w:tcPr>
            <w:tcW w:w="1584" w:type="dxa"/>
            <w:vAlign w:val="center"/>
          </w:tcPr>
          <w:p w:rsidR="00E37291" w:rsidP="00E37291" w14:paraId="0942D4F1" w14:textId="7269230F">
            <w:pPr>
              <w:jc w:val="right"/>
              <w:rPr>
                <w:rFonts w:eastAsia="Calibri"/>
              </w:rPr>
            </w:pPr>
            <w:r>
              <w:rPr>
                <w:rFonts w:eastAsia="Calibri"/>
              </w:rPr>
              <w:t>$9,</w:t>
            </w:r>
            <w:r w:rsidR="00310BDA">
              <w:rPr>
                <w:rFonts w:eastAsia="Calibri"/>
              </w:rPr>
              <w:t>449</w:t>
            </w:r>
            <w:r>
              <w:rPr>
                <w:rFonts w:eastAsia="Calibri"/>
              </w:rPr>
              <w:t>.</w:t>
            </w:r>
            <w:r w:rsidR="00310BDA">
              <w:rPr>
                <w:rFonts w:eastAsia="Calibri"/>
              </w:rPr>
              <w:t>72</w:t>
            </w:r>
          </w:p>
        </w:tc>
      </w:tr>
    </w:tbl>
    <w:p w:rsidR="00D609A0" w:rsidP="001C646A" w14:paraId="266D9BDA" w14:textId="77777777">
      <w:pPr>
        <w:spacing w:after="0" w:line="240" w:lineRule="auto"/>
      </w:pPr>
    </w:p>
    <w:p w:rsidR="004A13E8" w:rsidP="001C646A" w14:paraId="55FE17FE" w14:textId="77777777">
      <w:pPr>
        <w:pStyle w:val="Heading1"/>
      </w:pPr>
      <w:bookmarkStart w:id="13" w:name="_Toc473880029"/>
      <w:r>
        <w:t>Estimates of Other Total Annual Cost Burden to Respondents or Record Keepers</w:t>
      </w:r>
      <w:bookmarkEnd w:id="13"/>
    </w:p>
    <w:p w:rsidR="004A13E8" w:rsidRPr="004A13E8" w:rsidP="002F2334" w14:paraId="55FE1800" w14:textId="00A2EF09">
      <w:pPr>
        <w:spacing w:line="240" w:lineRule="auto"/>
      </w:pPr>
      <w:r>
        <w:t>There are no costs to respondents other than their time to participate.</w:t>
      </w:r>
    </w:p>
    <w:p w:rsidR="004A13E8" w:rsidRPr="00687CB6" w:rsidP="002F2334" w14:paraId="55FE1801" w14:textId="77777777">
      <w:pPr>
        <w:pStyle w:val="Heading1"/>
      </w:pPr>
      <w:bookmarkStart w:id="14" w:name="_Toc473880030"/>
      <w:r w:rsidRPr="00687CB6">
        <w:t>Annualized Cost to the Government</w:t>
      </w:r>
      <w:bookmarkEnd w:id="14"/>
    </w:p>
    <w:p w:rsidR="007E0C99" w:rsidRPr="00687CB6" w:rsidP="00687CB6" w14:paraId="373DCB9F" w14:textId="7139B803">
      <w:pPr>
        <w:spacing w:line="240" w:lineRule="auto"/>
      </w:pPr>
      <w:r w:rsidRPr="00687CB6">
        <w:t>The annualized cost to the Federal Government to collect this information is $</w:t>
      </w:r>
      <w:r w:rsidRPr="00301047" w:rsidR="00301047">
        <w:rPr>
          <w:rFonts w:cs="Times New Roman"/>
        </w:rPr>
        <w:t>125,385</w:t>
      </w:r>
      <w:r w:rsidRPr="00687CB6">
        <w:t xml:space="preserve">. Table 3 below describes the cost in more detail. </w:t>
      </w:r>
    </w:p>
    <w:p w:rsidR="007E0C99" w:rsidRPr="00301047" w:rsidP="00574914" w14:paraId="228C2903" w14:textId="2D47893C">
      <w:pPr>
        <w:spacing w:line="240" w:lineRule="auto"/>
        <w:rPr>
          <w:rFonts w:cs="Times New Roman"/>
        </w:rPr>
      </w:pPr>
      <w:r w:rsidRPr="00687CB6">
        <w:t>Recruiting</w:t>
      </w:r>
      <w:r>
        <w:rPr>
          <w:rFonts w:cs="Times New Roman"/>
        </w:rPr>
        <w:t xml:space="preserve"> and interviewing will be conducted by KRC Research, a contracted firm. KRC’s work includes recruitment, screening, scheduling, management of consent forms, conducting focus groups, transcription and data cleaning, reporting, and presentation. Contractor costs cover the work of an existing team working with </w:t>
      </w:r>
      <w:r w:rsidR="00687CB6">
        <w:rPr>
          <w:rFonts w:cs="Times New Roman"/>
        </w:rPr>
        <w:t>DFWED</w:t>
      </w:r>
      <w:r>
        <w:rPr>
          <w:rFonts w:cs="Times New Roman"/>
        </w:rPr>
        <w:t xml:space="preserve"> on this initiative and include </w:t>
      </w:r>
      <w:r w:rsidR="008710EC">
        <w:rPr>
          <w:rFonts w:cs="Times New Roman"/>
        </w:rPr>
        <w:t>28</w:t>
      </w:r>
      <w:r>
        <w:rPr>
          <w:rFonts w:cs="Times New Roman"/>
        </w:rPr>
        <w:t xml:space="preserve"> hours of labor for a KRC Senior Vice President, </w:t>
      </w:r>
      <w:r w:rsidR="008710EC">
        <w:rPr>
          <w:rFonts w:cs="Times New Roman"/>
        </w:rPr>
        <w:t>36</w:t>
      </w:r>
      <w:r>
        <w:rPr>
          <w:rFonts w:cs="Times New Roman"/>
        </w:rPr>
        <w:t xml:space="preserve"> hours for a Vice President, </w:t>
      </w:r>
      <w:r w:rsidR="00AD4B97">
        <w:rPr>
          <w:rFonts w:cs="Times New Roman"/>
        </w:rPr>
        <w:t>47</w:t>
      </w:r>
      <w:r>
        <w:rPr>
          <w:rFonts w:cs="Times New Roman"/>
        </w:rPr>
        <w:t xml:space="preserve"> hours for an Analyst, and </w:t>
      </w:r>
      <w:r w:rsidR="00AD4B97">
        <w:rPr>
          <w:rFonts w:cs="Times New Roman"/>
        </w:rPr>
        <w:t>21</w:t>
      </w:r>
      <w:r>
        <w:rPr>
          <w:rFonts w:cs="Times New Roman"/>
        </w:rPr>
        <w:t xml:space="preserve"> </w:t>
      </w:r>
      <w:r>
        <w:rPr>
          <w:rFonts w:cs="Times New Roman"/>
        </w:rPr>
        <w:t xml:space="preserve">hours for a Field Vice President (recruitment management tasks). Hours are tabulated based on existing contractor </w:t>
      </w:r>
      <w:r w:rsidRPr="00687CB6">
        <w:t>hourly rates. Contractor expenses are based on competitively bid prices for panel recruitment / screening and transcription, plus cost of ince</w:t>
      </w:r>
      <w:r w:rsidRPr="00301047">
        <w:t>ntives.</w:t>
      </w:r>
    </w:p>
    <w:p w:rsidR="007E0C99" w:rsidRPr="00301047" w:rsidP="00574914" w14:paraId="159C174E" w14:textId="30B012AC">
      <w:pPr>
        <w:spacing w:line="240" w:lineRule="auto"/>
        <w:rPr>
          <w:rFonts w:cs="Times New Roman"/>
        </w:rPr>
      </w:pPr>
      <w:r w:rsidRPr="00301047">
        <w:t>Oversight</w:t>
      </w:r>
      <w:r w:rsidRPr="00301047">
        <w:rPr>
          <w:rFonts w:cs="Times New Roman"/>
        </w:rPr>
        <w:t xml:space="preserve"> and review of all materials and reports will be conducted by </w:t>
      </w:r>
      <w:r w:rsidRPr="00301047" w:rsidR="7F0200A1">
        <w:rPr>
          <w:rFonts w:cs="Times New Roman"/>
        </w:rPr>
        <w:t>two</w:t>
      </w:r>
      <w:r w:rsidRPr="00301047">
        <w:rPr>
          <w:rFonts w:cs="Times New Roman"/>
          <w:b/>
          <w:bCs/>
        </w:rPr>
        <w:t xml:space="preserve"> </w:t>
      </w:r>
      <w:r w:rsidRPr="00301047">
        <w:rPr>
          <w:rFonts w:cs="Times New Roman"/>
        </w:rPr>
        <w:t xml:space="preserve">federal government employees who are </w:t>
      </w:r>
      <w:r w:rsidRPr="00301047" w:rsidR="00DC2D2E">
        <w:rPr>
          <w:rFonts w:cs="Times New Roman"/>
        </w:rPr>
        <w:t>jointly leading</w:t>
      </w:r>
      <w:r w:rsidRPr="00301047">
        <w:rPr>
          <w:rFonts w:cs="Times New Roman"/>
        </w:rPr>
        <w:t xml:space="preserve"> the project. Their work will include providing oversight to KRC Research on the purpose and objectives of the project; guidance and feedback on recruitment, screening, and focus group guide materials; entering the project m</w:t>
      </w:r>
      <w:r w:rsidRPr="416765FC">
        <w:rPr>
          <w:rFonts w:cs="Times New Roman"/>
        </w:rPr>
        <w:t>aterials into CDC’s STARS system for project determination; meeting regularly with KRC Research staff to discuss the project’s progress and answer any questions; reviewing the transcripts and reports; and sharing top</w:t>
      </w:r>
      <w:r w:rsidRPr="00301047">
        <w:rPr>
          <w:rFonts w:cs="Times New Roman"/>
        </w:rPr>
        <w:t xml:space="preserve">line findings with </w:t>
      </w:r>
      <w:r w:rsidRPr="00301047" w:rsidR="00DC2D2E">
        <w:rPr>
          <w:rFonts w:cs="Times New Roman"/>
        </w:rPr>
        <w:t>DFWED</w:t>
      </w:r>
      <w:r w:rsidRPr="00301047">
        <w:rPr>
          <w:rFonts w:cs="Times New Roman"/>
        </w:rPr>
        <w:t xml:space="preserve"> staff so they can use the findings to strengthen communication messages. The estimate includes </w:t>
      </w:r>
      <w:r w:rsidRPr="00301047" w:rsidR="00301047">
        <w:rPr>
          <w:rFonts w:cs="Times New Roman"/>
        </w:rPr>
        <w:t>700</w:t>
      </w:r>
      <w:r w:rsidRPr="00301047">
        <w:rPr>
          <w:rFonts w:cs="Times New Roman"/>
        </w:rPr>
        <w:t xml:space="preserve"> hours for Health communication specialist 1 and </w:t>
      </w:r>
      <w:r w:rsidRPr="00301047" w:rsidR="00301047">
        <w:rPr>
          <w:rFonts w:cs="Times New Roman"/>
        </w:rPr>
        <w:t>500</w:t>
      </w:r>
      <w:r w:rsidRPr="00301047">
        <w:rPr>
          <w:rFonts w:cs="Times New Roman"/>
        </w:rPr>
        <w:t xml:space="preserve"> hours for Health Communication Specialist 2. </w:t>
      </w:r>
    </w:p>
    <w:p w:rsidR="007E0C99" w:rsidRPr="00301047" w:rsidP="00574914" w14:paraId="71372CBB" w14:textId="2A69CC6B">
      <w:pPr>
        <w:spacing w:line="240" w:lineRule="auto"/>
        <w:rPr>
          <w:rFonts w:cs="Times New Roman"/>
        </w:rPr>
      </w:pPr>
      <w:r w:rsidRPr="00301047">
        <w:t>Estimated</w:t>
      </w:r>
      <w:r w:rsidRPr="00301047">
        <w:rPr>
          <w:rFonts w:cs="Times New Roman"/>
        </w:rPr>
        <w:t xml:space="preserve"> federal employee cost is tabulated based on these employees’ current hourly wages (locality-adjusted GS pay table for Atlanta-area workers):</w:t>
      </w:r>
    </w:p>
    <w:p w:rsidR="007E0C99" w:rsidRPr="00301047" w:rsidP="00D832A3" w14:paraId="6CBBE729" w14:textId="3B826E45">
      <w:pPr>
        <w:pStyle w:val="ListParagraph"/>
        <w:numPr>
          <w:ilvl w:val="0"/>
          <w:numId w:val="9"/>
        </w:numPr>
        <w:spacing w:after="0" w:line="240" w:lineRule="auto"/>
        <w:rPr>
          <w:rFonts w:cs="Times New Roman"/>
        </w:rPr>
      </w:pPr>
      <w:r w:rsidRPr="00301047">
        <w:rPr>
          <w:rFonts w:cs="Times New Roman"/>
        </w:rPr>
        <w:t>Health Communication Specialist 1</w:t>
      </w:r>
      <w:r w:rsidRPr="00301047" w:rsidR="4EFB2A6F">
        <w:rPr>
          <w:rFonts w:cs="Times New Roman"/>
        </w:rPr>
        <w:t xml:space="preserve"> (CDC Project Officer)</w:t>
      </w:r>
      <w:r w:rsidRPr="00301047">
        <w:rPr>
          <w:rFonts w:cs="Times New Roman"/>
        </w:rPr>
        <w:t xml:space="preserve">: </w:t>
      </w:r>
      <w:r w:rsidRPr="00301047" w:rsidR="5E4A9A02">
        <w:rPr>
          <w:rFonts w:cs="Times New Roman"/>
        </w:rPr>
        <w:t>700</w:t>
      </w:r>
      <w:r w:rsidRPr="00301047">
        <w:rPr>
          <w:rFonts w:cs="Times New Roman"/>
        </w:rPr>
        <w:t xml:space="preserve"> hours @ $</w:t>
      </w:r>
      <w:r w:rsidRPr="00301047" w:rsidR="4663F614">
        <w:rPr>
          <w:rFonts w:cs="Times New Roman"/>
        </w:rPr>
        <w:t>50</w:t>
      </w:r>
      <w:r w:rsidRPr="00301047">
        <w:rPr>
          <w:rFonts w:cs="Times New Roman"/>
        </w:rPr>
        <w:t>/hour = $</w:t>
      </w:r>
      <w:r w:rsidRPr="00301047" w:rsidR="7C0B631A">
        <w:rPr>
          <w:rFonts w:cs="Times New Roman"/>
        </w:rPr>
        <w:t>35,000</w:t>
      </w:r>
    </w:p>
    <w:p w:rsidR="007E0C99" w:rsidRPr="00301047" w:rsidP="00D832A3" w14:paraId="7F9FF904" w14:textId="28509446">
      <w:pPr>
        <w:pStyle w:val="ListParagraph"/>
        <w:numPr>
          <w:ilvl w:val="0"/>
          <w:numId w:val="9"/>
        </w:numPr>
        <w:spacing w:after="0" w:line="240" w:lineRule="auto"/>
        <w:rPr>
          <w:rFonts w:cs="Times New Roman"/>
        </w:rPr>
      </w:pPr>
      <w:r w:rsidRPr="00301047">
        <w:rPr>
          <w:rFonts w:cs="Times New Roman"/>
        </w:rPr>
        <w:t>Health Communication Specialist 2</w:t>
      </w:r>
      <w:r w:rsidRPr="00301047" w:rsidR="4D7C20F5">
        <w:rPr>
          <w:rFonts w:cs="Times New Roman"/>
        </w:rPr>
        <w:t xml:space="preserve"> (CDC Co-Principal Investigator)</w:t>
      </w:r>
      <w:r w:rsidRPr="00301047">
        <w:rPr>
          <w:rFonts w:cs="Times New Roman"/>
        </w:rPr>
        <w:t xml:space="preserve">: </w:t>
      </w:r>
      <w:r w:rsidRPr="00301047" w:rsidR="0097648F">
        <w:rPr>
          <w:rFonts w:cs="Times New Roman"/>
        </w:rPr>
        <w:t>500</w:t>
      </w:r>
      <w:r w:rsidRPr="00301047">
        <w:rPr>
          <w:rFonts w:cs="Times New Roman"/>
        </w:rPr>
        <w:t xml:space="preserve"> hours @ $</w:t>
      </w:r>
      <w:r w:rsidRPr="00301047" w:rsidR="69BA8F6B">
        <w:rPr>
          <w:rFonts w:cs="Times New Roman"/>
        </w:rPr>
        <w:t>50</w:t>
      </w:r>
      <w:r w:rsidRPr="00301047">
        <w:rPr>
          <w:rFonts w:cs="Times New Roman"/>
        </w:rPr>
        <w:t>/hour = $</w:t>
      </w:r>
      <w:r w:rsidRPr="00301047" w:rsidR="398A7620">
        <w:rPr>
          <w:rFonts w:cs="Times New Roman"/>
        </w:rPr>
        <w:t>25,000</w:t>
      </w:r>
    </w:p>
    <w:p w:rsidR="007E0C99" w:rsidRPr="00301047" w:rsidP="00D832A3" w14:paraId="372108A9" w14:textId="36551A85">
      <w:pPr>
        <w:pStyle w:val="ListParagraph"/>
        <w:numPr>
          <w:ilvl w:val="0"/>
          <w:numId w:val="9"/>
        </w:numPr>
        <w:spacing w:after="0" w:line="240" w:lineRule="auto"/>
        <w:rPr>
          <w:rFonts w:cs="Times New Roman"/>
        </w:rPr>
      </w:pPr>
      <w:r w:rsidRPr="00301047">
        <w:rPr>
          <w:rFonts w:cs="Times New Roman"/>
        </w:rPr>
        <w:t>Total = $</w:t>
      </w:r>
      <w:r w:rsidRPr="00301047" w:rsidR="11BC27F6">
        <w:rPr>
          <w:rFonts w:cs="Times New Roman"/>
        </w:rPr>
        <w:t>60,000</w:t>
      </w:r>
    </w:p>
    <w:p w:rsidR="007E0C99" w:rsidP="002F2334" w14:paraId="09561F21" w14:textId="77777777">
      <w:pPr>
        <w:spacing w:after="0" w:line="240" w:lineRule="auto"/>
        <w:jc w:val="both"/>
        <w:rPr>
          <w:rFonts w:cs="Times New Roman"/>
        </w:rPr>
      </w:pPr>
    </w:p>
    <w:p w:rsidR="007E0C99" w:rsidP="002F2334" w14:paraId="47F4DF66" w14:textId="77777777">
      <w:pPr>
        <w:spacing w:after="0" w:line="240" w:lineRule="auto"/>
        <w:jc w:val="both"/>
        <w:rPr>
          <w:rFonts w:cs="Times New Roman"/>
          <w:i/>
          <w:iCs/>
        </w:rPr>
      </w:pPr>
      <w:r w:rsidRPr="00BF4D70">
        <w:rPr>
          <w:rFonts w:cs="Times New Roman"/>
          <w:i/>
          <w:iCs/>
        </w:rPr>
        <w:t>Table 3.</w:t>
      </w:r>
      <w:r w:rsidRPr="00BF4D70">
        <w:rPr>
          <w:i/>
          <w:iCs/>
        </w:rPr>
        <w:t xml:space="preserve"> </w:t>
      </w:r>
      <w:r w:rsidRPr="00BF4D70">
        <w:rPr>
          <w:rFonts w:cs="Times New Roman"/>
          <w:i/>
          <w:iCs/>
        </w:rPr>
        <w:t>Estimated Annualized Cost to the Government per Activity</w:t>
      </w:r>
    </w:p>
    <w:tbl>
      <w:tblPr>
        <w:tblStyle w:val="TableGrid"/>
        <w:tblW w:w="0" w:type="auto"/>
        <w:tblLook w:val="04A0"/>
      </w:tblPr>
      <w:tblGrid>
        <w:gridCol w:w="7200"/>
        <w:gridCol w:w="2122"/>
      </w:tblGrid>
      <w:tr w14:paraId="3295D564" w14:textId="77777777" w:rsidTr="62AA504C">
        <w:tblPrEx>
          <w:tblW w:w="0" w:type="auto"/>
          <w:tblLook w:val="04A0"/>
        </w:tblPrEx>
        <w:trPr>
          <w:trHeight w:val="432"/>
        </w:trPr>
        <w:tc>
          <w:tcPr>
            <w:tcW w:w="7200" w:type="dxa"/>
            <w:vAlign w:val="center"/>
          </w:tcPr>
          <w:p w:rsidR="007E0C99" w:rsidRPr="00D525E8" w:rsidP="002F2334" w14:paraId="182B1E8E" w14:textId="77777777">
            <w:pPr>
              <w:rPr>
                <w:rFonts w:cs="Times New Roman"/>
                <w:b/>
                <w:bCs/>
              </w:rPr>
            </w:pPr>
            <w:r w:rsidRPr="00D525E8">
              <w:rPr>
                <w:rFonts w:cs="Times New Roman"/>
                <w:b/>
                <w:bCs/>
              </w:rPr>
              <w:t>Cost Category</w:t>
            </w:r>
          </w:p>
        </w:tc>
        <w:tc>
          <w:tcPr>
            <w:tcW w:w="2122" w:type="dxa"/>
            <w:vAlign w:val="center"/>
          </w:tcPr>
          <w:p w:rsidR="007E0C99" w:rsidRPr="00D525E8" w:rsidP="002F2334" w14:paraId="493FE089" w14:textId="77777777">
            <w:pPr>
              <w:jc w:val="center"/>
              <w:rPr>
                <w:rFonts w:cs="Times New Roman"/>
                <w:b/>
                <w:bCs/>
              </w:rPr>
            </w:pPr>
            <w:r w:rsidRPr="00D525E8">
              <w:rPr>
                <w:rFonts w:cs="Times New Roman"/>
                <w:b/>
                <w:bCs/>
              </w:rPr>
              <w:t>Estimated Annualized Cost</w:t>
            </w:r>
          </w:p>
        </w:tc>
      </w:tr>
      <w:tr w14:paraId="1CA2992E" w14:textId="77777777" w:rsidTr="62AA504C">
        <w:tblPrEx>
          <w:tblW w:w="0" w:type="auto"/>
          <w:tblLook w:val="04A0"/>
        </w:tblPrEx>
        <w:trPr>
          <w:trHeight w:val="432"/>
        </w:trPr>
        <w:tc>
          <w:tcPr>
            <w:tcW w:w="7200" w:type="dxa"/>
            <w:vAlign w:val="center"/>
          </w:tcPr>
          <w:p w:rsidR="007E0C99" w:rsidRPr="00EA768C" w:rsidP="002F2334" w14:paraId="39282D34" w14:textId="77E996FA">
            <w:pPr>
              <w:rPr>
                <w:rFonts w:cs="Times New Roman"/>
              </w:rPr>
            </w:pPr>
            <w:r>
              <w:rPr>
                <w:rFonts w:cs="Times New Roman"/>
              </w:rPr>
              <w:t xml:space="preserve">Contractor personnel costs: costs to oversee recruit, conduct </w:t>
            </w:r>
            <w:r w:rsidR="00547009">
              <w:rPr>
                <w:rFonts w:cs="Times New Roman"/>
              </w:rPr>
              <w:t>focus groups</w:t>
            </w:r>
          </w:p>
        </w:tc>
        <w:tc>
          <w:tcPr>
            <w:tcW w:w="2122" w:type="dxa"/>
            <w:vAlign w:val="center"/>
          </w:tcPr>
          <w:p w:rsidR="007E0C99" w:rsidRPr="00DC2D2E" w:rsidP="002F2334" w14:paraId="555AEF7E" w14:textId="6869F99E">
            <w:pPr>
              <w:jc w:val="right"/>
              <w:rPr>
                <w:rFonts w:cs="Times New Roman"/>
              </w:rPr>
            </w:pPr>
            <w:r w:rsidRPr="00DC2D2E">
              <w:rPr>
                <w:rFonts w:cs="Times New Roman"/>
              </w:rPr>
              <w:t>$</w:t>
            </w:r>
            <w:r w:rsidR="00E37291">
              <w:rPr>
                <w:rFonts w:cs="Times New Roman"/>
              </w:rPr>
              <w:t>17</w:t>
            </w:r>
            <w:r w:rsidRPr="00DC2D2E" w:rsidR="00DC2D2E">
              <w:rPr>
                <w:rFonts w:cs="Times New Roman"/>
              </w:rPr>
              <w:t>,</w:t>
            </w:r>
            <w:r w:rsidR="00E37291">
              <w:rPr>
                <w:rFonts w:cs="Times New Roman"/>
              </w:rPr>
              <w:t>258</w:t>
            </w:r>
          </w:p>
        </w:tc>
      </w:tr>
      <w:tr w14:paraId="1D33D942" w14:textId="77777777" w:rsidTr="62AA504C">
        <w:tblPrEx>
          <w:tblW w:w="0" w:type="auto"/>
          <w:tblLook w:val="04A0"/>
        </w:tblPrEx>
        <w:trPr>
          <w:trHeight w:val="432"/>
        </w:trPr>
        <w:tc>
          <w:tcPr>
            <w:tcW w:w="7200" w:type="dxa"/>
            <w:vAlign w:val="center"/>
          </w:tcPr>
          <w:p w:rsidR="007E0C99" w:rsidRPr="00EA768C" w:rsidP="002F2334" w14:paraId="24DB3C79" w14:textId="77777777">
            <w:pPr>
              <w:rPr>
                <w:rFonts w:cs="Times New Roman"/>
              </w:rPr>
            </w:pPr>
            <w:r>
              <w:rPr>
                <w:rFonts w:cs="Times New Roman"/>
              </w:rPr>
              <w:t>Contractor personnel costs: costs to report on results</w:t>
            </w:r>
          </w:p>
        </w:tc>
        <w:tc>
          <w:tcPr>
            <w:tcW w:w="2122" w:type="dxa"/>
            <w:vAlign w:val="center"/>
          </w:tcPr>
          <w:p w:rsidR="007E0C99" w:rsidRPr="00DC2D2E" w:rsidP="002F2334" w14:paraId="09ABC1BB" w14:textId="183C1A66">
            <w:pPr>
              <w:jc w:val="right"/>
              <w:rPr>
                <w:rFonts w:cs="Times New Roman"/>
              </w:rPr>
            </w:pPr>
            <w:r w:rsidRPr="00DC2D2E">
              <w:rPr>
                <w:rFonts w:cs="Times New Roman"/>
              </w:rPr>
              <w:t>$</w:t>
            </w:r>
            <w:r w:rsidRPr="00DC2D2E" w:rsidR="00A17F38">
              <w:rPr>
                <w:rFonts w:cs="Times New Roman"/>
              </w:rPr>
              <w:t>5,897</w:t>
            </w:r>
          </w:p>
        </w:tc>
      </w:tr>
      <w:tr w14:paraId="09915B5C" w14:textId="77777777" w:rsidTr="62AA504C">
        <w:tblPrEx>
          <w:tblW w:w="0" w:type="auto"/>
          <w:tblLook w:val="04A0"/>
        </w:tblPrEx>
        <w:trPr>
          <w:trHeight w:val="432"/>
        </w:trPr>
        <w:tc>
          <w:tcPr>
            <w:tcW w:w="7200" w:type="dxa"/>
            <w:vAlign w:val="center"/>
          </w:tcPr>
          <w:p w:rsidR="007E0C99" w:rsidP="002F2334" w14:paraId="692286E6" w14:textId="77777777">
            <w:pPr>
              <w:rPr>
                <w:rFonts w:cs="Times New Roman"/>
              </w:rPr>
            </w:pPr>
            <w:r>
              <w:rPr>
                <w:rFonts w:cs="Times New Roman"/>
              </w:rPr>
              <w:t>Contractor expenses: recruitment panel, transcription, incentives</w:t>
            </w:r>
          </w:p>
        </w:tc>
        <w:tc>
          <w:tcPr>
            <w:tcW w:w="2122" w:type="dxa"/>
            <w:vAlign w:val="center"/>
          </w:tcPr>
          <w:p w:rsidR="007E0C99" w:rsidRPr="00DC2D2E" w:rsidP="002F2334" w14:paraId="6C9E2228" w14:textId="0B398707">
            <w:pPr>
              <w:jc w:val="right"/>
              <w:rPr>
                <w:rFonts w:cs="Times New Roman"/>
              </w:rPr>
            </w:pPr>
            <w:r w:rsidRPr="00DC2D2E">
              <w:rPr>
                <w:rFonts w:cs="Times New Roman"/>
              </w:rPr>
              <w:t>$</w:t>
            </w:r>
            <w:r w:rsidR="00E37291">
              <w:rPr>
                <w:rFonts w:cs="Times New Roman"/>
              </w:rPr>
              <w:t>42</w:t>
            </w:r>
            <w:r w:rsidRPr="00DC2D2E" w:rsidR="00DC2D2E">
              <w:rPr>
                <w:rFonts w:cs="Times New Roman"/>
              </w:rPr>
              <w:t>,</w:t>
            </w:r>
            <w:r w:rsidR="00E37291">
              <w:rPr>
                <w:rFonts w:cs="Times New Roman"/>
              </w:rPr>
              <w:t>230</w:t>
            </w:r>
          </w:p>
        </w:tc>
      </w:tr>
      <w:tr w14:paraId="5646A226" w14:textId="77777777" w:rsidTr="62AA504C">
        <w:tblPrEx>
          <w:tblW w:w="0" w:type="auto"/>
          <w:tblLook w:val="04A0"/>
        </w:tblPrEx>
        <w:trPr>
          <w:trHeight w:val="432"/>
        </w:trPr>
        <w:tc>
          <w:tcPr>
            <w:tcW w:w="7200" w:type="dxa"/>
            <w:vAlign w:val="center"/>
          </w:tcPr>
          <w:p w:rsidR="007E0C99" w:rsidP="002F2334" w14:paraId="286A9198" w14:textId="77777777">
            <w:pPr>
              <w:rPr>
                <w:rFonts w:cs="Times New Roman"/>
              </w:rPr>
            </w:pPr>
            <w:r>
              <w:rPr>
                <w:rFonts w:cs="Times New Roman"/>
              </w:rPr>
              <w:t>Federal government personnel costs: oversight, report review</w:t>
            </w:r>
          </w:p>
        </w:tc>
        <w:tc>
          <w:tcPr>
            <w:tcW w:w="2122" w:type="dxa"/>
            <w:vAlign w:val="center"/>
          </w:tcPr>
          <w:p w:rsidR="007E0C99" w:rsidRPr="008C5448" w:rsidP="002F2334" w14:paraId="1B603E66" w14:textId="675FE4BF">
            <w:pPr>
              <w:jc w:val="right"/>
              <w:rPr>
                <w:rFonts w:cs="Times New Roman"/>
              </w:rPr>
            </w:pPr>
            <w:r w:rsidRPr="62AA504C">
              <w:rPr>
                <w:rFonts w:cs="Times New Roman"/>
              </w:rPr>
              <w:t>$</w:t>
            </w:r>
            <w:r w:rsidRPr="62AA504C" w:rsidR="21BE6F5C">
              <w:rPr>
                <w:rFonts w:cs="Times New Roman"/>
              </w:rPr>
              <w:t>60,000</w:t>
            </w:r>
          </w:p>
        </w:tc>
      </w:tr>
      <w:tr w14:paraId="016C3DE7" w14:textId="77777777" w:rsidTr="62AA504C">
        <w:tblPrEx>
          <w:tblW w:w="0" w:type="auto"/>
          <w:tblLook w:val="04A0"/>
        </w:tblPrEx>
        <w:trPr>
          <w:trHeight w:val="432"/>
        </w:trPr>
        <w:tc>
          <w:tcPr>
            <w:tcW w:w="7200" w:type="dxa"/>
            <w:vAlign w:val="center"/>
          </w:tcPr>
          <w:p w:rsidR="007E0C99" w:rsidP="002F2334" w14:paraId="6EC77680" w14:textId="77777777">
            <w:pPr>
              <w:rPr>
                <w:rFonts w:cs="Times New Roman"/>
              </w:rPr>
            </w:pPr>
            <w:r>
              <w:rPr>
                <w:rFonts w:cs="Times New Roman"/>
              </w:rPr>
              <w:t>Total</w:t>
            </w:r>
          </w:p>
        </w:tc>
        <w:tc>
          <w:tcPr>
            <w:tcW w:w="2122" w:type="dxa"/>
            <w:vAlign w:val="center"/>
          </w:tcPr>
          <w:p w:rsidR="007E0C99" w:rsidRPr="00547009" w:rsidP="002F2334" w14:paraId="7519FF83" w14:textId="0069C8AA">
            <w:pPr>
              <w:jc w:val="right"/>
              <w:rPr>
                <w:rFonts w:cs="Times New Roman"/>
                <w:highlight w:val="yellow"/>
              </w:rPr>
            </w:pPr>
            <w:r w:rsidRPr="00301047">
              <w:rPr>
                <w:rFonts w:cs="Times New Roman"/>
              </w:rPr>
              <w:t>$125,385</w:t>
            </w:r>
          </w:p>
        </w:tc>
      </w:tr>
    </w:tbl>
    <w:p w:rsidR="006969B7" w:rsidP="006969B7" w14:paraId="455EAC42" w14:textId="77777777">
      <w:pPr>
        <w:pStyle w:val="Heading1"/>
        <w:numPr>
          <w:ilvl w:val="0"/>
          <w:numId w:val="0"/>
        </w:numPr>
        <w:spacing w:after="0"/>
        <w:ind w:left="360"/>
      </w:pPr>
      <w:bookmarkStart w:id="15" w:name="_Toc473880031"/>
    </w:p>
    <w:p w:rsidR="004A13E8" w:rsidP="006969B7" w14:paraId="55FE1810" w14:textId="208FBD52">
      <w:pPr>
        <w:pStyle w:val="Heading1"/>
      </w:pPr>
      <w:r>
        <w:t>Explanation for Program Changes or Adjustments</w:t>
      </w:r>
      <w:bookmarkEnd w:id="15"/>
    </w:p>
    <w:p w:rsidR="00F2121E" w:rsidRPr="00F2121E" w:rsidP="002F2334" w14:paraId="5E28B83B" w14:textId="77777777">
      <w:pPr>
        <w:pStyle w:val="Heading1"/>
        <w:numPr>
          <w:ilvl w:val="0"/>
          <w:numId w:val="0"/>
        </w:numPr>
      </w:pPr>
      <w:bookmarkStart w:id="16" w:name="_Toc473880032"/>
      <w:r w:rsidRPr="00F2121E">
        <w:rPr>
          <w:b w:val="0"/>
        </w:rPr>
        <w:t>No change in burden is requested as this is a new information collection.</w:t>
      </w:r>
    </w:p>
    <w:p w:rsidR="004A13E8" w:rsidP="002F2334" w14:paraId="55FE1812" w14:textId="013B61EF">
      <w:pPr>
        <w:pStyle w:val="Heading1"/>
      </w:pPr>
      <w:r>
        <w:t>Plans for Tabulation and Publication and Project Time Schedule</w:t>
      </w:r>
      <w:bookmarkEnd w:id="16"/>
    </w:p>
    <w:p w:rsidR="00A82C88" w:rsidP="002F2334" w14:paraId="4F205F83" w14:textId="402F3A9D">
      <w:pPr>
        <w:spacing w:line="240" w:lineRule="auto"/>
      </w:pPr>
      <w:r>
        <w:t xml:space="preserve">This initiative is expected to take </w:t>
      </w:r>
      <w:r w:rsidR="006969B7">
        <w:t>nine</w:t>
      </w:r>
      <w:r w:rsidR="00535051">
        <w:t xml:space="preserve"> weeks from start to finish. </w:t>
      </w:r>
      <w:r w:rsidR="006969B7">
        <w:t>Three</w:t>
      </w:r>
      <w:r w:rsidR="00535051">
        <w:t xml:space="preserve"> weeks will be spent recruiting</w:t>
      </w:r>
      <w:r w:rsidR="006969B7">
        <w:t xml:space="preserve"> participants, three weeks will be spent </w:t>
      </w:r>
      <w:r w:rsidR="00535051">
        <w:t xml:space="preserve">and conducting focus groups, and </w:t>
      </w:r>
      <w:r w:rsidR="006969B7">
        <w:t>three</w:t>
      </w:r>
      <w:r w:rsidR="00535051">
        <w:t xml:space="preserve"> weeks will be spent in analysis and reporting. A timeline is available in Table 4. </w:t>
      </w:r>
    </w:p>
    <w:p w:rsidR="00535051" w:rsidP="002F2334" w14:paraId="6B9F65D9" w14:textId="77777777">
      <w:pPr>
        <w:spacing w:after="0" w:line="240" w:lineRule="auto"/>
        <w:jc w:val="both"/>
        <w:rPr>
          <w:rFonts w:cs="Times New Roman"/>
          <w:i/>
        </w:rPr>
      </w:pPr>
      <w:r>
        <w:rPr>
          <w:rFonts w:cs="Times New Roman"/>
          <w:i/>
        </w:rPr>
        <w:t xml:space="preserve">Table 4. </w:t>
      </w:r>
      <w:r w:rsidRPr="004B1B52">
        <w:rPr>
          <w:rFonts w:cs="Times New Roman"/>
          <w:i/>
        </w:rPr>
        <w:t>Project Time Schedule</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3"/>
        <w:gridCol w:w="4863"/>
      </w:tblGrid>
      <w:tr w14:paraId="5B65F635" w14:textId="77777777" w:rsidTr="5DA6442E">
        <w:tblPrEx>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93" w:type="pct"/>
            <w:shd w:val="clear" w:color="auto" w:fill="auto"/>
            <w:noWrap/>
          </w:tcPr>
          <w:p w:rsidR="00535051" w:rsidRPr="009E6489" w:rsidP="002F2334" w14:paraId="5D1337E8" w14:textId="77777777">
            <w:pPr>
              <w:keepNext/>
              <w:widowControl w:val="0"/>
              <w:autoSpaceDE w:val="0"/>
              <w:autoSpaceDN w:val="0"/>
              <w:adjustRightInd w:val="0"/>
              <w:spacing w:before="40" w:after="40" w:line="240" w:lineRule="auto"/>
              <w:jc w:val="both"/>
              <w:rPr>
                <w:rFonts w:cs="Times New Roman"/>
                <w:b/>
              </w:rPr>
            </w:pPr>
            <w:r w:rsidRPr="009E6489">
              <w:rPr>
                <w:rFonts w:cs="Times New Roman"/>
                <w:b/>
              </w:rPr>
              <w:t>Activity</w:t>
            </w:r>
          </w:p>
        </w:tc>
        <w:tc>
          <w:tcPr>
            <w:tcW w:w="2607" w:type="pct"/>
            <w:shd w:val="clear" w:color="auto" w:fill="auto"/>
          </w:tcPr>
          <w:p w:rsidR="00535051" w:rsidRPr="009E6489" w:rsidP="002F2334" w14:paraId="4554A5B5" w14:textId="77777777">
            <w:pPr>
              <w:keepNext/>
              <w:widowControl w:val="0"/>
              <w:autoSpaceDE w:val="0"/>
              <w:autoSpaceDN w:val="0"/>
              <w:adjustRightInd w:val="0"/>
              <w:spacing w:before="40" w:after="40" w:line="240" w:lineRule="auto"/>
              <w:jc w:val="both"/>
              <w:rPr>
                <w:rFonts w:cs="Times New Roman"/>
                <w:b/>
              </w:rPr>
            </w:pPr>
            <w:r w:rsidRPr="009E6489">
              <w:rPr>
                <w:rFonts w:cs="Times New Roman"/>
                <w:b/>
              </w:rPr>
              <w:t>Time Schedule</w:t>
            </w:r>
          </w:p>
        </w:tc>
      </w:tr>
      <w:tr w14:paraId="38EE2000" w14:textId="77777777" w:rsidTr="5DA6442E">
        <w:tblPrEx>
          <w:tblW w:w="4987" w:type="pct"/>
          <w:tblLook w:val="01E0"/>
        </w:tblPrEx>
        <w:tc>
          <w:tcPr>
            <w:tcW w:w="2393" w:type="pct"/>
            <w:shd w:val="clear" w:color="auto" w:fill="auto"/>
            <w:noWrap/>
          </w:tcPr>
          <w:p w:rsidR="00535051" w:rsidRPr="009E6489" w:rsidP="002F2334" w14:paraId="71A326D8" w14:textId="5ABA903D">
            <w:pPr>
              <w:keepNext/>
              <w:widowControl w:val="0"/>
              <w:autoSpaceDE w:val="0"/>
              <w:autoSpaceDN w:val="0"/>
              <w:adjustRightInd w:val="0"/>
              <w:spacing w:before="40" w:after="40" w:line="240" w:lineRule="auto"/>
              <w:jc w:val="both"/>
              <w:rPr>
                <w:rFonts w:cs="Times New Roman"/>
                <w:bCs/>
              </w:rPr>
            </w:pPr>
            <w:r w:rsidRPr="009E6489">
              <w:rPr>
                <w:rFonts w:eastAsiaTheme="majorEastAsia" w:cs="Times New Roman"/>
              </w:rPr>
              <w:t xml:space="preserve">Recruit participants </w:t>
            </w:r>
          </w:p>
        </w:tc>
        <w:tc>
          <w:tcPr>
            <w:tcW w:w="2607" w:type="pct"/>
            <w:shd w:val="clear" w:color="auto" w:fill="auto"/>
            <w:vAlign w:val="center"/>
          </w:tcPr>
          <w:p w:rsidR="00535051" w:rsidRPr="009E6489" w:rsidP="002F2334" w14:paraId="1B161346" w14:textId="1A218670">
            <w:pPr>
              <w:keepNext/>
              <w:widowControl w:val="0"/>
              <w:autoSpaceDE w:val="0"/>
              <w:autoSpaceDN w:val="0"/>
              <w:adjustRightInd w:val="0"/>
              <w:spacing w:before="40" w:after="40" w:line="240" w:lineRule="auto"/>
              <w:rPr>
                <w:rFonts w:cs="Times New Roman"/>
                <w:bCs/>
              </w:rPr>
            </w:pPr>
            <w:r>
              <w:rPr>
                <w:rFonts w:cs="Times New Roman"/>
                <w:bCs/>
              </w:rPr>
              <w:t>3 weeks, beginning immediately after gen-IC approved</w:t>
            </w:r>
          </w:p>
        </w:tc>
      </w:tr>
      <w:tr w14:paraId="6DEAC907" w14:textId="77777777" w:rsidTr="5DA6442E">
        <w:tblPrEx>
          <w:tblW w:w="4987" w:type="pct"/>
          <w:tblLook w:val="01E0"/>
        </w:tblPrEx>
        <w:tc>
          <w:tcPr>
            <w:tcW w:w="2393" w:type="pct"/>
            <w:shd w:val="clear" w:color="auto" w:fill="auto"/>
            <w:noWrap/>
          </w:tcPr>
          <w:p w:rsidR="00535051" w:rsidRPr="009E6489" w:rsidP="002F2334" w14:paraId="224E62FD" w14:textId="2A937C22">
            <w:pPr>
              <w:keepNext/>
              <w:widowControl w:val="0"/>
              <w:autoSpaceDE w:val="0"/>
              <w:autoSpaceDN w:val="0"/>
              <w:adjustRightInd w:val="0"/>
              <w:spacing w:before="40" w:after="40" w:line="240" w:lineRule="auto"/>
              <w:jc w:val="both"/>
              <w:rPr>
                <w:rFonts w:cs="Times New Roman"/>
                <w:bCs/>
              </w:rPr>
            </w:pPr>
            <w:r w:rsidRPr="009E6489">
              <w:rPr>
                <w:rFonts w:eastAsiaTheme="majorEastAsia" w:cs="Times New Roman"/>
              </w:rPr>
              <w:t xml:space="preserve">Conduct </w:t>
            </w:r>
            <w:r>
              <w:rPr>
                <w:rFonts w:eastAsiaTheme="majorEastAsia" w:cs="Times New Roman"/>
              </w:rPr>
              <w:t>focus groups</w:t>
            </w:r>
            <w:r w:rsidRPr="009E6489">
              <w:rPr>
                <w:rFonts w:eastAsiaTheme="majorEastAsia" w:cs="Times New Roman"/>
              </w:rPr>
              <w:t xml:space="preserve"> </w:t>
            </w:r>
          </w:p>
        </w:tc>
        <w:tc>
          <w:tcPr>
            <w:tcW w:w="2607" w:type="pct"/>
            <w:shd w:val="clear" w:color="auto" w:fill="auto"/>
            <w:vAlign w:val="center"/>
          </w:tcPr>
          <w:p w:rsidR="00535051" w:rsidRPr="009E6489" w:rsidP="002F2334" w14:paraId="34384639" w14:textId="7A372D8D">
            <w:pPr>
              <w:keepNext/>
              <w:widowControl w:val="0"/>
              <w:autoSpaceDE w:val="0"/>
              <w:autoSpaceDN w:val="0"/>
              <w:adjustRightInd w:val="0"/>
              <w:spacing w:before="40" w:after="40" w:line="240" w:lineRule="auto"/>
              <w:rPr>
                <w:rFonts w:cs="Times New Roman"/>
                <w:bCs/>
              </w:rPr>
            </w:pPr>
            <w:r>
              <w:rPr>
                <w:rFonts w:eastAsiaTheme="majorEastAsia" w:cs="Times New Roman"/>
              </w:rPr>
              <w:t>3</w:t>
            </w:r>
            <w:r w:rsidRPr="009E6489">
              <w:rPr>
                <w:rFonts w:eastAsiaTheme="majorEastAsia" w:cs="Times New Roman"/>
              </w:rPr>
              <w:t xml:space="preserve"> weeks</w:t>
            </w:r>
            <w:r w:rsidR="005F2BAB">
              <w:rPr>
                <w:rFonts w:eastAsiaTheme="majorEastAsia" w:cs="Times New Roman"/>
              </w:rPr>
              <w:t xml:space="preserve"> after recruitment</w:t>
            </w:r>
          </w:p>
        </w:tc>
      </w:tr>
      <w:tr w14:paraId="66CBCE74" w14:textId="77777777" w:rsidTr="5DA6442E">
        <w:tblPrEx>
          <w:tblW w:w="4987" w:type="pct"/>
          <w:tblLook w:val="01E0"/>
        </w:tblPrEx>
        <w:tc>
          <w:tcPr>
            <w:tcW w:w="2393" w:type="pct"/>
            <w:shd w:val="clear" w:color="auto" w:fill="auto"/>
            <w:noWrap/>
          </w:tcPr>
          <w:p w:rsidR="00535051" w:rsidRPr="009E6489" w:rsidP="5DA6442E" w14:paraId="632F06F4" w14:textId="66487BCA">
            <w:pPr>
              <w:keepNext/>
              <w:widowControl w:val="0"/>
              <w:autoSpaceDE w:val="0"/>
              <w:autoSpaceDN w:val="0"/>
              <w:adjustRightInd w:val="0"/>
              <w:spacing w:before="40" w:after="40" w:line="240" w:lineRule="auto"/>
              <w:rPr>
                <w:rFonts w:cs="Times New Roman"/>
              </w:rPr>
            </w:pPr>
            <w:r w:rsidRPr="5DA6442E">
              <w:rPr>
                <w:rFonts w:eastAsiaTheme="majorEastAsia" w:cs="Times New Roman"/>
              </w:rPr>
              <w:t>Transcription</w:t>
            </w:r>
            <w:r w:rsidRPr="5DA6442E" w:rsidR="4C377A6A">
              <w:rPr>
                <w:rFonts w:eastAsiaTheme="majorEastAsia" w:cs="Times New Roman"/>
              </w:rPr>
              <w:t>,</w:t>
            </w:r>
            <w:r w:rsidRPr="5DA6442E" w:rsidR="4799B6AE">
              <w:rPr>
                <w:rFonts w:eastAsiaTheme="majorEastAsia" w:cs="Times New Roman"/>
              </w:rPr>
              <w:t xml:space="preserve"> </w:t>
            </w:r>
            <w:r w:rsidRPr="5DA6442E" w:rsidR="4C377A6A">
              <w:rPr>
                <w:rFonts w:eastAsiaTheme="majorEastAsia" w:cs="Times New Roman"/>
              </w:rPr>
              <w:t>a</w:t>
            </w:r>
            <w:r w:rsidRPr="5DA6442E">
              <w:rPr>
                <w:rFonts w:eastAsiaTheme="majorEastAsia" w:cs="Times New Roman"/>
              </w:rPr>
              <w:t>nalysis</w:t>
            </w:r>
            <w:r w:rsidRPr="5DA6442E" w:rsidR="4C377A6A">
              <w:rPr>
                <w:rFonts w:eastAsiaTheme="majorEastAsia" w:cs="Times New Roman"/>
              </w:rPr>
              <w:t>, report</w:t>
            </w:r>
            <w:r w:rsidRPr="5DA6442E" w:rsidR="389CA5B7">
              <w:rPr>
                <w:rFonts w:eastAsiaTheme="majorEastAsia" w:cs="Times New Roman"/>
              </w:rPr>
              <w:t xml:space="preserve"> </w:t>
            </w:r>
            <w:r w:rsidRPr="5DA6442E" w:rsidR="4C377A6A">
              <w:rPr>
                <w:rFonts w:eastAsiaTheme="majorEastAsia" w:cs="Times New Roman"/>
              </w:rPr>
              <w:t>development</w:t>
            </w:r>
          </w:p>
        </w:tc>
        <w:tc>
          <w:tcPr>
            <w:tcW w:w="2607" w:type="pct"/>
            <w:shd w:val="clear" w:color="auto" w:fill="auto"/>
            <w:vAlign w:val="center"/>
          </w:tcPr>
          <w:p w:rsidR="00535051" w:rsidRPr="009E6489" w:rsidP="002F2334" w14:paraId="1E2AB0C2" w14:textId="5DAFEBE3">
            <w:pPr>
              <w:keepNext/>
              <w:widowControl w:val="0"/>
              <w:autoSpaceDE w:val="0"/>
              <w:autoSpaceDN w:val="0"/>
              <w:adjustRightInd w:val="0"/>
              <w:spacing w:before="40" w:after="40" w:line="240" w:lineRule="auto"/>
              <w:rPr>
                <w:rFonts w:cs="Times New Roman"/>
                <w:bCs/>
              </w:rPr>
            </w:pPr>
            <w:r>
              <w:rPr>
                <w:rFonts w:cs="Times New Roman"/>
                <w:bCs/>
              </w:rPr>
              <w:t>3</w:t>
            </w:r>
            <w:r w:rsidRPr="009E6489">
              <w:rPr>
                <w:rFonts w:cs="Times New Roman"/>
                <w:bCs/>
              </w:rPr>
              <w:t xml:space="preserve"> week</w:t>
            </w:r>
            <w:r>
              <w:rPr>
                <w:rFonts w:cs="Times New Roman"/>
                <w:bCs/>
              </w:rPr>
              <w:t>s</w:t>
            </w:r>
            <w:r w:rsidRPr="009E6489">
              <w:rPr>
                <w:rFonts w:cs="Times New Roman"/>
                <w:bCs/>
              </w:rPr>
              <w:t xml:space="preserve"> after </w:t>
            </w:r>
            <w:r>
              <w:rPr>
                <w:rFonts w:cs="Times New Roman"/>
                <w:bCs/>
              </w:rPr>
              <w:t>focus groups</w:t>
            </w:r>
            <w:r w:rsidRPr="009E6489">
              <w:rPr>
                <w:rFonts w:cs="Times New Roman"/>
                <w:bCs/>
              </w:rPr>
              <w:t xml:space="preserve"> end</w:t>
            </w:r>
          </w:p>
        </w:tc>
      </w:tr>
      <w:tr w14:paraId="68D37F94" w14:textId="77777777" w:rsidTr="5DA6442E">
        <w:tblPrEx>
          <w:tblW w:w="4987" w:type="pct"/>
          <w:tblLook w:val="01E0"/>
        </w:tblPrEx>
        <w:tc>
          <w:tcPr>
            <w:tcW w:w="2393" w:type="pct"/>
            <w:shd w:val="clear" w:color="auto" w:fill="auto"/>
            <w:noWrap/>
          </w:tcPr>
          <w:p w:rsidR="00535051" w:rsidRPr="009E6489" w:rsidP="002F2334" w14:paraId="12CC2091" w14:textId="77777777">
            <w:pPr>
              <w:keepNext/>
              <w:widowControl w:val="0"/>
              <w:autoSpaceDE w:val="0"/>
              <w:autoSpaceDN w:val="0"/>
              <w:adjustRightInd w:val="0"/>
              <w:spacing w:before="40" w:after="40" w:line="240" w:lineRule="auto"/>
              <w:jc w:val="both"/>
              <w:rPr>
                <w:rFonts w:cs="Times New Roman"/>
                <w:bCs/>
              </w:rPr>
            </w:pPr>
            <w:r w:rsidRPr="009E6489">
              <w:rPr>
                <w:rFonts w:eastAsiaTheme="majorEastAsia" w:cs="Times New Roman"/>
              </w:rPr>
              <w:t xml:space="preserve">Disseminate results/reports </w:t>
            </w:r>
          </w:p>
        </w:tc>
        <w:tc>
          <w:tcPr>
            <w:tcW w:w="2607" w:type="pct"/>
            <w:shd w:val="clear" w:color="auto" w:fill="auto"/>
            <w:vAlign w:val="center"/>
          </w:tcPr>
          <w:p w:rsidR="00535051" w:rsidRPr="009E6489" w:rsidP="002F2334" w14:paraId="3C0A0E4D" w14:textId="77777777">
            <w:pPr>
              <w:keepNext/>
              <w:widowControl w:val="0"/>
              <w:autoSpaceDE w:val="0"/>
              <w:autoSpaceDN w:val="0"/>
              <w:adjustRightInd w:val="0"/>
              <w:spacing w:before="40" w:after="40" w:line="240" w:lineRule="auto"/>
              <w:rPr>
                <w:rFonts w:cs="Times New Roman"/>
                <w:bCs/>
              </w:rPr>
            </w:pPr>
            <w:r w:rsidRPr="009E6489">
              <w:rPr>
                <w:rFonts w:cs="Times New Roman"/>
                <w:bCs/>
              </w:rPr>
              <w:t>As soon as summary report is complete</w:t>
            </w:r>
          </w:p>
        </w:tc>
      </w:tr>
    </w:tbl>
    <w:p w:rsidR="00535051" w:rsidP="002F2334" w14:paraId="4303E361" w14:textId="77777777">
      <w:pPr>
        <w:spacing w:after="0" w:line="240" w:lineRule="auto"/>
        <w:jc w:val="both"/>
        <w:rPr>
          <w:rFonts w:cs="Times New Roman"/>
        </w:rPr>
      </w:pPr>
    </w:p>
    <w:p w:rsidR="00535051" w:rsidP="00687CB6" w14:paraId="4E238BAD" w14:textId="53FD2936">
      <w:pPr>
        <w:spacing w:line="240" w:lineRule="auto"/>
        <w:rPr>
          <w:rFonts w:cs="Times New Roman"/>
        </w:rPr>
      </w:pPr>
      <w:r w:rsidRPr="00687CB6">
        <w:t>Focus</w:t>
      </w:r>
      <w:r w:rsidRPr="00087A53">
        <w:rPr>
          <w:rFonts w:cs="Times New Roman"/>
        </w:rPr>
        <w:t xml:space="preserve"> groups will be audio and video recorded for aid in reporting and analysis. Audio files will be transcribed verbatim in Microsoft Word and used for reporting. (Deidentified transcripts will be delivered to </w:t>
      </w:r>
      <w:r w:rsidRPr="00087A53" w:rsidR="00087A53">
        <w:rPr>
          <w:rFonts w:cs="Times New Roman"/>
        </w:rPr>
        <w:t>DFWED</w:t>
      </w:r>
      <w:r w:rsidRPr="00087A53">
        <w:rPr>
          <w:rFonts w:cs="Times New Roman"/>
        </w:rPr>
        <w:t>.) Results will be used to develop a written report with an assessment of findings and recommendations for targeted messaging strategies for CDC communications with this audience</w:t>
      </w:r>
      <w:r w:rsidR="00087A53">
        <w:rPr>
          <w:rFonts w:cs="Times New Roman"/>
        </w:rPr>
        <w:t>.</w:t>
      </w:r>
    </w:p>
    <w:p w:rsidR="004A13E8" w:rsidP="00687CB6" w14:paraId="55FE1826" w14:textId="77777777">
      <w:pPr>
        <w:pStyle w:val="Heading1"/>
      </w:pPr>
      <w:bookmarkStart w:id="17" w:name="_Toc473880033"/>
      <w:r>
        <w:t>Reason(s) Display of OMB Expiration Date is Inappropriate</w:t>
      </w:r>
      <w:bookmarkEnd w:id="17"/>
    </w:p>
    <w:p w:rsidR="00535051" w:rsidP="00687CB6" w14:paraId="7F46D956" w14:textId="77777777">
      <w:pPr>
        <w:spacing w:line="240" w:lineRule="auto"/>
        <w:rPr>
          <w:rFonts w:eastAsia="Times New Roman" w:cs="Times New Roman"/>
        </w:rPr>
      </w:pPr>
      <w:bookmarkStart w:id="18" w:name="_Toc473880034"/>
      <w:r w:rsidRPr="00687CB6">
        <w:t>The</w:t>
      </w:r>
      <w:r w:rsidRPr="00144D4A">
        <w:rPr>
          <w:rFonts w:eastAsia="Times New Roman" w:cs="Times New Roman"/>
        </w:rPr>
        <w:t xml:space="preserve"> expiration date of OMB approval will be displayed on all information collection instruments.</w:t>
      </w:r>
    </w:p>
    <w:p w:rsidR="004A13E8" w:rsidP="002F2334" w14:paraId="55FE1828" w14:textId="476781FD">
      <w:pPr>
        <w:pStyle w:val="Heading1"/>
      </w:pPr>
      <w:r>
        <w:t>Exceptions to Certification for Paperwork Reduction Act Submissions</w:t>
      </w:r>
      <w:bookmarkEnd w:id="18"/>
    </w:p>
    <w:p w:rsidR="004A13E8" w:rsidRPr="004A13E8" w:rsidP="002F2334" w14:paraId="55FE1829" w14:textId="77777777">
      <w:pPr>
        <w:spacing w:line="240" w:lineRule="auto"/>
      </w:pPr>
      <w:r>
        <w:t>There are no exceptions to the certification.</w:t>
      </w:r>
    </w:p>
    <w:p w:rsidR="004A13E8" w:rsidRPr="004A13E8" w:rsidP="002F2334" w14:paraId="55FE182A" w14:textId="77777777">
      <w:pPr>
        <w:pStyle w:val="Heading1"/>
        <w:numPr>
          <w:ilvl w:val="0"/>
          <w:numId w:val="0"/>
        </w:numPr>
      </w:pPr>
      <w:bookmarkStart w:id="19" w:name="_Toc473880035"/>
      <w:r>
        <w:t>Attachments</w:t>
      </w:r>
      <w:bookmarkEnd w:id="19"/>
    </w:p>
    <w:p w:rsidR="00535051" w:rsidP="002F2334" w14:paraId="7267D0A0" w14:textId="77607B11">
      <w:pPr>
        <w:pStyle w:val="ListParagraph"/>
        <w:numPr>
          <w:ilvl w:val="0"/>
          <w:numId w:val="3"/>
        </w:numPr>
        <w:spacing w:line="240" w:lineRule="auto"/>
        <w:ind w:left="360"/>
      </w:pPr>
      <w:r>
        <w:t>Screener</w:t>
      </w:r>
    </w:p>
    <w:p w:rsidR="00535051" w:rsidP="002F2334" w14:paraId="75E58EEA" w14:textId="201F335A">
      <w:pPr>
        <w:pStyle w:val="ListParagraph"/>
        <w:numPr>
          <w:ilvl w:val="0"/>
          <w:numId w:val="3"/>
        </w:numPr>
        <w:spacing w:line="240" w:lineRule="auto"/>
        <w:ind w:left="360"/>
      </w:pPr>
      <w:r>
        <w:t>Consent Form</w:t>
      </w:r>
    </w:p>
    <w:p w:rsidR="00535051" w:rsidRPr="00A72B08" w:rsidP="002F2334" w14:paraId="278EC59F" w14:textId="4F98D2A8">
      <w:pPr>
        <w:pStyle w:val="ListParagraph"/>
        <w:numPr>
          <w:ilvl w:val="0"/>
          <w:numId w:val="3"/>
        </w:numPr>
        <w:spacing w:line="240" w:lineRule="auto"/>
        <w:ind w:left="360"/>
      </w:pPr>
      <w:r w:rsidRPr="00A72B08">
        <w:t>Focus Group Guide</w:t>
      </w:r>
    </w:p>
    <w:p w:rsidR="00535051" w:rsidRPr="00535051" w:rsidP="002F2334" w14:paraId="6C98E774" w14:textId="699C2FF6">
      <w:pPr>
        <w:pStyle w:val="ListParagraph"/>
        <w:numPr>
          <w:ilvl w:val="0"/>
          <w:numId w:val="3"/>
        </w:numPr>
        <w:spacing w:line="240" w:lineRule="auto"/>
        <w:ind w:left="360"/>
      </w:pPr>
      <w:r w:rsidRPr="00535051">
        <w:t>Human Subjects Determination</w:t>
      </w:r>
    </w:p>
    <w:sectPr w:rsidSect="00E903D2">
      <w:footerReference w:type="default" r:id="rId1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8B5D54" w:rsidP="00407A5A" w14:paraId="55FE1836" w14:textId="2A27CB7A">
        <w:pPr>
          <w:pStyle w:val="Footer"/>
          <w:jc w:val="right"/>
        </w:pPr>
        <w:r>
          <w:t xml:space="preserve">CDC DFWED – </w:t>
        </w:r>
        <w:r w:rsidR="00D67035">
          <w:t>Endemic Mycoses</w:t>
        </w:r>
        <w:r>
          <w:t xml:space="preserve"> – Supporting Statement A    </w:t>
        </w:r>
        <w:r w:rsidR="00780DC1">
          <w:fldChar w:fldCharType="begin"/>
        </w:r>
        <w:r w:rsidR="00780DC1">
          <w:instrText xml:space="preserve"> PAGE   \* MERGEFORMAT </w:instrText>
        </w:r>
        <w:r w:rsidR="00780DC1">
          <w:fldChar w:fldCharType="separate"/>
        </w:r>
        <w:r w:rsidR="00C45924">
          <w:rPr>
            <w:noProof/>
          </w:rPr>
          <w:t>3</w:t>
        </w:r>
        <w:r w:rsidR="00780DC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0759" w:rsidP="008B5D54" w14:paraId="0D245E5B" w14:textId="77777777">
      <w:pPr>
        <w:spacing w:after="0" w:line="240" w:lineRule="auto"/>
      </w:pPr>
      <w:r>
        <w:separator/>
      </w:r>
    </w:p>
  </w:footnote>
  <w:footnote w:type="continuationSeparator" w:id="1">
    <w:p w:rsidR="00390759" w:rsidP="008B5D54" w14:paraId="28481281" w14:textId="77777777">
      <w:pPr>
        <w:spacing w:after="0" w:line="240" w:lineRule="auto"/>
      </w:pPr>
      <w:r>
        <w:continuationSeparator/>
      </w:r>
    </w:p>
  </w:footnote>
  <w:footnote w:type="continuationNotice" w:id="2">
    <w:p w:rsidR="00390759" w14:paraId="7F9E0DCB" w14:textId="77777777">
      <w:pPr>
        <w:spacing w:after="0" w:line="240" w:lineRule="auto"/>
      </w:pPr>
    </w:p>
  </w:footnote>
  <w:footnote w:id="3">
    <w:p w:rsidR="00914369" w14:paraId="2AB11D1E" w14:textId="4F01BF5B">
      <w:pPr>
        <w:pStyle w:val="FootnoteText"/>
      </w:pPr>
      <w:r>
        <w:rPr>
          <w:rStyle w:val="FootnoteReference"/>
        </w:rPr>
        <w:footnoteRef/>
      </w:r>
      <w:r>
        <w:t xml:space="preserve"> </w:t>
      </w:r>
      <w:r w:rsidRPr="00914369">
        <w:rPr>
          <w:sz w:val="18"/>
          <w:szCs w:val="18"/>
        </w:rPr>
        <w:t>https://emergency.cdc.gov/coca/calls/2023/callinfo_092123.asp</w:t>
      </w:r>
    </w:p>
  </w:footnote>
  <w:footnote w:id="4">
    <w:p w:rsidR="00DA6F9E" w14:paraId="062B2FC0" w14:textId="5B413CB1">
      <w:pPr>
        <w:pStyle w:val="FootnoteText"/>
      </w:pPr>
      <w:r>
        <w:rPr>
          <w:rStyle w:val="FootnoteReference"/>
        </w:rPr>
        <w:footnoteRef/>
      </w:r>
      <w:r>
        <w:t xml:space="preserve"> </w:t>
      </w:r>
      <w:r w:rsidRPr="00DA6F9E">
        <w:rPr>
          <w:sz w:val="18"/>
          <w:szCs w:val="18"/>
        </w:rPr>
        <w:t xml:space="preserve">Benedict, K., Li, Y., Molinari, N. A. M., &amp; Jackson, B. R. (2021). Health Care Providers' Testing Practices for Coccidioidomycosis and Histoplasmosis in Patients </w:t>
      </w:r>
      <w:r w:rsidRPr="00DA6F9E">
        <w:rPr>
          <w:sz w:val="18"/>
          <w:szCs w:val="18"/>
        </w:rPr>
        <w:t>With</w:t>
      </w:r>
      <w:r w:rsidRPr="00DA6F9E">
        <w:rPr>
          <w:sz w:val="18"/>
          <w:szCs w:val="18"/>
        </w:rPr>
        <w:t xml:space="preserve"> Community-Acquired Pneumonia-United States, 2020. Open forum infectious diseases, 8(2), ofab020. https://doi.org/10.1093/ofid/ofab020</w:t>
      </w:r>
    </w:p>
  </w:footnote>
  <w:footnote w:id="5">
    <w:p w:rsidR="00DA6F9E" w14:paraId="279AB3B0" w14:textId="738A2C91">
      <w:pPr>
        <w:pStyle w:val="FootnoteText"/>
      </w:pPr>
      <w:r>
        <w:rPr>
          <w:rStyle w:val="FootnoteReference"/>
        </w:rPr>
        <w:footnoteRef/>
      </w:r>
      <w:r>
        <w:t xml:space="preserve"> </w:t>
      </w:r>
      <w:r w:rsidRPr="00DA6F9E">
        <w:rPr>
          <w:sz w:val="18"/>
          <w:szCs w:val="18"/>
        </w:rPr>
        <w:t xml:space="preserve">Miller, A. C., </w:t>
      </w:r>
      <w:r w:rsidRPr="00DA6F9E">
        <w:rPr>
          <w:sz w:val="18"/>
          <w:szCs w:val="18"/>
        </w:rPr>
        <w:t>Arakkal</w:t>
      </w:r>
      <w:r w:rsidRPr="00DA6F9E">
        <w:rPr>
          <w:sz w:val="18"/>
          <w:szCs w:val="18"/>
        </w:rPr>
        <w:t xml:space="preserve">, A. T., </w:t>
      </w:r>
      <w:r w:rsidRPr="00DA6F9E">
        <w:rPr>
          <w:sz w:val="18"/>
          <w:szCs w:val="18"/>
        </w:rPr>
        <w:t>Koeneman</w:t>
      </w:r>
      <w:r w:rsidRPr="00DA6F9E">
        <w:rPr>
          <w:sz w:val="18"/>
          <w:szCs w:val="18"/>
        </w:rPr>
        <w:t xml:space="preserve">, S. H., Cavanaugh, J. E., Thompson, G. R., </w:t>
      </w:r>
      <w:r w:rsidRPr="00DA6F9E">
        <w:rPr>
          <w:sz w:val="18"/>
          <w:szCs w:val="18"/>
        </w:rPr>
        <w:t>Baddley</w:t>
      </w:r>
      <w:r w:rsidRPr="00DA6F9E">
        <w:rPr>
          <w:sz w:val="18"/>
          <w:szCs w:val="18"/>
        </w:rPr>
        <w:t xml:space="preserve">, J. W., &amp; </w:t>
      </w:r>
      <w:r w:rsidRPr="00DA6F9E">
        <w:rPr>
          <w:sz w:val="18"/>
          <w:szCs w:val="18"/>
        </w:rPr>
        <w:t>Polgreen</w:t>
      </w:r>
      <w:r w:rsidRPr="00DA6F9E">
        <w:rPr>
          <w:sz w:val="18"/>
          <w:szCs w:val="18"/>
        </w:rPr>
        <w:t>, P. M. (2022). Frequency and Duration of, and Risk Factors for, Diagnostic Delays Associated with Histoplasmosis. Journal of fungi (Basel, Switzerland), 8(5), 438. https://doi.org/10.3390/jof8050438</w:t>
      </w:r>
    </w:p>
  </w:footnote>
  <w:footnote w:id="6">
    <w:p w:rsidR="00E27B76" w14:paraId="4A128A1A" w14:textId="6CAD277A">
      <w:pPr>
        <w:pStyle w:val="FootnoteText"/>
      </w:pPr>
      <w:r>
        <w:rPr>
          <w:rStyle w:val="FootnoteReference"/>
        </w:rPr>
        <w:footnoteRef/>
      </w:r>
      <w:r>
        <w:t xml:space="preserve"> </w:t>
      </w:r>
      <w:r w:rsidRPr="00E27B76">
        <w:rPr>
          <w:sz w:val="18"/>
          <w:szCs w:val="18"/>
        </w:rPr>
        <w:t>Alpern</w:t>
      </w:r>
      <w:r w:rsidRPr="00E27B76">
        <w:rPr>
          <w:sz w:val="18"/>
          <w:szCs w:val="18"/>
        </w:rPr>
        <w:t xml:space="preserve">, J. D., Bahr, N. C., Vazquez-Benitez, G., Boulware, D. R., </w:t>
      </w:r>
      <w:r w:rsidRPr="00E27B76">
        <w:rPr>
          <w:sz w:val="18"/>
          <w:szCs w:val="18"/>
        </w:rPr>
        <w:t>Sellman</w:t>
      </w:r>
      <w:r w:rsidRPr="00E27B76">
        <w:rPr>
          <w:sz w:val="18"/>
          <w:szCs w:val="18"/>
        </w:rPr>
        <w:t xml:space="preserve">, J. S., &amp; </w:t>
      </w:r>
      <w:r w:rsidRPr="00E27B76">
        <w:rPr>
          <w:sz w:val="18"/>
          <w:szCs w:val="18"/>
        </w:rPr>
        <w:t>Sarosi</w:t>
      </w:r>
      <w:r w:rsidRPr="00E27B76">
        <w:rPr>
          <w:sz w:val="18"/>
          <w:szCs w:val="18"/>
        </w:rPr>
        <w:t>, G. A. (2016). Diagnostic Delay and Antibiotic Overuse in Acute Pulmonary Blastomycosis. Open forum infectious diseases, 3(2), ofw078. https://doi.org/10.1093/ofid/ofw078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35E6D"/>
    <w:multiLevelType w:val="hybridMultilevel"/>
    <w:tmpl w:val="691CDD06"/>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4C5296"/>
    <w:multiLevelType w:val="hybridMultilevel"/>
    <w:tmpl w:val="F7AC1F8A"/>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151786"/>
    <w:multiLevelType w:val="hybridMultilevel"/>
    <w:tmpl w:val="9D30E2E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595426"/>
    <w:multiLevelType w:val="hybridMultilevel"/>
    <w:tmpl w:val="DF4AC2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586A31"/>
    <w:multiLevelType w:val="hybridMultilevel"/>
    <w:tmpl w:val="DDC43CEC"/>
    <w:lvl w:ilvl="0">
      <w:start w:val="1"/>
      <w:numFmt w:val="decimal"/>
      <w:pStyle w:val="Heading1"/>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50B190F"/>
    <w:multiLevelType w:val="hybridMultilevel"/>
    <w:tmpl w:val="E21E1F30"/>
    <w:lvl w:ilvl="0">
      <w:start w:val="1"/>
      <w:numFmt w:val="decimal"/>
      <w:pStyle w:val="Bulletblank"/>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6">
    <w:nsid w:val="69CB4C54"/>
    <w:multiLevelType w:val="hybridMultilevel"/>
    <w:tmpl w:val="E22666BA"/>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B2E5C31"/>
    <w:multiLevelType w:val="hybridMultilevel"/>
    <w:tmpl w:val="25D26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9142122">
    <w:abstractNumId w:val="8"/>
  </w:num>
  <w:num w:numId="2" w16cid:durableId="1442652843">
    <w:abstractNumId w:val="4"/>
  </w:num>
  <w:num w:numId="3" w16cid:durableId="349841142">
    <w:abstractNumId w:val="7"/>
  </w:num>
  <w:num w:numId="4" w16cid:durableId="276379067">
    <w:abstractNumId w:val="5"/>
  </w:num>
  <w:num w:numId="5" w16cid:durableId="1903828531">
    <w:abstractNumId w:val="3"/>
  </w:num>
  <w:num w:numId="6" w16cid:durableId="1605187615">
    <w:abstractNumId w:val="2"/>
  </w:num>
  <w:num w:numId="7" w16cid:durableId="2110468452">
    <w:abstractNumId w:val="0"/>
  </w:num>
  <w:num w:numId="8" w16cid:durableId="545335131">
    <w:abstractNumId w:val="1"/>
  </w:num>
  <w:num w:numId="9" w16cid:durableId="2047638402">
    <w:abstractNumId w:val="9"/>
  </w:num>
  <w:num w:numId="10" w16cid:durableId="1020426086">
    <w:abstractNumId w:val="4"/>
  </w:num>
  <w:num w:numId="11" w16cid:durableId="1737439285">
    <w:abstractNumId w:val="4"/>
  </w:num>
  <w:num w:numId="12" w16cid:durableId="116220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4538"/>
    <w:rsid w:val="00015C1E"/>
    <w:rsid w:val="00022A54"/>
    <w:rsid w:val="0003695E"/>
    <w:rsid w:val="0003718C"/>
    <w:rsid w:val="00041AF5"/>
    <w:rsid w:val="0005699B"/>
    <w:rsid w:val="00077A77"/>
    <w:rsid w:val="00083EBB"/>
    <w:rsid w:val="00087A53"/>
    <w:rsid w:val="000B1AAA"/>
    <w:rsid w:val="000C1525"/>
    <w:rsid w:val="000C1760"/>
    <w:rsid w:val="000D3799"/>
    <w:rsid w:val="000E1D1D"/>
    <w:rsid w:val="00124128"/>
    <w:rsid w:val="00136891"/>
    <w:rsid w:val="00144252"/>
    <w:rsid w:val="00144D4A"/>
    <w:rsid w:val="001523DF"/>
    <w:rsid w:val="00163761"/>
    <w:rsid w:val="00165CBA"/>
    <w:rsid w:val="0016686A"/>
    <w:rsid w:val="00181DB5"/>
    <w:rsid w:val="00190555"/>
    <w:rsid w:val="001A1EC6"/>
    <w:rsid w:val="001A58BE"/>
    <w:rsid w:val="001C35F8"/>
    <w:rsid w:val="001C646A"/>
    <w:rsid w:val="001C6A05"/>
    <w:rsid w:val="001C7D1F"/>
    <w:rsid w:val="001D6401"/>
    <w:rsid w:val="001E08A8"/>
    <w:rsid w:val="002219F8"/>
    <w:rsid w:val="002341A8"/>
    <w:rsid w:val="00237BB7"/>
    <w:rsid w:val="00242D66"/>
    <w:rsid w:val="002438E0"/>
    <w:rsid w:val="002441B9"/>
    <w:rsid w:val="0025156B"/>
    <w:rsid w:val="002519D8"/>
    <w:rsid w:val="00252E6F"/>
    <w:rsid w:val="0025675F"/>
    <w:rsid w:val="00273FF1"/>
    <w:rsid w:val="00277E2B"/>
    <w:rsid w:val="002A15BE"/>
    <w:rsid w:val="002B3626"/>
    <w:rsid w:val="002D7147"/>
    <w:rsid w:val="002F0CE1"/>
    <w:rsid w:val="002F1B39"/>
    <w:rsid w:val="002F21EB"/>
    <w:rsid w:val="002F2334"/>
    <w:rsid w:val="003008D9"/>
    <w:rsid w:val="00301047"/>
    <w:rsid w:val="00304BBB"/>
    <w:rsid w:val="00310BDA"/>
    <w:rsid w:val="003172CD"/>
    <w:rsid w:val="00326757"/>
    <w:rsid w:val="003412B5"/>
    <w:rsid w:val="003419B3"/>
    <w:rsid w:val="00346274"/>
    <w:rsid w:val="00390759"/>
    <w:rsid w:val="003914F4"/>
    <w:rsid w:val="003B2FB4"/>
    <w:rsid w:val="003F4523"/>
    <w:rsid w:val="003F60CF"/>
    <w:rsid w:val="004028A0"/>
    <w:rsid w:val="00407A5A"/>
    <w:rsid w:val="00413A6E"/>
    <w:rsid w:val="0043440D"/>
    <w:rsid w:val="00446A7C"/>
    <w:rsid w:val="00447D01"/>
    <w:rsid w:val="00457259"/>
    <w:rsid w:val="00474B4E"/>
    <w:rsid w:val="004760A9"/>
    <w:rsid w:val="004841D1"/>
    <w:rsid w:val="00484CE1"/>
    <w:rsid w:val="00490D85"/>
    <w:rsid w:val="004A0034"/>
    <w:rsid w:val="004A13E8"/>
    <w:rsid w:val="004A2015"/>
    <w:rsid w:val="004B1B52"/>
    <w:rsid w:val="004B2E2A"/>
    <w:rsid w:val="004C24FD"/>
    <w:rsid w:val="004D0CD2"/>
    <w:rsid w:val="00535051"/>
    <w:rsid w:val="0054641F"/>
    <w:rsid w:val="00547009"/>
    <w:rsid w:val="00567512"/>
    <w:rsid w:val="00574914"/>
    <w:rsid w:val="005A16A4"/>
    <w:rsid w:val="005B767B"/>
    <w:rsid w:val="005F1520"/>
    <w:rsid w:val="005F2BAB"/>
    <w:rsid w:val="005F75B7"/>
    <w:rsid w:val="00632C10"/>
    <w:rsid w:val="00651B51"/>
    <w:rsid w:val="00674026"/>
    <w:rsid w:val="00687201"/>
    <w:rsid w:val="00687CB6"/>
    <w:rsid w:val="006904BE"/>
    <w:rsid w:val="006969B7"/>
    <w:rsid w:val="006B4E7B"/>
    <w:rsid w:val="006C4E11"/>
    <w:rsid w:val="006C6578"/>
    <w:rsid w:val="006F7E5C"/>
    <w:rsid w:val="00713C81"/>
    <w:rsid w:val="00715203"/>
    <w:rsid w:val="00724753"/>
    <w:rsid w:val="00727ADC"/>
    <w:rsid w:val="007335B2"/>
    <w:rsid w:val="0074273C"/>
    <w:rsid w:val="007438CC"/>
    <w:rsid w:val="00766B83"/>
    <w:rsid w:val="00767834"/>
    <w:rsid w:val="007709B3"/>
    <w:rsid w:val="007726AF"/>
    <w:rsid w:val="00780DC1"/>
    <w:rsid w:val="007928F4"/>
    <w:rsid w:val="00793496"/>
    <w:rsid w:val="007E0C99"/>
    <w:rsid w:val="007F3DD3"/>
    <w:rsid w:val="007F46E9"/>
    <w:rsid w:val="007F66D3"/>
    <w:rsid w:val="00804687"/>
    <w:rsid w:val="00827F0C"/>
    <w:rsid w:val="0084040E"/>
    <w:rsid w:val="008456E4"/>
    <w:rsid w:val="00864E3D"/>
    <w:rsid w:val="008710EC"/>
    <w:rsid w:val="008928EE"/>
    <w:rsid w:val="008A07BE"/>
    <w:rsid w:val="008B5D54"/>
    <w:rsid w:val="008C2A1E"/>
    <w:rsid w:val="008C5448"/>
    <w:rsid w:val="008D5AEA"/>
    <w:rsid w:val="008F1415"/>
    <w:rsid w:val="00914369"/>
    <w:rsid w:val="00937D6B"/>
    <w:rsid w:val="00941542"/>
    <w:rsid w:val="00963E7C"/>
    <w:rsid w:val="0097648F"/>
    <w:rsid w:val="00984FE5"/>
    <w:rsid w:val="00997D0E"/>
    <w:rsid w:val="009A79E1"/>
    <w:rsid w:val="009B0947"/>
    <w:rsid w:val="009E6489"/>
    <w:rsid w:val="009E77F3"/>
    <w:rsid w:val="009F2F37"/>
    <w:rsid w:val="00A17F38"/>
    <w:rsid w:val="00A239FB"/>
    <w:rsid w:val="00A26E81"/>
    <w:rsid w:val="00A67086"/>
    <w:rsid w:val="00A72B08"/>
    <w:rsid w:val="00A824A9"/>
    <w:rsid w:val="00A82C88"/>
    <w:rsid w:val="00A86824"/>
    <w:rsid w:val="00AA10EA"/>
    <w:rsid w:val="00AA1B56"/>
    <w:rsid w:val="00AA7410"/>
    <w:rsid w:val="00AC150A"/>
    <w:rsid w:val="00AC73D8"/>
    <w:rsid w:val="00AD2F36"/>
    <w:rsid w:val="00AD4B97"/>
    <w:rsid w:val="00AE16D0"/>
    <w:rsid w:val="00AE2215"/>
    <w:rsid w:val="00B22024"/>
    <w:rsid w:val="00B45624"/>
    <w:rsid w:val="00B471A6"/>
    <w:rsid w:val="00B55735"/>
    <w:rsid w:val="00B608AC"/>
    <w:rsid w:val="00B6449E"/>
    <w:rsid w:val="00B64B9E"/>
    <w:rsid w:val="00B91400"/>
    <w:rsid w:val="00B93E96"/>
    <w:rsid w:val="00B97C11"/>
    <w:rsid w:val="00BA6B1A"/>
    <w:rsid w:val="00BA7F2F"/>
    <w:rsid w:val="00BC7BBC"/>
    <w:rsid w:val="00BF4D70"/>
    <w:rsid w:val="00C32380"/>
    <w:rsid w:val="00C45270"/>
    <w:rsid w:val="00C45924"/>
    <w:rsid w:val="00C46FE9"/>
    <w:rsid w:val="00C525E4"/>
    <w:rsid w:val="00C553B7"/>
    <w:rsid w:val="00C76C3A"/>
    <w:rsid w:val="00C90B13"/>
    <w:rsid w:val="00CC78ED"/>
    <w:rsid w:val="00CD2AA4"/>
    <w:rsid w:val="00CF6F49"/>
    <w:rsid w:val="00D13EA1"/>
    <w:rsid w:val="00D42969"/>
    <w:rsid w:val="00D525E8"/>
    <w:rsid w:val="00D609A0"/>
    <w:rsid w:val="00D66240"/>
    <w:rsid w:val="00D67035"/>
    <w:rsid w:val="00D728C2"/>
    <w:rsid w:val="00D832A3"/>
    <w:rsid w:val="00D94DB3"/>
    <w:rsid w:val="00D952DF"/>
    <w:rsid w:val="00DA6F9E"/>
    <w:rsid w:val="00DB5853"/>
    <w:rsid w:val="00DC2D2E"/>
    <w:rsid w:val="00DC57CC"/>
    <w:rsid w:val="00DC74EE"/>
    <w:rsid w:val="00E21144"/>
    <w:rsid w:val="00E23514"/>
    <w:rsid w:val="00E27B76"/>
    <w:rsid w:val="00E37291"/>
    <w:rsid w:val="00E80D2C"/>
    <w:rsid w:val="00E903D2"/>
    <w:rsid w:val="00EA768C"/>
    <w:rsid w:val="00EB7F82"/>
    <w:rsid w:val="00EC309D"/>
    <w:rsid w:val="00EC48F3"/>
    <w:rsid w:val="00ED4D0D"/>
    <w:rsid w:val="00F00226"/>
    <w:rsid w:val="00F170F4"/>
    <w:rsid w:val="00F2121E"/>
    <w:rsid w:val="00F548DB"/>
    <w:rsid w:val="00F56C86"/>
    <w:rsid w:val="00F91590"/>
    <w:rsid w:val="00FB266C"/>
    <w:rsid w:val="00FD1C02"/>
    <w:rsid w:val="00FE0398"/>
    <w:rsid w:val="00FE72E4"/>
    <w:rsid w:val="00FF40BC"/>
    <w:rsid w:val="05137B60"/>
    <w:rsid w:val="0812F066"/>
    <w:rsid w:val="11BC27F6"/>
    <w:rsid w:val="11FFC5BA"/>
    <w:rsid w:val="124526CF"/>
    <w:rsid w:val="15DBB544"/>
    <w:rsid w:val="1A4CA760"/>
    <w:rsid w:val="1B7E6FDB"/>
    <w:rsid w:val="1F9CE81F"/>
    <w:rsid w:val="21BE6F5C"/>
    <w:rsid w:val="246F333C"/>
    <w:rsid w:val="253269AB"/>
    <w:rsid w:val="25CBFEC9"/>
    <w:rsid w:val="363BB8F0"/>
    <w:rsid w:val="36D387A6"/>
    <w:rsid w:val="389CA5B7"/>
    <w:rsid w:val="398A7620"/>
    <w:rsid w:val="3B0AC079"/>
    <w:rsid w:val="3E57A105"/>
    <w:rsid w:val="3FC5DC6C"/>
    <w:rsid w:val="402FCC15"/>
    <w:rsid w:val="416765FC"/>
    <w:rsid w:val="428FE973"/>
    <w:rsid w:val="46260E28"/>
    <w:rsid w:val="4663F614"/>
    <w:rsid w:val="469E206F"/>
    <w:rsid w:val="47918708"/>
    <w:rsid w:val="4799B6AE"/>
    <w:rsid w:val="47FE6E82"/>
    <w:rsid w:val="480AD08C"/>
    <w:rsid w:val="4C377A6A"/>
    <w:rsid w:val="4D716C39"/>
    <w:rsid w:val="4D7C20F5"/>
    <w:rsid w:val="4EFB2A6F"/>
    <w:rsid w:val="5129BE2D"/>
    <w:rsid w:val="57B688C4"/>
    <w:rsid w:val="5DA6442E"/>
    <w:rsid w:val="5E4A9A02"/>
    <w:rsid w:val="5EEDF07F"/>
    <w:rsid w:val="62AA504C"/>
    <w:rsid w:val="62B0B7AC"/>
    <w:rsid w:val="640E7203"/>
    <w:rsid w:val="64570549"/>
    <w:rsid w:val="650E5550"/>
    <w:rsid w:val="664FC606"/>
    <w:rsid w:val="667637C3"/>
    <w:rsid w:val="667BC769"/>
    <w:rsid w:val="6910D000"/>
    <w:rsid w:val="6913791E"/>
    <w:rsid w:val="69BA8F6B"/>
    <w:rsid w:val="6CB22B57"/>
    <w:rsid w:val="727FCD34"/>
    <w:rsid w:val="7359B2F9"/>
    <w:rsid w:val="762E7001"/>
    <w:rsid w:val="76F79495"/>
    <w:rsid w:val="7C0B631A"/>
    <w:rsid w:val="7F0200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F20D7C89-1DA5-4C0A-BDC4-3E5FB1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aliases w:val="Bullet Level 2"/>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aliases w:val="Bullet Level 2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D728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28C2"/>
    <w:rPr>
      <w:rFonts w:ascii="Times New Roman" w:hAnsi="Times New Roman"/>
      <w:sz w:val="20"/>
      <w:szCs w:val="20"/>
    </w:rPr>
  </w:style>
  <w:style w:type="character" w:styleId="FootnoteReference">
    <w:name w:val="footnote reference"/>
    <w:basedOn w:val="DefaultParagraphFont"/>
    <w:uiPriority w:val="99"/>
    <w:semiHidden/>
    <w:unhideWhenUsed/>
    <w:rsid w:val="00D728C2"/>
    <w:rPr>
      <w:vertAlign w:val="superscript"/>
    </w:rPr>
  </w:style>
  <w:style w:type="character" w:styleId="UnresolvedMention">
    <w:name w:val="Unresolved Mention"/>
    <w:basedOn w:val="DefaultParagraphFont"/>
    <w:uiPriority w:val="99"/>
    <w:semiHidden/>
    <w:unhideWhenUsed/>
    <w:rsid w:val="00D728C2"/>
    <w:rPr>
      <w:color w:val="605E5C"/>
      <w:shd w:val="clear" w:color="auto" w:fill="E1DFDD"/>
    </w:rPr>
  </w:style>
  <w:style w:type="paragraph" w:customStyle="1" w:styleId="BodyText1">
    <w:name w:val="Body Text1"/>
    <w:basedOn w:val="Normal"/>
    <w:next w:val="BodyText"/>
    <w:link w:val="bodytextChar"/>
    <w:qFormat/>
    <w:rsid w:val="003172CD"/>
    <w:pPr>
      <w:spacing w:line="240" w:lineRule="auto"/>
    </w:pPr>
    <w:rPr>
      <w:rFonts w:eastAsia="Calibri"/>
      <w:lang w:val="x-none" w:eastAsia="x-none"/>
    </w:rPr>
  </w:style>
  <w:style w:type="character" w:customStyle="1" w:styleId="bodytextChar">
    <w:name w:val="body text Char"/>
    <w:link w:val="BodyText1"/>
    <w:rsid w:val="003172CD"/>
    <w:rPr>
      <w:rFonts w:ascii="Times New Roman" w:eastAsia="Calibri" w:hAnsi="Times New Roman"/>
      <w:sz w:val="24"/>
      <w:lang w:val="x-none" w:eastAsia="x-none"/>
    </w:rPr>
  </w:style>
  <w:style w:type="paragraph" w:styleId="BodyText">
    <w:name w:val="Body Text"/>
    <w:basedOn w:val="Normal"/>
    <w:link w:val="BodyTextChar0"/>
    <w:uiPriority w:val="99"/>
    <w:semiHidden/>
    <w:unhideWhenUsed/>
    <w:rsid w:val="003172CD"/>
    <w:pPr>
      <w:spacing w:after="120"/>
    </w:pPr>
  </w:style>
  <w:style w:type="character" w:customStyle="1" w:styleId="BodyTextChar0">
    <w:name w:val="Body Text Char"/>
    <w:basedOn w:val="DefaultParagraphFont"/>
    <w:link w:val="BodyText"/>
    <w:uiPriority w:val="99"/>
    <w:semiHidden/>
    <w:rsid w:val="003172CD"/>
    <w:rPr>
      <w:rFonts w:ascii="Times New Roman" w:hAnsi="Times New Roman"/>
      <w:sz w:val="24"/>
    </w:rPr>
  </w:style>
  <w:style w:type="paragraph" w:customStyle="1" w:styleId="bodytextpsg">
    <w:name w:val="body text_psg"/>
    <w:basedOn w:val="Normal"/>
    <w:link w:val="bodytextpsgCharChar"/>
    <w:rsid w:val="00D609A0"/>
    <w:pPr>
      <w:spacing w:after="160" w:line="240" w:lineRule="auto"/>
      <w:ind w:firstLine="547"/>
    </w:pPr>
    <w:rPr>
      <w:rFonts w:eastAsia="Times New Roman" w:cs="Times New Roman"/>
      <w:sz w:val="22"/>
      <w:szCs w:val="20"/>
    </w:rPr>
  </w:style>
  <w:style w:type="character" w:customStyle="1" w:styleId="bodytextpsgCharChar">
    <w:name w:val="body text_psg Char Char"/>
    <w:link w:val="bodytextpsg"/>
    <w:rsid w:val="00D609A0"/>
    <w:rPr>
      <w:rFonts w:ascii="Times New Roman" w:eastAsia="Times New Roman" w:hAnsi="Times New Roman" w:cs="Times New Roman"/>
      <w:szCs w:val="20"/>
    </w:rPr>
  </w:style>
  <w:style w:type="paragraph" w:customStyle="1" w:styleId="Bulletblank">
    <w:name w:val="Bullet_blank"/>
    <w:basedOn w:val="Normal"/>
    <w:qFormat/>
    <w:rsid w:val="00D609A0"/>
    <w:pPr>
      <w:numPr>
        <w:numId w:val="4"/>
      </w:numPr>
      <w:spacing w:after="0" w:line="360" w:lineRule="auto"/>
      <w:ind w:left="1080"/>
    </w:pPr>
    <w:rPr>
      <w:rFonts w:eastAsia="Times New Roman" w:cs="Times New Roman"/>
      <w:szCs w:val="24"/>
    </w:rPr>
  </w:style>
  <w:style w:type="paragraph" w:customStyle="1" w:styleId="after-12">
    <w:name w:val="after-12"/>
    <w:basedOn w:val="BodyText"/>
    <w:qFormat/>
    <w:rsid w:val="00D609A0"/>
    <w:pPr>
      <w:spacing w:before="240" w:after="240" w:line="360" w:lineRule="auto"/>
      <w:ind w:firstLine="720"/>
    </w:pPr>
    <w:rPr>
      <w:rFonts w:eastAsia="Times New Roman" w:cs="Times New Roman"/>
      <w:szCs w:val="24"/>
    </w:rPr>
  </w:style>
  <w:style w:type="table" w:customStyle="1" w:styleId="TableGrid1">
    <w:name w:val="Table Grid1"/>
    <w:basedOn w:val="TableNormal"/>
    <w:next w:val="TableGrid"/>
    <w:uiPriority w:val="59"/>
    <w:rsid w:val="00D609A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09A0"/>
    <w:rPr>
      <w:sz w:val="16"/>
      <w:szCs w:val="16"/>
    </w:rPr>
  </w:style>
  <w:style w:type="paragraph" w:styleId="CommentText">
    <w:name w:val="annotation text"/>
    <w:basedOn w:val="Normal"/>
    <w:link w:val="CommentTextChar"/>
    <w:uiPriority w:val="99"/>
    <w:unhideWhenUsed/>
    <w:rsid w:val="00D609A0"/>
    <w:pPr>
      <w:spacing w:line="240" w:lineRule="auto"/>
    </w:pPr>
    <w:rPr>
      <w:sz w:val="20"/>
      <w:szCs w:val="20"/>
    </w:rPr>
  </w:style>
  <w:style w:type="character" w:customStyle="1" w:styleId="CommentTextChar">
    <w:name w:val="Comment Text Char"/>
    <w:basedOn w:val="DefaultParagraphFont"/>
    <w:link w:val="CommentText"/>
    <w:uiPriority w:val="99"/>
    <w:rsid w:val="00D609A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609A0"/>
    <w:rPr>
      <w:b/>
      <w:bCs/>
    </w:rPr>
  </w:style>
  <w:style w:type="character" w:customStyle="1" w:styleId="CommentSubjectChar">
    <w:name w:val="Comment Subject Char"/>
    <w:basedOn w:val="CommentTextChar"/>
    <w:link w:val="CommentSubject"/>
    <w:uiPriority w:val="99"/>
    <w:semiHidden/>
    <w:rsid w:val="00D609A0"/>
    <w:rPr>
      <w:rFonts w:ascii="Times New Roman" w:hAnsi="Times New Roman"/>
      <w:b/>
      <w:bCs/>
      <w:sz w:val="20"/>
      <w:szCs w:val="20"/>
    </w:rPr>
  </w:style>
  <w:style w:type="paragraph" w:styleId="Revision">
    <w:name w:val="Revision"/>
    <w:hidden/>
    <w:uiPriority w:val="99"/>
    <w:semiHidden/>
    <w:rsid w:val="0045725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nhr9@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0" ma:contentTypeDescription="Create a new document." ma:contentTypeScope="" ma:versionID="ee3fb4a0be83ee1a64cc5d1a24426de5">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1d39bdbd297502fe1d74ac8623179fad"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92fbbc55-9409-4142-b68d-a1b40e777604"/>
    <ds:schemaRef ds:uri="2c9027b9-d1cd-485f-aa29-2017f722a320"/>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7B38E032-BB9D-419C-AEFB-685D25DD7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1962D-A9CD-4ADF-B12D-2494D5B6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(CDC/IOD/OS)</cp:lastModifiedBy>
  <cp:revision>3</cp:revision>
  <dcterms:created xsi:type="dcterms:W3CDTF">2024-01-10T12:05:00Z</dcterms:created>
  <dcterms:modified xsi:type="dcterms:W3CDTF">2024-01-10T12:20:00Z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7b94a7b8-f06c-4dfe-bdcc-9b548fd58c31_ActionId">
    <vt:lpwstr>8e295eca-e72d-49fc-907e-efdeff48f4ff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2023-11-20T14:31:03Z</vt:lpwstr>
  </property>
  <property fmtid="{D5CDD505-2E9C-101B-9397-08002B2CF9AE}" pid="10" name="MSIP_Label_7b94a7b8-f06c-4dfe-bdcc-9b548fd58c31_SiteId">
    <vt:lpwstr>9ce70869-60db-44fd-abe8-d2767077fc8f</vt:lpwstr>
  </property>
  <property fmtid="{D5CDD505-2E9C-101B-9397-08002B2CF9AE}" pid="11" name="_dlc_DocIdItemGuid">
    <vt:lpwstr>e28d4fa4-bae3-4cdf-93ea-0dd5dc1c0e99</vt:lpwstr>
  </property>
</Properties>
</file>