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395A" w14:paraId="00000001" w14:textId="77777777">
      <w:pPr>
        <w:spacing w:after="160" w:line="259" w:lineRule="auto"/>
        <w:jc w:val="center"/>
        <w:rPr>
          <w:b/>
        </w:rPr>
      </w:pPr>
      <w:r>
        <w:rPr>
          <w:b/>
        </w:rPr>
        <w:t>Generic Clearance for CDC/ATSDR</w:t>
      </w:r>
    </w:p>
    <w:p w:rsidR="0052395A" w14:paraId="00000002" w14:textId="77777777">
      <w:pPr>
        <w:spacing w:after="160" w:line="259" w:lineRule="auto"/>
        <w:jc w:val="center"/>
        <w:rPr>
          <w:b/>
        </w:rPr>
      </w:pPr>
      <w:r>
        <w:rPr>
          <w:b/>
        </w:rPr>
        <w:t>Formative Research and Tool Development</w:t>
      </w:r>
    </w:p>
    <w:p w:rsidR="0052395A" w14:paraId="00000003" w14:textId="77777777">
      <w:pPr>
        <w:spacing w:after="160" w:line="259" w:lineRule="auto"/>
        <w:jc w:val="center"/>
        <w:rPr>
          <w:b/>
          <w:i/>
        </w:rPr>
      </w:pPr>
      <w:r>
        <w:rPr>
          <w:b/>
        </w:rPr>
        <w:t xml:space="preserve">Title: </w:t>
      </w:r>
      <w:r>
        <w:rPr>
          <w:b/>
          <w:i/>
        </w:rPr>
        <w:t>Formative Testing of CDCs Mild Traumatic Brain Injury and Concussion Discharge Instructions for American Indian and Alaska Native Adult Patients</w:t>
      </w:r>
    </w:p>
    <w:p w:rsidR="0052395A" w14:paraId="00000004" w14:textId="77777777">
      <w:pPr>
        <w:spacing w:after="160" w:line="259" w:lineRule="auto"/>
        <w:jc w:val="center"/>
        <w:rPr>
          <w:b/>
          <w:i/>
        </w:rPr>
      </w:pPr>
    </w:p>
    <w:p w:rsidR="0052395A" w14:paraId="00000005" w14:textId="77777777">
      <w:pPr>
        <w:spacing w:after="160" w:line="259" w:lineRule="auto"/>
        <w:jc w:val="center"/>
        <w:rPr>
          <w:b/>
        </w:rPr>
      </w:pPr>
    </w:p>
    <w:p w:rsidR="0052395A" w14:paraId="00000006" w14:textId="77777777">
      <w:pPr>
        <w:spacing w:after="160" w:line="259" w:lineRule="auto"/>
        <w:jc w:val="center"/>
      </w:pPr>
      <w:r>
        <w:t xml:space="preserve">Supporting </w:t>
      </w:r>
      <w:r>
        <w:t>Statement</w:t>
      </w:r>
      <w:r>
        <w:t xml:space="preserve"> A</w:t>
      </w:r>
    </w:p>
    <w:p w:rsidR="0052395A" w14:paraId="00000007" w14:textId="77777777">
      <w:pPr>
        <w:spacing w:after="160" w:line="259" w:lineRule="auto"/>
        <w:jc w:val="center"/>
      </w:pPr>
    </w:p>
    <w:p w:rsidR="0052395A" w14:paraId="00000008" w14:textId="77777777">
      <w:pPr>
        <w:spacing w:after="160" w:line="259" w:lineRule="auto"/>
        <w:jc w:val="center"/>
      </w:pPr>
    </w:p>
    <w:p w:rsidR="0052395A" w14:paraId="00000009" w14:textId="77777777">
      <w:pPr>
        <w:spacing w:after="160" w:line="259" w:lineRule="auto"/>
        <w:jc w:val="center"/>
      </w:pPr>
    </w:p>
    <w:p w:rsidR="0052395A" w14:paraId="0000000A" w14:textId="29B4279B">
      <w:pPr>
        <w:spacing w:after="160" w:line="259" w:lineRule="auto"/>
        <w:jc w:val="center"/>
        <w:rPr>
          <w:i/>
        </w:rPr>
      </w:pPr>
      <w:r>
        <w:rPr>
          <w:i/>
        </w:rPr>
        <w:t>January 9, 2024</w:t>
      </w:r>
    </w:p>
    <w:p w:rsidR="0052395A" w14:paraId="0000000B" w14:textId="77777777">
      <w:pPr>
        <w:spacing w:after="160" w:line="259" w:lineRule="auto"/>
        <w:jc w:val="center"/>
      </w:pPr>
    </w:p>
    <w:p w:rsidR="0052395A" w14:paraId="0000000C" w14:textId="77777777">
      <w:pPr>
        <w:spacing w:after="160" w:line="259" w:lineRule="auto"/>
        <w:jc w:val="center"/>
      </w:pPr>
    </w:p>
    <w:p w:rsidR="0052395A" w14:paraId="0000000D" w14:textId="77777777">
      <w:pPr>
        <w:spacing w:after="160" w:line="259" w:lineRule="auto"/>
        <w:jc w:val="center"/>
      </w:pPr>
    </w:p>
    <w:p w:rsidR="0052395A" w14:paraId="0000000E" w14:textId="77777777">
      <w:pPr>
        <w:spacing w:after="160" w:line="259" w:lineRule="auto"/>
        <w:jc w:val="center"/>
      </w:pPr>
      <w:r>
        <w:t>Contact Information:</w:t>
      </w:r>
    </w:p>
    <w:p w:rsidR="0052395A" w14:paraId="0000000F" w14:textId="77777777">
      <w:pPr>
        <w:spacing w:after="160" w:line="259" w:lineRule="auto"/>
        <w:jc w:val="center"/>
        <w:rPr>
          <w:i/>
        </w:rPr>
      </w:pPr>
      <w:r>
        <w:rPr>
          <w:i/>
        </w:rPr>
        <w:t>Alexis Peterson</w:t>
      </w:r>
    </w:p>
    <w:p w:rsidR="0052395A" w14:paraId="00000010" w14:textId="77777777">
      <w:pPr>
        <w:spacing w:after="160" w:line="259" w:lineRule="auto"/>
        <w:jc w:val="center"/>
        <w:rPr>
          <w:i/>
        </w:rPr>
      </w:pPr>
      <w:r>
        <w:rPr>
          <w:i/>
        </w:rPr>
        <w:t xml:space="preserve">NCIPC/DIP/ASB/TBI </w:t>
      </w:r>
    </w:p>
    <w:p w:rsidR="0052395A" w14:paraId="00000011" w14:textId="77777777">
      <w:pPr>
        <w:spacing w:after="160" w:line="259" w:lineRule="auto"/>
        <w:jc w:val="center"/>
        <w:rPr>
          <w:i/>
        </w:rPr>
      </w:pPr>
      <w:r>
        <w:rPr>
          <w:i/>
        </w:rPr>
        <w:t>770.488.0767</w:t>
      </w:r>
    </w:p>
    <w:p w:rsidR="0052395A" w14:paraId="00000012" w14:textId="77777777">
      <w:pPr>
        <w:spacing w:after="160" w:line="259" w:lineRule="auto"/>
        <w:jc w:val="center"/>
        <w:rPr>
          <w:i/>
        </w:rPr>
      </w:pPr>
      <w:r>
        <w:rPr>
          <w:i/>
          <w:highlight w:val="white"/>
        </w:rPr>
        <w:t>Yxf5@cdc.gov</w:t>
      </w:r>
    </w:p>
    <w:p w:rsidR="0052395A" w14:paraId="00000013" w14:textId="77777777">
      <w:pPr>
        <w:spacing w:after="160" w:line="259" w:lineRule="auto"/>
        <w:jc w:val="center"/>
      </w:pPr>
    </w:p>
    <w:p w:rsidR="0052395A" w14:paraId="00000014" w14:textId="77777777">
      <w:pPr>
        <w:spacing w:after="160" w:line="259" w:lineRule="auto"/>
        <w:jc w:val="center"/>
      </w:pPr>
    </w:p>
    <w:p w:rsidR="0052395A" w14:paraId="00000015" w14:textId="77777777">
      <w:pPr>
        <w:spacing w:after="160" w:line="259" w:lineRule="auto"/>
      </w:pPr>
      <w:r>
        <w:br w:type="page"/>
      </w:r>
    </w:p>
    <w:p w:rsidR="0052395A" w14:paraId="00000016" w14:textId="77777777">
      <w:pPr>
        <w:spacing w:after="160" w:line="259" w:lineRule="auto"/>
        <w:rPr>
          <w:b/>
        </w:rPr>
      </w:pPr>
      <w:r>
        <w:rPr>
          <w:b/>
        </w:rPr>
        <w:t>Table of Contents</w:t>
      </w:r>
    </w:p>
    <w:p w:rsidR="0052395A" w14:paraId="00000017" w14:textId="77777777">
      <w:pPr>
        <w:spacing w:after="160" w:line="259" w:lineRule="auto"/>
        <w:rPr>
          <w:b/>
        </w:rPr>
      </w:pPr>
      <w:r>
        <w:rPr>
          <w:b/>
        </w:rPr>
        <w:t xml:space="preserve">Summary </w:t>
      </w:r>
    </w:p>
    <w:sdt>
      <w:sdtPr>
        <w:id w:val="-1033652900"/>
        <w:docPartObj>
          <w:docPartGallery w:val="Table of Contents"/>
          <w:docPartUnique/>
        </w:docPartObj>
      </w:sdtPr>
      <w:sdtContent>
        <w:p w:rsidR="0052395A" w14:paraId="00000018" w14:textId="77777777">
          <w:pPr>
            <w:widowControl w:val="0"/>
            <w:tabs>
              <w:tab w:val="right" w:pos="12000"/>
            </w:tabs>
            <w:spacing w:before="60"/>
            <w:rPr>
              <w:rFonts w:ascii="Arial" w:eastAsia="Arial" w:hAnsi="Arial" w:cs="Arial"/>
              <w:b/>
              <w:color w:val="000000"/>
              <w:sz w:val="22"/>
              <w:szCs w:val="22"/>
            </w:rPr>
          </w:pPr>
          <w:r>
            <w:fldChar w:fldCharType="begin"/>
          </w:r>
          <w:r>
            <w:instrText xml:space="preserve"> TOC \h \u \z \t "Heading 1,1,Heading 2,2,Heading 3,3,Heading 4,4,Heading 5,5,Heading 6,6,"</w:instrText>
          </w:r>
          <w:r>
            <w:fldChar w:fldCharType="separate"/>
          </w:r>
          <w:hyperlink w:anchor="_heading=h.fqr4qjt3fiip">
            <w:r>
              <w:rPr>
                <w:b/>
                <w:color w:val="000000"/>
              </w:rPr>
              <w:t>A. JUSTIFICATION</w:t>
            </w:r>
            <w:r>
              <w:rPr>
                <w:b/>
                <w:color w:val="000000"/>
              </w:rPr>
              <w:tab/>
              <w:t>4</w:t>
            </w:r>
          </w:hyperlink>
        </w:p>
        <w:p w:rsidR="0052395A" w14:paraId="00000019" w14:textId="77777777">
          <w:pPr>
            <w:widowControl w:val="0"/>
            <w:tabs>
              <w:tab w:val="right" w:pos="12000"/>
            </w:tabs>
            <w:spacing w:before="60"/>
            <w:ind w:left="360"/>
            <w:rPr>
              <w:rFonts w:ascii="Arial" w:eastAsia="Arial" w:hAnsi="Arial" w:cs="Arial"/>
              <w:color w:val="000000"/>
              <w:sz w:val="22"/>
              <w:szCs w:val="22"/>
            </w:rPr>
          </w:pPr>
          <w:hyperlink w:anchor="_heading=h.j7f3e07l66zt">
            <w:r w:rsidR="00391A2E">
              <w:rPr>
                <w:color w:val="000000"/>
              </w:rPr>
              <w:t>1. Circumstances Making the Collection of Information Necessary</w:t>
            </w:r>
            <w:r w:rsidR="00391A2E">
              <w:rPr>
                <w:color w:val="000000"/>
              </w:rPr>
              <w:tab/>
              <w:t>4</w:t>
            </w:r>
          </w:hyperlink>
        </w:p>
        <w:p w:rsidR="0052395A" w14:paraId="0000001A" w14:textId="77777777">
          <w:pPr>
            <w:widowControl w:val="0"/>
            <w:tabs>
              <w:tab w:val="right" w:pos="12000"/>
            </w:tabs>
            <w:spacing w:before="60"/>
            <w:ind w:left="360"/>
            <w:rPr>
              <w:rFonts w:ascii="Arial" w:eastAsia="Arial" w:hAnsi="Arial" w:cs="Arial"/>
              <w:color w:val="000000"/>
              <w:sz w:val="22"/>
              <w:szCs w:val="22"/>
            </w:rPr>
          </w:pPr>
          <w:hyperlink w:anchor="_heading=h.ul0tth1dywfg">
            <w:r w:rsidR="00391A2E">
              <w:rPr>
                <w:color w:val="000000"/>
              </w:rPr>
              <w:t>2. Purpose and Use of Information Collection</w:t>
            </w:r>
            <w:r w:rsidR="00391A2E">
              <w:rPr>
                <w:color w:val="000000"/>
              </w:rPr>
              <w:tab/>
              <w:t>4</w:t>
            </w:r>
          </w:hyperlink>
        </w:p>
        <w:p w:rsidR="0052395A" w14:paraId="0000001B" w14:textId="77777777">
          <w:pPr>
            <w:widowControl w:val="0"/>
            <w:tabs>
              <w:tab w:val="right" w:pos="12000"/>
            </w:tabs>
            <w:spacing w:before="60"/>
            <w:ind w:left="360"/>
            <w:rPr>
              <w:rFonts w:ascii="Arial" w:eastAsia="Arial" w:hAnsi="Arial" w:cs="Arial"/>
              <w:color w:val="000000"/>
              <w:sz w:val="22"/>
              <w:szCs w:val="22"/>
            </w:rPr>
          </w:pPr>
          <w:hyperlink w:anchor="_heading=h.xhg11p743sd8">
            <w:r w:rsidR="00391A2E">
              <w:rPr>
                <w:color w:val="000000"/>
              </w:rPr>
              <w:t>3. Use of Improved Information Technology and Burden Reduction</w:t>
            </w:r>
            <w:r w:rsidR="00391A2E">
              <w:rPr>
                <w:color w:val="000000"/>
              </w:rPr>
              <w:tab/>
              <w:t>4</w:t>
            </w:r>
          </w:hyperlink>
        </w:p>
        <w:p w:rsidR="0052395A" w14:paraId="0000001C" w14:textId="77777777">
          <w:pPr>
            <w:widowControl w:val="0"/>
            <w:tabs>
              <w:tab w:val="right" w:pos="12000"/>
            </w:tabs>
            <w:spacing w:before="60"/>
            <w:ind w:left="360"/>
            <w:rPr>
              <w:rFonts w:ascii="Arial" w:eastAsia="Arial" w:hAnsi="Arial" w:cs="Arial"/>
              <w:color w:val="000000"/>
              <w:sz w:val="22"/>
              <w:szCs w:val="22"/>
            </w:rPr>
          </w:pPr>
          <w:hyperlink w:anchor="_heading=h.2oleysbg6087">
            <w:r w:rsidR="00391A2E">
              <w:rPr>
                <w:color w:val="000000"/>
              </w:rPr>
              <w:t>4. Efforts to Identify Duplication and Use of Similar Information</w:t>
            </w:r>
            <w:r w:rsidR="00391A2E">
              <w:rPr>
                <w:color w:val="000000"/>
              </w:rPr>
              <w:tab/>
              <w:t>5</w:t>
            </w:r>
          </w:hyperlink>
        </w:p>
        <w:p w:rsidR="0052395A" w14:paraId="0000001D" w14:textId="77777777">
          <w:pPr>
            <w:widowControl w:val="0"/>
            <w:tabs>
              <w:tab w:val="right" w:pos="12000"/>
            </w:tabs>
            <w:spacing w:before="60"/>
            <w:ind w:left="360"/>
            <w:rPr>
              <w:rFonts w:ascii="Arial" w:eastAsia="Arial" w:hAnsi="Arial" w:cs="Arial"/>
              <w:color w:val="000000"/>
              <w:sz w:val="22"/>
              <w:szCs w:val="22"/>
            </w:rPr>
          </w:pPr>
          <w:hyperlink w:anchor="_heading=h.5tgc4awokrga">
            <w:r w:rsidR="00391A2E">
              <w:rPr>
                <w:color w:val="000000"/>
              </w:rPr>
              <w:t>5. Impact on Small Businesses or Other Small Entities</w:t>
            </w:r>
            <w:r w:rsidR="00391A2E">
              <w:rPr>
                <w:color w:val="000000"/>
              </w:rPr>
              <w:tab/>
              <w:t>5</w:t>
            </w:r>
          </w:hyperlink>
        </w:p>
        <w:p w:rsidR="0052395A" w14:paraId="0000001E" w14:textId="77777777">
          <w:pPr>
            <w:widowControl w:val="0"/>
            <w:tabs>
              <w:tab w:val="right" w:pos="12000"/>
            </w:tabs>
            <w:spacing w:before="60"/>
            <w:ind w:left="360"/>
            <w:rPr>
              <w:rFonts w:ascii="Arial" w:eastAsia="Arial" w:hAnsi="Arial" w:cs="Arial"/>
              <w:color w:val="000000"/>
              <w:sz w:val="22"/>
              <w:szCs w:val="22"/>
            </w:rPr>
          </w:pPr>
          <w:hyperlink w:anchor="_heading=h.96sc0kku16ch">
            <w:r w:rsidR="00391A2E">
              <w:rPr>
                <w:color w:val="000000"/>
              </w:rPr>
              <w:t>6. Consequences of Collecting the Information Less Frequently</w:t>
            </w:r>
            <w:r w:rsidR="00391A2E">
              <w:rPr>
                <w:color w:val="000000"/>
              </w:rPr>
              <w:tab/>
              <w:t>5</w:t>
            </w:r>
          </w:hyperlink>
        </w:p>
        <w:p w:rsidR="0052395A" w14:paraId="0000001F" w14:textId="77777777">
          <w:pPr>
            <w:widowControl w:val="0"/>
            <w:tabs>
              <w:tab w:val="right" w:pos="12000"/>
            </w:tabs>
            <w:spacing w:before="60"/>
            <w:ind w:left="360"/>
            <w:rPr>
              <w:rFonts w:ascii="Arial" w:eastAsia="Arial" w:hAnsi="Arial" w:cs="Arial"/>
              <w:color w:val="000000"/>
              <w:sz w:val="22"/>
              <w:szCs w:val="22"/>
            </w:rPr>
          </w:pPr>
          <w:hyperlink w:anchor="_heading=h.wn5sul8xudvz">
            <w:r w:rsidR="00391A2E">
              <w:rPr>
                <w:color w:val="000000"/>
              </w:rPr>
              <w:t>7. Special Circumstances Relating to the Guidelines of 5 CFR 1320.5</w:t>
            </w:r>
            <w:r w:rsidR="00391A2E">
              <w:rPr>
                <w:color w:val="000000"/>
              </w:rPr>
              <w:tab/>
              <w:t>5</w:t>
            </w:r>
          </w:hyperlink>
        </w:p>
        <w:p w:rsidR="0052395A" w14:paraId="00000020" w14:textId="77777777">
          <w:pPr>
            <w:widowControl w:val="0"/>
            <w:tabs>
              <w:tab w:val="right" w:pos="12000"/>
            </w:tabs>
            <w:spacing w:before="60"/>
            <w:ind w:left="360"/>
            <w:rPr>
              <w:rFonts w:ascii="Arial" w:eastAsia="Arial" w:hAnsi="Arial" w:cs="Arial"/>
              <w:color w:val="000000"/>
              <w:sz w:val="22"/>
              <w:szCs w:val="22"/>
            </w:rPr>
          </w:pPr>
          <w:hyperlink w:anchor="_heading=h.ql2uubg3of0w">
            <w:r w:rsidR="00391A2E">
              <w:rPr>
                <w:color w:val="000000"/>
              </w:rPr>
              <w:t>8. Comments In Response to the Federal Register Notice and Efforts to Consult Outside the Agency</w:t>
            </w:r>
            <w:r w:rsidR="00391A2E">
              <w:rPr>
                <w:color w:val="000000"/>
              </w:rPr>
              <w:tab/>
              <w:t>5</w:t>
            </w:r>
          </w:hyperlink>
        </w:p>
        <w:p w:rsidR="0052395A" w14:paraId="00000021" w14:textId="77777777">
          <w:pPr>
            <w:widowControl w:val="0"/>
            <w:tabs>
              <w:tab w:val="right" w:pos="12000"/>
            </w:tabs>
            <w:spacing w:before="60"/>
            <w:ind w:left="360"/>
            <w:rPr>
              <w:rFonts w:ascii="Arial" w:eastAsia="Arial" w:hAnsi="Arial" w:cs="Arial"/>
              <w:color w:val="000000"/>
              <w:sz w:val="22"/>
              <w:szCs w:val="22"/>
            </w:rPr>
          </w:pPr>
          <w:hyperlink w:anchor="_heading=h.xkbqor57sdsw">
            <w:r w:rsidR="00391A2E">
              <w:rPr>
                <w:color w:val="000000"/>
              </w:rPr>
              <w:t>9. Explanation of Any Payment or Gift to Respondents</w:t>
            </w:r>
            <w:r w:rsidR="00391A2E">
              <w:rPr>
                <w:color w:val="000000"/>
              </w:rPr>
              <w:tab/>
              <w:t>5</w:t>
            </w:r>
          </w:hyperlink>
        </w:p>
        <w:p w:rsidR="0052395A" w14:paraId="00000022" w14:textId="77777777">
          <w:pPr>
            <w:widowControl w:val="0"/>
            <w:tabs>
              <w:tab w:val="right" w:pos="12000"/>
            </w:tabs>
            <w:spacing w:before="60"/>
            <w:ind w:left="360"/>
            <w:rPr>
              <w:rFonts w:ascii="Arial" w:eastAsia="Arial" w:hAnsi="Arial" w:cs="Arial"/>
              <w:color w:val="000000"/>
              <w:sz w:val="22"/>
              <w:szCs w:val="22"/>
            </w:rPr>
          </w:pPr>
          <w:hyperlink w:anchor="_heading=h.cjxowfl0ip5n">
            <w:r w:rsidR="00391A2E">
              <w:rPr>
                <w:color w:val="000000"/>
              </w:rPr>
              <w:t>10. Protection of the Privacy and Confidentiality of Information Provided by Respondents</w:t>
            </w:r>
            <w:r w:rsidR="00391A2E">
              <w:rPr>
                <w:color w:val="000000"/>
              </w:rPr>
              <w:tab/>
              <w:t>6</w:t>
            </w:r>
          </w:hyperlink>
        </w:p>
        <w:p w:rsidR="0052395A" w14:paraId="00000023" w14:textId="77777777">
          <w:pPr>
            <w:widowControl w:val="0"/>
            <w:tabs>
              <w:tab w:val="right" w:pos="12000"/>
            </w:tabs>
            <w:spacing w:before="60"/>
            <w:ind w:left="360"/>
            <w:rPr>
              <w:rFonts w:ascii="Arial" w:eastAsia="Arial" w:hAnsi="Arial" w:cs="Arial"/>
              <w:color w:val="000000"/>
              <w:sz w:val="22"/>
              <w:szCs w:val="22"/>
            </w:rPr>
          </w:pPr>
          <w:hyperlink w:anchor="_heading=h.wmq9yap5fd6x">
            <w:r w:rsidR="00391A2E">
              <w:rPr>
                <w:color w:val="000000"/>
              </w:rPr>
              <w:t>11. Institutional Review Board (IRB) and Justification for Sensitive Questions</w:t>
            </w:r>
            <w:r w:rsidR="00391A2E">
              <w:rPr>
                <w:color w:val="000000"/>
              </w:rPr>
              <w:tab/>
              <w:t>7</w:t>
            </w:r>
          </w:hyperlink>
        </w:p>
        <w:p w:rsidR="0052395A" w14:paraId="00000024" w14:textId="77777777">
          <w:pPr>
            <w:widowControl w:val="0"/>
            <w:tabs>
              <w:tab w:val="right" w:pos="12000"/>
            </w:tabs>
            <w:spacing w:before="60"/>
            <w:ind w:left="360"/>
            <w:rPr>
              <w:rFonts w:ascii="Arial" w:eastAsia="Arial" w:hAnsi="Arial" w:cs="Arial"/>
              <w:color w:val="000000"/>
              <w:sz w:val="22"/>
              <w:szCs w:val="22"/>
            </w:rPr>
          </w:pPr>
          <w:hyperlink w:anchor="_heading=h.v26qhz3zi6sr">
            <w:r w:rsidR="00391A2E">
              <w:rPr>
                <w:color w:val="000000"/>
              </w:rPr>
              <w:t>12. Estimates of Annualized Burden Hours and Costs</w:t>
            </w:r>
            <w:r w:rsidR="00391A2E">
              <w:rPr>
                <w:color w:val="000000"/>
              </w:rPr>
              <w:tab/>
              <w:t>7</w:t>
            </w:r>
          </w:hyperlink>
        </w:p>
        <w:p w:rsidR="0052395A" w14:paraId="00000025" w14:textId="77777777">
          <w:pPr>
            <w:widowControl w:val="0"/>
            <w:tabs>
              <w:tab w:val="right" w:pos="12000"/>
            </w:tabs>
            <w:spacing w:before="60"/>
            <w:ind w:left="720"/>
            <w:rPr>
              <w:rFonts w:ascii="Arial" w:eastAsia="Arial" w:hAnsi="Arial" w:cs="Arial"/>
              <w:color w:val="000000"/>
              <w:sz w:val="22"/>
              <w:szCs w:val="22"/>
            </w:rPr>
          </w:pPr>
          <w:hyperlink w:anchor="_heading=h.ry6bmbumhvhn">
            <w:r w:rsidR="00391A2E">
              <w:rPr>
                <w:color w:val="000000"/>
              </w:rPr>
              <w:t>Table 1. Estimated Annualized Burden Hours</w:t>
            </w:r>
            <w:r w:rsidR="00391A2E">
              <w:rPr>
                <w:color w:val="000000"/>
              </w:rPr>
              <w:tab/>
              <w:t>7</w:t>
            </w:r>
          </w:hyperlink>
        </w:p>
        <w:p w:rsidR="0052395A" w14:paraId="00000026" w14:textId="77777777">
          <w:pPr>
            <w:widowControl w:val="0"/>
            <w:tabs>
              <w:tab w:val="right" w:pos="12000"/>
            </w:tabs>
            <w:spacing w:before="60"/>
            <w:ind w:left="720"/>
            <w:rPr>
              <w:rFonts w:ascii="Arial" w:eastAsia="Arial" w:hAnsi="Arial" w:cs="Arial"/>
              <w:color w:val="000000"/>
              <w:sz w:val="22"/>
              <w:szCs w:val="22"/>
            </w:rPr>
          </w:pPr>
          <w:hyperlink w:anchor="_heading=h.lhjvkp86wybt">
            <w:r w:rsidR="00391A2E">
              <w:rPr>
                <w:color w:val="000000"/>
              </w:rPr>
              <w:t>Table 2. Estimated Annualized Burden Costs</w:t>
            </w:r>
            <w:r w:rsidR="00391A2E">
              <w:rPr>
                <w:color w:val="000000"/>
              </w:rPr>
              <w:tab/>
              <w:t>8</w:t>
            </w:r>
          </w:hyperlink>
        </w:p>
        <w:p w:rsidR="0052395A" w14:paraId="00000027" w14:textId="77777777">
          <w:pPr>
            <w:widowControl w:val="0"/>
            <w:tabs>
              <w:tab w:val="right" w:pos="12000"/>
            </w:tabs>
            <w:spacing w:before="60"/>
            <w:ind w:left="360"/>
            <w:rPr>
              <w:rFonts w:ascii="Arial" w:eastAsia="Arial" w:hAnsi="Arial" w:cs="Arial"/>
              <w:color w:val="000000"/>
              <w:sz w:val="22"/>
              <w:szCs w:val="22"/>
            </w:rPr>
          </w:pPr>
          <w:hyperlink w:anchor="_heading=h.vwl1kkmxkuws">
            <w:r w:rsidR="00391A2E">
              <w:rPr>
                <w:color w:val="000000"/>
              </w:rPr>
              <w:t>13. Estimates of Other Total Annual Cost Burden to Respondents or Record Keepers</w:t>
            </w:r>
            <w:r w:rsidR="00391A2E">
              <w:rPr>
                <w:color w:val="000000"/>
              </w:rPr>
              <w:tab/>
              <w:t>8</w:t>
            </w:r>
          </w:hyperlink>
        </w:p>
        <w:p w:rsidR="0052395A" w14:paraId="00000028" w14:textId="77777777">
          <w:pPr>
            <w:widowControl w:val="0"/>
            <w:tabs>
              <w:tab w:val="right" w:pos="12000"/>
            </w:tabs>
            <w:spacing w:before="60"/>
            <w:ind w:left="360"/>
            <w:rPr>
              <w:rFonts w:ascii="Arial" w:eastAsia="Arial" w:hAnsi="Arial" w:cs="Arial"/>
              <w:color w:val="000000"/>
              <w:sz w:val="22"/>
              <w:szCs w:val="22"/>
            </w:rPr>
          </w:pPr>
          <w:hyperlink w:anchor="_heading=h.tqnhaniwcr7k">
            <w:r w:rsidR="00391A2E">
              <w:rPr>
                <w:color w:val="000000"/>
              </w:rPr>
              <w:t>14. Annualized Cost to the Government</w:t>
            </w:r>
            <w:r w:rsidR="00391A2E">
              <w:rPr>
                <w:color w:val="000000"/>
              </w:rPr>
              <w:tab/>
              <w:t>8</w:t>
            </w:r>
          </w:hyperlink>
        </w:p>
        <w:p w:rsidR="0052395A" w14:paraId="00000029" w14:textId="77777777">
          <w:pPr>
            <w:widowControl w:val="0"/>
            <w:tabs>
              <w:tab w:val="right" w:pos="12000"/>
            </w:tabs>
            <w:spacing w:before="60"/>
            <w:ind w:left="720"/>
            <w:rPr>
              <w:rFonts w:ascii="Arial" w:eastAsia="Arial" w:hAnsi="Arial" w:cs="Arial"/>
              <w:color w:val="000000"/>
              <w:sz w:val="22"/>
              <w:szCs w:val="22"/>
            </w:rPr>
          </w:pPr>
          <w:hyperlink w:anchor="_heading=h.4rdtpcf1blax">
            <w:r w:rsidR="00391A2E">
              <w:rPr>
                <w:color w:val="000000"/>
              </w:rPr>
              <w:t>Table 3. Annualized Costs to the Government</w:t>
            </w:r>
            <w:r w:rsidR="00391A2E">
              <w:rPr>
                <w:color w:val="000000"/>
              </w:rPr>
              <w:tab/>
              <w:t>9</w:t>
            </w:r>
          </w:hyperlink>
        </w:p>
        <w:p w:rsidR="0052395A" w14:paraId="0000002A" w14:textId="77777777">
          <w:pPr>
            <w:widowControl w:val="0"/>
            <w:tabs>
              <w:tab w:val="right" w:pos="12000"/>
            </w:tabs>
            <w:spacing w:before="60"/>
            <w:ind w:left="360"/>
            <w:rPr>
              <w:rFonts w:ascii="Arial" w:eastAsia="Arial" w:hAnsi="Arial" w:cs="Arial"/>
              <w:color w:val="000000"/>
              <w:sz w:val="22"/>
              <w:szCs w:val="22"/>
            </w:rPr>
          </w:pPr>
          <w:hyperlink w:anchor="_heading=h.ul19mq5hasd8">
            <w:r w:rsidR="00391A2E">
              <w:rPr>
                <w:color w:val="000000"/>
              </w:rPr>
              <w:t>15. Explanation for Program Changes or Adjustments</w:t>
            </w:r>
            <w:r w:rsidR="00391A2E">
              <w:rPr>
                <w:color w:val="000000"/>
              </w:rPr>
              <w:tab/>
              <w:t>9</w:t>
            </w:r>
          </w:hyperlink>
        </w:p>
        <w:p w:rsidR="0052395A" w14:paraId="0000002B" w14:textId="77777777">
          <w:pPr>
            <w:widowControl w:val="0"/>
            <w:tabs>
              <w:tab w:val="right" w:pos="12000"/>
            </w:tabs>
            <w:spacing w:before="60"/>
            <w:ind w:left="360"/>
            <w:rPr>
              <w:rFonts w:ascii="Arial" w:eastAsia="Arial" w:hAnsi="Arial" w:cs="Arial"/>
              <w:color w:val="000000"/>
              <w:sz w:val="22"/>
              <w:szCs w:val="22"/>
            </w:rPr>
          </w:pPr>
          <w:hyperlink w:anchor="_heading=h.xdmjmqfdnk2p">
            <w:r w:rsidR="00391A2E">
              <w:rPr>
                <w:color w:val="000000"/>
              </w:rPr>
              <w:t>16. Plans for Tabulation and Publication, and Project Time Schedule</w:t>
            </w:r>
            <w:r w:rsidR="00391A2E">
              <w:rPr>
                <w:color w:val="000000"/>
              </w:rPr>
              <w:tab/>
              <w:t>9</w:t>
            </w:r>
          </w:hyperlink>
        </w:p>
        <w:p w:rsidR="0052395A" w14:paraId="0000002C" w14:textId="77777777">
          <w:pPr>
            <w:widowControl w:val="0"/>
            <w:tabs>
              <w:tab w:val="right" w:pos="12000"/>
            </w:tabs>
            <w:spacing w:before="60"/>
            <w:ind w:left="720"/>
            <w:rPr>
              <w:rFonts w:ascii="Arial" w:eastAsia="Arial" w:hAnsi="Arial" w:cs="Arial"/>
              <w:color w:val="000000"/>
              <w:sz w:val="22"/>
              <w:szCs w:val="22"/>
            </w:rPr>
          </w:pPr>
          <w:hyperlink w:anchor="_heading=h.4yq40mdmib37">
            <w:r w:rsidR="00391A2E">
              <w:rPr>
                <w:color w:val="000000"/>
              </w:rPr>
              <w:t>Table 4. Project Timeline</w:t>
            </w:r>
            <w:r w:rsidR="00391A2E">
              <w:rPr>
                <w:color w:val="000000"/>
              </w:rPr>
              <w:tab/>
              <w:t>9</w:t>
            </w:r>
          </w:hyperlink>
        </w:p>
        <w:p w:rsidR="0052395A" w14:paraId="0000002D" w14:textId="77777777">
          <w:pPr>
            <w:widowControl w:val="0"/>
            <w:tabs>
              <w:tab w:val="right" w:pos="12000"/>
            </w:tabs>
            <w:spacing w:before="60"/>
            <w:ind w:left="360"/>
            <w:rPr>
              <w:rFonts w:ascii="Arial" w:eastAsia="Arial" w:hAnsi="Arial" w:cs="Arial"/>
              <w:color w:val="000000"/>
              <w:sz w:val="22"/>
              <w:szCs w:val="22"/>
            </w:rPr>
          </w:pPr>
          <w:hyperlink w:anchor="_heading=h.i6e7lf2vnzgw">
            <w:r w:rsidR="00391A2E">
              <w:rPr>
                <w:color w:val="000000"/>
              </w:rPr>
              <w:t>17. Reason(s) Display of OMB Expiration Date is Inappropriate</w:t>
            </w:r>
            <w:r w:rsidR="00391A2E">
              <w:rPr>
                <w:color w:val="000000"/>
              </w:rPr>
              <w:tab/>
              <w:t>9</w:t>
            </w:r>
          </w:hyperlink>
        </w:p>
        <w:p w:rsidR="0052395A" w14:paraId="0000002E" w14:textId="77777777">
          <w:pPr>
            <w:widowControl w:val="0"/>
            <w:tabs>
              <w:tab w:val="right" w:pos="12000"/>
            </w:tabs>
            <w:spacing w:before="60"/>
            <w:ind w:left="360"/>
            <w:rPr>
              <w:rFonts w:ascii="Arial" w:eastAsia="Arial" w:hAnsi="Arial" w:cs="Arial"/>
              <w:color w:val="000000"/>
              <w:sz w:val="22"/>
              <w:szCs w:val="22"/>
            </w:rPr>
          </w:pPr>
          <w:hyperlink w:anchor="_heading=h.6jf5hql5qjk7">
            <w:r w:rsidR="00391A2E">
              <w:rPr>
                <w:color w:val="000000"/>
              </w:rPr>
              <w:t>18. Exceptions to Certification for Paperwork Reduction Act Submissions</w:t>
            </w:r>
            <w:r w:rsidR="00391A2E">
              <w:rPr>
                <w:color w:val="000000"/>
              </w:rPr>
              <w:tab/>
              <w:t>9</w:t>
            </w:r>
          </w:hyperlink>
          <w:r w:rsidR="00391A2E">
            <w:fldChar w:fldCharType="end"/>
          </w:r>
        </w:p>
      </w:sdtContent>
    </w:sdt>
    <w:p w:rsidR="0052395A" w14:paraId="0000002F" w14:textId="77777777">
      <w:pPr>
        <w:spacing w:after="160" w:line="259" w:lineRule="auto"/>
        <w:rPr>
          <w:b/>
        </w:rPr>
      </w:pPr>
    </w:p>
    <w:p w:rsidR="0052395A" w:rsidRPr="00BC46C1" w:rsidP="00670411" w14:paraId="00000031" w14:textId="4885B718">
      <w:pPr>
        <w:keepLines/>
        <w:pBdr>
          <w:top w:val="nil"/>
          <w:left w:val="nil"/>
          <w:bottom w:val="nil"/>
          <w:right w:val="nil"/>
          <w:between w:val="nil"/>
        </w:pBdr>
        <w:rPr>
          <w:color w:val="000000"/>
        </w:rPr>
      </w:pPr>
      <w:r>
        <w:rPr>
          <w:color w:val="000000"/>
        </w:rPr>
        <w:t>Attachments</w:t>
      </w:r>
    </w:p>
    <w:p w:rsidR="00BC46C1" w:rsidP="00BC46C1" w14:paraId="38569CCA" w14:textId="56FBA037">
      <w:pPr>
        <w:pStyle w:val="ListParagraph"/>
        <w:numPr>
          <w:ilvl w:val="0"/>
          <w:numId w:val="5"/>
        </w:numPr>
        <w:spacing w:after="160" w:line="259" w:lineRule="auto"/>
      </w:pPr>
      <w:r>
        <w:t xml:space="preserve">Screener </w:t>
      </w:r>
      <w:r>
        <w:t>Focus Groups</w:t>
      </w:r>
      <w:r w:rsidR="00F66EF5">
        <w:t xml:space="preserve"> and </w:t>
      </w:r>
      <w:r>
        <w:t>Interviews.</w:t>
      </w:r>
      <w:r w:rsidR="00F66EF5">
        <w:t xml:space="preserve"> </w:t>
      </w:r>
    </w:p>
    <w:p w:rsidR="00F66EF5" w:rsidP="00F66EF5" w14:paraId="59AA6D37" w14:textId="7417FEBA">
      <w:pPr>
        <w:pStyle w:val="ListParagraph"/>
        <w:numPr>
          <w:ilvl w:val="0"/>
          <w:numId w:val="5"/>
        </w:numPr>
        <w:spacing w:after="160" w:line="259" w:lineRule="auto"/>
      </w:pPr>
      <w:r>
        <w:t>Focus Groups Email</w:t>
      </w:r>
    </w:p>
    <w:p w:rsidR="00F66EF5" w:rsidP="00F66EF5" w14:paraId="6D38B547" w14:textId="57942D30">
      <w:pPr>
        <w:pStyle w:val="ListParagraph"/>
        <w:numPr>
          <w:ilvl w:val="0"/>
          <w:numId w:val="5"/>
        </w:numPr>
        <w:spacing w:after="160" w:line="259" w:lineRule="auto"/>
      </w:pPr>
      <w:r>
        <w:t>Focus Groups Follow Up Email</w:t>
      </w:r>
    </w:p>
    <w:p w:rsidR="00BC46C1" w:rsidP="00BC46C1" w14:paraId="70189589" w14:textId="6A9681F2">
      <w:pPr>
        <w:pStyle w:val="ListParagraph"/>
        <w:numPr>
          <w:ilvl w:val="0"/>
          <w:numId w:val="5"/>
        </w:numPr>
        <w:spacing w:after="160" w:line="259" w:lineRule="auto"/>
      </w:pPr>
      <w:r>
        <w:t>Interviews Tribal HCPs</w:t>
      </w:r>
      <w:r w:rsidR="00F66EF5">
        <w:t xml:space="preserve"> </w:t>
      </w:r>
      <w:r w:rsidR="00C062A6">
        <w:t xml:space="preserve">Email </w:t>
      </w:r>
    </w:p>
    <w:p w:rsidR="00C062A6" w:rsidP="00C062A6" w14:paraId="484A1676" w14:textId="2B041641">
      <w:pPr>
        <w:pStyle w:val="ListParagraph"/>
        <w:numPr>
          <w:ilvl w:val="0"/>
          <w:numId w:val="5"/>
        </w:numPr>
        <w:spacing w:after="160" w:line="259" w:lineRule="auto"/>
      </w:pPr>
      <w:r>
        <w:t xml:space="preserve">Interviews Tribal HCPs Follow Up Email </w:t>
      </w:r>
    </w:p>
    <w:p w:rsidR="00BC46C1" w:rsidP="00BC46C1" w14:paraId="46E845D5" w14:textId="56D68052">
      <w:pPr>
        <w:pStyle w:val="ListParagraph"/>
        <w:numPr>
          <w:ilvl w:val="0"/>
          <w:numId w:val="5"/>
        </w:numPr>
        <w:spacing w:after="160" w:line="259" w:lineRule="auto"/>
      </w:pPr>
      <w:r>
        <w:t>Interviews Tribal Leaders</w:t>
      </w:r>
      <w:r w:rsidR="00C062A6">
        <w:t xml:space="preserve"> Email</w:t>
      </w:r>
    </w:p>
    <w:p w:rsidR="00C062A6" w:rsidP="00C062A6" w14:paraId="4993044A" w14:textId="7E05B947">
      <w:pPr>
        <w:pStyle w:val="ListParagraph"/>
        <w:numPr>
          <w:ilvl w:val="0"/>
          <w:numId w:val="5"/>
        </w:numPr>
        <w:spacing w:after="160" w:line="259" w:lineRule="auto"/>
      </w:pPr>
      <w:r>
        <w:t>Interviews Tribal Leaders Follow Up Email</w:t>
      </w:r>
    </w:p>
    <w:p w:rsidR="00BC46C1" w:rsidP="00BC46C1" w14:paraId="55B96624" w14:textId="79ABBA77">
      <w:pPr>
        <w:pStyle w:val="ListParagraph"/>
        <w:numPr>
          <w:ilvl w:val="0"/>
          <w:numId w:val="5"/>
        </w:numPr>
        <w:spacing w:after="160" w:line="259" w:lineRule="auto"/>
      </w:pPr>
      <w:r>
        <w:t>Focus Group Guide – AI/AN Adults</w:t>
      </w:r>
    </w:p>
    <w:p w:rsidR="00736FB3" w:rsidP="00C062A6" w14:paraId="5D753BF6" w14:textId="21A5476B">
      <w:pPr>
        <w:pStyle w:val="ListParagraph"/>
        <w:numPr>
          <w:ilvl w:val="0"/>
          <w:numId w:val="5"/>
        </w:numPr>
        <w:spacing w:after="160" w:line="259" w:lineRule="auto"/>
      </w:pPr>
      <w:r>
        <w:t>Interview Guide – Tribal HCPs</w:t>
      </w:r>
      <w:r w:rsidR="001110B0">
        <w:t xml:space="preserve"> and Tribal Leaders</w:t>
      </w:r>
    </w:p>
    <w:p w:rsidR="00670411" w:rsidP="00BC46C1" w14:paraId="1BAF9DD4" w14:textId="04376DA0">
      <w:pPr>
        <w:pStyle w:val="ListParagraph"/>
        <w:numPr>
          <w:ilvl w:val="0"/>
          <w:numId w:val="5"/>
        </w:numPr>
        <w:spacing w:after="160" w:line="259" w:lineRule="auto"/>
      </w:pPr>
      <w:r>
        <w:t xml:space="preserve">Research Determination </w:t>
      </w:r>
    </w:p>
    <w:p w:rsidR="0052395A" w:rsidRPr="009A5BBF" w:rsidP="006113DF" w14:paraId="00000034" w14:textId="0DF0E81A">
      <w:pPr>
        <w:pStyle w:val="ListParagraph"/>
        <w:numPr>
          <w:ilvl w:val="0"/>
          <w:numId w:val="5"/>
        </w:numPr>
        <w:spacing w:after="160" w:line="259" w:lineRule="auto"/>
        <w:rPr>
          <w:b/>
        </w:rPr>
      </w:pPr>
      <w:r>
        <w:t xml:space="preserve">Privacy Impact Determination </w:t>
      </w:r>
      <w:r w:rsidR="00391A2E">
        <w:br w:type="page"/>
      </w:r>
    </w:p>
    <w:p w:rsidR="0052395A" w14:paraId="00000035" w14:textId="77777777">
      <w:pPr>
        <w:spacing w:after="160" w:line="259" w:lineRule="auto"/>
        <w:rPr>
          <w:b/>
        </w:rPr>
      </w:pPr>
      <w:r>
        <w:rPr>
          <w:b/>
        </w:rPr>
        <w:t xml:space="preserve">Summary </w:t>
      </w:r>
    </w:p>
    <w:p w:rsidR="0052395A" w14:paraId="00000036" w14:textId="77777777">
      <w:pPr>
        <w:spacing w:after="160" w:line="259" w:lineRule="auto"/>
      </w:pPr>
      <w:r>
        <w:rPr>
          <w:b/>
        </w:rPr>
        <w:t>Goal of the study</w:t>
      </w:r>
      <w:r>
        <w:t>:  The goal of the study is to modify CDC’s mild traumatic brain injury (TBI) and concussion discharge instructions for American Indian/Alaska Native (AI/AN) adults aged 18 years and older, build upon previously funded work to improve outcomes for patients with mild TBI, and enhance CDC’s efforts to address TBI-related health inequities among AI/AN adults.</w:t>
      </w:r>
    </w:p>
    <w:p w:rsidR="0052395A" w14:paraId="00000037" w14:textId="77777777">
      <w:pPr>
        <w:spacing w:after="160" w:line="259" w:lineRule="auto"/>
      </w:pPr>
      <w:r>
        <w:rPr>
          <w:b/>
        </w:rPr>
        <w:t>Intended use of the resulting data:</w:t>
      </w:r>
      <w:r>
        <w:t xml:space="preserve"> The study will help CDC’s Division of Injury Prevention effectively provide updates to CDC’s mild TBI and concussion discharge instructions to better meet the needs of AI/AN adults and develop a dissemination plan to enhance outreach to AI/AN adults in rural and urban areas.</w:t>
      </w:r>
    </w:p>
    <w:p w:rsidR="0052395A" w14:paraId="00000038" w14:textId="77777777">
      <w:pPr>
        <w:spacing w:after="160" w:line="259" w:lineRule="auto"/>
        <w:rPr>
          <w:b/>
        </w:rPr>
      </w:pPr>
      <w:r>
        <w:rPr>
          <w:b/>
        </w:rPr>
        <w:t xml:space="preserve">Methods to be used to collect data: </w:t>
      </w:r>
      <w:r>
        <w:t>Qualitative data collection will occur via in-depth interviews with Tribal Health Care Providers (up to 16 participants) and Tribal Leaders (up to 16 participants), and focus group discussions with AI/AN adults (up to 4 focus group discussions with up to 8 participants each, for a total of up to 32 participants).</w:t>
      </w:r>
    </w:p>
    <w:p w:rsidR="0052395A" w14:paraId="00000039" w14:textId="77777777">
      <w:pPr>
        <w:spacing w:after="160" w:line="259" w:lineRule="auto"/>
      </w:pPr>
      <w:r>
        <w:rPr>
          <w:b/>
        </w:rPr>
        <w:t>How data will be analyzed:</w:t>
      </w:r>
      <w:r>
        <w:t xml:space="preserve"> Qualitative data will be analyzed using grounded theory (</w:t>
      </w:r>
      <w:r>
        <w:t>Corben</w:t>
      </w:r>
      <w:r>
        <w:t xml:space="preserve"> &amp; Strauss, 2008) and narrative analysis (</w:t>
      </w:r>
      <w:r>
        <w:t>Riessman</w:t>
      </w:r>
      <w:r>
        <w:t>, 2008) strategies to answer the formative research questions and identify translatable findings into communication strategies. For both focus group data analysis and interview data analysis, a codebook will be developed consisting of deductive and inductive codes to identify and compare themes within and across focus groups, as well as within and across interviews. Findings will be compiled into a report that will highlight recommendations for message and material development.</w:t>
      </w:r>
    </w:p>
    <w:p w:rsidR="0052395A" w14:paraId="0000003A" w14:textId="77777777">
      <w:pPr>
        <w:spacing w:after="160" w:line="256" w:lineRule="auto"/>
        <w:rPr>
          <w:b/>
        </w:rPr>
      </w:pPr>
      <w:r>
        <w:br w:type="page"/>
      </w:r>
    </w:p>
    <w:p w:rsidR="0052395A" w14:paraId="0000003B" w14:textId="77777777">
      <w:pPr>
        <w:pBdr>
          <w:top w:val="nil"/>
          <w:left w:val="nil"/>
          <w:bottom w:val="nil"/>
          <w:right w:val="nil"/>
          <w:between w:val="nil"/>
        </w:pBdr>
        <w:spacing w:line="440" w:lineRule="auto"/>
        <w:jc w:val="center"/>
        <w:rPr>
          <w:b/>
        </w:rPr>
      </w:pPr>
      <w:r>
        <w:rPr>
          <w:b/>
          <w:color w:val="000000"/>
        </w:rPr>
        <w:t>SUPPORTING STATEMENT: PART A</w:t>
      </w:r>
    </w:p>
    <w:p w:rsidR="0052395A" w14:paraId="0000003C" w14:textId="77777777">
      <w:pPr>
        <w:rPr>
          <w:b/>
        </w:rPr>
      </w:pPr>
    </w:p>
    <w:p w:rsidR="0052395A" w14:paraId="0000003D" w14:textId="77777777">
      <w:pPr>
        <w:pStyle w:val="Heading1"/>
        <w:numPr>
          <w:ilvl w:val="0"/>
          <w:numId w:val="2"/>
        </w:numPr>
        <w:ind w:left="450"/>
      </w:pPr>
      <w:bookmarkStart w:id="0" w:name="_heading=h.fqr4qjt3fiip" w:colFirst="0" w:colLast="0"/>
      <w:bookmarkEnd w:id="0"/>
      <w:r>
        <w:t xml:space="preserve">JUSTIFICATION </w:t>
      </w:r>
    </w:p>
    <w:p w:rsidR="0052395A" w14:paraId="0000003E" w14:textId="77777777">
      <w:pPr>
        <w:ind w:left="720"/>
        <w:rPr>
          <w:b/>
        </w:rPr>
      </w:pPr>
    </w:p>
    <w:p w:rsidR="0052395A" w14:paraId="0000003F" w14:textId="77777777">
      <w:pPr>
        <w:pStyle w:val="Heading2"/>
        <w:numPr>
          <w:ilvl w:val="0"/>
          <w:numId w:val="4"/>
        </w:numPr>
      </w:pPr>
      <w:bookmarkStart w:id="1" w:name="_heading=h.j7f3e07l66zt" w:colFirst="0" w:colLast="0"/>
      <w:bookmarkEnd w:id="1"/>
      <w:r>
        <w:t>Circumstances Making the Collection of Information Necessary</w:t>
      </w:r>
    </w:p>
    <w:p w:rsidR="0052395A" w14:paraId="00000040" w14:textId="77777777">
      <w:pPr>
        <w:spacing w:after="120"/>
        <w:rPr>
          <w:u w:val="single"/>
        </w:rPr>
      </w:pPr>
    </w:p>
    <w:p w:rsidR="0052395A" w14:paraId="00000041" w14:textId="77777777">
      <w:pPr>
        <w:spacing w:after="120"/>
        <w:rPr>
          <w:u w:val="single"/>
        </w:rPr>
      </w:pPr>
      <w:r>
        <w:rPr>
          <w:u w:val="single"/>
        </w:rPr>
        <w:t xml:space="preserve">Background </w:t>
      </w:r>
    </w:p>
    <w:p w:rsidR="0052395A" w14:paraId="00000042" w14:textId="77777777">
      <w:r>
        <w:t>The Centers for Disease Control and Prevention (CDC) is requesting approval for a new GenIC under OMB Control No. 0920-1154, titled “Formative Testing of CDCs Mild Traumatic Brain Injury (TBI) and Concussion Discharge Instructions for American Indian and Alaska Native Adult Patients.” The purpose of this study is to obtain qualitative findings on information gaps among AI/AN adults, aged 18 years and older, who experienced a mild TBI/concussion and obtain information about the suitability (e.g., clarity, applicability) of current adult patient discharge materials from Tribal health care providers, Tribal leaders, and AI/AN adults from urban and rural areas.</w:t>
      </w:r>
    </w:p>
    <w:p w:rsidR="0052395A" w14:paraId="00000043" w14:textId="77777777"/>
    <w:p w:rsidR="0052395A" w14:paraId="00000044" w14:textId="3310D0D8">
      <w:r>
        <w:t xml:space="preserve">AI/AN </w:t>
      </w:r>
      <w:r w:rsidR="00BC46C1">
        <w:t>populations</w:t>
      </w:r>
      <w:r>
        <w:t xml:space="preserve"> have higher rates of TBI-related hospitalizations and deaths than other racial or ethnic groups (Daugherty et al., 2017). However, there is a gap in research for this population and reasoning behind the high rates of TBI continues to go unexplained. CDC’s Division of Injury Prevention (DIP) is acutely aware of the problem of high rates of TBIs among the AI/AN population and is working to update TBI-related content to be more accessible and more frequently used by this audience. </w:t>
      </w:r>
    </w:p>
    <w:p w:rsidR="0052395A" w14:paraId="00000045" w14:textId="77777777"/>
    <w:p w:rsidR="0052395A" w14:paraId="00000046" w14:textId="77777777">
      <w:pPr>
        <w:pStyle w:val="Heading2"/>
        <w:numPr>
          <w:ilvl w:val="0"/>
          <w:numId w:val="4"/>
        </w:numPr>
      </w:pPr>
      <w:bookmarkStart w:id="2" w:name="_heading=h.ul0tth1dywfg" w:colFirst="0" w:colLast="0"/>
      <w:bookmarkEnd w:id="2"/>
      <w:r>
        <w:t xml:space="preserve">Purpose and Use of Information Collection </w:t>
      </w:r>
    </w:p>
    <w:p w:rsidR="0052395A" w14:paraId="00000047" w14:textId="77777777">
      <w:pPr>
        <w:ind w:left="720"/>
        <w:rPr>
          <w:b/>
        </w:rPr>
      </w:pPr>
    </w:p>
    <w:p w:rsidR="0052395A" w14:paraId="00000048" w14:textId="77777777">
      <w:r>
        <w:t xml:space="preserve">The </w:t>
      </w:r>
      <w:sdt>
        <w:sdtPr>
          <w:tag w:val="goog_rdk_2"/>
          <w:id w:val="735744931"/>
          <w:richText/>
        </w:sdtPr>
        <w:sdtContent/>
      </w:sdt>
      <w:sdt>
        <w:sdtPr>
          <w:tag w:val="goog_rdk_3"/>
          <w:id w:val="1034222795"/>
          <w:richText/>
        </w:sdtPr>
        <w:sdtContent/>
      </w:sdt>
      <w:r>
        <w:t xml:space="preserve">information collected for this qualitative formative testing will be used to inform CDC’s efforts to understand information gaps among AI/AN adults and obtain information about the suitability (e.g., clarity, applicability) of current adult patient mild TBI and concussion discharge materials from Tribal Health Care Providers, Tribal leaders, and AI/AN adults from urban and rural areas. Research from this study will help CDC’s DIP effectively provide updates to CDC’s discharge instructions to better meet the needs of AI/AN adults and develop a dissemination plan to enhance outreach to AI/AN adults in rural and urban areas. </w:t>
      </w:r>
    </w:p>
    <w:p w:rsidR="0052395A" w14:paraId="00000049" w14:textId="77777777"/>
    <w:p w:rsidR="0052395A" w14:paraId="0000004A" w14:textId="77777777">
      <w:r>
        <w:t xml:space="preserve">Each Tribal Healthcare Provider will need to complete one eligibility screener (ATTACHMENT 2) and participate in one in-depth interview (ATTACHMENT 7). The eligibility screener contains 11 questions. The in-depth interview guide consists of 22 questions. </w:t>
      </w:r>
    </w:p>
    <w:p w:rsidR="0052395A" w14:paraId="0000004B" w14:textId="77777777"/>
    <w:p w:rsidR="0052395A" w14:paraId="0000004C" w14:textId="77777777">
      <w:r>
        <w:t xml:space="preserve">Each Tribal Leader will need to complete one eligibility screener (ATTACHMENT 3) and participate in one in-depth interview (ATTACHMENT 8). The eligibility screener contains 13 questions. The in-depth interview guide consists of 20 questions. </w:t>
      </w:r>
    </w:p>
    <w:p w:rsidR="0052395A" w14:paraId="0000004D" w14:textId="77777777">
      <w:r>
        <w:t xml:space="preserve">Each AI/AN Adult will need to complete one eligibility screener (ATTACHMENT 1) and participate in one focus group discussion (ATTACHMENT 6). The eligibility screener contains 12 questions. The focus group discussion guide consists of 20 questions. </w:t>
      </w:r>
    </w:p>
    <w:p w:rsidR="0052395A" w14:paraId="0000004E" w14:textId="77777777"/>
    <w:p w:rsidR="0052395A" w14:paraId="0000004F" w14:textId="77777777">
      <w:pPr>
        <w:pStyle w:val="Heading2"/>
        <w:numPr>
          <w:ilvl w:val="0"/>
          <w:numId w:val="4"/>
        </w:numPr>
      </w:pPr>
      <w:bookmarkStart w:id="3" w:name="_heading=h.xhg11p743sd8" w:colFirst="0" w:colLast="0"/>
      <w:bookmarkEnd w:id="3"/>
      <w:r>
        <w:t>Use of Improved Information Technology and Burden Reduction</w:t>
      </w:r>
    </w:p>
    <w:p w:rsidR="0052395A" w14:paraId="00000050" w14:textId="77777777">
      <w:pPr>
        <w:spacing w:line="259" w:lineRule="auto"/>
      </w:pPr>
    </w:p>
    <w:p w:rsidR="0052395A" w14:paraId="00000051" w14:textId="77777777">
      <w:pPr>
        <w:spacing w:after="160" w:line="259" w:lineRule="auto"/>
      </w:pPr>
      <w:r>
        <w:t>Focus group discussions (FGD) and in-depth interviews (IDI) will be conducted online via the online video-conferencing platform Zoom. We believe this approach is appropriate in order to include geographically disparate participants and will allow for national recruitment, which reaches a wider, more diverse target audience, including those in rural areas. Additionally, this approach was selected to maximize efficiency, minimize costs, and avoid safety concerns and risks of disruptions due to the ongoing COVID-19 pandemic.</w:t>
      </w:r>
    </w:p>
    <w:p w:rsidR="0052395A" w14:paraId="00000052" w14:textId="77777777">
      <w:r>
        <w:t>Each FGD and IDI will be video-</w:t>
      </w:r>
      <w:r>
        <w:t>recorded</w:t>
      </w:r>
      <w:r>
        <w:t xml:space="preserve"> and data will be transferred and stored on a shared information system with access restricted to authorized study personnel. This reduces the number of research staff who will be required to conduct focus groups and those who are present can focus on facilitation. Each FGD and IDI will be transcribed and imported into a qualitative research software (e.g., </w:t>
      </w:r>
      <w:r>
        <w:t>Atlas.TI</w:t>
      </w:r>
      <w:r>
        <w:t xml:space="preserve">, </w:t>
      </w:r>
      <w:r>
        <w:t>MaxQDA</w:t>
      </w:r>
      <w:r>
        <w:t>) for coding. The use of a transcription service allows the research team to process and analyze the data quickly and monitor for data saturation.</w:t>
      </w:r>
    </w:p>
    <w:p w:rsidR="0052395A" w14:paraId="00000053" w14:textId="77777777"/>
    <w:p w:rsidR="0052395A" w14:paraId="00000054" w14:textId="77777777">
      <w:pPr>
        <w:pStyle w:val="Heading2"/>
        <w:numPr>
          <w:ilvl w:val="0"/>
          <w:numId w:val="4"/>
        </w:numPr>
      </w:pPr>
      <w:bookmarkStart w:id="4" w:name="_heading=h.2oleysbg6087" w:colFirst="0" w:colLast="0"/>
      <w:bookmarkEnd w:id="4"/>
      <w:r>
        <w:t>Efforts to Identify Duplication and Use of Similar Information</w:t>
      </w:r>
    </w:p>
    <w:p w:rsidR="0052395A" w14:paraId="00000055" w14:textId="77777777">
      <w:pPr>
        <w:ind w:left="720"/>
        <w:rPr>
          <w:b/>
        </w:rPr>
      </w:pPr>
    </w:p>
    <w:p w:rsidR="0052395A" w:rsidRPr="00BC46C1" w14:paraId="00000058" w14:textId="2728BF3E">
      <w:pPr>
        <w:rPr>
          <w:sz w:val="22"/>
          <w:szCs w:val="22"/>
        </w:rPr>
      </w:pPr>
      <w:r>
        <w:t>A literature review found no instances of similar information to be available. To our knowledge, there are no prior or ongoing information collections like this one.</w:t>
      </w:r>
    </w:p>
    <w:p w:rsidR="0052395A" w14:paraId="00000059" w14:textId="77777777">
      <w:pPr>
        <w:pStyle w:val="Heading2"/>
        <w:numPr>
          <w:ilvl w:val="0"/>
          <w:numId w:val="4"/>
        </w:numPr>
      </w:pPr>
      <w:bookmarkStart w:id="5" w:name="_heading=h.5tgc4awokrga" w:colFirst="0" w:colLast="0"/>
      <w:bookmarkEnd w:id="5"/>
      <w:r>
        <w:t xml:space="preserve">Impact on Small Businesses or Other Small Entities </w:t>
      </w:r>
    </w:p>
    <w:p w:rsidR="0052395A" w14:paraId="0000005A" w14:textId="77777777">
      <w:pPr>
        <w:ind w:left="720"/>
        <w:rPr>
          <w:b/>
        </w:rPr>
      </w:pPr>
    </w:p>
    <w:p w:rsidR="0052395A" w14:paraId="0000005B" w14:textId="77777777">
      <w:r>
        <w:t>This data collection will not involve small businesses.</w:t>
      </w:r>
    </w:p>
    <w:p w:rsidR="0052395A" w14:paraId="0000005C" w14:textId="77777777">
      <w:pPr>
        <w:ind w:left="720"/>
        <w:rPr>
          <w:b/>
        </w:rPr>
      </w:pPr>
    </w:p>
    <w:p w:rsidR="0052395A" w14:paraId="0000005D" w14:textId="77777777">
      <w:pPr>
        <w:pStyle w:val="Heading2"/>
        <w:numPr>
          <w:ilvl w:val="0"/>
          <w:numId w:val="4"/>
        </w:numPr>
      </w:pPr>
      <w:bookmarkStart w:id="6" w:name="_heading=h.96sc0kku16ch" w:colFirst="0" w:colLast="0"/>
      <w:bookmarkEnd w:id="6"/>
      <w:r>
        <w:t>Consequences of Collecting the Information Less Frequently</w:t>
      </w:r>
    </w:p>
    <w:p w:rsidR="0052395A" w14:paraId="0000005E" w14:textId="77777777"/>
    <w:p w:rsidR="0052395A" w14:paraId="0000005F" w14:textId="77777777">
      <w:r>
        <w:t>This request is for a one-time data collection.</w:t>
      </w:r>
    </w:p>
    <w:p w:rsidR="0052395A" w14:paraId="00000060" w14:textId="77777777">
      <w:pPr>
        <w:ind w:left="720"/>
        <w:rPr>
          <w:b/>
        </w:rPr>
      </w:pPr>
    </w:p>
    <w:p w:rsidR="0052395A" w14:paraId="00000061" w14:textId="77777777">
      <w:pPr>
        <w:pStyle w:val="Heading2"/>
        <w:numPr>
          <w:ilvl w:val="0"/>
          <w:numId w:val="4"/>
        </w:numPr>
      </w:pPr>
      <w:bookmarkStart w:id="7" w:name="_heading=h.wn5sul8xudvz" w:colFirst="0" w:colLast="0"/>
      <w:bookmarkEnd w:id="7"/>
      <w:r>
        <w:t>Special Circumstances Relating to the Guidelines of 5 CFR 1320.5</w:t>
      </w:r>
    </w:p>
    <w:p w:rsidR="0052395A" w14:paraId="00000062" w14:textId="77777777"/>
    <w:p w:rsidR="0052395A" w14:paraId="00000063" w14:textId="77777777">
      <w:r>
        <w:t>This request fully complies with the regulation 5 CFR 1320.5.</w:t>
      </w:r>
    </w:p>
    <w:p w:rsidR="0052395A" w14:paraId="00000064" w14:textId="77777777">
      <w:pPr>
        <w:pStyle w:val="Heading2"/>
        <w:ind w:left="720"/>
      </w:pPr>
      <w:bookmarkStart w:id="8" w:name="_heading=h.2llqtiw3uwe1" w:colFirst="0" w:colLast="0"/>
      <w:bookmarkEnd w:id="8"/>
    </w:p>
    <w:p w:rsidR="0052395A" w14:paraId="00000065" w14:textId="77777777">
      <w:pPr>
        <w:pStyle w:val="Heading2"/>
        <w:numPr>
          <w:ilvl w:val="0"/>
          <w:numId w:val="4"/>
        </w:numPr>
      </w:pPr>
      <w:bookmarkStart w:id="9" w:name="_heading=h.ql2uubg3of0w" w:colFirst="0" w:colLast="0"/>
      <w:bookmarkEnd w:id="9"/>
      <w:r>
        <w:t>Comments In Response to the Federal Register Notice and Efforts to Consult Outside the Agency</w:t>
      </w:r>
    </w:p>
    <w:p w:rsidR="0052395A" w14:paraId="00000066" w14:textId="77777777"/>
    <w:p w:rsidR="0052395A" w14:paraId="00000067" w14:textId="77777777">
      <w:r>
        <w:t xml:space="preserve">A 60-day Federal Register Notice has already been published for the Generic Clearance. No Federal Register Notice is required for this GenIC submission. </w:t>
      </w:r>
    </w:p>
    <w:p w:rsidR="0052395A" w14:paraId="00000068" w14:textId="77777777"/>
    <w:p w:rsidR="0052395A" w:rsidP="00F0165D" w14:paraId="0000006A" w14:textId="51B1814D">
      <w:pPr>
        <w:rPr>
          <w:b/>
        </w:rPr>
      </w:pPr>
      <w:r>
        <w:t xml:space="preserve">CDC consulted with </w:t>
      </w:r>
      <w:r w:rsidRPr="00670411">
        <w:t>Banyan Communications, a public health communications consultancy</w:t>
      </w:r>
      <w:r>
        <w:t xml:space="preserve"> agency.</w:t>
      </w:r>
    </w:p>
    <w:p w:rsidR="0052395A" w14:paraId="0000006B" w14:textId="77777777">
      <w:pPr>
        <w:pStyle w:val="Heading2"/>
        <w:numPr>
          <w:ilvl w:val="0"/>
          <w:numId w:val="4"/>
        </w:numPr>
      </w:pPr>
      <w:bookmarkStart w:id="10" w:name="_heading=h.xkbqor57sdsw" w:colFirst="0" w:colLast="0"/>
      <w:bookmarkEnd w:id="10"/>
      <w:r>
        <w:t>Explanation of Any Payment or Gift to Respondents</w:t>
      </w:r>
    </w:p>
    <w:p w:rsidR="0052395A" w14:paraId="0000006C" w14:textId="77777777">
      <w:pPr>
        <w:rPr>
          <w:b/>
        </w:rPr>
      </w:pPr>
    </w:p>
    <w:p w:rsidR="0052395A" w14:paraId="0000006D" w14:textId="77777777">
      <w:r>
        <w:t>Each focus group and interview participant will receive $50 as a token of appreciation and reimbursement for opportunity costs and expenses (i.e., babysitter, loss of work) incurred due to participation. Providing incentives to respondents is necessary to successfully recruit individuals. All participants are part of a hard-to-reach population. Research suggests that incentives have proven helpful in recruitment of hard-to-reach groups (</w:t>
      </w:r>
      <w:r>
        <w:t>Bonevski</w:t>
      </w:r>
      <w:r>
        <w:t xml:space="preserve"> et al. 2014; George et al. 2014). Incentives can increase the likelihood of obtaining a diverse sample of participants, which would include individuals in hard-to-reach and minority populations who encounter complex social problems that place limitations on their desire and time to volunteer for research studies (Ellard-Gray et al. 2015; Knoll et al. 2012). Literature also reveals the payment of incentives can provide significant advantages to the government in terms of direct cost savings and improved data quality. It also should be noted that message testing is a marketing technique, and it is standard practice among commercial market researchers to offer incentives as part of respondent recruitment. </w:t>
      </w:r>
    </w:p>
    <w:p w:rsidR="0052395A" w14:paraId="0000006E" w14:textId="77777777"/>
    <w:p w:rsidR="0052395A" w14:paraId="0000006F" w14:textId="1020AE75">
      <w:r>
        <w:t xml:space="preserve">CDC </w:t>
      </w:r>
      <w:r w:rsidR="00391A2E">
        <w:t>will apply a health equity lens when selecting our recruitment sample, prioritizing populations that are hardly reached by CDC or concussion prevention information. DIP has had difficulties recruiting sufficient samples of these subpopulations in previous messaging projects. Having insufficient representation from this subgroup means their perspectives are not adequately included in message development which results in less effective messaging to support DIP’s goals. An appropriate incentive improves the chances that these subgroups will engage and participate, therefore increasing the government's efficiency in data collection and reducing redundancies for future efforts.</w:t>
      </w:r>
    </w:p>
    <w:p w:rsidR="0052395A" w14:paraId="00000070" w14:textId="77777777"/>
    <w:p w:rsidR="0052395A" w14:paraId="00000071" w14:textId="77777777">
      <w:r>
        <w:t xml:space="preserve">These subgroups have been difficult for DIP to reach for several reasons. </w:t>
      </w:r>
    </w:p>
    <w:p w:rsidR="0052395A" w14:paraId="00000072" w14:textId="77777777">
      <w:pPr>
        <w:numPr>
          <w:ilvl w:val="0"/>
          <w:numId w:val="1"/>
        </w:numPr>
      </w:pPr>
      <w:r>
        <w:t xml:space="preserve">For rural AI/AN communities, the social economic situation makes it harder for individuals to utilize PTO or miss work to participate in such projects. Though the data collection will be virtual, low-income populations are less likely to have jobs with remote </w:t>
      </w:r>
      <w:r>
        <w:t>flexibility, and</w:t>
      </w:r>
      <w:r>
        <w:t xml:space="preserve"> may have to miss or leave work in order to participate. An appropriate token of appreciation may address this issue.</w:t>
      </w:r>
    </w:p>
    <w:p w:rsidR="0052395A" w14:paraId="00000073" w14:textId="77777777">
      <w:pPr>
        <w:numPr>
          <w:ilvl w:val="0"/>
          <w:numId w:val="1"/>
        </w:numPr>
      </w:pPr>
      <w:r>
        <w:t xml:space="preserve">AI/AN subgroups who are being asked to participate are historically less likely to participate in research activities due to mistrust in the medical system fostered by research institutions. Offering a higher token of appreciation addresses health equity </w:t>
      </w:r>
      <w:r>
        <w:t>issues brought on by historically unjust research practices, by encouraging participation from a more diverse pool of participants.</w:t>
      </w:r>
    </w:p>
    <w:p w:rsidR="0052395A" w14:paraId="00000074" w14:textId="77777777"/>
    <w:p w:rsidR="0052395A" w14:paraId="00000075" w14:textId="77777777">
      <w:pPr>
        <w:pStyle w:val="Heading2"/>
        <w:numPr>
          <w:ilvl w:val="0"/>
          <w:numId w:val="4"/>
        </w:numPr>
      </w:pPr>
      <w:bookmarkStart w:id="11" w:name="_heading=h.cjxowfl0ip5n" w:colFirst="0" w:colLast="0"/>
      <w:bookmarkEnd w:id="11"/>
      <w:r>
        <w:t>Protection of the Privacy and Confidentiality of Information Provided by Respondents</w:t>
      </w:r>
    </w:p>
    <w:p w:rsidR="0052395A" w14:paraId="00000076" w14:textId="77777777">
      <w:pPr>
        <w:rPr>
          <w:b/>
        </w:rPr>
      </w:pPr>
    </w:p>
    <w:p w:rsidR="0052395A" w14:paraId="00000077" w14:textId="7A2AD205">
      <w:r>
        <w:t>This submission has been reviewed by the NCIPC’s Information Systems Security Officer, who has determined that the Privacy Act does not apply (Att.11)</w:t>
      </w:r>
      <w:r>
        <w:rPr>
          <w:color w:val="000000"/>
        </w:rPr>
        <w:t xml:space="preserve">. </w:t>
      </w:r>
      <w:r w:rsidR="00391A2E">
        <w:t>The proposed formative research does not involve the collection of personally identifiable information (PII) or sensitive data. No questions will be asked that are of a personal or sensitive nature. This submission has been reviewed by the NCIPC’s Information Systems Security Officer, who has determined that the Privacy Act does not apply. At no time does CDC have access or will receive potentially identifiable information. During the interviews and focus groups (ATTACHMENTS 6, 7 and 8), participants will be asked to provide a “nickname,” rather than their full name, so as to avoid collecting personally identifiable information (PII); they will also be asked to only provide an email that contracting study personnel may use to contact them. All procedures have been developed in accordance with federal, state, and local guidelines.</w:t>
      </w:r>
    </w:p>
    <w:p w:rsidR="0052395A" w14:paraId="00000078" w14:textId="77777777">
      <w:pPr>
        <w:rPr>
          <w:i/>
        </w:rPr>
      </w:pPr>
    </w:p>
    <w:p w:rsidR="0052395A" w14:paraId="00000079" w14:textId="77777777">
      <w:bookmarkStart w:id="12" w:name="_heading=h.tyjcwt" w:colFirst="0" w:colLast="0"/>
      <w:bookmarkEnd w:id="12"/>
      <w:r>
        <w:t>Throughout the formative research, the research team will store all files in a password-protected folder on secure servers; the research team will store the Excel contact file in a subfolder that is separate from the remaining documentation. The research team will include double checkers and removal of any PII that is included in the collection.</w:t>
      </w:r>
    </w:p>
    <w:p w:rsidR="0052395A" w14:paraId="0000007A" w14:textId="77777777">
      <w:pPr>
        <w:numPr>
          <w:ilvl w:val="0"/>
          <w:numId w:val="3"/>
        </w:numPr>
      </w:pPr>
      <w:bookmarkStart w:id="13" w:name="_heading=h.gm0dp9g60d3h" w:colFirst="0" w:colLast="0"/>
      <w:bookmarkEnd w:id="13"/>
      <w:r>
        <w:t>The research team will protect PII and will store PII in secure environments.  </w:t>
      </w:r>
    </w:p>
    <w:p w:rsidR="0052395A" w14:paraId="0000007B" w14:textId="77777777">
      <w:pPr>
        <w:numPr>
          <w:ilvl w:val="0"/>
          <w:numId w:val="3"/>
        </w:numPr>
      </w:pPr>
      <w:bookmarkStart w:id="14" w:name="_heading=h.vxeofj1xgl4f" w:colFirst="0" w:colLast="0"/>
      <w:bookmarkEnd w:id="14"/>
      <w:r>
        <w:t>At the end of data collection, the research team will electronically download the Excel contact and dataset files. During this phase of the study, the research team will store all Excel and analysis files in a password-protected folder on secure servers. </w:t>
      </w:r>
    </w:p>
    <w:p w:rsidR="0052395A" w14:paraId="0000007C" w14:textId="77777777">
      <w:pPr>
        <w:numPr>
          <w:ilvl w:val="0"/>
          <w:numId w:val="3"/>
        </w:numPr>
      </w:pPr>
      <w:bookmarkStart w:id="15" w:name="_heading=h.4v0i7u750gt0" w:colFirst="0" w:colLast="0"/>
      <w:bookmarkEnd w:id="15"/>
      <w:r>
        <w:t>The research team will not disclose identifiable, sensitive research information to anyone not connected to the research. </w:t>
      </w:r>
    </w:p>
    <w:p w:rsidR="0052395A" w14:paraId="0000007D" w14:textId="77777777">
      <w:pPr>
        <w:numPr>
          <w:ilvl w:val="0"/>
          <w:numId w:val="3"/>
        </w:numPr>
      </w:pPr>
      <w:bookmarkStart w:id="16" w:name="_heading=h.66t843tw8yh3" w:colFirst="0" w:colLast="0"/>
      <w:bookmarkEnd w:id="16"/>
      <w:r>
        <w:t>The research team will not share individual-level data beyond the immediate project team unless CDC approves data sharing and a Data Use Agreement, developed in collaboration.  </w:t>
      </w:r>
    </w:p>
    <w:p w:rsidR="0052395A" w14:paraId="0000007E" w14:textId="77777777"/>
    <w:p w:rsidR="0052395A" w14:paraId="0000007F" w14:textId="77777777">
      <w:pPr>
        <w:ind w:left="720"/>
      </w:pPr>
      <w:bookmarkStart w:id="17" w:name="_heading=h.rscztacbx9ol" w:colFirst="0" w:colLast="0"/>
      <w:bookmarkEnd w:id="17"/>
    </w:p>
    <w:bookmarkStart w:id="18" w:name="_heading=h.wmq9yap5fd6x" w:colFirst="0" w:colLast="0"/>
    <w:bookmarkEnd w:id="18"/>
    <w:p w:rsidR="0052395A" w14:paraId="00000080" w14:textId="77777777">
      <w:pPr>
        <w:pStyle w:val="Heading2"/>
        <w:numPr>
          <w:ilvl w:val="0"/>
          <w:numId w:val="4"/>
        </w:numPr>
      </w:pPr>
      <w:sdt>
        <w:sdtPr>
          <w:tag w:val="goog_rdk_4"/>
          <w:id w:val="1105934759"/>
          <w:richText/>
        </w:sdtPr>
        <w:sdtContent/>
      </w:sdt>
      <w:sdt>
        <w:sdtPr>
          <w:tag w:val="goog_rdk_5"/>
          <w:id w:val="194203501"/>
          <w:richText/>
        </w:sdtPr>
        <w:sdtContent/>
      </w:sdt>
      <w:r w:rsidR="00391A2E">
        <w:t>Institutional Review Board (IRB) and Justification for Sensitive Questions</w:t>
      </w:r>
    </w:p>
    <w:p w:rsidR="0052395A" w14:paraId="00000081" w14:textId="77777777">
      <w:pPr>
        <w:rPr>
          <w:b/>
        </w:rPr>
      </w:pPr>
    </w:p>
    <w:p w:rsidR="00670411" w:rsidP="00670411" w14:paraId="2741765B" w14:textId="77777777">
      <w:pPr>
        <w:keepNext/>
        <w:rPr>
          <w:i/>
        </w:rPr>
      </w:pPr>
      <w:r>
        <w:rPr>
          <w:i/>
        </w:rPr>
        <w:t>IRB Approval</w:t>
      </w:r>
    </w:p>
    <w:p w:rsidR="00670411" w:rsidP="00670411" w14:paraId="156646E5" w14:textId="268A6943">
      <w:pPr>
        <w:keepNext/>
        <w:spacing w:after="120"/>
        <w:rPr>
          <w:highlight w:val="yellow"/>
        </w:rPr>
      </w:pPr>
      <w:r>
        <w:t>The CDC National Center for Injury Prevention and Control’s OMB and human subject’s liaison has determined that IRB approval is not needed for this non-research activity (Att. 10).</w:t>
      </w:r>
    </w:p>
    <w:p w:rsidR="00670411" w14:paraId="5876330F" w14:textId="77777777">
      <w:pPr>
        <w:rPr>
          <w:i/>
        </w:rPr>
      </w:pPr>
    </w:p>
    <w:p w:rsidR="0052395A" w14:paraId="00000082" w14:textId="3A548B71">
      <w:pPr>
        <w:rPr>
          <w:i/>
        </w:rPr>
      </w:pPr>
      <w:r>
        <w:rPr>
          <w:i/>
        </w:rPr>
        <w:t>Sensitive Questions</w:t>
      </w:r>
    </w:p>
    <w:p w:rsidR="0052395A" w14:paraId="00000083" w14:textId="65D5CF4E">
      <w:r>
        <w:t>No questions on the interview and focus group guides will be asked that are personal or sensitive in nature. The team has developed a protocol to ensure questions are not sensitive to provide less burden on the participants.</w:t>
      </w:r>
      <w:r w:rsidR="00BC46C1">
        <w:t xml:space="preserve"> </w:t>
      </w:r>
    </w:p>
    <w:p w:rsidR="0052395A" w14:paraId="00000084" w14:textId="3D32EDB3"/>
    <w:p w:rsidR="0052395A" w14:paraId="00000085" w14:textId="77777777">
      <w:pPr>
        <w:rPr>
          <w:b/>
        </w:rPr>
      </w:pPr>
      <w:r>
        <w:rPr>
          <w:b/>
        </w:rPr>
        <w:tab/>
      </w:r>
    </w:p>
    <w:p w:rsidR="0052395A" w14:paraId="00000086" w14:textId="77777777">
      <w:pPr>
        <w:pStyle w:val="Heading2"/>
        <w:numPr>
          <w:ilvl w:val="0"/>
          <w:numId w:val="4"/>
        </w:numPr>
      </w:pPr>
      <w:bookmarkStart w:id="19" w:name="_heading=h.v26qhz3zi6sr" w:colFirst="0" w:colLast="0"/>
      <w:bookmarkEnd w:id="19"/>
      <w:r>
        <w:t xml:space="preserve">Estimates of Annualized Burden Hours and Costs </w:t>
      </w:r>
    </w:p>
    <w:p w:rsidR="0052395A" w14:paraId="00000087" w14:textId="77777777"/>
    <w:p w:rsidR="0052395A" w14:paraId="00000088" w14:textId="77777777">
      <w:pPr>
        <w:spacing w:after="160" w:line="259" w:lineRule="auto"/>
      </w:pPr>
      <w:r>
        <w:t>At most, sixteen (16) Tribal Health Care Providers, sixteen (16) Tribal Leaders, and thirty-two (32) AI/AN adults will be recruited for this study, for a maximum of sixty-four (64) individuals.</w:t>
      </w:r>
    </w:p>
    <w:p w:rsidR="0052395A" w14:paraId="00000089" w14:textId="77777777">
      <w:pPr>
        <w:spacing w:after="160" w:line="259" w:lineRule="auto"/>
      </w:pPr>
      <w:r>
        <w:t xml:space="preserve">At most, four (4) focus group discussions will be conducted, with a maximum of eight participants in each. Focus group discussions will occur with AI/AN adults and will take no more than 60 minutes. There is no cost to participants beyond the participation burden time. The table below provides the burden estimates for this study. </w:t>
      </w:r>
    </w:p>
    <w:p w:rsidR="0052395A" w14:paraId="0000008A" w14:textId="77777777">
      <w:pPr>
        <w:spacing w:after="160" w:line="259" w:lineRule="auto"/>
      </w:pPr>
      <w:r>
        <w:t xml:space="preserve">At most, thirty-two (32) interviews will be conducted; sixteen (16) with Tribal Health Care Providers, and sixteen (16) with Tribal Leaders. Each interview will take approximately 60 minutes to conduct. There is no cost to participants beyond the participation burden time. The table below provides the burden estimates for this study. </w:t>
      </w:r>
    </w:p>
    <w:p w:rsidR="0052395A" w14:paraId="0000008B" w14:textId="77777777">
      <w:pPr>
        <w:pStyle w:val="Heading3"/>
      </w:pPr>
      <w:bookmarkStart w:id="20" w:name="_heading=h.ry6bmbumhvhn" w:colFirst="0" w:colLast="0"/>
      <w:bookmarkEnd w:id="20"/>
      <w:r>
        <w:t>Table 1. Estimated Annualized Burden Hours</w:t>
      </w:r>
    </w:p>
    <w:tbl>
      <w:tblPr>
        <w:tblStyle w:val="a"/>
        <w:tblW w:w="100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
      <w:tblGrid>
        <w:gridCol w:w="1964"/>
        <w:gridCol w:w="3071"/>
        <w:gridCol w:w="1350"/>
        <w:gridCol w:w="1980"/>
        <w:gridCol w:w="1705"/>
      </w:tblGrid>
      <w:tr w14:paraId="5D79EF34" w14:textId="77777777" w:rsidTr="0052395A">
        <w:tblPrEx>
          <w:tblW w:w="100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Ex>
        <w:tc>
          <w:tcPr>
            <w:tcW w:w="1964" w:type="dxa"/>
          </w:tcPr>
          <w:p w:rsidR="0052395A" w14:paraId="0000008C" w14:textId="77777777">
            <w:pPr>
              <w:spacing w:after="160" w:line="259" w:lineRule="auto"/>
              <w:jc w:val="center"/>
              <w:rPr>
                <w:sz w:val="20"/>
                <w:szCs w:val="20"/>
              </w:rPr>
            </w:pPr>
            <w:r>
              <w:rPr>
                <w:sz w:val="20"/>
                <w:szCs w:val="20"/>
              </w:rPr>
              <w:t>Types of Respondents</w:t>
            </w:r>
          </w:p>
        </w:tc>
        <w:tc>
          <w:tcPr>
            <w:tcW w:w="3071" w:type="dxa"/>
          </w:tcPr>
          <w:p w:rsidR="0052395A" w14:paraId="0000008D" w14:textId="77777777">
            <w:pPr>
              <w:spacing w:after="160" w:line="259" w:lineRule="auto"/>
              <w:jc w:val="center"/>
              <w:rPr>
                <w:sz w:val="20"/>
                <w:szCs w:val="20"/>
              </w:rPr>
            </w:pPr>
            <w:r>
              <w:rPr>
                <w:sz w:val="20"/>
                <w:szCs w:val="20"/>
              </w:rPr>
              <w:t>Form Name</w:t>
            </w:r>
          </w:p>
        </w:tc>
        <w:tc>
          <w:tcPr>
            <w:tcW w:w="1350" w:type="dxa"/>
          </w:tcPr>
          <w:p w:rsidR="0052395A" w14:paraId="0000008E" w14:textId="77777777">
            <w:pPr>
              <w:spacing w:after="160" w:line="259" w:lineRule="auto"/>
              <w:jc w:val="center"/>
              <w:rPr>
                <w:sz w:val="20"/>
                <w:szCs w:val="20"/>
              </w:rPr>
            </w:pPr>
            <w:r>
              <w:rPr>
                <w:sz w:val="20"/>
                <w:szCs w:val="20"/>
              </w:rPr>
              <w:t>No. of Respondents</w:t>
            </w:r>
          </w:p>
        </w:tc>
        <w:tc>
          <w:tcPr>
            <w:tcW w:w="1980" w:type="dxa"/>
          </w:tcPr>
          <w:p w:rsidR="0052395A" w14:paraId="0000008F" w14:textId="62DE49DC">
            <w:pPr>
              <w:spacing w:after="160" w:line="259" w:lineRule="auto"/>
              <w:jc w:val="center"/>
              <w:rPr>
                <w:sz w:val="20"/>
                <w:szCs w:val="20"/>
              </w:rPr>
            </w:pPr>
            <w:r>
              <w:rPr>
                <w:sz w:val="20"/>
                <w:szCs w:val="20"/>
              </w:rPr>
              <w:t xml:space="preserve">Average Burden per Response </w:t>
            </w:r>
            <w:r w:rsidR="005F51EC">
              <w:rPr>
                <w:sz w:val="20"/>
                <w:szCs w:val="20"/>
              </w:rPr>
              <w:t>(</w:t>
            </w:r>
            <w:r>
              <w:rPr>
                <w:sz w:val="20"/>
                <w:szCs w:val="20"/>
              </w:rPr>
              <w:t>hour)</w:t>
            </w:r>
          </w:p>
        </w:tc>
        <w:tc>
          <w:tcPr>
            <w:tcW w:w="1705" w:type="dxa"/>
          </w:tcPr>
          <w:p w:rsidR="0052395A" w14:paraId="00000090" w14:textId="6C2D262A">
            <w:pPr>
              <w:spacing w:after="160" w:line="259" w:lineRule="auto"/>
              <w:jc w:val="center"/>
              <w:rPr>
                <w:sz w:val="20"/>
                <w:szCs w:val="20"/>
              </w:rPr>
            </w:pPr>
            <w:r>
              <w:rPr>
                <w:sz w:val="20"/>
                <w:szCs w:val="20"/>
              </w:rPr>
              <w:t xml:space="preserve">Total Burden (in </w:t>
            </w:r>
            <w:r w:rsidR="00E435B3">
              <w:rPr>
                <w:sz w:val="20"/>
                <w:szCs w:val="20"/>
              </w:rPr>
              <w:t>minutes per hour</w:t>
            </w:r>
            <w:r>
              <w:rPr>
                <w:sz w:val="20"/>
                <w:szCs w:val="20"/>
              </w:rPr>
              <w:t>)</w:t>
            </w:r>
          </w:p>
        </w:tc>
      </w:tr>
      <w:tr w14:paraId="5515BF43" w14:textId="77777777" w:rsidTr="0052395A">
        <w:tblPrEx>
          <w:tblW w:w="10070" w:type="dxa"/>
          <w:tblLayout w:type="fixed"/>
          <w:tblLook w:val="04A0"/>
        </w:tblPrEx>
        <w:tc>
          <w:tcPr>
            <w:tcW w:w="1964" w:type="dxa"/>
            <w:vMerge w:val="restart"/>
          </w:tcPr>
          <w:p w:rsidR="00F0165D" w:rsidP="00A461CF" w14:paraId="04EA74BD" w14:textId="77777777">
            <w:pPr>
              <w:spacing w:after="160" w:line="259" w:lineRule="auto"/>
              <w:rPr>
                <w:b w:val="0"/>
                <w:sz w:val="20"/>
                <w:szCs w:val="20"/>
              </w:rPr>
            </w:pPr>
            <w:r>
              <w:rPr>
                <w:b w:val="0"/>
                <w:sz w:val="20"/>
                <w:szCs w:val="20"/>
              </w:rPr>
              <w:t xml:space="preserve">Tribal Health Care Providers, Tribal Leaders and </w:t>
            </w:r>
          </w:p>
          <w:p w:rsidR="00F0165D" w:rsidP="00A461CF" w14:paraId="20DB3B1E" w14:textId="318D2318">
            <w:pPr>
              <w:spacing w:after="160" w:line="259" w:lineRule="auto"/>
              <w:rPr>
                <w:sz w:val="20"/>
                <w:szCs w:val="20"/>
              </w:rPr>
            </w:pPr>
            <w:r>
              <w:rPr>
                <w:b w:val="0"/>
                <w:sz w:val="20"/>
                <w:szCs w:val="20"/>
              </w:rPr>
              <w:t>AI/AN Adults</w:t>
            </w:r>
          </w:p>
        </w:tc>
        <w:tc>
          <w:tcPr>
            <w:tcW w:w="3071" w:type="dxa"/>
          </w:tcPr>
          <w:p w:rsidR="00F0165D" w:rsidP="00C56CC6" w14:paraId="1577B349" w14:textId="57E56B04">
            <w:pPr>
              <w:spacing w:after="160" w:line="259" w:lineRule="auto"/>
              <w:rPr>
                <w:sz w:val="20"/>
                <w:szCs w:val="20"/>
              </w:rPr>
            </w:pPr>
            <w:r>
              <w:rPr>
                <w:sz w:val="20"/>
                <w:szCs w:val="20"/>
              </w:rPr>
              <w:t xml:space="preserve">Screening survey for focus groups and interviews </w:t>
            </w:r>
            <w:r>
              <w:rPr>
                <w:b/>
                <w:sz w:val="20"/>
                <w:szCs w:val="20"/>
              </w:rPr>
              <w:t>(Att. #1)</w:t>
            </w:r>
          </w:p>
        </w:tc>
        <w:tc>
          <w:tcPr>
            <w:tcW w:w="1350" w:type="dxa"/>
          </w:tcPr>
          <w:p w:rsidR="00F0165D" w:rsidP="00C56CC6" w14:paraId="2C25B2A4" w14:textId="17476AB9">
            <w:pPr>
              <w:spacing w:after="160" w:line="259" w:lineRule="auto"/>
              <w:jc w:val="right"/>
              <w:rPr>
                <w:sz w:val="20"/>
                <w:szCs w:val="20"/>
              </w:rPr>
            </w:pPr>
            <w:r>
              <w:rPr>
                <w:sz w:val="20"/>
                <w:szCs w:val="20"/>
              </w:rPr>
              <w:t>64</w:t>
            </w:r>
          </w:p>
        </w:tc>
        <w:tc>
          <w:tcPr>
            <w:tcW w:w="1980" w:type="dxa"/>
          </w:tcPr>
          <w:p w:rsidR="00F0165D" w:rsidP="00C56CC6" w14:paraId="3D42FD1E" w14:textId="29D5EEC2">
            <w:pPr>
              <w:spacing w:after="160" w:line="259" w:lineRule="auto"/>
              <w:jc w:val="right"/>
              <w:rPr>
                <w:sz w:val="20"/>
                <w:szCs w:val="20"/>
              </w:rPr>
            </w:pPr>
            <w:r>
              <w:rPr>
                <w:sz w:val="20"/>
                <w:szCs w:val="20"/>
              </w:rPr>
              <w:t>8/60</w:t>
            </w:r>
          </w:p>
        </w:tc>
        <w:tc>
          <w:tcPr>
            <w:tcW w:w="1705" w:type="dxa"/>
          </w:tcPr>
          <w:p w:rsidR="00F0165D" w:rsidP="00C56CC6" w14:paraId="4DF542F0" w14:textId="5A895D07">
            <w:pPr>
              <w:spacing w:after="160" w:line="259" w:lineRule="auto"/>
              <w:jc w:val="right"/>
              <w:rPr>
                <w:sz w:val="20"/>
                <w:szCs w:val="20"/>
              </w:rPr>
            </w:pPr>
            <w:r>
              <w:rPr>
                <w:sz w:val="20"/>
                <w:szCs w:val="20"/>
              </w:rPr>
              <w:t>9</w:t>
            </w:r>
          </w:p>
        </w:tc>
      </w:tr>
      <w:tr w14:paraId="29DA952E" w14:textId="77777777" w:rsidTr="0052395A">
        <w:tblPrEx>
          <w:tblW w:w="10070" w:type="dxa"/>
          <w:tblLayout w:type="fixed"/>
          <w:tblLook w:val="04A0"/>
        </w:tblPrEx>
        <w:tc>
          <w:tcPr>
            <w:tcW w:w="1964" w:type="dxa"/>
            <w:vMerge/>
          </w:tcPr>
          <w:p w:rsidR="00F0165D" w:rsidP="00A461CF" w14:paraId="00000092" w14:textId="6E5D1B3A">
            <w:pPr>
              <w:spacing w:after="160" w:line="259" w:lineRule="auto"/>
              <w:rPr>
                <w:sz w:val="20"/>
                <w:szCs w:val="20"/>
              </w:rPr>
            </w:pPr>
          </w:p>
        </w:tc>
        <w:tc>
          <w:tcPr>
            <w:tcW w:w="3071" w:type="dxa"/>
          </w:tcPr>
          <w:p w:rsidR="00F0165D" w:rsidP="00A461CF" w14:paraId="00000093" w14:textId="47107DD7">
            <w:pPr>
              <w:spacing w:after="160" w:line="259" w:lineRule="auto"/>
              <w:rPr>
                <w:sz w:val="20"/>
                <w:szCs w:val="20"/>
              </w:rPr>
            </w:pPr>
            <w:r>
              <w:rPr>
                <w:sz w:val="20"/>
                <w:szCs w:val="20"/>
              </w:rPr>
              <w:t xml:space="preserve">Email AI/AN Adults for focus groups </w:t>
            </w:r>
            <w:r>
              <w:rPr>
                <w:b/>
                <w:sz w:val="20"/>
                <w:szCs w:val="20"/>
              </w:rPr>
              <w:t>(Att. #2)</w:t>
            </w:r>
          </w:p>
        </w:tc>
        <w:tc>
          <w:tcPr>
            <w:tcW w:w="1350" w:type="dxa"/>
          </w:tcPr>
          <w:p w:rsidR="00F0165D" w:rsidP="00A461CF" w14:paraId="00000094" w14:textId="4B05B014">
            <w:pPr>
              <w:spacing w:after="160" w:line="259" w:lineRule="auto"/>
              <w:jc w:val="right"/>
              <w:rPr>
                <w:sz w:val="20"/>
                <w:szCs w:val="20"/>
              </w:rPr>
            </w:pPr>
            <w:r>
              <w:rPr>
                <w:sz w:val="20"/>
                <w:szCs w:val="20"/>
              </w:rPr>
              <w:t>32</w:t>
            </w:r>
          </w:p>
        </w:tc>
        <w:tc>
          <w:tcPr>
            <w:tcW w:w="1980" w:type="dxa"/>
          </w:tcPr>
          <w:p w:rsidR="00F0165D" w:rsidP="00A461CF" w14:paraId="00000095" w14:textId="3440DD4D">
            <w:pPr>
              <w:spacing w:after="160" w:line="259" w:lineRule="auto"/>
              <w:jc w:val="right"/>
              <w:rPr>
                <w:sz w:val="20"/>
                <w:szCs w:val="20"/>
              </w:rPr>
            </w:pPr>
            <w:r>
              <w:rPr>
                <w:sz w:val="20"/>
                <w:szCs w:val="20"/>
              </w:rPr>
              <w:t>3/60</w:t>
            </w:r>
          </w:p>
        </w:tc>
        <w:tc>
          <w:tcPr>
            <w:tcW w:w="1705" w:type="dxa"/>
          </w:tcPr>
          <w:p w:rsidR="00F0165D" w:rsidP="00A461CF" w14:paraId="00000096" w14:textId="7C087A94">
            <w:pPr>
              <w:spacing w:after="160" w:line="259" w:lineRule="auto"/>
              <w:jc w:val="right"/>
              <w:rPr>
                <w:sz w:val="20"/>
                <w:szCs w:val="20"/>
              </w:rPr>
            </w:pPr>
            <w:r>
              <w:rPr>
                <w:sz w:val="20"/>
                <w:szCs w:val="20"/>
              </w:rPr>
              <w:t>2</w:t>
            </w:r>
          </w:p>
        </w:tc>
      </w:tr>
      <w:tr w14:paraId="4199BFC8" w14:textId="77777777" w:rsidTr="0052395A">
        <w:tblPrEx>
          <w:tblW w:w="10070" w:type="dxa"/>
          <w:tblLayout w:type="fixed"/>
          <w:tblLook w:val="04A0"/>
        </w:tblPrEx>
        <w:tc>
          <w:tcPr>
            <w:tcW w:w="1964" w:type="dxa"/>
            <w:vMerge/>
          </w:tcPr>
          <w:p w:rsidR="00F0165D" w:rsidP="00A461CF" w14:paraId="00000097" w14:textId="177526D3">
            <w:pPr>
              <w:spacing w:after="160" w:line="259" w:lineRule="auto"/>
              <w:rPr>
                <w:sz w:val="20"/>
                <w:szCs w:val="20"/>
              </w:rPr>
            </w:pPr>
          </w:p>
        </w:tc>
        <w:tc>
          <w:tcPr>
            <w:tcW w:w="3071" w:type="dxa"/>
          </w:tcPr>
          <w:p w:rsidR="00F0165D" w:rsidP="00A461CF" w14:paraId="00000098" w14:textId="0F46A00F">
            <w:pPr>
              <w:spacing w:after="160" w:line="259" w:lineRule="auto"/>
              <w:rPr>
                <w:sz w:val="20"/>
                <w:szCs w:val="20"/>
              </w:rPr>
            </w:pPr>
            <w:r>
              <w:rPr>
                <w:sz w:val="20"/>
                <w:szCs w:val="20"/>
              </w:rPr>
              <w:t xml:space="preserve">Follow-up email AI/AN Adults </w:t>
            </w:r>
            <w:r>
              <w:rPr>
                <w:b/>
                <w:sz w:val="20"/>
                <w:szCs w:val="20"/>
              </w:rPr>
              <w:t>(Att. #3)</w:t>
            </w:r>
          </w:p>
        </w:tc>
        <w:tc>
          <w:tcPr>
            <w:tcW w:w="1350" w:type="dxa"/>
          </w:tcPr>
          <w:p w:rsidR="00F0165D" w:rsidP="00A461CF" w14:paraId="00000099" w14:textId="23771BEB">
            <w:pPr>
              <w:spacing w:after="160" w:line="259" w:lineRule="auto"/>
              <w:jc w:val="right"/>
              <w:rPr>
                <w:sz w:val="20"/>
                <w:szCs w:val="20"/>
              </w:rPr>
            </w:pPr>
            <w:r>
              <w:rPr>
                <w:sz w:val="20"/>
                <w:szCs w:val="20"/>
              </w:rPr>
              <w:t>32</w:t>
            </w:r>
          </w:p>
        </w:tc>
        <w:tc>
          <w:tcPr>
            <w:tcW w:w="1980" w:type="dxa"/>
          </w:tcPr>
          <w:p w:rsidR="00F0165D" w:rsidP="00A461CF" w14:paraId="0000009A" w14:textId="2B76D041">
            <w:pPr>
              <w:spacing w:after="160" w:line="259" w:lineRule="auto"/>
              <w:jc w:val="right"/>
              <w:rPr>
                <w:sz w:val="20"/>
                <w:szCs w:val="20"/>
              </w:rPr>
            </w:pPr>
            <w:r>
              <w:rPr>
                <w:sz w:val="20"/>
                <w:szCs w:val="20"/>
              </w:rPr>
              <w:t>3/60</w:t>
            </w:r>
          </w:p>
        </w:tc>
        <w:tc>
          <w:tcPr>
            <w:tcW w:w="1705" w:type="dxa"/>
          </w:tcPr>
          <w:p w:rsidR="00F0165D" w:rsidP="00A461CF" w14:paraId="0000009B" w14:textId="39C02822">
            <w:pPr>
              <w:spacing w:after="160" w:line="259" w:lineRule="auto"/>
              <w:jc w:val="right"/>
              <w:rPr>
                <w:sz w:val="20"/>
                <w:szCs w:val="20"/>
              </w:rPr>
            </w:pPr>
            <w:r>
              <w:rPr>
                <w:sz w:val="20"/>
                <w:szCs w:val="20"/>
              </w:rPr>
              <w:t>2</w:t>
            </w:r>
          </w:p>
        </w:tc>
      </w:tr>
      <w:tr w14:paraId="425F2CBB" w14:textId="77777777" w:rsidTr="0052395A">
        <w:tblPrEx>
          <w:tblW w:w="10070" w:type="dxa"/>
          <w:tblLayout w:type="fixed"/>
          <w:tblLook w:val="04A0"/>
        </w:tblPrEx>
        <w:tc>
          <w:tcPr>
            <w:tcW w:w="1964" w:type="dxa"/>
            <w:vMerge/>
          </w:tcPr>
          <w:p w:rsidR="00F0165D" w:rsidP="00732795" w14:paraId="0000009C" w14:textId="34D26B3E">
            <w:pPr>
              <w:spacing w:after="160" w:line="259" w:lineRule="auto"/>
              <w:rPr>
                <w:sz w:val="20"/>
                <w:szCs w:val="20"/>
              </w:rPr>
            </w:pPr>
          </w:p>
        </w:tc>
        <w:tc>
          <w:tcPr>
            <w:tcW w:w="3071" w:type="dxa"/>
          </w:tcPr>
          <w:p w:rsidR="00F0165D" w:rsidP="00732795" w14:paraId="0000009D" w14:textId="26760945">
            <w:r>
              <w:rPr>
                <w:sz w:val="20"/>
                <w:szCs w:val="20"/>
              </w:rPr>
              <w:t>Email Tribal Health Care Providers</w:t>
            </w:r>
            <w:r>
              <w:rPr>
                <w:b/>
                <w:sz w:val="20"/>
                <w:szCs w:val="20"/>
              </w:rPr>
              <w:t xml:space="preserve"> (Att. #4)</w:t>
            </w:r>
          </w:p>
        </w:tc>
        <w:tc>
          <w:tcPr>
            <w:tcW w:w="1350" w:type="dxa"/>
          </w:tcPr>
          <w:p w:rsidR="00F0165D" w:rsidP="00732795" w14:paraId="0000009E" w14:textId="194E7229">
            <w:pPr>
              <w:spacing w:after="160" w:line="259" w:lineRule="auto"/>
              <w:jc w:val="right"/>
              <w:rPr>
                <w:sz w:val="20"/>
                <w:szCs w:val="20"/>
              </w:rPr>
            </w:pPr>
            <w:r>
              <w:rPr>
                <w:sz w:val="20"/>
                <w:szCs w:val="20"/>
              </w:rPr>
              <w:t>16</w:t>
            </w:r>
          </w:p>
        </w:tc>
        <w:tc>
          <w:tcPr>
            <w:tcW w:w="1980" w:type="dxa"/>
          </w:tcPr>
          <w:p w:rsidR="00F0165D" w:rsidP="00732795" w14:paraId="0000009F" w14:textId="717E5D6B">
            <w:pPr>
              <w:spacing w:after="160" w:line="259" w:lineRule="auto"/>
              <w:jc w:val="right"/>
              <w:rPr>
                <w:sz w:val="20"/>
                <w:szCs w:val="20"/>
              </w:rPr>
            </w:pPr>
            <w:r>
              <w:rPr>
                <w:sz w:val="20"/>
                <w:szCs w:val="20"/>
              </w:rPr>
              <w:t>3/60</w:t>
            </w:r>
          </w:p>
        </w:tc>
        <w:tc>
          <w:tcPr>
            <w:tcW w:w="1705" w:type="dxa"/>
          </w:tcPr>
          <w:p w:rsidR="00F0165D" w:rsidP="00732795" w14:paraId="000000A0" w14:textId="0B278AD9">
            <w:pPr>
              <w:spacing w:after="160" w:line="259" w:lineRule="auto"/>
              <w:jc w:val="right"/>
              <w:rPr>
                <w:sz w:val="20"/>
                <w:szCs w:val="20"/>
              </w:rPr>
            </w:pPr>
            <w:r>
              <w:rPr>
                <w:sz w:val="20"/>
                <w:szCs w:val="20"/>
              </w:rPr>
              <w:t>1</w:t>
            </w:r>
          </w:p>
        </w:tc>
      </w:tr>
      <w:tr w14:paraId="5843C9F0" w14:textId="77777777" w:rsidTr="0052395A">
        <w:tblPrEx>
          <w:tblW w:w="10070" w:type="dxa"/>
          <w:tblLayout w:type="fixed"/>
          <w:tblLook w:val="04A0"/>
        </w:tblPrEx>
        <w:tc>
          <w:tcPr>
            <w:tcW w:w="1964" w:type="dxa"/>
            <w:vMerge/>
          </w:tcPr>
          <w:p w:rsidR="00F0165D" w:rsidP="00732795" w14:paraId="000000A1" w14:textId="73C5E629">
            <w:pPr>
              <w:spacing w:after="160" w:line="259" w:lineRule="auto"/>
              <w:rPr>
                <w:sz w:val="20"/>
                <w:szCs w:val="20"/>
              </w:rPr>
            </w:pPr>
          </w:p>
        </w:tc>
        <w:tc>
          <w:tcPr>
            <w:tcW w:w="3071" w:type="dxa"/>
          </w:tcPr>
          <w:p w:rsidR="00F0165D" w:rsidP="00732795" w14:paraId="000000A2" w14:textId="5EF81413">
            <w:r>
              <w:rPr>
                <w:sz w:val="20"/>
                <w:szCs w:val="20"/>
              </w:rPr>
              <w:t xml:space="preserve">Follow-up email Tribal Health Care Providers </w:t>
            </w:r>
            <w:r>
              <w:rPr>
                <w:b/>
                <w:sz w:val="20"/>
                <w:szCs w:val="20"/>
              </w:rPr>
              <w:t>(Att. #5)</w:t>
            </w:r>
          </w:p>
        </w:tc>
        <w:tc>
          <w:tcPr>
            <w:tcW w:w="1350" w:type="dxa"/>
          </w:tcPr>
          <w:p w:rsidR="00F0165D" w:rsidP="00732795" w14:paraId="000000A3" w14:textId="6E270E62">
            <w:pPr>
              <w:spacing w:after="160" w:line="259" w:lineRule="auto"/>
              <w:jc w:val="right"/>
              <w:rPr>
                <w:sz w:val="20"/>
                <w:szCs w:val="20"/>
              </w:rPr>
            </w:pPr>
            <w:r>
              <w:rPr>
                <w:sz w:val="20"/>
                <w:szCs w:val="20"/>
              </w:rPr>
              <w:t>16</w:t>
            </w:r>
          </w:p>
        </w:tc>
        <w:tc>
          <w:tcPr>
            <w:tcW w:w="1980" w:type="dxa"/>
          </w:tcPr>
          <w:p w:rsidR="00F0165D" w:rsidP="00732795" w14:paraId="000000A4" w14:textId="6B5FA6DB">
            <w:pPr>
              <w:spacing w:after="160" w:line="259" w:lineRule="auto"/>
              <w:jc w:val="right"/>
              <w:rPr>
                <w:sz w:val="20"/>
                <w:szCs w:val="20"/>
              </w:rPr>
            </w:pPr>
            <w:r>
              <w:rPr>
                <w:sz w:val="20"/>
                <w:szCs w:val="20"/>
              </w:rPr>
              <w:t>3/60</w:t>
            </w:r>
          </w:p>
        </w:tc>
        <w:tc>
          <w:tcPr>
            <w:tcW w:w="1705" w:type="dxa"/>
          </w:tcPr>
          <w:p w:rsidR="00F0165D" w:rsidP="00732795" w14:paraId="000000A5" w14:textId="1B44890B">
            <w:pPr>
              <w:spacing w:after="160" w:line="259" w:lineRule="auto"/>
              <w:jc w:val="right"/>
              <w:rPr>
                <w:sz w:val="20"/>
                <w:szCs w:val="20"/>
              </w:rPr>
            </w:pPr>
            <w:r>
              <w:rPr>
                <w:sz w:val="20"/>
                <w:szCs w:val="20"/>
              </w:rPr>
              <w:t>1</w:t>
            </w:r>
          </w:p>
        </w:tc>
      </w:tr>
      <w:tr w14:paraId="3BA6EB62" w14:textId="77777777" w:rsidTr="0052395A">
        <w:tblPrEx>
          <w:tblW w:w="10070" w:type="dxa"/>
          <w:tblLayout w:type="fixed"/>
          <w:tblLook w:val="04A0"/>
        </w:tblPrEx>
        <w:tc>
          <w:tcPr>
            <w:tcW w:w="1964" w:type="dxa"/>
            <w:vMerge/>
          </w:tcPr>
          <w:p w:rsidR="00F0165D" w:rsidP="00732795" w14:paraId="000000A6" w14:textId="75C3E494">
            <w:pPr>
              <w:spacing w:after="160" w:line="259" w:lineRule="auto"/>
              <w:rPr>
                <w:sz w:val="20"/>
                <w:szCs w:val="20"/>
              </w:rPr>
            </w:pPr>
          </w:p>
        </w:tc>
        <w:tc>
          <w:tcPr>
            <w:tcW w:w="3071" w:type="dxa"/>
          </w:tcPr>
          <w:p w:rsidR="00F0165D" w:rsidP="00732795" w14:paraId="000000A7" w14:textId="3049ECF5">
            <w:pPr>
              <w:spacing w:after="160" w:line="259" w:lineRule="auto"/>
              <w:rPr>
                <w:sz w:val="20"/>
                <w:szCs w:val="20"/>
              </w:rPr>
            </w:pPr>
            <w:r>
              <w:rPr>
                <w:sz w:val="20"/>
                <w:szCs w:val="20"/>
              </w:rPr>
              <w:t xml:space="preserve">Email Tribal Leaders </w:t>
            </w:r>
            <w:r>
              <w:rPr>
                <w:b/>
                <w:sz w:val="20"/>
                <w:szCs w:val="20"/>
              </w:rPr>
              <w:t>(Att. #6)</w:t>
            </w:r>
          </w:p>
        </w:tc>
        <w:tc>
          <w:tcPr>
            <w:tcW w:w="1350" w:type="dxa"/>
          </w:tcPr>
          <w:p w:rsidR="00F0165D" w:rsidP="00732795" w14:paraId="000000A8" w14:textId="77777777">
            <w:pPr>
              <w:spacing w:after="160" w:line="259" w:lineRule="auto"/>
              <w:jc w:val="right"/>
              <w:rPr>
                <w:sz w:val="20"/>
                <w:szCs w:val="20"/>
              </w:rPr>
            </w:pPr>
            <w:r>
              <w:rPr>
                <w:sz w:val="20"/>
                <w:szCs w:val="20"/>
              </w:rPr>
              <w:t>16</w:t>
            </w:r>
          </w:p>
        </w:tc>
        <w:tc>
          <w:tcPr>
            <w:tcW w:w="1980" w:type="dxa"/>
          </w:tcPr>
          <w:p w:rsidR="00F0165D" w:rsidP="00732795" w14:paraId="000000A9" w14:textId="771B0C6C">
            <w:pPr>
              <w:spacing w:after="160" w:line="259" w:lineRule="auto"/>
              <w:jc w:val="right"/>
              <w:rPr>
                <w:sz w:val="20"/>
                <w:szCs w:val="20"/>
              </w:rPr>
            </w:pPr>
            <w:r>
              <w:rPr>
                <w:sz w:val="20"/>
                <w:szCs w:val="20"/>
              </w:rPr>
              <w:t>3/60</w:t>
            </w:r>
          </w:p>
        </w:tc>
        <w:tc>
          <w:tcPr>
            <w:tcW w:w="1705" w:type="dxa"/>
          </w:tcPr>
          <w:p w:rsidR="00F0165D" w:rsidP="00732795" w14:paraId="000000AA" w14:textId="4CE9B250">
            <w:pPr>
              <w:spacing w:after="160" w:line="259" w:lineRule="auto"/>
              <w:jc w:val="right"/>
              <w:rPr>
                <w:sz w:val="20"/>
                <w:szCs w:val="20"/>
              </w:rPr>
            </w:pPr>
            <w:r>
              <w:rPr>
                <w:sz w:val="20"/>
                <w:szCs w:val="20"/>
              </w:rPr>
              <w:t>1</w:t>
            </w:r>
          </w:p>
        </w:tc>
      </w:tr>
      <w:tr w14:paraId="6E72A635" w14:textId="77777777" w:rsidTr="0052395A">
        <w:tblPrEx>
          <w:tblW w:w="10070" w:type="dxa"/>
          <w:tblLayout w:type="fixed"/>
          <w:tblLook w:val="04A0"/>
        </w:tblPrEx>
        <w:tc>
          <w:tcPr>
            <w:tcW w:w="1964" w:type="dxa"/>
            <w:vMerge/>
          </w:tcPr>
          <w:p w:rsidR="00F0165D" w:rsidP="00732795" w14:paraId="000000B0" w14:textId="3821FE4C">
            <w:pPr>
              <w:spacing w:after="160" w:line="259" w:lineRule="auto"/>
              <w:rPr>
                <w:sz w:val="20"/>
                <w:szCs w:val="20"/>
              </w:rPr>
            </w:pPr>
          </w:p>
        </w:tc>
        <w:tc>
          <w:tcPr>
            <w:tcW w:w="3071" w:type="dxa"/>
          </w:tcPr>
          <w:p w:rsidR="00F0165D" w:rsidP="00732795" w14:paraId="000000B1" w14:textId="30676080">
            <w:r>
              <w:rPr>
                <w:sz w:val="20"/>
                <w:szCs w:val="20"/>
              </w:rPr>
              <w:t xml:space="preserve">Follow-up email Tribal Leaders </w:t>
            </w:r>
            <w:r>
              <w:rPr>
                <w:b/>
                <w:sz w:val="20"/>
                <w:szCs w:val="20"/>
              </w:rPr>
              <w:t>(Att. #7)</w:t>
            </w:r>
          </w:p>
        </w:tc>
        <w:tc>
          <w:tcPr>
            <w:tcW w:w="1350" w:type="dxa"/>
          </w:tcPr>
          <w:p w:rsidR="00F0165D" w:rsidP="00732795" w14:paraId="000000B2" w14:textId="77777777">
            <w:pPr>
              <w:spacing w:after="160" w:line="259" w:lineRule="auto"/>
              <w:jc w:val="right"/>
              <w:rPr>
                <w:sz w:val="20"/>
                <w:szCs w:val="20"/>
              </w:rPr>
            </w:pPr>
            <w:r>
              <w:rPr>
                <w:sz w:val="20"/>
                <w:szCs w:val="20"/>
              </w:rPr>
              <w:t>16</w:t>
            </w:r>
          </w:p>
        </w:tc>
        <w:tc>
          <w:tcPr>
            <w:tcW w:w="1980" w:type="dxa"/>
          </w:tcPr>
          <w:p w:rsidR="00F0165D" w:rsidP="00732795" w14:paraId="000000B3" w14:textId="11FD7EE1">
            <w:pPr>
              <w:spacing w:after="160" w:line="259" w:lineRule="auto"/>
              <w:jc w:val="right"/>
              <w:rPr>
                <w:sz w:val="20"/>
                <w:szCs w:val="20"/>
              </w:rPr>
            </w:pPr>
            <w:r>
              <w:rPr>
                <w:sz w:val="20"/>
                <w:szCs w:val="20"/>
              </w:rPr>
              <w:t>3/60</w:t>
            </w:r>
          </w:p>
        </w:tc>
        <w:tc>
          <w:tcPr>
            <w:tcW w:w="1705" w:type="dxa"/>
          </w:tcPr>
          <w:p w:rsidR="00F0165D" w:rsidP="00732795" w14:paraId="000000B4" w14:textId="5EC8999A">
            <w:pPr>
              <w:spacing w:after="160" w:line="259" w:lineRule="auto"/>
              <w:jc w:val="right"/>
              <w:rPr>
                <w:sz w:val="20"/>
                <w:szCs w:val="20"/>
              </w:rPr>
            </w:pPr>
            <w:r>
              <w:rPr>
                <w:sz w:val="20"/>
                <w:szCs w:val="20"/>
              </w:rPr>
              <w:t>1</w:t>
            </w:r>
          </w:p>
        </w:tc>
      </w:tr>
      <w:tr w14:paraId="3F5F2B87" w14:textId="77777777" w:rsidTr="0052395A">
        <w:tblPrEx>
          <w:tblW w:w="10070" w:type="dxa"/>
          <w:tblLayout w:type="fixed"/>
          <w:tblLook w:val="04A0"/>
        </w:tblPrEx>
        <w:tc>
          <w:tcPr>
            <w:tcW w:w="1964" w:type="dxa"/>
            <w:vMerge/>
          </w:tcPr>
          <w:p w:rsidR="00F0165D" w:rsidP="00DD011C" w14:paraId="000000B5" w14:textId="06203405">
            <w:pPr>
              <w:spacing w:after="160" w:line="259" w:lineRule="auto"/>
              <w:rPr>
                <w:sz w:val="20"/>
                <w:szCs w:val="20"/>
              </w:rPr>
            </w:pPr>
          </w:p>
        </w:tc>
        <w:tc>
          <w:tcPr>
            <w:tcW w:w="3071" w:type="dxa"/>
          </w:tcPr>
          <w:p w:rsidR="00F0165D" w:rsidP="00DD011C" w14:paraId="000000B6" w14:textId="0F2981EA">
            <w:r>
              <w:rPr>
                <w:sz w:val="20"/>
                <w:szCs w:val="20"/>
              </w:rPr>
              <w:t>Focus group discussion guide AI/AN Adults </w:t>
            </w:r>
            <w:r>
              <w:rPr>
                <w:b/>
                <w:sz w:val="20"/>
                <w:szCs w:val="20"/>
              </w:rPr>
              <w:t>(Att. #8)</w:t>
            </w:r>
          </w:p>
        </w:tc>
        <w:tc>
          <w:tcPr>
            <w:tcW w:w="1350" w:type="dxa"/>
          </w:tcPr>
          <w:p w:rsidR="00F0165D" w:rsidP="00DD011C" w14:paraId="000000B7" w14:textId="4669A6BB">
            <w:pPr>
              <w:spacing w:after="160" w:line="259" w:lineRule="auto"/>
              <w:jc w:val="right"/>
              <w:rPr>
                <w:sz w:val="20"/>
                <w:szCs w:val="20"/>
              </w:rPr>
            </w:pPr>
            <w:r>
              <w:rPr>
                <w:sz w:val="20"/>
                <w:szCs w:val="20"/>
              </w:rPr>
              <w:t>32</w:t>
            </w:r>
          </w:p>
        </w:tc>
        <w:tc>
          <w:tcPr>
            <w:tcW w:w="1980" w:type="dxa"/>
          </w:tcPr>
          <w:p w:rsidR="00F0165D" w:rsidP="00DD011C" w14:paraId="000000B8" w14:textId="3FADF339">
            <w:pPr>
              <w:spacing w:after="160" w:line="259" w:lineRule="auto"/>
              <w:jc w:val="right"/>
              <w:rPr>
                <w:sz w:val="20"/>
                <w:szCs w:val="20"/>
              </w:rPr>
            </w:pPr>
            <w:r>
              <w:rPr>
                <w:sz w:val="20"/>
                <w:szCs w:val="20"/>
              </w:rPr>
              <w:t>1</w:t>
            </w:r>
          </w:p>
        </w:tc>
        <w:tc>
          <w:tcPr>
            <w:tcW w:w="1705" w:type="dxa"/>
          </w:tcPr>
          <w:p w:rsidR="00F0165D" w:rsidP="00DD011C" w14:paraId="000000B9" w14:textId="325B116D">
            <w:pPr>
              <w:spacing w:after="160" w:line="259" w:lineRule="auto"/>
              <w:jc w:val="right"/>
              <w:rPr>
                <w:sz w:val="20"/>
                <w:szCs w:val="20"/>
              </w:rPr>
            </w:pPr>
            <w:r>
              <w:rPr>
                <w:sz w:val="20"/>
                <w:szCs w:val="20"/>
              </w:rPr>
              <w:t>32</w:t>
            </w:r>
          </w:p>
        </w:tc>
      </w:tr>
      <w:tr w14:paraId="4706F4D7" w14:textId="77777777" w:rsidTr="0052395A">
        <w:tblPrEx>
          <w:tblW w:w="10070" w:type="dxa"/>
          <w:tblLayout w:type="fixed"/>
          <w:tblLook w:val="04A0"/>
        </w:tblPrEx>
        <w:trPr>
          <w:trHeight w:val="200"/>
        </w:trPr>
        <w:tc>
          <w:tcPr>
            <w:tcW w:w="1964" w:type="dxa"/>
            <w:vMerge/>
          </w:tcPr>
          <w:p w:rsidR="00F0165D" w:rsidP="00DD011C" w14:paraId="000000C4" w14:textId="77777777">
            <w:pPr>
              <w:widowControl w:val="0"/>
              <w:pBdr>
                <w:top w:val="nil"/>
                <w:left w:val="nil"/>
                <w:bottom w:val="nil"/>
                <w:right w:val="nil"/>
                <w:between w:val="nil"/>
              </w:pBdr>
              <w:spacing w:line="276" w:lineRule="auto"/>
              <w:rPr>
                <w:sz w:val="20"/>
                <w:szCs w:val="20"/>
              </w:rPr>
            </w:pPr>
          </w:p>
        </w:tc>
        <w:tc>
          <w:tcPr>
            <w:tcW w:w="3071" w:type="dxa"/>
          </w:tcPr>
          <w:p w:rsidR="00F0165D" w:rsidP="00DD011C" w14:paraId="000000C5" w14:textId="380AA2C6">
            <w:r>
              <w:rPr>
                <w:sz w:val="20"/>
                <w:szCs w:val="20"/>
              </w:rPr>
              <w:t>Interview guide Tribal Health Care Providers and Tribal Leaders </w:t>
            </w:r>
            <w:r>
              <w:rPr>
                <w:b/>
                <w:sz w:val="20"/>
                <w:szCs w:val="20"/>
              </w:rPr>
              <w:t>(Att. #9)</w:t>
            </w:r>
          </w:p>
        </w:tc>
        <w:tc>
          <w:tcPr>
            <w:tcW w:w="1350" w:type="dxa"/>
          </w:tcPr>
          <w:p w:rsidR="00F0165D" w:rsidP="00DD011C" w14:paraId="000000C6" w14:textId="3B4ED6A2">
            <w:pPr>
              <w:spacing w:after="160" w:line="259" w:lineRule="auto"/>
              <w:jc w:val="right"/>
              <w:rPr>
                <w:sz w:val="20"/>
                <w:szCs w:val="20"/>
              </w:rPr>
            </w:pPr>
            <w:r>
              <w:rPr>
                <w:sz w:val="20"/>
                <w:szCs w:val="20"/>
              </w:rPr>
              <w:t>32</w:t>
            </w:r>
          </w:p>
        </w:tc>
        <w:tc>
          <w:tcPr>
            <w:tcW w:w="1980" w:type="dxa"/>
          </w:tcPr>
          <w:p w:rsidR="00F0165D" w:rsidP="00DD011C" w14:paraId="000000C7" w14:textId="593B1A33">
            <w:pPr>
              <w:spacing w:after="160" w:line="259" w:lineRule="auto"/>
              <w:jc w:val="right"/>
              <w:rPr>
                <w:sz w:val="20"/>
                <w:szCs w:val="20"/>
              </w:rPr>
            </w:pPr>
            <w:r>
              <w:rPr>
                <w:sz w:val="20"/>
                <w:szCs w:val="20"/>
              </w:rPr>
              <w:t>1</w:t>
            </w:r>
          </w:p>
        </w:tc>
        <w:tc>
          <w:tcPr>
            <w:tcW w:w="1705" w:type="dxa"/>
          </w:tcPr>
          <w:p w:rsidR="00F0165D" w:rsidP="00DD011C" w14:paraId="000000C8" w14:textId="139DACBD">
            <w:pPr>
              <w:spacing w:after="160" w:line="259" w:lineRule="auto"/>
              <w:jc w:val="right"/>
              <w:rPr>
                <w:sz w:val="20"/>
                <w:szCs w:val="20"/>
              </w:rPr>
            </w:pPr>
            <w:r>
              <w:rPr>
                <w:sz w:val="20"/>
                <w:szCs w:val="20"/>
              </w:rPr>
              <w:t>32</w:t>
            </w:r>
          </w:p>
        </w:tc>
      </w:tr>
      <w:tr w14:paraId="1E0BD273" w14:textId="77777777" w:rsidTr="0052395A">
        <w:tblPrEx>
          <w:tblW w:w="10070" w:type="dxa"/>
          <w:tblLayout w:type="fixed"/>
          <w:tblLook w:val="04A0"/>
        </w:tblPrEx>
        <w:trPr>
          <w:trHeight w:val="200"/>
        </w:trPr>
        <w:tc>
          <w:tcPr>
            <w:tcW w:w="8365" w:type="dxa"/>
            <w:gridSpan w:val="4"/>
          </w:tcPr>
          <w:p w:rsidR="00DD011C" w:rsidP="00DD011C" w14:paraId="000000CE" w14:textId="77777777">
            <w:pPr>
              <w:spacing w:after="160" w:line="259" w:lineRule="auto"/>
              <w:rPr>
                <w:sz w:val="20"/>
                <w:szCs w:val="20"/>
              </w:rPr>
            </w:pPr>
            <w:r>
              <w:rPr>
                <w:sz w:val="20"/>
                <w:szCs w:val="20"/>
              </w:rPr>
              <w:t>Total</w:t>
            </w:r>
          </w:p>
        </w:tc>
        <w:tc>
          <w:tcPr>
            <w:tcW w:w="1705" w:type="dxa"/>
          </w:tcPr>
          <w:p w:rsidR="00DD011C" w:rsidP="00DD011C" w14:paraId="000000D2" w14:textId="31A2BFEA">
            <w:pPr>
              <w:spacing w:after="160" w:line="259" w:lineRule="auto"/>
              <w:jc w:val="right"/>
              <w:rPr>
                <w:b/>
                <w:sz w:val="20"/>
                <w:szCs w:val="20"/>
              </w:rPr>
            </w:pPr>
            <w:r>
              <w:rPr>
                <w:b/>
                <w:sz w:val="20"/>
                <w:szCs w:val="20"/>
              </w:rPr>
              <w:t>81</w:t>
            </w:r>
          </w:p>
        </w:tc>
      </w:tr>
    </w:tbl>
    <w:p w:rsidR="0052395A" w14:paraId="000000D3" w14:textId="77777777">
      <w:pPr>
        <w:spacing w:after="160" w:line="259" w:lineRule="auto"/>
      </w:pPr>
    </w:p>
    <w:p w:rsidR="0052395A" w14:paraId="000000D4" w14:textId="77777777">
      <w:pPr>
        <w:pStyle w:val="Heading3"/>
        <w:ind w:left="600" w:hanging="360"/>
      </w:pPr>
      <w:bookmarkStart w:id="21" w:name="_heading=h.lhjvkp86wybt" w:colFirst="0" w:colLast="0"/>
      <w:bookmarkEnd w:id="21"/>
      <w:r>
        <w:t>Table 2. Estimated Annualized Burden Costs</w:t>
      </w:r>
    </w:p>
    <w:p w:rsidR="0052395A" w14:paraId="000000D5" w14:textId="57116FD3"/>
    <w:tbl>
      <w:tblPr>
        <w:tblW w:w="100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
      <w:tblGrid>
        <w:gridCol w:w="1964"/>
        <w:gridCol w:w="3071"/>
        <w:gridCol w:w="1350"/>
        <w:gridCol w:w="1980"/>
        <w:gridCol w:w="1705"/>
      </w:tblGrid>
      <w:tr w14:paraId="00D5CAF7" w14:textId="77777777" w:rsidTr="000D62E2">
        <w:tblPrEx>
          <w:tblW w:w="100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Ex>
        <w:tc>
          <w:tcPr>
            <w:tcW w:w="1964" w:type="dxa"/>
          </w:tcPr>
          <w:p w:rsidR="005F51EC" w:rsidRPr="005F51EC" w:rsidP="005F51EC" w14:paraId="7CCE76F5" w14:textId="77777777">
            <w:pPr>
              <w:spacing w:after="160" w:line="259" w:lineRule="auto"/>
              <w:jc w:val="center"/>
              <w:rPr>
                <w:b/>
                <w:bCs/>
                <w:sz w:val="20"/>
                <w:szCs w:val="20"/>
              </w:rPr>
            </w:pPr>
            <w:r w:rsidRPr="005F51EC">
              <w:rPr>
                <w:b/>
                <w:bCs/>
                <w:sz w:val="20"/>
                <w:szCs w:val="20"/>
              </w:rPr>
              <w:t>Types of Respondents</w:t>
            </w:r>
          </w:p>
        </w:tc>
        <w:tc>
          <w:tcPr>
            <w:tcW w:w="3071" w:type="dxa"/>
          </w:tcPr>
          <w:p w:rsidR="005F51EC" w:rsidRPr="005F51EC" w:rsidP="005F51EC" w14:paraId="17B68D7E" w14:textId="77777777">
            <w:pPr>
              <w:spacing w:after="160" w:line="259" w:lineRule="auto"/>
              <w:jc w:val="center"/>
              <w:rPr>
                <w:b/>
                <w:bCs/>
                <w:sz w:val="20"/>
                <w:szCs w:val="20"/>
              </w:rPr>
            </w:pPr>
            <w:r w:rsidRPr="005F51EC">
              <w:rPr>
                <w:b/>
                <w:bCs/>
                <w:sz w:val="20"/>
                <w:szCs w:val="20"/>
              </w:rPr>
              <w:t>Form Name</w:t>
            </w:r>
          </w:p>
        </w:tc>
        <w:tc>
          <w:tcPr>
            <w:tcW w:w="1350" w:type="dxa"/>
          </w:tcPr>
          <w:p w:rsidR="005F51EC" w:rsidRPr="005F51EC" w:rsidP="005F51EC" w14:paraId="1278B5E7" w14:textId="77777777">
            <w:pPr>
              <w:spacing w:after="160" w:line="259" w:lineRule="auto"/>
              <w:jc w:val="center"/>
              <w:rPr>
                <w:b/>
                <w:bCs/>
                <w:sz w:val="20"/>
                <w:szCs w:val="20"/>
              </w:rPr>
            </w:pPr>
            <w:r w:rsidRPr="005F51EC">
              <w:rPr>
                <w:b/>
                <w:bCs/>
                <w:sz w:val="20"/>
                <w:szCs w:val="20"/>
              </w:rPr>
              <w:t xml:space="preserve">Total Burden </w:t>
            </w:r>
          </w:p>
          <w:p w:rsidR="005F51EC" w:rsidRPr="005F51EC" w:rsidP="005F51EC" w14:paraId="515ED13F" w14:textId="42D51390">
            <w:pPr>
              <w:spacing w:after="160" w:line="259" w:lineRule="auto"/>
              <w:jc w:val="center"/>
              <w:rPr>
                <w:b/>
                <w:bCs/>
                <w:sz w:val="20"/>
                <w:szCs w:val="20"/>
              </w:rPr>
            </w:pPr>
            <w:r w:rsidRPr="005F51EC">
              <w:rPr>
                <w:b/>
                <w:bCs/>
                <w:sz w:val="20"/>
                <w:szCs w:val="20"/>
              </w:rPr>
              <w:t>(hour)</w:t>
            </w:r>
          </w:p>
        </w:tc>
        <w:tc>
          <w:tcPr>
            <w:tcW w:w="1980" w:type="dxa"/>
          </w:tcPr>
          <w:p w:rsidR="005F51EC" w:rsidRPr="005F51EC" w:rsidP="005F51EC" w14:paraId="3D8E39C0" w14:textId="6C0E9AAE">
            <w:pPr>
              <w:spacing w:after="160" w:line="259" w:lineRule="auto"/>
              <w:jc w:val="center"/>
              <w:rPr>
                <w:b/>
                <w:bCs/>
                <w:sz w:val="20"/>
                <w:szCs w:val="20"/>
              </w:rPr>
            </w:pPr>
            <w:r w:rsidRPr="005F51EC">
              <w:rPr>
                <w:b/>
                <w:bCs/>
                <w:sz w:val="20"/>
                <w:szCs w:val="20"/>
              </w:rPr>
              <w:t>Hourly Wage Rate</w:t>
            </w:r>
            <w:r w:rsidRPr="005F51EC">
              <w:rPr>
                <w:b/>
                <w:bCs/>
                <w:sz w:val="20"/>
                <w:szCs w:val="20"/>
                <w:vertAlign w:val="superscript"/>
              </w:rPr>
              <w:t>1</w:t>
            </w:r>
          </w:p>
        </w:tc>
        <w:tc>
          <w:tcPr>
            <w:tcW w:w="1705" w:type="dxa"/>
          </w:tcPr>
          <w:p w:rsidR="005F51EC" w:rsidRPr="005F51EC" w:rsidP="005F51EC" w14:paraId="144A48C1" w14:textId="2C441F57">
            <w:pPr>
              <w:spacing w:after="160" w:line="259" w:lineRule="auto"/>
              <w:jc w:val="center"/>
              <w:rPr>
                <w:b/>
                <w:bCs/>
                <w:sz w:val="20"/>
                <w:szCs w:val="20"/>
              </w:rPr>
            </w:pPr>
            <w:r w:rsidRPr="005F51EC">
              <w:rPr>
                <w:b/>
                <w:bCs/>
                <w:sz w:val="20"/>
                <w:szCs w:val="20"/>
              </w:rPr>
              <w:t>Total Respondent Costs</w:t>
            </w:r>
          </w:p>
        </w:tc>
      </w:tr>
      <w:tr w14:paraId="09C51E90" w14:textId="77777777" w:rsidTr="000D62E2">
        <w:tblPrEx>
          <w:tblW w:w="10070" w:type="dxa"/>
          <w:tblLayout w:type="fixed"/>
          <w:tblLook w:val="04A0"/>
        </w:tblPrEx>
        <w:tc>
          <w:tcPr>
            <w:tcW w:w="1964" w:type="dxa"/>
            <w:vMerge w:val="restart"/>
          </w:tcPr>
          <w:p w:rsidR="005F51EC" w:rsidP="005F51EC" w14:paraId="24D817B6" w14:textId="77777777">
            <w:pPr>
              <w:spacing w:after="160" w:line="259" w:lineRule="auto"/>
              <w:rPr>
                <w:b/>
                <w:sz w:val="20"/>
                <w:szCs w:val="20"/>
              </w:rPr>
            </w:pPr>
            <w:r>
              <w:rPr>
                <w:sz w:val="20"/>
                <w:szCs w:val="20"/>
              </w:rPr>
              <w:t xml:space="preserve">Tribal Health Care Providers, Tribal Leaders and </w:t>
            </w:r>
          </w:p>
          <w:p w:rsidR="005F51EC" w:rsidP="005F51EC" w14:paraId="11125A84" w14:textId="77777777">
            <w:pPr>
              <w:spacing w:after="160" w:line="259" w:lineRule="auto"/>
              <w:rPr>
                <w:sz w:val="20"/>
                <w:szCs w:val="20"/>
              </w:rPr>
            </w:pPr>
            <w:r>
              <w:rPr>
                <w:sz w:val="20"/>
                <w:szCs w:val="20"/>
              </w:rPr>
              <w:t>AI/AN Adults</w:t>
            </w:r>
          </w:p>
        </w:tc>
        <w:tc>
          <w:tcPr>
            <w:tcW w:w="3071" w:type="dxa"/>
          </w:tcPr>
          <w:p w:rsidR="005F51EC" w:rsidP="005F51EC" w14:paraId="08273E2E" w14:textId="77777777">
            <w:pPr>
              <w:spacing w:after="160" w:line="259" w:lineRule="auto"/>
              <w:rPr>
                <w:sz w:val="20"/>
                <w:szCs w:val="20"/>
              </w:rPr>
            </w:pPr>
            <w:r>
              <w:rPr>
                <w:sz w:val="20"/>
                <w:szCs w:val="20"/>
              </w:rPr>
              <w:t xml:space="preserve">Screening survey for focus groups and interviews </w:t>
            </w:r>
            <w:r>
              <w:rPr>
                <w:b/>
                <w:sz w:val="20"/>
                <w:szCs w:val="20"/>
              </w:rPr>
              <w:t>(Att. #1)</w:t>
            </w:r>
          </w:p>
        </w:tc>
        <w:tc>
          <w:tcPr>
            <w:tcW w:w="1350" w:type="dxa"/>
          </w:tcPr>
          <w:p w:rsidR="005F51EC" w:rsidP="005F51EC" w14:paraId="648919BA" w14:textId="29DC2853">
            <w:pPr>
              <w:spacing w:after="160" w:line="259" w:lineRule="auto"/>
              <w:jc w:val="right"/>
              <w:rPr>
                <w:sz w:val="20"/>
                <w:szCs w:val="20"/>
              </w:rPr>
            </w:pPr>
            <w:r>
              <w:rPr>
                <w:sz w:val="20"/>
                <w:szCs w:val="20"/>
              </w:rPr>
              <w:t>9</w:t>
            </w:r>
          </w:p>
        </w:tc>
        <w:tc>
          <w:tcPr>
            <w:tcW w:w="1980" w:type="dxa"/>
          </w:tcPr>
          <w:p w:rsidR="005F51EC" w:rsidP="005F51EC" w14:paraId="7AACE0CD" w14:textId="5C269A6A">
            <w:pPr>
              <w:spacing w:after="160" w:line="259" w:lineRule="auto"/>
              <w:jc w:val="right"/>
              <w:rPr>
                <w:sz w:val="20"/>
                <w:szCs w:val="20"/>
              </w:rPr>
            </w:pPr>
            <w:r>
              <w:rPr>
                <w:sz w:val="20"/>
                <w:szCs w:val="20"/>
              </w:rPr>
              <w:t>29.76</w:t>
            </w:r>
          </w:p>
        </w:tc>
        <w:tc>
          <w:tcPr>
            <w:tcW w:w="1705" w:type="dxa"/>
          </w:tcPr>
          <w:p w:rsidR="005F51EC" w:rsidP="005F51EC" w14:paraId="5539141A" w14:textId="2B4E34C6">
            <w:pPr>
              <w:spacing w:after="160" w:line="259" w:lineRule="auto"/>
              <w:jc w:val="right"/>
              <w:rPr>
                <w:sz w:val="20"/>
                <w:szCs w:val="20"/>
              </w:rPr>
            </w:pPr>
            <w:r>
              <w:rPr>
                <w:sz w:val="20"/>
                <w:szCs w:val="20"/>
              </w:rPr>
              <w:t>268</w:t>
            </w:r>
          </w:p>
        </w:tc>
      </w:tr>
      <w:tr w14:paraId="1529E29A" w14:textId="77777777" w:rsidTr="000D62E2">
        <w:tblPrEx>
          <w:tblW w:w="10070" w:type="dxa"/>
          <w:tblLayout w:type="fixed"/>
          <w:tblLook w:val="04A0"/>
        </w:tblPrEx>
        <w:tc>
          <w:tcPr>
            <w:tcW w:w="1964" w:type="dxa"/>
            <w:vMerge/>
          </w:tcPr>
          <w:p w:rsidR="005F51EC" w:rsidP="005F51EC" w14:paraId="6A322A1D" w14:textId="77777777">
            <w:pPr>
              <w:spacing w:after="160" w:line="259" w:lineRule="auto"/>
              <w:rPr>
                <w:sz w:val="20"/>
                <w:szCs w:val="20"/>
              </w:rPr>
            </w:pPr>
          </w:p>
        </w:tc>
        <w:tc>
          <w:tcPr>
            <w:tcW w:w="3071" w:type="dxa"/>
          </w:tcPr>
          <w:p w:rsidR="005F51EC" w:rsidP="005F51EC" w14:paraId="21869665" w14:textId="77777777">
            <w:pPr>
              <w:spacing w:after="160" w:line="259" w:lineRule="auto"/>
              <w:rPr>
                <w:sz w:val="20"/>
                <w:szCs w:val="20"/>
              </w:rPr>
            </w:pPr>
            <w:r>
              <w:rPr>
                <w:sz w:val="20"/>
                <w:szCs w:val="20"/>
              </w:rPr>
              <w:t xml:space="preserve">Email AI/AN Adults for focus groups </w:t>
            </w:r>
            <w:r>
              <w:rPr>
                <w:b/>
                <w:sz w:val="20"/>
                <w:szCs w:val="20"/>
              </w:rPr>
              <w:t>(Att. #2)</w:t>
            </w:r>
          </w:p>
        </w:tc>
        <w:tc>
          <w:tcPr>
            <w:tcW w:w="1350" w:type="dxa"/>
          </w:tcPr>
          <w:p w:rsidR="005F51EC" w:rsidP="005F51EC" w14:paraId="43445DD5" w14:textId="7E03B597">
            <w:pPr>
              <w:spacing w:after="160" w:line="259" w:lineRule="auto"/>
              <w:jc w:val="right"/>
              <w:rPr>
                <w:sz w:val="20"/>
                <w:szCs w:val="20"/>
              </w:rPr>
            </w:pPr>
            <w:r>
              <w:rPr>
                <w:sz w:val="20"/>
                <w:szCs w:val="20"/>
              </w:rPr>
              <w:t>2</w:t>
            </w:r>
          </w:p>
        </w:tc>
        <w:tc>
          <w:tcPr>
            <w:tcW w:w="1980" w:type="dxa"/>
          </w:tcPr>
          <w:p w:rsidR="005F51EC" w:rsidP="005F51EC" w14:paraId="30D0969C" w14:textId="1F47E764">
            <w:pPr>
              <w:spacing w:after="160" w:line="259" w:lineRule="auto"/>
              <w:jc w:val="right"/>
              <w:rPr>
                <w:sz w:val="20"/>
                <w:szCs w:val="20"/>
              </w:rPr>
            </w:pPr>
            <w:r w:rsidRPr="001E28F1">
              <w:rPr>
                <w:sz w:val="20"/>
                <w:szCs w:val="20"/>
              </w:rPr>
              <w:t>29.76</w:t>
            </w:r>
          </w:p>
        </w:tc>
        <w:tc>
          <w:tcPr>
            <w:tcW w:w="1705" w:type="dxa"/>
          </w:tcPr>
          <w:p w:rsidR="005F51EC" w:rsidP="005F51EC" w14:paraId="4D2EBD88" w14:textId="5032EC6F">
            <w:pPr>
              <w:spacing w:after="160" w:line="259" w:lineRule="auto"/>
              <w:jc w:val="right"/>
              <w:rPr>
                <w:sz w:val="20"/>
                <w:szCs w:val="20"/>
              </w:rPr>
            </w:pPr>
            <w:r>
              <w:rPr>
                <w:sz w:val="20"/>
                <w:szCs w:val="20"/>
              </w:rPr>
              <w:t>60</w:t>
            </w:r>
          </w:p>
        </w:tc>
      </w:tr>
      <w:tr w14:paraId="28076553" w14:textId="77777777" w:rsidTr="000D62E2">
        <w:tblPrEx>
          <w:tblW w:w="10070" w:type="dxa"/>
          <w:tblLayout w:type="fixed"/>
          <w:tblLook w:val="04A0"/>
        </w:tblPrEx>
        <w:tc>
          <w:tcPr>
            <w:tcW w:w="1964" w:type="dxa"/>
            <w:vMerge/>
          </w:tcPr>
          <w:p w:rsidR="005F51EC" w:rsidP="005F51EC" w14:paraId="02E6D968" w14:textId="77777777">
            <w:pPr>
              <w:spacing w:after="160" w:line="259" w:lineRule="auto"/>
              <w:rPr>
                <w:sz w:val="20"/>
                <w:szCs w:val="20"/>
              </w:rPr>
            </w:pPr>
          </w:p>
        </w:tc>
        <w:tc>
          <w:tcPr>
            <w:tcW w:w="3071" w:type="dxa"/>
          </w:tcPr>
          <w:p w:rsidR="005F51EC" w:rsidP="005F51EC" w14:paraId="6D2F2BBE" w14:textId="77777777">
            <w:pPr>
              <w:spacing w:after="160" w:line="259" w:lineRule="auto"/>
              <w:rPr>
                <w:sz w:val="20"/>
                <w:szCs w:val="20"/>
              </w:rPr>
            </w:pPr>
            <w:r>
              <w:rPr>
                <w:sz w:val="20"/>
                <w:szCs w:val="20"/>
              </w:rPr>
              <w:t xml:space="preserve">Follow-up email AI/AN Adults </w:t>
            </w:r>
            <w:r>
              <w:rPr>
                <w:b/>
                <w:sz w:val="20"/>
                <w:szCs w:val="20"/>
              </w:rPr>
              <w:t>(Att. #3)</w:t>
            </w:r>
          </w:p>
        </w:tc>
        <w:tc>
          <w:tcPr>
            <w:tcW w:w="1350" w:type="dxa"/>
          </w:tcPr>
          <w:p w:rsidR="005F51EC" w:rsidP="005F51EC" w14:paraId="45AE045F" w14:textId="6F5A5FF5">
            <w:pPr>
              <w:spacing w:after="160" w:line="259" w:lineRule="auto"/>
              <w:jc w:val="right"/>
              <w:rPr>
                <w:sz w:val="20"/>
                <w:szCs w:val="20"/>
              </w:rPr>
            </w:pPr>
            <w:r>
              <w:rPr>
                <w:sz w:val="20"/>
                <w:szCs w:val="20"/>
              </w:rPr>
              <w:t>2</w:t>
            </w:r>
          </w:p>
        </w:tc>
        <w:tc>
          <w:tcPr>
            <w:tcW w:w="1980" w:type="dxa"/>
          </w:tcPr>
          <w:p w:rsidR="005F51EC" w:rsidP="005F51EC" w14:paraId="3FEA9417" w14:textId="24849C4E">
            <w:pPr>
              <w:spacing w:after="160" w:line="259" w:lineRule="auto"/>
              <w:jc w:val="right"/>
              <w:rPr>
                <w:sz w:val="20"/>
                <w:szCs w:val="20"/>
              </w:rPr>
            </w:pPr>
            <w:r w:rsidRPr="001E28F1">
              <w:rPr>
                <w:sz w:val="20"/>
                <w:szCs w:val="20"/>
              </w:rPr>
              <w:t>29.76</w:t>
            </w:r>
          </w:p>
        </w:tc>
        <w:tc>
          <w:tcPr>
            <w:tcW w:w="1705" w:type="dxa"/>
          </w:tcPr>
          <w:p w:rsidR="005F51EC" w:rsidP="005F51EC" w14:paraId="25401F8F" w14:textId="5D120F74">
            <w:pPr>
              <w:spacing w:after="160" w:line="259" w:lineRule="auto"/>
              <w:jc w:val="right"/>
              <w:rPr>
                <w:sz w:val="20"/>
                <w:szCs w:val="20"/>
              </w:rPr>
            </w:pPr>
            <w:r>
              <w:rPr>
                <w:sz w:val="20"/>
                <w:szCs w:val="20"/>
              </w:rPr>
              <w:t>60</w:t>
            </w:r>
          </w:p>
        </w:tc>
      </w:tr>
      <w:tr w14:paraId="63C1489D" w14:textId="77777777" w:rsidTr="000D62E2">
        <w:tblPrEx>
          <w:tblW w:w="10070" w:type="dxa"/>
          <w:tblLayout w:type="fixed"/>
          <w:tblLook w:val="04A0"/>
        </w:tblPrEx>
        <w:tc>
          <w:tcPr>
            <w:tcW w:w="1964" w:type="dxa"/>
            <w:vMerge/>
          </w:tcPr>
          <w:p w:rsidR="005F51EC" w:rsidP="005F51EC" w14:paraId="3EC6F9B8" w14:textId="77777777">
            <w:pPr>
              <w:spacing w:after="160" w:line="259" w:lineRule="auto"/>
              <w:rPr>
                <w:sz w:val="20"/>
                <w:szCs w:val="20"/>
              </w:rPr>
            </w:pPr>
          </w:p>
        </w:tc>
        <w:tc>
          <w:tcPr>
            <w:tcW w:w="3071" w:type="dxa"/>
          </w:tcPr>
          <w:p w:rsidR="005F51EC" w:rsidP="005F51EC" w14:paraId="7266D624" w14:textId="77777777">
            <w:r>
              <w:rPr>
                <w:sz w:val="20"/>
                <w:szCs w:val="20"/>
              </w:rPr>
              <w:t>Email Tribal Health Care Providers</w:t>
            </w:r>
            <w:r>
              <w:rPr>
                <w:b/>
                <w:sz w:val="20"/>
                <w:szCs w:val="20"/>
              </w:rPr>
              <w:t xml:space="preserve"> (Att. #4)</w:t>
            </w:r>
          </w:p>
        </w:tc>
        <w:tc>
          <w:tcPr>
            <w:tcW w:w="1350" w:type="dxa"/>
          </w:tcPr>
          <w:p w:rsidR="005F51EC" w:rsidP="005F51EC" w14:paraId="6E321C29" w14:textId="79202ED0">
            <w:pPr>
              <w:spacing w:after="160" w:line="259" w:lineRule="auto"/>
              <w:jc w:val="right"/>
              <w:rPr>
                <w:sz w:val="20"/>
                <w:szCs w:val="20"/>
              </w:rPr>
            </w:pPr>
            <w:r>
              <w:rPr>
                <w:sz w:val="20"/>
                <w:szCs w:val="20"/>
              </w:rPr>
              <w:t>1</w:t>
            </w:r>
          </w:p>
        </w:tc>
        <w:tc>
          <w:tcPr>
            <w:tcW w:w="1980" w:type="dxa"/>
          </w:tcPr>
          <w:p w:rsidR="005F51EC" w:rsidP="005F51EC" w14:paraId="136F3F1E" w14:textId="0E6D1FED">
            <w:pPr>
              <w:spacing w:after="160" w:line="259" w:lineRule="auto"/>
              <w:jc w:val="right"/>
              <w:rPr>
                <w:sz w:val="20"/>
                <w:szCs w:val="20"/>
              </w:rPr>
            </w:pPr>
            <w:r w:rsidRPr="001E28F1">
              <w:rPr>
                <w:sz w:val="20"/>
                <w:szCs w:val="20"/>
              </w:rPr>
              <w:t>29.76</w:t>
            </w:r>
          </w:p>
        </w:tc>
        <w:tc>
          <w:tcPr>
            <w:tcW w:w="1705" w:type="dxa"/>
          </w:tcPr>
          <w:p w:rsidR="005F51EC" w:rsidP="005F51EC" w14:paraId="2DD51CDE" w14:textId="0BE89C95">
            <w:pPr>
              <w:spacing w:after="160" w:line="259" w:lineRule="auto"/>
              <w:jc w:val="right"/>
              <w:rPr>
                <w:sz w:val="20"/>
                <w:szCs w:val="20"/>
              </w:rPr>
            </w:pPr>
            <w:r>
              <w:rPr>
                <w:sz w:val="20"/>
                <w:szCs w:val="20"/>
              </w:rPr>
              <w:t>30</w:t>
            </w:r>
          </w:p>
        </w:tc>
      </w:tr>
      <w:tr w14:paraId="40231AAB" w14:textId="77777777" w:rsidTr="000D62E2">
        <w:tblPrEx>
          <w:tblW w:w="10070" w:type="dxa"/>
          <w:tblLayout w:type="fixed"/>
          <w:tblLook w:val="04A0"/>
        </w:tblPrEx>
        <w:tc>
          <w:tcPr>
            <w:tcW w:w="1964" w:type="dxa"/>
            <w:vMerge/>
          </w:tcPr>
          <w:p w:rsidR="005F51EC" w:rsidP="005F51EC" w14:paraId="090B9252" w14:textId="77777777">
            <w:pPr>
              <w:spacing w:after="160" w:line="259" w:lineRule="auto"/>
              <w:rPr>
                <w:sz w:val="20"/>
                <w:szCs w:val="20"/>
              </w:rPr>
            </w:pPr>
          </w:p>
        </w:tc>
        <w:tc>
          <w:tcPr>
            <w:tcW w:w="3071" w:type="dxa"/>
          </w:tcPr>
          <w:p w:rsidR="005F51EC" w:rsidP="005F51EC" w14:paraId="1BF8FAC1" w14:textId="77777777">
            <w:r>
              <w:rPr>
                <w:sz w:val="20"/>
                <w:szCs w:val="20"/>
              </w:rPr>
              <w:t xml:space="preserve">Follow-up email Tribal Health Care Providers </w:t>
            </w:r>
            <w:r>
              <w:rPr>
                <w:b/>
                <w:sz w:val="20"/>
                <w:szCs w:val="20"/>
              </w:rPr>
              <w:t>(Att. #5)</w:t>
            </w:r>
          </w:p>
        </w:tc>
        <w:tc>
          <w:tcPr>
            <w:tcW w:w="1350" w:type="dxa"/>
          </w:tcPr>
          <w:p w:rsidR="005F51EC" w:rsidP="005F51EC" w14:paraId="39B882F9" w14:textId="62B0E8A8">
            <w:pPr>
              <w:spacing w:after="160" w:line="259" w:lineRule="auto"/>
              <w:jc w:val="right"/>
              <w:rPr>
                <w:sz w:val="20"/>
                <w:szCs w:val="20"/>
              </w:rPr>
            </w:pPr>
            <w:r>
              <w:rPr>
                <w:sz w:val="20"/>
                <w:szCs w:val="20"/>
              </w:rPr>
              <w:t>1</w:t>
            </w:r>
          </w:p>
        </w:tc>
        <w:tc>
          <w:tcPr>
            <w:tcW w:w="1980" w:type="dxa"/>
          </w:tcPr>
          <w:p w:rsidR="005F51EC" w:rsidP="005F51EC" w14:paraId="76856185" w14:textId="0B6E746F">
            <w:pPr>
              <w:spacing w:after="160" w:line="259" w:lineRule="auto"/>
              <w:jc w:val="right"/>
              <w:rPr>
                <w:sz w:val="20"/>
                <w:szCs w:val="20"/>
              </w:rPr>
            </w:pPr>
            <w:r w:rsidRPr="001E28F1">
              <w:rPr>
                <w:sz w:val="20"/>
                <w:szCs w:val="20"/>
              </w:rPr>
              <w:t>29.76</w:t>
            </w:r>
          </w:p>
        </w:tc>
        <w:tc>
          <w:tcPr>
            <w:tcW w:w="1705" w:type="dxa"/>
          </w:tcPr>
          <w:p w:rsidR="005F51EC" w:rsidP="005F51EC" w14:paraId="75FB2E10" w14:textId="235CCB7B">
            <w:pPr>
              <w:spacing w:after="160" w:line="259" w:lineRule="auto"/>
              <w:jc w:val="right"/>
              <w:rPr>
                <w:sz w:val="20"/>
                <w:szCs w:val="20"/>
              </w:rPr>
            </w:pPr>
            <w:r>
              <w:rPr>
                <w:sz w:val="20"/>
                <w:szCs w:val="20"/>
              </w:rPr>
              <w:t>30</w:t>
            </w:r>
          </w:p>
        </w:tc>
      </w:tr>
      <w:tr w14:paraId="550E8481" w14:textId="77777777" w:rsidTr="000D62E2">
        <w:tblPrEx>
          <w:tblW w:w="10070" w:type="dxa"/>
          <w:tblLayout w:type="fixed"/>
          <w:tblLook w:val="04A0"/>
        </w:tblPrEx>
        <w:tc>
          <w:tcPr>
            <w:tcW w:w="1964" w:type="dxa"/>
            <w:vMerge/>
          </w:tcPr>
          <w:p w:rsidR="005F51EC" w:rsidP="005F51EC" w14:paraId="1DC2D988" w14:textId="77777777">
            <w:pPr>
              <w:spacing w:after="160" w:line="259" w:lineRule="auto"/>
              <w:rPr>
                <w:sz w:val="20"/>
                <w:szCs w:val="20"/>
              </w:rPr>
            </w:pPr>
          </w:p>
        </w:tc>
        <w:tc>
          <w:tcPr>
            <w:tcW w:w="3071" w:type="dxa"/>
          </w:tcPr>
          <w:p w:rsidR="005F51EC" w:rsidP="005F51EC" w14:paraId="571FEDDA" w14:textId="77777777">
            <w:pPr>
              <w:spacing w:after="160" w:line="259" w:lineRule="auto"/>
              <w:rPr>
                <w:sz w:val="20"/>
                <w:szCs w:val="20"/>
              </w:rPr>
            </w:pPr>
            <w:r>
              <w:rPr>
                <w:sz w:val="20"/>
                <w:szCs w:val="20"/>
              </w:rPr>
              <w:t xml:space="preserve">Email Tribal Leaders </w:t>
            </w:r>
            <w:r>
              <w:rPr>
                <w:b/>
                <w:sz w:val="20"/>
                <w:szCs w:val="20"/>
              </w:rPr>
              <w:t>(Att. #6)</w:t>
            </w:r>
          </w:p>
        </w:tc>
        <w:tc>
          <w:tcPr>
            <w:tcW w:w="1350" w:type="dxa"/>
          </w:tcPr>
          <w:p w:rsidR="005F51EC" w:rsidP="005F51EC" w14:paraId="7EF4ADEA" w14:textId="37DA620E">
            <w:pPr>
              <w:spacing w:after="160" w:line="259" w:lineRule="auto"/>
              <w:jc w:val="right"/>
              <w:rPr>
                <w:sz w:val="20"/>
                <w:szCs w:val="20"/>
              </w:rPr>
            </w:pPr>
            <w:r>
              <w:rPr>
                <w:sz w:val="20"/>
                <w:szCs w:val="20"/>
              </w:rPr>
              <w:t>1</w:t>
            </w:r>
          </w:p>
        </w:tc>
        <w:tc>
          <w:tcPr>
            <w:tcW w:w="1980" w:type="dxa"/>
          </w:tcPr>
          <w:p w:rsidR="005F51EC" w:rsidP="005F51EC" w14:paraId="0BC0F587" w14:textId="277575AE">
            <w:pPr>
              <w:spacing w:after="160" w:line="259" w:lineRule="auto"/>
              <w:jc w:val="right"/>
              <w:rPr>
                <w:sz w:val="20"/>
                <w:szCs w:val="20"/>
              </w:rPr>
            </w:pPr>
            <w:r w:rsidRPr="001E28F1">
              <w:rPr>
                <w:sz w:val="20"/>
                <w:szCs w:val="20"/>
              </w:rPr>
              <w:t>29.76</w:t>
            </w:r>
          </w:p>
        </w:tc>
        <w:tc>
          <w:tcPr>
            <w:tcW w:w="1705" w:type="dxa"/>
          </w:tcPr>
          <w:p w:rsidR="005F51EC" w:rsidP="005F51EC" w14:paraId="0497F7EA" w14:textId="53840163">
            <w:pPr>
              <w:spacing w:after="160" w:line="259" w:lineRule="auto"/>
              <w:jc w:val="right"/>
              <w:rPr>
                <w:sz w:val="20"/>
                <w:szCs w:val="20"/>
              </w:rPr>
            </w:pPr>
            <w:r>
              <w:rPr>
                <w:sz w:val="20"/>
                <w:szCs w:val="20"/>
              </w:rPr>
              <w:t>30</w:t>
            </w:r>
          </w:p>
        </w:tc>
      </w:tr>
      <w:tr w14:paraId="03AC85C8" w14:textId="77777777" w:rsidTr="000D62E2">
        <w:tblPrEx>
          <w:tblW w:w="10070" w:type="dxa"/>
          <w:tblLayout w:type="fixed"/>
          <w:tblLook w:val="04A0"/>
        </w:tblPrEx>
        <w:tc>
          <w:tcPr>
            <w:tcW w:w="1964" w:type="dxa"/>
            <w:vMerge/>
          </w:tcPr>
          <w:p w:rsidR="005F51EC" w:rsidP="005F51EC" w14:paraId="28FE210E" w14:textId="77777777">
            <w:pPr>
              <w:spacing w:after="160" w:line="259" w:lineRule="auto"/>
              <w:rPr>
                <w:sz w:val="20"/>
                <w:szCs w:val="20"/>
              </w:rPr>
            </w:pPr>
          </w:p>
        </w:tc>
        <w:tc>
          <w:tcPr>
            <w:tcW w:w="3071" w:type="dxa"/>
          </w:tcPr>
          <w:p w:rsidR="005F51EC" w:rsidP="005F51EC" w14:paraId="3846E7E9" w14:textId="77777777">
            <w:r>
              <w:rPr>
                <w:sz w:val="20"/>
                <w:szCs w:val="20"/>
              </w:rPr>
              <w:t xml:space="preserve">Follow-up email Tribal Leaders </w:t>
            </w:r>
            <w:r>
              <w:rPr>
                <w:b/>
                <w:sz w:val="20"/>
                <w:szCs w:val="20"/>
              </w:rPr>
              <w:t>(Att. #7)</w:t>
            </w:r>
          </w:p>
        </w:tc>
        <w:tc>
          <w:tcPr>
            <w:tcW w:w="1350" w:type="dxa"/>
          </w:tcPr>
          <w:p w:rsidR="005F51EC" w:rsidP="005F51EC" w14:paraId="133B969C" w14:textId="4FF07193">
            <w:pPr>
              <w:spacing w:after="160" w:line="259" w:lineRule="auto"/>
              <w:jc w:val="right"/>
              <w:rPr>
                <w:sz w:val="20"/>
                <w:szCs w:val="20"/>
              </w:rPr>
            </w:pPr>
            <w:r>
              <w:rPr>
                <w:sz w:val="20"/>
                <w:szCs w:val="20"/>
              </w:rPr>
              <w:t>1</w:t>
            </w:r>
          </w:p>
        </w:tc>
        <w:tc>
          <w:tcPr>
            <w:tcW w:w="1980" w:type="dxa"/>
          </w:tcPr>
          <w:p w:rsidR="005F51EC" w:rsidP="005F51EC" w14:paraId="700DA4A7" w14:textId="60306641">
            <w:pPr>
              <w:spacing w:after="160" w:line="259" w:lineRule="auto"/>
              <w:jc w:val="right"/>
              <w:rPr>
                <w:sz w:val="20"/>
                <w:szCs w:val="20"/>
              </w:rPr>
            </w:pPr>
            <w:r w:rsidRPr="001E28F1">
              <w:rPr>
                <w:sz w:val="20"/>
                <w:szCs w:val="20"/>
              </w:rPr>
              <w:t>29.76</w:t>
            </w:r>
          </w:p>
        </w:tc>
        <w:tc>
          <w:tcPr>
            <w:tcW w:w="1705" w:type="dxa"/>
          </w:tcPr>
          <w:p w:rsidR="005F51EC" w:rsidP="005F51EC" w14:paraId="56728D88" w14:textId="585C3813">
            <w:pPr>
              <w:spacing w:after="160" w:line="259" w:lineRule="auto"/>
              <w:jc w:val="right"/>
              <w:rPr>
                <w:sz w:val="20"/>
                <w:szCs w:val="20"/>
              </w:rPr>
            </w:pPr>
            <w:r>
              <w:rPr>
                <w:sz w:val="20"/>
                <w:szCs w:val="20"/>
              </w:rPr>
              <w:t>30</w:t>
            </w:r>
          </w:p>
        </w:tc>
      </w:tr>
      <w:tr w14:paraId="3FD31669" w14:textId="77777777" w:rsidTr="000D62E2">
        <w:tblPrEx>
          <w:tblW w:w="10070" w:type="dxa"/>
          <w:tblLayout w:type="fixed"/>
          <w:tblLook w:val="04A0"/>
        </w:tblPrEx>
        <w:tc>
          <w:tcPr>
            <w:tcW w:w="1964" w:type="dxa"/>
            <w:vMerge/>
          </w:tcPr>
          <w:p w:rsidR="005F51EC" w:rsidP="005F51EC" w14:paraId="0C95084D" w14:textId="77777777">
            <w:pPr>
              <w:spacing w:after="160" w:line="259" w:lineRule="auto"/>
              <w:rPr>
                <w:sz w:val="20"/>
                <w:szCs w:val="20"/>
              </w:rPr>
            </w:pPr>
          </w:p>
        </w:tc>
        <w:tc>
          <w:tcPr>
            <w:tcW w:w="3071" w:type="dxa"/>
          </w:tcPr>
          <w:p w:rsidR="005F51EC" w:rsidP="005F51EC" w14:paraId="4C6C1FC1" w14:textId="77777777">
            <w:r>
              <w:rPr>
                <w:sz w:val="20"/>
                <w:szCs w:val="20"/>
              </w:rPr>
              <w:t>Focus group discussion guide AI/AN Adults </w:t>
            </w:r>
            <w:r>
              <w:rPr>
                <w:b/>
                <w:sz w:val="20"/>
                <w:szCs w:val="20"/>
              </w:rPr>
              <w:t>(Att. #8)</w:t>
            </w:r>
          </w:p>
        </w:tc>
        <w:tc>
          <w:tcPr>
            <w:tcW w:w="1350" w:type="dxa"/>
          </w:tcPr>
          <w:p w:rsidR="005F51EC" w:rsidP="005F51EC" w14:paraId="6B0B0847" w14:textId="564200F9">
            <w:pPr>
              <w:spacing w:after="160" w:line="259" w:lineRule="auto"/>
              <w:jc w:val="right"/>
              <w:rPr>
                <w:sz w:val="20"/>
                <w:szCs w:val="20"/>
              </w:rPr>
            </w:pPr>
            <w:r>
              <w:rPr>
                <w:sz w:val="20"/>
                <w:szCs w:val="20"/>
              </w:rPr>
              <w:t>32</w:t>
            </w:r>
          </w:p>
        </w:tc>
        <w:tc>
          <w:tcPr>
            <w:tcW w:w="1980" w:type="dxa"/>
          </w:tcPr>
          <w:p w:rsidR="005F51EC" w:rsidP="005F51EC" w14:paraId="21496B7B" w14:textId="3BCFC7D8">
            <w:pPr>
              <w:spacing w:after="160" w:line="259" w:lineRule="auto"/>
              <w:jc w:val="right"/>
              <w:rPr>
                <w:sz w:val="20"/>
                <w:szCs w:val="20"/>
              </w:rPr>
            </w:pPr>
            <w:r w:rsidRPr="001E28F1">
              <w:rPr>
                <w:sz w:val="20"/>
                <w:szCs w:val="20"/>
              </w:rPr>
              <w:t>29.76</w:t>
            </w:r>
          </w:p>
        </w:tc>
        <w:tc>
          <w:tcPr>
            <w:tcW w:w="1705" w:type="dxa"/>
          </w:tcPr>
          <w:p w:rsidR="005F51EC" w:rsidP="005F51EC" w14:paraId="18ACFF83" w14:textId="1DA0912E">
            <w:pPr>
              <w:spacing w:after="160" w:line="259" w:lineRule="auto"/>
              <w:jc w:val="right"/>
              <w:rPr>
                <w:sz w:val="20"/>
                <w:szCs w:val="20"/>
              </w:rPr>
            </w:pPr>
            <w:r>
              <w:rPr>
                <w:sz w:val="20"/>
                <w:szCs w:val="20"/>
              </w:rPr>
              <w:t>952</w:t>
            </w:r>
          </w:p>
        </w:tc>
      </w:tr>
      <w:tr w14:paraId="75A41075" w14:textId="77777777" w:rsidTr="000D62E2">
        <w:tblPrEx>
          <w:tblW w:w="10070" w:type="dxa"/>
          <w:tblLayout w:type="fixed"/>
          <w:tblLook w:val="04A0"/>
        </w:tblPrEx>
        <w:trPr>
          <w:trHeight w:val="200"/>
        </w:trPr>
        <w:tc>
          <w:tcPr>
            <w:tcW w:w="1964" w:type="dxa"/>
            <w:vMerge/>
          </w:tcPr>
          <w:p w:rsidR="005F51EC" w:rsidP="005F51EC" w14:paraId="200FA179" w14:textId="77777777">
            <w:pPr>
              <w:widowControl w:val="0"/>
              <w:pBdr>
                <w:top w:val="nil"/>
                <w:left w:val="nil"/>
                <w:bottom w:val="nil"/>
                <w:right w:val="nil"/>
                <w:between w:val="nil"/>
              </w:pBdr>
              <w:spacing w:line="276" w:lineRule="auto"/>
              <w:rPr>
                <w:sz w:val="20"/>
                <w:szCs w:val="20"/>
              </w:rPr>
            </w:pPr>
          </w:p>
        </w:tc>
        <w:tc>
          <w:tcPr>
            <w:tcW w:w="3071" w:type="dxa"/>
          </w:tcPr>
          <w:p w:rsidR="005F51EC" w:rsidP="005F51EC" w14:paraId="12B264F1" w14:textId="77777777">
            <w:r>
              <w:rPr>
                <w:sz w:val="20"/>
                <w:szCs w:val="20"/>
              </w:rPr>
              <w:t>Interview guide Tribal Health Care Providers and Tribal Leaders </w:t>
            </w:r>
            <w:r>
              <w:rPr>
                <w:b/>
                <w:sz w:val="20"/>
                <w:szCs w:val="20"/>
              </w:rPr>
              <w:t>(Att. #9)</w:t>
            </w:r>
          </w:p>
        </w:tc>
        <w:tc>
          <w:tcPr>
            <w:tcW w:w="1350" w:type="dxa"/>
          </w:tcPr>
          <w:p w:rsidR="005F51EC" w:rsidP="005F51EC" w14:paraId="60D73E0D" w14:textId="3D2C31DD">
            <w:pPr>
              <w:spacing w:after="160" w:line="259" w:lineRule="auto"/>
              <w:jc w:val="right"/>
              <w:rPr>
                <w:sz w:val="20"/>
                <w:szCs w:val="20"/>
              </w:rPr>
            </w:pPr>
            <w:r>
              <w:rPr>
                <w:sz w:val="20"/>
                <w:szCs w:val="20"/>
              </w:rPr>
              <w:t>32</w:t>
            </w:r>
          </w:p>
        </w:tc>
        <w:tc>
          <w:tcPr>
            <w:tcW w:w="1980" w:type="dxa"/>
          </w:tcPr>
          <w:p w:rsidR="005F51EC" w:rsidP="005F51EC" w14:paraId="3C746405" w14:textId="2D328974">
            <w:pPr>
              <w:spacing w:after="160" w:line="259" w:lineRule="auto"/>
              <w:jc w:val="right"/>
              <w:rPr>
                <w:sz w:val="20"/>
                <w:szCs w:val="20"/>
              </w:rPr>
            </w:pPr>
            <w:r w:rsidRPr="001E28F1">
              <w:rPr>
                <w:sz w:val="20"/>
                <w:szCs w:val="20"/>
              </w:rPr>
              <w:t>29.76</w:t>
            </w:r>
          </w:p>
        </w:tc>
        <w:tc>
          <w:tcPr>
            <w:tcW w:w="1705" w:type="dxa"/>
          </w:tcPr>
          <w:p w:rsidR="005F51EC" w:rsidP="005F51EC" w14:paraId="582DF1DA" w14:textId="1A71FE74">
            <w:pPr>
              <w:spacing w:after="160" w:line="259" w:lineRule="auto"/>
              <w:jc w:val="right"/>
              <w:rPr>
                <w:sz w:val="20"/>
                <w:szCs w:val="20"/>
              </w:rPr>
            </w:pPr>
            <w:r>
              <w:rPr>
                <w:sz w:val="20"/>
                <w:szCs w:val="20"/>
              </w:rPr>
              <w:t>952</w:t>
            </w:r>
          </w:p>
        </w:tc>
      </w:tr>
      <w:tr w14:paraId="321B6203" w14:textId="77777777" w:rsidTr="000D62E2">
        <w:tblPrEx>
          <w:tblW w:w="10070" w:type="dxa"/>
          <w:tblLayout w:type="fixed"/>
          <w:tblLook w:val="04A0"/>
        </w:tblPrEx>
        <w:trPr>
          <w:trHeight w:val="200"/>
        </w:trPr>
        <w:tc>
          <w:tcPr>
            <w:tcW w:w="8365" w:type="dxa"/>
            <w:gridSpan w:val="4"/>
          </w:tcPr>
          <w:p w:rsidR="005F51EC" w:rsidP="005F51EC" w14:paraId="379382AB" w14:textId="77777777">
            <w:pPr>
              <w:spacing w:after="160" w:line="259" w:lineRule="auto"/>
              <w:rPr>
                <w:sz w:val="20"/>
                <w:szCs w:val="20"/>
              </w:rPr>
            </w:pPr>
            <w:r>
              <w:rPr>
                <w:sz w:val="20"/>
                <w:szCs w:val="20"/>
              </w:rPr>
              <w:t>Total</w:t>
            </w:r>
          </w:p>
        </w:tc>
        <w:tc>
          <w:tcPr>
            <w:tcW w:w="1705" w:type="dxa"/>
          </w:tcPr>
          <w:p w:rsidR="005F51EC" w:rsidP="005F51EC" w14:paraId="31089A7C" w14:textId="6D07443B">
            <w:pPr>
              <w:spacing w:after="160" w:line="259" w:lineRule="auto"/>
              <w:jc w:val="right"/>
              <w:rPr>
                <w:b/>
                <w:sz w:val="20"/>
                <w:szCs w:val="20"/>
              </w:rPr>
            </w:pPr>
            <w:r>
              <w:rPr>
                <w:b/>
                <w:sz w:val="20"/>
                <w:szCs w:val="20"/>
              </w:rPr>
              <w:t>2,412</w:t>
            </w:r>
          </w:p>
        </w:tc>
      </w:tr>
    </w:tbl>
    <w:p w:rsidR="0052395A" w14:paraId="0000011D" w14:textId="5F874891">
      <w:r>
        <w:rPr>
          <w:sz w:val="20"/>
          <w:szCs w:val="20"/>
          <w:vertAlign w:val="superscript"/>
        </w:rPr>
        <w:t>1</w:t>
      </w:r>
      <w:r>
        <w:rPr>
          <w:i/>
          <w:sz w:val="20"/>
          <w:szCs w:val="20"/>
        </w:rPr>
        <w:t xml:space="preserve"> The estimates of the annualized cost to respondents for the burden hours for the collection of information is derived from the 2022 mean hourly wage of $29.76 across all occupations, per the </w:t>
      </w:r>
      <w:hyperlink r:id="rId5">
        <w:r>
          <w:rPr>
            <w:i/>
            <w:color w:val="1155CC"/>
            <w:sz w:val="20"/>
            <w:szCs w:val="20"/>
            <w:u w:val="single"/>
          </w:rPr>
          <w:t>Department of Labor website</w:t>
        </w:r>
      </w:hyperlink>
      <w:r>
        <w:rPr>
          <w:i/>
          <w:sz w:val="20"/>
          <w:szCs w:val="20"/>
        </w:rPr>
        <w:t>.</w:t>
      </w:r>
    </w:p>
    <w:p w:rsidR="0052395A" w14:paraId="0000011E" w14:textId="77777777">
      <w:pPr>
        <w:pStyle w:val="Heading2"/>
        <w:numPr>
          <w:ilvl w:val="0"/>
          <w:numId w:val="4"/>
        </w:numPr>
      </w:pPr>
      <w:bookmarkStart w:id="22" w:name="_heading=h.vwl1kkmxkuws" w:colFirst="0" w:colLast="0"/>
      <w:bookmarkEnd w:id="22"/>
      <w:r>
        <w:t>Estimates of Other Total Annual Cost Burden to Respondents or Record Keepers</w:t>
      </w:r>
    </w:p>
    <w:p w:rsidR="0052395A" w14:paraId="0000011F" w14:textId="77777777"/>
    <w:p w:rsidR="0052395A" w14:paraId="00000120" w14:textId="77777777">
      <w:r>
        <w:t xml:space="preserve">This data collection does not involve other annual cost burdens to respondents or record keepers.  </w:t>
      </w:r>
    </w:p>
    <w:p w:rsidR="0052395A" w14:paraId="00000121" w14:textId="77777777"/>
    <w:p w:rsidR="0052395A" w14:paraId="00000122" w14:textId="77777777">
      <w:pPr>
        <w:pStyle w:val="Heading2"/>
        <w:numPr>
          <w:ilvl w:val="0"/>
          <w:numId w:val="4"/>
        </w:numPr>
      </w:pPr>
      <w:bookmarkStart w:id="23" w:name="_heading=h.tqnhaniwcr7k" w:colFirst="0" w:colLast="0"/>
      <w:bookmarkEnd w:id="23"/>
      <w:r>
        <w:t xml:space="preserve">Annualized Cost to the Government </w:t>
      </w:r>
    </w:p>
    <w:p w:rsidR="0052395A" w14:paraId="00000123" w14:textId="77777777">
      <w:pPr>
        <w:rPr>
          <w:b/>
        </w:rPr>
      </w:pPr>
    </w:p>
    <w:p w:rsidR="0052395A" w14:paraId="00000124" w14:textId="77777777">
      <w:r>
        <w:t>The contractor’s costs are based on estimates provided by the contractor, who will carry out the data collection activities. With the expected period of performance, the annual cost to the federal government is estimated to be $123,723.38. This is the cost estimated by the contractor, Banyan Communications, and includes the estimated cost of coordination with CDC, data collection, analysis, and reporting.</w:t>
      </w:r>
    </w:p>
    <w:p w:rsidR="0052395A" w14:paraId="00000125" w14:textId="77777777"/>
    <w:p w:rsidR="0052395A" w14:paraId="00000126" w14:textId="77777777">
      <w:pPr>
        <w:pStyle w:val="Heading3"/>
      </w:pPr>
      <w:bookmarkStart w:id="24" w:name="_heading=h.4rdtpcf1blax" w:colFirst="0" w:colLast="0"/>
      <w:bookmarkEnd w:id="24"/>
      <w:r>
        <w:t>Table 3. Annualized Costs to the Government</w:t>
      </w:r>
    </w:p>
    <w:tbl>
      <w:tblPr>
        <w:tblStyle w:val="a1"/>
        <w:tblW w:w="100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
      <w:tblGrid>
        <w:gridCol w:w="2160"/>
        <w:gridCol w:w="5295"/>
        <w:gridCol w:w="2595"/>
      </w:tblGrid>
      <w:tr w14:paraId="4EE1C320" w14:textId="77777777" w:rsidTr="0052395A">
        <w:tblPrEx>
          <w:tblW w:w="100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Ex>
        <w:tc>
          <w:tcPr>
            <w:tcW w:w="2160" w:type="dxa"/>
          </w:tcPr>
          <w:p w:rsidR="0052395A" w14:paraId="00000127" w14:textId="77777777">
            <w:pPr>
              <w:spacing w:after="160" w:line="259" w:lineRule="auto"/>
              <w:rPr>
                <w:sz w:val="20"/>
                <w:szCs w:val="20"/>
              </w:rPr>
            </w:pPr>
            <w:r>
              <w:rPr>
                <w:sz w:val="20"/>
                <w:szCs w:val="20"/>
              </w:rPr>
              <w:t>Type of Cost</w:t>
            </w:r>
          </w:p>
        </w:tc>
        <w:tc>
          <w:tcPr>
            <w:tcW w:w="5295" w:type="dxa"/>
          </w:tcPr>
          <w:p w:rsidR="0052395A" w14:paraId="00000128" w14:textId="77777777">
            <w:pPr>
              <w:spacing w:after="160" w:line="259" w:lineRule="auto"/>
              <w:rPr>
                <w:sz w:val="20"/>
                <w:szCs w:val="20"/>
              </w:rPr>
            </w:pPr>
            <w:r>
              <w:rPr>
                <w:sz w:val="20"/>
                <w:szCs w:val="20"/>
              </w:rPr>
              <w:t>Description of Services</w:t>
            </w:r>
          </w:p>
        </w:tc>
        <w:tc>
          <w:tcPr>
            <w:tcW w:w="2595" w:type="dxa"/>
          </w:tcPr>
          <w:p w:rsidR="0052395A" w14:paraId="00000129" w14:textId="77777777">
            <w:pPr>
              <w:spacing w:after="160" w:line="259" w:lineRule="auto"/>
              <w:rPr>
                <w:sz w:val="20"/>
                <w:szCs w:val="20"/>
              </w:rPr>
            </w:pPr>
            <w:r>
              <w:rPr>
                <w:sz w:val="20"/>
                <w:szCs w:val="20"/>
              </w:rPr>
              <w:t>Estimated Annualized Cost</w:t>
            </w:r>
          </w:p>
        </w:tc>
      </w:tr>
      <w:tr w14:paraId="4607707A" w14:textId="77777777" w:rsidTr="0052395A">
        <w:tblPrEx>
          <w:tblW w:w="10050" w:type="dxa"/>
          <w:tblLayout w:type="fixed"/>
          <w:tblLook w:val="04A0"/>
        </w:tblPrEx>
        <w:tc>
          <w:tcPr>
            <w:tcW w:w="2160" w:type="dxa"/>
          </w:tcPr>
          <w:p w:rsidR="0052395A" w14:paraId="0000012A" w14:textId="77777777">
            <w:pPr>
              <w:spacing w:after="160" w:line="259" w:lineRule="auto"/>
              <w:rPr>
                <w:sz w:val="20"/>
                <w:szCs w:val="20"/>
              </w:rPr>
            </w:pPr>
            <w:r>
              <w:rPr>
                <w:b w:val="0"/>
                <w:sz w:val="20"/>
                <w:szCs w:val="20"/>
              </w:rPr>
              <w:t>Labor</w:t>
            </w:r>
          </w:p>
        </w:tc>
        <w:tc>
          <w:tcPr>
            <w:tcW w:w="5295" w:type="dxa"/>
          </w:tcPr>
          <w:p w:rsidR="0052395A" w14:paraId="0000012B" w14:textId="77777777">
            <w:pPr>
              <w:spacing w:after="160" w:line="259" w:lineRule="auto"/>
              <w:rPr>
                <w:sz w:val="20"/>
                <w:szCs w:val="20"/>
              </w:rPr>
            </w:pPr>
            <w:r>
              <w:rPr>
                <w:sz w:val="20"/>
                <w:szCs w:val="20"/>
              </w:rPr>
              <w:t>Recruitment, data collection, analysis, and report. Contractor labor hours and other direct costs</w:t>
            </w:r>
          </w:p>
        </w:tc>
        <w:tc>
          <w:tcPr>
            <w:tcW w:w="2595" w:type="dxa"/>
          </w:tcPr>
          <w:p w:rsidR="0052395A" w14:paraId="0000012C" w14:textId="77777777">
            <w:pPr>
              <w:spacing w:after="160" w:line="259" w:lineRule="auto"/>
              <w:rPr>
                <w:sz w:val="20"/>
                <w:szCs w:val="20"/>
              </w:rPr>
            </w:pPr>
            <w:r>
              <w:rPr>
                <w:sz w:val="20"/>
                <w:szCs w:val="20"/>
              </w:rPr>
              <w:t xml:space="preserve"> $118,861.38</w:t>
            </w:r>
          </w:p>
        </w:tc>
      </w:tr>
      <w:tr w14:paraId="2672C799" w14:textId="77777777" w:rsidTr="0052395A">
        <w:tblPrEx>
          <w:tblW w:w="10050" w:type="dxa"/>
          <w:tblLayout w:type="fixed"/>
          <w:tblLook w:val="04A0"/>
        </w:tblPrEx>
        <w:tc>
          <w:tcPr>
            <w:tcW w:w="2160" w:type="dxa"/>
          </w:tcPr>
          <w:p w:rsidR="0052395A" w14:paraId="0000012D" w14:textId="77777777">
            <w:pPr>
              <w:spacing w:after="160" w:line="259" w:lineRule="auto"/>
              <w:rPr>
                <w:sz w:val="20"/>
                <w:szCs w:val="20"/>
              </w:rPr>
            </w:pPr>
            <w:r>
              <w:rPr>
                <w:b w:val="0"/>
                <w:sz w:val="20"/>
                <w:szCs w:val="20"/>
              </w:rPr>
              <w:t>Federal Government Personnel Costs</w:t>
            </w:r>
          </w:p>
        </w:tc>
        <w:tc>
          <w:tcPr>
            <w:tcW w:w="5295" w:type="dxa"/>
          </w:tcPr>
          <w:p w:rsidR="0052395A" w14:paraId="0000012E" w14:textId="77777777">
            <w:pPr>
              <w:spacing w:after="160" w:line="259" w:lineRule="auto"/>
              <w:rPr>
                <w:sz w:val="20"/>
                <w:szCs w:val="20"/>
              </w:rPr>
            </w:pPr>
            <w:r>
              <w:rPr>
                <w:sz w:val="20"/>
                <w:szCs w:val="20"/>
              </w:rPr>
              <w:t>CDC oversight of contractor and project, including CDC Project Officer and CDC Co-Principal Investigator</w:t>
            </w:r>
          </w:p>
        </w:tc>
        <w:tc>
          <w:tcPr>
            <w:tcW w:w="2595" w:type="dxa"/>
          </w:tcPr>
          <w:p w:rsidR="0052395A" w14:paraId="0000012F" w14:textId="77777777">
            <w:pPr>
              <w:spacing w:after="160" w:line="259" w:lineRule="auto"/>
              <w:rPr>
                <w:sz w:val="20"/>
                <w:szCs w:val="20"/>
              </w:rPr>
            </w:pPr>
            <w:r>
              <w:rPr>
                <w:sz w:val="20"/>
                <w:szCs w:val="20"/>
              </w:rPr>
              <w:t>$4,862.00</w:t>
            </w:r>
          </w:p>
        </w:tc>
      </w:tr>
      <w:tr w14:paraId="1C5FF2CE" w14:textId="77777777" w:rsidTr="0052395A">
        <w:tblPrEx>
          <w:tblW w:w="10050" w:type="dxa"/>
          <w:tblLayout w:type="fixed"/>
          <w:tblLook w:val="04A0"/>
        </w:tblPrEx>
        <w:trPr>
          <w:trHeight w:val="200"/>
        </w:trPr>
        <w:tc>
          <w:tcPr>
            <w:tcW w:w="7455" w:type="dxa"/>
            <w:gridSpan w:val="2"/>
          </w:tcPr>
          <w:p w:rsidR="0052395A" w14:paraId="00000130" w14:textId="77777777">
            <w:pPr>
              <w:spacing w:after="160" w:line="259" w:lineRule="auto"/>
              <w:rPr>
                <w:sz w:val="20"/>
                <w:szCs w:val="20"/>
              </w:rPr>
            </w:pPr>
            <w:r>
              <w:rPr>
                <w:sz w:val="20"/>
                <w:szCs w:val="20"/>
              </w:rPr>
              <w:t>Total</w:t>
            </w:r>
          </w:p>
        </w:tc>
        <w:tc>
          <w:tcPr>
            <w:tcW w:w="2595" w:type="dxa"/>
          </w:tcPr>
          <w:p w:rsidR="0052395A" w14:paraId="00000132" w14:textId="77777777">
            <w:pPr>
              <w:spacing w:after="160" w:line="259" w:lineRule="auto"/>
              <w:rPr>
                <w:b/>
                <w:sz w:val="20"/>
                <w:szCs w:val="20"/>
              </w:rPr>
            </w:pPr>
            <w:r>
              <w:rPr>
                <w:b/>
                <w:sz w:val="20"/>
                <w:szCs w:val="20"/>
              </w:rPr>
              <w:t>$123,723.38</w:t>
            </w:r>
          </w:p>
        </w:tc>
      </w:tr>
    </w:tbl>
    <w:p w:rsidR="0052395A" w14:paraId="00000133" w14:textId="77777777"/>
    <w:p w:rsidR="0052395A" w14:paraId="00000134" w14:textId="77777777"/>
    <w:p w:rsidR="0052395A" w14:paraId="00000135" w14:textId="77777777">
      <w:pPr>
        <w:pStyle w:val="Heading2"/>
        <w:numPr>
          <w:ilvl w:val="0"/>
          <w:numId w:val="4"/>
        </w:numPr>
      </w:pPr>
      <w:bookmarkStart w:id="25" w:name="_heading=h.ul19mq5hasd8" w:colFirst="0" w:colLast="0"/>
      <w:bookmarkEnd w:id="25"/>
      <w:r>
        <w:t>Explanation for Program Changes or Adjustments</w:t>
      </w:r>
    </w:p>
    <w:p w:rsidR="0052395A" w14:paraId="00000136" w14:textId="77777777">
      <w:r>
        <w:t xml:space="preserve"> </w:t>
      </w:r>
    </w:p>
    <w:p w:rsidR="0052395A" w14:paraId="00000137" w14:textId="77777777">
      <w:r>
        <w:t>No change in burden is requested as this is a new information collection.</w:t>
      </w:r>
    </w:p>
    <w:p w:rsidR="0052395A" w14:paraId="00000138" w14:textId="77777777"/>
    <w:p w:rsidR="0052395A" w14:paraId="00000139" w14:textId="77777777">
      <w:pPr>
        <w:pStyle w:val="Heading2"/>
        <w:numPr>
          <w:ilvl w:val="0"/>
          <w:numId w:val="4"/>
        </w:numPr>
      </w:pPr>
      <w:bookmarkStart w:id="26" w:name="_heading=h.xdmjmqfdnk2p" w:colFirst="0" w:colLast="0"/>
      <w:bookmarkEnd w:id="26"/>
      <w:r>
        <w:t xml:space="preserve">Plans for Tabulation and Publication, and Project Time Schedule </w:t>
      </w:r>
    </w:p>
    <w:p w:rsidR="0052395A" w14:paraId="0000013A" w14:textId="77777777"/>
    <w:p w:rsidR="0052395A" w14:paraId="0000013B" w14:textId="77777777">
      <w:r>
        <w:t xml:space="preserve">Individual data collection under this generic clearance will be time-limited and conducted only once. No data collection activity will last longer than nine months from inception of information collection to the first report of internal findings to the research team. </w:t>
      </w:r>
    </w:p>
    <w:p w:rsidR="0052395A" w14:paraId="0000013C" w14:textId="77777777"/>
    <w:p w:rsidR="0052395A" w14:paraId="0000013D" w14:textId="77777777">
      <w:pPr>
        <w:pStyle w:val="Heading3"/>
      </w:pPr>
      <w:bookmarkStart w:id="27" w:name="_heading=h.4yq40mdmib37" w:colFirst="0" w:colLast="0"/>
      <w:bookmarkEnd w:id="27"/>
      <w:r>
        <w:t>Table 4. Project Timeline</w:t>
      </w:r>
    </w:p>
    <w:tbl>
      <w:tblPr>
        <w:tblStyle w:val="a2"/>
        <w:tblW w:w="1003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
      <w:tblGrid>
        <w:gridCol w:w="4950"/>
        <w:gridCol w:w="5085"/>
      </w:tblGrid>
      <w:tr w14:paraId="27F2817C" w14:textId="77777777" w:rsidTr="0052395A">
        <w:tblPrEx>
          <w:tblW w:w="1003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Ex>
        <w:trPr>
          <w:trHeight w:val="200"/>
        </w:trPr>
        <w:tc>
          <w:tcPr>
            <w:tcW w:w="10035" w:type="dxa"/>
            <w:gridSpan w:val="2"/>
          </w:tcPr>
          <w:p w:rsidR="0052395A" w14:paraId="0000013E" w14:textId="77777777">
            <w:pPr>
              <w:spacing w:after="160" w:line="259" w:lineRule="auto"/>
              <w:jc w:val="center"/>
              <w:rPr>
                <w:sz w:val="20"/>
                <w:szCs w:val="20"/>
              </w:rPr>
            </w:pPr>
            <w:r>
              <w:rPr>
                <w:sz w:val="20"/>
                <w:szCs w:val="20"/>
              </w:rPr>
              <w:t>Project Time Schedule</w:t>
            </w:r>
          </w:p>
        </w:tc>
      </w:tr>
      <w:tr w14:paraId="1D5E31D0" w14:textId="77777777" w:rsidTr="0052395A">
        <w:tblPrEx>
          <w:tblW w:w="10035" w:type="dxa"/>
          <w:tblLayout w:type="fixed"/>
          <w:tblLook w:val="04A0"/>
        </w:tblPrEx>
        <w:tc>
          <w:tcPr>
            <w:tcW w:w="4950" w:type="dxa"/>
          </w:tcPr>
          <w:p w:rsidR="0052395A" w14:paraId="00000140" w14:textId="77777777">
            <w:pPr>
              <w:spacing w:after="160" w:line="259" w:lineRule="auto"/>
              <w:jc w:val="center"/>
              <w:rPr>
                <w:sz w:val="20"/>
                <w:szCs w:val="20"/>
              </w:rPr>
            </w:pPr>
            <w:r>
              <w:rPr>
                <w:sz w:val="20"/>
                <w:szCs w:val="20"/>
              </w:rPr>
              <w:t>Activity</w:t>
            </w:r>
          </w:p>
        </w:tc>
        <w:tc>
          <w:tcPr>
            <w:tcW w:w="5085" w:type="dxa"/>
          </w:tcPr>
          <w:p w:rsidR="0052395A" w14:paraId="00000141" w14:textId="77777777">
            <w:pPr>
              <w:spacing w:after="160" w:line="259" w:lineRule="auto"/>
              <w:jc w:val="center"/>
              <w:rPr>
                <w:b/>
                <w:sz w:val="20"/>
                <w:szCs w:val="20"/>
              </w:rPr>
            </w:pPr>
            <w:r>
              <w:rPr>
                <w:b/>
                <w:sz w:val="20"/>
                <w:szCs w:val="20"/>
              </w:rPr>
              <w:t>Time Schedule</w:t>
            </w:r>
          </w:p>
        </w:tc>
      </w:tr>
      <w:tr w14:paraId="41A9C224" w14:textId="77777777" w:rsidTr="0052395A">
        <w:tblPrEx>
          <w:tblW w:w="10035" w:type="dxa"/>
          <w:tblLayout w:type="fixed"/>
          <w:tblLook w:val="04A0"/>
        </w:tblPrEx>
        <w:tc>
          <w:tcPr>
            <w:tcW w:w="4950" w:type="dxa"/>
          </w:tcPr>
          <w:p w:rsidR="007F7DC4" w:rsidP="007F7DC4" w14:paraId="00000142" w14:textId="77777777">
            <w:pPr>
              <w:spacing w:after="160" w:line="259" w:lineRule="auto"/>
              <w:rPr>
                <w:sz w:val="20"/>
                <w:szCs w:val="20"/>
              </w:rPr>
            </w:pPr>
            <w:r>
              <w:rPr>
                <w:b w:val="0"/>
                <w:sz w:val="20"/>
                <w:szCs w:val="20"/>
              </w:rPr>
              <w:t>Begin Recruitment</w:t>
            </w:r>
          </w:p>
        </w:tc>
        <w:tc>
          <w:tcPr>
            <w:tcW w:w="5085" w:type="dxa"/>
          </w:tcPr>
          <w:p w:rsidR="007F7DC4" w:rsidP="007F7DC4" w14:paraId="00000143" w14:textId="76EC1B87">
            <w:pPr>
              <w:spacing w:after="160" w:line="259" w:lineRule="auto"/>
              <w:rPr>
                <w:sz w:val="20"/>
                <w:szCs w:val="20"/>
              </w:rPr>
            </w:pPr>
            <w:r w:rsidRPr="007F7DC4">
              <w:rPr>
                <w:sz w:val="20"/>
                <w:szCs w:val="20"/>
              </w:rPr>
              <w:t>Immediately upon OMB approval</w:t>
            </w:r>
          </w:p>
        </w:tc>
      </w:tr>
      <w:tr w14:paraId="2889C728" w14:textId="77777777" w:rsidTr="0052395A">
        <w:tblPrEx>
          <w:tblW w:w="10035" w:type="dxa"/>
          <w:tblLayout w:type="fixed"/>
          <w:tblLook w:val="04A0"/>
        </w:tblPrEx>
        <w:tc>
          <w:tcPr>
            <w:tcW w:w="4950" w:type="dxa"/>
          </w:tcPr>
          <w:p w:rsidR="007F7DC4" w:rsidP="007F7DC4" w14:paraId="00000144" w14:textId="77777777">
            <w:pPr>
              <w:spacing w:after="160" w:line="259" w:lineRule="auto"/>
              <w:rPr>
                <w:sz w:val="20"/>
                <w:szCs w:val="20"/>
              </w:rPr>
            </w:pPr>
            <w:r>
              <w:rPr>
                <w:b w:val="0"/>
                <w:sz w:val="20"/>
                <w:szCs w:val="20"/>
              </w:rPr>
              <w:t>Conduct Focus Groups and Interviews</w:t>
            </w:r>
          </w:p>
        </w:tc>
        <w:tc>
          <w:tcPr>
            <w:tcW w:w="5085" w:type="dxa"/>
          </w:tcPr>
          <w:p w:rsidR="007F7DC4" w:rsidP="007F7DC4" w14:paraId="00000145" w14:textId="1CD1CC7A">
            <w:pPr>
              <w:spacing w:after="160" w:line="259" w:lineRule="auto"/>
              <w:rPr>
                <w:sz w:val="20"/>
                <w:szCs w:val="20"/>
              </w:rPr>
            </w:pPr>
            <w:r w:rsidRPr="007F7DC4">
              <w:rPr>
                <w:sz w:val="20"/>
                <w:szCs w:val="20"/>
              </w:rPr>
              <w:t xml:space="preserve">Within </w:t>
            </w:r>
            <w:r w:rsidR="0052776C">
              <w:rPr>
                <w:sz w:val="20"/>
                <w:szCs w:val="20"/>
              </w:rPr>
              <w:t xml:space="preserve">6 </w:t>
            </w:r>
            <w:r w:rsidRPr="007F7DC4">
              <w:rPr>
                <w:sz w:val="20"/>
                <w:szCs w:val="20"/>
              </w:rPr>
              <w:t>months of OMB approval</w:t>
            </w:r>
          </w:p>
        </w:tc>
      </w:tr>
      <w:tr w14:paraId="48AA0879" w14:textId="77777777" w:rsidTr="0052395A">
        <w:tblPrEx>
          <w:tblW w:w="10035" w:type="dxa"/>
          <w:tblLayout w:type="fixed"/>
          <w:tblLook w:val="04A0"/>
        </w:tblPrEx>
        <w:tc>
          <w:tcPr>
            <w:tcW w:w="4950" w:type="dxa"/>
          </w:tcPr>
          <w:p w:rsidR="007F7DC4" w:rsidP="007F7DC4" w14:paraId="00000146" w14:textId="77777777">
            <w:pPr>
              <w:spacing w:after="160" w:line="259" w:lineRule="auto"/>
              <w:rPr>
                <w:sz w:val="20"/>
                <w:szCs w:val="20"/>
              </w:rPr>
            </w:pPr>
            <w:r>
              <w:rPr>
                <w:b w:val="0"/>
                <w:sz w:val="20"/>
                <w:szCs w:val="20"/>
              </w:rPr>
              <w:t>Final Report</w:t>
            </w:r>
          </w:p>
        </w:tc>
        <w:tc>
          <w:tcPr>
            <w:tcW w:w="5085" w:type="dxa"/>
          </w:tcPr>
          <w:p w:rsidR="007F7DC4" w:rsidP="007F7DC4" w14:paraId="00000147" w14:textId="07746E29">
            <w:pPr>
              <w:spacing w:after="160" w:line="259" w:lineRule="auto"/>
              <w:rPr>
                <w:sz w:val="20"/>
                <w:szCs w:val="20"/>
              </w:rPr>
            </w:pPr>
            <w:r w:rsidRPr="006A6D50">
              <w:rPr>
                <w:sz w:val="20"/>
                <w:szCs w:val="20"/>
              </w:rPr>
              <w:t xml:space="preserve">Within </w:t>
            </w:r>
            <w:r w:rsidR="0052776C">
              <w:rPr>
                <w:sz w:val="20"/>
                <w:szCs w:val="20"/>
              </w:rPr>
              <w:t>12</w:t>
            </w:r>
            <w:r w:rsidRPr="006A6D50">
              <w:rPr>
                <w:sz w:val="20"/>
                <w:szCs w:val="20"/>
              </w:rPr>
              <w:t xml:space="preserve"> months of OMB approval</w:t>
            </w:r>
          </w:p>
        </w:tc>
      </w:tr>
    </w:tbl>
    <w:p w:rsidR="0052395A" w14:paraId="00000148" w14:textId="77777777"/>
    <w:p w:rsidR="0052395A" w14:paraId="00000149" w14:textId="77777777">
      <w:pPr>
        <w:pStyle w:val="Heading2"/>
        <w:numPr>
          <w:ilvl w:val="0"/>
          <w:numId w:val="4"/>
        </w:numPr>
      </w:pPr>
      <w:bookmarkStart w:id="28" w:name="_heading=h.i6e7lf2vnzgw" w:colFirst="0" w:colLast="0"/>
      <w:bookmarkEnd w:id="28"/>
      <w:r>
        <w:t>Reason(s) Display of OMB Expiration Date is Inappropriate</w:t>
      </w:r>
    </w:p>
    <w:p w:rsidR="0052395A" w14:paraId="0000014A" w14:textId="77777777"/>
    <w:p w:rsidR="0052395A" w14:paraId="0000014B" w14:textId="77777777">
      <w:r>
        <w:t>The display of the OMB expiration date is not inappropriate.</w:t>
      </w:r>
    </w:p>
    <w:p w:rsidR="0052395A" w14:paraId="0000014C" w14:textId="77777777"/>
    <w:p w:rsidR="0052395A" w14:paraId="0000014D" w14:textId="77777777">
      <w:pPr>
        <w:pStyle w:val="Heading2"/>
        <w:numPr>
          <w:ilvl w:val="0"/>
          <w:numId w:val="4"/>
        </w:numPr>
      </w:pPr>
      <w:bookmarkStart w:id="29" w:name="_heading=h.6jf5hql5qjk7" w:colFirst="0" w:colLast="0"/>
      <w:bookmarkEnd w:id="29"/>
      <w:r>
        <w:t>Exceptions to Certification for Paperwork Reduction Act Submissions</w:t>
      </w:r>
    </w:p>
    <w:p w:rsidR="0052395A" w14:paraId="0000014E" w14:textId="77777777"/>
    <w:p w:rsidR="0052395A" w14:paraId="0000014F" w14:textId="77777777">
      <w:r>
        <w:t>There are no exceptions to the certification.</w:t>
      </w:r>
    </w:p>
    <w:p w:rsidR="0052395A" w14:paraId="00000150" w14:textId="77777777">
      <w:pPr>
        <w:rPr>
          <w:b/>
        </w:rPr>
      </w:pPr>
    </w:p>
    <w:p w:rsidR="0052395A" w14:paraId="00000151" w14:textId="77777777">
      <w:pPr>
        <w:rPr>
          <w:b/>
        </w:rPr>
      </w:pPr>
    </w:p>
    <w:p w:rsidR="0052395A" w14:paraId="00000152" w14:textId="77777777">
      <w:pPr>
        <w:rPr>
          <w:b/>
        </w:rPr>
      </w:pPr>
      <w:r>
        <w:rPr>
          <w:b/>
        </w:rPr>
        <w:t>REFERENCES</w:t>
      </w:r>
    </w:p>
    <w:p w:rsidR="0052395A" w14:paraId="00000153" w14:textId="77777777"/>
    <w:p w:rsidR="0052395A" w14:paraId="00000154" w14:textId="77777777">
      <w:r>
        <w:t>Bonevski</w:t>
      </w:r>
      <w:r>
        <w:t xml:space="preserve">, B., Randell, M., Paul, C., Chapman, K., Twyman, L., Bryant, J., </w:t>
      </w:r>
      <w:r>
        <w:t>Brozek</w:t>
      </w:r>
      <w:r>
        <w:t xml:space="preserve">, I., &amp; Hughes, C. (2014). Reaching the hard-to-reach: a systematic review of strategies for improving health and medical research with socially disadvantaged groups. BMC Medical Research Methodology, 14, 42. </w:t>
      </w:r>
      <w:hyperlink r:id="rId6">
        <w:r>
          <w:rPr>
            <w:color w:val="1155CC"/>
            <w:u w:val="single"/>
          </w:rPr>
          <w:t>https://doi.org/10.1186/1471-2288-14-42</w:t>
        </w:r>
      </w:hyperlink>
      <w:r>
        <w:t xml:space="preserve"> </w:t>
      </w:r>
    </w:p>
    <w:p w:rsidR="0052395A" w14:paraId="00000155" w14:textId="77777777"/>
    <w:p w:rsidR="0052395A" w14:paraId="00000156" w14:textId="77777777">
      <w:pPr>
        <w:spacing w:after="240"/>
      </w:pPr>
      <w:r>
        <w:t>Corben</w:t>
      </w:r>
      <w:r>
        <w:t>, J. and Strauss, A. (2008). Basics of qualitative research: Techniques and procedures for developing grounded theory. Thousand Oaks, CA: Sage.</w:t>
      </w:r>
    </w:p>
    <w:p w:rsidR="0052395A" w14:paraId="00000157" w14:textId="77777777">
      <w:r>
        <w:t xml:space="preserve">Daugherty J, Waltzman D, Sarmiento K, Xu L. Examination of traumatic brain injury-related deaths by race and Hispanic origin, sex, and mechanism of injury—United States, 2000–2017. MMWR </w:t>
      </w:r>
      <w:r>
        <w:t>Morb</w:t>
      </w:r>
      <w:r>
        <w:t xml:space="preserve"> Mortal </w:t>
      </w:r>
      <w:r>
        <w:t>Wkly</w:t>
      </w:r>
      <w:r>
        <w:t xml:space="preserve"> Rep. 2019;68(46);1050–1056.  </w:t>
      </w:r>
    </w:p>
    <w:p w:rsidR="0052395A" w14:paraId="00000158" w14:textId="77777777"/>
    <w:p w:rsidR="0052395A" w14:paraId="00000159" w14:textId="77777777">
      <w:pPr>
        <w:spacing w:after="200"/>
      </w:pPr>
      <w:r>
        <w:t xml:space="preserve">George, S., Duran, N., &amp; Norris, K. (2014). A systematic review of barriers and facilitators to minority research participation among African Americans, Latinos, Asian Americans, and Pacific Islanders. American Journal of Public Health, 104(2), e16-e31. </w:t>
      </w:r>
    </w:p>
    <w:p w:rsidR="0052395A" w14:paraId="0000015A" w14:textId="77777777">
      <w:r>
        <w:t xml:space="preserve">Ellard-Gray, A., Jeffrey, N. K., </w:t>
      </w:r>
      <w:r>
        <w:t>Choubak</w:t>
      </w:r>
      <w:r>
        <w:t xml:space="preserve">, M., &amp; </w:t>
      </w:r>
      <w:r>
        <w:t>Crann</w:t>
      </w:r>
      <w:r>
        <w:t xml:space="preserve">, S. E. (2015). Finding the Hidden Participant: Solutions for Recruiting Hidden, Hard-to-Reach, and Vulnerable Populations. International Journal of Qualitative Methods, 14(5), 1609406915621420. </w:t>
      </w:r>
      <w:hyperlink r:id="rId7">
        <w:r>
          <w:rPr>
            <w:color w:val="1155CC"/>
            <w:u w:val="single"/>
          </w:rPr>
          <w:t>https://doi.org/10.1177/1609406915621420</w:t>
        </w:r>
      </w:hyperlink>
      <w:r>
        <w:t xml:space="preserve"> </w:t>
      </w:r>
    </w:p>
    <w:p w:rsidR="0052395A" w14:paraId="0000015B" w14:textId="77777777"/>
    <w:p w:rsidR="0052395A" w14:paraId="0000015C" w14:textId="77777777">
      <w:r>
        <w:t xml:space="preserve">Knoll, M., </w:t>
      </w:r>
      <w:r>
        <w:t>Soller</w:t>
      </w:r>
      <w:r>
        <w:t>, L., Ben-</w:t>
      </w:r>
      <w:r>
        <w:t>Shoshan</w:t>
      </w:r>
      <w:r>
        <w:t xml:space="preserve">, M. et al. The use of incentives in vulnerable populations for a telephone survey: a randomized controlled trial. BMC Res Notes 5, 572 (2012). </w:t>
      </w:r>
      <w:hyperlink r:id="rId8">
        <w:r>
          <w:rPr>
            <w:color w:val="1155CC"/>
            <w:u w:val="single"/>
          </w:rPr>
          <w:t>https://doi.org/10.1186/1756-0500-5-572</w:t>
        </w:r>
      </w:hyperlink>
      <w:r>
        <w:t xml:space="preserve"> </w:t>
      </w:r>
    </w:p>
    <w:p w:rsidR="0052395A" w14:paraId="0000015D" w14:textId="77777777"/>
    <w:p w:rsidR="0052395A" w14:paraId="0000015E" w14:textId="77777777">
      <w:pPr>
        <w:spacing w:after="240"/>
        <w:rPr>
          <w:rFonts w:ascii="Calibri" w:eastAsia="Calibri" w:hAnsi="Calibri" w:cs="Calibri"/>
          <w:sz w:val="22"/>
          <w:szCs w:val="22"/>
        </w:rPr>
      </w:pPr>
      <w:r>
        <w:t>Riessman</w:t>
      </w:r>
      <w:r>
        <w:t xml:space="preserve">, C. (2008). Narrative methods for the human sciences. Thousand Oaks, CA: Sage. </w:t>
      </w:r>
    </w:p>
    <w:p w:rsidR="0052395A" w14:paraId="0000015F" w14:textId="77777777"/>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95A" w14:paraId="00000163" w14:textId="7777777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9A5BBF">
      <w:rPr>
        <w:color w:val="000000"/>
      </w:rPr>
      <w:fldChar w:fldCharType="separate"/>
    </w:r>
    <w:r>
      <w:rPr>
        <w:color w:val="000000"/>
      </w:rPr>
      <w:fldChar w:fldCharType="end"/>
    </w:r>
  </w:p>
  <w:p w:rsidR="0052395A" w14:paraId="00000164" w14:textId="7777777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95A" w14:paraId="00000166" w14:textId="7CC95B7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BC46C1">
      <w:rPr>
        <w:noProof/>
        <w:color w:val="000000"/>
      </w:rPr>
      <w:t>2</w:t>
    </w:r>
    <w:r>
      <w:rPr>
        <w:color w:val="000000"/>
      </w:rPr>
      <w:fldChar w:fldCharType="end"/>
    </w:r>
  </w:p>
  <w:p w:rsidR="0052395A" w14:paraId="00000167" w14:textId="77777777">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95A" w14:paraId="00000165" w14:textId="77777777">
    <w:pPr>
      <w:pBdr>
        <w:top w:val="nil"/>
        <w:left w:val="nil"/>
        <w:bottom w:val="nil"/>
        <w:right w:val="nil"/>
        <w:between w:val="nil"/>
      </w:pBdr>
      <w:tabs>
        <w:tab w:val="center" w:pos="4320"/>
        <w:tab w:val="right" w:pos="8640"/>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95A" w14:paraId="00000161" w14:textId="77777777">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95A" w14:paraId="00000160" w14:textId="77777777">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95A" w14:paraId="00000162" w14:textId="77777777">
    <w:pPr>
      <w:pBdr>
        <w:top w:val="nil"/>
        <w:left w:val="nil"/>
        <w:bottom w:val="nil"/>
        <w:right w:val="nil"/>
        <w:between w:val="nil"/>
      </w:pBd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D4028"/>
    <w:multiLevelType w:val="multilevel"/>
    <w:tmpl w:val="165AC7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05D708E"/>
    <w:multiLevelType w:val="multilevel"/>
    <w:tmpl w:val="86E6CB5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4E932DFB"/>
    <w:multiLevelType w:val="multilevel"/>
    <w:tmpl w:val="840418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59277DEC"/>
    <w:multiLevelType w:val="multilevel"/>
    <w:tmpl w:val="17E0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466244"/>
    <w:multiLevelType w:val="multilevel"/>
    <w:tmpl w:val="49D267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736B29DB"/>
    <w:multiLevelType w:val="hybridMultilevel"/>
    <w:tmpl w:val="90CC7114"/>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62259899">
    <w:abstractNumId w:val="2"/>
  </w:num>
  <w:num w:numId="2" w16cid:durableId="1375155689">
    <w:abstractNumId w:val="1"/>
  </w:num>
  <w:num w:numId="3" w16cid:durableId="1544367533">
    <w:abstractNumId w:val="0"/>
  </w:num>
  <w:num w:numId="4" w16cid:durableId="1801879396">
    <w:abstractNumId w:val="4"/>
  </w:num>
  <w:num w:numId="5" w16cid:durableId="170919113">
    <w:abstractNumId w:val="5"/>
  </w:num>
  <w:num w:numId="6" w16cid:durableId="333261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95A"/>
    <w:rsid w:val="0009669B"/>
    <w:rsid w:val="001110B0"/>
    <w:rsid w:val="00136090"/>
    <w:rsid w:val="00196E7E"/>
    <w:rsid w:val="001C6C1F"/>
    <w:rsid w:val="001E0857"/>
    <w:rsid w:val="001E28F1"/>
    <w:rsid w:val="001E437D"/>
    <w:rsid w:val="00200639"/>
    <w:rsid w:val="00280C7E"/>
    <w:rsid w:val="002C7E6B"/>
    <w:rsid w:val="00390BEA"/>
    <w:rsid w:val="00391A2E"/>
    <w:rsid w:val="003A67AA"/>
    <w:rsid w:val="003E7251"/>
    <w:rsid w:val="004E3618"/>
    <w:rsid w:val="0052395A"/>
    <w:rsid w:val="0052776C"/>
    <w:rsid w:val="00567887"/>
    <w:rsid w:val="005D6736"/>
    <w:rsid w:val="005F51EC"/>
    <w:rsid w:val="006113DF"/>
    <w:rsid w:val="00647EEE"/>
    <w:rsid w:val="00663B34"/>
    <w:rsid w:val="00670411"/>
    <w:rsid w:val="006A6D50"/>
    <w:rsid w:val="006C3754"/>
    <w:rsid w:val="006C6E9D"/>
    <w:rsid w:val="00732795"/>
    <w:rsid w:val="00736FB3"/>
    <w:rsid w:val="00787AE7"/>
    <w:rsid w:val="007A5E7C"/>
    <w:rsid w:val="007F7DC4"/>
    <w:rsid w:val="0080785C"/>
    <w:rsid w:val="008170DC"/>
    <w:rsid w:val="008B7017"/>
    <w:rsid w:val="008E483D"/>
    <w:rsid w:val="0090385D"/>
    <w:rsid w:val="00936150"/>
    <w:rsid w:val="009A5BBF"/>
    <w:rsid w:val="009C67DE"/>
    <w:rsid w:val="00A461CF"/>
    <w:rsid w:val="00A94FE6"/>
    <w:rsid w:val="00B67125"/>
    <w:rsid w:val="00B810D3"/>
    <w:rsid w:val="00BC46C1"/>
    <w:rsid w:val="00BD6279"/>
    <w:rsid w:val="00C062A6"/>
    <w:rsid w:val="00C36F4B"/>
    <w:rsid w:val="00C56CC6"/>
    <w:rsid w:val="00D14EE2"/>
    <w:rsid w:val="00DD011C"/>
    <w:rsid w:val="00DE03E9"/>
    <w:rsid w:val="00E435B3"/>
    <w:rsid w:val="00E4412B"/>
    <w:rsid w:val="00E47693"/>
    <w:rsid w:val="00E52C78"/>
    <w:rsid w:val="00EB7A2A"/>
    <w:rsid w:val="00F0165D"/>
    <w:rsid w:val="00F63943"/>
    <w:rsid w:val="00F66EF5"/>
    <w:rsid w:val="00FD7854"/>
    <w:rsid w:val="00FF1241"/>
    <w:rsid w:val="00FF45B9"/>
    <w:rsid w:val="00FF6D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2E2C27"/>
  <w15:docId w15:val="{C4CEA0B2-8347-2645-AC2B-C471E1EC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51EC"/>
  </w:style>
  <w:style w:type="paragraph" w:styleId="Heading1">
    <w:name w:val="heading 1"/>
    <w:basedOn w:val="Normal"/>
    <w:next w:val="Normal"/>
    <w:uiPriority w:val="9"/>
    <w:qFormat/>
    <w:pPr>
      <w:keepNext/>
      <w:tabs>
        <w:tab w:val="left" w:pos="1152"/>
      </w:tabs>
      <w:spacing w:after="360"/>
      <w:ind w:left="1152" w:hanging="1152"/>
      <w:jc w:val="both"/>
      <w:outlineLvl w:val="0"/>
    </w:pPr>
    <w:rPr>
      <w:rFonts w:ascii="Cambria" w:eastAsia="Cambria" w:hAnsi="Cambria" w:cs="Cambria"/>
      <w:b/>
      <w:sz w:val="32"/>
      <w:szCs w:val="32"/>
    </w:rPr>
  </w:style>
  <w:style w:type="paragraph" w:styleId="Heading2">
    <w:name w:val="heading 2"/>
    <w:basedOn w:val="Normal"/>
    <w:next w:val="Normal"/>
    <w:uiPriority w:val="9"/>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unhideWhenUsed/>
    <w:qFormat/>
    <w:pPr>
      <w:keepNext/>
      <w:spacing w:after="60"/>
      <w:ind w:left="864" w:hanging="864"/>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spacing w:before="240" w:after="60"/>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rPr>
      <w:rFonts w:ascii="Calibri" w:eastAsia="Calibri" w:hAnsi="Calibri" w:cs="Calibri"/>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name w:val="a0"/>
    <w:basedOn w:val="TableNormal"/>
    <w:rPr>
      <w:rFonts w:ascii="Calibri" w:eastAsia="Calibri" w:hAnsi="Calibri" w:cs="Calibri"/>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name w:val="a1"/>
    <w:basedOn w:val="TableNormal"/>
    <w:rPr>
      <w:rFonts w:ascii="Calibri" w:eastAsia="Calibri" w:hAnsi="Calibri" w:cs="Calibri"/>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name w:val="a2"/>
    <w:basedOn w:val="TableNormal"/>
    <w:rPr>
      <w:rFonts w:ascii="Calibri" w:eastAsia="Calibri" w:hAnsi="Calibri" w:cs="Calibri"/>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BC46C1"/>
    <w:pPr>
      <w:ind w:left="720"/>
      <w:contextualSpacing/>
    </w:pPr>
  </w:style>
  <w:style w:type="paragraph" w:styleId="Revision">
    <w:name w:val="Revision"/>
    <w:hidden/>
    <w:uiPriority w:val="99"/>
    <w:semiHidden/>
    <w:rsid w:val="00280C7E"/>
  </w:style>
  <w:style w:type="paragraph" w:styleId="CommentSubject">
    <w:name w:val="annotation subject"/>
    <w:basedOn w:val="CommentText"/>
    <w:next w:val="CommentText"/>
    <w:link w:val="CommentSubjectChar"/>
    <w:uiPriority w:val="99"/>
    <w:semiHidden/>
    <w:unhideWhenUsed/>
    <w:rsid w:val="00670411"/>
    <w:rPr>
      <w:b/>
      <w:bCs/>
    </w:rPr>
  </w:style>
  <w:style w:type="character" w:customStyle="1" w:styleId="CommentSubjectChar">
    <w:name w:val="Comment Subject Char"/>
    <w:basedOn w:val="CommentTextChar"/>
    <w:link w:val="CommentSubject"/>
    <w:uiPriority w:val="99"/>
    <w:semiHidden/>
    <w:rsid w:val="006704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doi.org/10.1186/1471-2288-14-42" TargetMode="External" /><Relationship Id="rId7" Type="http://schemas.openxmlformats.org/officeDocument/2006/relationships/hyperlink" Target="https://doi.org/10.1177/1609406915621420" TargetMode="External" /><Relationship Id="rId8" Type="http://schemas.openxmlformats.org/officeDocument/2006/relationships/hyperlink" Target="https://doi.org/10.1186/1756-0500-5-572"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V54KaXaf6XIfc5ZmnXM0SBlfg==">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3220</Words>
  <Characters>18354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Karen C. (CDC/NCIPC/OD)</dc:creator>
  <cp:lastModifiedBy>Sims, Thelma (CDC/IOD/OS)</cp:lastModifiedBy>
  <cp:revision>4</cp:revision>
  <dcterms:created xsi:type="dcterms:W3CDTF">2024-01-10T19:15:00Z</dcterms:created>
  <dcterms:modified xsi:type="dcterms:W3CDTF">2024-01-22T15:06:00Z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12d7b3ab-c013-4c31-999b-65857a2e1e30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2023-12-07T14:31:43Z</vt:lpwstr>
  </property>
  <property fmtid="{D5CDD505-2E9C-101B-9397-08002B2CF9AE}" pid="8" name="MSIP_Label_7b94a7b8-f06c-4dfe-bdcc-9b548fd58c31_SiteId">
    <vt:lpwstr>9ce70869-60db-44fd-abe8-d2767077fc8f</vt:lpwstr>
  </property>
</Properties>
</file>