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AB5DAF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2D9EE18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B372FB">
        <w:rPr>
          <w:rFonts w:ascii="Arial" w:hAnsi="Arial" w:cs="Arial"/>
          <w:b/>
          <w:sz w:val="24"/>
          <w:szCs w:val="24"/>
        </w:rPr>
        <w:t>0920-</w:t>
      </w:r>
      <w:r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A73DA9" w:rsidP="00CA05DF" w14:paraId="0610D448" w14:textId="40C9EA88">
      <w:pPr>
        <w:rPr>
          <w:rFonts w:ascii="Arial" w:eastAsia="Calibri" w:hAnsi="Arial" w:cs="Arial"/>
        </w:rPr>
      </w:pPr>
      <w:r w:rsidRPr="00A73DA9">
        <w:rPr>
          <w:rFonts w:ascii="Arial" w:hAnsi="Arial"/>
          <w:b/>
        </w:rPr>
        <w:t xml:space="preserve">CIO: </w:t>
      </w:r>
      <w:r w:rsidRPr="00A73DA9">
        <w:rPr>
          <w:rFonts w:ascii="Arial" w:eastAsia="Calibri" w:hAnsi="Arial" w:cs="Arial"/>
        </w:rPr>
        <w:t>National Center for Emerging and Zoonotic Infectious Diseases</w:t>
      </w:r>
    </w:p>
    <w:p w:rsidR="00CA05DF" w:rsidP="00840FCA" w14:paraId="63002443" w14:textId="77777777">
      <w:pPr>
        <w:rPr>
          <w:rFonts w:ascii="Arial" w:hAnsi="Arial"/>
        </w:rPr>
      </w:pPr>
      <w:r>
        <w:rPr>
          <w:rFonts w:ascii="Arial" w:hAnsi="Arial"/>
          <w:b/>
        </w:rPr>
        <w:t>PROJECT TITLE:</w:t>
      </w:r>
      <w:r w:rsidRPr="00B372FB" w:rsidR="00B46F2C">
        <w:rPr>
          <w:rFonts w:ascii="Arial" w:hAnsi="Arial"/>
        </w:rPr>
        <w:t xml:space="preserve"> </w:t>
      </w:r>
      <w:r w:rsidRPr="00CA05DF">
        <w:rPr>
          <w:rFonts w:ascii="Arial" w:hAnsi="Arial"/>
        </w:rPr>
        <w:t>Focus Groups with Infectious Disease Physicians and Pharmacists on Antifungal Therapeutic Drug Monitoring</w:t>
      </w:r>
    </w:p>
    <w:p w:rsidR="00B46F2C" w:rsidRPr="00B372FB" w:rsidP="00840FCA" w14:paraId="71A45B05" w14:textId="1657B239">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5927D6" w:rsidR="005927D6">
        <w:rPr>
          <w:rFonts w:ascii="Arial" w:hAnsi="Arial" w:cs="Arial"/>
        </w:rPr>
        <w:t xml:space="preserve"> </w:t>
      </w:r>
      <w:r w:rsidR="005927D6">
        <w:rPr>
          <w:rFonts w:ascii="Arial" w:hAnsi="Arial" w:cs="Arial"/>
        </w:rPr>
        <w:t xml:space="preserve">The Centers for Disease Control and Prevention (CDC) is requesting approval for a new generic information collection (gen-IC). The goals of this evaluation are to </w:t>
      </w:r>
      <w:r w:rsidRPr="00CA05DF" w:rsidR="00CA05DF">
        <w:rPr>
          <w:rFonts w:ascii="Arial" w:hAnsi="Arial" w:cs="Arial"/>
        </w:rPr>
        <w:t xml:space="preserve">assess knowledge, </w:t>
      </w:r>
      <w:r w:rsidR="00CA05DF">
        <w:rPr>
          <w:rFonts w:ascii="Arial" w:hAnsi="Arial" w:cs="Arial"/>
        </w:rPr>
        <w:t xml:space="preserve">perceptions, </w:t>
      </w:r>
      <w:r w:rsidRPr="00CA05DF" w:rsidR="00CA05DF">
        <w:rPr>
          <w:rFonts w:ascii="Arial" w:hAnsi="Arial" w:cs="Arial"/>
        </w:rPr>
        <w:t>experiences, and barriers to antifungal therapeutic drug monitoring</w:t>
      </w:r>
      <w:r w:rsidR="00CA05DF">
        <w:rPr>
          <w:rFonts w:ascii="Arial" w:hAnsi="Arial" w:cs="Arial"/>
        </w:rPr>
        <w:t xml:space="preserve"> (TDM)</w:t>
      </w:r>
      <w:r w:rsidR="005927D6">
        <w:rPr>
          <w:rFonts w:ascii="Arial" w:hAnsi="Arial" w:cs="Arial"/>
        </w:rPr>
        <w:t xml:space="preserve">, </w:t>
      </w:r>
      <w:r w:rsidR="005927D6">
        <w:rPr>
          <w:rFonts w:ascii="Arial" w:hAnsi="Arial" w:cs="Arial"/>
        </w:rPr>
        <w:t>in order to</w:t>
      </w:r>
      <w:r w:rsidR="005927D6">
        <w:rPr>
          <w:rFonts w:ascii="Arial" w:hAnsi="Arial" w:cs="Arial"/>
        </w:rPr>
        <w:t xml:space="preserve"> </w:t>
      </w:r>
      <w:r w:rsidRPr="00CA05DF" w:rsidR="00CA05DF">
        <w:rPr>
          <w:rFonts w:ascii="Arial" w:hAnsi="Arial" w:cs="Arial"/>
        </w:rPr>
        <w:t xml:space="preserve">inform future communications efforts to increase awareness of antifungal </w:t>
      </w:r>
      <w:r w:rsidR="00CA05DF">
        <w:rPr>
          <w:rFonts w:ascii="Arial" w:hAnsi="Arial" w:cs="Arial"/>
        </w:rPr>
        <w:t>TDM</w:t>
      </w:r>
      <w:r w:rsidRPr="00CA05DF" w:rsidR="00CA05DF">
        <w:rPr>
          <w:rFonts w:ascii="Arial" w:hAnsi="Arial" w:cs="Arial"/>
        </w:rPr>
        <w:t xml:space="preserve">, address knowledge gaps and barriers to the practice, and improve antifungal </w:t>
      </w:r>
      <w:r w:rsidR="00CA05DF">
        <w:rPr>
          <w:rFonts w:ascii="Arial" w:hAnsi="Arial" w:cs="Arial"/>
        </w:rPr>
        <w:t>TDM</w:t>
      </w:r>
      <w:r w:rsidRPr="00CA05DF" w:rsidR="00CA05DF">
        <w:rPr>
          <w:rFonts w:ascii="Arial" w:hAnsi="Arial" w:cs="Arial"/>
        </w:rPr>
        <w:t xml:space="preserve"> adherence.</w:t>
      </w:r>
    </w:p>
    <w:p w:rsidR="00B46F2C" w:rsidRPr="00B372FB" w:rsidP="002B378C" w14:paraId="7C11AC20" w14:textId="5E8CFD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w:t>
      </w:r>
      <w:r w:rsidRPr="002B378C" w:rsidR="002B378C">
        <w:t xml:space="preserve"> </w:t>
      </w:r>
      <w:r w:rsidRPr="002B378C" w:rsidR="002B378C">
        <w:rPr>
          <w:rFonts w:ascii="Arial" w:hAnsi="Arial"/>
        </w:rPr>
        <w:t>Infectious disease physicians and hospital or infectious disease pharmacists.</w:t>
      </w:r>
    </w:p>
    <w:p w:rsidR="002F2EF9" w:rsidP="008101A5" w14:paraId="4D054F9F"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Yes  [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is the information that will be collected included in records that are subject to the Privacy Act of 1974?   [  ]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If Applicable, has a System or Records Notice been published?  [  ]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Yes [  ] No</w:t>
      </w:r>
    </w:p>
    <w:p w:rsidR="005B0447" w14:paraId="0801DBC4" w14:textId="77777777">
      <w:pPr>
        <w:rPr>
          <w:rFonts w:ascii="Arial" w:hAnsi="Arial"/>
        </w:rPr>
      </w:pPr>
    </w:p>
    <w:p w:rsidR="005B0447" w:rsidP="00C86E91" w14:paraId="3CBD98EF" w14:textId="1678F028">
      <w:pPr>
        <w:rPr>
          <w:rFonts w:ascii="Arial" w:eastAsia="Times New Roman" w:hAnsi="Arial" w:cs="Arial"/>
        </w:rPr>
      </w:pPr>
      <w:r>
        <w:rPr>
          <w:rFonts w:ascii="Arial" w:eastAsia="Times New Roman" w:hAnsi="Arial" w:cs="Arial"/>
        </w:rPr>
        <w:t>Focus group</w:t>
      </w:r>
      <w:r w:rsidRPr="00630352">
        <w:rPr>
          <w:rFonts w:ascii="Arial" w:eastAsia="Times New Roman" w:hAnsi="Arial" w:cs="Arial"/>
        </w:rPr>
        <w:t xml:space="preserve"> participants will receive a monetary incentive </w:t>
      </w:r>
      <w:r w:rsidRPr="002B378C">
        <w:rPr>
          <w:rFonts w:ascii="Arial" w:eastAsia="Times New Roman" w:hAnsi="Arial" w:cs="Arial"/>
        </w:rPr>
        <w:t>of $75 for their participation. Such an incentive is a standard practice in the market research industry and helps to ensure efficient recruitment and ultimate participation among the qualified and scheduled</w:t>
      </w:r>
      <w:r w:rsidRPr="00630352">
        <w:rPr>
          <w:rFonts w:ascii="Arial" w:eastAsia="Times New Roman" w:hAnsi="Arial" w:cs="Arial"/>
        </w:rPr>
        <w:t xml:space="preserve"> participants. The incentive is also intended to offset the cost of personal or professional time taken to participate</w:t>
      </w:r>
      <w:r>
        <w:rPr>
          <w:rFonts w:ascii="Arial" w:eastAsia="Times New Roman" w:hAnsi="Arial" w:cs="Arial"/>
        </w:rPr>
        <w:t>.</w:t>
      </w:r>
    </w:p>
    <w:p w:rsidR="00B46F2C" w:rsidRPr="00B372FB" w:rsidP="00C86E91" w14:paraId="50447CD4" w14:textId="50A0CEF5">
      <w:pPr>
        <w:rPr>
          <w:rFonts w:ascii="Arial" w:hAnsi="Arial"/>
          <w:i/>
        </w:rPr>
      </w:pPr>
      <w:r w:rsidRPr="00B372FB">
        <w:rPr>
          <w:rFonts w:ascii="Arial" w:hAnsi="Arial"/>
          <w:b/>
        </w:rPr>
        <w:t>BURDEN HOURS</w:t>
      </w:r>
      <w:r w:rsidRPr="00B372FB">
        <w:rPr>
          <w:rFonts w:ascii="Arial" w:hAnsi="Arial"/>
        </w:rPr>
        <w:t xml:space="preserve"> </w:t>
      </w:r>
    </w:p>
    <w:tbl>
      <w:tblPr>
        <w:tblStyle w:val="TableGrid1"/>
        <w:tblW w:w="9496" w:type="dxa"/>
        <w:tblLook w:val="04A0"/>
      </w:tblPr>
      <w:tblGrid>
        <w:gridCol w:w="1316"/>
        <w:gridCol w:w="2295"/>
        <w:gridCol w:w="1522"/>
        <w:gridCol w:w="1439"/>
        <w:gridCol w:w="1425"/>
        <w:gridCol w:w="1499"/>
      </w:tblGrid>
      <w:tr w14:paraId="2693B965" w14:textId="77777777" w:rsidTr="009E3F9C">
        <w:tblPrEx>
          <w:tblW w:w="9496" w:type="dxa"/>
          <w:tblLook w:val="04A0"/>
        </w:tblPrEx>
        <w:trPr>
          <w:trHeight w:val="1133"/>
        </w:trPr>
        <w:tc>
          <w:tcPr>
            <w:tcW w:w="1316" w:type="dxa"/>
            <w:vAlign w:val="center"/>
          </w:tcPr>
          <w:p w:rsidR="00571D12" w:rsidRPr="004028A0" w:rsidP="00445303" w14:paraId="7A592D8E" w14:textId="7761E660">
            <w:pPr>
              <w:rPr>
                <w:rFonts w:eastAsia="Times New Roman"/>
                <w:szCs w:val="24"/>
              </w:rPr>
            </w:pPr>
            <w:r w:rsidRPr="004028A0">
              <w:rPr>
                <w:rFonts w:eastAsia="Times New Roman"/>
                <w:b/>
                <w:szCs w:val="24"/>
              </w:rPr>
              <w:t>Type of Respondent</w:t>
            </w:r>
            <w:r w:rsidR="008F27FD">
              <w:rPr>
                <w:rFonts w:eastAsia="Times New Roman"/>
                <w:b/>
                <w:szCs w:val="24"/>
              </w:rPr>
              <w:t xml:space="preserve"> </w:t>
            </w:r>
            <w:r w:rsidRPr="008F27FD" w:rsidR="008F27FD">
              <w:rPr>
                <w:rFonts w:eastAsia="Times New Roman"/>
                <w:bCs/>
                <w:i/>
                <w:iCs/>
                <w:szCs w:val="24"/>
              </w:rPr>
              <w:t>(All Private Sector)</w:t>
            </w:r>
          </w:p>
        </w:tc>
        <w:tc>
          <w:tcPr>
            <w:tcW w:w="2295" w:type="dxa"/>
            <w:vAlign w:val="center"/>
          </w:tcPr>
          <w:p w:rsidR="00571D12" w:rsidRPr="00864E3D" w:rsidP="00445303" w14:paraId="4A35A595" w14:textId="77777777">
            <w:pPr>
              <w:rPr>
                <w:rFonts w:eastAsia="Times New Roman"/>
                <w:szCs w:val="24"/>
              </w:rPr>
            </w:pPr>
            <w:r w:rsidRPr="00864E3D">
              <w:rPr>
                <w:rFonts w:eastAsia="Times New Roman"/>
                <w:b/>
                <w:szCs w:val="24"/>
              </w:rPr>
              <w:t>Form Name</w:t>
            </w:r>
          </w:p>
        </w:tc>
        <w:tc>
          <w:tcPr>
            <w:tcW w:w="1522" w:type="dxa"/>
            <w:vAlign w:val="center"/>
          </w:tcPr>
          <w:p w:rsidR="00571D12" w:rsidRPr="00864E3D" w:rsidP="00445303" w14:paraId="071E2EDB" w14:textId="77777777">
            <w:pPr>
              <w:jc w:val="center"/>
              <w:rPr>
                <w:rFonts w:eastAsia="Times New Roman"/>
                <w:szCs w:val="24"/>
              </w:rPr>
            </w:pPr>
            <w:r w:rsidRPr="00864E3D">
              <w:rPr>
                <w:rFonts w:eastAsia="Times New Roman"/>
                <w:b/>
                <w:szCs w:val="24"/>
              </w:rPr>
              <w:t>No. of Respondents</w:t>
            </w:r>
          </w:p>
        </w:tc>
        <w:tc>
          <w:tcPr>
            <w:tcW w:w="1439" w:type="dxa"/>
            <w:vAlign w:val="center"/>
          </w:tcPr>
          <w:p w:rsidR="00571D12" w:rsidRPr="00864E3D" w:rsidP="00445303" w14:paraId="2BF8465A" w14:textId="77777777">
            <w:pPr>
              <w:jc w:val="center"/>
              <w:rPr>
                <w:rFonts w:eastAsia="Times New Roman"/>
                <w:szCs w:val="24"/>
              </w:rPr>
            </w:pPr>
            <w:r w:rsidRPr="00864E3D">
              <w:rPr>
                <w:rFonts w:eastAsia="Times New Roman"/>
                <w:b/>
                <w:szCs w:val="24"/>
              </w:rPr>
              <w:t>No. of Responses per Respondent</w:t>
            </w:r>
          </w:p>
        </w:tc>
        <w:tc>
          <w:tcPr>
            <w:tcW w:w="1425" w:type="dxa"/>
            <w:vAlign w:val="center"/>
          </w:tcPr>
          <w:p w:rsidR="00571D12" w:rsidRPr="00864E3D" w:rsidP="00445303" w14:paraId="6EAFA669" w14:textId="77777777">
            <w:pPr>
              <w:jc w:val="center"/>
              <w:rPr>
                <w:rFonts w:eastAsia="Times New Roman"/>
                <w:szCs w:val="24"/>
              </w:rPr>
            </w:pPr>
            <w:r w:rsidRPr="00864E3D">
              <w:rPr>
                <w:rFonts w:eastAsia="Times New Roman"/>
                <w:b/>
                <w:szCs w:val="24"/>
              </w:rPr>
              <w:t>Average Burden Per Response (hours)</w:t>
            </w:r>
          </w:p>
        </w:tc>
        <w:tc>
          <w:tcPr>
            <w:tcW w:w="1499" w:type="dxa"/>
            <w:vAlign w:val="center"/>
          </w:tcPr>
          <w:p w:rsidR="00571D12" w:rsidRPr="00864E3D" w:rsidP="00445303" w14:paraId="6390016E" w14:textId="77777777">
            <w:pPr>
              <w:jc w:val="center"/>
              <w:rPr>
                <w:rFonts w:eastAsia="Times New Roman"/>
                <w:szCs w:val="24"/>
              </w:rPr>
            </w:pPr>
            <w:r w:rsidRPr="00864E3D">
              <w:rPr>
                <w:rFonts w:eastAsia="Times New Roman"/>
                <w:b/>
                <w:szCs w:val="24"/>
              </w:rPr>
              <w:t>Total Burden Hours</w:t>
            </w:r>
          </w:p>
        </w:tc>
      </w:tr>
      <w:tr w14:paraId="211E8C76" w14:textId="77777777" w:rsidTr="009E3F9C">
        <w:tblPrEx>
          <w:tblW w:w="9496" w:type="dxa"/>
          <w:tblLook w:val="04A0"/>
        </w:tblPrEx>
        <w:tc>
          <w:tcPr>
            <w:tcW w:w="1316" w:type="dxa"/>
            <w:vMerge w:val="restart"/>
            <w:vAlign w:val="center"/>
          </w:tcPr>
          <w:p w:rsidR="00571D12" w:rsidRPr="004028A0" w:rsidP="00445303" w14:paraId="0C3C28C4" w14:textId="77777777">
            <w:pPr>
              <w:rPr>
                <w:rFonts w:eastAsia="Calibri"/>
                <w:szCs w:val="24"/>
              </w:rPr>
            </w:pPr>
            <w:r>
              <w:rPr>
                <w:rFonts w:eastAsia="Calibri"/>
              </w:rPr>
              <w:t xml:space="preserve">ID Physicians </w:t>
            </w:r>
          </w:p>
        </w:tc>
        <w:tc>
          <w:tcPr>
            <w:tcW w:w="2295" w:type="dxa"/>
            <w:vAlign w:val="center"/>
          </w:tcPr>
          <w:p w:rsidR="00571D12" w:rsidRPr="00687201" w:rsidP="00445303" w14:paraId="7AF4AF35" w14:textId="77777777">
            <w:pPr>
              <w:rPr>
                <w:rFonts w:eastAsia="Calibri"/>
                <w:szCs w:val="24"/>
              </w:rPr>
            </w:pPr>
            <w:r w:rsidRPr="00687201">
              <w:rPr>
                <w:rFonts w:eastAsia="Calibri"/>
              </w:rPr>
              <w:t>Screener</w:t>
            </w:r>
          </w:p>
        </w:tc>
        <w:tc>
          <w:tcPr>
            <w:tcW w:w="1522" w:type="dxa"/>
            <w:shd w:val="clear" w:color="auto" w:fill="auto"/>
            <w:vAlign w:val="center"/>
          </w:tcPr>
          <w:p w:rsidR="00571D12" w:rsidRPr="00687201" w:rsidP="00445303" w14:paraId="17F27373" w14:textId="77777777">
            <w:pPr>
              <w:jc w:val="center"/>
              <w:rPr>
                <w:rFonts w:eastAsia="Calibri"/>
                <w:szCs w:val="24"/>
              </w:rPr>
            </w:pPr>
            <w:r>
              <w:rPr>
                <w:rFonts w:eastAsia="Calibri"/>
              </w:rPr>
              <w:t>160</w:t>
            </w:r>
          </w:p>
        </w:tc>
        <w:tc>
          <w:tcPr>
            <w:tcW w:w="1439" w:type="dxa"/>
            <w:vAlign w:val="center"/>
          </w:tcPr>
          <w:p w:rsidR="00571D12" w:rsidRPr="00687201" w:rsidP="00445303" w14:paraId="4B43CB88" w14:textId="77777777">
            <w:pPr>
              <w:jc w:val="center"/>
              <w:rPr>
                <w:rFonts w:eastAsia="Calibri"/>
                <w:szCs w:val="24"/>
              </w:rPr>
            </w:pPr>
            <w:r w:rsidRPr="00687201">
              <w:rPr>
                <w:rFonts w:eastAsia="Calibri"/>
              </w:rPr>
              <w:t>1</w:t>
            </w:r>
          </w:p>
        </w:tc>
        <w:tc>
          <w:tcPr>
            <w:tcW w:w="1425" w:type="dxa"/>
            <w:vAlign w:val="center"/>
          </w:tcPr>
          <w:p w:rsidR="00571D12" w:rsidRPr="00687201" w:rsidP="00445303" w14:paraId="02E40890" w14:textId="77777777">
            <w:pPr>
              <w:jc w:val="center"/>
              <w:rPr>
                <w:rFonts w:eastAsia="Calibri"/>
                <w:szCs w:val="24"/>
              </w:rPr>
            </w:pPr>
            <w:r w:rsidRPr="00687201">
              <w:rPr>
                <w:rFonts w:eastAsia="Calibri"/>
              </w:rPr>
              <w:t>5/60</w:t>
            </w:r>
          </w:p>
        </w:tc>
        <w:tc>
          <w:tcPr>
            <w:tcW w:w="1499" w:type="dxa"/>
            <w:vAlign w:val="center"/>
          </w:tcPr>
          <w:p w:rsidR="00571D12" w:rsidRPr="00687201" w:rsidP="00445303" w14:paraId="01291BDD" w14:textId="2E520700">
            <w:pPr>
              <w:jc w:val="center"/>
              <w:rPr>
                <w:rFonts w:eastAsia="Calibri"/>
                <w:szCs w:val="24"/>
              </w:rPr>
            </w:pPr>
            <w:r>
              <w:rPr>
                <w:rFonts w:eastAsia="Calibri"/>
                <w:szCs w:val="24"/>
              </w:rPr>
              <w:t>13</w:t>
            </w:r>
          </w:p>
        </w:tc>
      </w:tr>
      <w:tr w14:paraId="64039876" w14:textId="77777777" w:rsidTr="009E3F9C">
        <w:tblPrEx>
          <w:tblW w:w="9496" w:type="dxa"/>
          <w:tblLook w:val="04A0"/>
        </w:tblPrEx>
        <w:tc>
          <w:tcPr>
            <w:tcW w:w="1316" w:type="dxa"/>
            <w:vMerge/>
            <w:vAlign w:val="center"/>
          </w:tcPr>
          <w:p w:rsidR="00571D12" w:rsidRPr="004028A0" w:rsidP="00445303" w14:paraId="5D708F9F" w14:textId="77777777">
            <w:pPr>
              <w:rPr>
                <w:rFonts w:eastAsia="Calibri"/>
                <w:szCs w:val="24"/>
              </w:rPr>
            </w:pPr>
          </w:p>
        </w:tc>
        <w:tc>
          <w:tcPr>
            <w:tcW w:w="2295" w:type="dxa"/>
            <w:vAlign w:val="center"/>
          </w:tcPr>
          <w:p w:rsidR="00571D12" w:rsidRPr="00144D4A" w:rsidP="00445303" w14:paraId="4242A64C" w14:textId="77777777">
            <w:pPr>
              <w:rPr>
                <w:rFonts w:eastAsia="Calibri"/>
                <w:szCs w:val="24"/>
              </w:rPr>
            </w:pPr>
            <w:r>
              <w:rPr>
                <w:rFonts w:eastAsia="Calibri"/>
              </w:rPr>
              <w:t xml:space="preserve">Focus Group </w:t>
            </w:r>
            <w:r w:rsidRPr="00144D4A">
              <w:rPr>
                <w:rFonts w:eastAsia="Calibri"/>
              </w:rPr>
              <w:t>Guide</w:t>
            </w:r>
            <w:r>
              <w:rPr>
                <w:rFonts w:eastAsia="Calibri"/>
              </w:rPr>
              <w:t xml:space="preserve"> </w:t>
            </w:r>
            <w:r w:rsidRPr="00165CBA">
              <w:rPr>
                <w:rFonts w:eastAsia="Calibri"/>
                <w:i/>
                <w:iCs/>
              </w:rPr>
              <w:t>(</w:t>
            </w:r>
            <w:r>
              <w:rPr>
                <w:rFonts w:eastAsia="Calibri"/>
                <w:i/>
                <w:iCs/>
              </w:rPr>
              <w:t>FG participation</w:t>
            </w:r>
            <w:r w:rsidRPr="00165CBA">
              <w:rPr>
                <w:rFonts w:eastAsia="Calibri"/>
                <w:i/>
                <w:iCs/>
              </w:rPr>
              <w:t>)</w:t>
            </w:r>
          </w:p>
        </w:tc>
        <w:tc>
          <w:tcPr>
            <w:tcW w:w="1522" w:type="dxa"/>
            <w:vAlign w:val="center"/>
          </w:tcPr>
          <w:p w:rsidR="00571D12" w:rsidRPr="00144D4A" w:rsidP="00445303" w14:paraId="11F27BCB" w14:textId="77777777">
            <w:pPr>
              <w:jc w:val="center"/>
              <w:rPr>
                <w:rFonts w:eastAsia="Calibri"/>
                <w:szCs w:val="24"/>
              </w:rPr>
            </w:pPr>
            <w:r>
              <w:rPr>
                <w:rFonts w:eastAsia="Calibri"/>
              </w:rPr>
              <w:t>16</w:t>
            </w:r>
          </w:p>
        </w:tc>
        <w:tc>
          <w:tcPr>
            <w:tcW w:w="1439" w:type="dxa"/>
            <w:vAlign w:val="center"/>
          </w:tcPr>
          <w:p w:rsidR="00571D12" w:rsidRPr="00144D4A" w:rsidP="00445303" w14:paraId="1E83C77B" w14:textId="77777777">
            <w:pPr>
              <w:jc w:val="center"/>
              <w:rPr>
                <w:rFonts w:eastAsia="Calibri"/>
                <w:szCs w:val="24"/>
              </w:rPr>
            </w:pPr>
            <w:r w:rsidRPr="00144D4A">
              <w:rPr>
                <w:rFonts w:eastAsia="Calibri"/>
              </w:rPr>
              <w:t>1</w:t>
            </w:r>
          </w:p>
        </w:tc>
        <w:tc>
          <w:tcPr>
            <w:tcW w:w="1425" w:type="dxa"/>
            <w:vAlign w:val="center"/>
          </w:tcPr>
          <w:p w:rsidR="00571D12" w:rsidRPr="00144D4A" w:rsidP="00445303" w14:paraId="40887E05" w14:textId="77777777">
            <w:pPr>
              <w:jc w:val="center"/>
              <w:rPr>
                <w:rFonts w:eastAsia="Calibri"/>
                <w:szCs w:val="24"/>
              </w:rPr>
            </w:pPr>
            <w:r w:rsidRPr="00144D4A">
              <w:rPr>
                <w:rFonts w:eastAsia="Calibri"/>
              </w:rPr>
              <w:t>1</w:t>
            </w:r>
            <w:r>
              <w:rPr>
                <w:rFonts w:eastAsia="Calibri"/>
              </w:rPr>
              <w:t>.5</w:t>
            </w:r>
          </w:p>
        </w:tc>
        <w:tc>
          <w:tcPr>
            <w:tcW w:w="1499" w:type="dxa"/>
            <w:vAlign w:val="center"/>
          </w:tcPr>
          <w:p w:rsidR="00571D12" w:rsidRPr="006B4E7B" w:rsidP="00445303" w14:paraId="4F575278" w14:textId="77777777">
            <w:pPr>
              <w:jc w:val="center"/>
              <w:rPr>
                <w:rFonts w:eastAsia="Calibri"/>
                <w:szCs w:val="24"/>
                <w:highlight w:val="yellow"/>
              </w:rPr>
            </w:pPr>
            <w:r>
              <w:rPr>
                <w:rFonts w:eastAsia="Calibri"/>
                <w:szCs w:val="24"/>
              </w:rPr>
              <w:t>24</w:t>
            </w:r>
          </w:p>
        </w:tc>
      </w:tr>
      <w:tr w14:paraId="663DB0A9" w14:textId="77777777" w:rsidTr="009E3F9C">
        <w:tblPrEx>
          <w:tblW w:w="9496" w:type="dxa"/>
          <w:tblLook w:val="04A0"/>
        </w:tblPrEx>
        <w:tc>
          <w:tcPr>
            <w:tcW w:w="1316" w:type="dxa"/>
            <w:vMerge w:val="restart"/>
            <w:vAlign w:val="center"/>
          </w:tcPr>
          <w:p w:rsidR="00571D12" w:rsidRPr="004028A0" w:rsidP="00445303" w14:paraId="78FCE305" w14:textId="77777777">
            <w:pPr>
              <w:rPr>
                <w:rFonts w:eastAsia="Calibri"/>
                <w:szCs w:val="24"/>
              </w:rPr>
            </w:pPr>
            <w:r>
              <w:rPr>
                <w:rFonts w:eastAsia="Calibri"/>
                <w:szCs w:val="24"/>
              </w:rPr>
              <w:t>ID and Hospital Pharmacists</w:t>
            </w:r>
          </w:p>
        </w:tc>
        <w:tc>
          <w:tcPr>
            <w:tcW w:w="2295" w:type="dxa"/>
            <w:vAlign w:val="center"/>
          </w:tcPr>
          <w:p w:rsidR="00571D12" w:rsidP="00445303" w14:paraId="189E3632" w14:textId="77777777">
            <w:pPr>
              <w:rPr>
                <w:rFonts w:eastAsia="Calibri"/>
              </w:rPr>
            </w:pPr>
            <w:r w:rsidRPr="00687201">
              <w:rPr>
                <w:rFonts w:eastAsia="Calibri"/>
              </w:rPr>
              <w:t>Screener</w:t>
            </w:r>
          </w:p>
        </w:tc>
        <w:tc>
          <w:tcPr>
            <w:tcW w:w="1522" w:type="dxa"/>
            <w:vAlign w:val="center"/>
          </w:tcPr>
          <w:p w:rsidR="00571D12" w:rsidP="00445303" w14:paraId="0891EDEA" w14:textId="77777777">
            <w:pPr>
              <w:jc w:val="center"/>
              <w:rPr>
                <w:rFonts w:eastAsia="Calibri"/>
              </w:rPr>
            </w:pPr>
            <w:r>
              <w:rPr>
                <w:rFonts w:eastAsia="Calibri"/>
              </w:rPr>
              <w:t>80</w:t>
            </w:r>
          </w:p>
        </w:tc>
        <w:tc>
          <w:tcPr>
            <w:tcW w:w="1439" w:type="dxa"/>
            <w:vAlign w:val="center"/>
          </w:tcPr>
          <w:p w:rsidR="00571D12" w:rsidRPr="00144D4A" w:rsidP="00445303" w14:paraId="6160E400" w14:textId="77777777">
            <w:pPr>
              <w:jc w:val="center"/>
              <w:rPr>
                <w:rFonts w:eastAsia="Calibri"/>
              </w:rPr>
            </w:pPr>
            <w:r w:rsidRPr="00687201">
              <w:rPr>
                <w:rFonts w:eastAsia="Calibri"/>
              </w:rPr>
              <w:t>1</w:t>
            </w:r>
          </w:p>
        </w:tc>
        <w:tc>
          <w:tcPr>
            <w:tcW w:w="1425" w:type="dxa"/>
            <w:vAlign w:val="center"/>
          </w:tcPr>
          <w:p w:rsidR="00571D12" w:rsidRPr="00144D4A" w:rsidP="00445303" w14:paraId="5D17C477" w14:textId="77777777">
            <w:pPr>
              <w:jc w:val="center"/>
              <w:rPr>
                <w:rFonts w:eastAsia="Calibri"/>
              </w:rPr>
            </w:pPr>
            <w:r w:rsidRPr="00687201">
              <w:rPr>
                <w:rFonts w:eastAsia="Calibri"/>
              </w:rPr>
              <w:t>5/60</w:t>
            </w:r>
          </w:p>
        </w:tc>
        <w:tc>
          <w:tcPr>
            <w:tcW w:w="1499" w:type="dxa"/>
            <w:vAlign w:val="center"/>
          </w:tcPr>
          <w:p w:rsidR="00571D12" w:rsidRPr="006B4E7B" w:rsidP="00445303" w14:paraId="73D8FBB8" w14:textId="199FDE75">
            <w:pPr>
              <w:jc w:val="center"/>
              <w:rPr>
                <w:rFonts w:eastAsia="Calibri"/>
              </w:rPr>
            </w:pPr>
            <w:r>
              <w:rPr>
                <w:rFonts w:eastAsia="Calibri"/>
              </w:rPr>
              <w:t>7</w:t>
            </w:r>
          </w:p>
        </w:tc>
      </w:tr>
      <w:tr w14:paraId="34DA7847" w14:textId="77777777" w:rsidTr="009E3F9C">
        <w:tblPrEx>
          <w:tblW w:w="9496" w:type="dxa"/>
          <w:tblLook w:val="04A0"/>
        </w:tblPrEx>
        <w:tc>
          <w:tcPr>
            <w:tcW w:w="1316" w:type="dxa"/>
            <w:vMerge/>
            <w:vAlign w:val="center"/>
          </w:tcPr>
          <w:p w:rsidR="00571D12" w:rsidRPr="004028A0" w:rsidP="00445303" w14:paraId="77A759DF" w14:textId="77777777">
            <w:pPr>
              <w:jc w:val="center"/>
              <w:rPr>
                <w:rFonts w:eastAsia="Calibri"/>
                <w:szCs w:val="24"/>
              </w:rPr>
            </w:pPr>
          </w:p>
        </w:tc>
        <w:tc>
          <w:tcPr>
            <w:tcW w:w="2295" w:type="dxa"/>
            <w:vAlign w:val="center"/>
          </w:tcPr>
          <w:p w:rsidR="00571D12" w:rsidP="00445303" w14:paraId="6A2FABE8" w14:textId="77777777">
            <w:pPr>
              <w:rPr>
                <w:rFonts w:eastAsia="Calibri"/>
              </w:rPr>
            </w:pPr>
            <w:r>
              <w:rPr>
                <w:rFonts w:eastAsia="Calibri"/>
              </w:rPr>
              <w:t xml:space="preserve">Focus Group </w:t>
            </w:r>
            <w:r w:rsidRPr="00144D4A">
              <w:rPr>
                <w:rFonts w:eastAsia="Calibri"/>
              </w:rPr>
              <w:t>Guide</w:t>
            </w:r>
            <w:r>
              <w:rPr>
                <w:rFonts w:eastAsia="Calibri"/>
              </w:rPr>
              <w:t xml:space="preserve"> </w:t>
            </w:r>
            <w:r w:rsidRPr="00165CBA">
              <w:rPr>
                <w:rFonts w:eastAsia="Calibri"/>
                <w:i/>
                <w:iCs/>
              </w:rPr>
              <w:t>(</w:t>
            </w:r>
            <w:r>
              <w:rPr>
                <w:rFonts w:eastAsia="Calibri"/>
                <w:i/>
                <w:iCs/>
              </w:rPr>
              <w:t>FG participation</w:t>
            </w:r>
            <w:r w:rsidRPr="00165CBA">
              <w:rPr>
                <w:rFonts w:eastAsia="Calibri"/>
                <w:i/>
                <w:iCs/>
              </w:rPr>
              <w:t>)</w:t>
            </w:r>
          </w:p>
        </w:tc>
        <w:tc>
          <w:tcPr>
            <w:tcW w:w="1522" w:type="dxa"/>
            <w:vAlign w:val="center"/>
          </w:tcPr>
          <w:p w:rsidR="00571D12" w:rsidP="00445303" w14:paraId="41E2D2B3" w14:textId="77777777">
            <w:pPr>
              <w:jc w:val="center"/>
              <w:rPr>
                <w:rFonts w:eastAsia="Calibri"/>
              </w:rPr>
            </w:pPr>
            <w:r>
              <w:rPr>
                <w:rFonts w:eastAsia="Calibri"/>
              </w:rPr>
              <w:t>8</w:t>
            </w:r>
          </w:p>
        </w:tc>
        <w:tc>
          <w:tcPr>
            <w:tcW w:w="1439" w:type="dxa"/>
            <w:vAlign w:val="center"/>
          </w:tcPr>
          <w:p w:rsidR="00571D12" w:rsidRPr="00144D4A" w:rsidP="00445303" w14:paraId="35B9FAB0" w14:textId="77777777">
            <w:pPr>
              <w:jc w:val="center"/>
              <w:rPr>
                <w:rFonts w:eastAsia="Calibri"/>
              </w:rPr>
            </w:pPr>
            <w:r w:rsidRPr="00144D4A">
              <w:rPr>
                <w:rFonts w:eastAsia="Calibri"/>
              </w:rPr>
              <w:t>1</w:t>
            </w:r>
          </w:p>
        </w:tc>
        <w:tc>
          <w:tcPr>
            <w:tcW w:w="1425" w:type="dxa"/>
            <w:vAlign w:val="center"/>
          </w:tcPr>
          <w:p w:rsidR="00571D12" w:rsidRPr="00144D4A" w:rsidP="00445303" w14:paraId="3AD30DBA" w14:textId="77777777">
            <w:pPr>
              <w:jc w:val="center"/>
              <w:rPr>
                <w:rFonts w:eastAsia="Calibri"/>
              </w:rPr>
            </w:pPr>
            <w:r>
              <w:rPr>
                <w:rFonts w:eastAsia="Calibri"/>
              </w:rPr>
              <w:t>1.5</w:t>
            </w:r>
          </w:p>
        </w:tc>
        <w:tc>
          <w:tcPr>
            <w:tcW w:w="1499" w:type="dxa"/>
            <w:vAlign w:val="center"/>
          </w:tcPr>
          <w:p w:rsidR="00571D12" w:rsidRPr="006B4E7B" w:rsidP="00445303" w14:paraId="4DC25F9A" w14:textId="77777777">
            <w:pPr>
              <w:jc w:val="center"/>
              <w:rPr>
                <w:rFonts w:eastAsia="Calibri"/>
              </w:rPr>
            </w:pPr>
            <w:r>
              <w:rPr>
                <w:rFonts w:eastAsia="Calibri"/>
              </w:rPr>
              <w:t>12</w:t>
            </w:r>
          </w:p>
        </w:tc>
      </w:tr>
      <w:tr w14:paraId="167F62B3" w14:textId="77777777" w:rsidTr="009E3F9C">
        <w:tblPrEx>
          <w:tblW w:w="9496" w:type="dxa"/>
          <w:tblLook w:val="04A0"/>
        </w:tblPrEx>
        <w:tc>
          <w:tcPr>
            <w:tcW w:w="1316" w:type="dxa"/>
          </w:tcPr>
          <w:p w:rsidR="00571D12" w:rsidRPr="004028A0" w:rsidP="00445303" w14:paraId="3C4513C2" w14:textId="77777777">
            <w:pPr>
              <w:rPr>
                <w:rFonts w:eastAsia="Calibri"/>
                <w:szCs w:val="24"/>
              </w:rPr>
            </w:pPr>
            <w:r w:rsidRPr="004028A0">
              <w:rPr>
                <w:rFonts w:eastAsia="Calibri"/>
              </w:rPr>
              <w:t>Total</w:t>
            </w:r>
          </w:p>
        </w:tc>
        <w:tc>
          <w:tcPr>
            <w:tcW w:w="6681" w:type="dxa"/>
            <w:gridSpan w:val="4"/>
            <w:vAlign w:val="center"/>
          </w:tcPr>
          <w:p w:rsidR="00571D12" w:rsidP="00445303" w14:paraId="4113DCC2" w14:textId="77777777">
            <w:pPr>
              <w:jc w:val="center"/>
              <w:rPr>
                <w:rFonts w:eastAsia="Calibri"/>
              </w:rPr>
            </w:pPr>
          </w:p>
        </w:tc>
        <w:tc>
          <w:tcPr>
            <w:tcW w:w="1499" w:type="dxa"/>
            <w:vAlign w:val="center"/>
          </w:tcPr>
          <w:p w:rsidR="00571D12" w:rsidP="00445303" w14:paraId="3208CBCE" w14:textId="0DB2DE3D">
            <w:pPr>
              <w:jc w:val="center"/>
              <w:rPr>
                <w:rFonts w:eastAsia="Calibri"/>
              </w:rPr>
            </w:pPr>
            <w:r>
              <w:rPr>
                <w:rFonts w:eastAsia="Calibri"/>
              </w:rPr>
              <w:t>5</w:t>
            </w:r>
            <w:r w:rsidR="009E3F9C">
              <w:rPr>
                <w:rFonts w:eastAsia="Calibri"/>
              </w:rPr>
              <w:t>6</w:t>
            </w:r>
          </w:p>
        </w:tc>
      </w:tr>
    </w:tbl>
    <w:p w:rsidR="00571D12" w:rsidP="00571D12" w14:paraId="776D4D2C" w14:textId="77777777">
      <w:pPr>
        <w:spacing w:after="0"/>
        <w:rPr>
          <w:rFonts w:ascii="Arial" w:hAnsi="Arial"/>
          <w:b/>
        </w:rPr>
      </w:pPr>
    </w:p>
    <w:p w:rsidR="00B46F2C" w:rsidRPr="00B372FB" w14:paraId="2713BA0E" w14:textId="6AB1AC87">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8D60EA" w:rsidR="008D60EA">
        <w:rPr>
          <w:rFonts w:ascii="Arial" w:hAnsi="Arial"/>
        </w:rPr>
        <w:t>$94,641</w:t>
      </w:r>
      <w:r w:rsidR="00661673">
        <w:rPr>
          <w:rFonts w:ascii="Arial" w:hAnsi="Arial"/>
        </w:rPr>
        <w:t>.</w:t>
      </w:r>
    </w:p>
    <w:p w:rsidR="00B46F2C" w:rsidRPr="00846B36" w:rsidP="00F06866" w14:paraId="2AA45D6E" w14:textId="05969D05">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t>[ ]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5B0447" w:rsidRPr="007C6A95" w:rsidP="005B0447" w14:paraId="254C5017" w14:textId="165DA6FA">
      <w:pPr>
        <w:rPr>
          <w:rFonts w:ascii="Arial" w:hAnsi="Arial"/>
        </w:rPr>
      </w:pPr>
      <w:r w:rsidRPr="32F561F4">
        <w:rPr>
          <w:rFonts w:ascii="Arial" w:hAnsi="Arial"/>
        </w:rPr>
        <w:t xml:space="preserve">Potential participants are drawn from a national panel of individuals who have opted in to participate in </w:t>
      </w:r>
      <w:r w:rsidRPr="32F561F4" w:rsidR="005927D6">
        <w:rPr>
          <w:rFonts w:ascii="Arial" w:hAnsi="Arial"/>
        </w:rPr>
        <w:t>focus groups</w:t>
      </w:r>
      <w:r w:rsidRPr="32F561F4">
        <w:rPr>
          <w:rFonts w:ascii="Arial" w:hAnsi="Arial"/>
        </w:rPr>
        <w:t xml:space="preserve"> on various topics. The contractor KRC Research will direct a </w:t>
      </w:r>
      <w:r w:rsidRPr="32F561F4" w:rsidR="125E769D">
        <w:rPr>
          <w:rFonts w:ascii="Arial" w:hAnsi="Arial"/>
        </w:rPr>
        <w:t xml:space="preserve">vendor </w:t>
      </w:r>
      <w:r w:rsidRPr="32F561F4">
        <w:rPr>
          <w:rFonts w:ascii="Arial" w:hAnsi="Arial"/>
        </w:rPr>
        <w:t xml:space="preserve">panel provider to distribute an invitation to screen for the </w:t>
      </w:r>
      <w:r w:rsidRPr="32F561F4" w:rsidR="005927D6">
        <w:rPr>
          <w:rFonts w:ascii="Arial" w:hAnsi="Arial"/>
        </w:rPr>
        <w:t>focus groups</w:t>
      </w:r>
      <w:r w:rsidRPr="32F561F4">
        <w:rPr>
          <w:rFonts w:ascii="Arial" w:hAnsi="Arial"/>
        </w:rPr>
        <w:t xml:space="preserve"> to members of its panel, starting with those individuals whose panel profiles suggest they are most likely to qualify </w:t>
      </w:r>
      <w:r w:rsidRPr="32F561F4" w:rsidR="00571D12">
        <w:rPr>
          <w:rFonts w:ascii="Arial" w:hAnsi="Arial"/>
        </w:rPr>
        <w:t xml:space="preserve">(e.g., known to be physicians </w:t>
      </w:r>
      <w:r w:rsidRPr="2835C985" w:rsidR="00C90B89">
        <w:rPr>
          <w:rFonts w:ascii="Arial" w:hAnsi="Arial"/>
        </w:rPr>
        <w:t xml:space="preserve">or </w:t>
      </w:r>
      <w:r w:rsidR="00C90B89">
        <w:rPr>
          <w:rFonts w:ascii="Arial" w:hAnsi="Arial"/>
        </w:rPr>
        <w:t>NPs or PAs</w:t>
      </w:r>
      <w:r w:rsidRPr="32F561F4" w:rsidR="00571D12">
        <w:rPr>
          <w:rFonts w:ascii="Arial" w:hAnsi="Arial"/>
        </w:rPr>
        <w:t>, have known specialties</w:t>
      </w:r>
      <w:r w:rsidRPr="32F561F4">
        <w:rPr>
          <w:rFonts w:ascii="Arial" w:hAnsi="Arial"/>
        </w:rPr>
        <w:t>). When an individual receives the invitation to screen, they will either complete a screening questionnaire online (Attachment 1) or via the phone in a call with a panel provider staff member. Individuals must pass the screening questionnaire without being disqualified based on their answers or due to quotas reached on certain characteristics.</w:t>
      </w:r>
    </w:p>
    <w:p w:rsidR="00B46F2C" w:rsidRPr="00B372FB" w:rsidP="00A403BB" w14:paraId="6F1FE3B3" w14:textId="1B0DDC8C">
      <w:pPr>
        <w:rPr>
          <w:rFonts w:ascii="Arial" w:hAnsi="Arial"/>
          <w:b/>
        </w:rPr>
      </w:pPr>
      <w:r>
        <w:rPr>
          <w:rFonts w:ascii="Arial" w:hAnsi="Arial"/>
        </w:rPr>
        <w:t>E</w:t>
      </w:r>
      <w:r w:rsidRPr="00571D12" w:rsidR="00571D12">
        <w:rPr>
          <w:rFonts w:ascii="Arial" w:hAnsi="Arial"/>
        </w:rPr>
        <w:t>ight participants will be purposively selected from this pool of eligible participants for each of three focus groups, for a total of 24 participants. Within the parameters of physician and pharmacist audience, participants will be selected to maximize variability across practice settings, geographic region, age, sex, and race and ethnicity.</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41707174" w14:textId="430AD846">
      <w:pPr>
        <w:ind w:left="720"/>
        <w:rPr>
          <w:rFonts w:ascii="Arial" w:hAnsi="Arial"/>
        </w:rPr>
      </w:pPr>
      <w:r w:rsidRPr="00B372FB">
        <w:rPr>
          <w:rFonts w:ascii="Arial" w:hAnsi="Arial"/>
        </w:rPr>
        <w:t>[</w:t>
      </w:r>
      <w:r w:rsidR="004372BC">
        <w:rPr>
          <w:rFonts w:ascii="Arial" w:hAnsi="Arial"/>
        </w:rPr>
        <w:t xml:space="preserve">  </w:t>
      </w:r>
      <w:r w:rsidRPr="00B372FB">
        <w:rPr>
          <w:rFonts w:ascii="Arial" w:hAnsi="Arial"/>
        </w:rPr>
        <w:t>]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xml:space="preserve">[  ] Mail </w:t>
      </w:r>
    </w:p>
    <w:p w:rsidR="00B46F2C" w:rsidRPr="00B372FB" w:rsidP="001B0AAA" w14:paraId="19617B89" w14:textId="77777777">
      <w:pPr>
        <w:ind w:left="720"/>
        <w:rPr>
          <w:rFonts w:ascii="Arial" w:hAnsi="Arial"/>
        </w:rPr>
      </w:pPr>
      <w:r w:rsidRPr="00B372FB">
        <w:rPr>
          <w:rFonts w:ascii="Arial" w:hAnsi="Arial"/>
        </w:rPr>
        <w:t>[  ]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Yes [  ]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1"/>
  </w:num>
  <w:num w:numId="2" w16cid:durableId="782192017">
    <w:abstractNumId w:val="17"/>
  </w:num>
  <w:num w:numId="3" w16cid:durableId="1230575320">
    <w:abstractNumId w:val="16"/>
  </w:num>
  <w:num w:numId="4" w16cid:durableId="422532433">
    <w:abstractNumId w:val="18"/>
  </w:num>
  <w:num w:numId="5" w16cid:durableId="597061613">
    <w:abstractNumId w:val="3"/>
  </w:num>
  <w:num w:numId="6" w16cid:durableId="1510564662">
    <w:abstractNumId w:val="1"/>
  </w:num>
  <w:num w:numId="7" w16cid:durableId="393821088">
    <w:abstractNumId w:val="9"/>
  </w:num>
  <w:num w:numId="8" w16cid:durableId="1910457845">
    <w:abstractNumId w:val="14"/>
  </w:num>
  <w:num w:numId="9" w16cid:durableId="671376927">
    <w:abstractNumId w:val="10"/>
  </w:num>
  <w:num w:numId="10" w16cid:durableId="1949853155">
    <w:abstractNumId w:val="2"/>
  </w:num>
  <w:num w:numId="11" w16cid:durableId="1447312126">
    <w:abstractNumId w:val="6"/>
  </w:num>
  <w:num w:numId="12" w16cid:durableId="532571746">
    <w:abstractNumId w:val="7"/>
  </w:num>
  <w:num w:numId="13" w16cid:durableId="863246590">
    <w:abstractNumId w:val="0"/>
  </w:num>
  <w:num w:numId="14" w16cid:durableId="786045784">
    <w:abstractNumId w:val="15"/>
  </w:num>
  <w:num w:numId="15" w16cid:durableId="1762724449">
    <w:abstractNumId w:val="13"/>
  </w:num>
  <w:num w:numId="16" w16cid:durableId="1415544777">
    <w:abstractNumId w:val="12"/>
  </w:num>
  <w:num w:numId="17" w16cid:durableId="807406368">
    <w:abstractNumId w:val="4"/>
  </w:num>
  <w:num w:numId="18" w16cid:durableId="1958826791">
    <w:abstractNumId w:val="5"/>
  </w:num>
  <w:num w:numId="19" w16cid:durableId="60504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44D4A"/>
    <w:rsid w:val="0015167C"/>
    <w:rsid w:val="00165CBA"/>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78C"/>
    <w:rsid w:val="002B3C95"/>
    <w:rsid w:val="002D0B92"/>
    <w:rsid w:val="002F2EF9"/>
    <w:rsid w:val="002F5D2B"/>
    <w:rsid w:val="00303F23"/>
    <w:rsid w:val="003675DB"/>
    <w:rsid w:val="003C0B83"/>
    <w:rsid w:val="003D5BBE"/>
    <w:rsid w:val="003E3C61"/>
    <w:rsid w:val="003F1C5B"/>
    <w:rsid w:val="004028A0"/>
    <w:rsid w:val="0041337D"/>
    <w:rsid w:val="00434E33"/>
    <w:rsid w:val="004372BC"/>
    <w:rsid w:val="00441434"/>
    <w:rsid w:val="00445303"/>
    <w:rsid w:val="0045264C"/>
    <w:rsid w:val="004876EC"/>
    <w:rsid w:val="004D6E14"/>
    <w:rsid w:val="004E1C5C"/>
    <w:rsid w:val="005009B0"/>
    <w:rsid w:val="00512CA7"/>
    <w:rsid w:val="00571D12"/>
    <w:rsid w:val="005927D6"/>
    <w:rsid w:val="005A1006"/>
    <w:rsid w:val="005B0447"/>
    <w:rsid w:val="005D46C6"/>
    <w:rsid w:val="005E714A"/>
    <w:rsid w:val="006140A0"/>
    <w:rsid w:val="00630352"/>
    <w:rsid w:val="00636621"/>
    <w:rsid w:val="00642B49"/>
    <w:rsid w:val="00661673"/>
    <w:rsid w:val="006832D9"/>
    <w:rsid w:val="00684FAA"/>
    <w:rsid w:val="00687201"/>
    <w:rsid w:val="0069403B"/>
    <w:rsid w:val="006B4E7B"/>
    <w:rsid w:val="006E12B5"/>
    <w:rsid w:val="006F3DDE"/>
    <w:rsid w:val="00704678"/>
    <w:rsid w:val="007425E7"/>
    <w:rsid w:val="007C6A95"/>
    <w:rsid w:val="007D56BA"/>
    <w:rsid w:val="00802607"/>
    <w:rsid w:val="008101A5"/>
    <w:rsid w:val="00822664"/>
    <w:rsid w:val="00840FCA"/>
    <w:rsid w:val="00843796"/>
    <w:rsid w:val="00846B36"/>
    <w:rsid w:val="00864E3D"/>
    <w:rsid w:val="00895229"/>
    <w:rsid w:val="008D60EA"/>
    <w:rsid w:val="008F0203"/>
    <w:rsid w:val="008F27FD"/>
    <w:rsid w:val="008F50D4"/>
    <w:rsid w:val="009004CF"/>
    <w:rsid w:val="009239AA"/>
    <w:rsid w:val="00935ADA"/>
    <w:rsid w:val="00946B6C"/>
    <w:rsid w:val="00955A71"/>
    <w:rsid w:val="0096108F"/>
    <w:rsid w:val="009C13B9"/>
    <w:rsid w:val="009D01A2"/>
    <w:rsid w:val="009E3F9C"/>
    <w:rsid w:val="009F5923"/>
    <w:rsid w:val="00A07294"/>
    <w:rsid w:val="00A13253"/>
    <w:rsid w:val="00A403BB"/>
    <w:rsid w:val="00A674DF"/>
    <w:rsid w:val="00A73DA9"/>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90B89"/>
    <w:rsid w:val="00CA05DF"/>
    <w:rsid w:val="00CA2650"/>
    <w:rsid w:val="00CB1078"/>
    <w:rsid w:val="00CC6FAF"/>
    <w:rsid w:val="00D24698"/>
    <w:rsid w:val="00D52B98"/>
    <w:rsid w:val="00D53192"/>
    <w:rsid w:val="00D6383F"/>
    <w:rsid w:val="00D71221"/>
    <w:rsid w:val="00D97DB9"/>
    <w:rsid w:val="00DB344C"/>
    <w:rsid w:val="00DB59D0"/>
    <w:rsid w:val="00DC33D3"/>
    <w:rsid w:val="00DF1B47"/>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C5860"/>
    <w:rsid w:val="00FE2FA6"/>
    <w:rsid w:val="00FE3DF2"/>
    <w:rsid w:val="125E769D"/>
    <w:rsid w:val="2835C985"/>
    <w:rsid w:val="32F561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5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80CB5-FCE8-4CD9-8508-0D57A4EDDF7B}">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1C149589-DD93-4649-9CD2-7DE87B6FD865}">
  <ds:schemaRefs>
    <ds:schemaRef ds:uri="http://schemas.microsoft.com/sharepoint/v3/contenttype/forms"/>
  </ds:schemaRefs>
</ds:datastoreItem>
</file>

<file path=customXml/itemProps3.xml><?xml version="1.0" encoding="utf-8"?>
<ds:datastoreItem xmlns:ds="http://schemas.openxmlformats.org/officeDocument/2006/customXml" ds:itemID="{3EB38537-C42A-4DE7-82A0-1C2B2EFEF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6034</Characters>
  <Application>Microsoft Office Word</Application>
  <DocSecurity>0</DocSecurity>
  <Lines>50</Lines>
  <Paragraphs>14</Paragraphs>
  <ScaleCrop>false</ScaleCrop>
  <Company>ssa</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16</cp:revision>
  <cp:lastPrinted>2012-08-06T16:52:00Z</cp:lastPrinted>
  <dcterms:created xsi:type="dcterms:W3CDTF">2023-11-28T16:16:00Z</dcterms:created>
  <dcterms:modified xsi:type="dcterms:W3CDTF">2024-01-19T14:25:00Z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14918057-0051-4ab3-ab1f-4a494396330f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2023-11-28T16:16:16Z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