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73E3C" w14:paraId="00000001" w14:textId="77777777">
      <w:pPr>
        <w:spacing w:line="276" w:lineRule="auto"/>
        <w:jc w:val="center"/>
        <w:rPr>
          <w:b/>
          <w:sz w:val="32"/>
          <w:szCs w:val="32"/>
        </w:rPr>
      </w:pPr>
      <w:r>
        <w:rPr>
          <w:b/>
          <w:sz w:val="32"/>
          <w:szCs w:val="32"/>
        </w:rPr>
        <w:t>GenIC</w:t>
      </w:r>
      <w:r>
        <w:rPr>
          <w:b/>
          <w:sz w:val="32"/>
          <w:szCs w:val="32"/>
        </w:rPr>
        <w:t xml:space="preserve"> Clearance for CDC/ATSDR</w:t>
      </w:r>
    </w:p>
    <w:p w:rsidR="00573E3C" w:rsidP="0602CB0B" w14:paraId="00000002" w14:textId="77777777">
      <w:pPr>
        <w:spacing w:after="200" w:line="276" w:lineRule="auto"/>
        <w:jc w:val="center"/>
        <w:rPr>
          <w:b/>
          <w:bCs/>
          <w:sz w:val="32"/>
          <w:szCs w:val="32"/>
        </w:rPr>
      </w:pPr>
      <w:r w:rsidRPr="57FD9B48">
        <w:rPr>
          <w:b/>
          <w:bCs/>
          <w:sz w:val="32"/>
          <w:szCs w:val="32"/>
        </w:rPr>
        <w:t>Formative Research and Tool Development</w:t>
      </w:r>
    </w:p>
    <w:p w:rsidR="00573E3C" w14:paraId="00000003" w14:textId="77777777">
      <w:pPr>
        <w:spacing w:after="200" w:line="276" w:lineRule="auto"/>
        <w:rPr>
          <w:sz w:val="24"/>
          <w:szCs w:val="24"/>
        </w:rPr>
      </w:pPr>
    </w:p>
    <w:p w:rsidR="00573E3C" w14:paraId="00000004" w14:textId="77777777">
      <w:pPr>
        <w:jc w:val="center"/>
        <w:rPr>
          <w:b/>
          <w:sz w:val="48"/>
          <w:szCs w:val="48"/>
        </w:rPr>
      </w:pPr>
      <w:r>
        <w:rPr>
          <w:b/>
          <w:sz w:val="48"/>
          <w:szCs w:val="48"/>
        </w:rPr>
        <w:t xml:space="preserve">Communication Evaluation: </w:t>
      </w:r>
      <w:r>
        <w:rPr>
          <w:b/>
          <w:sz w:val="48"/>
          <w:szCs w:val="48"/>
        </w:rPr>
        <w:br/>
        <w:t xml:space="preserve">Assessing Foodborne, Waterborne and Mycotic Disease Prevention Messages </w:t>
      </w:r>
    </w:p>
    <w:p w:rsidR="00573E3C" w14:paraId="00000005" w14:textId="77777777">
      <w:pPr>
        <w:jc w:val="center"/>
        <w:rPr>
          <w:b/>
          <w:sz w:val="24"/>
          <w:szCs w:val="24"/>
        </w:rPr>
      </w:pPr>
    </w:p>
    <w:p w:rsidR="00573E3C" w14:paraId="00000006" w14:textId="77777777">
      <w:pPr>
        <w:jc w:val="center"/>
        <w:rPr>
          <w:b/>
          <w:sz w:val="24"/>
          <w:szCs w:val="24"/>
        </w:rPr>
      </w:pPr>
    </w:p>
    <w:p w:rsidR="00573E3C" w14:paraId="00000007" w14:textId="77777777">
      <w:pPr>
        <w:spacing w:after="200" w:line="276" w:lineRule="auto"/>
        <w:rPr>
          <w:sz w:val="24"/>
          <w:szCs w:val="24"/>
        </w:rPr>
      </w:pPr>
    </w:p>
    <w:p w:rsidR="00573E3C" w14:paraId="00000008" w14:textId="77777777">
      <w:pPr>
        <w:spacing w:after="200" w:line="276" w:lineRule="auto"/>
        <w:rPr>
          <w:sz w:val="24"/>
          <w:szCs w:val="24"/>
        </w:rPr>
      </w:pPr>
    </w:p>
    <w:p w:rsidR="00573E3C" w14:paraId="00000009" w14:textId="77777777">
      <w:pPr>
        <w:spacing w:after="200" w:line="276" w:lineRule="auto"/>
        <w:rPr>
          <w:sz w:val="24"/>
          <w:szCs w:val="24"/>
        </w:rPr>
      </w:pPr>
    </w:p>
    <w:p w:rsidR="00573E3C" w14:paraId="0000000A" w14:textId="77777777">
      <w:pPr>
        <w:jc w:val="center"/>
        <w:rPr>
          <w:b/>
          <w:sz w:val="24"/>
          <w:szCs w:val="24"/>
        </w:rPr>
      </w:pPr>
    </w:p>
    <w:p w:rsidR="00573E3C" w14:paraId="0000000B" w14:textId="77777777">
      <w:pPr>
        <w:pStyle w:val="Heading4"/>
        <w:keepNext w:val="0"/>
        <w:spacing w:before="0" w:after="0"/>
        <w:ind w:left="0" w:firstLine="0"/>
        <w:jc w:val="center"/>
        <w:rPr>
          <w:b/>
          <w:i w:val="0"/>
          <w:sz w:val="24"/>
          <w:szCs w:val="24"/>
        </w:rPr>
      </w:pPr>
      <w:bookmarkStart w:id="0" w:name="_heading=h.l14owpsge8bf" w:colFirst="0" w:colLast="0"/>
      <w:bookmarkEnd w:id="0"/>
      <w:r>
        <w:rPr>
          <w:b/>
          <w:i w:val="0"/>
          <w:sz w:val="24"/>
          <w:szCs w:val="24"/>
        </w:rPr>
        <w:t>Supporting Statement A</w:t>
      </w:r>
    </w:p>
    <w:p w:rsidR="00573E3C" w14:paraId="0000000C" w14:textId="77777777">
      <w:pPr>
        <w:rPr>
          <w:b/>
          <w:sz w:val="24"/>
          <w:szCs w:val="24"/>
        </w:rPr>
      </w:pPr>
    </w:p>
    <w:p w:rsidR="00573E3C" w14:paraId="0000000D" w14:textId="77777777">
      <w:pPr>
        <w:rPr>
          <w:b/>
          <w:sz w:val="24"/>
          <w:szCs w:val="24"/>
        </w:rPr>
      </w:pPr>
    </w:p>
    <w:p w:rsidR="00573E3C" w14:paraId="0000000E" w14:textId="77777777">
      <w:pPr>
        <w:rPr>
          <w:b/>
          <w:sz w:val="24"/>
          <w:szCs w:val="24"/>
        </w:rPr>
      </w:pPr>
    </w:p>
    <w:p w:rsidR="00573E3C" w14:paraId="0000000F" w14:textId="77777777">
      <w:pPr>
        <w:rPr>
          <w:b/>
          <w:sz w:val="24"/>
          <w:szCs w:val="24"/>
        </w:rPr>
      </w:pPr>
    </w:p>
    <w:p w:rsidR="00573E3C" w14:paraId="00000010" w14:textId="77777777">
      <w:pPr>
        <w:rPr>
          <w:b/>
          <w:sz w:val="24"/>
          <w:szCs w:val="24"/>
        </w:rPr>
      </w:pPr>
    </w:p>
    <w:p w:rsidR="00573E3C" w14:paraId="00000011" w14:textId="77777777">
      <w:pPr>
        <w:rPr>
          <w:b/>
          <w:sz w:val="24"/>
          <w:szCs w:val="24"/>
        </w:rPr>
      </w:pPr>
    </w:p>
    <w:p w:rsidR="00573E3C" w14:paraId="00000012" w14:textId="77777777">
      <w:pPr>
        <w:rPr>
          <w:b/>
          <w:sz w:val="24"/>
          <w:szCs w:val="24"/>
        </w:rPr>
      </w:pPr>
    </w:p>
    <w:p w:rsidR="00573E3C" w14:paraId="00000013" w14:textId="77777777">
      <w:pPr>
        <w:rPr>
          <w:b/>
          <w:sz w:val="24"/>
          <w:szCs w:val="24"/>
        </w:rPr>
      </w:pPr>
    </w:p>
    <w:p w:rsidR="00573E3C" w14:paraId="00000014" w14:textId="77777777">
      <w:pPr>
        <w:rPr>
          <w:b/>
          <w:sz w:val="24"/>
          <w:szCs w:val="24"/>
        </w:rPr>
      </w:pPr>
    </w:p>
    <w:p w:rsidR="00573E3C" w14:paraId="00000015" w14:textId="77777777">
      <w:pPr>
        <w:rPr>
          <w:b/>
          <w:sz w:val="24"/>
          <w:szCs w:val="24"/>
        </w:rPr>
      </w:pPr>
    </w:p>
    <w:p w:rsidR="00573E3C" w14:paraId="00000016" w14:textId="77777777">
      <w:pPr>
        <w:rPr>
          <w:b/>
          <w:sz w:val="24"/>
          <w:szCs w:val="24"/>
        </w:rPr>
      </w:pPr>
    </w:p>
    <w:p w:rsidR="00573E3C" w14:paraId="00000017" w14:textId="77777777">
      <w:pPr>
        <w:rPr>
          <w:b/>
          <w:sz w:val="24"/>
          <w:szCs w:val="24"/>
        </w:rPr>
      </w:pPr>
    </w:p>
    <w:p w:rsidR="00573E3C" w14:paraId="00000018" w14:textId="77777777">
      <w:pPr>
        <w:rPr>
          <w:b/>
          <w:sz w:val="24"/>
          <w:szCs w:val="24"/>
        </w:rPr>
      </w:pPr>
    </w:p>
    <w:p w:rsidR="00573E3C" w14:paraId="00000019" w14:textId="77777777">
      <w:pPr>
        <w:rPr>
          <w:b/>
          <w:sz w:val="24"/>
          <w:szCs w:val="24"/>
        </w:rPr>
      </w:pPr>
    </w:p>
    <w:p w:rsidR="00573E3C" w14:paraId="0000001A" w14:textId="77777777">
      <w:pPr>
        <w:rPr>
          <w:b/>
          <w:sz w:val="24"/>
          <w:szCs w:val="24"/>
        </w:rPr>
      </w:pPr>
    </w:p>
    <w:p w:rsidR="00573E3C" w14:paraId="0000001B" w14:textId="77777777">
      <w:pPr>
        <w:rPr>
          <w:b/>
          <w:sz w:val="24"/>
          <w:szCs w:val="24"/>
        </w:rPr>
      </w:pPr>
    </w:p>
    <w:p w:rsidR="00573E3C" w14:paraId="0000001C" w14:textId="77777777">
      <w:pPr>
        <w:rPr>
          <w:b/>
          <w:sz w:val="24"/>
          <w:szCs w:val="24"/>
        </w:rPr>
      </w:pPr>
    </w:p>
    <w:p w:rsidR="00573E3C" w14:paraId="0000001D" w14:textId="77777777">
      <w:pPr>
        <w:rPr>
          <w:b/>
          <w:sz w:val="24"/>
          <w:szCs w:val="24"/>
        </w:rPr>
      </w:pPr>
    </w:p>
    <w:p w:rsidR="00573E3C" w14:paraId="0000001E" w14:textId="77777777">
      <w:pPr>
        <w:rPr>
          <w:sz w:val="24"/>
          <w:szCs w:val="24"/>
        </w:rPr>
      </w:pPr>
      <w:r>
        <w:rPr>
          <w:b/>
          <w:sz w:val="24"/>
          <w:szCs w:val="24"/>
        </w:rPr>
        <w:t xml:space="preserve">Contact: </w:t>
      </w:r>
      <w:r>
        <w:rPr>
          <w:sz w:val="24"/>
          <w:szCs w:val="24"/>
        </w:rPr>
        <w:t>Sara Bresee, MPH</w:t>
      </w:r>
    </w:p>
    <w:p w:rsidR="00573E3C" w14:paraId="0000001F" w14:textId="77777777">
      <w:pPr>
        <w:rPr>
          <w:sz w:val="24"/>
          <w:szCs w:val="24"/>
        </w:rPr>
      </w:pPr>
      <w:r>
        <w:rPr>
          <w:sz w:val="24"/>
          <w:szCs w:val="24"/>
        </w:rPr>
        <w:t>Office of the Director</w:t>
      </w:r>
    </w:p>
    <w:p w:rsidR="00573E3C" w14:paraId="00000020" w14:textId="77777777">
      <w:pPr>
        <w:rPr>
          <w:sz w:val="24"/>
          <w:szCs w:val="24"/>
        </w:rPr>
      </w:pPr>
      <w:r>
        <w:rPr>
          <w:sz w:val="24"/>
          <w:szCs w:val="24"/>
        </w:rPr>
        <w:t>Division of Foodborne, Waterborne, and Environmental Diseases</w:t>
      </w:r>
    </w:p>
    <w:p w:rsidR="00573E3C" w14:paraId="00000021" w14:textId="77777777">
      <w:pPr>
        <w:rPr>
          <w:sz w:val="24"/>
          <w:szCs w:val="24"/>
        </w:rPr>
      </w:pPr>
      <w:r>
        <w:rPr>
          <w:sz w:val="24"/>
          <w:szCs w:val="24"/>
        </w:rPr>
        <w:t xml:space="preserve">Centers for Disease Control and Prevention </w:t>
      </w:r>
    </w:p>
    <w:p w:rsidR="00573E3C" w14:paraId="00000022" w14:textId="77777777">
      <w:pPr>
        <w:rPr>
          <w:sz w:val="24"/>
          <w:szCs w:val="24"/>
        </w:rPr>
      </w:pPr>
      <w:r>
        <w:rPr>
          <w:sz w:val="24"/>
          <w:szCs w:val="24"/>
        </w:rPr>
        <w:t xml:space="preserve">1600 Clifton Road, NE </w:t>
      </w:r>
    </w:p>
    <w:p w:rsidR="00573E3C" w14:paraId="00000023" w14:textId="77777777">
      <w:pPr>
        <w:rPr>
          <w:sz w:val="24"/>
          <w:szCs w:val="24"/>
        </w:rPr>
      </w:pPr>
      <w:r>
        <w:rPr>
          <w:sz w:val="24"/>
          <w:szCs w:val="24"/>
        </w:rPr>
        <w:t xml:space="preserve">Atlanta, Georgia 30333 </w:t>
      </w:r>
    </w:p>
    <w:p w:rsidR="00573E3C" w14:paraId="00000024" w14:textId="77777777">
      <w:pPr>
        <w:rPr>
          <w:sz w:val="24"/>
          <w:szCs w:val="24"/>
        </w:rPr>
      </w:pPr>
      <w:r>
        <w:rPr>
          <w:sz w:val="24"/>
          <w:szCs w:val="24"/>
        </w:rPr>
        <w:t>Phone: (404) 639.3371</w:t>
      </w:r>
    </w:p>
    <w:p w:rsidR="00573E3C" w14:paraId="00000025" w14:textId="77777777">
      <w:pPr>
        <w:rPr>
          <w:b/>
          <w:smallCaps/>
        </w:rPr>
        <w:sectPr>
          <w:headerReference w:type="even" r:id="rId9"/>
          <w:headerReference w:type="default" r:id="rId10"/>
          <w:footerReference w:type="even" r:id="rId11"/>
          <w:footerReference w:type="default" r:id="rId12"/>
          <w:headerReference w:type="first" r:id="rId13"/>
          <w:footerReference w:type="first" r:id="rId14"/>
          <w:pgSz w:w="12240" w:h="15840"/>
          <w:pgMar w:top="1008" w:right="1440" w:bottom="1008" w:left="1440" w:header="720" w:footer="720" w:gutter="0"/>
          <w:pgNumType w:start="1"/>
          <w:cols w:space="720"/>
          <w:titlePg/>
        </w:sectPr>
      </w:pPr>
      <w:r>
        <w:rPr>
          <w:sz w:val="24"/>
          <w:szCs w:val="24"/>
        </w:rPr>
        <w:t>Email: yla4@cdc.gov</w:t>
      </w:r>
    </w:p>
    <w:p w:rsidR="00573E3C" w14:paraId="00000026" w14:textId="77777777">
      <w:pPr>
        <w:spacing w:line="276" w:lineRule="auto"/>
        <w:jc w:val="center"/>
        <w:rPr>
          <w:b/>
          <w:smallCaps/>
        </w:rPr>
      </w:pPr>
      <w:r>
        <w:rPr>
          <w:b/>
          <w:smallCaps/>
        </w:rPr>
        <w:t>TABLE OF CONTENTS</w:t>
      </w:r>
    </w:p>
    <w:sdt>
      <w:sdtPr>
        <w:id w:val="-1827359840"/>
        <w:docPartObj>
          <w:docPartGallery w:val="Table of Contents"/>
          <w:docPartUnique/>
        </w:docPartObj>
      </w:sdtPr>
      <w:sdtContent>
        <w:p w:rsidR="00573E3C" w14:paraId="00000027" w14:textId="77777777">
          <w:pPr>
            <w:widowControl w:val="0"/>
            <w:tabs>
              <w:tab w:val="right" w:pos="12000"/>
            </w:tabs>
            <w:spacing w:before="60"/>
            <w:ind w:left="1080"/>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heading=h.l14owpsge8bf">
            <w:r>
              <w:rPr>
                <w:rFonts w:ascii="Calibri" w:eastAsia="Calibri" w:hAnsi="Calibri" w:cs="Calibri"/>
                <w:color w:val="000000"/>
                <w:sz w:val="18"/>
                <w:szCs w:val="18"/>
              </w:rPr>
              <w:t>Supporting Statement A</w:t>
            </w:r>
            <w:r>
              <w:rPr>
                <w:rFonts w:ascii="Calibri" w:eastAsia="Calibri" w:hAnsi="Calibri" w:cs="Calibri"/>
                <w:color w:val="000000"/>
                <w:sz w:val="18"/>
                <w:szCs w:val="18"/>
              </w:rPr>
              <w:tab/>
              <w:t>1</w:t>
            </w:r>
          </w:hyperlink>
        </w:p>
        <w:p w:rsidR="00573E3C" w14:paraId="00000028" w14:textId="77777777">
          <w:pPr>
            <w:widowControl w:val="0"/>
            <w:tabs>
              <w:tab w:val="right" w:pos="12000"/>
            </w:tabs>
            <w:spacing w:before="60"/>
            <w:rPr>
              <w:rFonts w:ascii="Arial" w:eastAsia="Arial" w:hAnsi="Arial" w:cs="Arial"/>
              <w:b/>
              <w:color w:val="000000"/>
            </w:rPr>
          </w:pPr>
          <w:hyperlink w:anchor="_heading=h.gjdgxs">
            <w:r>
              <w:rPr>
                <w:rFonts w:ascii="Calibri" w:eastAsia="Calibri" w:hAnsi="Calibri" w:cs="Calibri"/>
                <w:b/>
                <w:smallCaps/>
                <w:color w:val="000000"/>
                <w:sz w:val="20"/>
                <w:szCs w:val="20"/>
              </w:rPr>
              <w:t>A . Justification</w:t>
            </w:r>
            <w:r>
              <w:rPr>
                <w:rFonts w:ascii="Calibri" w:eastAsia="Calibri" w:hAnsi="Calibri" w:cs="Calibri"/>
                <w:b/>
                <w:smallCaps/>
                <w:color w:val="000000"/>
                <w:sz w:val="20"/>
                <w:szCs w:val="20"/>
              </w:rPr>
              <w:tab/>
              <w:t>3</w:t>
            </w:r>
          </w:hyperlink>
        </w:p>
        <w:p w:rsidR="00573E3C" w14:paraId="00000029" w14:textId="77777777">
          <w:pPr>
            <w:widowControl w:val="0"/>
            <w:tabs>
              <w:tab w:val="right" w:pos="12000"/>
            </w:tabs>
            <w:spacing w:before="60"/>
            <w:ind w:left="360"/>
            <w:rPr>
              <w:rFonts w:ascii="Arial" w:eastAsia="Arial" w:hAnsi="Arial" w:cs="Arial"/>
              <w:color w:val="000000"/>
            </w:rPr>
          </w:pPr>
          <w:hyperlink w:anchor="_heading=h.1mrcu09">
            <w:r>
              <w:rPr>
                <w:rFonts w:ascii="Calibri" w:eastAsia="Calibri" w:hAnsi="Calibri" w:cs="Calibri"/>
                <w:smallCaps/>
                <w:color w:val="000000"/>
                <w:sz w:val="20"/>
                <w:szCs w:val="20"/>
              </w:rPr>
              <w:t>1 Circumstances Making the Collection of Information Necessary</w:t>
            </w:r>
            <w:r>
              <w:rPr>
                <w:rFonts w:ascii="Calibri" w:eastAsia="Calibri" w:hAnsi="Calibri" w:cs="Calibri"/>
                <w:smallCaps/>
                <w:color w:val="000000"/>
                <w:sz w:val="20"/>
                <w:szCs w:val="20"/>
              </w:rPr>
              <w:tab/>
              <w:t>3</w:t>
            </w:r>
          </w:hyperlink>
        </w:p>
        <w:p w:rsidR="00573E3C" w14:paraId="0000002A" w14:textId="77777777">
          <w:pPr>
            <w:widowControl w:val="0"/>
            <w:tabs>
              <w:tab w:val="right" w:pos="12000"/>
            </w:tabs>
            <w:spacing w:before="60"/>
            <w:ind w:left="360"/>
            <w:rPr>
              <w:rFonts w:ascii="Arial" w:eastAsia="Arial" w:hAnsi="Arial" w:cs="Arial"/>
              <w:color w:val="000000"/>
            </w:rPr>
          </w:pPr>
          <w:hyperlink w:anchor="_heading=h.46r0co2">
            <w:r>
              <w:rPr>
                <w:rFonts w:ascii="Calibri" w:eastAsia="Calibri" w:hAnsi="Calibri" w:cs="Calibri"/>
                <w:smallCaps/>
                <w:color w:val="000000"/>
                <w:sz w:val="20"/>
                <w:szCs w:val="20"/>
              </w:rPr>
              <w:t>2 Purpose and Use of the Information Collection</w:t>
            </w:r>
            <w:r>
              <w:rPr>
                <w:rFonts w:ascii="Calibri" w:eastAsia="Calibri" w:hAnsi="Calibri" w:cs="Calibri"/>
                <w:smallCaps/>
                <w:color w:val="000000"/>
                <w:sz w:val="20"/>
                <w:szCs w:val="20"/>
              </w:rPr>
              <w:tab/>
              <w:t>4</w:t>
            </w:r>
          </w:hyperlink>
        </w:p>
        <w:p w:rsidR="00573E3C" w14:paraId="0000002B" w14:textId="77777777">
          <w:pPr>
            <w:widowControl w:val="0"/>
            <w:tabs>
              <w:tab w:val="right" w:pos="12000"/>
            </w:tabs>
            <w:spacing w:before="60"/>
            <w:ind w:left="360"/>
            <w:rPr>
              <w:rFonts w:ascii="Arial" w:eastAsia="Arial" w:hAnsi="Arial" w:cs="Arial"/>
              <w:color w:val="000000"/>
            </w:rPr>
          </w:pPr>
          <w:hyperlink w:anchor="_heading=h.2lwamvv">
            <w:r>
              <w:rPr>
                <w:rFonts w:ascii="Calibri" w:eastAsia="Calibri" w:hAnsi="Calibri" w:cs="Calibri"/>
                <w:smallCaps/>
                <w:color w:val="000000"/>
                <w:sz w:val="20"/>
                <w:szCs w:val="20"/>
              </w:rPr>
              <w:t>4 Efforts to Identify Duplication and Use of Similar Information</w:t>
            </w:r>
            <w:r>
              <w:rPr>
                <w:rFonts w:ascii="Calibri" w:eastAsia="Calibri" w:hAnsi="Calibri" w:cs="Calibri"/>
                <w:smallCaps/>
                <w:color w:val="000000"/>
                <w:sz w:val="20"/>
                <w:szCs w:val="20"/>
              </w:rPr>
              <w:tab/>
              <w:t>5</w:t>
            </w:r>
          </w:hyperlink>
        </w:p>
        <w:p w:rsidR="00573E3C" w14:paraId="0000002C" w14:textId="77777777">
          <w:pPr>
            <w:widowControl w:val="0"/>
            <w:tabs>
              <w:tab w:val="right" w:pos="12000"/>
            </w:tabs>
            <w:spacing w:before="60"/>
            <w:ind w:left="360"/>
            <w:rPr>
              <w:rFonts w:ascii="Arial" w:eastAsia="Arial" w:hAnsi="Arial" w:cs="Arial"/>
              <w:color w:val="000000"/>
            </w:rPr>
          </w:pPr>
          <w:hyperlink w:anchor="_heading=h.111kx3o">
            <w:r>
              <w:rPr>
                <w:rFonts w:ascii="Calibri" w:eastAsia="Calibri" w:hAnsi="Calibri" w:cs="Calibri"/>
                <w:smallCaps/>
                <w:color w:val="000000"/>
                <w:sz w:val="20"/>
                <w:szCs w:val="20"/>
              </w:rPr>
              <w:t>5 Impact on Small Businesses or Other Small Entities</w:t>
            </w:r>
            <w:r>
              <w:rPr>
                <w:rFonts w:ascii="Calibri" w:eastAsia="Calibri" w:hAnsi="Calibri" w:cs="Calibri"/>
                <w:smallCaps/>
                <w:color w:val="000000"/>
                <w:sz w:val="20"/>
                <w:szCs w:val="20"/>
              </w:rPr>
              <w:tab/>
              <w:t>5</w:t>
            </w:r>
          </w:hyperlink>
        </w:p>
        <w:p w:rsidR="00573E3C" w14:paraId="0000002D" w14:textId="77777777">
          <w:pPr>
            <w:widowControl w:val="0"/>
            <w:tabs>
              <w:tab w:val="right" w:pos="12000"/>
            </w:tabs>
            <w:spacing w:before="60"/>
            <w:ind w:left="360"/>
            <w:rPr>
              <w:rFonts w:ascii="Arial" w:eastAsia="Arial" w:hAnsi="Arial" w:cs="Arial"/>
              <w:color w:val="000000"/>
            </w:rPr>
          </w:pPr>
          <w:hyperlink w:anchor="_heading=h.3l18frh">
            <w:r>
              <w:rPr>
                <w:rFonts w:ascii="Calibri" w:eastAsia="Calibri" w:hAnsi="Calibri" w:cs="Calibri"/>
                <w:smallCaps/>
                <w:color w:val="000000"/>
                <w:sz w:val="20"/>
                <w:szCs w:val="20"/>
              </w:rPr>
              <w:t>6 Consequences of Collecting the Information Less Frequently</w:t>
            </w:r>
            <w:r>
              <w:rPr>
                <w:rFonts w:ascii="Calibri" w:eastAsia="Calibri" w:hAnsi="Calibri" w:cs="Calibri"/>
                <w:smallCaps/>
                <w:color w:val="000000"/>
                <w:sz w:val="20"/>
                <w:szCs w:val="20"/>
              </w:rPr>
              <w:tab/>
              <w:t>5</w:t>
            </w:r>
          </w:hyperlink>
        </w:p>
        <w:p w:rsidR="00573E3C" w14:paraId="0000002E" w14:textId="77777777">
          <w:pPr>
            <w:widowControl w:val="0"/>
            <w:tabs>
              <w:tab w:val="right" w:pos="12000"/>
            </w:tabs>
            <w:spacing w:before="60"/>
            <w:ind w:left="360"/>
            <w:rPr>
              <w:rFonts w:ascii="Arial" w:eastAsia="Arial" w:hAnsi="Arial" w:cs="Arial"/>
              <w:color w:val="000000"/>
            </w:rPr>
          </w:pPr>
          <w:hyperlink w:anchor="_heading=h.206ipza">
            <w:r>
              <w:rPr>
                <w:rFonts w:ascii="Calibri" w:eastAsia="Calibri" w:hAnsi="Calibri" w:cs="Calibri"/>
                <w:smallCaps/>
                <w:color w:val="000000"/>
                <w:sz w:val="20"/>
                <w:szCs w:val="20"/>
              </w:rPr>
              <w:t>7 Special Circumstances Relating to the Guidelines of 5 CFR 1320.5</w:t>
            </w:r>
            <w:r>
              <w:rPr>
                <w:rFonts w:ascii="Calibri" w:eastAsia="Calibri" w:hAnsi="Calibri" w:cs="Calibri"/>
                <w:smallCaps/>
                <w:color w:val="000000"/>
                <w:sz w:val="20"/>
                <w:szCs w:val="20"/>
              </w:rPr>
              <w:tab/>
              <w:t>5</w:t>
            </w:r>
          </w:hyperlink>
        </w:p>
        <w:p w:rsidR="00573E3C" w14:paraId="0000002F" w14:textId="77777777">
          <w:pPr>
            <w:widowControl w:val="0"/>
            <w:tabs>
              <w:tab w:val="right" w:pos="12000"/>
            </w:tabs>
            <w:spacing w:before="60"/>
            <w:ind w:left="360"/>
            <w:rPr>
              <w:rFonts w:ascii="Arial" w:eastAsia="Arial" w:hAnsi="Arial" w:cs="Arial"/>
              <w:color w:val="000000"/>
            </w:rPr>
          </w:pPr>
          <w:hyperlink w:anchor="_heading=h.4k668n3">
            <w:r>
              <w:rPr>
                <w:rFonts w:ascii="Calibri" w:eastAsia="Calibri" w:hAnsi="Calibri" w:cs="Calibri"/>
                <w:smallCaps/>
                <w:color w:val="000000"/>
                <w:sz w:val="20"/>
                <w:szCs w:val="20"/>
              </w:rPr>
              <w:t>8 Comments in Response to the Federal Register Notice and Efforts to Consult Outside the Agency</w:t>
            </w:r>
            <w:r>
              <w:rPr>
                <w:rFonts w:ascii="Calibri" w:eastAsia="Calibri" w:hAnsi="Calibri" w:cs="Calibri"/>
                <w:smallCaps/>
                <w:color w:val="000000"/>
                <w:sz w:val="20"/>
                <w:szCs w:val="20"/>
              </w:rPr>
              <w:tab/>
              <w:t>5</w:t>
            </w:r>
          </w:hyperlink>
        </w:p>
        <w:p w:rsidR="00573E3C" w14:paraId="00000030" w14:textId="77777777">
          <w:pPr>
            <w:widowControl w:val="0"/>
            <w:tabs>
              <w:tab w:val="right" w:pos="12000"/>
            </w:tabs>
            <w:spacing w:before="60"/>
            <w:ind w:left="360"/>
            <w:rPr>
              <w:rFonts w:ascii="Arial" w:eastAsia="Arial" w:hAnsi="Arial" w:cs="Arial"/>
              <w:color w:val="000000"/>
            </w:rPr>
          </w:pPr>
          <w:hyperlink w:anchor="_heading=h.2zbgiuw">
            <w:r>
              <w:rPr>
                <w:rFonts w:ascii="Calibri" w:eastAsia="Calibri" w:hAnsi="Calibri" w:cs="Calibri"/>
                <w:smallCaps/>
                <w:color w:val="000000"/>
                <w:sz w:val="20"/>
                <w:szCs w:val="20"/>
              </w:rPr>
              <w:t>9 Explanation of Any Payment or Gift to Respondents</w:t>
            </w:r>
            <w:r>
              <w:rPr>
                <w:rFonts w:ascii="Calibri" w:eastAsia="Calibri" w:hAnsi="Calibri" w:cs="Calibri"/>
                <w:smallCaps/>
                <w:color w:val="000000"/>
                <w:sz w:val="20"/>
                <w:szCs w:val="20"/>
              </w:rPr>
              <w:tab/>
              <w:t>6</w:t>
            </w:r>
          </w:hyperlink>
        </w:p>
        <w:p w:rsidR="00573E3C" w14:paraId="00000031" w14:textId="77777777">
          <w:pPr>
            <w:widowControl w:val="0"/>
            <w:tabs>
              <w:tab w:val="right" w:pos="12000"/>
            </w:tabs>
            <w:spacing w:before="60"/>
            <w:ind w:left="360"/>
            <w:rPr>
              <w:rFonts w:ascii="Arial" w:eastAsia="Arial" w:hAnsi="Arial" w:cs="Arial"/>
              <w:color w:val="000000"/>
            </w:rPr>
          </w:pPr>
          <w:hyperlink w:anchor="_heading=h.2dlolyb">
            <w:r>
              <w:rPr>
                <w:rFonts w:ascii="Calibri" w:eastAsia="Calibri" w:hAnsi="Calibri" w:cs="Calibri"/>
                <w:smallCaps/>
                <w:color w:val="000000"/>
                <w:sz w:val="20"/>
                <w:szCs w:val="20"/>
              </w:rPr>
              <w:t>10 Assurance of Privacy Provided to Respondents</w:t>
            </w:r>
            <w:r>
              <w:rPr>
                <w:rFonts w:ascii="Calibri" w:eastAsia="Calibri" w:hAnsi="Calibri" w:cs="Calibri"/>
                <w:smallCaps/>
                <w:color w:val="000000"/>
                <w:sz w:val="20"/>
                <w:szCs w:val="20"/>
              </w:rPr>
              <w:tab/>
              <w:t>7</w:t>
            </w:r>
          </w:hyperlink>
        </w:p>
        <w:p w:rsidR="00573E3C" w14:paraId="00000032" w14:textId="77777777">
          <w:pPr>
            <w:widowControl w:val="0"/>
            <w:tabs>
              <w:tab w:val="right" w:pos="12000"/>
            </w:tabs>
            <w:spacing w:before="60"/>
            <w:ind w:left="360"/>
            <w:rPr>
              <w:rFonts w:ascii="Arial" w:eastAsia="Arial" w:hAnsi="Arial" w:cs="Arial"/>
              <w:color w:val="000000"/>
            </w:rPr>
          </w:pPr>
          <w:hyperlink w:anchor="_heading=h.4i7ojhp">
            <w:r>
              <w:rPr>
                <w:rFonts w:ascii="Calibri" w:eastAsia="Calibri" w:hAnsi="Calibri" w:cs="Calibri"/>
                <w:smallCaps/>
                <w:color w:val="000000"/>
                <w:sz w:val="20"/>
                <w:szCs w:val="20"/>
              </w:rPr>
              <w:t>11 Justification for Sensitive Questions</w:t>
            </w:r>
            <w:r>
              <w:rPr>
                <w:rFonts w:ascii="Calibri" w:eastAsia="Calibri" w:hAnsi="Calibri" w:cs="Calibri"/>
                <w:smallCaps/>
                <w:color w:val="000000"/>
                <w:sz w:val="20"/>
                <w:szCs w:val="20"/>
              </w:rPr>
              <w:tab/>
              <w:t>8</w:t>
            </w:r>
          </w:hyperlink>
        </w:p>
        <w:p w:rsidR="00573E3C" w14:paraId="00000033" w14:textId="77777777">
          <w:pPr>
            <w:widowControl w:val="0"/>
            <w:tabs>
              <w:tab w:val="right" w:pos="12000"/>
            </w:tabs>
            <w:spacing w:before="60"/>
            <w:ind w:left="360"/>
            <w:rPr>
              <w:rFonts w:ascii="Arial" w:eastAsia="Arial" w:hAnsi="Arial" w:cs="Arial"/>
              <w:color w:val="000000"/>
            </w:rPr>
          </w:pPr>
          <w:hyperlink w:anchor="_heading=h.sqyw64">
            <w:r>
              <w:rPr>
                <w:rFonts w:ascii="Calibri" w:eastAsia="Calibri" w:hAnsi="Calibri" w:cs="Calibri"/>
                <w:smallCaps/>
                <w:color w:val="000000"/>
                <w:sz w:val="20"/>
                <w:szCs w:val="20"/>
              </w:rPr>
              <w:t>12 Estimates of Annualized Burden Hours and Costs</w:t>
            </w:r>
            <w:r>
              <w:rPr>
                <w:rFonts w:ascii="Calibri" w:eastAsia="Calibri" w:hAnsi="Calibri" w:cs="Calibri"/>
                <w:smallCaps/>
                <w:color w:val="000000"/>
                <w:sz w:val="20"/>
                <w:szCs w:val="20"/>
              </w:rPr>
              <w:tab/>
              <w:t>9</w:t>
            </w:r>
          </w:hyperlink>
        </w:p>
        <w:p w:rsidR="00573E3C" w14:paraId="00000034" w14:textId="77777777">
          <w:pPr>
            <w:widowControl w:val="0"/>
            <w:tabs>
              <w:tab w:val="right" w:pos="12000"/>
            </w:tabs>
            <w:spacing w:before="60"/>
            <w:ind w:left="360"/>
            <w:rPr>
              <w:rFonts w:ascii="Arial" w:eastAsia="Arial" w:hAnsi="Arial" w:cs="Arial"/>
              <w:color w:val="000000"/>
            </w:rPr>
          </w:pPr>
          <w:hyperlink w:anchor="_heading=h.3cqmetx">
            <w:r>
              <w:rPr>
                <w:rFonts w:ascii="Calibri" w:eastAsia="Calibri" w:hAnsi="Calibri" w:cs="Calibri"/>
                <w:smallCaps/>
                <w:color w:val="000000"/>
                <w:sz w:val="20"/>
                <w:szCs w:val="20"/>
              </w:rPr>
              <w:t>13 Estimates of Other Total Annual Cost Burden to Respondents and Record Keepers</w:t>
            </w:r>
            <w:r>
              <w:rPr>
                <w:rFonts w:ascii="Calibri" w:eastAsia="Calibri" w:hAnsi="Calibri" w:cs="Calibri"/>
                <w:smallCaps/>
                <w:color w:val="000000"/>
                <w:sz w:val="20"/>
                <w:szCs w:val="20"/>
              </w:rPr>
              <w:tab/>
              <w:t>10</w:t>
            </w:r>
          </w:hyperlink>
        </w:p>
        <w:p w:rsidR="00573E3C" w14:paraId="00000035" w14:textId="77777777">
          <w:pPr>
            <w:widowControl w:val="0"/>
            <w:tabs>
              <w:tab w:val="right" w:pos="12000"/>
            </w:tabs>
            <w:spacing w:before="60"/>
            <w:ind w:left="360"/>
            <w:rPr>
              <w:rFonts w:ascii="Arial" w:eastAsia="Arial" w:hAnsi="Arial" w:cs="Arial"/>
              <w:color w:val="000000"/>
            </w:rPr>
          </w:pPr>
          <w:hyperlink w:anchor="_heading=h.1rvwp1q">
            <w:r>
              <w:rPr>
                <w:rFonts w:ascii="Calibri" w:eastAsia="Calibri" w:hAnsi="Calibri" w:cs="Calibri"/>
                <w:smallCaps/>
                <w:color w:val="000000"/>
                <w:sz w:val="20"/>
                <w:szCs w:val="20"/>
              </w:rPr>
              <w:t>14 Annualized Cost to the Federal Government</w:t>
            </w:r>
            <w:r>
              <w:rPr>
                <w:rFonts w:ascii="Calibri" w:eastAsia="Calibri" w:hAnsi="Calibri" w:cs="Calibri"/>
                <w:smallCaps/>
                <w:color w:val="000000"/>
                <w:sz w:val="20"/>
                <w:szCs w:val="20"/>
              </w:rPr>
              <w:tab/>
              <w:t>10</w:t>
            </w:r>
          </w:hyperlink>
        </w:p>
        <w:p w:rsidR="00573E3C" w14:paraId="00000036" w14:textId="77777777">
          <w:pPr>
            <w:widowControl w:val="0"/>
            <w:tabs>
              <w:tab w:val="right" w:pos="12000"/>
            </w:tabs>
            <w:spacing w:before="60"/>
            <w:ind w:left="360"/>
            <w:rPr>
              <w:rFonts w:ascii="Arial" w:eastAsia="Arial" w:hAnsi="Arial" w:cs="Arial"/>
              <w:color w:val="000000"/>
            </w:rPr>
          </w:pPr>
          <w:hyperlink w:anchor="_heading=h.4bvk7pj">
            <w:r>
              <w:rPr>
                <w:rFonts w:ascii="Calibri" w:eastAsia="Calibri" w:hAnsi="Calibri" w:cs="Calibri"/>
                <w:smallCaps/>
                <w:color w:val="000000"/>
                <w:sz w:val="20"/>
                <w:szCs w:val="20"/>
              </w:rPr>
              <w:t>15 Explanation for Program Changes or Adjustments</w:t>
            </w:r>
            <w:r>
              <w:rPr>
                <w:rFonts w:ascii="Calibri" w:eastAsia="Calibri" w:hAnsi="Calibri" w:cs="Calibri"/>
                <w:smallCaps/>
                <w:color w:val="000000"/>
                <w:sz w:val="20"/>
                <w:szCs w:val="20"/>
              </w:rPr>
              <w:tab/>
              <w:t>11</w:t>
            </w:r>
          </w:hyperlink>
        </w:p>
        <w:p w:rsidR="00573E3C" w14:paraId="00000037" w14:textId="77777777">
          <w:pPr>
            <w:widowControl w:val="0"/>
            <w:tabs>
              <w:tab w:val="right" w:pos="12000"/>
            </w:tabs>
            <w:spacing w:before="60"/>
            <w:ind w:left="360"/>
            <w:rPr>
              <w:rFonts w:ascii="Arial" w:eastAsia="Arial" w:hAnsi="Arial" w:cs="Arial"/>
              <w:color w:val="000000"/>
            </w:rPr>
          </w:pPr>
          <w:hyperlink w:anchor="_heading=h.2r0uhxc">
            <w:r>
              <w:rPr>
                <w:rFonts w:ascii="Calibri" w:eastAsia="Calibri" w:hAnsi="Calibri" w:cs="Calibri"/>
                <w:smallCaps/>
                <w:color w:val="000000"/>
                <w:sz w:val="20"/>
                <w:szCs w:val="20"/>
              </w:rPr>
              <w:t>16 Plans for Tabulation and Publication and Project Time Schedule</w:t>
            </w:r>
            <w:r>
              <w:rPr>
                <w:rFonts w:ascii="Calibri" w:eastAsia="Calibri" w:hAnsi="Calibri" w:cs="Calibri"/>
                <w:smallCaps/>
                <w:color w:val="000000"/>
                <w:sz w:val="20"/>
                <w:szCs w:val="20"/>
              </w:rPr>
              <w:tab/>
              <w:t>11</w:t>
            </w:r>
          </w:hyperlink>
        </w:p>
        <w:p w:rsidR="00573E3C" w14:paraId="00000038" w14:textId="77777777">
          <w:pPr>
            <w:widowControl w:val="0"/>
            <w:tabs>
              <w:tab w:val="right" w:pos="12000"/>
            </w:tabs>
            <w:spacing w:before="60"/>
            <w:ind w:left="360"/>
            <w:rPr>
              <w:rFonts w:ascii="Arial" w:eastAsia="Arial" w:hAnsi="Arial" w:cs="Arial"/>
              <w:color w:val="000000"/>
            </w:rPr>
          </w:pPr>
          <w:hyperlink w:anchor="_heading=h.1664s55">
            <w:r>
              <w:rPr>
                <w:rFonts w:ascii="Calibri" w:eastAsia="Calibri" w:hAnsi="Calibri" w:cs="Calibri"/>
                <w:smallCaps/>
                <w:color w:val="000000"/>
                <w:sz w:val="20"/>
                <w:szCs w:val="20"/>
              </w:rPr>
              <w:t>17 Reason(s) Display of OMB Expiration Date Is Inappropriate</w:t>
            </w:r>
            <w:r>
              <w:rPr>
                <w:rFonts w:ascii="Calibri" w:eastAsia="Calibri" w:hAnsi="Calibri" w:cs="Calibri"/>
                <w:smallCaps/>
                <w:color w:val="000000"/>
                <w:sz w:val="20"/>
                <w:szCs w:val="20"/>
              </w:rPr>
              <w:tab/>
              <w:t>11</w:t>
            </w:r>
          </w:hyperlink>
        </w:p>
        <w:p w:rsidR="00573E3C" w14:paraId="00000039" w14:textId="77777777">
          <w:pPr>
            <w:widowControl w:val="0"/>
            <w:tabs>
              <w:tab w:val="right" w:pos="12000"/>
            </w:tabs>
            <w:spacing w:before="60"/>
            <w:ind w:left="360"/>
            <w:rPr>
              <w:rFonts w:ascii="Arial" w:eastAsia="Arial" w:hAnsi="Arial" w:cs="Arial"/>
              <w:color w:val="000000"/>
            </w:rPr>
          </w:pPr>
          <w:hyperlink w:anchor="_heading=h.3q5sasy">
            <w:r>
              <w:rPr>
                <w:rFonts w:ascii="Calibri" w:eastAsia="Calibri" w:hAnsi="Calibri" w:cs="Calibri"/>
                <w:smallCaps/>
                <w:color w:val="000000"/>
                <w:sz w:val="20"/>
                <w:szCs w:val="20"/>
              </w:rPr>
              <w:t>18 Exceptions to Certification for Paperwork Reduction Act Submissions</w:t>
            </w:r>
            <w:r>
              <w:rPr>
                <w:rFonts w:ascii="Calibri" w:eastAsia="Calibri" w:hAnsi="Calibri" w:cs="Calibri"/>
                <w:smallCaps/>
                <w:color w:val="000000"/>
                <w:sz w:val="20"/>
                <w:szCs w:val="20"/>
              </w:rPr>
              <w:tab/>
              <w:t>11</w:t>
            </w:r>
          </w:hyperlink>
        </w:p>
        <w:p w:rsidR="00573E3C" w14:paraId="0000003A" w14:textId="77777777">
          <w:pPr>
            <w:widowControl w:val="0"/>
            <w:tabs>
              <w:tab w:val="right" w:pos="12000"/>
            </w:tabs>
            <w:spacing w:before="60"/>
            <w:ind w:left="360"/>
            <w:rPr>
              <w:rFonts w:ascii="Arial" w:eastAsia="Arial" w:hAnsi="Arial" w:cs="Arial"/>
              <w:color w:val="000000"/>
            </w:rPr>
          </w:pPr>
          <w:hyperlink w:anchor="_heading=h.25b2l0r">
            <w:r>
              <w:rPr>
                <w:rFonts w:ascii="Calibri" w:eastAsia="Calibri" w:hAnsi="Calibri" w:cs="Calibri"/>
                <w:smallCaps/>
                <w:color w:val="000000"/>
                <w:sz w:val="20"/>
                <w:szCs w:val="20"/>
              </w:rPr>
              <w:t>References</w:t>
            </w:r>
            <w:r>
              <w:rPr>
                <w:rFonts w:ascii="Calibri" w:eastAsia="Calibri" w:hAnsi="Calibri" w:cs="Calibri"/>
                <w:smallCaps/>
                <w:color w:val="000000"/>
                <w:sz w:val="20"/>
                <w:szCs w:val="20"/>
              </w:rPr>
              <w:tab/>
              <w:t>12</w:t>
            </w:r>
          </w:hyperlink>
          <w:r w:rsidR="00D672FC">
            <w:fldChar w:fldCharType="end"/>
          </w:r>
        </w:p>
      </w:sdtContent>
    </w:sdt>
    <w:p w:rsidR="00573E3C" w14:paraId="0000003B" w14:textId="77777777">
      <w:pPr>
        <w:tabs>
          <w:tab w:val="right" w:pos="9270"/>
        </w:tabs>
        <w:spacing w:line="360" w:lineRule="auto"/>
        <w:rPr>
          <w:b/>
        </w:rPr>
      </w:pPr>
      <w:r>
        <w:rPr>
          <w:b/>
        </w:rPr>
        <w:tab/>
      </w:r>
    </w:p>
    <w:p w:rsidR="00573E3C" w14:paraId="0000003C" w14:textId="77777777">
      <w:pPr>
        <w:pBdr>
          <w:top w:val="nil"/>
          <w:left w:val="nil"/>
          <w:bottom w:val="nil"/>
          <w:right w:val="nil"/>
          <w:between w:val="nil"/>
        </w:pBdr>
        <w:tabs>
          <w:tab w:val="right" w:pos="9360"/>
        </w:tabs>
        <w:spacing w:after="240" w:line="360" w:lineRule="auto"/>
        <w:rPr>
          <w:color w:val="000000"/>
          <w:u w:val="single"/>
        </w:rPr>
      </w:pPr>
      <w:r>
        <w:rPr>
          <w:color w:val="000000"/>
          <w:u w:val="single"/>
        </w:rPr>
        <w:t>Exhibits</w:t>
      </w:r>
    </w:p>
    <w:sdt>
      <w:sdtPr>
        <w:id w:val="1636841258"/>
        <w:docPartObj>
          <w:docPartGallery w:val="Table of Contents"/>
          <w:docPartUnique/>
        </w:docPartObj>
      </w:sdtPr>
      <w:sdtContent>
        <w:p w:rsidR="00573E3C" w14:paraId="0000003D"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begin"/>
          </w:r>
          <w:r>
            <w:instrText xml:space="preserve"> TOC \h \u \z \t "Heading 1,1,Heading 2,2,Heading 3,3,Heading 4,4,Heading 5,5,Heading 6,6,"</w:instrText>
          </w:r>
          <w:r>
            <w:fldChar w:fldCharType="separate"/>
          </w:r>
          <w:r>
            <w:fldChar w:fldCharType="begin"/>
          </w:r>
          <w:r>
            <w:instrText xml:space="preserve"> HYPERLINK \l "_heading=h.lnxbz9" </w:instrText>
          </w:r>
          <w:r>
            <w:fldChar w:fldCharType="separate"/>
          </w:r>
          <w:r>
            <w:rPr>
              <w:color w:val="000000"/>
            </w:rPr>
            <w:t>Exhibit A.8.1.</w:t>
          </w:r>
          <w:r>
            <w:rPr>
              <w:color w:val="000000"/>
            </w:rPr>
            <w:tab/>
            <w:t>Individuals Consulted During</w:t>
          </w:r>
          <w:r>
            <w:rPr>
              <w:color w:val="000000"/>
            </w:rPr>
            <w:tab/>
            <w:t>A-4</w:t>
          </w:r>
        </w:p>
        <w:p w:rsidR="00573E3C" w14:paraId="0000003E"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hyperlink w:anchor="_heading=h.3whwml4">
            <w:r>
              <w:rPr>
                <w:color w:val="000000"/>
              </w:rPr>
              <w:t>Exhibit A.12.1.</w:t>
            </w:r>
            <w:r>
              <w:rPr>
                <w:color w:val="000000"/>
              </w:rPr>
              <w:tab/>
              <w:t>Estimated Annualized Burden Hours</w:t>
            </w:r>
            <w:r>
              <w:rPr>
                <w:color w:val="000000"/>
              </w:rPr>
              <w:tab/>
              <w:t>A-7</w:t>
            </w:r>
          </w:hyperlink>
        </w:p>
        <w:p w:rsidR="00573E3C" w14:paraId="0000003F"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begin"/>
          </w:r>
          <w:r>
            <w:instrText xml:space="preserve"> HYPERLINK \l "_heading=h.kgcv8k" </w:instrText>
          </w:r>
          <w:r>
            <w:fldChar w:fldCharType="separate"/>
          </w:r>
          <w:r>
            <w:rPr>
              <w:color w:val="000000"/>
            </w:rPr>
            <w:t>Exhibit A.12.2</w:t>
          </w:r>
          <w:r>
            <w:rPr>
              <w:color w:val="000000"/>
            </w:rPr>
            <w:tab/>
            <w:t>Estimated Annualized Burden Costs</w:t>
          </w:r>
          <w:r>
            <w:rPr>
              <w:color w:val="000000"/>
            </w:rPr>
            <w:tab/>
            <w:t>A-8</w:t>
          </w:r>
        </w:p>
        <w:p w:rsidR="00573E3C" w14:paraId="00000040"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r>
            <w:fldChar w:fldCharType="begin"/>
          </w:r>
          <w:r>
            <w:instrText xml:space="preserve"> HYPERLINK \l "_heading=h.2p2csry" </w:instrText>
          </w:r>
          <w:r>
            <w:fldChar w:fldCharType="separate"/>
          </w:r>
          <w:r>
            <w:rPr>
              <w:color w:val="000000"/>
            </w:rPr>
            <w:t>Exhibit A.14.1.</w:t>
          </w:r>
          <w:r>
            <w:rPr>
              <w:color w:val="000000"/>
            </w:rPr>
            <w:tab/>
            <w:t>Estimated Cost to the Government</w:t>
          </w:r>
          <w:r>
            <w:rPr>
              <w:color w:val="000000"/>
            </w:rPr>
            <w:tab/>
            <w:t>A-9</w:t>
          </w:r>
        </w:p>
        <w:p w:rsidR="00573E3C" w14:paraId="00000041" w14:textId="77777777">
          <w:pPr>
            <w:pBdr>
              <w:top w:val="nil"/>
              <w:left w:val="nil"/>
              <w:bottom w:val="nil"/>
              <w:right w:val="nil"/>
              <w:between w:val="nil"/>
            </w:pBdr>
            <w:tabs>
              <w:tab w:val="left" w:pos="1440"/>
              <w:tab w:val="right" w:pos="9360"/>
            </w:tabs>
            <w:spacing w:before="40" w:after="40" w:line="360" w:lineRule="auto"/>
            <w:ind w:left="1080" w:right="720" w:hanging="1080"/>
            <w:rPr>
              <w:color w:val="000000"/>
            </w:rPr>
          </w:pPr>
          <w:r>
            <w:fldChar w:fldCharType="end"/>
          </w:r>
          <w:r>
            <w:fldChar w:fldCharType="begin"/>
          </w:r>
          <w:r>
            <w:instrText xml:space="preserve"> HYPERLINK \l "_heading=h.32hioqz" </w:instrText>
          </w:r>
          <w:r>
            <w:fldChar w:fldCharType="separate"/>
          </w:r>
          <w:r>
            <w:rPr>
              <w:color w:val="000000"/>
            </w:rPr>
            <w:t>Exhibit A.16.1.</w:t>
          </w:r>
          <w:r>
            <w:rPr>
              <w:color w:val="000000"/>
            </w:rPr>
            <w:tab/>
            <w:t xml:space="preserve">Project Time Schedule by City </w:t>
          </w:r>
          <w:r>
            <w:rPr>
              <w:color w:val="000000"/>
            </w:rPr>
            <w:tab/>
            <w:t>A-9</w:t>
          </w:r>
        </w:p>
        <w:p w:rsidR="00573E3C" w14:paraId="00000042" w14:textId="77777777">
          <w:pPr>
            <w:pBdr>
              <w:top w:val="nil"/>
              <w:left w:val="nil"/>
              <w:bottom w:val="nil"/>
              <w:right w:val="nil"/>
              <w:between w:val="nil"/>
            </w:pBdr>
            <w:tabs>
              <w:tab w:val="right" w:pos="9360"/>
            </w:tabs>
            <w:spacing w:before="240" w:after="80" w:line="360" w:lineRule="auto"/>
            <w:ind w:right="720"/>
          </w:pPr>
          <w:r>
            <w:fldChar w:fldCharType="end"/>
          </w:r>
          <w:r>
            <w:fldChar w:fldCharType="end"/>
          </w:r>
        </w:p>
      </w:sdtContent>
    </w:sdt>
    <w:p w:rsidR="00573E3C" w14:paraId="00000043" w14:textId="77777777">
      <w:pPr>
        <w:pBdr>
          <w:top w:val="nil"/>
          <w:left w:val="nil"/>
          <w:bottom w:val="nil"/>
          <w:right w:val="nil"/>
          <w:between w:val="nil"/>
        </w:pBdr>
        <w:tabs>
          <w:tab w:val="right" w:pos="9360"/>
        </w:tabs>
        <w:spacing w:before="240" w:after="80" w:line="360" w:lineRule="auto"/>
        <w:ind w:right="720"/>
        <w:rPr>
          <w:color w:val="000000"/>
        </w:rPr>
      </w:pPr>
      <w:r>
        <w:rPr>
          <w:b/>
          <w:color w:val="000000"/>
        </w:rPr>
        <w:t>LIST OF ATTACHMENTS</w:t>
      </w:r>
    </w:p>
    <w:p w:rsidR="00573E3C" w14:paraId="00000044"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Eligibility Screener</w:t>
      </w:r>
    </w:p>
    <w:p w:rsidR="00573E3C" w14:paraId="00000045"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Recruitment Materials</w:t>
      </w:r>
    </w:p>
    <w:p w:rsidR="00573E3C" w14:paraId="00000046"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Eligible Participant Screener</w:t>
      </w:r>
    </w:p>
    <w:p w:rsidR="00573E3C" w14:paraId="00000047"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Privacy Agreement</w:t>
      </w:r>
    </w:p>
    <w:p w:rsidR="00573E3C" w14:paraId="00000048"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Respondent Consent Form for Focus Groups</w:t>
      </w:r>
    </w:p>
    <w:p w:rsidR="00573E3C" w14:paraId="00000049"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Standard Invitation for FGs</w:t>
      </w:r>
    </w:p>
    <w:p w:rsidR="00573E3C" w14:paraId="0000004A"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Participant Confirmation Email</w:t>
      </w:r>
    </w:p>
    <w:p w:rsidR="00573E3C" w14:paraId="0000004B"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Focus Group Moderator Guide</w:t>
      </w:r>
    </w:p>
    <w:p w:rsidR="00573E3C" w14:paraId="0000004C"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Eligibility Survey for Rapid Survey</w:t>
      </w:r>
    </w:p>
    <w:p w:rsidR="00573E3C" w14:paraId="0000004D"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Screenshot of Eligibility Screener for Survey</w:t>
      </w:r>
    </w:p>
    <w:p w:rsidR="00573E3C" w14:paraId="0000004E"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Rapid Survey</w:t>
      </w:r>
    </w:p>
    <w:p w:rsidR="00573E3C" w14:paraId="0000004F"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Respondent Consent Form for Survey</w:t>
      </w:r>
    </w:p>
    <w:p w:rsidR="00573E3C" w14:paraId="00000050"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Recruitment Materials for Survey</w:t>
      </w:r>
    </w:p>
    <w:p w:rsidR="00573E3C" w14:paraId="00000051" w14:textId="77777777">
      <w:pPr>
        <w:numPr>
          <w:ilvl w:val="0"/>
          <w:numId w:val="6"/>
        </w:numPr>
        <w:pBdr>
          <w:top w:val="nil"/>
          <w:left w:val="nil"/>
          <w:bottom w:val="nil"/>
          <w:right w:val="nil"/>
          <w:between w:val="nil"/>
        </w:pBdr>
        <w:tabs>
          <w:tab w:val="left" w:pos="2160"/>
        </w:tabs>
        <w:spacing w:line="276" w:lineRule="auto"/>
      </w:pPr>
      <w:r>
        <w:t>Screenshot of Rapid Survey</w:t>
      </w:r>
    </w:p>
    <w:p w:rsidR="00573E3C" w14:paraId="00000052" w14:textId="77777777">
      <w:pPr>
        <w:numPr>
          <w:ilvl w:val="0"/>
          <w:numId w:val="6"/>
        </w:numPr>
        <w:pBdr>
          <w:top w:val="nil"/>
          <w:left w:val="nil"/>
          <w:bottom w:val="nil"/>
          <w:right w:val="nil"/>
          <w:between w:val="nil"/>
        </w:pBdr>
        <w:tabs>
          <w:tab w:val="left" w:pos="2160"/>
        </w:tabs>
        <w:spacing w:line="276" w:lineRule="auto"/>
        <w:rPr>
          <w:color w:val="000000"/>
        </w:rPr>
      </w:pPr>
      <w:r>
        <w:rPr>
          <w:color w:val="000000"/>
        </w:rPr>
        <w:t xml:space="preserve">Messages to be </w:t>
      </w:r>
      <w:r>
        <w:rPr>
          <w:color w:val="000000"/>
        </w:rPr>
        <w:t>Tested</w:t>
      </w:r>
    </w:p>
    <w:p w:rsidR="00573E3C" w14:paraId="00000053" w14:textId="77777777">
      <w:pPr>
        <w:tabs>
          <w:tab w:val="left" w:pos="2160"/>
        </w:tabs>
        <w:spacing w:line="276" w:lineRule="auto"/>
      </w:pPr>
    </w:p>
    <w:p w:rsidR="00573E3C" w14:paraId="00000054" w14:textId="77777777">
      <w:pPr>
        <w:tabs>
          <w:tab w:val="left" w:pos="2160"/>
        </w:tabs>
        <w:spacing w:line="276" w:lineRule="auto"/>
      </w:pPr>
    </w:p>
    <w:p w:rsidR="00573E3C" w14:paraId="00000055" w14:textId="77777777">
      <w:pPr>
        <w:pStyle w:val="Heading1"/>
        <w:spacing w:after="0" w:line="276" w:lineRule="auto"/>
        <w:jc w:val="left"/>
      </w:pPr>
      <w:bookmarkStart w:id="1" w:name="_heading=h.gjdgxs" w:colFirst="0" w:colLast="0"/>
      <w:bookmarkEnd w:id="1"/>
      <w:r>
        <w:t>A .</w:t>
      </w:r>
      <w:r>
        <w:tab/>
        <w:t>Justification</w:t>
      </w:r>
    </w:p>
    <w:p w:rsidR="00573E3C" w14:paraId="00000056" w14:textId="77777777">
      <w:pPr>
        <w:pStyle w:val="Heading2"/>
        <w:spacing w:before="0" w:after="0" w:line="276" w:lineRule="auto"/>
      </w:pPr>
      <w:bookmarkStart w:id="2" w:name="_heading=h.1fob9te" w:colFirst="0" w:colLast="0"/>
      <w:bookmarkEnd w:id="2"/>
    </w:p>
    <w:p w:rsidR="00573E3C" w14:paraId="00000057" w14:textId="77777777">
      <w:pPr>
        <w:pStyle w:val="Heading2"/>
        <w:spacing w:before="0" w:after="0" w:line="276" w:lineRule="auto"/>
      </w:pPr>
      <w:bookmarkStart w:id="3" w:name="_heading=h.1mrcu09" w:colFirst="0" w:colLast="0"/>
      <w:bookmarkEnd w:id="3"/>
      <w:r>
        <w:t>1</w:t>
      </w:r>
      <w:r>
        <w:tab/>
        <w:t xml:space="preserve">Circumstances Making the Collection of Information Necessary </w:t>
      </w:r>
    </w:p>
    <w:p w:rsidR="00573E3C" w14:paraId="00000058" w14:textId="77777777">
      <w:pPr>
        <w:spacing w:line="276" w:lineRule="auto"/>
      </w:pPr>
    </w:p>
    <w:p w:rsidR="00573E3C" w:rsidP="7F45ABCE" w14:paraId="00000059" w14:textId="08A1EB1D">
      <w:pPr>
        <w:spacing w:line="276" w:lineRule="auto"/>
      </w:pPr>
      <w:r>
        <w:t xml:space="preserve">Foodborne, waterborne, and fungal diseases cause serious illness and death each year in the United States. Approximately 48 million people (1 in 6) get sick from foodborne disease each year in the United States, including 128,000 hospitalizations and 3,000 deaths. In 2021, the foodborne pathogens with the highest incidence per 100,000 population included </w:t>
      </w:r>
      <w:r w:rsidRPr="477C2B4A">
        <w:rPr>
          <w:i/>
          <w:iCs/>
        </w:rPr>
        <w:t>Campylobacter</w:t>
      </w:r>
      <w:r>
        <w:t xml:space="preserve"> (17.8), </w:t>
      </w:r>
      <w:r w:rsidRPr="477C2B4A">
        <w:rPr>
          <w:i/>
          <w:iCs/>
        </w:rPr>
        <w:t>Salmonella</w:t>
      </w:r>
      <w:r>
        <w:t xml:space="preserve"> (14.18), Shinga toxin-producing </w:t>
      </w:r>
      <w:r w:rsidRPr="477C2B4A">
        <w:rPr>
          <w:i/>
          <w:iCs/>
        </w:rPr>
        <w:t>Escherichia coli</w:t>
      </w:r>
      <w:r>
        <w:t xml:space="preserve"> (5.04), and </w:t>
      </w:r>
      <w:r w:rsidRPr="477C2B4A">
        <w:rPr>
          <w:i/>
          <w:iCs/>
        </w:rPr>
        <w:t>Shigella</w:t>
      </w:r>
      <w:r>
        <w:t xml:space="preserve"> (3.37), according to CDC </w:t>
      </w:r>
      <w:r>
        <w:t>FoodNet</w:t>
      </w:r>
      <w:r>
        <w:t xml:space="preserve"> surveillance data. </w:t>
      </w:r>
      <w:r w:rsidR="5F7C88EB">
        <w:t xml:space="preserve">Dietary culture and </w:t>
      </w:r>
      <w:r w:rsidR="04DFA934">
        <w:t xml:space="preserve">health eating </w:t>
      </w:r>
      <w:r w:rsidR="5F7C88EB">
        <w:t xml:space="preserve">beliefs continue to effect behaviors like eating </w:t>
      </w:r>
      <w:r w:rsidR="258ABACC">
        <w:t xml:space="preserve">and preparing </w:t>
      </w:r>
      <w:r w:rsidR="5F7C88EB">
        <w:t xml:space="preserve">raw or underprepared food or meat products, which brings risk to human health (Zhou et al., 2020). </w:t>
      </w:r>
      <w:r>
        <w:t>In 2014, seventeen waterborne pathogens caused 7.15 million illnesses and 6,630 deaths in the United States. Additionally, fungal disease accounts for more than 75,000 hospitalizations every year. In 2021, approximately 7,199 deaths occurred from fungal diseases. A fungal meningitis outbreak associated with procedures under epidural anesthesia in Matamoros, Mexico, occurred in 2023 with 10 confirmed cases and 12 deaths, along with additional probable cases.</w:t>
      </w:r>
    </w:p>
    <w:p w:rsidR="00573E3C" w14:paraId="0000005A" w14:textId="77777777">
      <w:pPr>
        <w:spacing w:line="276" w:lineRule="auto"/>
      </w:pPr>
    </w:p>
    <w:p w:rsidR="00573E3C" w14:paraId="0000005B" w14:textId="7A27DDB9">
      <w:pPr>
        <w:spacing w:line="276" w:lineRule="auto"/>
      </w:pPr>
      <w:r>
        <w:t>Health communication materials and resources produced by CDC’s Division of Foodborne, Waterborne, and Environmental Diseases (DFWED) can help prevent diseases caused by contaminated food, water, and fungi. Message testing</w:t>
      </w:r>
      <w:r w:rsidR="26D28AD2">
        <w:t xml:space="preserve"> and behavioral questions are</w:t>
      </w:r>
      <w:r w:rsidR="1078CC22">
        <w:t xml:space="preserve"> </w:t>
      </w:r>
      <w:r>
        <w:t>important tool</w:t>
      </w:r>
      <w:r w:rsidR="2DB489EA">
        <w:t>s</w:t>
      </w:r>
      <w:r>
        <w:t xml:space="preserve"> that can be used to evaluate the effectiveness of health communication messages among priority audiences. Engaging directly with audience members in focus group settings allows for CDC to collect direct feedback like audience perceptions, beliefs, and attitudes towards CDC messages and apply that feedback to update and improve those messages. </w:t>
      </w:r>
    </w:p>
    <w:p w:rsidR="00573E3C" w14:paraId="0000005C" w14:textId="77777777">
      <w:pPr>
        <w:spacing w:line="276" w:lineRule="auto"/>
      </w:pPr>
      <w:bookmarkStart w:id="4" w:name="_heading=h.44sinio" w:colFirst="0" w:colLast="0"/>
      <w:bookmarkEnd w:id="4"/>
    </w:p>
    <w:p w:rsidR="00573E3C" w14:paraId="0000005D" w14:textId="1212670D">
      <w:pPr>
        <w:spacing w:line="276" w:lineRule="auto"/>
      </w:pPr>
      <w:r>
        <w:t>CDC’s contractor, Banyan Communications, will implement qualitative focus groups and quantitative online surveys. The focus group respondents for this project will be a maximum of 64 individuals recruited by Banyan Communications. The online survey respondents for this project will be a maximum o</w:t>
      </w:r>
      <w:r w:rsidR="28BEEFD2">
        <w:t xml:space="preserve">f </w:t>
      </w:r>
      <w:r w:rsidR="68FC49E1">
        <w:t>1500 ind</w:t>
      </w:r>
      <w:r>
        <w:t xml:space="preserve">ividuals recruited by Banyan Communications. The project will work with volunteer respondents. Participants must meet a set of criteria to ensure all focus groups and surveys will include a maximally diverse group of participants considering age, educational level, and socioeconomic status, gender, and ethnicity and include a mix of geographical areas and urban/rural residents. The focus groups </w:t>
      </w:r>
      <w:r>
        <w:t xml:space="preserve">will be conducted between adults (18+) and at least one research staff member. The survey will be conducted with adults (18+). The goal is to obtain feedback to support food safety communication initiatives.  </w:t>
      </w:r>
    </w:p>
    <w:p w:rsidR="00573E3C" w14:paraId="0000005E" w14:textId="77777777">
      <w:pPr>
        <w:pBdr>
          <w:top w:val="nil"/>
          <w:left w:val="nil"/>
          <w:bottom w:val="nil"/>
          <w:right w:val="nil"/>
          <w:between w:val="nil"/>
        </w:pBdr>
        <w:spacing w:line="276" w:lineRule="auto"/>
        <w:rPr>
          <w:color w:val="000000"/>
        </w:rPr>
      </w:pPr>
      <w:bookmarkStart w:id="5" w:name="_heading=h.147n2zr" w:colFirst="0" w:colLast="0"/>
      <w:bookmarkEnd w:id="5"/>
    </w:p>
    <w:p w:rsidR="00573E3C" w:rsidP="686E2DDD" w14:paraId="0000005F" w14:textId="115D9533">
      <w:pPr>
        <w:pBdr>
          <w:top w:val="nil"/>
          <w:left w:val="nil"/>
          <w:bottom w:val="nil"/>
          <w:right w:val="nil"/>
          <w:between w:val="nil"/>
        </w:pBdr>
        <w:spacing w:line="276" w:lineRule="auto"/>
        <w:rPr>
          <w:color w:val="000000"/>
        </w:rPr>
      </w:pPr>
      <w:r w:rsidRPr="686E2DDD">
        <w:rPr>
          <w:color w:val="000000" w:themeColor="text1"/>
        </w:rPr>
        <w:t>Data to be collected include the following: socio</w:t>
      </w:r>
      <w:r w:rsidRPr="686E2DDD" w:rsidR="6AF33D53">
        <w:rPr>
          <w:color w:val="000000" w:themeColor="text1"/>
        </w:rPr>
        <w:t>-</w:t>
      </w:r>
      <w:r w:rsidRPr="686E2DDD">
        <w:rPr>
          <w:color w:val="000000" w:themeColor="text1"/>
        </w:rPr>
        <w:t xml:space="preserve">demographics; reactions and receptivity to foodborne, waterborne, and </w:t>
      </w:r>
      <w:r w:rsidRPr="686E2DDD" w:rsidR="2A1192EE">
        <w:rPr>
          <w:color w:val="000000" w:themeColor="text1"/>
        </w:rPr>
        <w:t xml:space="preserve">fungal </w:t>
      </w:r>
      <w:r w:rsidRPr="686E2DDD" w:rsidR="5572E7BB">
        <w:rPr>
          <w:color w:val="000000" w:themeColor="text1"/>
        </w:rPr>
        <w:t xml:space="preserve">prevention </w:t>
      </w:r>
      <w:r w:rsidRPr="686E2DDD">
        <w:rPr>
          <w:color w:val="000000" w:themeColor="text1"/>
        </w:rPr>
        <w:t xml:space="preserve">messages and content. Questions shall assess </w:t>
      </w:r>
      <w:r>
        <w:t>whether/</w:t>
      </w:r>
      <w:r w:rsidRPr="686E2DDD">
        <w:rPr>
          <w:color w:val="000000" w:themeColor="text1"/>
        </w:rPr>
        <w:t xml:space="preserve">how the participants </w:t>
      </w:r>
      <w:r>
        <w:t xml:space="preserve">intend to </w:t>
      </w:r>
      <w:r w:rsidRPr="686E2DDD">
        <w:rPr>
          <w:color w:val="000000" w:themeColor="text1"/>
        </w:rPr>
        <w:t xml:space="preserve">change their behavior based on the message. Participants shall also elaborate on ways in which the presented messages, through text or presentation changes, could be improved so that they are more effective. </w:t>
      </w:r>
      <w:r w:rsidRPr="686E2DDD" w:rsidR="4ACEFD13">
        <w:rPr>
          <w:color w:val="000000" w:themeColor="text1"/>
        </w:rPr>
        <w:t>In addition, some behavioral questions will help provide an understanding of wh</w:t>
      </w:r>
      <w:r w:rsidRPr="686E2DDD" w:rsidR="42A1D073">
        <w:rPr>
          <w:color w:val="000000" w:themeColor="text1"/>
        </w:rPr>
        <w:t xml:space="preserve">at motivates specific behaviors. </w:t>
      </w:r>
    </w:p>
    <w:p w:rsidR="00573E3C" w14:paraId="00000060" w14:textId="77777777">
      <w:pPr>
        <w:pBdr>
          <w:top w:val="nil"/>
          <w:left w:val="nil"/>
          <w:bottom w:val="nil"/>
          <w:right w:val="nil"/>
          <w:between w:val="nil"/>
        </w:pBdr>
        <w:spacing w:line="276" w:lineRule="auto"/>
        <w:rPr>
          <w:color w:val="000000"/>
        </w:rPr>
      </w:pPr>
    </w:p>
    <w:p w:rsidR="00573E3C" w14:paraId="00000061" w14:textId="77777777">
      <w:pPr>
        <w:pBdr>
          <w:top w:val="nil"/>
          <w:left w:val="nil"/>
          <w:bottom w:val="nil"/>
          <w:right w:val="nil"/>
          <w:between w:val="nil"/>
        </w:pBdr>
        <w:spacing w:line="276" w:lineRule="auto"/>
        <w:rPr>
          <w:color w:val="000000"/>
        </w:rPr>
      </w:pPr>
      <w:r>
        <w:rPr>
          <w:color w:val="000000"/>
        </w:rPr>
        <w:t xml:space="preserve">The data collection will </w:t>
      </w:r>
      <w:r>
        <w:rPr>
          <w:color w:val="000000"/>
        </w:rPr>
        <w:t>use</w:t>
      </w:r>
      <w:r>
        <w:rPr>
          <w:color w:val="000000"/>
        </w:rPr>
        <w:t xml:space="preserve"> </w:t>
      </w:r>
    </w:p>
    <w:p w:rsidR="00573E3C" w14:paraId="00000062" w14:textId="77777777">
      <w:pPr>
        <w:numPr>
          <w:ilvl w:val="0"/>
          <w:numId w:val="5"/>
        </w:numPr>
        <w:pBdr>
          <w:top w:val="nil"/>
          <w:left w:val="nil"/>
          <w:bottom w:val="nil"/>
          <w:right w:val="nil"/>
          <w:between w:val="nil"/>
        </w:pBdr>
        <w:spacing w:line="276" w:lineRule="auto"/>
        <w:rPr>
          <w:color w:val="000000"/>
        </w:rPr>
      </w:pPr>
      <w:r>
        <w:rPr>
          <w:color w:val="000000"/>
        </w:rPr>
        <w:t>a 5-minute Eligibility Screener before the virtual focus group (Attachment 1)</w:t>
      </w:r>
    </w:p>
    <w:p w:rsidR="00573E3C" w14:paraId="00000063" w14:textId="77777777">
      <w:pPr>
        <w:numPr>
          <w:ilvl w:val="0"/>
          <w:numId w:val="5"/>
        </w:numPr>
        <w:pBdr>
          <w:top w:val="nil"/>
          <w:left w:val="nil"/>
          <w:bottom w:val="nil"/>
          <w:right w:val="nil"/>
          <w:between w:val="nil"/>
        </w:pBdr>
        <w:spacing w:line="276" w:lineRule="auto"/>
        <w:rPr>
          <w:color w:val="000000"/>
        </w:rPr>
      </w:pPr>
      <w:r>
        <w:rPr>
          <w:color w:val="000000"/>
        </w:rPr>
        <w:t>a 5-minute Eligible participant screener (Attachment 3)</w:t>
      </w:r>
    </w:p>
    <w:p w:rsidR="00573E3C" w:rsidP="7F45ABCE" w14:paraId="00000064" w14:textId="7EA37161">
      <w:pPr>
        <w:numPr>
          <w:ilvl w:val="0"/>
          <w:numId w:val="5"/>
        </w:numPr>
        <w:pBdr>
          <w:top w:val="nil"/>
          <w:left w:val="nil"/>
          <w:bottom w:val="nil"/>
          <w:right w:val="nil"/>
          <w:between w:val="nil"/>
        </w:pBdr>
        <w:spacing w:line="276" w:lineRule="auto"/>
        <w:rPr>
          <w:color w:val="000000"/>
        </w:rPr>
      </w:pPr>
      <w:r w:rsidRPr="7F45ABCE">
        <w:rPr>
          <w:color w:val="000000" w:themeColor="text1"/>
        </w:rPr>
        <w:t>a virtual 60-minute focus group (Attachment 8)</w:t>
      </w:r>
    </w:p>
    <w:p w:rsidR="00573E3C" w14:paraId="00000065" w14:textId="77777777">
      <w:pPr>
        <w:numPr>
          <w:ilvl w:val="0"/>
          <w:numId w:val="5"/>
        </w:numPr>
        <w:pBdr>
          <w:top w:val="nil"/>
          <w:left w:val="nil"/>
          <w:bottom w:val="nil"/>
          <w:right w:val="nil"/>
          <w:between w:val="nil"/>
        </w:pBdr>
        <w:spacing w:line="276" w:lineRule="auto"/>
        <w:rPr>
          <w:color w:val="000000"/>
        </w:rPr>
      </w:pPr>
      <w:r>
        <w:rPr>
          <w:color w:val="000000"/>
        </w:rPr>
        <w:t xml:space="preserve">a 5-minute Eligibility Screener before the online survey (Attachment 9) </w:t>
      </w:r>
    </w:p>
    <w:p w:rsidR="00573E3C" w:rsidP="7F45ABCE" w14:paraId="00000066" w14:textId="2FEDF42E">
      <w:pPr>
        <w:numPr>
          <w:ilvl w:val="0"/>
          <w:numId w:val="5"/>
        </w:numPr>
        <w:pBdr>
          <w:top w:val="nil"/>
          <w:left w:val="nil"/>
          <w:bottom w:val="nil"/>
          <w:right w:val="nil"/>
          <w:between w:val="nil"/>
        </w:pBdr>
        <w:spacing w:line="276" w:lineRule="auto"/>
        <w:rPr>
          <w:color w:val="000000"/>
        </w:rPr>
      </w:pPr>
      <w:r w:rsidRPr="7F45ABCE">
        <w:rPr>
          <w:color w:val="000000" w:themeColor="text1"/>
        </w:rPr>
        <w:t>a 10</w:t>
      </w:r>
      <w:r w:rsidRPr="7F45ABCE" w:rsidR="1A5F4842">
        <w:rPr>
          <w:color w:val="000000" w:themeColor="text1"/>
        </w:rPr>
        <w:t>-15</w:t>
      </w:r>
      <w:r w:rsidRPr="7F45ABCE">
        <w:rPr>
          <w:color w:val="000000" w:themeColor="text1"/>
        </w:rPr>
        <w:t>-minute online survey (Attachment 11)</w:t>
      </w:r>
    </w:p>
    <w:p w:rsidR="00573E3C" w14:paraId="00000067" w14:textId="77777777">
      <w:pPr>
        <w:pBdr>
          <w:top w:val="nil"/>
          <w:left w:val="nil"/>
          <w:bottom w:val="nil"/>
          <w:right w:val="nil"/>
          <w:between w:val="nil"/>
        </w:pBdr>
        <w:spacing w:line="276" w:lineRule="auto"/>
        <w:rPr>
          <w:color w:val="000000"/>
        </w:rPr>
      </w:pPr>
      <w:bookmarkStart w:id="6" w:name="_heading=h.3o7alnk" w:colFirst="0" w:colLast="0"/>
      <w:bookmarkEnd w:id="6"/>
    </w:p>
    <w:p w:rsidR="00573E3C" w14:paraId="00000068" w14:textId="77777777">
      <w:pPr>
        <w:pBdr>
          <w:top w:val="nil"/>
          <w:left w:val="nil"/>
          <w:bottom w:val="nil"/>
          <w:right w:val="nil"/>
          <w:between w:val="nil"/>
        </w:pBdr>
        <w:spacing w:line="276" w:lineRule="auto"/>
        <w:rPr>
          <w:color w:val="000000"/>
        </w:rPr>
      </w:pPr>
      <w:r>
        <w:rPr>
          <w:color w:val="000000"/>
        </w:rPr>
        <w:t xml:space="preserve">This information collection does not involve websites or website content directed at children less than 13 years of age. </w:t>
      </w:r>
    </w:p>
    <w:p w:rsidR="00573E3C" w14:paraId="00000069" w14:textId="77777777">
      <w:pPr>
        <w:pStyle w:val="Heading2"/>
        <w:spacing w:before="0" w:after="0" w:line="276" w:lineRule="auto"/>
      </w:pPr>
      <w:bookmarkStart w:id="7" w:name="_heading=h.2et92p0" w:colFirst="0" w:colLast="0"/>
      <w:bookmarkEnd w:id="7"/>
    </w:p>
    <w:p w:rsidR="00573E3C" w14:paraId="0000006A" w14:textId="77777777">
      <w:pPr>
        <w:pStyle w:val="Heading2"/>
        <w:spacing w:before="0" w:after="0" w:line="276" w:lineRule="auto"/>
      </w:pPr>
      <w:bookmarkStart w:id="8" w:name="_heading=h.46r0co2" w:colFirst="0" w:colLast="0"/>
      <w:bookmarkEnd w:id="8"/>
      <w:r>
        <w:t>2</w:t>
      </w:r>
      <w:r>
        <w:tab/>
        <w:t xml:space="preserve">Purpose and Use of the Information Collection </w:t>
      </w:r>
    </w:p>
    <w:p w:rsidR="00573E3C" w14:paraId="0000006B" w14:textId="77777777">
      <w:pPr>
        <w:spacing w:line="276" w:lineRule="auto"/>
      </w:pPr>
      <w:bookmarkStart w:id="9" w:name="_heading=h.tyjcwt" w:colFirst="0" w:colLast="0"/>
      <w:bookmarkEnd w:id="9"/>
    </w:p>
    <w:p w:rsidR="00573E3C" w14:paraId="0000006C" w14:textId="77777777">
      <w:pPr>
        <w:spacing w:line="276" w:lineRule="auto"/>
        <w:rPr>
          <w:rFonts w:ascii="Calibri" w:eastAsia="Calibri" w:hAnsi="Calibri" w:cs="Calibri"/>
          <w:sz w:val="24"/>
          <w:szCs w:val="24"/>
        </w:rPr>
      </w:pPr>
      <w:r>
        <w:t>The purpose of this project is to conduct focus group discussions (FGDs) and online surveys with U.S. adults (parents of children ages 0–4, older adults ages 65+, pregnant adults aged 18+, and immunocompromised adults 18–64) to improve foodborne, waterborne, and fungal prevention messages and web content. Banyan Communications will conduct the focus groups and administer the online survey.</w:t>
      </w:r>
    </w:p>
    <w:p w:rsidR="00573E3C" w14:paraId="0000006D" w14:textId="77777777">
      <w:pPr>
        <w:spacing w:line="276" w:lineRule="auto"/>
        <w:rPr>
          <w:rFonts w:ascii="Calibri" w:eastAsia="Calibri" w:hAnsi="Calibri" w:cs="Calibri"/>
          <w:sz w:val="24"/>
          <w:szCs w:val="24"/>
        </w:rPr>
      </w:pPr>
    </w:p>
    <w:p w:rsidR="00573E3C" w14:paraId="0000006E" w14:textId="77777777">
      <w:pPr>
        <w:spacing w:line="276" w:lineRule="auto"/>
      </w:pPr>
      <w:r>
        <w:t>The objectives of this project are to:</w:t>
      </w:r>
    </w:p>
    <w:p w:rsidR="00573E3C" w14:paraId="0000006F" w14:textId="77777777">
      <w:pPr>
        <w:numPr>
          <w:ilvl w:val="0"/>
          <w:numId w:val="4"/>
        </w:numPr>
        <w:spacing w:line="276" w:lineRule="auto"/>
      </w:pPr>
      <w:r>
        <w:t>Identify appropriate and effective messages for the public to increase awareness on preventing foodborne, waterborne, and environmental illness and following proper safety practices.</w:t>
      </w:r>
    </w:p>
    <w:p w:rsidR="00573E3C" w14:paraId="00000070" w14:textId="77777777">
      <w:pPr>
        <w:numPr>
          <w:ilvl w:val="0"/>
          <w:numId w:val="4"/>
        </w:numPr>
        <w:spacing w:line="276" w:lineRule="auto"/>
        <w:rPr>
          <w:color w:val="000000"/>
        </w:rPr>
      </w:pPr>
      <w:r>
        <w:t>Gather data on the preferred tone, format, and placement of those messages on CDC’s communication channels.</w:t>
      </w:r>
    </w:p>
    <w:p w:rsidR="00573E3C" w14:paraId="00000071" w14:textId="77777777">
      <w:pPr>
        <w:numPr>
          <w:ilvl w:val="0"/>
          <w:numId w:val="4"/>
        </w:numPr>
        <w:spacing w:line="276" w:lineRule="auto"/>
        <w:rPr>
          <w:color w:val="000000"/>
        </w:rPr>
      </w:pPr>
      <w:r>
        <w:t xml:space="preserve">Understand motivation for behaviors which might lead to increased exposure of foodborne, waterborne or fungal illness </w:t>
      </w:r>
    </w:p>
    <w:p w:rsidR="00573E3C" w14:paraId="00000072" w14:textId="77777777">
      <w:pPr>
        <w:spacing w:line="276" w:lineRule="auto"/>
      </w:pPr>
    </w:p>
    <w:p w:rsidR="00573E3C" w14:paraId="00000073" w14:textId="77777777">
      <w:r>
        <w:t>The data collected will be used to:</w:t>
      </w:r>
    </w:p>
    <w:p w:rsidR="00573E3C" w14:paraId="00000074" w14:textId="6ACC6DAE">
      <w:pPr>
        <w:numPr>
          <w:ilvl w:val="0"/>
          <w:numId w:val="2"/>
        </w:numPr>
        <w:spacing w:line="276" w:lineRule="auto"/>
        <w:rPr>
          <w:color w:val="000000"/>
        </w:rPr>
      </w:pPr>
      <w:r>
        <w:t>C</w:t>
      </w:r>
      <w:r w:rsidRPr="686E2DDD">
        <w:rPr>
          <w:color w:val="000000" w:themeColor="text1"/>
        </w:rPr>
        <w:t xml:space="preserve">ontinue refining foodborne, waterborne, and </w:t>
      </w:r>
      <w:r w:rsidRPr="686E2DDD" w:rsidR="6B96752E">
        <w:rPr>
          <w:color w:val="000000" w:themeColor="text1"/>
        </w:rPr>
        <w:t xml:space="preserve">fungal disease prevention </w:t>
      </w:r>
      <w:r w:rsidRPr="686E2DDD">
        <w:rPr>
          <w:color w:val="000000" w:themeColor="text1"/>
        </w:rPr>
        <w:t xml:space="preserve">messages and </w:t>
      </w:r>
      <w:r>
        <w:t>dissemination</w:t>
      </w:r>
      <w:r w:rsidRPr="686E2DDD">
        <w:rPr>
          <w:color w:val="000000" w:themeColor="text1"/>
        </w:rPr>
        <w:t xml:space="preserve"> via the CDC website, resulting in content that is targeted to reach more consumers, with</w:t>
      </w:r>
      <w:r>
        <w:t xml:space="preserve"> a focus on people who are at higher risk for illness</w:t>
      </w:r>
      <w:r w:rsidRPr="686E2DDD">
        <w:rPr>
          <w:color w:val="000000" w:themeColor="text1"/>
        </w:rPr>
        <w:t xml:space="preserve">; </w:t>
      </w:r>
    </w:p>
    <w:p w:rsidR="00573E3C" w14:paraId="00000075" w14:textId="77777777">
      <w:pPr>
        <w:numPr>
          <w:ilvl w:val="0"/>
          <w:numId w:val="2"/>
        </w:numPr>
        <w:spacing w:line="276" w:lineRule="auto"/>
        <w:rPr>
          <w:color w:val="000000"/>
        </w:rPr>
      </w:pPr>
      <w:r>
        <w:t>T</w:t>
      </w:r>
      <w:r>
        <w:rPr>
          <w:color w:val="000000"/>
        </w:rPr>
        <w:t>ailor</w:t>
      </w:r>
      <w:r>
        <w:t xml:space="preserve"> content </w:t>
      </w:r>
      <w:r>
        <w:rPr>
          <w:color w:val="000000"/>
        </w:rPr>
        <w:t>to address current perceptions and concerns</w:t>
      </w:r>
      <w:r>
        <w:t>,</w:t>
      </w:r>
      <w:r>
        <w:rPr>
          <w:color w:val="000000"/>
        </w:rPr>
        <w:t xml:space="preserve"> </w:t>
      </w:r>
      <w:r>
        <w:t>make content</w:t>
      </w:r>
      <w:r>
        <w:rPr>
          <w:color w:val="000000"/>
        </w:rPr>
        <w:t xml:space="preserve"> easier to access, understand, and implement</w:t>
      </w:r>
      <w:r>
        <w:t>,</w:t>
      </w:r>
      <w:r>
        <w:rPr>
          <w:color w:val="000000"/>
        </w:rPr>
        <w:t xml:space="preserve"> and ensure </w:t>
      </w:r>
      <w:r>
        <w:t xml:space="preserve">content is </w:t>
      </w:r>
      <w:r>
        <w:rPr>
          <w:color w:val="000000"/>
        </w:rPr>
        <w:t>presented attractively and engagingly</w:t>
      </w:r>
      <w:r>
        <w:t>;</w:t>
      </w:r>
      <w:r>
        <w:rPr>
          <w:color w:val="000000"/>
        </w:rPr>
        <w:t xml:space="preserve"> </w:t>
      </w:r>
    </w:p>
    <w:p w:rsidR="00573E3C" w14:paraId="00000076" w14:textId="77777777">
      <w:pPr>
        <w:numPr>
          <w:ilvl w:val="0"/>
          <w:numId w:val="2"/>
        </w:numPr>
        <w:spacing w:line="276" w:lineRule="auto"/>
        <w:rPr>
          <w:color w:val="000000"/>
        </w:rPr>
      </w:pPr>
      <w:r>
        <w:t>A</w:t>
      </w:r>
      <w:r>
        <w:rPr>
          <w:color w:val="000000"/>
        </w:rPr>
        <w:t>ssist in developing materials and messages that can be shared with other consumer foodborne, waterborne, and environmental safety education programs within the U.S. government and public- and private-sector partners to help improve acceptability and understanding of safety messages.</w:t>
      </w:r>
    </w:p>
    <w:p w:rsidR="00573E3C" w14:paraId="00000077" w14:textId="77777777">
      <w:pPr>
        <w:spacing w:line="276" w:lineRule="auto"/>
        <w:ind w:left="720"/>
        <w:rPr>
          <w:rFonts w:ascii="Calibri" w:eastAsia="Calibri" w:hAnsi="Calibri" w:cs="Calibri"/>
          <w:color w:val="000000"/>
          <w:sz w:val="24"/>
          <w:szCs w:val="24"/>
        </w:rPr>
      </w:pPr>
    </w:p>
    <w:p w:rsidR="00573E3C" w14:paraId="00000078" w14:textId="02004DF6">
      <w:pPr>
        <w:pBdr>
          <w:top w:val="nil"/>
          <w:left w:val="nil"/>
          <w:bottom w:val="nil"/>
          <w:right w:val="nil"/>
          <w:between w:val="nil"/>
        </w:pBdr>
        <w:spacing w:line="276" w:lineRule="auto"/>
        <w:rPr>
          <w:b/>
          <w:color w:val="000000"/>
        </w:rPr>
      </w:pPr>
      <w:r>
        <w:rPr>
          <w:b/>
          <w:color w:val="000000"/>
        </w:rPr>
        <w:t>3</w:t>
      </w:r>
      <w:r>
        <w:rPr>
          <w:b/>
          <w:color w:val="000000"/>
        </w:rPr>
        <w:tab/>
        <w:t xml:space="preserve">Use of Improved Information Technology and Burden Reduction </w:t>
      </w:r>
    </w:p>
    <w:p w:rsidR="00573E3C" w14:paraId="00000079" w14:textId="77777777">
      <w:pPr>
        <w:pBdr>
          <w:top w:val="nil"/>
          <w:left w:val="nil"/>
          <w:bottom w:val="nil"/>
          <w:right w:val="nil"/>
          <w:between w:val="nil"/>
        </w:pBdr>
        <w:spacing w:line="276" w:lineRule="auto"/>
        <w:rPr>
          <w:color w:val="000000"/>
        </w:rPr>
      </w:pPr>
    </w:p>
    <w:p w:rsidR="00573E3C" w14:paraId="0000007A" w14:textId="77777777">
      <w:pPr>
        <w:pBdr>
          <w:top w:val="nil"/>
          <w:left w:val="nil"/>
          <w:bottom w:val="nil"/>
          <w:right w:val="nil"/>
          <w:between w:val="nil"/>
        </w:pBdr>
        <w:spacing w:line="276" w:lineRule="auto"/>
        <w:rPr>
          <w:color w:val="000000"/>
        </w:rPr>
      </w:pPr>
      <w:r>
        <w:rPr>
          <w:color w:val="000000"/>
        </w:rPr>
        <w:t xml:space="preserve">We will record each </w:t>
      </w:r>
      <w:r>
        <w:t>focus group</w:t>
      </w:r>
      <w:r>
        <w:rPr>
          <w:color w:val="000000"/>
        </w:rPr>
        <w:t xml:space="preserve"> to use for preparing reports. Our data collection requires that we employ qualitative research methods using one-time virtual </w:t>
      </w:r>
      <w:r>
        <w:t>focus group discussion</w:t>
      </w:r>
      <w:r>
        <w:rPr>
          <w:color w:val="000000"/>
        </w:rPr>
        <w:t xml:space="preserve">s. We will receive recorded verbal confirmation from participants to record the discussion. Questions (within the focus group discussions and online survey) will be kept to a minimum required for the intended use of the data. </w:t>
      </w:r>
    </w:p>
    <w:p w:rsidR="00573E3C" w14:paraId="0000007B" w14:textId="77777777">
      <w:pPr>
        <w:pStyle w:val="Heading2"/>
        <w:spacing w:before="0" w:after="0" w:line="276" w:lineRule="auto"/>
      </w:pPr>
      <w:bookmarkStart w:id="10" w:name="_heading=h.3dy6vkm" w:colFirst="0" w:colLast="0"/>
      <w:bookmarkEnd w:id="10"/>
    </w:p>
    <w:p w:rsidR="00573E3C" w14:paraId="0000007C" w14:textId="77777777">
      <w:pPr>
        <w:pStyle w:val="Heading2"/>
        <w:spacing w:before="0" w:after="0" w:line="276" w:lineRule="auto"/>
      </w:pPr>
      <w:bookmarkStart w:id="11" w:name="_heading=h.2lwamvv" w:colFirst="0" w:colLast="0"/>
      <w:bookmarkEnd w:id="11"/>
      <w:r>
        <w:t>4</w:t>
      </w:r>
      <w:r>
        <w:tab/>
        <w:t xml:space="preserve">Efforts to Identify Duplication and Use of Similar Information </w:t>
      </w:r>
    </w:p>
    <w:p w:rsidR="00573E3C" w14:paraId="0000007D" w14:textId="77777777">
      <w:pPr>
        <w:widowControl w:val="0"/>
        <w:pBdr>
          <w:top w:val="nil"/>
          <w:left w:val="nil"/>
          <w:bottom w:val="nil"/>
          <w:right w:val="nil"/>
          <w:between w:val="nil"/>
        </w:pBdr>
        <w:spacing w:line="276" w:lineRule="auto"/>
        <w:rPr>
          <w:color w:val="000000"/>
        </w:rPr>
      </w:pPr>
      <w:bookmarkStart w:id="12" w:name="_heading=h.1t3h5sf" w:colFirst="0" w:colLast="0"/>
      <w:bookmarkEnd w:id="12"/>
    </w:p>
    <w:p w:rsidR="00573E3C" w14:paraId="0000007E" w14:textId="77777777">
      <w:pPr>
        <w:widowControl w:val="0"/>
        <w:pBdr>
          <w:top w:val="nil"/>
          <w:left w:val="nil"/>
          <w:bottom w:val="nil"/>
          <w:right w:val="nil"/>
          <w:between w:val="nil"/>
        </w:pBdr>
        <w:spacing w:line="276" w:lineRule="auto"/>
        <w:rPr>
          <w:color w:val="000000"/>
        </w:rPr>
      </w:pPr>
      <w:r>
        <w:rPr>
          <w:color w:val="000000"/>
        </w:rPr>
        <w:t xml:space="preserve">There are no other federal generic collections that duplicate the project types included in this request. Health messages developed by CDC are unique in their mix of intended audience, health behavior, concept, and execution. Therefore, in most cases, there </w:t>
      </w:r>
      <w:r>
        <w:t>is</w:t>
      </w:r>
      <w:r>
        <w:rPr>
          <w:color w:val="000000"/>
        </w:rPr>
        <w:t xml:space="preserve"> no similar data available. We have reviewed existing published data and consulted with outside experts to identify information that could facilitate message development prior to conducting any data collection. </w:t>
      </w:r>
    </w:p>
    <w:p w:rsidR="00573E3C" w14:paraId="0000007F" w14:textId="77777777">
      <w:pPr>
        <w:widowControl w:val="0"/>
        <w:pBdr>
          <w:top w:val="nil"/>
          <w:left w:val="nil"/>
          <w:bottom w:val="nil"/>
          <w:right w:val="nil"/>
          <w:between w:val="nil"/>
        </w:pBdr>
        <w:spacing w:line="276" w:lineRule="auto"/>
        <w:ind w:firstLine="720"/>
        <w:rPr>
          <w:color w:val="000000"/>
        </w:rPr>
      </w:pPr>
    </w:p>
    <w:p w:rsidR="00573E3C" w14:paraId="00000080" w14:textId="77777777">
      <w:pPr>
        <w:pBdr>
          <w:top w:val="nil"/>
          <w:left w:val="nil"/>
          <w:bottom w:val="nil"/>
          <w:right w:val="nil"/>
          <w:between w:val="nil"/>
        </w:pBdr>
        <w:spacing w:line="276" w:lineRule="auto"/>
        <w:rPr>
          <w:color w:val="000000"/>
        </w:rPr>
      </w:pPr>
      <w:r>
        <w:rPr>
          <w:color w:val="000000"/>
        </w:rPr>
        <w:t xml:space="preserve">DFWED leads an interagency working group with other U.S. government agencies. In this working group we discuss research and communication projects to ensure there is a lack of redundancy. </w:t>
      </w:r>
    </w:p>
    <w:p w:rsidR="00573E3C" w14:paraId="00000081" w14:textId="77777777">
      <w:pPr>
        <w:pStyle w:val="Heading2"/>
        <w:spacing w:before="0" w:after="0" w:line="276" w:lineRule="auto"/>
      </w:pPr>
      <w:bookmarkStart w:id="13" w:name="_heading=h.4d34og8" w:colFirst="0" w:colLast="0"/>
      <w:bookmarkEnd w:id="13"/>
    </w:p>
    <w:p w:rsidR="00573E3C" w14:paraId="00000082" w14:textId="77777777">
      <w:pPr>
        <w:pStyle w:val="Heading2"/>
        <w:spacing w:before="0" w:after="0" w:line="276" w:lineRule="auto"/>
      </w:pPr>
      <w:bookmarkStart w:id="14" w:name="_heading=h.111kx3o" w:colFirst="0" w:colLast="0"/>
      <w:bookmarkEnd w:id="14"/>
      <w:r>
        <w:t>5</w:t>
      </w:r>
      <w:r>
        <w:tab/>
        <w:t xml:space="preserve">Impact on Small Businesses or Other Small Entities </w:t>
      </w:r>
    </w:p>
    <w:p w:rsidR="00573E3C" w14:paraId="00000083" w14:textId="77777777">
      <w:pPr>
        <w:pBdr>
          <w:top w:val="nil"/>
          <w:left w:val="nil"/>
          <w:bottom w:val="nil"/>
          <w:right w:val="nil"/>
          <w:between w:val="nil"/>
        </w:pBdr>
        <w:spacing w:line="276" w:lineRule="auto"/>
        <w:rPr>
          <w:color w:val="000000"/>
        </w:rPr>
      </w:pPr>
      <w:bookmarkStart w:id="15" w:name="_heading=h.2s8eyo1" w:colFirst="0" w:colLast="0"/>
      <w:bookmarkEnd w:id="15"/>
    </w:p>
    <w:p w:rsidR="00573E3C" w14:paraId="00000084" w14:textId="77777777">
      <w:pPr>
        <w:pBdr>
          <w:top w:val="nil"/>
          <w:left w:val="nil"/>
          <w:bottom w:val="nil"/>
          <w:right w:val="nil"/>
          <w:between w:val="nil"/>
        </w:pBdr>
        <w:spacing w:line="276" w:lineRule="auto"/>
        <w:rPr>
          <w:color w:val="000000"/>
        </w:rPr>
      </w:pPr>
      <w:r>
        <w:rPr>
          <w:color w:val="000000"/>
        </w:rPr>
        <w:t xml:space="preserve">This project does not </w:t>
      </w:r>
      <w:r>
        <w:t>have an impact</w:t>
      </w:r>
      <w:r>
        <w:rPr>
          <w:color w:val="000000"/>
        </w:rPr>
        <w:t xml:space="preserve"> on small businesses or other small entities. </w:t>
      </w:r>
    </w:p>
    <w:p w:rsidR="00573E3C" w14:paraId="00000085" w14:textId="77777777">
      <w:pPr>
        <w:pStyle w:val="Heading2"/>
        <w:spacing w:before="0" w:after="0" w:line="276" w:lineRule="auto"/>
      </w:pPr>
      <w:bookmarkStart w:id="16" w:name="_heading=h.3l18frh" w:colFirst="0" w:colLast="0"/>
      <w:bookmarkEnd w:id="16"/>
      <w:r>
        <w:t>6</w:t>
      </w:r>
      <w:r>
        <w:tab/>
        <w:t xml:space="preserve">Consequences of Collecting the Information Less Frequently </w:t>
      </w:r>
    </w:p>
    <w:p w:rsidR="00573E3C" w14:paraId="00000086" w14:textId="77777777">
      <w:pPr>
        <w:pBdr>
          <w:top w:val="nil"/>
          <w:left w:val="nil"/>
          <w:bottom w:val="nil"/>
          <w:right w:val="nil"/>
          <w:between w:val="nil"/>
        </w:pBdr>
        <w:spacing w:line="276" w:lineRule="auto"/>
        <w:rPr>
          <w:color w:val="000000"/>
        </w:rPr>
      </w:pPr>
    </w:p>
    <w:p w:rsidR="00573E3C" w14:paraId="00000087" w14:textId="77777777">
      <w:pPr>
        <w:pBdr>
          <w:top w:val="nil"/>
          <w:left w:val="nil"/>
          <w:bottom w:val="nil"/>
          <w:right w:val="nil"/>
          <w:between w:val="nil"/>
        </w:pBdr>
        <w:spacing w:line="276" w:lineRule="auto"/>
        <w:rPr>
          <w:color w:val="000000"/>
        </w:rPr>
      </w:pPr>
      <w:r>
        <w:rPr>
          <w:color w:val="000000"/>
        </w:rPr>
        <w:t xml:space="preserve">The activities involve a one-time collection of data over a 12-month period.  </w:t>
      </w:r>
    </w:p>
    <w:p w:rsidR="00573E3C" w14:paraId="00000088" w14:textId="77777777">
      <w:pPr>
        <w:pStyle w:val="Heading2"/>
        <w:spacing w:before="0" w:after="0" w:line="276" w:lineRule="auto"/>
      </w:pPr>
      <w:bookmarkStart w:id="17" w:name="_heading=h.206ipza" w:colFirst="0" w:colLast="0"/>
      <w:bookmarkEnd w:id="17"/>
      <w:r>
        <w:t>7</w:t>
      </w:r>
      <w:r>
        <w:tab/>
        <w:t xml:space="preserve">Special Circumstances Relating to the Guidelines of 5 CFR 1320.5 </w:t>
      </w:r>
    </w:p>
    <w:p w:rsidR="00573E3C" w14:paraId="00000089" w14:textId="77777777">
      <w:pPr>
        <w:pBdr>
          <w:top w:val="nil"/>
          <w:left w:val="nil"/>
          <w:bottom w:val="nil"/>
          <w:right w:val="nil"/>
          <w:between w:val="nil"/>
        </w:pBdr>
        <w:spacing w:line="276" w:lineRule="auto"/>
        <w:rPr>
          <w:color w:val="000000"/>
        </w:rPr>
      </w:pPr>
    </w:p>
    <w:p w:rsidR="00573E3C" w14:paraId="0000008A" w14:textId="698011FB">
      <w:pPr>
        <w:pBdr>
          <w:top w:val="nil"/>
          <w:left w:val="nil"/>
          <w:bottom w:val="nil"/>
          <w:right w:val="nil"/>
          <w:between w:val="nil"/>
        </w:pBdr>
        <w:spacing w:line="276" w:lineRule="auto"/>
        <w:rPr>
          <w:color w:val="000000"/>
        </w:rPr>
      </w:pPr>
      <w:r>
        <w:rPr>
          <w:color w:val="000000"/>
        </w:rPr>
        <w:t>This request fully complies with regulation 5 CFR 1320.5.</w:t>
      </w:r>
      <w:r w:rsidR="00C30E61">
        <w:rPr>
          <w:color w:val="000000"/>
        </w:rPr>
        <w:t xml:space="preserve">  </w:t>
      </w:r>
      <w:r w:rsidRPr="00C30E61" w:rsidR="00C30E61">
        <w:rPr>
          <w:color w:val="000000"/>
        </w:rPr>
        <w:t>Race and ethnicity data will be collected using minimum categories. The benefit of collecting detailed race and ethnicity data does not justify the additional burden to the agency or the public, and the risk to respondents’ privacy or confidentiality.</w:t>
      </w:r>
    </w:p>
    <w:p w:rsidR="00573E3C" w14:paraId="0000008B" w14:textId="77777777">
      <w:pPr>
        <w:pStyle w:val="Heading2"/>
        <w:spacing w:before="0" w:after="0" w:line="276" w:lineRule="auto"/>
      </w:pPr>
      <w:bookmarkStart w:id="18" w:name="_heading=h.4k668n3" w:colFirst="0" w:colLast="0"/>
      <w:bookmarkEnd w:id="18"/>
      <w:r>
        <w:t>8</w:t>
      </w:r>
      <w:r>
        <w:tab/>
        <w:t xml:space="preserve">Comments in Response to the Federal Register Notice and Efforts to Consult Outside the Agency </w:t>
      </w:r>
    </w:p>
    <w:p w:rsidR="00573E3C" w14:paraId="0000008C" w14:textId="77777777">
      <w:pPr>
        <w:pBdr>
          <w:top w:val="nil"/>
          <w:left w:val="nil"/>
          <w:bottom w:val="nil"/>
          <w:right w:val="nil"/>
          <w:between w:val="nil"/>
        </w:pBdr>
        <w:spacing w:line="276" w:lineRule="auto"/>
        <w:rPr>
          <w:color w:val="000000"/>
        </w:rPr>
      </w:pPr>
    </w:p>
    <w:p w:rsidR="00573E3C" w14:paraId="0000008D" w14:textId="77777777">
      <w:pPr>
        <w:pBdr>
          <w:top w:val="nil"/>
          <w:left w:val="nil"/>
          <w:bottom w:val="nil"/>
          <w:right w:val="nil"/>
          <w:between w:val="nil"/>
        </w:pBdr>
        <w:spacing w:line="276" w:lineRule="auto"/>
        <w:rPr>
          <w:color w:val="000000"/>
        </w:rPr>
      </w:pPr>
      <w:r>
        <w:rPr>
          <w:color w:val="000000"/>
        </w:rPr>
        <w:t xml:space="preserve">For subcollection requests under an approved generic ICR, Federal Register notices are not required, and none were published. </w:t>
      </w:r>
    </w:p>
    <w:p w:rsidR="00573E3C" w14:paraId="0000008E" w14:textId="77777777">
      <w:pPr>
        <w:keepNext/>
        <w:keepLines/>
        <w:pBdr>
          <w:top w:val="nil"/>
          <w:left w:val="nil"/>
          <w:bottom w:val="nil"/>
          <w:right w:val="nil"/>
          <w:between w:val="nil"/>
        </w:pBdr>
        <w:spacing w:line="276" w:lineRule="auto"/>
        <w:ind w:left="1260" w:hanging="1260"/>
        <w:rPr>
          <w:b/>
          <w:color w:val="000000"/>
        </w:rPr>
      </w:pPr>
      <w:bookmarkStart w:id="19" w:name="_heading=h.lnxbz9" w:colFirst="0" w:colLast="0"/>
      <w:bookmarkEnd w:id="19"/>
    </w:p>
    <w:p w:rsidR="00573E3C" w14:paraId="0000008F" w14:textId="77777777">
      <w:pPr>
        <w:keepNext/>
        <w:keepLines/>
        <w:pBdr>
          <w:top w:val="nil"/>
          <w:left w:val="nil"/>
          <w:bottom w:val="nil"/>
          <w:right w:val="nil"/>
          <w:between w:val="nil"/>
        </w:pBdr>
        <w:spacing w:line="276" w:lineRule="auto"/>
        <w:ind w:left="1260" w:hanging="1260"/>
        <w:rPr>
          <w:b/>
          <w:color w:val="000000"/>
        </w:rPr>
      </w:pPr>
    </w:p>
    <w:p w:rsidR="00573E3C" w14:paraId="00000090" w14:textId="77777777">
      <w:pPr>
        <w:keepNext/>
        <w:keepLines/>
        <w:pBdr>
          <w:top w:val="nil"/>
          <w:left w:val="nil"/>
          <w:bottom w:val="nil"/>
          <w:right w:val="nil"/>
          <w:between w:val="nil"/>
        </w:pBdr>
        <w:spacing w:line="276" w:lineRule="auto"/>
        <w:ind w:left="1260" w:hanging="1260"/>
        <w:rPr>
          <w:b/>
          <w:color w:val="000000"/>
        </w:rPr>
      </w:pPr>
      <w:r>
        <w:rPr>
          <w:b/>
          <w:color w:val="000000"/>
        </w:rPr>
        <w:t>Exhibit A.8.1.</w:t>
      </w:r>
      <w:r>
        <w:rPr>
          <w:b/>
          <w:color w:val="000000"/>
        </w:rPr>
        <w:tab/>
        <w:t xml:space="preserve">Outside Consultation </w:t>
      </w:r>
    </w:p>
    <w:tbl>
      <w:tblPr>
        <w:tblStyle w:val="51"/>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tblPr>
      <w:tblGrid>
        <w:gridCol w:w="2360"/>
        <w:gridCol w:w="1870"/>
        <w:gridCol w:w="3255"/>
        <w:gridCol w:w="2145"/>
      </w:tblGrid>
      <w:tr w14:paraId="518E58E2" w14:textId="77777777" w:rsidTr="00707E54">
        <w:tblPrEx>
          <w:tblW w:w="963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20"/>
        </w:tblPrEx>
        <w:tc>
          <w:tcPr>
            <w:tcW w:w="2360" w:type="dxa"/>
          </w:tcPr>
          <w:p w:rsidR="00573E3C" w14:paraId="00000091" w14:textId="77777777">
            <w:pPr>
              <w:spacing w:line="276" w:lineRule="auto"/>
              <w:rPr>
                <w:b/>
              </w:rPr>
            </w:pPr>
            <w:bookmarkStart w:id="20" w:name="bookmark=id.1ksv4uv" w:colFirst="0" w:colLast="0"/>
            <w:bookmarkStart w:id="21" w:name="bookmark=id.44sinio" w:colFirst="0" w:colLast="0"/>
            <w:bookmarkStart w:id="22" w:name="_heading=h.35nkun2" w:colFirst="0" w:colLast="0"/>
            <w:bookmarkEnd w:id="20"/>
            <w:bookmarkEnd w:id="21"/>
            <w:bookmarkEnd w:id="22"/>
            <w:r>
              <w:rPr>
                <w:b/>
              </w:rPr>
              <w:t xml:space="preserve">Name </w:t>
            </w:r>
          </w:p>
        </w:tc>
        <w:tc>
          <w:tcPr>
            <w:tcW w:w="1870" w:type="dxa"/>
          </w:tcPr>
          <w:p w:rsidR="00573E3C" w14:paraId="00000092" w14:textId="77777777">
            <w:pPr>
              <w:spacing w:line="276" w:lineRule="auto"/>
              <w:rPr>
                <w:b/>
              </w:rPr>
            </w:pPr>
            <w:r>
              <w:rPr>
                <w:b/>
              </w:rPr>
              <w:t xml:space="preserve">Affiliation  </w:t>
            </w:r>
          </w:p>
        </w:tc>
        <w:tc>
          <w:tcPr>
            <w:tcW w:w="3255" w:type="dxa"/>
          </w:tcPr>
          <w:p w:rsidR="00573E3C" w14:paraId="00000093" w14:textId="77777777">
            <w:pPr>
              <w:spacing w:line="276" w:lineRule="auto"/>
              <w:rPr>
                <w:b/>
              </w:rPr>
            </w:pPr>
            <w:r>
              <w:rPr>
                <w:b/>
              </w:rPr>
              <w:t xml:space="preserve">Email </w:t>
            </w:r>
          </w:p>
        </w:tc>
        <w:tc>
          <w:tcPr>
            <w:tcW w:w="2145" w:type="dxa"/>
          </w:tcPr>
          <w:p w:rsidR="00573E3C" w14:paraId="00000094" w14:textId="77777777">
            <w:pPr>
              <w:spacing w:line="276" w:lineRule="auto"/>
              <w:rPr>
                <w:b/>
              </w:rPr>
            </w:pPr>
            <w:r>
              <w:rPr>
                <w:b/>
              </w:rPr>
              <w:t>Phone</w:t>
            </w:r>
          </w:p>
        </w:tc>
      </w:tr>
      <w:tr w14:paraId="5CF4AA9F" w14:textId="77777777" w:rsidTr="00707E54">
        <w:tblPrEx>
          <w:tblW w:w="9630" w:type="dxa"/>
          <w:tblInd w:w="-5" w:type="dxa"/>
          <w:tblLayout w:type="fixed"/>
          <w:tblLook w:val="0420"/>
        </w:tblPrEx>
        <w:tc>
          <w:tcPr>
            <w:tcW w:w="2360" w:type="dxa"/>
          </w:tcPr>
          <w:p w:rsidR="00573E3C" w14:paraId="00000095" w14:textId="77777777">
            <w:pPr>
              <w:spacing w:line="276" w:lineRule="auto"/>
            </w:pPr>
            <w:r>
              <w:t xml:space="preserve">Sara Bresee </w:t>
            </w:r>
          </w:p>
        </w:tc>
        <w:tc>
          <w:tcPr>
            <w:tcW w:w="1870" w:type="dxa"/>
          </w:tcPr>
          <w:p w:rsidR="00573E3C" w14:paraId="00000096" w14:textId="77777777">
            <w:pPr>
              <w:spacing w:line="276" w:lineRule="auto"/>
            </w:pPr>
            <w:r>
              <w:t>CDC</w:t>
            </w:r>
          </w:p>
        </w:tc>
        <w:tc>
          <w:tcPr>
            <w:tcW w:w="3255" w:type="dxa"/>
          </w:tcPr>
          <w:p w:rsidR="00573E3C" w14:paraId="00000097" w14:textId="77777777">
            <w:pPr>
              <w:spacing w:line="276" w:lineRule="auto"/>
            </w:pPr>
            <w:r>
              <w:rPr>
                <w:highlight w:val="white"/>
              </w:rPr>
              <w:t>yla4@cdc.gov</w:t>
            </w:r>
          </w:p>
        </w:tc>
        <w:tc>
          <w:tcPr>
            <w:tcW w:w="2145" w:type="dxa"/>
          </w:tcPr>
          <w:p w:rsidR="00573E3C" w14:paraId="00000098" w14:textId="77777777">
            <w:pPr>
              <w:spacing w:line="276" w:lineRule="auto"/>
            </w:pPr>
            <w:r>
              <w:t>Office: 404.639.3371</w:t>
            </w:r>
          </w:p>
        </w:tc>
      </w:tr>
      <w:tr w14:paraId="31426B68" w14:textId="77777777" w:rsidTr="00707E54">
        <w:tblPrEx>
          <w:tblW w:w="9630" w:type="dxa"/>
          <w:tblInd w:w="-5" w:type="dxa"/>
          <w:tblLayout w:type="fixed"/>
          <w:tblLook w:val="0420"/>
        </w:tblPrEx>
        <w:trPr>
          <w:trHeight w:val="467"/>
        </w:trPr>
        <w:tc>
          <w:tcPr>
            <w:tcW w:w="2360" w:type="dxa"/>
          </w:tcPr>
          <w:p w:rsidR="00573E3C" w14:paraId="00000099" w14:textId="77777777">
            <w:pPr>
              <w:spacing w:line="276" w:lineRule="auto"/>
            </w:pPr>
            <w:r>
              <w:t>Laura Whitlock</w:t>
            </w:r>
          </w:p>
        </w:tc>
        <w:tc>
          <w:tcPr>
            <w:tcW w:w="1870" w:type="dxa"/>
          </w:tcPr>
          <w:p w:rsidR="00573E3C" w14:paraId="0000009A" w14:textId="77777777">
            <w:pPr>
              <w:spacing w:line="276" w:lineRule="auto"/>
            </w:pPr>
            <w:r>
              <w:t>CDC</w:t>
            </w:r>
          </w:p>
        </w:tc>
        <w:tc>
          <w:tcPr>
            <w:tcW w:w="3255" w:type="dxa"/>
          </w:tcPr>
          <w:p w:rsidR="00573E3C" w14:paraId="0000009B" w14:textId="77777777">
            <w:pPr>
              <w:spacing w:line="276" w:lineRule="auto"/>
            </w:pPr>
            <w:r>
              <w:t>kuf2@cdc.gov</w:t>
            </w:r>
          </w:p>
        </w:tc>
        <w:tc>
          <w:tcPr>
            <w:tcW w:w="2145" w:type="dxa"/>
          </w:tcPr>
          <w:p w:rsidR="00573E3C" w14:paraId="0000009C" w14:textId="77777777">
            <w:pPr>
              <w:spacing w:line="276" w:lineRule="auto"/>
            </w:pPr>
            <w:r>
              <w:t>Office: 404.718.4574</w:t>
            </w:r>
          </w:p>
        </w:tc>
      </w:tr>
      <w:tr w14:paraId="5C1F3FDC" w14:textId="77777777" w:rsidTr="00707E54">
        <w:tblPrEx>
          <w:tblW w:w="9630" w:type="dxa"/>
          <w:tblInd w:w="-5" w:type="dxa"/>
          <w:tblLayout w:type="fixed"/>
          <w:tblLook w:val="0420"/>
        </w:tblPrEx>
        <w:tc>
          <w:tcPr>
            <w:tcW w:w="2360" w:type="dxa"/>
          </w:tcPr>
          <w:p w:rsidR="00573E3C" w14:paraId="0000009D" w14:textId="77777777">
            <w:pPr>
              <w:spacing w:line="276" w:lineRule="auto"/>
            </w:pPr>
            <w:r>
              <w:t>Deanna Amarosa</w:t>
            </w:r>
          </w:p>
        </w:tc>
        <w:tc>
          <w:tcPr>
            <w:tcW w:w="1870" w:type="dxa"/>
          </w:tcPr>
          <w:p w:rsidR="00573E3C" w14:paraId="0000009E" w14:textId="77777777">
            <w:pPr>
              <w:spacing w:line="276" w:lineRule="auto"/>
            </w:pPr>
            <w:r>
              <w:t>CDC</w:t>
            </w:r>
          </w:p>
        </w:tc>
        <w:tc>
          <w:tcPr>
            <w:tcW w:w="3255" w:type="dxa"/>
          </w:tcPr>
          <w:p w:rsidR="00573E3C" w14:paraId="0000009F" w14:textId="77777777">
            <w:pPr>
              <w:spacing w:line="276" w:lineRule="auto"/>
            </w:pPr>
            <w:r>
              <w:t xml:space="preserve">uqm3@cdc.gov </w:t>
            </w:r>
          </w:p>
        </w:tc>
        <w:tc>
          <w:tcPr>
            <w:tcW w:w="2145" w:type="dxa"/>
          </w:tcPr>
          <w:p w:rsidR="00573E3C" w14:paraId="000000A0" w14:textId="77777777">
            <w:pPr>
              <w:spacing w:line="276" w:lineRule="auto"/>
            </w:pPr>
            <w:r>
              <w:t>Office:</w:t>
            </w:r>
            <w:r>
              <w:br/>
              <w:t>404.639.8805</w:t>
            </w:r>
          </w:p>
        </w:tc>
      </w:tr>
      <w:tr w14:paraId="35E1B4E9" w14:textId="32834150" w:rsidTr="00707E54">
        <w:tblPrEx>
          <w:tblW w:w="9630" w:type="dxa"/>
          <w:tblInd w:w="-5" w:type="dxa"/>
          <w:tblLayout w:type="fixed"/>
          <w:tblLook w:val="0420"/>
        </w:tblPrEx>
        <w:tc>
          <w:tcPr>
            <w:tcW w:w="2360" w:type="dxa"/>
          </w:tcPr>
          <w:p w:rsidR="00573E3C" w14:paraId="000000A1" w14:textId="06049890">
            <w:pPr>
              <w:spacing w:line="276" w:lineRule="auto"/>
            </w:pPr>
            <w:r>
              <w:t>Mmesoma Saffold</w:t>
            </w:r>
          </w:p>
        </w:tc>
        <w:tc>
          <w:tcPr>
            <w:tcW w:w="1870" w:type="dxa"/>
          </w:tcPr>
          <w:p w:rsidR="00573E3C" w14:paraId="000000A2" w14:textId="1207E50D">
            <w:pPr>
              <w:spacing w:line="276" w:lineRule="auto"/>
            </w:pPr>
            <w:r>
              <w:t>CDC</w:t>
            </w:r>
          </w:p>
        </w:tc>
        <w:tc>
          <w:tcPr>
            <w:tcW w:w="3255" w:type="dxa"/>
          </w:tcPr>
          <w:p w:rsidR="00573E3C" w:rsidP="00AF4F04" w14:paraId="000000A4" w14:textId="533D3249">
            <w:pPr>
              <w:spacing w:line="276" w:lineRule="auto"/>
            </w:pPr>
            <w:r>
              <w:t>-</w:t>
            </w:r>
          </w:p>
        </w:tc>
        <w:tc>
          <w:tcPr>
            <w:tcW w:w="2145" w:type="dxa"/>
          </w:tcPr>
          <w:p w:rsidR="00573E3C" w14:paraId="000000A5" w14:textId="0F221CEA">
            <w:pPr>
              <w:spacing w:line="276" w:lineRule="auto"/>
            </w:pPr>
            <w:r>
              <w:t>-</w:t>
            </w:r>
          </w:p>
        </w:tc>
      </w:tr>
      <w:tr w14:paraId="2EE62E41" w14:textId="75A3B05D" w:rsidTr="00707E54">
        <w:tblPrEx>
          <w:tblW w:w="9630" w:type="dxa"/>
          <w:tblInd w:w="-5" w:type="dxa"/>
          <w:tblLayout w:type="fixed"/>
          <w:tblLook w:val="0420"/>
        </w:tblPrEx>
        <w:tc>
          <w:tcPr>
            <w:tcW w:w="2360" w:type="dxa"/>
          </w:tcPr>
          <w:p w:rsidR="00573E3C" w14:paraId="000000A6" w14:textId="6E33943E">
            <w:pPr>
              <w:spacing w:line="276" w:lineRule="auto"/>
            </w:pPr>
            <w:r>
              <w:t>Nora Kuiper</w:t>
            </w:r>
          </w:p>
        </w:tc>
        <w:tc>
          <w:tcPr>
            <w:tcW w:w="1870" w:type="dxa"/>
          </w:tcPr>
          <w:p w:rsidR="00573E3C" w14:paraId="000000A7" w14:textId="47C749E7">
            <w:pPr>
              <w:spacing w:line="276" w:lineRule="auto"/>
            </w:pPr>
            <w:r>
              <w:t>Banyan Communication</w:t>
            </w:r>
          </w:p>
        </w:tc>
        <w:tc>
          <w:tcPr>
            <w:tcW w:w="3255" w:type="dxa"/>
          </w:tcPr>
          <w:p w:rsidR="00573E3C" w14:paraId="000000A8" w14:textId="7FD05D9D">
            <w:pPr>
              <w:spacing w:line="276" w:lineRule="auto"/>
            </w:pPr>
            <w:r>
              <w:t>-</w:t>
            </w:r>
          </w:p>
        </w:tc>
        <w:tc>
          <w:tcPr>
            <w:tcW w:w="2145" w:type="dxa"/>
          </w:tcPr>
          <w:p w:rsidR="00573E3C" w14:paraId="000000AA" w14:textId="4919ADDF">
            <w:pPr>
              <w:spacing w:line="276" w:lineRule="auto"/>
            </w:pPr>
            <w:r>
              <w:t>-</w:t>
            </w:r>
          </w:p>
        </w:tc>
      </w:tr>
      <w:tr w14:paraId="4F8944C3" w14:textId="16B78832" w:rsidTr="00707E54">
        <w:tblPrEx>
          <w:tblW w:w="9630" w:type="dxa"/>
          <w:tblInd w:w="-5" w:type="dxa"/>
          <w:tblLayout w:type="fixed"/>
          <w:tblLook w:val="0420"/>
        </w:tblPrEx>
        <w:tc>
          <w:tcPr>
            <w:tcW w:w="2360" w:type="dxa"/>
          </w:tcPr>
          <w:p w:rsidR="00573E3C" w14:paraId="000000AB" w14:textId="7A2FBB8D">
            <w:pPr>
              <w:spacing w:line="276" w:lineRule="auto"/>
            </w:pPr>
            <w:r>
              <w:t>Tola Aina</w:t>
            </w:r>
          </w:p>
        </w:tc>
        <w:tc>
          <w:tcPr>
            <w:tcW w:w="1870" w:type="dxa"/>
          </w:tcPr>
          <w:p w:rsidR="00573E3C" w14:paraId="000000AC" w14:textId="2E31380D">
            <w:pPr>
              <w:spacing w:line="276" w:lineRule="auto"/>
            </w:pPr>
            <w:r>
              <w:t>Banyan Communications</w:t>
            </w:r>
          </w:p>
        </w:tc>
        <w:tc>
          <w:tcPr>
            <w:tcW w:w="3255" w:type="dxa"/>
          </w:tcPr>
          <w:p w:rsidR="00573E3C" w14:paraId="000000AD" w14:textId="60B18DB7">
            <w:pPr>
              <w:spacing w:line="276" w:lineRule="auto"/>
            </w:pPr>
            <w:r>
              <w:t>-</w:t>
            </w:r>
          </w:p>
        </w:tc>
        <w:tc>
          <w:tcPr>
            <w:tcW w:w="2145" w:type="dxa"/>
          </w:tcPr>
          <w:p w:rsidR="00573E3C" w14:paraId="000000AE" w14:textId="2F9F6864">
            <w:pPr>
              <w:spacing w:line="276" w:lineRule="auto"/>
            </w:pPr>
            <w:r>
              <w:t>-</w:t>
            </w:r>
          </w:p>
        </w:tc>
      </w:tr>
      <w:tr w14:paraId="601FBBD0" w14:textId="1DFD841F" w:rsidTr="00707E54">
        <w:tblPrEx>
          <w:tblW w:w="9630" w:type="dxa"/>
          <w:tblInd w:w="-5" w:type="dxa"/>
          <w:tblLayout w:type="fixed"/>
          <w:tblLook w:val="0420"/>
        </w:tblPrEx>
        <w:tc>
          <w:tcPr>
            <w:tcW w:w="2360" w:type="dxa"/>
          </w:tcPr>
          <w:p w:rsidR="00573E3C" w14:paraId="000000AF" w14:textId="3E823768">
            <w:pPr>
              <w:spacing w:line="276" w:lineRule="auto"/>
            </w:pPr>
            <w:r>
              <w:t>Sharanya Thummalapally</w:t>
            </w:r>
          </w:p>
        </w:tc>
        <w:tc>
          <w:tcPr>
            <w:tcW w:w="1870" w:type="dxa"/>
          </w:tcPr>
          <w:p w:rsidR="00573E3C" w14:paraId="000000B0" w14:textId="6AA34043">
            <w:pPr>
              <w:spacing w:line="276" w:lineRule="auto"/>
            </w:pPr>
            <w:r>
              <w:t>Banyan Communications</w:t>
            </w:r>
          </w:p>
        </w:tc>
        <w:tc>
          <w:tcPr>
            <w:tcW w:w="3255" w:type="dxa"/>
          </w:tcPr>
          <w:p w:rsidR="00573E3C" w14:paraId="000000B1" w14:textId="2B6BB286">
            <w:pPr>
              <w:spacing w:line="276" w:lineRule="auto"/>
            </w:pPr>
            <w:r>
              <w:t>-</w:t>
            </w:r>
          </w:p>
        </w:tc>
        <w:tc>
          <w:tcPr>
            <w:tcW w:w="2145" w:type="dxa"/>
          </w:tcPr>
          <w:p w:rsidR="00573E3C" w14:paraId="000000B2" w14:textId="7D9C75A7">
            <w:pPr>
              <w:spacing w:line="276" w:lineRule="auto"/>
            </w:pPr>
            <w:r>
              <w:t>-</w:t>
            </w:r>
          </w:p>
        </w:tc>
      </w:tr>
      <w:tr w14:paraId="7CD3C3DC" w14:textId="002CF686" w:rsidTr="00707E54">
        <w:tblPrEx>
          <w:tblW w:w="9630" w:type="dxa"/>
          <w:tblInd w:w="-5" w:type="dxa"/>
          <w:tblLayout w:type="fixed"/>
          <w:tblLook w:val="0420"/>
        </w:tblPrEx>
        <w:trPr>
          <w:trHeight w:val="300"/>
        </w:trPr>
        <w:tc>
          <w:tcPr>
            <w:tcW w:w="2360" w:type="dxa"/>
          </w:tcPr>
          <w:p w:rsidR="07DEE44C" w:rsidP="064C28D8" w14:paraId="2441E509" w14:textId="35F2A13D">
            <w:pPr>
              <w:spacing w:line="276" w:lineRule="auto"/>
            </w:pPr>
            <w:r>
              <w:t>Abigail Mariani</w:t>
            </w:r>
          </w:p>
        </w:tc>
        <w:tc>
          <w:tcPr>
            <w:tcW w:w="1870" w:type="dxa"/>
          </w:tcPr>
          <w:p w:rsidR="07DEE44C" w:rsidP="064C28D8" w14:paraId="25C6AABE" w14:textId="4F9D31DF">
            <w:pPr>
              <w:spacing w:line="276" w:lineRule="auto"/>
            </w:pPr>
            <w:r>
              <w:t>Banyan Communications</w:t>
            </w:r>
          </w:p>
        </w:tc>
        <w:tc>
          <w:tcPr>
            <w:tcW w:w="3255" w:type="dxa"/>
          </w:tcPr>
          <w:p w:rsidR="07DEE44C" w:rsidP="064C28D8" w14:paraId="48094D0C" w14:textId="42018D3B">
            <w:pPr>
              <w:spacing w:line="276" w:lineRule="auto"/>
            </w:pPr>
            <w:r>
              <w:t>-</w:t>
            </w:r>
          </w:p>
        </w:tc>
        <w:tc>
          <w:tcPr>
            <w:tcW w:w="2145" w:type="dxa"/>
          </w:tcPr>
          <w:p w:rsidR="07DEE44C" w:rsidP="064C28D8" w14:paraId="67E1AD92" w14:textId="550BF190">
            <w:pPr>
              <w:spacing w:line="276" w:lineRule="auto"/>
            </w:pPr>
            <w:r>
              <w:t>-</w:t>
            </w:r>
          </w:p>
        </w:tc>
      </w:tr>
      <w:tr w14:paraId="2C46982E" w14:textId="74EA98BA" w:rsidTr="00707E54">
        <w:tblPrEx>
          <w:tblW w:w="9630" w:type="dxa"/>
          <w:tblInd w:w="-5" w:type="dxa"/>
          <w:tblLayout w:type="fixed"/>
          <w:tblLook w:val="0420"/>
        </w:tblPrEx>
        <w:tc>
          <w:tcPr>
            <w:tcW w:w="2360" w:type="dxa"/>
          </w:tcPr>
          <w:p w:rsidR="00573E3C" w14:paraId="000000BB" w14:textId="31DBC69D">
            <w:pPr>
              <w:spacing w:line="276" w:lineRule="auto"/>
            </w:pPr>
            <w:r>
              <w:t>Bria Berry</w:t>
            </w:r>
          </w:p>
        </w:tc>
        <w:tc>
          <w:tcPr>
            <w:tcW w:w="1870" w:type="dxa"/>
          </w:tcPr>
          <w:p w:rsidR="00573E3C" w14:paraId="000000BC" w14:textId="7A9EC45E">
            <w:pPr>
              <w:spacing w:line="276" w:lineRule="auto"/>
            </w:pPr>
            <w:r>
              <w:t>Banyan Communications</w:t>
            </w:r>
          </w:p>
        </w:tc>
        <w:tc>
          <w:tcPr>
            <w:tcW w:w="3255" w:type="dxa"/>
          </w:tcPr>
          <w:p w:rsidR="00573E3C" w14:paraId="000000BD" w14:textId="5EB9EA99">
            <w:pPr>
              <w:spacing w:line="276" w:lineRule="auto"/>
            </w:pPr>
            <w:r>
              <w:t>-</w:t>
            </w:r>
          </w:p>
        </w:tc>
        <w:tc>
          <w:tcPr>
            <w:tcW w:w="2145" w:type="dxa"/>
          </w:tcPr>
          <w:p w:rsidR="00573E3C" w14:paraId="000000BF" w14:textId="40E35DEB">
            <w:pPr>
              <w:spacing w:line="276" w:lineRule="auto"/>
            </w:pPr>
            <w:r>
              <w:t>-</w:t>
            </w:r>
          </w:p>
        </w:tc>
      </w:tr>
    </w:tbl>
    <w:p w:rsidR="00573E3C" w14:paraId="000000C0" w14:textId="77777777">
      <w:pPr>
        <w:keepLines/>
        <w:pBdr>
          <w:top w:val="nil"/>
          <w:left w:val="nil"/>
          <w:bottom w:val="nil"/>
          <w:right w:val="nil"/>
          <w:between w:val="nil"/>
        </w:pBdr>
        <w:spacing w:line="276" w:lineRule="auto"/>
        <w:rPr>
          <w:rFonts w:ascii="Arial Narrow" w:eastAsia="Arial Narrow" w:hAnsi="Arial Narrow" w:cs="Arial Narrow"/>
          <w:b/>
          <w:sz w:val="28"/>
          <w:szCs w:val="28"/>
        </w:rPr>
      </w:pPr>
    </w:p>
    <w:p w:rsidR="00573E3C" w14:paraId="000000C1" w14:textId="77777777">
      <w:pPr>
        <w:keepLines/>
        <w:pBdr>
          <w:top w:val="nil"/>
          <w:left w:val="nil"/>
          <w:bottom w:val="nil"/>
          <w:right w:val="nil"/>
          <w:between w:val="nil"/>
        </w:pBdr>
        <w:spacing w:line="276" w:lineRule="auto"/>
        <w:rPr>
          <w:color w:val="000000"/>
        </w:rPr>
      </w:pPr>
      <w:r>
        <w:rPr>
          <w:color w:val="000000"/>
        </w:rPr>
        <w:t>To ensure there is no duplication or redundancy of effort across projects and programs, program staff will consult with a variety of sources on the availability of data, frequency of collection, clarity of instructions, and record keeping, disclosure, and reporting format (if any), and on the data elements to be recorded, disclosed, or reported. CDC staff has consulted with relevant Federal agencies and national associations that conduct food safety messaging (e.g., USDA, FDA).</w:t>
      </w:r>
    </w:p>
    <w:p w:rsidR="00573E3C" w14:paraId="000000C2" w14:textId="77777777">
      <w:pPr>
        <w:pStyle w:val="Heading2"/>
        <w:spacing w:before="0" w:after="0" w:line="276" w:lineRule="auto"/>
      </w:pPr>
      <w:bookmarkStart w:id="23" w:name="_heading=h.2jxsxqh" w:colFirst="0" w:colLast="0"/>
      <w:bookmarkEnd w:id="23"/>
    </w:p>
    <w:p w:rsidR="00573E3C" w14:paraId="000000C3" w14:textId="77777777">
      <w:pPr>
        <w:pStyle w:val="Heading2"/>
        <w:spacing w:before="0" w:after="0" w:line="276" w:lineRule="auto"/>
        <w:ind w:left="0" w:firstLine="0"/>
      </w:pPr>
      <w:bookmarkStart w:id="24" w:name="_heading=h.2zbgiuw" w:colFirst="0" w:colLast="0"/>
      <w:bookmarkEnd w:id="24"/>
      <w:r>
        <w:t>9</w:t>
      </w:r>
      <w:r>
        <w:tab/>
        <w:t xml:space="preserve">Explanation of Any Payment or Gift to Respondents </w:t>
      </w:r>
    </w:p>
    <w:p w:rsidR="00573E3C" w14:paraId="000000C4" w14:textId="77777777">
      <w:pPr>
        <w:pBdr>
          <w:top w:val="nil"/>
          <w:left w:val="nil"/>
          <w:bottom w:val="nil"/>
          <w:right w:val="nil"/>
          <w:between w:val="nil"/>
        </w:pBdr>
        <w:spacing w:line="276" w:lineRule="auto"/>
        <w:rPr>
          <w:color w:val="000000"/>
        </w:rPr>
      </w:pPr>
      <w:bookmarkStart w:id="25" w:name="_heading=h.z337ya" w:colFirst="0" w:colLast="0"/>
      <w:bookmarkEnd w:id="25"/>
    </w:p>
    <w:p w:rsidR="00573E3C" w14:paraId="000000C5" w14:textId="77777777">
      <w:pPr>
        <w:pBdr>
          <w:top w:val="nil"/>
          <w:left w:val="nil"/>
          <w:bottom w:val="nil"/>
          <w:right w:val="nil"/>
          <w:between w:val="nil"/>
        </w:pBdr>
        <w:rPr>
          <w:color w:val="000000"/>
        </w:rPr>
      </w:pPr>
      <w:r>
        <w:rPr>
          <w:color w:val="000000"/>
        </w:rPr>
        <w:t>We will provide a token of appreciation of $</w:t>
      </w:r>
      <w:r>
        <w:t>75</w:t>
      </w:r>
      <w:r>
        <w:rPr>
          <w:color w:val="000000"/>
        </w:rPr>
        <w:t xml:space="preserve"> for each individual who participates in the </w:t>
      </w:r>
      <w:r>
        <w:t>focus group</w:t>
      </w:r>
      <w:r>
        <w:rPr>
          <w:color w:val="000000"/>
        </w:rPr>
        <w:t xml:space="preserve">. Tokens of appreciation were determined based on previous projects and experience with conducting </w:t>
      </w:r>
      <w:r>
        <w:t>focus groups</w:t>
      </w:r>
      <w:r>
        <w:rPr>
          <w:color w:val="000000"/>
        </w:rPr>
        <w:t xml:space="preserve"> with individuals. The range of monetary reward is consistent with current rates for participation in formative projects. </w:t>
      </w:r>
      <w:r>
        <w:t>Tokens of appreciation</w:t>
      </w:r>
      <w:r>
        <w:rPr>
          <w:color w:val="000000"/>
        </w:rPr>
        <w:t xml:space="preserve"> will take the form of gift cards. </w:t>
      </w:r>
    </w:p>
    <w:p w:rsidR="00573E3C" w14:paraId="000000C6" w14:textId="77777777">
      <w:pPr>
        <w:rPr>
          <w:color w:val="000000"/>
        </w:rPr>
      </w:pPr>
    </w:p>
    <w:p w:rsidR="00573E3C" w:rsidP="686E2DDD" w14:paraId="000000C8" w14:textId="66C7B271">
      <w:pPr>
        <w:rPr>
          <w:color w:val="000000" w:themeColor="text1"/>
        </w:rPr>
      </w:pPr>
      <w:r w:rsidRPr="686E2DDD">
        <w:rPr>
          <w:color w:val="000000" w:themeColor="text1"/>
        </w:rPr>
        <w:t xml:space="preserve">Reviewed literature revealed the payment of incentives can provide significant advantages to the government in terms of direct cost savings and improved data quality (see references). As participants often have competing demands for their time, a token of appreciation for participation in a study is warranted. The use of a token of appreciation treats participants justly and with respect by recognizing and acknowledging the effort participants expend to participate. Numerous empirical studies have also shown that a token of appreciation can significantly increase response rates in cross-sectional studies and reduce attrition in longitudinal studies (e.g., Abreu &amp; Winters, 1999; Castiglioni et al., 2008). It also should be noted that message testing is a marketing technique, and it is standard practice among commercial market researchers to offer incentives as part of respondent recruitment. </w:t>
      </w:r>
    </w:p>
    <w:p w:rsidR="00573E3C" w14:paraId="000000C9" w14:textId="77777777">
      <w:pPr>
        <w:rPr>
          <w:color w:val="000000"/>
        </w:rPr>
      </w:pPr>
    </w:p>
    <w:p w:rsidR="00573E3C" w14:paraId="000000CA" w14:textId="3C91F997">
      <w:pPr>
        <w:rPr>
          <w:color w:val="000000"/>
        </w:rPr>
      </w:pPr>
      <w:r w:rsidRPr="686E2DDD">
        <w:rPr>
          <w:color w:val="000000" w:themeColor="text1"/>
        </w:rPr>
        <w:t>We are over-sampling those disproportionately affected from foodborne, waterborne and fungal diseases, including racial and ethnic minorities, and pregnant people. DFWED has had difficulties recruiting sufficient samples of these subpopulations in previous messaging projects. Having insufficient representation from these subgroups means their perspectives are not adequately included in message development and results in less effective messaging to support DFWED's goals to "improve public health nationally and internationally through the prevention and control of disease, disability, and death caused by foodborne, waterborne, and environmentally transmitted infections." An appropriate incentive improves the chances for these subgroups to participate, therefore increasing the government's efficiency in data collection and reducing redundancies for future efforts.</w:t>
      </w:r>
    </w:p>
    <w:p w:rsidR="00573E3C" w14:paraId="000000CB" w14:textId="77777777"/>
    <w:p w:rsidR="00573E3C" w14:paraId="000000CC" w14:textId="77777777">
      <w:r>
        <w:t>These subgroups have been difficult for DFWED to reach for several reasons. </w:t>
      </w:r>
    </w:p>
    <w:p w:rsidR="00573E3C" w:rsidP="686E2DDD" w14:paraId="457D3EF2" w14:textId="1402CD96">
      <w:pPr>
        <w:numPr>
          <w:ilvl w:val="0"/>
          <w:numId w:val="1"/>
        </w:numPr>
        <w:spacing w:before="280" w:after="280"/>
      </w:pPr>
      <w:r>
        <w:t xml:space="preserve">The racial and ethnic subgroups who are being asked to participate are historically less likely to participate in research activities due to mistrust in the medical system fostered by research institutions. Specifically, </w:t>
      </w:r>
      <w:r w:rsidR="26A5377F">
        <w:t>Hispanic/</w:t>
      </w:r>
      <w:r>
        <w:t>Latino populations participate in research activities at a lower rate than their White counterparts. Offering a higher token of appreciation addresses</w:t>
      </w:r>
      <w:r w:rsidR="66D42A2F">
        <w:t xml:space="preserve"> </w:t>
      </w:r>
      <w:r w:rsidR="3826B479">
        <w:t>i</w:t>
      </w:r>
      <w:r>
        <w:t>ssues brought on by historically unjust research practices, by encouraging participation from a more diverse pool of participants.</w:t>
      </w:r>
    </w:p>
    <w:p w:rsidR="00573E3C" w:rsidP="686E2DDD" w14:paraId="000000CF" w14:textId="099C5EA6">
      <w:pPr>
        <w:numPr>
          <w:ilvl w:val="0"/>
          <w:numId w:val="1"/>
        </w:numPr>
        <w:spacing w:before="280" w:after="280"/>
      </w:pPr>
      <w:r>
        <w:t>Racial and ethnic subgroups such as Hispanic/L</w:t>
      </w:r>
      <w:r w:rsidR="00D672FC">
        <w:t>atino populations are more likely to be low-income and economically disadvantaged. Their social economic situation makes it harder for these groups to take off from or miss work to participate in research. Though the groups are virtual, low-income populations are less likely to have jobs where they work from home and may have to miss work or leave work to participate. Offering a higher token of appreciation may address this issue.</w:t>
      </w:r>
      <w:r w:rsidR="00D672FC">
        <w:br/>
      </w:r>
    </w:p>
    <w:p w:rsidR="00573E3C" w14:paraId="000000D0" w14:textId="77AEE2BA">
      <w:bookmarkStart w:id="26" w:name="_heading=h.1egqt2p"/>
      <w:bookmarkEnd w:id="26"/>
      <w:r>
        <w:t>A</w:t>
      </w:r>
      <w:r w:rsidR="7336E208">
        <w:t xml:space="preserve"> similar communication evaluation project conducted in the summer of 2023 was approved for $75 per person for a 60</w:t>
      </w:r>
      <w:r w:rsidR="70C63000">
        <w:t>-</w:t>
      </w:r>
      <w:r w:rsidR="7336E208">
        <w:t xml:space="preserve">minute focus group discussion (OMB: 0920-1154, </w:t>
      </w:r>
      <w:r w:rsidR="00100CA5">
        <w:t>Agency IC Tracking Number</w:t>
      </w:r>
      <w:r w:rsidR="7336E208">
        <w:t>: 0920-23DK). During this project, the team was very successful and w</w:t>
      </w:r>
      <w:r w:rsidR="55386D7A">
        <w:t>as</w:t>
      </w:r>
      <w:r w:rsidR="7336E208">
        <w:t xml:space="preserve"> able to recruit 115 individuals (the goal was to recruit 144). </w:t>
      </w:r>
    </w:p>
    <w:p w:rsidR="00573E3C" w14:paraId="000000D1" w14:textId="77777777">
      <w:bookmarkStart w:id="27" w:name="_heading=h.3ygebqi" w:colFirst="0" w:colLast="0"/>
      <w:bookmarkEnd w:id="27"/>
    </w:p>
    <w:p w:rsidR="00573E3C" w14:paraId="000000D2" w14:textId="77777777">
      <w:pPr>
        <w:spacing w:line="276" w:lineRule="auto"/>
        <w:rPr>
          <w:color w:val="000000"/>
        </w:rPr>
      </w:pPr>
    </w:p>
    <w:p w:rsidR="00573E3C" w14:paraId="000000D3" w14:textId="77777777">
      <w:pPr>
        <w:pStyle w:val="Heading2"/>
        <w:spacing w:before="0" w:after="0" w:line="276" w:lineRule="auto"/>
      </w:pPr>
      <w:bookmarkStart w:id="28" w:name="_heading=h.2dlolyb" w:colFirst="0" w:colLast="0"/>
      <w:bookmarkEnd w:id="28"/>
      <w:r>
        <w:t>10</w:t>
      </w:r>
      <w:r>
        <w:tab/>
        <w:t xml:space="preserve">Assurance of Privacy Provided to Respondents </w:t>
      </w:r>
    </w:p>
    <w:p w:rsidR="00573E3C" w14:paraId="000000D4" w14:textId="77777777">
      <w:pPr>
        <w:pBdr>
          <w:top w:val="nil"/>
          <w:left w:val="nil"/>
          <w:bottom w:val="nil"/>
          <w:right w:val="nil"/>
          <w:between w:val="nil"/>
        </w:pBdr>
        <w:spacing w:line="276" w:lineRule="auto"/>
        <w:rPr>
          <w:color w:val="000000"/>
        </w:rPr>
      </w:pPr>
      <w:bookmarkStart w:id="29" w:name="_heading=h.1y810tw" w:colFirst="0" w:colLast="0"/>
      <w:bookmarkEnd w:id="29"/>
    </w:p>
    <w:p w:rsidR="00573E3C" w14:paraId="000000D5" w14:textId="77777777">
      <w:pPr>
        <w:spacing w:line="276" w:lineRule="auto"/>
      </w:pPr>
      <w:r>
        <w:t>Contractors and anyone listening to the project will be required to sign a privacy agreement prior to the start of the project (</w:t>
      </w:r>
      <w:r w:rsidRPr="4FED89B8">
        <w:rPr>
          <w:b/>
          <w:bCs/>
        </w:rPr>
        <w:t>Attachment 4)</w:t>
      </w:r>
      <w:r>
        <w:t>. CDC’s contractor, Banyan Communications, will retain notes, audio/video files, and any other project-related documents on secure servers or in locked file cabinets; only project staff members will be able to access the servers via password-protected computers. Focus group findings and survey findings will be reported in summary form, and participants’ names and identifying information will not be included in the findings. Identifiable information will be kept separate from focus group data and survey data, so that participants’ responses cannot be linked with their names. All audio and video files will be destroyed three years after completion of the project. No identifiable information describing individual respondents will be included in the analyzed data and aggregate reports provided to CDC.</w:t>
      </w:r>
    </w:p>
    <w:p w:rsidR="00573E3C" w14:paraId="000000D6" w14:textId="77777777">
      <w:pPr>
        <w:pBdr>
          <w:top w:val="nil"/>
          <w:left w:val="nil"/>
          <w:bottom w:val="nil"/>
          <w:right w:val="nil"/>
          <w:between w:val="nil"/>
        </w:pBdr>
        <w:spacing w:line="276" w:lineRule="auto"/>
        <w:rPr>
          <w:color w:val="000000"/>
        </w:rPr>
      </w:pPr>
    </w:p>
    <w:p w:rsidR="00573E3C" w14:paraId="000000D7" w14:textId="77777777">
      <w:pPr>
        <w:pBdr>
          <w:top w:val="nil"/>
          <w:left w:val="nil"/>
          <w:bottom w:val="nil"/>
          <w:right w:val="nil"/>
          <w:between w:val="nil"/>
        </w:pBdr>
        <w:spacing w:line="276" w:lineRule="auto"/>
        <w:rPr>
          <w:color w:val="000000"/>
        </w:rPr>
      </w:pPr>
      <w:r>
        <w:rPr>
          <w:color w:val="000000"/>
        </w:rPr>
        <w:t xml:space="preserve">In review of this application, it has been determined that the Privacy Act is not applicable.  </w:t>
      </w:r>
    </w:p>
    <w:p w:rsidR="00573E3C" w14:paraId="000000D8" w14:textId="77777777">
      <w:pPr>
        <w:pBdr>
          <w:top w:val="nil"/>
          <w:left w:val="nil"/>
          <w:bottom w:val="nil"/>
          <w:right w:val="nil"/>
          <w:between w:val="nil"/>
        </w:pBdr>
        <w:spacing w:line="276" w:lineRule="auto"/>
        <w:rPr>
          <w:color w:val="000000"/>
        </w:rPr>
      </w:pPr>
      <w:r>
        <w:rPr>
          <w:color w:val="000000"/>
        </w:rPr>
        <w:t xml:space="preserve">Banyan Communications will identify, screen, and recruit potential participants through a </w:t>
      </w:r>
      <w:r>
        <w:t xml:space="preserve">recruitment firm, </w:t>
      </w:r>
      <w:r>
        <w:rPr>
          <w:color w:val="000000"/>
        </w:rPr>
        <w:t>using</w:t>
      </w:r>
      <w:r>
        <w:t xml:space="preserve"> a proprietary</w:t>
      </w:r>
      <w:r>
        <w:rPr>
          <w:color w:val="000000"/>
        </w:rPr>
        <w:t xml:space="preserve"> recruitment list/database. Banyan Communications will use additional recruitment methods, such as including social media notices and snowball sampling as needed. </w:t>
      </w:r>
    </w:p>
    <w:p w:rsidR="00573E3C" w14:paraId="000000D9" w14:textId="77777777">
      <w:pPr>
        <w:pBdr>
          <w:top w:val="nil"/>
          <w:left w:val="nil"/>
          <w:bottom w:val="nil"/>
          <w:right w:val="nil"/>
          <w:between w:val="nil"/>
        </w:pBdr>
        <w:spacing w:line="276" w:lineRule="auto"/>
        <w:rPr>
          <w:i/>
          <w:color w:val="000000"/>
        </w:rPr>
      </w:pPr>
    </w:p>
    <w:p w:rsidR="00573E3C" w14:paraId="000000DA" w14:textId="77777777">
      <w:pPr>
        <w:pBdr>
          <w:top w:val="nil"/>
          <w:left w:val="nil"/>
          <w:bottom w:val="nil"/>
          <w:right w:val="nil"/>
          <w:between w:val="nil"/>
        </w:pBdr>
        <w:spacing w:line="276" w:lineRule="auto"/>
        <w:rPr>
          <w:color w:val="000000"/>
        </w:rPr>
      </w:pPr>
      <w:r>
        <w:rPr>
          <w:color w:val="000000"/>
        </w:rPr>
        <w:t xml:space="preserve">Individuals will first be screened to assess if they are eligible to be a part of the focus groups </w:t>
      </w:r>
      <w:r>
        <w:rPr>
          <w:b/>
          <w:color w:val="000000"/>
        </w:rPr>
        <w:t>(Attachment 1</w:t>
      </w:r>
      <w:r>
        <w:rPr>
          <w:color w:val="000000"/>
        </w:rPr>
        <w:t xml:space="preserve">). Those who meet the screening criteria for the focus groups will then receive a second demographic screener to assess which focus groups they will be put into </w:t>
      </w:r>
      <w:r>
        <w:rPr>
          <w:b/>
          <w:color w:val="000000"/>
        </w:rPr>
        <w:t>(Attachment 3)</w:t>
      </w:r>
      <w:r>
        <w:rPr>
          <w:color w:val="000000"/>
        </w:rPr>
        <w:t>. Finally, they will be invited to attend a virtual 60</w:t>
      </w:r>
      <w:r>
        <w:t>-minute</w:t>
      </w:r>
      <w:r>
        <w:rPr>
          <w:color w:val="000000"/>
        </w:rPr>
        <w:t xml:space="preserve"> </w:t>
      </w:r>
      <w:r>
        <w:t>focus group</w:t>
      </w:r>
      <w:r>
        <w:rPr>
          <w:color w:val="000000"/>
        </w:rPr>
        <w:t xml:space="preserve">. Participants will be asked to give verbal consent on a recording prior to the start of the </w:t>
      </w:r>
      <w:r>
        <w:t>focus group</w:t>
      </w:r>
      <w:r>
        <w:rPr>
          <w:color w:val="000000"/>
        </w:rPr>
        <w:t xml:space="preserve"> and will also fill out </w:t>
      </w:r>
      <w:r>
        <w:rPr>
          <w:b/>
          <w:color w:val="000000"/>
        </w:rPr>
        <w:t>Attachment 5</w:t>
      </w:r>
      <w:r>
        <w:rPr>
          <w:color w:val="000000"/>
        </w:rPr>
        <w:t xml:space="preserve"> before starting. They will receive a copy for their records. </w:t>
      </w:r>
    </w:p>
    <w:p w:rsidR="00573E3C" w14:paraId="000000DB" w14:textId="77777777">
      <w:pPr>
        <w:pBdr>
          <w:top w:val="nil"/>
          <w:left w:val="nil"/>
          <w:bottom w:val="nil"/>
          <w:right w:val="nil"/>
          <w:between w:val="nil"/>
        </w:pBdr>
        <w:spacing w:line="276" w:lineRule="auto"/>
        <w:rPr>
          <w:i/>
          <w:color w:val="000000"/>
        </w:rPr>
      </w:pPr>
    </w:p>
    <w:p w:rsidR="00573E3C" w:rsidP="344BE70E" w14:paraId="000000DC" w14:textId="4E5CC75D">
      <w:pPr>
        <w:pBdr>
          <w:top w:val="nil"/>
          <w:left w:val="nil"/>
          <w:bottom w:val="nil"/>
          <w:right w:val="nil"/>
          <w:between w:val="nil"/>
        </w:pBdr>
        <w:spacing w:line="276" w:lineRule="auto"/>
        <w:rPr>
          <w:color w:val="000000"/>
        </w:rPr>
      </w:pPr>
      <w:r w:rsidRPr="344BE70E">
        <w:rPr>
          <w:color w:val="000000" w:themeColor="text1"/>
        </w:rPr>
        <w:t>Individuals will be screened</w:t>
      </w:r>
      <w:r>
        <w:t xml:space="preserve"> for the online survey using </w:t>
      </w:r>
      <w:r w:rsidRPr="344BE70E">
        <w:rPr>
          <w:b/>
          <w:bCs/>
        </w:rPr>
        <w:t>Attachment 9</w:t>
      </w:r>
      <w:r w:rsidRPr="344BE70E">
        <w:rPr>
          <w:color w:val="000000" w:themeColor="text1"/>
        </w:rPr>
        <w:t xml:space="preserve"> </w:t>
      </w:r>
      <w:r>
        <w:t xml:space="preserve">and </w:t>
      </w:r>
      <w:r w:rsidR="06CF885B">
        <w:t xml:space="preserve">those who </w:t>
      </w:r>
      <w:r>
        <w:t>agree to participate will be directed to the 10</w:t>
      </w:r>
      <w:r w:rsidR="60F14BE3">
        <w:t>-15</w:t>
      </w:r>
      <w:r>
        <w:t>-minute online survey (</w:t>
      </w:r>
      <w:r w:rsidRPr="344BE70E">
        <w:rPr>
          <w:b/>
          <w:bCs/>
        </w:rPr>
        <w:t>Attachment 11</w:t>
      </w:r>
      <w:r>
        <w:t>).</w:t>
      </w:r>
      <w:r w:rsidRPr="344BE70E">
        <w:rPr>
          <w:color w:val="000000" w:themeColor="text1"/>
        </w:rPr>
        <w:t xml:space="preserve"> Participants will be asked to consent electronically</w:t>
      </w:r>
      <w:r w:rsidR="007F1DF6">
        <w:rPr>
          <w:color w:val="000000" w:themeColor="text1"/>
        </w:rPr>
        <w:t xml:space="preserve"> (</w:t>
      </w:r>
      <w:r w:rsidRPr="002B7BA9" w:rsidR="007F1DF6">
        <w:rPr>
          <w:b/>
          <w:bCs/>
          <w:color w:val="000000" w:themeColor="text1"/>
        </w:rPr>
        <w:t>Attachment 12</w:t>
      </w:r>
      <w:r w:rsidR="007F1DF6">
        <w:rPr>
          <w:color w:val="000000" w:themeColor="text1"/>
        </w:rPr>
        <w:t>)</w:t>
      </w:r>
      <w:r w:rsidRPr="344BE70E">
        <w:rPr>
          <w:color w:val="000000" w:themeColor="text1"/>
        </w:rPr>
        <w:t xml:space="preserve"> prior to the start of the online survey. </w:t>
      </w:r>
    </w:p>
    <w:p w:rsidR="00573E3C" w14:paraId="000000DD" w14:textId="77777777">
      <w:pPr>
        <w:pBdr>
          <w:top w:val="nil"/>
          <w:left w:val="nil"/>
          <w:bottom w:val="nil"/>
          <w:right w:val="nil"/>
          <w:between w:val="nil"/>
        </w:pBdr>
        <w:spacing w:line="276" w:lineRule="auto"/>
        <w:rPr>
          <w:color w:val="000000"/>
        </w:rPr>
      </w:pPr>
    </w:p>
    <w:p w:rsidR="00573E3C" w14:paraId="000000DE" w14:textId="77777777">
      <w:pPr>
        <w:pBdr>
          <w:top w:val="nil"/>
          <w:left w:val="nil"/>
          <w:bottom w:val="nil"/>
          <w:right w:val="nil"/>
          <w:between w:val="nil"/>
        </w:pBdr>
        <w:spacing w:line="276" w:lineRule="auto"/>
        <w:rPr>
          <w:color w:val="000000"/>
        </w:rPr>
      </w:pPr>
      <w:r>
        <w:rPr>
          <w:color w:val="000000"/>
        </w:rPr>
        <w:t xml:space="preserve">The screeners will be stored in an encrypted online file </w:t>
      </w:r>
      <w:r>
        <w:t>hosted by</w:t>
      </w:r>
      <w:r>
        <w:rPr>
          <w:color w:val="000000"/>
        </w:rPr>
        <w:t xml:space="preserve"> Banyan Communications throughout the project’s duration. Once the project ends, the screeners will be destroyed</w:t>
      </w:r>
      <w:r>
        <w:rPr>
          <w:color w:val="000000"/>
          <w:sz w:val="24"/>
          <w:szCs w:val="24"/>
        </w:rPr>
        <w:t>.</w:t>
      </w:r>
      <w:r>
        <w:rPr>
          <w:color w:val="000000"/>
        </w:rPr>
        <w:t xml:space="preserve"> Banyan Communications will retain notes, video files, and any other project-related documents on secure servers; only project staff members will have access to the servers via password-protected computers. Findings will be reported in summary form and participants’ names and identifying information will not be included in the findings. Identifiable information is kept separate from </w:t>
      </w:r>
      <w:r>
        <w:t>focus group</w:t>
      </w:r>
      <w:r>
        <w:rPr>
          <w:color w:val="000000"/>
        </w:rPr>
        <w:t xml:space="preserve"> data </w:t>
      </w:r>
      <w:r>
        <w:t xml:space="preserve">and survey data </w:t>
      </w:r>
      <w:r>
        <w:rPr>
          <w:color w:val="000000"/>
        </w:rPr>
        <w:t xml:space="preserve">so that participants’ responses cannot be linked with their names. All video files will be destroyed at the completion of the project. </w:t>
      </w:r>
    </w:p>
    <w:p w:rsidR="00573E3C" w14:paraId="000000DF" w14:textId="77777777">
      <w:pPr>
        <w:pBdr>
          <w:top w:val="nil"/>
          <w:left w:val="nil"/>
          <w:bottom w:val="nil"/>
          <w:right w:val="nil"/>
          <w:between w:val="nil"/>
        </w:pBdr>
        <w:spacing w:line="276" w:lineRule="auto"/>
        <w:rPr>
          <w:color w:val="000000"/>
        </w:rPr>
      </w:pPr>
    </w:p>
    <w:p w:rsidR="00573E3C" w14:paraId="000000E0" w14:textId="77777777">
      <w:pPr>
        <w:pBdr>
          <w:top w:val="nil"/>
          <w:left w:val="nil"/>
          <w:bottom w:val="nil"/>
          <w:right w:val="nil"/>
          <w:between w:val="nil"/>
        </w:pBdr>
        <w:spacing w:line="276" w:lineRule="auto"/>
        <w:rPr>
          <w:color w:val="000000"/>
        </w:rPr>
      </w:pPr>
      <w:r>
        <w:rPr>
          <w:color w:val="000000"/>
        </w:rPr>
        <w:t xml:space="preserve">During the </w:t>
      </w:r>
      <w:r>
        <w:t>focus group</w:t>
      </w:r>
      <w:r>
        <w:rPr>
          <w:color w:val="000000"/>
        </w:rPr>
        <w:t xml:space="preserve">, the moderator will go over key parts of the informed consent during the introduction to the </w:t>
      </w:r>
      <w:r>
        <w:t>focus group</w:t>
      </w:r>
      <w:r>
        <w:rPr>
          <w:color w:val="000000"/>
        </w:rPr>
        <w:t xml:space="preserve">. The moderator will inform participants that the </w:t>
      </w:r>
      <w:r>
        <w:t>focus group</w:t>
      </w:r>
      <w:r>
        <w:rPr>
          <w:color w:val="000000"/>
        </w:rPr>
        <w:t xml:space="preserve"> is voluntary, and that they may choose not to answer any question and end participation at any time. The moderator also will inform participants that Banyan Communications</w:t>
      </w:r>
      <w:r>
        <w:t xml:space="preserve"> </w:t>
      </w:r>
      <w:r>
        <w:rPr>
          <w:color w:val="000000"/>
        </w:rPr>
        <w:t xml:space="preserve">will report findings in summary form so that participants cannot be identified and that their identifiable information will be kept secure and separate from the </w:t>
      </w:r>
      <w:r>
        <w:t>focus group</w:t>
      </w:r>
      <w:r>
        <w:rPr>
          <w:color w:val="000000"/>
        </w:rPr>
        <w:t xml:space="preserve"> notes and </w:t>
      </w:r>
      <w:r>
        <w:t>video</w:t>
      </w:r>
      <w:r>
        <w:rPr>
          <w:color w:val="000000"/>
        </w:rPr>
        <w:t xml:space="preserve"> recordings. The moderator will inform the participant that there is a note taker listening/watching. The informed consent includes both the number for Banyan Communications in case participants have questions about their rights as a participant, as well as the principal investigator in case participants have questions about the project itself.</w:t>
      </w:r>
    </w:p>
    <w:p w:rsidR="00573E3C" w14:paraId="000000E1" w14:textId="77777777">
      <w:pPr>
        <w:pBdr>
          <w:top w:val="nil"/>
          <w:left w:val="nil"/>
          <w:bottom w:val="nil"/>
          <w:right w:val="nil"/>
          <w:between w:val="nil"/>
        </w:pBdr>
        <w:spacing w:line="276" w:lineRule="auto"/>
        <w:rPr>
          <w:color w:val="000000"/>
        </w:rPr>
      </w:pPr>
    </w:p>
    <w:p w:rsidR="00573E3C" w14:paraId="000000E2" w14:textId="77777777">
      <w:pPr>
        <w:pStyle w:val="Heading2"/>
        <w:spacing w:before="0" w:after="0" w:line="276" w:lineRule="auto"/>
      </w:pPr>
      <w:bookmarkStart w:id="30" w:name="_heading=h.4i7ojhp" w:colFirst="0" w:colLast="0"/>
      <w:bookmarkEnd w:id="30"/>
      <w:r>
        <w:t>11</w:t>
      </w:r>
      <w:r>
        <w:tab/>
        <w:t xml:space="preserve">Justification for Sensitive Questions </w:t>
      </w:r>
    </w:p>
    <w:p w:rsidR="00573E3C" w14:paraId="000000E3" w14:textId="77777777">
      <w:pPr>
        <w:pBdr>
          <w:top w:val="nil"/>
          <w:left w:val="nil"/>
          <w:bottom w:val="nil"/>
          <w:right w:val="nil"/>
          <w:between w:val="nil"/>
        </w:pBdr>
        <w:spacing w:line="276" w:lineRule="auto"/>
        <w:rPr>
          <w:color w:val="000000"/>
        </w:rPr>
      </w:pPr>
    </w:p>
    <w:p w:rsidR="00573E3C" w:rsidP="57FD9B48" w14:paraId="000000E4" w14:textId="309A076C">
      <w:pPr>
        <w:pBdr>
          <w:top w:val="nil"/>
          <w:left w:val="nil"/>
          <w:bottom w:val="nil"/>
          <w:right w:val="nil"/>
          <w:between w:val="nil"/>
        </w:pBdr>
        <w:spacing w:line="276" w:lineRule="auto"/>
        <w:rPr>
          <w:color w:val="000000"/>
        </w:rPr>
      </w:pPr>
      <w:r w:rsidRPr="57FD9B48">
        <w:rPr>
          <w:color w:val="000000" w:themeColor="text1"/>
        </w:rPr>
        <w:t xml:space="preserve">This data collection was reviewed by </w:t>
      </w:r>
      <w:r w:rsidRPr="006C4E11" w:rsidR="00AA62B1">
        <w:t>NCEZID’s Human Subjects Advisor</w:t>
      </w:r>
      <w:r w:rsidRPr="57FD9B48">
        <w:rPr>
          <w:color w:val="000000" w:themeColor="text1"/>
        </w:rPr>
        <w:t xml:space="preserve">, </w:t>
      </w:r>
      <w:r w:rsidRPr="57FD9B48" w:rsidR="35720A5F">
        <w:rPr>
          <w:color w:val="000000" w:themeColor="text1"/>
        </w:rPr>
        <w:t>which</w:t>
      </w:r>
      <w:r w:rsidRPr="57FD9B48" w:rsidR="426BD37A">
        <w:rPr>
          <w:color w:val="000000" w:themeColor="text1"/>
        </w:rPr>
        <w:t xml:space="preserve"> deemed</w:t>
      </w:r>
      <w:r w:rsidRPr="57FD9B48">
        <w:rPr>
          <w:color w:val="000000" w:themeColor="text1"/>
        </w:rPr>
        <w:t xml:space="preserve"> it was not human subjects’ research and gave it a non-research determination</w:t>
      </w:r>
      <w:r w:rsidR="005A56D6">
        <w:rPr>
          <w:color w:val="000000" w:themeColor="text1"/>
        </w:rPr>
        <w:t xml:space="preserve"> (</w:t>
      </w:r>
      <w:r w:rsidRPr="002B7BA9" w:rsidR="005A56D6">
        <w:rPr>
          <w:b/>
          <w:bCs/>
          <w:color w:val="000000" w:themeColor="text1"/>
        </w:rPr>
        <w:t>Attachment 16</w:t>
      </w:r>
      <w:r w:rsidR="005A56D6">
        <w:rPr>
          <w:color w:val="000000" w:themeColor="text1"/>
        </w:rPr>
        <w:t>)</w:t>
      </w:r>
      <w:r w:rsidRPr="57FD9B48">
        <w:rPr>
          <w:color w:val="000000" w:themeColor="text1"/>
        </w:rPr>
        <w:t xml:space="preserve">. </w:t>
      </w:r>
    </w:p>
    <w:p w:rsidR="00573E3C" w14:paraId="000000E5" w14:textId="77777777">
      <w:pPr>
        <w:pBdr>
          <w:top w:val="nil"/>
          <w:left w:val="nil"/>
          <w:bottom w:val="nil"/>
          <w:right w:val="nil"/>
          <w:between w:val="nil"/>
        </w:pBdr>
        <w:spacing w:line="276" w:lineRule="auto"/>
        <w:rPr>
          <w:color w:val="000000"/>
        </w:rPr>
      </w:pPr>
    </w:p>
    <w:p w:rsidR="008C2BA6" w14:paraId="63D4DB22" w14:textId="77777777">
      <w:pPr>
        <w:spacing w:line="276" w:lineRule="auto"/>
        <w:rPr>
          <w:color w:val="000000" w:themeColor="text1"/>
        </w:rPr>
      </w:pPr>
      <w:r w:rsidRPr="686E2DDD">
        <w:rPr>
          <w:color w:val="000000" w:themeColor="text1"/>
        </w:rPr>
        <w:t>There is a minimal risk that some questions may make respondents feel uncomfortable.</w:t>
      </w:r>
      <w:r>
        <w:t xml:space="preserve"> </w:t>
      </w:r>
      <w:r w:rsidRPr="686E2DDD">
        <w:rPr>
          <w:color w:val="000000" w:themeColor="text1"/>
        </w:rPr>
        <w:t xml:space="preserve">There will be potentially sensitive information collected such as race and income. These questions are critical to the project because messages </w:t>
      </w:r>
      <w:r w:rsidRPr="686E2DDD" w:rsidR="6A20AA11">
        <w:rPr>
          <w:color w:val="000000" w:themeColor="text1"/>
        </w:rPr>
        <w:t>need to be tested with a diverse population</w:t>
      </w:r>
      <w:r w:rsidRPr="686E2DDD">
        <w:rPr>
          <w:color w:val="000000" w:themeColor="text1"/>
        </w:rPr>
        <w:t>. Therefore, the team needs to gather data surrounding race, ethnicity, income etc.</w:t>
      </w:r>
    </w:p>
    <w:p w:rsidR="00573E3C" w:rsidP="002B7BA9" w14:paraId="000000E6" w14:textId="06D75B84">
      <w:pPr>
        <w:spacing w:before="240" w:line="276" w:lineRule="auto"/>
        <w:rPr>
          <w:color w:val="000000"/>
        </w:rPr>
      </w:pPr>
      <w:bookmarkStart w:id="31" w:name="_Hlk186440598"/>
      <w:r>
        <w:rPr>
          <w:color w:val="000000" w:themeColor="text1"/>
        </w:rPr>
        <w:t>Race and ethnicity</w:t>
      </w:r>
      <w:r w:rsidR="00454B3E">
        <w:rPr>
          <w:color w:val="000000" w:themeColor="text1"/>
        </w:rPr>
        <w:t xml:space="preserve"> data will be collected using minimum categories.</w:t>
      </w:r>
      <w:r w:rsidR="00B2102A">
        <w:rPr>
          <w:color w:val="000000" w:themeColor="text1"/>
        </w:rPr>
        <w:t xml:space="preserve"> The benefit of </w:t>
      </w:r>
      <w:r w:rsidRPr="001B39EC" w:rsidR="001B39EC">
        <w:rPr>
          <w:color w:val="000000" w:themeColor="text1"/>
        </w:rPr>
        <w:t>collecting detailed race and ethnicity data does not justify the additional</w:t>
      </w:r>
      <w:r w:rsidR="00133B7B">
        <w:rPr>
          <w:color w:val="000000" w:themeColor="text1"/>
        </w:rPr>
        <w:t xml:space="preserve"> b</w:t>
      </w:r>
      <w:r w:rsidRPr="001B39EC" w:rsidR="001B39EC">
        <w:rPr>
          <w:color w:val="000000" w:themeColor="text1"/>
        </w:rPr>
        <w:t>urden to the agency or the public, and</w:t>
      </w:r>
      <w:r w:rsidR="00133B7B">
        <w:rPr>
          <w:color w:val="000000" w:themeColor="text1"/>
        </w:rPr>
        <w:t xml:space="preserve"> the risk</w:t>
      </w:r>
      <w:r w:rsidRPr="001B39EC" w:rsidR="001B39EC">
        <w:rPr>
          <w:color w:val="000000" w:themeColor="text1"/>
        </w:rPr>
        <w:t xml:space="preserve"> to respondents’ privacy or confidentiality. </w:t>
      </w:r>
    </w:p>
    <w:bookmarkEnd w:id="31"/>
    <w:p w:rsidR="00573E3C" w14:paraId="000000E7" w14:textId="77777777">
      <w:pPr>
        <w:rPr>
          <w:color w:val="000000"/>
        </w:rPr>
      </w:pPr>
    </w:p>
    <w:p w:rsidR="00573E3C" w14:paraId="000000E8" w14:textId="6DB6F903">
      <w:pPr>
        <w:spacing w:line="276" w:lineRule="auto"/>
        <w:rPr>
          <w:color w:val="000000"/>
        </w:rPr>
      </w:pPr>
      <w:bookmarkStart w:id="32" w:name="_heading=h.2xcytpi" w:colFirst="0" w:colLast="0"/>
      <w:bookmarkEnd w:id="32"/>
      <w:r>
        <w:rPr>
          <w:color w:val="000000"/>
        </w:rPr>
        <w:t xml:space="preserve">The </w:t>
      </w:r>
      <w:r>
        <w:t>respondent</w:t>
      </w:r>
      <w:r>
        <w:rPr>
          <w:color w:val="000000"/>
        </w:rPr>
        <w:t xml:space="preserve"> consent form includes a statement about risk</w:t>
      </w:r>
      <w:r w:rsidR="00A54EEC">
        <w:rPr>
          <w:color w:val="000000"/>
        </w:rPr>
        <w:t>s</w:t>
      </w:r>
      <w:r>
        <w:rPr>
          <w:color w:val="000000"/>
        </w:rPr>
        <w:t xml:space="preserve"> and informs participants that they may choose not to answer a particular question if they wish and/or end the session at any time without penalty. </w:t>
      </w:r>
    </w:p>
    <w:p w:rsidR="00573E3C" w14:paraId="000000E9" w14:textId="77777777">
      <w:pPr>
        <w:rPr>
          <w:color w:val="000000"/>
        </w:rPr>
      </w:pPr>
    </w:p>
    <w:p w:rsidR="00573E3C" w14:paraId="000000EA" w14:textId="77777777"/>
    <w:p w:rsidR="00573E3C" w14:paraId="000000EB" w14:textId="77777777">
      <w:pPr>
        <w:pStyle w:val="Heading2"/>
        <w:spacing w:before="0" w:after="0" w:line="276" w:lineRule="auto"/>
      </w:pPr>
      <w:bookmarkStart w:id="33" w:name="_heading=h.sqyw64" w:colFirst="0" w:colLast="0"/>
      <w:bookmarkEnd w:id="33"/>
      <w:r>
        <w:t>12</w:t>
      </w:r>
      <w:r>
        <w:tab/>
        <w:t xml:space="preserve">Estimates of Annualized Burden Hours and Costs </w:t>
      </w:r>
    </w:p>
    <w:p w:rsidR="00573E3C" w14:paraId="000000EC" w14:textId="77777777">
      <w:pPr>
        <w:pBdr>
          <w:top w:val="nil"/>
          <w:left w:val="nil"/>
          <w:bottom w:val="nil"/>
          <w:right w:val="nil"/>
          <w:between w:val="nil"/>
        </w:pBdr>
        <w:spacing w:line="276" w:lineRule="auto"/>
        <w:rPr>
          <w:color w:val="000000"/>
        </w:rPr>
      </w:pPr>
      <w:bookmarkStart w:id="34" w:name="_heading=h.1ci93xb" w:colFirst="0" w:colLast="0"/>
      <w:bookmarkEnd w:id="34"/>
    </w:p>
    <w:p w:rsidR="001C2EC0" w:rsidP="7F45ABCE" w14:paraId="5810B75D" w14:textId="3E5791E3">
      <w:pPr>
        <w:pBdr>
          <w:top w:val="nil"/>
          <w:left w:val="nil"/>
          <w:bottom w:val="nil"/>
          <w:right w:val="nil"/>
          <w:between w:val="nil"/>
        </w:pBdr>
        <w:spacing w:line="276" w:lineRule="auto"/>
        <w:rPr>
          <w:color w:val="000000"/>
        </w:rPr>
      </w:pPr>
      <w:r w:rsidRPr="7F45ABCE">
        <w:rPr>
          <w:color w:val="000000" w:themeColor="text1"/>
        </w:rPr>
        <w:t>We estimate the total annualized response burden at 650 hours (</w:t>
      </w:r>
      <w:r w:rsidRPr="7F45ABCE">
        <w:rPr>
          <w:b/>
          <w:bCs/>
          <w:color w:val="000000" w:themeColor="text1"/>
        </w:rPr>
        <w:t>Exhibit A.12.1</w:t>
      </w:r>
      <w:r w:rsidRPr="7F45ABCE">
        <w:rPr>
          <w:color w:val="000000" w:themeColor="text1"/>
        </w:rPr>
        <w:t xml:space="preserve">). For the focus group discussions, every individual will be pre-screened using a 5-minute Eligibility and Demographic Screener. This process will be used to get the final focus group participants not to exceed 64 participants. Those who screen in and agree to participate in the project will participate in a 60-minute focus group; consent activities will be included in the 60 minutes. For the online survey, every individual will be pre-screened using a 2-minute Eligibility and Demographic Screener. This process will be used to get the final sample not to exceed 1500 participants. Those who screen in and agree to participate in the project will participate in an online survey that will last about </w:t>
      </w:r>
      <w:r w:rsidRPr="7F45ABCE" w:rsidR="792494AE">
        <w:rPr>
          <w:color w:val="000000" w:themeColor="text1"/>
        </w:rPr>
        <w:t>10-</w:t>
      </w:r>
      <w:r w:rsidRPr="7F45ABCE">
        <w:rPr>
          <w:color w:val="000000" w:themeColor="text1"/>
        </w:rPr>
        <w:t>15 minutes. Timing is based on our previous experience conducting research with this population using these methods to determine the overall burden per respondent.</w:t>
      </w:r>
    </w:p>
    <w:p w:rsidR="00573E3C" w:rsidP="344BE70E" w14:paraId="000000EE" w14:textId="77777777">
      <w:pPr>
        <w:keepNext/>
        <w:keepLines/>
        <w:pBdr>
          <w:top w:val="nil"/>
          <w:left w:val="nil"/>
          <w:bottom w:val="nil"/>
          <w:right w:val="nil"/>
          <w:between w:val="nil"/>
        </w:pBdr>
        <w:spacing w:line="276" w:lineRule="auto"/>
        <w:ind w:left="1260" w:hanging="1260"/>
        <w:rPr>
          <w:b/>
          <w:bCs/>
          <w:color w:val="000000"/>
        </w:rPr>
      </w:pPr>
    </w:p>
    <w:p w:rsidR="00573E3C" w:rsidP="344BE70E" w14:paraId="000000EF" w14:textId="77777777">
      <w:pPr>
        <w:keepNext/>
        <w:keepLines/>
        <w:pBdr>
          <w:top w:val="nil"/>
          <w:left w:val="nil"/>
          <w:bottom w:val="nil"/>
          <w:right w:val="nil"/>
          <w:between w:val="nil"/>
        </w:pBdr>
        <w:spacing w:line="276" w:lineRule="auto"/>
        <w:ind w:left="1260" w:hanging="1260"/>
        <w:rPr>
          <w:b/>
          <w:bCs/>
          <w:color w:val="000000"/>
        </w:rPr>
      </w:pPr>
      <w:r w:rsidRPr="344BE70E">
        <w:rPr>
          <w:b/>
          <w:bCs/>
          <w:color w:val="000000" w:themeColor="text1"/>
        </w:rPr>
        <w:t>Exhibit A.12.1. Estimated Annualized Burden Hours</w:t>
      </w:r>
    </w:p>
    <w:tbl>
      <w:tblPr>
        <w:tblStyle w:val="50"/>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68"/>
        <w:gridCol w:w="2700"/>
        <w:gridCol w:w="1440"/>
        <w:gridCol w:w="105"/>
        <w:gridCol w:w="1245"/>
        <w:gridCol w:w="1440"/>
        <w:gridCol w:w="1062"/>
      </w:tblGrid>
      <w:tr w14:paraId="265363A2" w14:textId="77777777">
        <w:tblPrEx>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c>
          <w:tcPr>
            <w:tcW w:w="1368" w:type="dxa"/>
            <w:shd w:val="clear" w:color="auto" w:fill="auto"/>
            <w:vAlign w:val="bottom"/>
          </w:tcPr>
          <w:p w:rsidR="00573E3C" w14:paraId="000000F0" w14:textId="77777777">
            <w:pPr>
              <w:pBdr>
                <w:top w:val="nil"/>
                <w:left w:val="nil"/>
                <w:bottom w:val="nil"/>
                <w:right w:val="nil"/>
                <w:between w:val="nil"/>
              </w:pBdr>
              <w:spacing w:line="276" w:lineRule="auto"/>
              <w:rPr>
                <w:b/>
                <w:color w:val="000000"/>
              </w:rPr>
            </w:pPr>
            <w:bookmarkStart w:id="35" w:name="_heading=h.2bn6wsx" w:colFirst="0" w:colLast="0"/>
            <w:bookmarkEnd w:id="35"/>
            <w:r>
              <w:rPr>
                <w:b/>
                <w:color w:val="000000"/>
              </w:rPr>
              <w:t>Type of Respondent</w:t>
            </w:r>
          </w:p>
        </w:tc>
        <w:tc>
          <w:tcPr>
            <w:tcW w:w="2700" w:type="dxa"/>
            <w:shd w:val="clear" w:color="auto" w:fill="auto"/>
            <w:vAlign w:val="bottom"/>
          </w:tcPr>
          <w:p w:rsidR="00573E3C" w14:paraId="000000F1" w14:textId="77777777">
            <w:pPr>
              <w:pBdr>
                <w:top w:val="nil"/>
                <w:left w:val="nil"/>
                <w:bottom w:val="nil"/>
                <w:right w:val="nil"/>
                <w:between w:val="nil"/>
              </w:pBdr>
              <w:spacing w:line="276" w:lineRule="auto"/>
              <w:rPr>
                <w:b/>
                <w:color w:val="000000"/>
              </w:rPr>
            </w:pPr>
            <w:r>
              <w:rPr>
                <w:b/>
                <w:color w:val="000000"/>
              </w:rPr>
              <w:t>Form Name</w:t>
            </w:r>
          </w:p>
        </w:tc>
        <w:tc>
          <w:tcPr>
            <w:tcW w:w="1440" w:type="dxa"/>
            <w:shd w:val="clear" w:color="auto" w:fill="auto"/>
            <w:vAlign w:val="bottom"/>
          </w:tcPr>
          <w:p w:rsidR="00573E3C" w14:paraId="000000F2" w14:textId="77777777">
            <w:pPr>
              <w:pBdr>
                <w:top w:val="nil"/>
                <w:left w:val="nil"/>
                <w:bottom w:val="nil"/>
                <w:right w:val="nil"/>
                <w:between w:val="nil"/>
              </w:pBdr>
              <w:spacing w:line="276" w:lineRule="auto"/>
              <w:rPr>
                <w:b/>
                <w:color w:val="000000"/>
              </w:rPr>
            </w:pPr>
            <w:r>
              <w:rPr>
                <w:b/>
                <w:color w:val="000000"/>
              </w:rPr>
              <w:t>No. of Respondents</w:t>
            </w:r>
          </w:p>
        </w:tc>
        <w:tc>
          <w:tcPr>
            <w:tcW w:w="1350" w:type="dxa"/>
            <w:gridSpan w:val="2"/>
            <w:shd w:val="clear" w:color="auto" w:fill="auto"/>
            <w:vAlign w:val="bottom"/>
          </w:tcPr>
          <w:p w:rsidR="00573E3C" w14:paraId="000000F3" w14:textId="77777777">
            <w:pPr>
              <w:pBdr>
                <w:top w:val="nil"/>
                <w:left w:val="nil"/>
                <w:bottom w:val="nil"/>
                <w:right w:val="nil"/>
                <w:between w:val="nil"/>
              </w:pBdr>
              <w:spacing w:line="276" w:lineRule="auto"/>
              <w:rPr>
                <w:b/>
                <w:color w:val="000000"/>
              </w:rPr>
            </w:pPr>
            <w:r>
              <w:rPr>
                <w:b/>
                <w:color w:val="000000"/>
              </w:rPr>
              <w:t>Responses per Respondent</w:t>
            </w:r>
          </w:p>
        </w:tc>
        <w:tc>
          <w:tcPr>
            <w:tcW w:w="1440" w:type="dxa"/>
            <w:shd w:val="clear" w:color="auto" w:fill="auto"/>
            <w:vAlign w:val="bottom"/>
          </w:tcPr>
          <w:p w:rsidR="00573E3C" w14:paraId="000000F5" w14:textId="77777777">
            <w:pPr>
              <w:pBdr>
                <w:top w:val="nil"/>
                <w:left w:val="nil"/>
                <w:bottom w:val="nil"/>
                <w:right w:val="nil"/>
                <w:between w:val="nil"/>
              </w:pBdr>
              <w:spacing w:line="276" w:lineRule="auto"/>
              <w:rPr>
                <w:b/>
                <w:color w:val="000000"/>
              </w:rPr>
            </w:pPr>
            <w:r>
              <w:rPr>
                <w:b/>
                <w:color w:val="000000"/>
              </w:rPr>
              <w:t>Average Burden per Response (in hours)</w:t>
            </w:r>
          </w:p>
        </w:tc>
        <w:tc>
          <w:tcPr>
            <w:tcW w:w="1062" w:type="dxa"/>
            <w:shd w:val="clear" w:color="auto" w:fill="auto"/>
            <w:vAlign w:val="bottom"/>
          </w:tcPr>
          <w:p w:rsidR="00573E3C" w14:paraId="000000F6" w14:textId="77777777">
            <w:pPr>
              <w:pBdr>
                <w:top w:val="nil"/>
                <w:left w:val="nil"/>
                <w:bottom w:val="nil"/>
                <w:right w:val="nil"/>
                <w:between w:val="nil"/>
              </w:pBdr>
              <w:spacing w:line="276" w:lineRule="auto"/>
              <w:rPr>
                <w:b/>
                <w:color w:val="000000"/>
              </w:rPr>
            </w:pPr>
            <w:r>
              <w:rPr>
                <w:b/>
                <w:color w:val="000000"/>
              </w:rPr>
              <w:t>Total Burden Hours</w:t>
            </w:r>
          </w:p>
        </w:tc>
      </w:tr>
      <w:tr w14:paraId="68220C60" w14:textId="77777777">
        <w:tblPrEx>
          <w:tblW w:w="9360" w:type="dxa"/>
          <w:tblLayout w:type="fixed"/>
          <w:tblLook w:val="0000"/>
        </w:tblPrEx>
        <w:tc>
          <w:tcPr>
            <w:tcW w:w="1368" w:type="dxa"/>
            <w:vMerge w:val="restart"/>
            <w:shd w:val="clear" w:color="auto" w:fill="auto"/>
          </w:tcPr>
          <w:p w:rsidR="00573E3C" w14:paraId="000000F7" w14:textId="77777777">
            <w:pPr>
              <w:keepNext/>
              <w:pBdr>
                <w:top w:val="nil"/>
                <w:left w:val="nil"/>
                <w:bottom w:val="nil"/>
                <w:right w:val="nil"/>
                <w:between w:val="nil"/>
              </w:pBdr>
              <w:spacing w:line="276" w:lineRule="auto"/>
              <w:rPr>
                <w:color w:val="000000"/>
              </w:rPr>
            </w:pPr>
            <w:r>
              <w:rPr>
                <w:color w:val="000000"/>
              </w:rPr>
              <w:t>Individual</w:t>
            </w:r>
          </w:p>
        </w:tc>
        <w:tc>
          <w:tcPr>
            <w:tcW w:w="2700" w:type="dxa"/>
            <w:shd w:val="clear" w:color="auto" w:fill="auto"/>
          </w:tcPr>
          <w:p w:rsidR="00573E3C" w14:paraId="000000F8" w14:textId="5589C168">
            <w:pPr>
              <w:keepNext/>
              <w:pBdr>
                <w:top w:val="nil"/>
                <w:left w:val="nil"/>
                <w:bottom w:val="nil"/>
                <w:right w:val="nil"/>
                <w:between w:val="nil"/>
              </w:pBdr>
              <w:spacing w:line="276" w:lineRule="auto"/>
            </w:pPr>
            <w:r>
              <w:t xml:space="preserve">Eligibility Screener </w:t>
            </w:r>
            <w:r w:rsidR="00CB2B5A">
              <w:t>for Focus Groups</w:t>
            </w:r>
          </w:p>
          <w:p w:rsidR="00573E3C" w14:paraId="000000F9" w14:textId="77777777">
            <w:pPr>
              <w:keepNext/>
              <w:pBdr>
                <w:top w:val="nil"/>
                <w:left w:val="nil"/>
                <w:bottom w:val="nil"/>
                <w:right w:val="nil"/>
                <w:between w:val="nil"/>
              </w:pBdr>
              <w:spacing w:line="276" w:lineRule="auto"/>
              <w:rPr>
                <w:color w:val="000000"/>
              </w:rPr>
            </w:pPr>
            <w:r>
              <w:rPr>
                <w:i/>
              </w:rPr>
              <w:t>Attachment 1</w:t>
            </w:r>
          </w:p>
        </w:tc>
        <w:tc>
          <w:tcPr>
            <w:tcW w:w="1545" w:type="dxa"/>
            <w:gridSpan w:val="2"/>
            <w:shd w:val="clear" w:color="auto" w:fill="auto"/>
          </w:tcPr>
          <w:p w:rsidR="00573E3C" w14:paraId="000000FA" w14:textId="77777777">
            <w:pPr>
              <w:keepNext/>
              <w:pBdr>
                <w:top w:val="nil"/>
                <w:left w:val="nil"/>
                <w:bottom w:val="nil"/>
                <w:right w:val="nil"/>
                <w:between w:val="nil"/>
              </w:pBdr>
              <w:spacing w:line="276" w:lineRule="auto"/>
              <w:rPr>
                <w:color w:val="000000"/>
              </w:rPr>
            </w:pPr>
            <w:r>
              <w:t>480</w:t>
            </w:r>
          </w:p>
        </w:tc>
        <w:tc>
          <w:tcPr>
            <w:tcW w:w="1245" w:type="dxa"/>
            <w:shd w:val="clear" w:color="auto" w:fill="auto"/>
          </w:tcPr>
          <w:p w:rsidR="00573E3C" w14:paraId="000000FC"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0FD" w14:textId="77777777">
            <w:pPr>
              <w:keepNext/>
              <w:pBdr>
                <w:top w:val="nil"/>
                <w:left w:val="nil"/>
                <w:bottom w:val="nil"/>
                <w:right w:val="nil"/>
                <w:between w:val="nil"/>
              </w:pBdr>
              <w:spacing w:line="276" w:lineRule="auto"/>
              <w:rPr>
                <w:color w:val="000000"/>
              </w:rPr>
            </w:pPr>
            <w:r>
              <w:t>5</w:t>
            </w:r>
            <w:r>
              <w:rPr>
                <w:color w:val="000000"/>
              </w:rPr>
              <w:t>/60</w:t>
            </w:r>
          </w:p>
        </w:tc>
        <w:tc>
          <w:tcPr>
            <w:tcW w:w="1062" w:type="dxa"/>
            <w:shd w:val="clear" w:color="auto" w:fill="auto"/>
          </w:tcPr>
          <w:p w:rsidR="00573E3C" w14:paraId="000000FE" w14:textId="77777777">
            <w:pPr>
              <w:keepNext/>
              <w:pBdr>
                <w:top w:val="nil"/>
                <w:left w:val="nil"/>
                <w:bottom w:val="nil"/>
                <w:right w:val="nil"/>
                <w:between w:val="nil"/>
              </w:pBdr>
              <w:spacing w:line="276" w:lineRule="auto"/>
              <w:rPr>
                <w:color w:val="000000"/>
              </w:rPr>
            </w:pPr>
            <w:r>
              <w:t xml:space="preserve">40 </w:t>
            </w:r>
          </w:p>
        </w:tc>
      </w:tr>
      <w:tr w14:paraId="7D41A67F" w14:textId="77777777">
        <w:tblPrEx>
          <w:tblW w:w="9360" w:type="dxa"/>
          <w:tblLayout w:type="fixed"/>
          <w:tblLook w:val="0000"/>
        </w:tblPrEx>
        <w:trPr>
          <w:trHeight w:val="255"/>
        </w:trPr>
        <w:tc>
          <w:tcPr>
            <w:tcW w:w="1368" w:type="dxa"/>
            <w:vMerge/>
            <w:shd w:val="clear" w:color="auto" w:fill="auto"/>
          </w:tcPr>
          <w:p w:rsidR="00573E3C" w14:paraId="000000FF"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573E3C" w14:paraId="00000100" w14:textId="77777777">
            <w:pPr>
              <w:keepNext/>
              <w:pBdr>
                <w:top w:val="nil"/>
                <w:left w:val="nil"/>
                <w:bottom w:val="nil"/>
                <w:right w:val="nil"/>
                <w:between w:val="nil"/>
              </w:pBdr>
              <w:spacing w:line="276" w:lineRule="auto"/>
            </w:pPr>
            <w:r>
              <w:rPr>
                <w:color w:val="000000"/>
              </w:rPr>
              <w:t xml:space="preserve">Eligible Participant Screener for Focus Group </w:t>
            </w:r>
            <w:r>
              <w:rPr>
                <w:i/>
                <w:color w:val="000000"/>
              </w:rPr>
              <w:t>Attachment 3</w:t>
            </w:r>
          </w:p>
        </w:tc>
        <w:tc>
          <w:tcPr>
            <w:tcW w:w="1545" w:type="dxa"/>
            <w:gridSpan w:val="2"/>
            <w:shd w:val="clear" w:color="auto" w:fill="auto"/>
          </w:tcPr>
          <w:p w:rsidR="00573E3C" w14:paraId="00000101" w14:textId="77777777">
            <w:pPr>
              <w:keepNext/>
              <w:pBdr>
                <w:top w:val="nil"/>
                <w:left w:val="nil"/>
                <w:bottom w:val="nil"/>
                <w:right w:val="nil"/>
                <w:between w:val="nil"/>
              </w:pBdr>
              <w:spacing w:line="276" w:lineRule="auto"/>
              <w:rPr>
                <w:color w:val="000000"/>
              </w:rPr>
            </w:pPr>
            <w:r>
              <w:t>250</w:t>
            </w:r>
          </w:p>
        </w:tc>
        <w:tc>
          <w:tcPr>
            <w:tcW w:w="1245" w:type="dxa"/>
            <w:shd w:val="clear" w:color="auto" w:fill="auto"/>
          </w:tcPr>
          <w:p w:rsidR="00573E3C" w14:paraId="00000103"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104" w14:textId="77777777">
            <w:pPr>
              <w:keepNext/>
              <w:pBdr>
                <w:top w:val="nil"/>
                <w:left w:val="nil"/>
                <w:bottom w:val="nil"/>
                <w:right w:val="nil"/>
                <w:between w:val="nil"/>
              </w:pBdr>
              <w:spacing w:line="276" w:lineRule="auto"/>
            </w:pPr>
            <w:r>
              <w:t>5/60</w:t>
            </w:r>
          </w:p>
        </w:tc>
        <w:tc>
          <w:tcPr>
            <w:tcW w:w="1062" w:type="dxa"/>
            <w:shd w:val="clear" w:color="auto" w:fill="auto"/>
          </w:tcPr>
          <w:p w:rsidR="00573E3C" w14:paraId="00000105" w14:textId="77777777">
            <w:pPr>
              <w:keepNext/>
              <w:pBdr>
                <w:top w:val="nil"/>
                <w:left w:val="nil"/>
                <w:bottom w:val="nil"/>
                <w:right w:val="nil"/>
                <w:between w:val="nil"/>
              </w:pBdr>
              <w:spacing w:line="276" w:lineRule="auto"/>
            </w:pPr>
            <w:r>
              <w:t>21</w:t>
            </w:r>
          </w:p>
        </w:tc>
      </w:tr>
      <w:tr w14:paraId="27EF9E22" w14:textId="77777777">
        <w:tblPrEx>
          <w:tblW w:w="9360" w:type="dxa"/>
          <w:tblLayout w:type="fixed"/>
          <w:tblLook w:val="0000"/>
        </w:tblPrEx>
        <w:trPr>
          <w:trHeight w:val="255"/>
        </w:trPr>
        <w:tc>
          <w:tcPr>
            <w:tcW w:w="1368" w:type="dxa"/>
            <w:vMerge/>
            <w:shd w:val="clear" w:color="auto" w:fill="auto"/>
          </w:tcPr>
          <w:p w:rsidR="00573E3C" w14:paraId="00000106" w14:textId="77777777">
            <w:pPr>
              <w:widowControl w:val="0"/>
              <w:pBdr>
                <w:top w:val="nil"/>
                <w:left w:val="nil"/>
                <w:bottom w:val="nil"/>
                <w:right w:val="nil"/>
                <w:between w:val="nil"/>
              </w:pBdr>
              <w:spacing w:line="276" w:lineRule="auto"/>
            </w:pPr>
          </w:p>
        </w:tc>
        <w:tc>
          <w:tcPr>
            <w:tcW w:w="2700" w:type="dxa"/>
            <w:shd w:val="clear" w:color="auto" w:fill="auto"/>
          </w:tcPr>
          <w:p w:rsidR="00D15E05" w14:paraId="62088F08" w14:textId="77777777">
            <w:pPr>
              <w:keepNext/>
              <w:pBdr>
                <w:top w:val="nil"/>
                <w:left w:val="nil"/>
                <w:bottom w:val="nil"/>
                <w:right w:val="nil"/>
                <w:between w:val="nil"/>
              </w:pBdr>
              <w:spacing w:line="276" w:lineRule="auto"/>
            </w:pPr>
            <w:r>
              <w:t>Eligibility</w:t>
            </w:r>
            <w:r w:rsidR="000561C8">
              <w:t xml:space="preserve"> Screener for</w:t>
            </w:r>
            <w:r>
              <w:t xml:space="preserve"> Survey</w:t>
            </w:r>
          </w:p>
          <w:p w:rsidR="00573E3C" w14:paraId="00000107" w14:textId="7D640297">
            <w:pPr>
              <w:keepNext/>
              <w:pBdr>
                <w:top w:val="nil"/>
                <w:left w:val="nil"/>
                <w:bottom w:val="nil"/>
                <w:right w:val="nil"/>
                <w:between w:val="nil"/>
              </w:pBdr>
              <w:spacing w:line="276" w:lineRule="auto"/>
              <w:rPr>
                <w:color w:val="000000"/>
              </w:rPr>
            </w:pPr>
            <w:r>
              <w:rPr>
                <w:i/>
                <w:color w:val="000000"/>
              </w:rPr>
              <w:t>Attachment 9</w:t>
            </w:r>
          </w:p>
        </w:tc>
        <w:tc>
          <w:tcPr>
            <w:tcW w:w="1545" w:type="dxa"/>
            <w:gridSpan w:val="2"/>
            <w:shd w:val="clear" w:color="auto" w:fill="auto"/>
          </w:tcPr>
          <w:p w:rsidR="00573E3C" w14:paraId="00000108" w14:textId="5E9D32E3">
            <w:pPr>
              <w:keepNext/>
              <w:pBdr>
                <w:top w:val="nil"/>
                <w:left w:val="nil"/>
                <w:bottom w:val="nil"/>
                <w:right w:val="nil"/>
                <w:between w:val="nil"/>
              </w:pBdr>
              <w:spacing w:line="276" w:lineRule="auto"/>
              <w:rPr>
                <w:color w:val="000000"/>
              </w:rPr>
            </w:pPr>
            <w:r>
              <w:rPr>
                <w:color w:val="000000"/>
              </w:rPr>
              <w:t>4500</w:t>
            </w:r>
          </w:p>
        </w:tc>
        <w:tc>
          <w:tcPr>
            <w:tcW w:w="1245" w:type="dxa"/>
            <w:shd w:val="clear" w:color="auto" w:fill="auto"/>
          </w:tcPr>
          <w:p w:rsidR="00573E3C" w14:paraId="0000010A" w14:textId="77777777">
            <w:pPr>
              <w:keepNext/>
              <w:pBdr>
                <w:top w:val="nil"/>
                <w:left w:val="nil"/>
                <w:bottom w:val="nil"/>
                <w:right w:val="nil"/>
                <w:between w:val="nil"/>
              </w:pBdr>
              <w:spacing w:line="276" w:lineRule="auto"/>
              <w:rPr>
                <w:color w:val="000000"/>
              </w:rPr>
            </w:pPr>
            <w:r>
              <w:rPr>
                <w:color w:val="000000"/>
              </w:rPr>
              <w:t>1</w:t>
            </w:r>
          </w:p>
        </w:tc>
        <w:tc>
          <w:tcPr>
            <w:tcW w:w="1440" w:type="dxa"/>
            <w:shd w:val="clear" w:color="auto" w:fill="auto"/>
          </w:tcPr>
          <w:p w:rsidR="00573E3C" w14:paraId="0000010B" w14:textId="1BDD88A8">
            <w:pPr>
              <w:keepNext/>
              <w:pBdr>
                <w:top w:val="nil"/>
                <w:left w:val="nil"/>
                <w:bottom w:val="nil"/>
                <w:right w:val="nil"/>
                <w:between w:val="nil"/>
              </w:pBdr>
              <w:spacing w:line="276" w:lineRule="auto"/>
              <w:rPr>
                <w:color w:val="000000"/>
              </w:rPr>
            </w:pPr>
            <w:sdt>
              <w:sdtPr>
                <w:tag w:val="goog_rdk_34"/>
                <w:id w:val="-1740789096"/>
                <w:richText/>
              </w:sdtPr>
              <w:sdtContent>
                <w:r w:rsidR="001C2EC0">
                  <w:rPr>
                    <w:color w:val="000000"/>
                  </w:rPr>
                  <w:t>2</w:t>
                </w:r>
              </w:sdtContent>
            </w:sdt>
            <w:r w:rsidR="00D672FC">
              <w:rPr>
                <w:color w:val="000000"/>
              </w:rPr>
              <w:t>/60</w:t>
            </w:r>
          </w:p>
        </w:tc>
        <w:tc>
          <w:tcPr>
            <w:tcW w:w="1062" w:type="dxa"/>
            <w:shd w:val="clear" w:color="auto" w:fill="auto"/>
          </w:tcPr>
          <w:p w:rsidR="00573E3C" w14:paraId="0000010C" w14:textId="48DB49AE">
            <w:pPr>
              <w:keepNext/>
              <w:pBdr>
                <w:top w:val="nil"/>
                <w:left w:val="nil"/>
                <w:bottom w:val="nil"/>
                <w:right w:val="nil"/>
                <w:between w:val="nil"/>
              </w:pBdr>
              <w:spacing w:line="276" w:lineRule="auto"/>
              <w:rPr>
                <w:color w:val="000000"/>
              </w:rPr>
            </w:pPr>
            <w:r>
              <w:t>150</w:t>
            </w:r>
          </w:p>
        </w:tc>
      </w:tr>
      <w:tr w14:paraId="2E92411D" w14:textId="77777777">
        <w:tblPrEx>
          <w:tblW w:w="9360" w:type="dxa"/>
          <w:tblLayout w:type="fixed"/>
          <w:tblLook w:val="0000"/>
        </w:tblPrEx>
        <w:tc>
          <w:tcPr>
            <w:tcW w:w="1368" w:type="dxa"/>
            <w:vMerge/>
            <w:shd w:val="clear" w:color="auto" w:fill="auto"/>
          </w:tcPr>
          <w:p w:rsidR="00573E3C" w14:paraId="0000010D"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D15E05" w14:paraId="061D14B0" w14:textId="77777777">
            <w:pPr>
              <w:keepNext/>
              <w:pBdr>
                <w:top w:val="nil"/>
                <w:left w:val="nil"/>
                <w:bottom w:val="nil"/>
                <w:right w:val="nil"/>
                <w:between w:val="nil"/>
              </w:pBdr>
              <w:spacing w:line="276" w:lineRule="auto"/>
            </w:pPr>
            <w:r>
              <w:t xml:space="preserve">Focus Group </w:t>
            </w:r>
            <w:r w:rsidR="00243DEC">
              <w:t xml:space="preserve">Moderator Guide </w:t>
            </w:r>
          </w:p>
          <w:p w:rsidR="00573E3C" w14:paraId="0000010E" w14:textId="00C44F26">
            <w:pPr>
              <w:keepNext/>
              <w:pBdr>
                <w:top w:val="nil"/>
                <w:left w:val="nil"/>
                <w:bottom w:val="nil"/>
                <w:right w:val="nil"/>
                <w:between w:val="nil"/>
              </w:pBdr>
              <w:spacing w:line="276" w:lineRule="auto"/>
            </w:pPr>
            <w:r>
              <w:rPr>
                <w:i/>
              </w:rPr>
              <w:t>Attachment 8</w:t>
            </w:r>
          </w:p>
        </w:tc>
        <w:tc>
          <w:tcPr>
            <w:tcW w:w="1545" w:type="dxa"/>
            <w:gridSpan w:val="2"/>
            <w:shd w:val="clear" w:color="auto" w:fill="auto"/>
          </w:tcPr>
          <w:p w:rsidR="00573E3C" w14:paraId="0000010F" w14:textId="77777777">
            <w:pPr>
              <w:keepNext/>
              <w:pBdr>
                <w:top w:val="nil"/>
                <w:left w:val="nil"/>
                <w:bottom w:val="nil"/>
                <w:right w:val="nil"/>
                <w:between w:val="nil"/>
              </w:pBdr>
              <w:spacing w:line="276" w:lineRule="auto"/>
              <w:rPr>
                <w:color w:val="000000"/>
              </w:rPr>
            </w:pPr>
            <w:r>
              <w:t>64</w:t>
            </w:r>
          </w:p>
        </w:tc>
        <w:tc>
          <w:tcPr>
            <w:tcW w:w="1245" w:type="dxa"/>
            <w:shd w:val="clear" w:color="auto" w:fill="auto"/>
          </w:tcPr>
          <w:p w:rsidR="00573E3C" w14:paraId="00000111" w14:textId="77777777">
            <w:pPr>
              <w:keepNext/>
              <w:pBdr>
                <w:top w:val="nil"/>
                <w:left w:val="nil"/>
                <w:bottom w:val="nil"/>
                <w:right w:val="nil"/>
                <w:between w:val="nil"/>
              </w:pBdr>
              <w:spacing w:line="276" w:lineRule="auto"/>
              <w:rPr>
                <w:color w:val="000000"/>
              </w:rPr>
            </w:pPr>
            <w:r>
              <w:t>1</w:t>
            </w:r>
          </w:p>
        </w:tc>
        <w:tc>
          <w:tcPr>
            <w:tcW w:w="1440" w:type="dxa"/>
            <w:shd w:val="clear" w:color="auto" w:fill="auto"/>
          </w:tcPr>
          <w:p w:rsidR="00573E3C" w14:paraId="00000112" w14:textId="77777777">
            <w:pPr>
              <w:keepNext/>
              <w:pBdr>
                <w:top w:val="nil"/>
                <w:left w:val="nil"/>
                <w:bottom w:val="nil"/>
                <w:right w:val="nil"/>
                <w:between w:val="nil"/>
              </w:pBdr>
              <w:spacing w:line="276" w:lineRule="auto"/>
            </w:pPr>
            <w:r>
              <w:t>60/60</w:t>
            </w:r>
          </w:p>
        </w:tc>
        <w:tc>
          <w:tcPr>
            <w:tcW w:w="1062" w:type="dxa"/>
            <w:shd w:val="clear" w:color="auto" w:fill="auto"/>
          </w:tcPr>
          <w:p w:rsidR="00573E3C" w14:paraId="00000113" w14:textId="77777777">
            <w:pPr>
              <w:keepNext/>
              <w:pBdr>
                <w:top w:val="nil"/>
                <w:left w:val="nil"/>
                <w:bottom w:val="nil"/>
                <w:right w:val="nil"/>
                <w:between w:val="nil"/>
              </w:pBdr>
              <w:spacing w:line="276" w:lineRule="auto"/>
            </w:pPr>
            <w:r>
              <w:t>64</w:t>
            </w:r>
          </w:p>
        </w:tc>
      </w:tr>
      <w:tr w14:paraId="03597A41" w14:textId="77777777">
        <w:tblPrEx>
          <w:tblW w:w="9360" w:type="dxa"/>
          <w:tblLayout w:type="fixed"/>
          <w:tblLook w:val="0000"/>
        </w:tblPrEx>
        <w:tc>
          <w:tcPr>
            <w:tcW w:w="1368" w:type="dxa"/>
            <w:vMerge/>
            <w:shd w:val="clear" w:color="auto" w:fill="auto"/>
          </w:tcPr>
          <w:p w:rsidR="00573E3C" w14:paraId="00000114" w14:textId="77777777">
            <w:pPr>
              <w:widowControl w:val="0"/>
              <w:pBdr>
                <w:top w:val="nil"/>
                <w:left w:val="nil"/>
                <w:bottom w:val="nil"/>
                <w:right w:val="nil"/>
                <w:between w:val="nil"/>
              </w:pBdr>
              <w:spacing w:line="276" w:lineRule="auto"/>
            </w:pPr>
          </w:p>
        </w:tc>
        <w:tc>
          <w:tcPr>
            <w:tcW w:w="2700" w:type="dxa"/>
            <w:shd w:val="clear" w:color="auto" w:fill="auto"/>
          </w:tcPr>
          <w:p w:rsidR="00573E3C" w14:paraId="00000115" w14:textId="3752B930">
            <w:pPr>
              <w:keepNext/>
              <w:pBdr>
                <w:top w:val="nil"/>
                <w:left w:val="nil"/>
                <w:bottom w:val="nil"/>
                <w:right w:val="nil"/>
                <w:between w:val="nil"/>
              </w:pBdr>
              <w:spacing w:line="276" w:lineRule="auto"/>
            </w:pPr>
            <w:r>
              <w:t xml:space="preserve">Rapid </w:t>
            </w:r>
            <w:r w:rsidR="00D672FC">
              <w:t xml:space="preserve">Online Survey </w:t>
            </w:r>
          </w:p>
          <w:p w:rsidR="00573E3C" w14:paraId="00000116" w14:textId="77777777">
            <w:pPr>
              <w:keepNext/>
              <w:pBdr>
                <w:top w:val="nil"/>
                <w:left w:val="nil"/>
                <w:bottom w:val="nil"/>
                <w:right w:val="nil"/>
                <w:between w:val="nil"/>
              </w:pBdr>
              <w:spacing w:line="276" w:lineRule="auto"/>
              <w:rPr>
                <w:i/>
                <w:color w:val="000000"/>
              </w:rPr>
            </w:pPr>
            <w:r>
              <w:rPr>
                <w:i/>
              </w:rPr>
              <w:t>Attachment 11</w:t>
            </w:r>
          </w:p>
        </w:tc>
        <w:tc>
          <w:tcPr>
            <w:tcW w:w="1545" w:type="dxa"/>
            <w:gridSpan w:val="2"/>
            <w:shd w:val="clear" w:color="auto" w:fill="auto"/>
          </w:tcPr>
          <w:p w:rsidR="00573E3C" w:rsidRPr="001C2EC0" w14:paraId="00000117" w14:textId="04794AF1">
            <w:pPr>
              <w:keepNext/>
              <w:pBdr>
                <w:top w:val="nil"/>
                <w:left w:val="nil"/>
                <w:bottom w:val="nil"/>
                <w:right w:val="nil"/>
                <w:between w:val="nil"/>
              </w:pBdr>
              <w:spacing w:line="276" w:lineRule="auto"/>
              <w:rPr>
                <w:iCs/>
                <w:color w:val="000000"/>
              </w:rPr>
            </w:pPr>
            <w:r w:rsidRPr="001C2EC0">
              <w:rPr>
                <w:iCs/>
                <w:color w:val="000000"/>
              </w:rPr>
              <w:t>1500</w:t>
            </w:r>
          </w:p>
        </w:tc>
        <w:tc>
          <w:tcPr>
            <w:tcW w:w="1245" w:type="dxa"/>
            <w:shd w:val="clear" w:color="auto" w:fill="auto"/>
          </w:tcPr>
          <w:p w:rsidR="00573E3C" w14:paraId="00000119" w14:textId="77777777">
            <w:pPr>
              <w:keepNext/>
              <w:pBdr>
                <w:top w:val="nil"/>
                <w:left w:val="nil"/>
                <w:bottom w:val="nil"/>
                <w:right w:val="nil"/>
                <w:between w:val="nil"/>
              </w:pBdr>
              <w:spacing w:line="276" w:lineRule="auto"/>
              <w:rPr>
                <w:color w:val="000000"/>
              </w:rPr>
            </w:pPr>
            <w:r>
              <w:t>1</w:t>
            </w:r>
          </w:p>
        </w:tc>
        <w:tc>
          <w:tcPr>
            <w:tcW w:w="1440" w:type="dxa"/>
            <w:shd w:val="clear" w:color="auto" w:fill="auto"/>
          </w:tcPr>
          <w:p w:rsidR="00573E3C" w14:paraId="0000011A" w14:textId="77777777">
            <w:pPr>
              <w:keepNext/>
              <w:pBdr>
                <w:top w:val="nil"/>
                <w:left w:val="nil"/>
                <w:bottom w:val="nil"/>
                <w:right w:val="nil"/>
                <w:between w:val="nil"/>
              </w:pBdr>
              <w:spacing w:line="276" w:lineRule="auto"/>
              <w:rPr>
                <w:color w:val="000000"/>
              </w:rPr>
            </w:pPr>
            <w:r>
              <w:t>15/60</w:t>
            </w:r>
          </w:p>
        </w:tc>
        <w:tc>
          <w:tcPr>
            <w:tcW w:w="1062" w:type="dxa"/>
            <w:shd w:val="clear" w:color="auto" w:fill="auto"/>
          </w:tcPr>
          <w:p w:rsidR="00573E3C" w14:paraId="0000011B" w14:textId="5224B8A3">
            <w:pPr>
              <w:keepNext/>
              <w:pBdr>
                <w:top w:val="nil"/>
                <w:left w:val="nil"/>
                <w:bottom w:val="nil"/>
                <w:right w:val="nil"/>
                <w:between w:val="nil"/>
              </w:pBdr>
              <w:spacing w:line="276" w:lineRule="auto"/>
              <w:rPr>
                <w:color w:val="000000"/>
              </w:rPr>
            </w:pPr>
            <w:r>
              <w:rPr>
                <w:color w:val="000000"/>
              </w:rPr>
              <w:t>375</w:t>
            </w:r>
          </w:p>
        </w:tc>
      </w:tr>
      <w:tr w14:paraId="2681CDC7" w14:textId="77777777">
        <w:tblPrEx>
          <w:tblW w:w="9360" w:type="dxa"/>
          <w:tblLayout w:type="fixed"/>
          <w:tblLook w:val="0000"/>
        </w:tblPrEx>
        <w:tc>
          <w:tcPr>
            <w:tcW w:w="1368" w:type="dxa"/>
            <w:vMerge/>
            <w:shd w:val="clear" w:color="auto" w:fill="auto"/>
          </w:tcPr>
          <w:p w:rsidR="00573E3C" w14:paraId="0000011C" w14:textId="77777777">
            <w:pPr>
              <w:widowControl w:val="0"/>
              <w:pBdr>
                <w:top w:val="nil"/>
                <w:left w:val="nil"/>
                <w:bottom w:val="nil"/>
                <w:right w:val="nil"/>
                <w:between w:val="nil"/>
              </w:pBdr>
              <w:spacing w:line="276" w:lineRule="auto"/>
              <w:rPr>
                <w:color w:val="000000"/>
              </w:rPr>
            </w:pPr>
          </w:p>
        </w:tc>
        <w:tc>
          <w:tcPr>
            <w:tcW w:w="2700" w:type="dxa"/>
            <w:shd w:val="clear" w:color="auto" w:fill="auto"/>
          </w:tcPr>
          <w:p w:rsidR="00573E3C" w14:paraId="0000011D" w14:textId="77777777">
            <w:pPr>
              <w:keepNext/>
              <w:pBdr>
                <w:top w:val="nil"/>
                <w:left w:val="nil"/>
                <w:bottom w:val="nil"/>
                <w:right w:val="nil"/>
                <w:between w:val="nil"/>
              </w:pBdr>
              <w:spacing w:line="276" w:lineRule="auto"/>
              <w:rPr>
                <w:color w:val="000000"/>
              </w:rPr>
            </w:pPr>
            <w:r>
              <w:rPr>
                <w:color w:val="000000"/>
              </w:rPr>
              <w:t>Total</w:t>
            </w:r>
          </w:p>
        </w:tc>
        <w:tc>
          <w:tcPr>
            <w:tcW w:w="1545" w:type="dxa"/>
            <w:gridSpan w:val="2"/>
            <w:shd w:val="clear" w:color="auto" w:fill="auto"/>
          </w:tcPr>
          <w:p w:rsidR="00573E3C" w14:paraId="0000011E" w14:textId="77777777">
            <w:pPr>
              <w:keepNext/>
              <w:pBdr>
                <w:top w:val="nil"/>
                <w:left w:val="nil"/>
                <w:bottom w:val="nil"/>
                <w:right w:val="nil"/>
                <w:between w:val="nil"/>
              </w:pBdr>
              <w:spacing w:line="276" w:lineRule="auto"/>
              <w:rPr>
                <w:color w:val="000000"/>
              </w:rPr>
            </w:pPr>
          </w:p>
        </w:tc>
        <w:tc>
          <w:tcPr>
            <w:tcW w:w="1245" w:type="dxa"/>
            <w:shd w:val="clear" w:color="auto" w:fill="auto"/>
          </w:tcPr>
          <w:p w:rsidR="00573E3C" w14:paraId="00000120" w14:textId="77777777">
            <w:pPr>
              <w:keepNext/>
              <w:pBdr>
                <w:top w:val="nil"/>
                <w:left w:val="nil"/>
                <w:bottom w:val="nil"/>
                <w:right w:val="nil"/>
                <w:between w:val="nil"/>
              </w:pBdr>
              <w:spacing w:line="276" w:lineRule="auto"/>
              <w:rPr>
                <w:color w:val="000000"/>
              </w:rPr>
            </w:pPr>
          </w:p>
        </w:tc>
        <w:tc>
          <w:tcPr>
            <w:tcW w:w="1440" w:type="dxa"/>
            <w:shd w:val="clear" w:color="auto" w:fill="auto"/>
          </w:tcPr>
          <w:p w:rsidR="00573E3C" w14:paraId="00000121" w14:textId="77777777">
            <w:pPr>
              <w:keepNext/>
              <w:pBdr>
                <w:top w:val="nil"/>
                <w:left w:val="nil"/>
                <w:bottom w:val="nil"/>
                <w:right w:val="nil"/>
                <w:between w:val="nil"/>
              </w:pBdr>
              <w:spacing w:line="276" w:lineRule="auto"/>
              <w:rPr>
                <w:color w:val="000000"/>
              </w:rPr>
            </w:pPr>
          </w:p>
        </w:tc>
        <w:tc>
          <w:tcPr>
            <w:tcW w:w="1062" w:type="dxa"/>
            <w:shd w:val="clear" w:color="auto" w:fill="auto"/>
          </w:tcPr>
          <w:p w:rsidR="00573E3C" w14:paraId="00000122" w14:textId="4935123F">
            <w:pPr>
              <w:keepNext/>
              <w:pBdr>
                <w:top w:val="nil"/>
                <w:left w:val="nil"/>
                <w:bottom w:val="nil"/>
                <w:right w:val="nil"/>
                <w:between w:val="nil"/>
              </w:pBdr>
              <w:spacing w:line="276" w:lineRule="auto"/>
            </w:pPr>
            <w:r>
              <w:t>650</w:t>
            </w:r>
          </w:p>
        </w:tc>
      </w:tr>
    </w:tbl>
    <w:p w:rsidR="00573E3C" w14:paraId="00000123" w14:textId="77777777">
      <w:pPr>
        <w:pBdr>
          <w:top w:val="nil"/>
          <w:left w:val="nil"/>
          <w:bottom w:val="nil"/>
          <w:right w:val="nil"/>
          <w:between w:val="nil"/>
        </w:pBdr>
        <w:spacing w:line="276" w:lineRule="auto"/>
        <w:ind w:firstLine="720"/>
        <w:rPr>
          <w:color w:val="000000"/>
        </w:rPr>
      </w:pPr>
    </w:p>
    <w:p w:rsidR="00573E3C" w14:paraId="00000124" w14:textId="77777777">
      <w:pPr>
        <w:pBdr>
          <w:top w:val="nil"/>
          <w:left w:val="nil"/>
          <w:bottom w:val="nil"/>
          <w:right w:val="nil"/>
          <w:between w:val="nil"/>
        </w:pBdr>
        <w:spacing w:line="276" w:lineRule="auto"/>
        <w:ind w:firstLine="720"/>
        <w:rPr>
          <w:color w:val="000000"/>
        </w:rPr>
      </w:pPr>
    </w:p>
    <w:p w:rsidR="00573E3C" w14:paraId="00000125" w14:textId="77777777">
      <w:pPr>
        <w:pBdr>
          <w:top w:val="nil"/>
          <w:left w:val="nil"/>
          <w:bottom w:val="nil"/>
          <w:right w:val="nil"/>
          <w:between w:val="nil"/>
        </w:pBdr>
        <w:spacing w:line="276" w:lineRule="auto"/>
        <w:rPr>
          <w:color w:val="000000"/>
        </w:rPr>
      </w:pPr>
      <w:bookmarkStart w:id="36" w:name="_heading=h.cjcovctchc9f" w:colFirst="0" w:colLast="0"/>
      <w:bookmarkEnd w:id="36"/>
      <w:r>
        <w:rPr>
          <w:color w:val="000000"/>
        </w:rPr>
        <w:t>The estimates of the annualized cost to respondents for the burden hours for the collection of information is derived from the October 2024 mean hourly wage of $35.46 across all occupations (average hourly earnings for all employees on private nonfarm payrolls), per the U.S. Department of Labor (DOL) October 2024 (the most up-to-date non-provisional data) National Occupational Employment and Wage Estimates. The total annualized burden cost is estimated at $15,673.32 per year.</w:t>
      </w:r>
    </w:p>
    <w:p w:rsidR="00573E3C" w14:paraId="00000126" w14:textId="77777777">
      <w:pPr>
        <w:pBdr>
          <w:top w:val="nil"/>
          <w:left w:val="nil"/>
          <w:bottom w:val="nil"/>
          <w:right w:val="nil"/>
          <w:between w:val="nil"/>
        </w:pBdr>
        <w:spacing w:line="276" w:lineRule="auto"/>
        <w:rPr>
          <w:b/>
          <w:color w:val="000000"/>
        </w:rPr>
      </w:pPr>
    </w:p>
    <w:p w:rsidR="00573E3C" w:rsidP="344BE70E" w14:paraId="00000127" w14:textId="77777777">
      <w:pPr>
        <w:pBdr>
          <w:top w:val="nil"/>
          <w:left w:val="nil"/>
          <w:bottom w:val="nil"/>
          <w:right w:val="nil"/>
          <w:between w:val="nil"/>
        </w:pBdr>
        <w:spacing w:line="276" w:lineRule="auto"/>
        <w:rPr>
          <w:color w:val="000000"/>
        </w:rPr>
      </w:pPr>
      <w:r w:rsidRPr="344BE70E">
        <w:rPr>
          <w:b/>
          <w:bCs/>
          <w:color w:val="000000" w:themeColor="text1"/>
        </w:rPr>
        <w:t>Exhibit A.12.2</w:t>
      </w:r>
      <w:r w:rsidR="00D672FC">
        <w:tab/>
      </w:r>
      <w:r w:rsidRPr="344BE70E">
        <w:rPr>
          <w:color w:val="000000" w:themeColor="text1"/>
        </w:rPr>
        <w:t>Estimated Annualized Burden Costs</w:t>
      </w:r>
    </w:p>
    <w:tbl>
      <w:tblPr>
        <w:tblStyle w:val="49"/>
        <w:tblW w:w="9366" w:type="dxa"/>
        <w:tblLayout w:type="fixed"/>
        <w:tblLook w:val="0000"/>
      </w:tblPr>
      <w:tblGrid>
        <w:gridCol w:w="1575"/>
        <w:gridCol w:w="1380"/>
        <w:gridCol w:w="1386"/>
        <w:gridCol w:w="1197"/>
        <w:gridCol w:w="1128"/>
        <w:gridCol w:w="1290"/>
        <w:gridCol w:w="1410"/>
      </w:tblGrid>
      <w:tr w14:paraId="5CC00210" w14:textId="77777777">
        <w:tblPrEx>
          <w:tblW w:w="9366" w:type="dxa"/>
          <w:tblLayout w:type="fixed"/>
          <w:tblLook w:val="0000"/>
        </w:tblPrEx>
        <w:tc>
          <w:tcPr>
            <w:tcW w:w="1575" w:type="dxa"/>
            <w:tcBorders>
              <w:top w:val="single" w:sz="12" w:space="0" w:color="000000"/>
              <w:bottom w:val="single" w:sz="8" w:space="0" w:color="000000"/>
            </w:tcBorders>
            <w:shd w:val="clear" w:color="auto" w:fill="auto"/>
            <w:vAlign w:val="bottom"/>
          </w:tcPr>
          <w:p w:rsidR="00573E3C" w14:paraId="00000128" w14:textId="77777777">
            <w:pPr>
              <w:pBdr>
                <w:top w:val="nil"/>
                <w:left w:val="nil"/>
                <w:bottom w:val="nil"/>
                <w:right w:val="nil"/>
                <w:between w:val="nil"/>
              </w:pBdr>
              <w:spacing w:line="276" w:lineRule="auto"/>
              <w:rPr>
                <w:b/>
                <w:color w:val="000000"/>
              </w:rPr>
            </w:pPr>
            <w:r>
              <w:rPr>
                <w:b/>
                <w:color w:val="000000"/>
              </w:rPr>
              <w:t>Activity</w:t>
            </w:r>
          </w:p>
        </w:tc>
        <w:tc>
          <w:tcPr>
            <w:tcW w:w="1380" w:type="dxa"/>
            <w:tcBorders>
              <w:top w:val="single" w:sz="12" w:space="0" w:color="000000"/>
              <w:bottom w:val="single" w:sz="8" w:space="0" w:color="000000"/>
            </w:tcBorders>
            <w:shd w:val="clear" w:color="auto" w:fill="auto"/>
            <w:vAlign w:val="bottom"/>
          </w:tcPr>
          <w:p w:rsidR="00573E3C" w14:paraId="00000129" w14:textId="77777777">
            <w:pPr>
              <w:pBdr>
                <w:top w:val="nil"/>
                <w:left w:val="nil"/>
                <w:bottom w:val="nil"/>
                <w:right w:val="nil"/>
                <w:between w:val="nil"/>
              </w:pBdr>
              <w:spacing w:line="276" w:lineRule="auto"/>
              <w:rPr>
                <w:b/>
                <w:color w:val="000000"/>
              </w:rPr>
            </w:pPr>
            <w:r>
              <w:rPr>
                <w:b/>
                <w:color w:val="000000"/>
              </w:rPr>
              <w:t>No. of Respondents</w:t>
            </w:r>
          </w:p>
        </w:tc>
        <w:tc>
          <w:tcPr>
            <w:tcW w:w="1386" w:type="dxa"/>
            <w:tcBorders>
              <w:top w:val="single" w:sz="12" w:space="0" w:color="000000"/>
              <w:bottom w:val="single" w:sz="8" w:space="0" w:color="000000"/>
            </w:tcBorders>
            <w:shd w:val="clear" w:color="auto" w:fill="auto"/>
            <w:vAlign w:val="bottom"/>
          </w:tcPr>
          <w:p w:rsidR="00573E3C" w14:paraId="0000012A" w14:textId="77777777">
            <w:pPr>
              <w:pBdr>
                <w:top w:val="nil"/>
                <w:left w:val="nil"/>
                <w:bottom w:val="nil"/>
                <w:right w:val="nil"/>
                <w:between w:val="nil"/>
              </w:pBdr>
              <w:spacing w:line="276" w:lineRule="auto"/>
              <w:rPr>
                <w:b/>
                <w:color w:val="000000"/>
              </w:rPr>
            </w:pPr>
            <w:r>
              <w:rPr>
                <w:b/>
                <w:color w:val="000000"/>
              </w:rPr>
              <w:t>No. of Responses per Respondent</w:t>
            </w:r>
          </w:p>
        </w:tc>
        <w:tc>
          <w:tcPr>
            <w:tcW w:w="1197" w:type="dxa"/>
            <w:tcBorders>
              <w:top w:val="single" w:sz="12" w:space="0" w:color="000000"/>
              <w:bottom w:val="single" w:sz="8" w:space="0" w:color="000000"/>
            </w:tcBorders>
            <w:shd w:val="clear" w:color="auto" w:fill="auto"/>
            <w:vAlign w:val="bottom"/>
          </w:tcPr>
          <w:p w:rsidR="00573E3C" w14:paraId="0000012B" w14:textId="77777777">
            <w:pPr>
              <w:pBdr>
                <w:top w:val="nil"/>
                <w:left w:val="nil"/>
                <w:bottom w:val="nil"/>
                <w:right w:val="nil"/>
                <w:between w:val="nil"/>
              </w:pBdr>
              <w:spacing w:line="276" w:lineRule="auto"/>
              <w:rPr>
                <w:b/>
                <w:color w:val="000000"/>
              </w:rPr>
            </w:pPr>
            <w:r>
              <w:rPr>
                <w:b/>
                <w:color w:val="000000"/>
              </w:rPr>
              <w:t>Average Burden per Response</w:t>
            </w:r>
          </w:p>
          <w:p w:rsidR="00573E3C" w14:paraId="0000012C" w14:textId="77777777">
            <w:pPr>
              <w:pBdr>
                <w:top w:val="nil"/>
                <w:left w:val="nil"/>
                <w:bottom w:val="nil"/>
                <w:right w:val="nil"/>
                <w:between w:val="nil"/>
              </w:pBdr>
              <w:spacing w:line="276" w:lineRule="auto"/>
              <w:rPr>
                <w:b/>
                <w:color w:val="000000"/>
              </w:rPr>
            </w:pPr>
            <w:r>
              <w:rPr>
                <w:b/>
                <w:color w:val="000000"/>
              </w:rPr>
              <w:t>(in Hours)</w:t>
            </w:r>
          </w:p>
        </w:tc>
        <w:tc>
          <w:tcPr>
            <w:tcW w:w="1128" w:type="dxa"/>
            <w:tcBorders>
              <w:top w:val="single" w:sz="12" w:space="0" w:color="000000"/>
              <w:bottom w:val="single" w:sz="8" w:space="0" w:color="000000"/>
            </w:tcBorders>
            <w:shd w:val="clear" w:color="auto" w:fill="auto"/>
            <w:vAlign w:val="bottom"/>
          </w:tcPr>
          <w:p w:rsidR="00573E3C" w14:paraId="0000012D" w14:textId="77777777">
            <w:pPr>
              <w:pBdr>
                <w:top w:val="nil"/>
                <w:left w:val="nil"/>
                <w:bottom w:val="nil"/>
                <w:right w:val="nil"/>
                <w:between w:val="nil"/>
              </w:pBdr>
              <w:spacing w:line="276" w:lineRule="auto"/>
              <w:rPr>
                <w:b/>
                <w:color w:val="000000"/>
              </w:rPr>
            </w:pPr>
            <w:r>
              <w:rPr>
                <w:b/>
                <w:color w:val="000000"/>
              </w:rPr>
              <w:t>Total Burden Hours</w:t>
            </w:r>
          </w:p>
        </w:tc>
        <w:tc>
          <w:tcPr>
            <w:tcW w:w="1290" w:type="dxa"/>
            <w:tcBorders>
              <w:top w:val="single" w:sz="12" w:space="0" w:color="000000"/>
              <w:bottom w:val="single" w:sz="8" w:space="0" w:color="000000"/>
            </w:tcBorders>
            <w:shd w:val="clear" w:color="auto" w:fill="auto"/>
            <w:vAlign w:val="bottom"/>
          </w:tcPr>
          <w:p w:rsidR="00573E3C" w14:paraId="0000012E" w14:textId="77777777">
            <w:pPr>
              <w:pBdr>
                <w:top w:val="nil"/>
                <w:left w:val="nil"/>
                <w:bottom w:val="nil"/>
                <w:right w:val="nil"/>
                <w:between w:val="nil"/>
              </w:pBdr>
              <w:spacing w:line="276" w:lineRule="auto"/>
              <w:rPr>
                <w:b/>
                <w:color w:val="000000"/>
              </w:rPr>
            </w:pPr>
            <w:r>
              <w:rPr>
                <w:b/>
                <w:color w:val="000000"/>
              </w:rPr>
              <w:t>Hourly Wage Rate</w:t>
            </w:r>
          </w:p>
        </w:tc>
        <w:tc>
          <w:tcPr>
            <w:tcW w:w="1410" w:type="dxa"/>
            <w:tcBorders>
              <w:top w:val="single" w:sz="12" w:space="0" w:color="000000"/>
              <w:bottom w:val="single" w:sz="8" w:space="0" w:color="000000"/>
            </w:tcBorders>
            <w:shd w:val="clear" w:color="auto" w:fill="auto"/>
            <w:vAlign w:val="bottom"/>
          </w:tcPr>
          <w:p w:rsidR="00573E3C" w14:paraId="0000012F" w14:textId="77777777">
            <w:pPr>
              <w:pBdr>
                <w:top w:val="nil"/>
                <w:left w:val="nil"/>
                <w:bottom w:val="nil"/>
                <w:right w:val="nil"/>
                <w:between w:val="nil"/>
              </w:pBdr>
              <w:spacing w:line="276" w:lineRule="auto"/>
              <w:rPr>
                <w:b/>
                <w:color w:val="000000"/>
              </w:rPr>
            </w:pPr>
            <w:r>
              <w:rPr>
                <w:b/>
                <w:color w:val="000000"/>
              </w:rPr>
              <w:t>Total</w:t>
            </w:r>
            <w:r>
              <w:rPr>
                <w:b/>
                <w:color w:val="000000"/>
              </w:rPr>
              <w:br/>
              <w:t>Respondent Costs</w:t>
            </w:r>
          </w:p>
        </w:tc>
      </w:tr>
      <w:tr w14:paraId="4D1C178C" w14:textId="77777777">
        <w:tblPrEx>
          <w:tblW w:w="9366" w:type="dxa"/>
          <w:tblLayout w:type="fixed"/>
          <w:tblLook w:val="0000"/>
        </w:tblPrEx>
        <w:trPr>
          <w:trHeight w:val="540"/>
        </w:trPr>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FC0386" w:rsidP="00FC0386" w14:paraId="2A8D9D7F" w14:textId="77777777">
            <w:pPr>
              <w:keepNext/>
              <w:pBdr>
                <w:top w:val="nil"/>
                <w:left w:val="nil"/>
                <w:bottom w:val="nil"/>
                <w:right w:val="nil"/>
                <w:between w:val="nil"/>
              </w:pBdr>
              <w:spacing w:line="276" w:lineRule="auto"/>
            </w:pPr>
            <w:r>
              <w:t xml:space="preserve">Eligibility Screener </w:t>
            </w:r>
            <w:r>
              <w:t>for Focus Groups</w:t>
            </w:r>
          </w:p>
          <w:p w:rsidR="00573E3C" w14:paraId="00000130" w14:textId="58ABBF7D">
            <w:pPr>
              <w:keepNext/>
              <w:pBdr>
                <w:top w:val="nil"/>
                <w:left w:val="nil"/>
                <w:bottom w:val="nil"/>
                <w:right w:val="nil"/>
                <w:between w:val="nil"/>
              </w:pBdr>
              <w:spacing w:line="276" w:lineRule="auto"/>
            </w:pPr>
          </w:p>
          <w:p w:rsidR="00573E3C" w14:paraId="00000131" w14:textId="77777777">
            <w:pPr>
              <w:keepNext/>
              <w:pBdr>
                <w:top w:val="nil"/>
                <w:left w:val="nil"/>
                <w:bottom w:val="nil"/>
                <w:right w:val="nil"/>
                <w:between w:val="nil"/>
              </w:pBdr>
              <w:spacing w:line="276" w:lineRule="auto"/>
              <w:rPr>
                <w:color w:val="000000"/>
              </w:rPr>
            </w:pPr>
            <w:r>
              <w:rPr>
                <w:i/>
              </w:rPr>
              <w:t>Attachment 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2" w14:textId="77777777">
            <w:pPr>
              <w:keepNext/>
              <w:pBdr>
                <w:top w:val="nil"/>
                <w:left w:val="nil"/>
                <w:bottom w:val="nil"/>
                <w:right w:val="nil"/>
                <w:between w:val="nil"/>
              </w:pBdr>
              <w:spacing w:line="276" w:lineRule="auto"/>
              <w:rPr>
                <w:color w:val="000000"/>
              </w:rPr>
            </w:pPr>
            <w:r>
              <w:t>480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3" w14:textId="77777777">
            <w:pPr>
              <w:keepNext/>
              <w:pBdr>
                <w:top w:val="nil"/>
                <w:left w:val="nil"/>
                <w:bottom w:val="nil"/>
                <w:right w:val="nil"/>
                <w:between w:val="nil"/>
              </w:pBdr>
              <w:spacing w:line="276" w:lineRule="auto"/>
              <w:rPr>
                <w:color w:val="000000"/>
              </w:rPr>
            </w:pPr>
            <w:r>
              <w:rPr>
                <w:color w:val="000000"/>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4" w14:textId="77777777">
            <w:pPr>
              <w:keepNext/>
              <w:pBdr>
                <w:top w:val="nil"/>
                <w:left w:val="nil"/>
                <w:bottom w:val="nil"/>
                <w:right w:val="nil"/>
                <w:between w:val="nil"/>
              </w:pBdr>
              <w:spacing w:line="276" w:lineRule="auto"/>
              <w:rPr>
                <w:color w:val="000000"/>
              </w:rPr>
            </w:pPr>
            <w:r>
              <w:t>5</w:t>
            </w:r>
            <w:r>
              <w:rPr>
                <w:color w:val="000000"/>
              </w:rPr>
              <w:t xml:space="preserve">/60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5" w14:textId="77777777">
            <w:pPr>
              <w:keepNext/>
              <w:pBdr>
                <w:top w:val="nil"/>
                <w:left w:val="nil"/>
                <w:bottom w:val="nil"/>
                <w:right w:val="nil"/>
                <w:between w:val="nil"/>
              </w:pBdr>
              <w:spacing w:line="276" w:lineRule="auto"/>
              <w:rPr>
                <w:color w:val="000000"/>
              </w:rPr>
            </w:pPr>
            <w:r>
              <w:t>40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6"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37" w14:textId="77777777">
            <w:pPr>
              <w:keepNext/>
              <w:pBdr>
                <w:top w:val="nil"/>
                <w:left w:val="nil"/>
                <w:bottom w:val="nil"/>
                <w:right w:val="nil"/>
                <w:between w:val="nil"/>
              </w:pBdr>
              <w:spacing w:line="276" w:lineRule="auto"/>
            </w:pPr>
            <w:r>
              <w:t xml:space="preserve">$1,418.40 </w:t>
            </w:r>
          </w:p>
          <w:p w:rsidR="00573E3C" w14:paraId="00000138" w14:textId="77777777">
            <w:pPr>
              <w:keepNext/>
              <w:pBdr>
                <w:top w:val="nil"/>
                <w:left w:val="nil"/>
                <w:bottom w:val="nil"/>
                <w:right w:val="nil"/>
                <w:between w:val="nil"/>
              </w:pBdr>
              <w:spacing w:line="276" w:lineRule="auto"/>
            </w:pPr>
          </w:p>
        </w:tc>
      </w:tr>
      <w:tr w14:paraId="49C039BD" w14:textId="77777777">
        <w:tblPrEx>
          <w:tblW w:w="9366" w:type="dxa"/>
          <w:tblLayout w:type="fixed"/>
          <w:tblLook w:val="0000"/>
        </w:tblPrEx>
        <w:trPr>
          <w:trHeight w:val="540"/>
        </w:trPr>
        <w:tc>
          <w:tcPr>
            <w:tcW w:w="1575"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9" w14:textId="77777777">
            <w:pPr>
              <w:keepNext/>
              <w:pBdr>
                <w:top w:val="nil"/>
                <w:left w:val="nil"/>
                <w:bottom w:val="nil"/>
                <w:right w:val="nil"/>
                <w:between w:val="nil"/>
              </w:pBdr>
              <w:spacing w:line="276" w:lineRule="auto"/>
            </w:pPr>
            <w:r>
              <w:rPr>
                <w:color w:val="000000"/>
              </w:rPr>
              <w:t xml:space="preserve">Eligible Participant Screener for Focus Group </w:t>
            </w:r>
            <w:r>
              <w:rPr>
                <w:i/>
                <w:color w:val="000000"/>
              </w:rPr>
              <w:t>Attachment 3</w:t>
            </w:r>
          </w:p>
        </w:tc>
        <w:tc>
          <w:tcPr>
            <w:tcW w:w="138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A" w14:textId="77777777">
            <w:pPr>
              <w:keepNext/>
              <w:pBdr>
                <w:top w:val="nil"/>
                <w:left w:val="nil"/>
                <w:bottom w:val="nil"/>
                <w:right w:val="nil"/>
                <w:between w:val="nil"/>
              </w:pBdr>
              <w:spacing w:line="276" w:lineRule="auto"/>
            </w:pPr>
            <w:r>
              <w:t>250</w:t>
            </w:r>
          </w:p>
        </w:tc>
        <w:tc>
          <w:tcPr>
            <w:tcW w:w="1386"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B" w14:textId="77777777">
            <w:pPr>
              <w:keepNext/>
              <w:pBdr>
                <w:top w:val="nil"/>
                <w:left w:val="nil"/>
                <w:bottom w:val="nil"/>
                <w:right w:val="nil"/>
                <w:between w:val="nil"/>
              </w:pBdr>
              <w:spacing w:line="276" w:lineRule="auto"/>
              <w:rPr>
                <w:color w:val="000000"/>
              </w:rPr>
            </w:pPr>
            <w:r>
              <w:rPr>
                <w:color w:val="000000"/>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C" w14:textId="77777777">
            <w:pPr>
              <w:keepNext/>
              <w:pBdr>
                <w:top w:val="nil"/>
                <w:left w:val="nil"/>
                <w:bottom w:val="nil"/>
                <w:right w:val="nil"/>
                <w:between w:val="nil"/>
              </w:pBdr>
              <w:spacing w:line="276" w:lineRule="auto"/>
            </w:pPr>
            <w:r>
              <w:t>5/60</w:t>
            </w:r>
          </w:p>
        </w:tc>
        <w:tc>
          <w:tcPr>
            <w:tcW w:w="1128"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D" w14:textId="77777777">
            <w:pPr>
              <w:keepNext/>
              <w:pBdr>
                <w:top w:val="nil"/>
                <w:left w:val="nil"/>
                <w:bottom w:val="nil"/>
                <w:right w:val="nil"/>
                <w:between w:val="nil"/>
              </w:pBdr>
              <w:spacing w:line="276" w:lineRule="auto"/>
            </w:pPr>
            <w:r>
              <w:t>21</w:t>
            </w:r>
          </w:p>
        </w:tc>
        <w:tc>
          <w:tcPr>
            <w:tcW w:w="129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E"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FFFFFF"/>
          </w:tcPr>
          <w:p w:rsidR="00573E3C" w14:paraId="0000013F" w14:textId="77777777">
            <w:pPr>
              <w:keepNext/>
              <w:pBdr>
                <w:top w:val="nil"/>
                <w:left w:val="nil"/>
                <w:bottom w:val="nil"/>
                <w:right w:val="nil"/>
                <w:between w:val="nil"/>
              </w:pBdr>
              <w:spacing w:line="276" w:lineRule="auto"/>
              <w:rPr>
                <w:color w:val="000000"/>
              </w:rPr>
            </w:pPr>
            <w:r>
              <w:rPr>
                <w:color w:val="000000"/>
              </w:rPr>
              <w:t xml:space="preserve">$744.66  </w:t>
            </w:r>
          </w:p>
        </w:tc>
      </w:tr>
      <w:tr w14:paraId="5C871B86" w14:textId="77777777">
        <w:tblPrEx>
          <w:tblW w:w="9366" w:type="dxa"/>
          <w:tblLayout w:type="fixed"/>
          <w:tblLook w:val="0000"/>
        </w:tblPrEx>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0" w14:textId="3BAB3CD2">
            <w:pPr>
              <w:keepNext/>
              <w:pBdr>
                <w:top w:val="nil"/>
                <w:left w:val="nil"/>
                <w:bottom w:val="nil"/>
                <w:right w:val="nil"/>
                <w:between w:val="nil"/>
              </w:pBdr>
              <w:spacing w:line="276" w:lineRule="auto"/>
              <w:rPr>
                <w:color w:val="000000"/>
              </w:rPr>
            </w:pPr>
            <w:r>
              <w:t xml:space="preserve">Eligibility </w:t>
            </w:r>
            <w:r w:rsidR="00FC0386">
              <w:t xml:space="preserve">Screener for </w:t>
            </w:r>
            <w:r>
              <w:t>Survey</w:t>
            </w:r>
            <w:r>
              <w:rPr>
                <w:color w:val="000000"/>
              </w:rPr>
              <w:t xml:space="preserve"> </w:t>
            </w:r>
            <w:r>
              <w:rPr>
                <w:i/>
                <w:color w:val="000000"/>
              </w:rPr>
              <w:t>Attachment 9</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1" w14:textId="2155C1D8">
            <w:pPr>
              <w:keepNext/>
              <w:pBdr>
                <w:top w:val="nil"/>
                <w:left w:val="nil"/>
                <w:bottom w:val="nil"/>
                <w:right w:val="nil"/>
                <w:between w:val="nil"/>
              </w:pBdr>
              <w:spacing w:line="276" w:lineRule="auto"/>
              <w:rPr>
                <w:color w:val="000000"/>
              </w:rPr>
            </w:pPr>
            <w:r>
              <w:rPr>
                <w:color w:val="000000"/>
              </w:rPr>
              <w:t>4500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2" w14:textId="77777777">
            <w:pPr>
              <w:keepNext/>
              <w:pBdr>
                <w:top w:val="nil"/>
                <w:left w:val="nil"/>
                <w:bottom w:val="nil"/>
                <w:right w:val="nil"/>
                <w:between w:val="nil"/>
              </w:pBdr>
              <w:spacing w:line="276" w:lineRule="auto"/>
              <w:rPr>
                <w:color w:val="000000"/>
              </w:rPr>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3" w14:textId="2979F977">
            <w:pPr>
              <w:keepNext/>
              <w:pBdr>
                <w:top w:val="nil"/>
                <w:left w:val="nil"/>
                <w:bottom w:val="nil"/>
                <w:right w:val="nil"/>
                <w:between w:val="nil"/>
              </w:pBdr>
              <w:spacing w:line="276" w:lineRule="auto"/>
              <w:rPr>
                <w:color w:val="000000"/>
              </w:rPr>
            </w:pPr>
            <w:r>
              <w:rPr>
                <w:color w:val="000000"/>
              </w:rPr>
              <w:t>2</w:t>
            </w:r>
            <w:r w:rsidR="00D672FC">
              <w:t xml:space="preserve">/60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4" w14:textId="5C24D5C6">
            <w:pPr>
              <w:keepNext/>
              <w:pBdr>
                <w:top w:val="nil"/>
                <w:left w:val="nil"/>
                <w:bottom w:val="nil"/>
                <w:right w:val="nil"/>
                <w:between w:val="nil"/>
              </w:pBdr>
              <w:spacing w:line="276" w:lineRule="auto"/>
              <w:rPr>
                <w:color w:val="000000"/>
              </w:rPr>
            </w:pPr>
            <w:r>
              <w:t>150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5"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6" w14:textId="6A491397">
            <w:pPr>
              <w:keepNext/>
              <w:pBdr>
                <w:top w:val="nil"/>
                <w:left w:val="nil"/>
                <w:bottom w:val="nil"/>
                <w:right w:val="nil"/>
                <w:between w:val="nil"/>
              </w:pBdr>
              <w:spacing w:line="276" w:lineRule="auto"/>
              <w:rPr>
                <w:color w:val="000000"/>
              </w:rPr>
            </w:pPr>
            <w:r w:rsidRPr="001C2EC0">
              <w:rPr>
                <w:color w:val="000000"/>
              </w:rPr>
              <w:t>$5319.00</w:t>
            </w:r>
          </w:p>
        </w:tc>
      </w:tr>
    </w:tbl>
    <w:p w:rsidR="00573E3C" w14:paraId="00000147" w14:textId="77777777">
      <w:pPr>
        <w:widowControl w:val="0"/>
        <w:pBdr>
          <w:top w:val="nil"/>
          <w:left w:val="nil"/>
          <w:bottom w:val="nil"/>
          <w:right w:val="nil"/>
          <w:between w:val="nil"/>
        </w:pBdr>
        <w:spacing w:line="276" w:lineRule="auto"/>
        <w:rPr>
          <w:color w:val="000000"/>
        </w:rPr>
      </w:pPr>
    </w:p>
    <w:tbl>
      <w:tblPr>
        <w:tblStyle w:val="48"/>
        <w:tblW w:w="9366" w:type="dxa"/>
        <w:tblLayout w:type="fixed"/>
        <w:tblLook w:val="0000"/>
      </w:tblPr>
      <w:tblGrid>
        <w:gridCol w:w="1575"/>
        <w:gridCol w:w="1380"/>
        <w:gridCol w:w="1386"/>
        <w:gridCol w:w="1197"/>
        <w:gridCol w:w="1128"/>
        <w:gridCol w:w="1290"/>
        <w:gridCol w:w="1410"/>
      </w:tblGrid>
      <w:tr w14:paraId="4637D02D" w14:textId="77777777">
        <w:tblPrEx>
          <w:tblW w:w="9366" w:type="dxa"/>
          <w:tblLayout w:type="fixed"/>
          <w:tblLook w:val="0000"/>
        </w:tblPrEx>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8" w14:textId="413E98CF">
            <w:pPr>
              <w:keepNext/>
              <w:pBdr>
                <w:top w:val="nil"/>
                <w:left w:val="nil"/>
                <w:bottom w:val="nil"/>
                <w:right w:val="nil"/>
                <w:between w:val="nil"/>
              </w:pBdr>
              <w:spacing w:line="276" w:lineRule="auto"/>
              <w:rPr>
                <w:color w:val="000000"/>
              </w:rPr>
            </w:pPr>
            <w:r>
              <w:t xml:space="preserve">Focus Group </w:t>
            </w:r>
            <w:r w:rsidR="00D40975">
              <w:t xml:space="preserve">Moderator Guide </w:t>
            </w:r>
            <w:r>
              <w:rPr>
                <w:i/>
              </w:rPr>
              <w:t>Attachment 8</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9" w14:textId="77777777">
            <w:pPr>
              <w:keepNext/>
              <w:pBdr>
                <w:top w:val="nil"/>
                <w:left w:val="nil"/>
                <w:bottom w:val="nil"/>
                <w:right w:val="nil"/>
                <w:between w:val="nil"/>
              </w:pBdr>
              <w:spacing w:line="276" w:lineRule="auto"/>
              <w:rPr>
                <w:color w:val="000000"/>
              </w:rPr>
            </w:pPr>
            <w:r>
              <w:t>64</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A" w14:textId="77777777">
            <w:pPr>
              <w:keepNext/>
              <w:pBdr>
                <w:top w:val="nil"/>
                <w:left w:val="nil"/>
                <w:bottom w:val="nil"/>
                <w:right w:val="nil"/>
                <w:between w:val="nil"/>
              </w:pBdr>
              <w:spacing w:line="276" w:lineRule="auto"/>
              <w:rPr>
                <w:color w:val="000000"/>
              </w:rPr>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B" w14:textId="77777777">
            <w:pPr>
              <w:keepNext/>
              <w:pBdr>
                <w:top w:val="nil"/>
                <w:left w:val="nil"/>
                <w:bottom w:val="nil"/>
                <w:right w:val="nil"/>
                <w:between w:val="nil"/>
              </w:pBdr>
              <w:spacing w:line="276" w:lineRule="auto"/>
            </w:pPr>
            <w:r>
              <w:t>60/60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C" w14:textId="77777777">
            <w:pPr>
              <w:keepNext/>
              <w:pBdr>
                <w:top w:val="nil"/>
                <w:left w:val="nil"/>
                <w:bottom w:val="nil"/>
                <w:right w:val="nil"/>
                <w:between w:val="nil"/>
              </w:pBdr>
              <w:spacing w:line="276" w:lineRule="auto"/>
            </w:pPr>
            <w:r>
              <w:t>64</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D" w14:textId="77777777">
            <w:pPr>
              <w:pBdr>
                <w:top w:val="nil"/>
                <w:left w:val="nil"/>
                <w:bottom w:val="nil"/>
                <w:right w:val="nil"/>
                <w:between w:val="nil"/>
              </w:pBd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4E" w14:textId="77777777">
            <w:pPr>
              <w:keepNext/>
              <w:pBdr>
                <w:top w:val="nil"/>
                <w:left w:val="nil"/>
                <w:bottom w:val="nil"/>
                <w:right w:val="nil"/>
                <w:between w:val="nil"/>
              </w:pBdr>
              <w:spacing w:line="276" w:lineRule="auto"/>
              <w:rPr>
                <w:color w:val="000000"/>
              </w:rPr>
            </w:pPr>
            <w:r>
              <w:rPr>
                <w:color w:val="000000"/>
              </w:rPr>
              <w:t xml:space="preserve">$2,269.44    </w:t>
            </w:r>
          </w:p>
          <w:p w:rsidR="00573E3C" w14:paraId="0000014F" w14:textId="77777777">
            <w:pPr>
              <w:keepNext/>
              <w:pBdr>
                <w:top w:val="nil"/>
                <w:left w:val="nil"/>
                <w:bottom w:val="nil"/>
                <w:right w:val="nil"/>
                <w:between w:val="nil"/>
              </w:pBdr>
              <w:spacing w:line="276" w:lineRule="auto"/>
            </w:pPr>
            <w:r>
              <w:rPr>
                <w:color w:val="000000"/>
              </w:rPr>
              <w:t xml:space="preserve"> </w:t>
            </w:r>
          </w:p>
        </w:tc>
      </w:tr>
      <w:tr w14:paraId="426A1C14" w14:textId="77777777">
        <w:tblPrEx>
          <w:tblW w:w="9366" w:type="dxa"/>
          <w:tblLayout w:type="fixed"/>
          <w:tblLook w:val="0000"/>
        </w:tblPrEx>
        <w:trPr>
          <w:trHeight w:val="300"/>
        </w:trPr>
        <w:tc>
          <w:tcPr>
            <w:tcW w:w="1575"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0" w14:textId="20A87E55">
            <w:pPr>
              <w:keepNext/>
              <w:spacing w:line="276" w:lineRule="auto"/>
            </w:pPr>
            <w:r>
              <w:t xml:space="preserve">Rapid </w:t>
            </w:r>
            <w:r w:rsidR="00D672FC">
              <w:t xml:space="preserve">Online Survey </w:t>
            </w:r>
            <w:r w:rsidR="00D672FC">
              <w:rPr>
                <w:i/>
              </w:rPr>
              <w:t>Attachment 11</w:t>
            </w:r>
          </w:p>
        </w:tc>
        <w:tc>
          <w:tcPr>
            <w:tcW w:w="138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1" w14:textId="093CA44A">
            <w:pPr>
              <w:keepNext/>
              <w:spacing w:line="276" w:lineRule="auto"/>
            </w:pPr>
            <w:r>
              <w:t>1500</w:t>
            </w:r>
          </w:p>
        </w:tc>
        <w:tc>
          <w:tcPr>
            <w:tcW w:w="1386"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2" w14:textId="77777777">
            <w:pPr>
              <w:keepNext/>
              <w:spacing w:line="276" w:lineRule="auto"/>
            </w:pPr>
            <w: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3" w14:textId="77777777">
            <w:pPr>
              <w:keepNext/>
              <w:spacing w:line="276" w:lineRule="auto"/>
            </w:pPr>
            <w:r>
              <w:t>15/60</w:t>
            </w:r>
          </w:p>
        </w:tc>
        <w:tc>
          <w:tcPr>
            <w:tcW w:w="1128"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4" w14:textId="2B09F955">
            <w:pPr>
              <w:keepNext/>
              <w:spacing w:line="276" w:lineRule="auto"/>
            </w:pPr>
            <w:r>
              <w:t>375</w:t>
            </w:r>
          </w:p>
        </w:tc>
        <w:tc>
          <w:tcPr>
            <w:tcW w:w="1290" w:type="dxa"/>
            <w:tcBorders>
              <w:top w:val="single" w:sz="8" w:space="0" w:color="000000"/>
              <w:left w:val="single" w:sz="8" w:space="0" w:color="000000"/>
              <w:bottom w:val="single" w:sz="8" w:space="0" w:color="000000"/>
              <w:right w:val="single" w:sz="8" w:space="0" w:color="000000"/>
            </w:tcBorders>
            <w:shd w:val="clear" w:color="auto" w:fill="auto"/>
          </w:tcPr>
          <w:p w:rsidR="00573E3C" w14:paraId="00000155" w14:textId="77777777">
            <w:pPr>
              <w:spacing w:line="276" w:lineRule="auto"/>
              <w:rPr>
                <w:color w:val="000000"/>
              </w:rPr>
            </w:pPr>
            <w:r>
              <w:rPr>
                <w:color w:val="000000"/>
              </w:rPr>
              <w:t>$35.46</w:t>
            </w:r>
          </w:p>
        </w:tc>
        <w:tc>
          <w:tcPr>
            <w:tcW w:w="1410" w:type="dxa"/>
            <w:tcBorders>
              <w:top w:val="single" w:sz="8" w:space="0" w:color="000000"/>
              <w:left w:val="single" w:sz="8" w:space="0" w:color="000000"/>
              <w:bottom w:val="single" w:sz="8" w:space="0" w:color="000000"/>
              <w:right w:val="single" w:sz="8" w:space="0" w:color="000000"/>
            </w:tcBorders>
            <w:shd w:val="clear" w:color="auto" w:fill="auto"/>
          </w:tcPr>
          <w:p w:rsidR="001C2EC0" w:rsidRPr="001C2EC0" w:rsidP="001C2EC0" w14:paraId="1FFB05E8" w14:textId="77777777">
            <w:r w:rsidRPr="001C2EC0">
              <w:t>$13,297.50</w:t>
            </w:r>
          </w:p>
          <w:p w:rsidR="00573E3C" w14:paraId="00000156" w14:textId="535B23F2">
            <w:pPr>
              <w:keepNext/>
              <w:pBdr>
                <w:top w:val="nil"/>
                <w:left w:val="nil"/>
                <w:bottom w:val="nil"/>
                <w:right w:val="nil"/>
                <w:between w:val="nil"/>
              </w:pBdr>
              <w:spacing w:line="276" w:lineRule="auto"/>
            </w:pPr>
          </w:p>
        </w:tc>
      </w:tr>
    </w:tbl>
    <w:p w:rsidR="00573E3C" w14:paraId="00000157" w14:textId="77777777">
      <w:pPr>
        <w:widowControl w:val="0"/>
        <w:pBdr>
          <w:top w:val="nil"/>
          <w:left w:val="nil"/>
          <w:bottom w:val="nil"/>
          <w:right w:val="nil"/>
          <w:between w:val="nil"/>
        </w:pBdr>
        <w:spacing w:line="276" w:lineRule="auto"/>
        <w:rPr>
          <w:color w:val="000000"/>
        </w:rPr>
      </w:pPr>
    </w:p>
    <w:tbl>
      <w:tblPr>
        <w:tblStyle w:val="47"/>
        <w:tblW w:w="9366" w:type="dxa"/>
        <w:tblLayout w:type="fixed"/>
        <w:tblLook w:val="0000"/>
      </w:tblPr>
      <w:tblGrid>
        <w:gridCol w:w="1575"/>
        <w:gridCol w:w="1380"/>
        <w:gridCol w:w="1386"/>
        <w:gridCol w:w="1197"/>
        <w:gridCol w:w="1128"/>
        <w:gridCol w:w="1290"/>
        <w:gridCol w:w="1410"/>
      </w:tblGrid>
      <w:tr w14:paraId="7FD87568" w14:textId="77777777" w:rsidTr="57FD9B48">
        <w:tblPrEx>
          <w:tblW w:w="9366" w:type="dxa"/>
          <w:tblLayout w:type="fixed"/>
          <w:tblLook w:val="0000"/>
        </w:tblPrEx>
        <w:trPr>
          <w:trHeight w:val="87"/>
        </w:trPr>
        <w:tc>
          <w:tcPr>
            <w:tcW w:w="1575" w:type="dxa"/>
            <w:tcBorders>
              <w:top w:val="single" w:sz="8" w:space="0" w:color="000000" w:themeColor="text1"/>
              <w:bottom w:val="single" w:sz="12" w:space="0" w:color="000000" w:themeColor="text1"/>
            </w:tcBorders>
            <w:shd w:val="clear" w:color="auto" w:fill="auto"/>
          </w:tcPr>
          <w:p w:rsidR="00573E3C" w14:paraId="00000158" w14:textId="77777777">
            <w:pPr>
              <w:keepNext/>
              <w:pBdr>
                <w:top w:val="nil"/>
                <w:left w:val="nil"/>
                <w:bottom w:val="nil"/>
                <w:right w:val="nil"/>
                <w:between w:val="nil"/>
              </w:pBdr>
              <w:spacing w:line="276" w:lineRule="auto"/>
              <w:rPr>
                <w:color w:val="000000"/>
              </w:rPr>
            </w:pPr>
            <w:r>
              <w:rPr>
                <w:color w:val="000000"/>
              </w:rPr>
              <w:t>Total</w:t>
            </w:r>
          </w:p>
        </w:tc>
        <w:tc>
          <w:tcPr>
            <w:tcW w:w="1380" w:type="dxa"/>
            <w:tcBorders>
              <w:top w:val="single" w:sz="8" w:space="0" w:color="000000" w:themeColor="text1"/>
              <w:bottom w:val="single" w:sz="12" w:space="0" w:color="000000" w:themeColor="text1"/>
            </w:tcBorders>
            <w:shd w:val="clear" w:color="auto" w:fill="auto"/>
          </w:tcPr>
          <w:p w:rsidR="00573E3C" w14:paraId="00000159" w14:textId="77777777">
            <w:pPr>
              <w:keepNext/>
              <w:pBdr>
                <w:top w:val="nil"/>
                <w:left w:val="nil"/>
                <w:bottom w:val="nil"/>
                <w:right w:val="nil"/>
                <w:between w:val="nil"/>
              </w:pBdr>
              <w:spacing w:line="276" w:lineRule="auto"/>
              <w:rPr>
                <w:color w:val="000000"/>
              </w:rPr>
            </w:pPr>
          </w:p>
        </w:tc>
        <w:tc>
          <w:tcPr>
            <w:tcW w:w="1386" w:type="dxa"/>
            <w:tcBorders>
              <w:top w:val="single" w:sz="8" w:space="0" w:color="000000" w:themeColor="text1"/>
              <w:bottom w:val="single" w:sz="12" w:space="0" w:color="000000" w:themeColor="text1"/>
            </w:tcBorders>
            <w:shd w:val="clear" w:color="auto" w:fill="auto"/>
          </w:tcPr>
          <w:p w:rsidR="00573E3C" w14:paraId="0000015A" w14:textId="77777777">
            <w:pPr>
              <w:keepNext/>
              <w:pBdr>
                <w:top w:val="nil"/>
                <w:left w:val="nil"/>
                <w:bottom w:val="nil"/>
                <w:right w:val="nil"/>
                <w:between w:val="nil"/>
              </w:pBdr>
              <w:spacing w:line="276" w:lineRule="auto"/>
              <w:rPr>
                <w:color w:val="000000"/>
              </w:rPr>
            </w:pPr>
          </w:p>
        </w:tc>
        <w:tc>
          <w:tcPr>
            <w:tcW w:w="1197" w:type="dxa"/>
            <w:tcBorders>
              <w:top w:val="single" w:sz="8" w:space="0" w:color="000000" w:themeColor="text1"/>
              <w:bottom w:val="single" w:sz="12" w:space="0" w:color="000000" w:themeColor="text1"/>
            </w:tcBorders>
            <w:shd w:val="clear" w:color="auto" w:fill="auto"/>
          </w:tcPr>
          <w:p w:rsidR="00573E3C" w14:paraId="0000015B" w14:textId="77777777">
            <w:pPr>
              <w:keepNext/>
              <w:pBdr>
                <w:top w:val="nil"/>
                <w:left w:val="nil"/>
                <w:bottom w:val="nil"/>
                <w:right w:val="nil"/>
                <w:between w:val="nil"/>
              </w:pBdr>
              <w:spacing w:line="276" w:lineRule="auto"/>
              <w:rPr>
                <w:color w:val="000000"/>
              </w:rPr>
            </w:pPr>
          </w:p>
        </w:tc>
        <w:tc>
          <w:tcPr>
            <w:tcW w:w="1128" w:type="dxa"/>
            <w:tcBorders>
              <w:top w:val="single" w:sz="8" w:space="0" w:color="000000" w:themeColor="text1"/>
              <w:bottom w:val="single" w:sz="12" w:space="0" w:color="000000" w:themeColor="text1"/>
            </w:tcBorders>
            <w:shd w:val="clear" w:color="auto" w:fill="auto"/>
          </w:tcPr>
          <w:p w:rsidR="00573E3C" w14:paraId="0000015C" w14:textId="77777777">
            <w:pPr>
              <w:keepNext/>
              <w:pBdr>
                <w:top w:val="nil"/>
                <w:left w:val="nil"/>
                <w:bottom w:val="nil"/>
                <w:right w:val="nil"/>
                <w:between w:val="nil"/>
              </w:pBdr>
              <w:spacing w:line="276" w:lineRule="auto"/>
            </w:pPr>
            <w:r>
              <w:t xml:space="preserve"> 442</w:t>
            </w:r>
          </w:p>
        </w:tc>
        <w:tc>
          <w:tcPr>
            <w:tcW w:w="1290" w:type="dxa"/>
            <w:tcBorders>
              <w:top w:val="single" w:sz="8" w:space="0" w:color="000000" w:themeColor="text1"/>
              <w:bottom w:val="single" w:sz="12" w:space="0" w:color="000000" w:themeColor="text1"/>
            </w:tcBorders>
            <w:shd w:val="clear" w:color="auto" w:fill="auto"/>
          </w:tcPr>
          <w:p w:rsidR="00573E3C" w14:paraId="0000015D" w14:textId="77777777">
            <w:pPr>
              <w:keepNext/>
              <w:pBdr>
                <w:top w:val="nil"/>
                <w:left w:val="nil"/>
                <w:bottom w:val="nil"/>
                <w:right w:val="nil"/>
                <w:between w:val="nil"/>
              </w:pBdr>
              <w:spacing w:line="276" w:lineRule="auto"/>
              <w:rPr>
                <w:color w:val="000000"/>
              </w:rPr>
            </w:pPr>
          </w:p>
        </w:tc>
        <w:tc>
          <w:tcPr>
            <w:tcW w:w="1410" w:type="dxa"/>
            <w:tcBorders>
              <w:top w:val="single" w:sz="8" w:space="0" w:color="000000" w:themeColor="text1"/>
              <w:bottom w:val="single" w:sz="12" w:space="0" w:color="000000" w:themeColor="text1"/>
            </w:tcBorders>
            <w:shd w:val="clear" w:color="auto" w:fill="auto"/>
          </w:tcPr>
          <w:sdt>
            <w:sdtPr>
              <w:tag w:val="goog_rdk_72"/>
              <w:id w:val="1484739316"/>
              <w:richText/>
            </w:sdtPr>
            <w:sdtContent>
              <w:p w:rsidR="00573E3C" w:rsidP="57FD9B48" w14:paraId="0000015E" w14:textId="007D5179">
                <w:pPr>
                  <w:keepNext/>
                  <w:pBdr>
                    <w:top w:val="nil"/>
                    <w:left w:val="nil"/>
                    <w:bottom w:val="nil"/>
                    <w:right w:val="nil"/>
                    <w:between w:val="nil"/>
                  </w:pBdr>
                  <w:spacing w:line="276" w:lineRule="auto"/>
                  <w:rPr>
                    <w:color w:val="000000"/>
                  </w:rPr>
                </w:pPr>
                <w:r w:rsidRPr="57FD9B48">
                  <w:rPr>
                    <w:color w:val="000000" w:themeColor="text1"/>
                  </w:rPr>
                  <w:t>$</w:t>
                </w:r>
                <w:r w:rsidRPr="57FD9B48" w:rsidR="001C2EC0">
                  <w:rPr>
                    <w:color w:val="000000" w:themeColor="text1"/>
                  </w:rPr>
                  <w:t>23,043.09</w:t>
                </w:r>
              </w:p>
            </w:sdtContent>
          </w:sdt>
          <w:p w:rsidR="00573E3C" w14:paraId="0000015F" w14:textId="16082A9D">
            <w:pPr>
              <w:keepNext/>
              <w:pBdr>
                <w:top w:val="nil"/>
                <w:left w:val="nil"/>
                <w:bottom w:val="nil"/>
                <w:right w:val="nil"/>
                <w:between w:val="nil"/>
              </w:pBdr>
              <w:spacing w:line="276" w:lineRule="auto"/>
              <w:rPr>
                <w:color w:val="000000"/>
              </w:rPr>
            </w:pPr>
            <w:sdt>
              <w:sdtPr>
                <w:tag w:val="goog_rdk_74"/>
                <w:id w:val="-1334221548"/>
                <w:showingPlcHdr/>
                <w:richText/>
              </w:sdtPr>
              <w:sdtContent>
                <w:r w:rsidR="001C2EC0">
                  <w:t xml:space="preserve">     </w:t>
                </w:r>
              </w:sdtContent>
            </w:sdt>
          </w:p>
        </w:tc>
      </w:tr>
    </w:tbl>
    <w:p w:rsidR="00573E3C" w14:paraId="00000160" w14:textId="77777777">
      <w:pPr>
        <w:keepLines/>
        <w:pBdr>
          <w:top w:val="nil"/>
          <w:left w:val="nil"/>
          <w:bottom w:val="nil"/>
          <w:right w:val="nil"/>
          <w:between w:val="nil"/>
        </w:pBdr>
        <w:spacing w:line="276" w:lineRule="auto"/>
        <w:ind w:left="187" w:hanging="187"/>
        <w:rPr>
          <w:color w:val="000000"/>
          <w:sz w:val="20"/>
          <w:szCs w:val="20"/>
        </w:rPr>
      </w:pPr>
      <w:bookmarkStart w:id="37" w:name="_heading=h.3as4poj" w:colFirst="0" w:colLast="0"/>
      <w:bookmarkEnd w:id="37"/>
    </w:p>
    <w:p w:rsidR="00573E3C" w14:paraId="00000161" w14:textId="77777777">
      <w:pPr>
        <w:pStyle w:val="Heading2"/>
        <w:spacing w:before="0" w:after="0" w:line="276" w:lineRule="auto"/>
      </w:pPr>
      <w:bookmarkStart w:id="38" w:name="_heading=h.3cqmetx" w:colFirst="0" w:colLast="0"/>
      <w:bookmarkEnd w:id="38"/>
      <w:r>
        <w:t>13</w:t>
      </w:r>
      <w:r>
        <w:tab/>
        <w:t xml:space="preserve">Estimates of Other Total Annual Cost Burden to Respondents and Record Keepers </w:t>
      </w:r>
    </w:p>
    <w:p w:rsidR="00573E3C" w14:paraId="00000162" w14:textId="77777777"/>
    <w:p w:rsidR="00573E3C" w14:paraId="00000163" w14:textId="77777777">
      <w:bookmarkStart w:id="39" w:name="_heading=h.49x2ik5" w:colFirst="0" w:colLast="0"/>
      <w:bookmarkEnd w:id="39"/>
      <w:r>
        <w:t>There are no costs to respondents other than their time for participation.</w:t>
      </w:r>
    </w:p>
    <w:p w:rsidR="00573E3C" w14:paraId="00000164" w14:textId="77777777">
      <w:pPr>
        <w:rPr>
          <w:b/>
        </w:rPr>
      </w:pPr>
    </w:p>
    <w:p w:rsidR="00573E3C" w14:paraId="00000165" w14:textId="77777777">
      <w:pPr>
        <w:pStyle w:val="Heading2"/>
        <w:spacing w:before="0" w:after="0" w:line="276" w:lineRule="auto"/>
      </w:pPr>
      <w:bookmarkStart w:id="40" w:name="_heading=h.1rvwp1q" w:colFirst="0" w:colLast="0"/>
      <w:bookmarkEnd w:id="40"/>
      <w:r>
        <w:t>14</w:t>
      </w:r>
      <w:r>
        <w:tab/>
        <w:t xml:space="preserve">Annualized Cost to the Federal Government </w:t>
      </w:r>
    </w:p>
    <w:p w:rsidR="00573E3C" w14:paraId="00000166" w14:textId="77777777">
      <w:pPr>
        <w:pBdr>
          <w:top w:val="nil"/>
          <w:left w:val="nil"/>
          <w:bottom w:val="nil"/>
          <w:right w:val="nil"/>
          <w:between w:val="nil"/>
        </w:pBdr>
        <w:spacing w:line="276" w:lineRule="auto"/>
        <w:rPr>
          <w:color w:val="000000"/>
        </w:rPr>
      </w:pPr>
    </w:p>
    <w:p w:rsidR="00573E3C" w14:paraId="00000167" w14:textId="77777777">
      <w:pPr>
        <w:keepNext/>
        <w:spacing w:line="276" w:lineRule="auto"/>
        <w:rPr>
          <w:color w:val="000000"/>
        </w:rPr>
      </w:pPr>
      <w:r>
        <w:rPr>
          <w:color w:val="000000"/>
        </w:rPr>
        <w:t xml:space="preserve">The contractor’s costs are based on estimates provided by the contractor, who will carry out the data collection activities. With the expected period of performance, the annual cost to the federal government is estimated to be </w:t>
      </w:r>
      <w:r>
        <w:t>$195,592.38 (</w:t>
      </w:r>
      <w:r>
        <w:rPr>
          <w:b/>
          <w:color w:val="000000"/>
        </w:rPr>
        <w:t>Exhibit A.14.1</w:t>
      </w:r>
      <w:r>
        <w:rPr>
          <w:color w:val="000000"/>
        </w:rPr>
        <w:t>). This is the cost estimated by the contractor, Banyan Communications, and includes the estimated cost of coordination with CDC, data collection, analysis, and reporting.</w:t>
      </w:r>
    </w:p>
    <w:p w:rsidR="00573E3C" w14:paraId="00000168" w14:textId="77777777">
      <w:pPr>
        <w:keepNext/>
        <w:keepLines/>
        <w:pBdr>
          <w:top w:val="nil"/>
          <w:left w:val="nil"/>
          <w:bottom w:val="nil"/>
          <w:right w:val="nil"/>
          <w:between w:val="nil"/>
        </w:pBdr>
        <w:spacing w:line="276" w:lineRule="auto"/>
        <w:ind w:left="1260" w:hanging="1260"/>
        <w:rPr>
          <w:b/>
          <w:color w:val="000000"/>
        </w:rPr>
      </w:pPr>
      <w:bookmarkStart w:id="41" w:name="_heading=h.2p2csry" w:colFirst="0" w:colLast="0"/>
      <w:bookmarkEnd w:id="41"/>
      <w:r>
        <w:rPr>
          <w:b/>
          <w:color w:val="000000"/>
        </w:rPr>
        <w:t xml:space="preserve">Exhibit A.14.1. Estimated Cost to the Government </w:t>
      </w:r>
    </w:p>
    <w:tbl>
      <w:tblPr>
        <w:tblStyle w:val="46"/>
        <w:tblW w:w="8755" w:type="dxa"/>
        <w:tblLayout w:type="fixed"/>
        <w:tblLook w:val="0000"/>
      </w:tblPr>
      <w:tblGrid>
        <w:gridCol w:w="2585"/>
        <w:gridCol w:w="3380"/>
        <w:gridCol w:w="2790"/>
      </w:tblGrid>
      <w:tr w14:paraId="2E1D1EDA" w14:textId="77777777">
        <w:tblPrEx>
          <w:tblW w:w="8755" w:type="dxa"/>
          <w:tblLayout w:type="fixed"/>
          <w:tblLook w:val="0000"/>
        </w:tblPrEx>
        <w:trPr>
          <w:trHeight w:val="315"/>
        </w:trPr>
        <w:tc>
          <w:tcPr>
            <w:tcW w:w="2585" w:type="dxa"/>
            <w:tcBorders>
              <w:top w:val="single" w:sz="12" w:space="0" w:color="000000"/>
              <w:bottom w:val="single" w:sz="6" w:space="0" w:color="000000"/>
            </w:tcBorders>
            <w:shd w:val="clear" w:color="auto" w:fill="auto"/>
          </w:tcPr>
          <w:p w:rsidR="00573E3C" w14:paraId="00000169" w14:textId="77777777">
            <w:pPr>
              <w:keepNext/>
              <w:spacing w:line="276" w:lineRule="auto"/>
              <w:jc w:val="center"/>
              <w:rPr>
                <w:b/>
              </w:rPr>
            </w:pPr>
            <w:r>
              <w:rPr>
                <w:b/>
              </w:rPr>
              <w:t>Expense Type</w:t>
            </w:r>
          </w:p>
        </w:tc>
        <w:tc>
          <w:tcPr>
            <w:tcW w:w="3380" w:type="dxa"/>
            <w:tcBorders>
              <w:top w:val="single" w:sz="12" w:space="0" w:color="000000"/>
              <w:bottom w:val="single" w:sz="6" w:space="0" w:color="000000"/>
            </w:tcBorders>
            <w:shd w:val="clear" w:color="auto" w:fill="auto"/>
          </w:tcPr>
          <w:p w:rsidR="00573E3C" w14:paraId="0000016A" w14:textId="77777777">
            <w:pPr>
              <w:keepNext/>
              <w:spacing w:line="276" w:lineRule="auto"/>
              <w:jc w:val="center"/>
              <w:rPr>
                <w:b/>
              </w:rPr>
            </w:pPr>
            <w:r>
              <w:rPr>
                <w:b/>
              </w:rPr>
              <w:t xml:space="preserve">Expense Explanation </w:t>
            </w:r>
          </w:p>
        </w:tc>
        <w:tc>
          <w:tcPr>
            <w:tcW w:w="2790" w:type="dxa"/>
            <w:tcBorders>
              <w:top w:val="single" w:sz="12" w:space="0" w:color="000000"/>
              <w:bottom w:val="single" w:sz="6" w:space="0" w:color="000000"/>
            </w:tcBorders>
            <w:shd w:val="clear" w:color="auto" w:fill="auto"/>
          </w:tcPr>
          <w:p w:rsidR="00573E3C" w14:paraId="0000016B" w14:textId="77777777">
            <w:pPr>
              <w:keepNext/>
              <w:spacing w:line="276" w:lineRule="auto"/>
              <w:jc w:val="center"/>
              <w:rPr>
                <w:b/>
              </w:rPr>
            </w:pPr>
            <w:r>
              <w:rPr>
                <w:b/>
              </w:rPr>
              <w:t>Annual Costs (dollars)</w:t>
            </w:r>
          </w:p>
        </w:tc>
      </w:tr>
      <w:tr w14:paraId="2E3565A4" w14:textId="77777777">
        <w:tblPrEx>
          <w:tblW w:w="8755" w:type="dxa"/>
          <w:tblLayout w:type="fixed"/>
          <w:tblLook w:val="0000"/>
        </w:tblPrEx>
        <w:tc>
          <w:tcPr>
            <w:tcW w:w="8755" w:type="dxa"/>
            <w:gridSpan w:val="3"/>
            <w:shd w:val="clear" w:color="auto" w:fill="auto"/>
          </w:tcPr>
          <w:p w:rsidR="00573E3C" w14:paraId="0000016C" w14:textId="77777777">
            <w:pPr>
              <w:keepNext/>
              <w:spacing w:line="276" w:lineRule="auto"/>
              <w:rPr>
                <w:i/>
              </w:rPr>
            </w:pPr>
            <w:r>
              <w:rPr>
                <w:i/>
              </w:rPr>
              <w:t>Direct cost to the federal government</w:t>
            </w:r>
          </w:p>
        </w:tc>
      </w:tr>
      <w:tr w14:paraId="51891341" w14:textId="77777777">
        <w:tblPrEx>
          <w:tblW w:w="8755" w:type="dxa"/>
          <w:tblLayout w:type="fixed"/>
          <w:tblLook w:val="0000"/>
        </w:tblPrEx>
        <w:tc>
          <w:tcPr>
            <w:tcW w:w="2585" w:type="dxa"/>
            <w:shd w:val="clear" w:color="auto" w:fill="auto"/>
          </w:tcPr>
          <w:p w:rsidR="00573E3C" w14:paraId="0000016F" w14:textId="77777777">
            <w:pPr>
              <w:keepNext/>
              <w:spacing w:line="276" w:lineRule="auto"/>
              <w:rPr>
                <w:b/>
              </w:rPr>
            </w:pPr>
            <w:r>
              <w:t>CDC oversight of contractor and project</w:t>
            </w:r>
          </w:p>
        </w:tc>
        <w:tc>
          <w:tcPr>
            <w:tcW w:w="3380" w:type="dxa"/>
            <w:shd w:val="clear" w:color="auto" w:fill="auto"/>
          </w:tcPr>
          <w:p w:rsidR="00573E3C" w14:paraId="00000170" w14:textId="77777777">
            <w:pPr>
              <w:keepNext/>
              <w:spacing w:line="276" w:lineRule="auto"/>
            </w:pPr>
            <w:r>
              <w:t xml:space="preserve">CDC Project Officer </w:t>
            </w:r>
          </w:p>
        </w:tc>
        <w:tc>
          <w:tcPr>
            <w:tcW w:w="2790" w:type="dxa"/>
            <w:shd w:val="clear" w:color="auto" w:fill="auto"/>
          </w:tcPr>
          <w:p w:rsidR="00573E3C" w14:paraId="00000171" w14:textId="77777777">
            <w:pPr>
              <w:keepNext/>
              <w:spacing w:line="276" w:lineRule="auto"/>
            </w:pPr>
            <w:r>
              <w:t xml:space="preserve">$27,319.50 </w:t>
            </w:r>
          </w:p>
        </w:tc>
      </w:tr>
      <w:tr w14:paraId="12B473D1" w14:textId="77777777">
        <w:tblPrEx>
          <w:tblW w:w="8755" w:type="dxa"/>
          <w:tblLayout w:type="fixed"/>
          <w:tblLook w:val="0000"/>
        </w:tblPrEx>
        <w:tc>
          <w:tcPr>
            <w:tcW w:w="2585" w:type="dxa"/>
            <w:shd w:val="clear" w:color="auto" w:fill="auto"/>
          </w:tcPr>
          <w:p w:rsidR="00573E3C" w14:paraId="00000172" w14:textId="77777777">
            <w:pPr>
              <w:keepNext/>
              <w:spacing w:line="276" w:lineRule="auto"/>
              <w:ind w:left="65"/>
            </w:pPr>
          </w:p>
        </w:tc>
        <w:tc>
          <w:tcPr>
            <w:tcW w:w="3380" w:type="dxa"/>
            <w:shd w:val="clear" w:color="auto" w:fill="auto"/>
          </w:tcPr>
          <w:p w:rsidR="00573E3C" w14:paraId="00000173" w14:textId="77777777">
            <w:pPr>
              <w:keepNext/>
              <w:spacing w:line="276" w:lineRule="auto"/>
            </w:pPr>
            <w:r>
              <w:t xml:space="preserve">CDC Co-Principal Investigator </w:t>
            </w:r>
          </w:p>
        </w:tc>
        <w:tc>
          <w:tcPr>
            <w:tcW w:w="2790" w:type="dxa"/>
            <w:shd w:val="clear" w:color="auto" w:fill="auto"/>
          </w:tcPr>
          <w:p w:rsidR="00573E3C" w14:paraId="00000174" w14:textId="77777777">
            <w:pPr>
              <w:keepNext/>
              <w:spacing w:line="276" w:lineRule="auto"/>
            </w:pPr>
            <w:r>
              <w:t>$22,974.25</w:t>
            </w:r>
          </w:p>
        </w:tc>
      </w:tr>
      <w:tr w14:paraId="2FCBCC2E" w14:textId="77777777">
        <w:tblPrEx>
          <w:tblW w:w="8755" w:type="dxa"/>
          <w:tblLayout w:type="fixed"/>
          <w:tblLook w:val="0000"/>
        </w:tblPrEx>
        <w:tc>
          <w:tcPr>
            <w:tcW w:w="5965" w:type="dxa"/>
            <w:gridSpan w:val="2"/>
            <w:shd w:val="clear" w:color="auto" w:fill="auto"/>
          </w:tcPr>
          <w:p w:rsidR="00573E3C" w14:paraId="00000175" w14:textId="77777777">
            <w:pPr>
              <w:keepNext/>
              <w:spacing w:line="276" w:lineRule="auto"/>
              <w:rPr>
                <w:i/>
              </w:rPr>
            </w:pPr>
            <w:bookmarkStart w:id="42" w:name="bookmark=id.147n2zr" w:colFirst="0" w:colLast="0"/>
            <w:bookmarkStart w:id="43" w:name="bookmark=id.3o7alnk" w:colFirst="0" w:colLast="0"/>
            <w:bookmarkEnd w:id="42"/>
            <w:bookmarkEnd w:id="43"/>
            <w:r>
              <w:rPr>
                <w:i/>
              </w:rPr>
              <w:t>Subtotal, Direct Costs to the Government</w:t>
            </w:r>
          </w:p>
        </w:tc>
        <w:tc>
          <w:tcPr>
            <w:tcW w:w="2790" w:type="dxa"/>
            <w:shd w:val="clear" w:color="auto" w:fill="auto"/>
          </w:tcPr>
          <w:p w:rsidR="00573E3C" w14:paraId="00000177" w14:textId="77777777">
            <w:pPr>
              <w:keepNext/>
              <w:spacing w:line="276" w:lineRule="auto"/>
              <w:rPr>
                <w:i/>
              </w:rPr>
            </w:pPr>
          </w:p>
        </w:tc>
      </w:tr>
      <w:tr w14:paraId="3864BD7B" w14:textId="77777777">
        <w:tblPrEx>
          <w:tblW w:w="8755" w:type="dxa"/>
          <w:tblLayout w:type="fixed"/>
          <w:tblLook w:val="0000"/>
        </w:tblPrEx>
        <w:tc>
          <w:tcPr>
            <w:tcW w:w="8755" w:type="dxa"/>
            <w:gridSpan w:val="3"/>
            <w:shd w:val="clear" w:color="auto" w:fill="auto"/>
          </w:tcPr>
          <w:p w:rsidR="00573E3C" w14:paraId="00000178" w14:textId="77777777">
            <w:pPr>
              <w:keepNext/>
              <w:spacing w:line="276" w:lineRule="auto"/>
              <w:rPr>
                <w:b/>
                <w:i/>
              </w:rPr>
            </w:pPr>
            <w:r>
              <w:rPr>
                <w:b/>
                <w:i/>
              </w:rPr>
              <w:t>Contractor and Other Expenses</w:t>
            </w:r>
          </w:p>
        </w:tc>
      </w:tr>
      <w:tr w14:paraId="0BC5D714" w14:textId="77777777">
        <w:tblPrEx>
          <w:tblW w:w="8755" w:type="dxa"/>
          <w:tblLayout w:type="fixed"/>
          <w:tblLook w:val="0000"/>
        </w:tblPrEx>
        <w:tc>
          <w:tcPr>
            <w:tcW w:w="2585" w:type="dxa"/>
            <w:shd w:val="clear" w:color="auto" w:fill="auto"/>
          </w:tcPr>
          <w:p w:rsidR="00573E3C" w14:paraId="0000017B" w14:textId="77777777">
            <w:pPr>
              <w:keepNext/>
              <w:spacing w:line="276" w:lineRule="auto"/>
            </w:pPr>
            <w:r>
              <w:t xml:space="preserve">Recruitment, data collection, </w:t>
            </w:r>
            <w:r>
              <w:t>analysis</w:t>
            </w:r>
            <w:r>
              <w:t xml:space="preserve"> and reporting (contractor) </w:t>
            </w:r>
          </w:p>
        </w:tc>
        <w:tc>
          <w:tcPr>
            <w:tcW w:w="3380" w:type="dxa"/>
            <w:shd w:val="clear" w:color="auto" w:fill="auto"/>
          </w:tcPr>
          <w:p w:rsidR="00573E3C" w14:paraId="0000017C" w14:textId="77777777">
            <w:pPr>
              <w:keepNext/>
              <w:spacing w:line="276" w:lineRule="auto"/>
            </w:pPr>
            <w:r>
              <w:t xml:space="preserve">Labor hours and other direct costs </w:t>
            </w:r>
          </w:p>
        </w:tc>
        <w:tc>
          <w:tcPr>
            <w:tcW w:w="2790" w:type="dxa"/>
            <w:shd w:val="clear" w:color="auto" w:fill="auto"/>
          </w:tcPr>
          <w:p w:rsidR="00573E3C" w14:paraId="0000017D" w14:textId="77777777">
            <w:pPr>
              <w:keepNext/>
              <w:spacing w:line="276" w:lineRule="auto"/>
            </w:pPr>
            <w:r>
              <w:t>$145,298.63</w:t>
            </w:r>
          </w:p>
        </w:tc>
      </w:tr>
      <w:tr w14:paraId="3FD8C101" w14:textId="77777777">
        <w:tblPrEx>
          <w:tblW w:w="8755" w:type="dxa"/>
          <w:tblLayout w:type="fixed"/>
          <w:tblLook w:val="0000"/>
        </w:tblPrEx>
        <w:tc>
          <w:tcPr>
            <w:tcW w:w="5965" w:type="dxa"/>
            <w:gridSpan w:val="2"/>
            <w:shd w:val="clear" w:color="auto" w:fill="auto"/>
          </w:tcPr>
          <w:p w:rsidR="00573E3C" w14:paraId="0000017E" w14:textId="77777777">
            <w:pPr>
              <w:keepNext/>
              <w:spacing w:line="276" w:lineRule="auto"/>
            </w:pPr>
            <w:r>
              <w:rPr>
                <w:i/>
              </w:rPr>
              <w:t>Subtotal, contracted services</w:t>
            </w:r>
          </w:p>
        </w:tc>
        <w:tc>
          <w:tcPr>
            <w:tcW w:w="2790" w:type="dxa"/>
            <w:shd w:val="clear" w:color="auto" w:fill="auto"/>
          </w:tcPr>
          <w:p w:rsidR="00573E3C" w14:paraId="00000180" w14:textId="77777777">
            <w:pPr>
              <w:keepNext/>
              <w:spacing w:line="276" w:lineRule="auto"/>
              <w:rPr>
                <w:i/>
              </w:rPr>
            </w:pPr>
            <w:r>
              <w:rPr>
                <w:i/>
              </w:rPr>
              <w:t xml:space="preserve"> </w:t>
            </w:r>
          </w:p>
        </w:tc>
      </w:tr>
      <w:tr w14:paraId="797119AD" w14:textId="77777777">
        <w:tblPrEx>
          <w:tblW w:w="8755" w:type="dxa"/>
          <w:tblLayout w:type="fixed"/>
          <w:tblLook w:val="0000"/>
        </w:tblPrEx>
        <w:tc>
          <w:tcPr>
            <w:tcW w:w="5965" w:type="dxa"/>
            <w:gridSpan w:val="2"/>
            <w:tcBorders>
              <w:bottom w:val="single" w:sz="12" w:space="0" w:color="000000"/>
            </w:tcBorders>
            <w:shd w:val="clear" w:color="auto" w:fill="auto"/>
          </w:tcPr>
          <w:p w:rsidR="00573E3C" w14:paraId="00000181" w14:textId="77777777">
            <w:pPr>
              <w:keepNext/>
              <w:spacing w:line="276" w:lineRule="auto"/>
              <w:rPr>
                <w:b/>
              </w:rPr>
            </w:pPr>
            <w:r>
              <w:rPr>
                <w:b/>
              </w:rPr>
              <w:t>Total cost to the government</w:t>
            </w:r>
          </w:p>
        </w:tc>
        <w:tc>
          <w:tcPr>
            <w:tcW w:w="2790" w:type="dxa"/>
            <w:tcBorders>
              <w:bottom w:val="single" w:sz="12" w:space="0" w:color="000000"/>
            </w:tcBorders>
            <w:shd w:val="clear" w:color="auto" w:fill="auto"/>
          </w:tcPr>
          <w:p w:rsidR="00573E3C" w14:paraId="00000183" w14:textId="77777777">
            <w:pPr>
              <w:keepNext/>
              <w:spacing w:line="276" w:lineRule="auto"/>
            </w:pPr>
            <w:r>
              <w:t>$195,592.38</w:t>
            </w:r>
          </w:p>
        </w:tc>
      </w:tr>
    </w:tbl>
    <w:p w:rsidR="00573E3C" w14:paraId="00000184" w14:textId="77777777">
      <w:pPr>
        <w:keepLines/>
        <w:pBdr>
          <w:top w:val="nil"/>
          <w:left w:val="nil"/>
          <w:bottom w:val="nil"/>
          <w:right w:val="nil"/>
          <w:between w:val="nil"/>
        </w:pBdr>
        <w:spacing w:line="276" w:lineRule="auto"/>
        <w:ind w:left="187" w:hanging="187"/>
        <w:rPr>
          <w:color w:val="000000"/>
          <w:sz w:val="20"/>
          <w:szCs w:val="20"/>
        </w:rPr>
      </w:pPr>
    </w:p>
    <w:p w:rsidR="00573E3C" w14:paraId="00000185" w14:textId="77777777">
      <w:pPr>
        <w:pStyle w:val="Heading2"/>
        <w:spacing w:before="0" w:after="0" w:line="276" w:lineRule="auto"/>
      </w:pPr>
      <w:bookmarkStart w:id="44" w:name="_heading=h.4bvk7pj" w:colFirst="0" w:colLast="0"/>
      <w:bookmarkEnd w:id="44"/>
      <w:r>
        <w:t>15</w:t>
      </w:r>
      <w:r>
        <w:tab/>
        <w:t xml:space="preserve">Explanation for Program Changes or Adjustments </w:t>
      </w:r>
    </w:p>
    <w:p w:rsidR="00573E3C" w14:paraId="00000186" w14:textId="77777777">
      <w:pPr>
        <w:pBdr>
          <w:top w:val="nil"/>
          <w:left w:val="nil"/>
          <w:bottom w:val="nil"/>
          <w:right w:val="nil"/>
          <w:between w:val="nil"/>
        </w:pBdr>
        <w:spacing w:line="276" w:lineRule="auto"/>
        <w:rPr>
          <w:color w:val="000000"/>
        </w:rPr>
      </w:pPr>
    </w:p>
    <w:p w:rsidR="00573E3C" w14:paraId="00000187" w14:textId="77777777">
      <w:pPr>
        <w:pBdr>
          <w:top w:val="nil"/>
          <w:left w:val="nil"/>
          <w:bottom w:val="nil"/>
          <w:right w:val="nil"/>
          <w:between w:val="nil"/>
        </w:pBdr>
        <w:spacing w:line="276" w:lineRule="auto"/>
        <w:rPr>
          <w:color w:val="000000"/>
        </w:rPr>
      </w:pPr>
      <w:r>
        <w:rPr>
          <w:color w:val="000000"/>
        </w:rPr>
        <w:t>No change in burden is requested, as this is a new information collection.</w:t>
      </w:r>
    </w:p>
    <w:p w:rsidR="00573E3C" w14:paraId="00000188" w14:textId="77777777">
      <w:pPr>
        <w:pStyle w:val="Heading2"/>
        <w:spacing w:before="0" w:after="0" w:line="276" w:lineRule="auto"/>
      </w:pPr>
      <w:bookmarkStart w:id="45" w:name="_heading=h.ihv636" w:colFirst="0" w:colLast="0"/>
      <w:bookmarkEnd w:id="45"/>
    </w:p>
    <w:p w:rsidR="00573E3C" w14:paraId="00000189" w14:textId="77777777">
      <w:pPr>
        <w:pStyle w:val="Heading2"/>
        <w:spacing w:before="0" w:after="0" w:line="276" w:lineRule="auto"/>
      </w:pPr>
      <w:bookmarkStart w:id="46" w:name="_heading=h.2r0uhxc" w:colFirst="0" w:colLast="0"/>
      <w:bookmarkEnd w:id="46"/>
      <w:r>
        <w:t>16</w:t>
      </w:r>
      <w:r>
        <w:tab/>
        <w:t>Plans for Tabulation and Publication and Project Time Schedule</w:t>
      </w:r>
    </w:p>
    <w:p w:rsidR="00573E3C" w14:paraId="0000018A" w14:textId="77777777">
      <w:pPr>
        <w:pBdr>
          <w:top w:val="nil"/>
          <w:left w:val="nil"/>
          <w:bottom w:val="nil"/>
          <w:right w:val="nil"/>
          <w:between w:val="nil"/>
        </w:pBdr>
        <w:spacing w:line="276" w:lineRule="auto"/>
        <w:rPr>
          <w:b/>
        </w:rPr>
      </w:pPr>
      <w:r>
        <w:rPr>
          <w:color w:val="000000"/>
        </w:rPr>
        <w:t xml:space="preserve">During </w:t>
      </w:r>
      <w:r>
        <w:t>qualitative</w:t>
      </w:r>
      <w:r>
        <w:rPr>
          <w:color w:val="000000"/>
        </w:rPr>
        <w:t xml:space="preserve"> data collection, the Banyan Communications note taker will enter data from the focus group discussion into </w:t>
      </w:r>
      <w:r>
        <w:rPr>
          <w:color w:val="000000"/>
        </w:rPr>
        <w:t>ATLAS.ti</w:t>
      </w:r>
      <w:r>
        <w:rPr>
          <w:color w:val="000000"/>
        </w:rPr>
        <w:t xml:space="preserve">, which will be stored on a password-protected computer. Analysis of the </w:t>
      </w:r>
      <w:r>
        <w:t>focus group</w:t>
      </w:r>
      <w:r>
        <w:rPr>
          <w:color w:val="000000"/>
        </w:rPr>
        <w:t xml:space="preserve"> data will start immediately after completion of data collection and will be conducted under the supervision of a senior staff member with extensive experience in qualitative research. Banyan Communications will conduct thematic or ground theory analysis of the data to understand participants’ reactions to the messages in as rigorous and detailed manner as possible. Banyan Communications will summarize results in a final report. The final report will include key data from the online eligibility and demographic screener and report it</w:t>
      </w:r>
      <w:r>
        <w:t xml:space="preserve"> </w:t>
      </w:r>
      <w:r>
        <w:rPr>
          <w:color w:val="000000"/>
        </w:rPr>
        <w:t xml:space="preserve">in descriptive data tables with accompanying narrative in the summary and final reports. </w:t>
      </w:r>
      <w:r>
        <w:rPr>
          <w:b/>
          <w:color w:val="000000"/>
        </w:rPr>
        <w:t>Exhibit 16.1</w:t>
      </w:r>
      <w:r>
        <w:rPr>
          <w:color w:val="000000"/>
        </w:rPr>
        <w:t xml:space="preserve"> lists the</w:t>
      </w:r>
      <w:r>
        <w:rPr>
          <w:b/>
          <w:color w:val="000000"/>
        </w:rPr>
        <w:t xml:space="preserve"> </w:t>
      </w:r>
      <w:r>
        <w:rPr>
          <w:color w:val="000000"/>
        </w:rPr>
        <w:t>key events and reports</w:t>
      </w:r>
      <w:r>
        <w:rPr>
          <w:b/>
          <w:color w:val="000000"/>
        </w:rPr>
        <w:t>.</w:t>
      </w:r>
    </w:p>
    <w:p w:rsidR="00573E3C" w14:paraId="0000018B" w14:textId="77777777">
      <w:pPr>
        <w:pBdr>
          <w:top w:val="nil"/>
          <w:left w:val="nil"/>
          <w:bottom w:val="nil"/>
          <w:right w:val="nil"/>
          <w:between w:val="nil"/>
        </w:pBdr>
        <w:spacing w:line="276" w:lineRule="auto"/>
      </w:pPr>
      <w:r>
        <w:t xml:space="preserve">During quantitative data collection, the Banyan Communications team will conduct descriptive statistics. Banyan Communications will summarize results in a final report. </w:t>
      </w:r>
    </w:p>
    <w:p w:rsidR="00573E3C" w14:paraId="0000018C" w14:textId="77777777">
      <w:pPr>
        <w:keepNext/>
        <w:keepLines/>
        <w:pBdr>
          <w:top w:val="nil"/>
          <w:left w:val="nil"/>
          <w:bottom w:val="nil"/>
          <w:right w:val="nil"/>
          <w:between w:val="nil"/>
        </w:pBdr>
        <w:spacing w:line="276" w:lineRule="auto"/>
        <w:ind w:left="1260" w:hanging="1260"/>
        <w:rPr>
          <w:b/>
          <w:color w:val="000000"/>
        </w:rPr>
      </w:pPr>
      <w:bookmarkStart w:id="47" w:name="_heading=h.32hioqz" w:colFirst="0" w:colLast="0"/>
      <w:bookmarkEnd w:id="47"/>
    </w:p>
    <w:p w:rsidR="00573E3C" w14:paraId="0000018D" w14:textId="77777777">
      <w:pPr>
        <w:keepNext/>
        <w:keepLines/>
        <w:pBdr>
          <w:top w:val="nil"/>
          <w:left w:val="nil"/>
          <w:bottom w:val="nil"/>
          <w:right w:val="nil"/>
          <w:between w:val="nil"/>
        </w:pBdr>
        <w:spacing w:line="276" w:lineRule="auto"/>
        <w:ind w:left="1260" w:hanging="1260"/>
        <w:rPr>
          <w:b/>
          <w:color w:val="000000"/>
        </w:rPr>
      </w:pPr>
      <w:r>
        <w:rPr>
          <w:b/>
          <w:color w:val="000000"/>
        </w:rPr>
        <w:t>Exhibit A.16.1.</w:t>
      </w:r>
      <w:r>
        <w:tab/>
      </w:r>
      <w:r>
        <w:rPr>
          <w:b/>
          <w:color w:val="000000"/>
        </w:rPr>
        <w:t xml:space="preserve">Project Time Schedule </w:t>
      </w:r>
    </w:p>
    <w:tbl>
      <w:tblPr>
        <w:tblStyle w:val="45"/>
        <w:tblW w:w="7834" w:type="dxa"/>
        <w:tblLayout w:type="fixed"/>
        <w:tblLook w:val="0000"/>
      </w:tblPr>
      <w:tblGrid>
        <w:gridCol w:w="4158"/>
        <w:gridCol w:w="3676"/>
      </w:tblGrid>
      <w:tr w14:paraId="02F30BA5" w14:textId="77777777">
        <w:tblPrEx>
          <w:tblW w:w="7834" w:type="dxa"/>
          <w:tblLayout w:type="fixed"/>
          <w:tblLook w:val="0000"/>
        </w:tblPrEx>
        <w:tc>
          <w:tcPr>
            <w:tcW w:w="4158" w:type="dxa"/>
            <w:tcBorders>
              <w:top w:val="single" w:sz="12" w:space="0" w:color="000000"/>
              <w:bottom w:val="single" w:sz="6" w:space="0" w:color="000000"/>
            </w:tcBorders>
            <w:shd w:val="clear" w:color="auto" w:fill="auto"/>
          </w:tcPr>
          <w:p w:rsidR="00573E3C" w14:paraId="0000018E" w14:textId="77777777">
            <w:pPr>
              <w:pBdr>
                <w:top w:val="nil"/>
                <w:left w:val="nil"/>
                <w:bottom w:val="nil"/>
                <w:right w:val="nil"/>
                <w:between w:val="nil"/>
              </w:pBdr>
              <w:spacing w:line="276" w:lineRule="auto"/>
              <w:rPr>
                <w:b/>
                <w:color w:val="000000"/>
              </w:rPr>
            </w:pPr>
            <w:r>
              <w:rPr>
                <w:b/>
                <w:color w:val="000000"/>
              </w:rPr>
              <w:t>Activity</w:t>
            </w:r>
          </w:p>
        </w:tc>
        <w:tc>
          <w:tcPr>
            <w:tcW w:w="3676" w:type="dxa"/>
            <w:tcBorders>
              <w:top w:val="single" w:sz="12" w:space="0" w:color="000000"/>
              <w:bottom w:val="single" w:sz="6" w:space="0" w:color="000000"/>
            </w:tcBorders>
            <w:shd w:val="clear" w:color="auto" w:fill="auto"/>
          </w:tcPr>
          <w:p w:rsidR="00573E3C" w14:paraId="0000018F" w14:textId="77777777">
            <w:pPr>
              <w:pBdr>
                <w:top w:val="nil"/>
                <w:left w:val="nil"/>
                <w:bottom w:val="nil"/>
                <w:right w:val="nil"/>
                <w:between w:val="nil"/>
              </w:pBdr>
              <w:spacing w:line="276" w:lineRule="auto"/>
              <w:rPr>
                <w:b/>
                <w:color w:val="000000"/>
              </w:rPr>
            </w:pPr>
            <w:r>
              <w:rPr>
                <w:b/>
                <w:color w:val="000000"/>
              </w:rPr>
              <w:t>Time Schedule</w:t>
            </w:r>
          </w:p>
        </w:tc>
      </w:tr>
      <w:tr w14:paraId="41126DEA" w14:textId="77777777">
        <w:tblPrEx>
          <w:tblW w:w="7834" w:type="dxa"/>
          <w:tblLayout w:type="fixed"/>
          <w:tblLook w:val="0000"/>
        </w:tblPrEx>
        <w:tc>
          <w:tcPr>
            <w:tcW w:w="4158" w:type="dxa"/>
            <w:shd w:val="clear" w:color="auto" w:fill="auto"/>
          </w:tcPr>
          <w:p w:rsidR="00573E3C" w14:paraId="00000190" w14:textId="77777777">
            <w:pPr>
              <w:keepNext/>
              <w:pBdr>
                <w:top w:val="nil"/>
                <w:left w:val="nil"/>
                <w:bottom w:val="nil"/>
                <w:right w:val="nil"/>
                <w:between w:val="nil"/>
              </w:pBdr>
              <w:spacing w:line="276" w:lineRule="auto"/>
              <w:rPr>
                <w:color w:val="000000"/>
              </w:rPr>
            </w:pPr>
            <w:r>
              <w:rPr>
                <w:color w:val="000000"/>
              </w:rPr>
              <w:t xml:space="preserve">Begin recruitment  </w:t>
            </w:r>
          </w:p>
        </w:tc>
        <w:tc>
          <w:tcPr>
            <w:tcW w:w="3676" w:type="dxa"/>
            <w:shd w:val="clear" w:color="auto" w:fill="auto"/>
          </w:tcPr>
          <w:p w:rsidR="00573E3C" w14:paraId="00000191" w14:textId="77777777">
            <w:pPr>
              <w:keepNext/>
              <w:pBdr>
                <w:top w:val="nil"/>
                <w:left w:val="nil"/>
                <w:bottom w:val="nil"/>
                <w:right w:val="nil"/>
                <w:between w:val="nil"/>
              </w:pBdr>
              <w:spacing w:line="276" w:lineRule="auto"/>
              <w:rPr>
                <w:color w:val="000000"/>
              </w:rPr>
            </w:pPr>
            <w:r>
              <w:rPr>
                <w:color w:val="000000"/>
              </w:rPr>
              <w:t>March 25</w:t>
            </w:r>
            <w:r>
              <w:t>, 2025</w:t>
            </w:r>
          </w:p>
        </w:tc>
      </w:tr>
      <w:tr w14:paraId="7B0F93F5" w14:textId="77777777">
        <w:tblPrEx>
          <w:tblW w:w="7834" w:type="dxa"/>
          <w:tblLayout w:type="fixed"/>
          <w:tblLook w:val="0000"/>
        </w:tblPrEx>
        <w:tc>
          <w:tcPr>
            <w:tcW w:w="4158" w:type="dxa"/>
            <w:shd w:val="clear" w:color="auto" w:fill="auto"/>
          </w:tcPr>
          <w:p w:rsidR="00573E3C" w14:paraId="00000192" w14:textId="77777777">
            <w:pPr>
              <w:keepNext/>
              <w:pBdr>
                <w:top w:val="nil"/>
                <w:left w:val="nil"/>
                <w:bottom w:val="nil"/>
                <w:right w:val="nil"/>
                <w:between w:val="nil"/>
              </w:pBdr>
              <w:spacing w:line="276" w:lineRule="auto"/>
              <w:rPr>
                <w:color w:val="000000"/>
              </w:rPr>
            </w:pPr>
            <w:r>
              <w:rPr>
                <w:color w:val="000000"/>
              </w:rPr>
              <w:t xml:space="preserve">Conduct </w:t>
            </w:r>
            <w:r>
              <w:t>focus group</w:t>
            </w:r>
            <w:r>
              <w:rPr>
                <w:color w:val="000000"/>
              </w:rPr>
              <w:t xml:space="preserve">s  </w:t>
            </w:r>
          </w:p>
        </w:tc>
        <w:tc>
          <w:tcPr>
            <w:tcW w:w="3676" w:type="dxa"/>
            <w:shd w:val="clear" w:color="auto" w:fill="auto"/>
          </w:tcPr>
          <w:p w:rsidR="00573E3C" w14:paraId="00000193" w14:textId="77777777">
            <w:pPr>
              <w:keepNext/>
              <w:pBdr>
                <w:top w:val="nil"/>
                <w:left w:val="nil"/>
                <w:bottom w:val="nil"/>
                <w:right w:val="nil"/>
                <w:between w:val="nil"/>
              </w:pBdr>
              <w:spacing w:line="276" w:lineRule="auto"/>
              <w:rPr>
                <w:color w:val="000000"/>
              </w:rPr>
            </w:pPr>
            <w:r>
              <w:t>Weeks of 4/1, 4/8, 4/15, 4/22, 4/29 of 2025</w:t>
            </w:r>
          </w:p>
        </w:tc>
      </w:tr>
      <w:tr w14:paraId="1FAC08B4" w14:textId="77777777">
        <w:tblPrEx>
          <w:tblW w:w="7834" w:type="dxa"/>
          <w:tblLayout w:type="fixed"/>
          <w:tblLook w:val="0000"/>
        </w:tblPrEx>
        <w:tc>
          <w:tcPr>
            <w:tcW w:w="4158" w:type="dxa"/>
            <w:shd w:val="clear" w:color="auto" w:fill="auto"/>
          </w:tcPr>
          <w:p w:rsidR="00573E3C" w14:paraId="00000194" w14:textId="77777777">
            <w:pPr>
              <w:keepNext/>
              <w:pBdr>
                <w:top w:val="nil"/>
                <w:left w:val="nil"/>
                <w:bottom w:val="nil"/>
                <w:right w:val="nil"/>
                <w:between w:val="nil"/>
              </w:pBdr>
              <w:spacing w:line="276" w:lineRule="auto"/>
              <w:rPr>
                <w:color w:val="000000"/>
              </w:rPr>
            </w:pPr>
            <w:r>
              <w:rPr>
                <w:color w:val="000000"/>
              </w:rPr>
              <w:t>Administer online survey</w:t>
            </w:r>
          </w:p>
        </w:tc>
        <w:tc>
          <w:tcPr>
            <w:tcW w:w="3676" w:type="dxa"/>
            <w:shd w:val="clear" w:color="auto" w:fill="auto"/>
          </w:tcPr>
          <w:p w:rsidR="00573E3C" w14:paraId="00000195" w14:textId="77777777">
            <w:pPr>
              <w:keepNext/>
              <w:pBdr>
                <w:top w:val="nil"/>
                <w:left w:val="nil"/>
                <w:bottom w:val="nil"/>
                <w:right w:val="nil"/>
                <w:between w:val="nil"/>
              </w:pBdr>
              <w:spacing w:line="276" w:lineRule="auto"/>
            </w:pPr>
            <w:r>
              <w:t>Weeks of 3/25, 4/22, 5/27, 6/24 of 2025</w:t>
            </w:r>
          </w:p>
        </w:tc>
      </w:tr>
      <w:tr w14:paraId="25D6AE0B" w14:textId="77777777">
        <w:tblPrEx>
          <w:tblW w:w="7834" w:type="dxa"/>
          <w:tblLayout w:type="fixed"/>
          <w:tblLook w:val="0000"/>
        </w:tblPrEx>
        <w:tc>
          <w:tcPr>
            <w:tcW w:w="4158" w:type="dxa"/>
            <w:tcBorders>
              <w:bottom w:val="single" w:sz="12" w:space="0" w:color="000000"/>
            </w:tcBorders>
            <w:shd w:val="clear" w:color="auto" w:fill="auto"/>
          </w:tcPr>
          <w:p w:rsidR="00573E3C" w14:paraId="00000196" w14:textId="77777777">
            <w:pPr>
              <w:keepNext/>
              <w:pBdr>
                <w:top w:val="nil"/>
                <w:left w:val="nil"/>
                <w:bottom w:val="nil"/>
                <w:right w:val="nil"/>
                <w:between w:val="nil"/>
              </w:pBdr>
              <w:spacing w:line="276" w:lineRule="auto"/>
              <w:rPr>
                <w:color w:val="000000"/>
              </w:rPr>
            </w:pPr>
            <w:r>
              <w:t>R</w:t>
            </w:r>
            <w:r>
              <w:rPr>
                <w:color w:val="000000"/>
              </w:rPr>
              <w:t xml:space="preserve">eport due </w:t>
            </w:r>
          </w:p>
        </w:tc>
        <w:tc>
          <w:tcPr>
            <w:tcW w:w="3676" w:type="dxa"/>
            <w:tcBorders>
              <w:bottom w:val="single" w:sz="12" w:space="0" w:color="000000"/>
            </w:tcBorders>
            <w:shd w:val="clear" w:color="auto" w:fill="auto"/>
          </w:tcPr>
          <w:p w:rsidR="00573E3C" w14:paraId="00000197" w14:textId="77777777">
            <w:pPr>
              <w:keepNext/>
              <w:pBdr>
                <w:top w:val="nil"/>
                <w:left w:val="nil"/>
                <w:bottom w:val="nil"/>
                <w:right w:val="nil"/>
                <w:between w:val="nil"/>
              </w:pBdr>
              <w:spacing w:line="276" w:lineRule="auto"/>
              <w:rPr>
                <w:color w:val="000000"/>
              </w:rPr>
            </w:pPr>
            <w:r>
              <w:rPr>
                <w:color w:val="000000"/>
              </w:rPr>
              <w:t>July 1</w:t>
            </w:r>
            <w:r>
              <w:t>, 2025</w:t>
            </w:r>
          </w:p>
        </w:tc>
      </w:tr>
    </w:tbl>
    <w:p w:rsidR="00573E3C" w14:paraId="00000198" w14:textId="77777777">
      <w:pPr>
        <w:pBdr>
          <w:top w:val="nil"/>
          <w:left w:val="nil"/>
          <w:bottom w:val="nil"/>
          <w:right w:val="nil"/>
          <w:between w:val="nil"/>
        </w:pBdr>
        <w:spacing w:line="276" w:lineRule="auto"/>
        <w:ind w:firstLine="720"/>
        <w:rPr>
          <w:color w:val="000000"/>
        </w:rPr>
      </w:pPr>
      <w:bookmarkStart w:id="48" w:name="_heading=h.1hmsyys" w:colFirst="0" w:colLast="0"/>
      <w:bookmarkEnd w:id="48"/>
    </w:p>
    <w:p w:rsidR="00573E3C" w14:paraId="00000199" w14:textId="77777777">
      <w:pPr>
        <w:pStyle w:val="Heading2"/>
        <w:spacing w:before="0" w:after="0" w:line="276" w:lineRule="auto"/>
      </w:pPr>
      <w:bookmarkStart w:id="49" w:name="_heading=h.1664s55" w:colFirst="0" w:colLast="0"/>
      <w:bookmarkEnd w:id="49"/>
      <w:r>
        <w:t>17</w:t>
      </w:r>
      <w:r>
        <w:tab/>
        <w:t>Reason(s) Display of OMB Expiration Date Is Inappropriate</w:t>
      </w:r>
    </w:p>
    <w:p w:rsidR="00573E3C" w14:paraId="0000019A" w14:textId="77777777">
      <w:pPr>
        <w:pBdr>
          <w:top w:val="nil"/>
          <w:left w:val="nil"/>
          <w:bottom w:val="nil"/>
          <w:right w:val="nil"/>
          <w:between w:val="nil"/>
        </w:pBdr>
        <w:spacing w:line="276" w:lineRule="auto"/>
        <w:rPr>
          <w:color w:val="000000"/>
        </w:rPr>
      </w:pPr>
    </w:p>
    <w:p w:rsidR="00573E3C" w14:paraId="0000019B" w14:textId="77777777">
      <w:pPr>
        <w:pBdr>
          <w:top w:val="nil"/>
          <w:left w:val="nil"/>
          <w:bottom w:val="nil"/>
          <w:right w:val="nil"/>
          <w:between w:val="nil"/>
        </w:pBdr>
        <w:spacing w:line="276" w:lineRule="auto"/>
        <w:rPr>
          <w:color w:val="000000"/>
        </w:rPr>
      </w:pPr>
      <w:r>
        <w:rPr>
          <w:color w:val="000000"/>
        </w:rPr>
        <w:t>OMB Expiration Date will be displayed on necessary materials and documents.</w:t>
      </w:r>
    </w:p>
    <w:p w:rsidR="00573E3C" w14:paraId="0000019C" w14:textId="77777777">
      <w:pPr>
        <w:pStyle w:val="Heading2"/>
        <w:spacing w:before="0" w:after="0" w:line="276" w:lineRule="auto"/>
      </w:pPr>
      <w:bookmarkStart w:id="50" w:name="_heading=h.2grqrue" w:colFirst="0" w:colLast="0"/>
      <w:bookmarkEnd w:id="50"/>
    </w:p>
    <w:p w:rsidR="00573E3C" w14:paraId="0000019D" w14:textId="77777777">
      <w:pPr>
        <w:pStyle w:val="Heading2"/>
        <w:spacing w:before="0" w:after="0" w:line="276" w:lineRule="auto"/>
      </w:pPr>
      <w:bookmarkStart w:id="51" w:name="_heading=h.3q5sasy" w:colFirst="0" w:colLast="0"/>
      <w:bookmarkEnd w:id="51"/>
      <w:r>
        <w:t>18</w:t>
      </w:r>
      <w:r>
        <w:tab/>
        <w:t xml:space="preserve">Exceptions to Certification for Paperwork Reduction Act Submissions </w:t>
      </w:r>
    </w:p>
    <w:p w:rsidR="00573E3C" w14:paraId="0000019E" w14:textId="77777777">
      <w:pPr>
        <w:pBdr>
          <w:top w:val="nil"/>
          <w:left w:val="nil"/>
          <w:bottom w:val="nil"/>
          <w:right w:val="nil"/>
          <w:between w:val="nil"/>
        </w:pBdr>
        <w:spacing w:line="276" w:lineRule="auto"/>
        <w:rPr>
          <w:color w:val="000000"/>
        </w:rPr>
      </w:pPr>
    </w:p>
    <w:p w:rsidR="00573E3C" w14:paraId="0000019F" w14:textId="77777777">
      <w:pPr>
        <w:pBdr>
          <w:top w:val="nil"/>
          <w:left w:val="nil"/>
          <w:bottom w:val="nil"/>
          <w:right w:val="nil"/>
          <w:between w:val="nil"/>
        </w:pBdr>
        <w:spacing w:line="276" w:lineRule="auto"/>
        <w:rPr>
          <w:color w:val="000000"/>
        </w:rPr>
      </w:pPr>
      <w:r>
        <w:rPr>
          <w:color w:val="000000"/>
        </w:rPr>
        <w:t>There are no exceptions to the certification.</w:t>
      </w:r>
    </w:p>
    <w:p w:rsidR="00573E3C" w14:paraId="000001A0" w14:textId="77777777">
      <w:pPr>
        <w:pStyle w:val="Heading2"/>
        <w:spacing w:before="0" w:after="0" w:line="276" w:lineRule="auto"/>
      </w:pPr>
    </w:p>
    <w:p w:rsidR="00573E3C" w14:paraId="000001A1" w14:textId="77777777">
      <w:pPr>
        <w:pStyle w:val="Heading2"/>
        <w:spacing w:before="0" w:after="0" w:line="276" w:lineRule="auto"/>
      </w:pPr>
      <w:bookmarkStart w:id="52" w:name="_heading=h.25b2l0r" w:colFirst="0" w:colLast="0"/>
      <w:bookmarkEnd w:id="52"/>
      <w:r>
        <w:t>References</w:t>
      </w:r>
    </w:p>
    <w:p w:rsidR="00573E3C" w14:paraId="000001A2" w14:textId="77777777">
      <w:pPr>
        <w:keepLines/>
        <w:pBdr>
          <w:top w:val="nil"/>
          <w:left w:val="nil"/>
          <w:bottom w:val="nil"/>
          <w:right w:val="nil"/>
          <w:between w:val="nil"/>
        </w:pBdr>
        <w:spacing w:line="276" w:lineRule="auto"/>
        <w:ind w:left="720" w:hanging="720"/>
        <w:rPr>
          <w:color w:val="000000"/>
        </w:rPr>
      </w:pPr>
      <w:r>
        <w:rPr>
          <w:color w:val="000000"/>
        </w:rPr>
        <w:t xml:space="preserve">Abreu, D.A., &amp; Winters, F. (1999). Using monetary incentives to reduce attrition in the survey of income and program participation. </w:t>
      </w:r>
      <w:r>
        <w:rPr>
          <w:i/>
          <w:color w:val="000000"/>
        </w:rPr>
        <w:t>Proceedings of the Survey Research Methods Section of the American Statistical Association</w:t>
      </w:r>
      <w:r>
        <w:rPr>
          <w:color w:val="000000"/>
        </w:rPr>
        <w:t>.</w:t>
      </w:r>
    </w:p>
    <w:p w:rsidR="00573E3C" w14:paraId="000001A3" w14:textId="77777777">
      <w:pPr>
        <w:spacing w:line="276" w:lineRule="auto"/>
        <w:rPr>
          <w:color w:val="222222"/>
          <w:highlight w:val="white"/>
        </w:rPr>
      </w:pPr>
      <w:r>
        <w:rPr>
          <w:color w:val="222222"/>
          <w:highlight w:val="white"/>
        </w:rPr>
        <w:t>Bonevski</w:t>
      </w:r>
      <w:r>
        <w:rPr>
          <w:color w:val="222222"/>
          <w:highlight w:val="white"/>
        </w:rPr>
        <w:t xml:space="preserve">, B., Randell, M., Paul, C., Chapman, K., Twyman, L., Bryant, J., ... &amp; Hughes, C. (2014). </w:t>
      </w:r>
    </w:p>
    <w:p w:rsidR="00573E3C" w14:paraId="000001A4" w14:textId="77777777">
      <w:pPr>
        <w:spacing w:line="276" w:lineRule="auto"/>
        <w:ind w:firstLine="720"/>
        <w:rPr>
          <w:color w:val="222222"/>
          <w:highlight w:val="white"/>
        </w:rPr>
      </w:pPr>
      <w:r>
        <w:rPr>
          <w:color w:val="222222"/>
          <w:highlight w:val="white"/>
        </w:rPr>
        <w:t xml:space="preserve">Reaching the hard-to-reach: a systematic review of strategies for improving health and medical </w:t>
      </w:r>
    </w:p>
    <w:p w:rsidR="00573E3C" w14:paraId="000001A5" w14:textId="77777777">
      <w:pPr>
        <w:spacing w:line="276" w:lineRule="auto"/>
        <w:ind w:firstLine="720"/>
        <w:rPr>
          <w:color w:val="222222"/>
          <w:highlight w:val="white"/>
        </w:rPr>
      </w:pPr>
      <w:r>
        <w:rPr>
          <w:color w:val="222222"/>
          <w:highlight w:val="white"/>
        </w:rPr>
        <w:t xml:space="preserve">research with socially disadvantaged groups. </w:t>
      </w:r>
      <w:r>
        <w:rPr>
          <w:i/>
          <w:color w:val="222222"/>
          <w:highlight w:val="white"/>
        </w:rPr>
        <w:t>BMC medical research methodology</w:t>
      </w:r>
      <w:r>
        <w:rPr>
          <w:color w:val="222222"/>
          <w:highlight w:val="white"/>
        </w:rPr>
        <w:t xml:space="preserve">, </w:t>
      </w:r>
      <w:r>
        <w:rPr>
          <w:i/>
          <w:color w:val="222222"/>
          <w:highlight w:val="white"/>
        </w:rPr>
        <w:t>14</w:t>
      </w:r>
      <w:r>
        <w:rPr>
          <w:color w:val="222222"/>
          <w:highlight w:val="white"/>
        </w:rPr>
        <w:t>(1), 1-29.</w:t>
      </w:r>
    </w:p>
    <w:p w:rsidR="00573E3C" w:rsidP="7F45ABCE" w14:paraId="000001A6" w14:textId="70B3DFD9">
      <w:r>
        <w:t xml:space="preserve">Castiglioni, L., </w:t>
      </w:r>
      <w:r>
        <w:t>Pforr</w:t>
      </w:r>
      <w:r>
        <w:t xml:space="preserve">, K., &amp; Krieger, U. (2008). The effect of incentives on response rates and panel </w:t>
      </w:r>
      <w:r>
        <w:br/>
      </w:r>
      <w:r>
        <w:tab/>
        <w:t xml:space="preserve">attrition: Results of a controlled experiment. </w:t>
      </w:r>
      <w:r w:rsidRPr="7F45ABCE">
        <w:rPr>
          <w:i/>
          <w:iCs/>
        </w:rPr>
        <w:t>Survey Research Methods</w:t>
      </w:r>
      <w:r>
        <w:t>, 2(3), 151-158.</w:t>
      </w:r>
    </w:p>
    <w:p w:rsidR="00573E3C" w14:paraId="000001A7" w14:textId="77777777">
      <w:pPr>
        <w:spacing w:line="276" w:lineRule="auto"/>
        <w:rPr>
          <w:color w:val="222222"/>
          <w:highlight w:val="white"/>
        </w:rPr>
      </w:pPr>
      <w:r>
        <w:rPr>
          <w:color w:val="222222"/>
          <w:highlight w:val="white"/>
        </w:rPr>
        <w:t xml:space="preserve">Krueger, R. and Casey, M. (2009) </w:t>
      </w:r>
      <w:r>
        <w:rPr>
          <w:i/>
          <w:color w:val="222222"/>
          <w:highlight w:val="white"/>
        </w:rPr>
        <w:t>Focus Groups: A Practical Guide for Applied Research</w:t>
      </w:r>
      <w:r>
        <w:rPr>
          <w:color w:val="222222"/>
          <w:highlight w:val="white"/>
        </w:rPr>
        <w:t xml:space="preserve">. Sage </w:t>
      </w:r>
    </w:p>
    <w:p w:rsidR="00573E3C" w14:paraId="000001A8" w14:textId="77777777">
      <w:pPr>
        <w:spacing w:line="276" w:lineRule="auto"/>
        <w:ind w:firstLine="720"/>
        <w:rPr>
          <w:color w:val="222222"/>
          <w:highlight w:val="white"/>
        </w:rPr>
      </w:pPr>
      <w:r>
        <w:rPr>
          <w:color w:val="222222"/>
          <w:highlight w:val="white"/>
        </w:rPr>
        <w:t>Publications: Thousand Oaks, CA.</w:t>
      </w:r>
    </w:p>
    <w:p w:rsidR="00573E3C" w:rsidP="7F45ABCE" w14:paraId="5E7BE880" w14:textId="2A4AA220">
      <w:pPr>
        <w:spacing w:line="276" w:lineRule="auto"/>
        <w:rPr>
          <w:color w:val="222222"/>
          <w:highlight w:val="white"/>
        </w:rPr>
      </w:pPr>
      <w:r w:rsidRPr="7F45ABCE">
        <w:rPr>
          <w:color w:val="222222"/>
          <w:highlight w:val="white"/>
        </w:rPr>
        <w:t>Robinson, K.A., Dennison, C.R., Wayman, D.M., Pronovost, P.J., and Needham, D.M. (2007).</w:t>
      </w:r>
      <w:r>
        <w:br/>
      </w:r>
      <w:r>
        <w:tab/>
      </w:r>
      <w:r w:rsidRPr="7F45ABCE">
        <w:rPr>
          <w:color w:val="222222"/>
          <w:highlight w:val="white"/>
        </w:rPr>
        <w:t xml:space="preserve">Systematic review identifies number of strategies important for retaining study participants. </w:t>
      </w:r>
      <w:r w:rsidRPr="7F45ABCE">
        <w:rPr>
          <w:i/>
          <w:iCs/>
          <w:color w:val="222222"/>
          <w:highlight w:val="white"/>
        </w:rPr>
        <w:t>J</w:t>
      </w:r>
    </w:p>
    <w:p w:rsidR="00573E3C" w14:paraId="000001AB" w14:textId="066F4810">
      <w:pPr>
        <w:spacing w:line="276" w:lineRule="auto"/>
        <w:ind w:firstLine="720"/>
        <w:rPr>
          <w:color w:val="222222"/>
          <w:highlight w:val="white"/>
        </w:rPr>
      </w:pPr>
      <w:r w:rsidRPr="7F45ABCE">
        <w:rPr>
          <w:i/>
          <w:iCs/>
          <w:color w:val="222222"/>
          <w:highlight w:val="white"/>
        </w:rPr>
        <w:t>Clin Epidemiol; 60</w:t>
      </w:r>
      <w:r w:rsidRPr="7F45ABCE">
        <w:rPr>
          <w:color w:val="222222"/>
          <w:highlight w:val="white"/>
        </w:rPr>
        <w:t>(8): 757-765.</w:t>
      </w:r>
    </w:p>
    <w:p w:rsidR="00573E3C" w:rsidP="7F45ABCE" w14:paraId="000001AC" w14:textId="37608976">
      <w:pPr>
        <w:spacing w:line="276" w:lineRule="auto"/>
        <w:rPr>
          <w:color w:val="222222"/>
          <w:highlight w:val="white"/>
        </w:rPr>
      </w:pPr>
      <w:r>
        <w:t>Shettle</w:t>
      </w:r>
      <w:r>
        <w:t xml:space="preserve">, C., &amp; Mooney, G. (1999). Monetary incentives in U.S. government surveys. </w:t>
      </w:r>
      <w:r w:rsidRPr="7F45ABCE">
        <w:rPr>
          <w:i/>
          <w:iCs/>
        </w:rPr>
        <w:t xml:space="preserve">Journal of Official </w:t>
      </w:r>
      <w:r>
        <w:br/>
      </w:r>
      <w:r>
        <w:tab/>
      </w:r>
      <w:r w:rsidRPr="7F45ABCE">
        <w:rPr>
          <w:i/>
          <w:iCs/>
        </w:rPr>
        <w:t>Statistics, 15</w:t>
      </w:r>
      <w:r>
        <w:t>, 231–250.</w:t>
      </w:r>
    </w:p>
    <w:p w:rsidR="00573E3C" w:rsidP="7F45ABCE" w14:paraId="000001AF" w14:textId="3FB63952">
      <w:pPr>
        <w:spacing w:line="276" w:lineRule="auto"/>
        <w:rPr>
          <w:color w:val="222222"/>
          <w:highlight w:val="white"/>
        </w:rPr>
      </w:pPr>
      <w:r w:rsidRPr="7F45ABCE">
        <w:rPr>
          <w:color w:val="222222"/>
          <w:highlight w:val="white"/>
        </w:rPr>
        <w:t xml:space="preserve">Singer, E., N. </w:t>
      </w:r>
      <w:r w:rsidRPr="7F45ABCE">
        <w:rPr>
          <w:color w:val="222222"/>
          <w:highlight w:val="white"/>
        </w:rPr>
        <w:t>Gelber</w:t>
      </w:r>
      <w:r w:rsidRPr="7F45ABCE">
        <w:rPr>
          <w:color w:val="222222"/>
          <w:highlight w:val="white"/>
        </w:rPr>
        <w:t xml:space="preserve">, J. Van </w:t>
      </w:r>
      <w:r w:rsidRPr="7F45ABCE">
        <w:rPr>
          <w:color w:val="222222"/>
          <w:highlight w:val="white"/>
        </w:rPr>
        <w:t>Hoewyk</w:t>
      </w:r>
      <w:r w:rsidRPr="7F45ABCE">
        <w:rPr>
          <w:color w:val="222222"/>
          <w:highlight w:val="white"/>
        </w:rPr>
        <w:t xml:space="preserve">, and J. Brown (1997). </w:t>
      </w:r>
      <w:r w:rsidRPr="7F45ABCE">
        <w:rPr>
          <w:i/>
          <w:iCs/>
          <w:color w:val="222222"/>
          <w:highlight w:val="white"/>
        </w:rPr>
        <w:t xml:space="preserve">Does $10 Equal $10? The Effect of </w:t>
      </w:r>
      <w:r>
        <w:br/>
      </w:r>
      <w:r>
        <w:tab/>
      </w:r>
      <w:r w:rsidRPr="7F45ABCE">
        <w:rPr>
          <w:i/>
          <w:iCs/>
          <w:color w:val="222222"/>
          <w:highlight w:val="white"/>
        </w:rPr>
        <w:t>Framing on the Impact of Incentives</w:t>
      </w:r>
      <w:r w:rsidRPr="7F45ABCE">
        <w:rPr>
          <w:color w:val="222222"/>
          <w:highlight w:val="white"/>
        </w:rPr>
        <w:t xml:space="preserve">. Paper presented at the American Association for Public </w:t>
      </w:r>
      <w:r>
        <w:tab/>
      </w:r>
      <w:r w:rsidRPr="7F45ABCE">
        <w:rPr>
          <w:color w:val="222222"/>
          <w:highlight w:val="white"/>
        </w:rPr>
        <w:t>Opinion;</w:t>
      </w:r>
      <w:r w:rsidRPr="7F45ABCE">
        <w:rPr>
          <w:color w:val="222222"/>
          <w:highlight w:val="white"/>
        </w:rPr>
        <w:t xml:space="preserve"> Norfolk, VA.</w:t>
      </w:r>
    </w:p>
    <w:p w:rsidR="00573E3C" w:rsidP="7F45ABCE" w14:paraId="000001B1" w14:textId="0F115463">
      <w:pPr>
        <w:spacing w:line="276" w:lineRule="auto"/>
        <w:rPr>
          <w:rFonts w:ascii="Arial" w:eastAsia="Arial" w:hAnsi="Arial" w:cs="Arial"/>
          <w:color w:val="222222"/>
          <w:sz w:val="20"/>
          <w:szCs w:val="20"/>
          <w:highlight w:val="white"/>
        </w:rPr>
      </w:pPr>
      <w:r w:rsidRPr="7F45ABCE">
        <w:rPr>
          <w:color w:val="222222"/>
          <w:highlight w:val="white"/>
        </w:rPr>
        <w:t xml:space="preserve">Singer, E., Van </w:t>
      </w:r>
      <w:r w:rsidRPr="7F45ABCE">
        <w:rPr>
          <w:color w:val="222222"/>
          <w:highlight w:val="white"/>
        </w:rPr>
        <w:t>Hoewyk</w:t>
      </w:r>
      <w:r w:rsidRPr="7F45ABCE">
        <w:rPr>
          <w:color w:val="222222"/>
          <w:highlight w:val="white"/>
        </w:rPr>
        <w:t xml:space="preserve">, J., and Maher, M.P. (2000). Experiments with Incentives in Telephone </w:t>
      </w:r>
      <w:r>
        <w:br/>
      </w:r>
      <w:r>
        <w:tab/>
      </w:r>
      <w:r w:rsidRPr="7F45ABCE">
        <w:rPr>
          <w:color w:val="222222"/>
          <w:highlight w:val="white"/>
        </w:rPr>
        <w:t xml:space="preserve">Surveys. </w:t>
      </w:r>
      <w:r w:rsidRPr="7F45ABCE">
        <w:rPr>
          <w:i/>
          <w:iCs/>
          <w:color w:val="222222"/>
          <w:highlight w:val="white"/>
        </w:rPr>
        <w:t>Public Opinion Quarterly 64</w:t>
      </w:r>
      <w:r w:rsidRPr="7F45ABCE">
        <w:rPr>
          <w:color w:val="222222"/>
          <w:highlight w:val="white"/>
        </w:rPr>
        <w:t>(3):171-188.</w:t>
      </w:r>
    </w:p>
    <w:p w:rsidR="00573E3C" w14:paraId="000001B2" w14:textId="77777777">
      <w:pPr>
        <w:spacing w:line="276" w:lineRule="auto"/>
        <w:ind w:left="720" w:hanging="720"/>
      </w:pPr>
      <w:r>
        <w:rPr>
          <w:color w:val="222222"/>
          <w:highlight w:val="white"/>
        </w:rPr>
        <w:t xml:space="preserve">U.S. Bureau of Labor Statistics. Economy </w:t>
      </w:r>
      <w:r>
        <w:rPr>
          <w:color w:val="222222"/>
          <w:highlight w:val="white"/>
        </w:rPr>
        <w:t>at a Glance</w:t>
      </w:r>
      <w:r>
        <w:rPr>
          <w:color w:val="222222"/>
          <w:highlight w:val="white"/>
        </w:rPr>
        <w:t xml:space="preserve">. Retrieved from </w:t>
      </w:r>
      <w:hyperlink r:id="rId15">
        <w:r>
          <w:rPr>
            <w:color w:val="1155CC"/>
            <w:highlight w:val="white"/>
            <w:u w:val="single"/>
          </w:rPr>
          <w:t>https://www.bls.gov/eag/eag.us.htm</w:t>
        </w:r>
      </w:hyperlink>
      <w:r>
        <w:rPr>
          <w:color w:val="222222"/>
          <w:highlight w:val="white"/>
        </w:rPr>
        <w:t xml:space="preserve">, on November 4, 2024. </w:t>
      </w:r>
    </w:p>
    <w:p w:rsidR="00573E3C" w:rsidP="7F45ABCE" w14:paraId="000001B3" w14:textId="12AC447B">
      <w:pPr>
        <w:pBdr>
          <w:top w:val="nil"/>
          <w:left w:val="nil"/>
          <w:bottom w:val="nil"/>
          <w:right w:val="nil"/>
          <w:between w:val="nil"/>
        </w:pBdr>
        <w:spacing w:line="276" w:lineRule="auto"/>
        <w:ind w:left="720" w:hanging="720"/>
        <w:rPr>
          <w:color w:val="000000"/>
        </w:rPr>
      </w:pPr>
      <w:r w:rsidRPr="7F45ABCE">
        <w:rPr>
          <w:color w:val="000000" w:themeColor="text1"/>
        </w:rPr>
        <w:t>Zhou, M., Zhang, N., Zhang, M. et al.</w:t>
      </w:r>
      <w:r w:rsidRPr="7F45ABCE">
        <w:rPr>
          <w:i/>
          <w:iCs/>
          <w:color w:val="000000" w:themeColor="text1"/>
        </w:rPr>
        <w:t xml:space="preserve"> </w:t>
      </w:r>
      <w:r w:rsidRPr="7F45ABCE">
        <w:rPr>
          <w:color w:val="000000" w:themeColor="text1"/>
        </w:rPr>
        <w:t xml:space="preserve">Culture, eating behavior, and infectious disease control and prevention. </w:t>
      </w:r>
      <w:r w:rsidRPr="7F45ABCE">
        <w:rPr>
          <w:i/>
          <w:iCs/>
          <w:color w:val="000000" w:themeColor="text1"/>
        </w:rPr>
        <w:t xml:space="preserve">J. </w:t>
      </w:r>
      <w:r w:rsidRPr="7F45ABCE">
        <w:rPr>
          <w:i/>
          <w:iCs/>
          <w:color w:val="000000" w:themeColor="text1"/>
        </w:rPr>
        <w:t>Ethn</w:t>
      </w:r>
      <w:r w:rsidRPr="7F45ABCE">
        <w:rPr>
          <w:i/>
          <w:iCs/>
          <w:color w:val="000000" w:themeColor="text1"/>
        </w:rPr>
        <w:t>. Food 7</w:t>
      </w:r>
      <w:r w:rsidRPr="7F45ABCE">
        <w:rPr>
          <w:color w:val="000000" w:themeColor="text1"/>
        </w:rPr>
        <w:t>, 40 (2020).</w:t>
      </w:r>
    </w:p>
    <w:sectPr>
      <w:headerReference w:type="default" r:id="rId16"/>
      <w:footerReference w:type="default" r:id="rId1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73B7A67-5E6D-4CE3-81EC-E0986ACB3A40}"/>
  </w:font>
  <w:font w:name="Calibri">
    <w:panose1 w:val="020F0502020204030204"/>
    <w:charset w:val="00"/>
    <w:family w:val="swiss"/>
    <w:pitch w:val="variable"/>
    <w:sig w:usb0="E4002EFF" w:usb1="C000247B" w:usb2="00000009" w:usb3="00000000" w:csb0="000001FF" w:csb1="00000000"/>
    <w:embedRegular r:id="rId2" w:fontKey="{8F9BBF22-B439-467E-83D3-C8D4203F7C59}"/>
    <w:embedBold r:id="rId3" w:fontKey="{2392F4A2-8AE2-4A87-A0E0-0CE66A5EF5AE}"/>
  </w:font>
  <w:font w:name="Courier New">
    <w:panose1 w:val="02070309020205020404"/>
    <w:charset w:val="00"/>
    <w:family w:val="modern"/>
    <w:pitch w:val="fixed"/>
    <w:sig w:usb0="E0002EFF" w:usb1="C0007843" w:usb2="00000009" w:usb3="00000000" w:csb0="000001FF" w:csb1="00000000"/>
  </w:font>
  <w:font w:name="Melio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4" w:fontKey="{7D409AFF-6EE5-4570-8D42-149F3B905DFB}"/>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687E4D22-9A53-4D4B-9EA5-56127F579500}"/>
  </w:font>
  <w:font w:name="Calibri Light">
    <w:panose1 w:val="020F0302020204030204"/>
    <w:charset w:val="00"/>
    <w:family w:val="swiss"/>
    <w:pitch w:val="variable"/>
    <w:sig w:usb0="E4002EFF" w:usb1="C000247B" w:usb2="00000009" w:usb3="00000000" w:csb0="000001FF" w:csb1="00000000"/>
    <w:embedRegular r:id="rId6" w:fontKey="{CA951178-4FA3-4D66-9F1D-6D9A009C903C}"/>
    <w:embedBold r:id="rId7" w:fontKey="{E42EC22F-8F73-47B7-A8AE-4D44BC960418}"/>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embedRegular r:id="rId8" w:fontKey="{888D3B09-D9DE-4D29-B556-76816815E17C}"/>
    <w:embedBold r:id="rId9" w:fontKey="{CCC66B5E-9ABF-4752-82E6-3A644D2311A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8" w14:textId="77777777">
    <w:pPr>
      <w:pBdr>
        <w:top w:val="nil"/>
        <w:left w:val="nil"/>
        <w:bottom w:val="nil"/>
        <w:right w:val="nil"/>
        <w:between w:val="nil"/>
      </w:pBdr>
      <w:tabs>
        <w:tab w:val="center" w:pos="4320"/>
        <w:tab w:val="right" w:pos="8640"/>
      </w:tabs>
      <w:jc w:val="right"/>
      <w:rPr>
        <w:color w:val="000000"/>
      </w:rPr>
    </w:pPr>
  </w:p>
  <w:p w:rsidR="00573E3C" w14:paraId="000001B9" w14:textId="77777777">
    <w:pPr>
      <w:pBdr>
        <w:top w:val="nil"/>
        <w:left w:val="nil"/>
        <w:bottom w:val="nil"/>
        <w:right w:val="nil"/>
        <w:between w:val="nil"/>
      </w:pBdr>
      <w:tabs>
        <w:tab w:val="center" w:pos="4320"/>
        <w:tab w:val="right" w:pos="8640"/>
      </w:tabs>
      <w:ind w:right="360"/>
      <w:jc w:val="right"/>
      <w:rPr>
        <w:color w:val="000000"/>
      </w:rPr>
    </w:pPr>
  </w:p>
  <w:p w:rsidR="00573E3C" w14:paraId="000001BA" w14:textId="77777777">
    <w:pPr>
      <w:widowControl w:val="0"/>
      <w:pBdr>
        <w:top w:val="nil"/>
        <w:left w:val="nil"/>
        <w:bottom w:val="nil"/>
        <w:right w:val="nil"/>
        <w:between w:val="nil"/>
      </w:pBdr>
      <w:spacing w:line="276" w:lineRule="auto"/>
      <w:rPr>
        <w:color w:val="000000"/>
      </w:rPr>
    </w:pPr>
  </w:p>
  <w:p w:rsidR="00573E3C" w14:paraId="000001BB" w14:textId="77777777">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sidR="00C30E61">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C" w14:textId="77777777">
    <w:pPr>
      <w:pBdr>
        <w:top w:val="nil"/>
        <w:left w:val="nil"/>
        <w:bottom w:val="nil"/>
        <w:right w:val="nil"/>
        <w:between w:val="nil"/>
      </w:pBdr>
      <w:tabs>
        <w:tab w:val="center" w:pos="4320"/>
        <w:tab w:val="right" w:pos="8640"/>
      </w:tabs>
      <w:jc w:val="right"/>
      <w:rPr>
        <w:color w:val="000000"/>
      </w:rPr>
    </w:pPr>
    <w:r>
      <w:fldChar w:fldCharType="begin"/>
    </w:r>
    <w:r>
      <w:instrText>PAGE</w:instrText>
    </w:r>
    <w:r w:rsidR="00C30E61">
      <w:fldChar w:fldCharType="separate"/>
    </w:r>
    <w:r>
      <w:fldChar w:fldCharType="end"/>
    </w:r>
    <w:r>
      <w:rPr>
        <w:noProof/>
      </w:rPr>
      <mc:AlternateContent>
        <mc:Choice Requires="wps">
          <w:drawing>
            <wp:anchor distT="0" distB="0" distL="114300" distR="114300" simplePos="0" relativeHeight="251658240" behindDoc="0" locked="0" layoutInCell="1" allowOverlap="1">
              <wp:simplePos x="0" y="0"/>
              <wp:positionH relativeFrom="column">
                <wp:posOffset>-914399</wp:posOffset>
              </wp:positionH>
              <wp:positionV relativeFrom="paragraph">
                <wp:posOffset>9486900</wp:posOffset>
              </wp:positionV>
              <wp:extent cx="7858125" cy="352425"/>
              <wp:effectExtent l="0" t="0" r="0" b="0"/>
              <wp:wrapNone/>
              <wp:docPr id="62" name="Rectangle 62"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6650"/>
                        <a:ext cx="7858125" cy="352425"/>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2" o:spid="_x0000_s2049" alt="{&quot;HashCode&quot;:-1089082050,&quot;Height&quot;:792.0,&quot;Width&quot;:612.0,&quot;Placement&quot;:&quot;Footer&quot;,&quot;Index&quot;:&quot;Primary&quot;,&quot;Section&quot;:1,&quot;Top&quot;:0.0,&quot;Left&quot;:0.0}" style="width:618.75pt;height:27.75pt;margin-top:747pt;margin-left:-1in;mso-wrap-distance-bottom:0;mso-wrap-distance-left:9pt;mso-wrap-distance-right:9pt;mso-wrap-distance-top:0;mso-wrap-style:square;position:absolute;visibility:visible;v-text-anchor:bottom;z-index:251659264" filled="f" stroked="f">
              <v:textbox inset="20pt,0,7.2pt,0">
                <w:txbxContent>
                  <w:p w:rsidR="00573E3C" w14:paraId="6DF740DC"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-914399</wp:posOffset>
              </wp:positionH>
              <wp:positionV relativeFrom="paragraph">
                <wp:posOffset>9499600</wp:posOffset>
              </wp:positionV>
              <wp:extent cx="7848600" cy="349250"/>
              <wp:effectExtent l="0" t="0" r="0" b="0"/>
              <wp:wrapNone/>
              <wp:docPr id="65" name="Rectangle 65"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5" o:spid="_x0000_s2050" alt="{&quot;HashCode&quot;:-1089082050,&quot;Height&quot;:792.0,&quot;Width&quot;:612.0,&quot;Placement&quot;:&quot;Footer&quot;,&quot;Index&quot;:&quot;Primary&quot;,&quot;Section&quot;:1,&quot;Top&quot;:0.0,&quot;Left&quot;:0.0}" style="width:618pt;height:27.5pt;margin-top:748pt;margin-left:-1in;mso-wrap-distance-bottom:0;mso-wrap-distance-left:9pt;mso-wrap-distance-right:9pt;mso-wrap-distance-top:0;mso-wrap-style:square;position:absolute;visibility:visible;v-text-anchor:bottom;z-index:251661312" filled="f" stroked="f">
              <v:textbox inset="20pt,0,7.2pt,0">
                <w:txbxContent>
                  <w:p w:rsidR="00573E3C" w14:paraId="08E8F40D"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59" name="Rectangle 59" descr="{&quot;HashCode&quot;:-108908205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59" o:spid="_x0000_s2051" alt="{&quot;HashCode&quot;:-1089082050,&quot;Height&quot;:792.0,&quot;Width&quot;:612.0,&quot;Placement&quot;:&quot;Footer&quot;,&quot;Index&quot;:&quot;Primary&quot;,&quot;Section&quot;:1,&quot;Top&quot;:0.0,&quot;Left&quot;:0.0}" style="width:615.75pt;height:25.25pt;margin-top:751pt;margin-left:-1in;mso-wrap-distance-bottom:0;mso-wrap-distance-left:9pt;mso-wrap-distance-right:9pt;mso-wrap-distance-top:0;mso-wrap-style:square;position:absolute;visibility:visible;v-text-anchor:bottom;z-index:251663360" filled="f" stroked="f">
              <v:textbox inset="20pt,0,7.2pt,0">
                <w:txbxContent>
                  <w:p w:rsidR="00573E3C" w14:paraId="68681FD2" w14:textId="77777777">
                    <w:r>
                      <w:rPr>
                        <w:rFonts w:ascii="Calibri" w:eastAsia="Calibri" w:hAnsi="Calibri" w:cs="Calibri"/>
                        <w:color w:val="000000"/>
                        <w:sz w:val="20"/>
                      </w:rPr>
                      <w:t>Restricted Use/Any User (No encryption)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D" w14:textId="77777777">
    <w:r>
      <w:rPr>
        <w:noProof/>
      </w:rPr>
      <mc:AlternateContent>
        <mc:Choice Requires="wps">
          <w:drawing>
            <wp:anchor distT="0" distB="0" distL="114300" distR="114300" simplePos="0" relativeHeight="251664384"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60" name="Rectangle 60" descr="{&quot;HashCode&quot;:-1089082050,&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0" o:spid="_x0000_s2052" alt="{&quot;HashCode&quot;:-1089082050,&quot;Height&quot;:792.0,&quot;Width&quot;:612.0,&quot;Placement&quot;:&quot;Footer&quot;,&quot;Index&quot;:&quot;FirstPage&quot;,&quot;Section&quot;:1,&quot;Top&quot;:0.0,&quot;Left&quot;:0.0}" style="width:615.75pt;height:25.25pt;margin-top:751pt;margin-left:-1in;mso-wrap-distance-bottom:0;mso-wrap-distance-left:9pt;mso-wrap-distance-right:9pt;mso-wrap-distance-top:0;mso-wrap-style:square;position:absolute;visibility:visible;v-text-anchor:bottom;z-index:251665408" filled="f" stroked="f">
              <v:textbox inset="20pt,0,7.2pt,0">
                <w:txbxContent>
                  <w:p w:rsidR="00573E3C" w14:paraId="5BD40EC1" w14:textId="77777777">
                    <w:r>
                      <w:rPr>
                        <w:rFonts w:ascii="Calibri" w:eastAsia="Calibri" w:hAnsi="Calibri" w:cs="Calibri"/>
                        <w:color w:val="000000"/>
                        <w:sz w:val="20"/>
                      </w:rPr>
                      <w:t>Restricted Use/Any User (No encryption)</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E" w14:textId="77777777">
    <w:pPr>
      <w:pBdr>
        <w:top w:val="nil"/>
        <w:left w:val="nil"/>
        <w:bottom w:val="nil"/>
        <w:right w:val="nil"/>
        <w:between w:val="nil"/>
      </w:pBdr>
      <w:tabs>
        <w:tab w:val="center" w:pos="4320"/>
        <w:tab w:val="right" w:pos="8640"/>
      </w:tabs>
      <w:jc w:val="center"/>
      <w:rPr>
        <w:color w:val="000000"/>
      </w:rPr>
    </w:pPr>
    <w:r>
      <w:rPr>
        <w:noProof/>
      </w:rPr>
      <mc:AlternateContent>
        <mc:Choice Requires="wps">
          <w:drawing>
            <wp:anchor distT="0" distB="0" distL="114300" distR="114300" simplePos="0" relativeHeight="251666432" behindDoc="0" locked="0" layoutInCell="1" allowOverlap="1">
              <wp:simplePos x="0" y="0"/>
              <wp:positionH relativeFrom="column">
                <wp:posOffset>-914399</wp:posOffset>
              </wp:positionH>
              <wp:positionV relativeFrom="paragraph">
                <wp:posOffset>9486900</wp:posOffset>
              </wp:positionV>
              <wp:extent cx="7858125" cy="352425"/>
              <wp:effectExtent l="0" t="0" r="0" b="0"/>
              <wp:wrapNone/>
              <wp:docPr id="63" name="Rectangle 63"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6650"/>
                        <a:ext cx="7858125" cy="352425"/>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3" o:spid="_x0000_s2053" alt="{&quot;HashCode&quot;:-1089082050,&quot;Height&quot;:792.0,&quot;Width&quot;:612.0,&quot;Placement&quot;:&quot;Footer&quot;,&quot;Index&quot;:&quot;Primary&quot;,&quot;Section&quot;:3,&quot;Top&quot;:0.0,&quot;Left&quot;:0.0}" style="width:618.75pt;height:27.75pt;margin-top:747pt;margin-left:-1in;mso-wrap-distance-bottom:0;mso-wrap-distance-left:9pt;mso-wrap-distance-right:9pt;mso-wrap-distance-top:0;mso-wrap-style:square;position:absolute;visibility:visible;v-text-anchor:bottom;z-index:251667456" filled="f" stroked="f">
              <v:textbox inset="20pt,0,7.2pt,0">
                <w:txbxContent>
                  <w:p w:rsidR="00573E3C" w14:paraId="0D729F18"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-914399</wp:posOffset>
              </wp:positionH>
              <wp:positionV relativeFrom="paragraph">
                <wp:posOffset>9499600</wp:posOffset>
              </wp:positionV>
              <wp:extent cx="7848600" cy="349250"/>
              <wp:effectExtent l="0" t="0" r="0" b="0"/>
              <wp:wrapNone/>
              <wp:docPr id="64" name="Rectangle 64"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48600" cy="349250"/>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4" o:spid="_x0000_s2054" alt="{&quot;HashCode&quot;:-1089082050,&quot;Height&quot;:792.0,&quot;Width&quot;:612.0,&quot;Placement&quot;:&quot;Footer&quot;,&quot;Index&quot;:&quot;Primary&quot;,&quot;Section&quot;:3,&quot;Top&quot;:0.0,&quot;Left&quot;:0.0}" style="width:618pt;height:27.5pt;margin-top:748pt;margin-left:-1in;mso-wrap-distance-bottom:0;mso-wrap-distance-left:9pt;mso-wrap-distance-right:9pt;mso-wrap-distance-top:0;mso-wrap-style:square;position:absolute;visibility:visible;v-text-anchor:bottom;z-index:251669504" filled="f" stroked="f">
              <v:textbox inset="20pt,0,7.2pt,0">
                <w:txbxContent>
                  <w:p w:rsidR="00573E3C" w14:paraId="64B5501C" w14:textId="77777777">
                    <w:r>
                      <w:rPr>
                        <w:rFonts w:ascii="Calibri" w:eastAsia="Calibri" w:hAnsi="Calibri" w:cs="Calibri"/>
                        <w:color w:val="000000"/>
                        <w:sz w:val="20"/>
                      </w:rPr>
                      <w:t>Restricted Use/Any User (No encryption)</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-914399</wp:posOffset>
              </wp:positionH>
              <wp:positionV relativeFrom="paragraph">
                <wp:posOffset>9537700</wp:posOffset>
              </wp:positionV>
              <wp:extent cx="7820025" cy="320675"/>
              <wp:effectExtent l="0" t="0" r="0" b="0"/>
              <wp:wrapNone/>
              <wp:docPr id="61" name="Rectangle 61" descr="{&quot;HashCode&quot;:-1089082050,&quot;Height&quot;:792.0,&quot;Width&quot;:612.0,&quot;Placement&quot;:&quot;Footer&quot;,&quot;Index&quot;:&quot;Primary&quot;,&quot;Section&quot;:3,&quot;Top&quot;:0.0,&quot;Left&quot;:0.0}"/>
              <wp:cNvGraphicFramePr/>
              <a:graphic xmlns:a="http://schemas.openxmlformats.org/drawingml/2006/main">
                <a:graphicData uri="http://schemas.microsoft.com/office/word/2010/wordprocessingShape">
                  <wps:wsp xmlns:wps="http://schemas.microsoft.com/office/word/2010/wordprocessingShape">
                    <wps:cNvSpPr/>
                    <wps:spPr>
                      <a:xfrm>
                        <a:off x="1459800" y="3643475"/>
                        <a:ext cx="7820025" cy="320675"/>
                      </a:xfrm>
                      <a:prstGeom prst="rect">
                        <a:avLst/>
                      </a:prstGeom>
                      <a:noFill/>
                      <a:ln>
                        <a:noFill/>
                      </a:ln>
                    </wps:spPr>
                    <wps:txbx>
                      <w:txbxContent>
                        <w:p w:rsidR="00573E3C" w14:textId="77777777">
                          <w:r>
                            <w:rPr>
                              <w:rFonts w:ascii="Calibri" w:eastAsia="Calibri" w:hAnsi="Calibri" w:cs="Calibri"/>
                              <w:color w:val="000000"/>
                              <w:sz w:val="20"/>
                            </w:rPr>
                            <w:t>Restricted Use/Any User (No encryption)</w:t>
                          </w:r>
                        </w:p>
                      </w:txbxContent>
                    </wps:txbx>
                    <wps:bodyPr spcFirstLastPara="1" wrap="square" lIns="254000" tIns="0" rIns="91425" bIns="0" anchor="b" anchorCtr="0"/>
                  </wps:wsp>
                </a:graphicData>
              </a:graphic>
            </wp:anchor>
          </w:drawing>
        </mc:Choice>
        <mc:Fallback>
          <w:pict>
            <v:rect id="Rectangle 61" o:spid="_x0000_s2055" alt="{&quot;HashCode&quot;:-1089082050,&quot;Height&quot;:792.0,&quot;Width&quot;:612.0,&quot;Placement&quot;:&quot;Footer&quot;,&quot;Index&quot;:&quot;Primary&quot;,&quot;Section&quot;:3,&quot;Top&quot;:0.0,&quot;Left&quot;:0.0}" style="width:615.75pt;height:25.25pt;margin-top:751pt;margin-left:-1in;mso-wrap-distance-bottom:0;mso-wrap-distance-left:9pt;mso-wrap-distance-right:9pt;mso-wrap-distance-top:0;mso-wrap-style:square;position:absolute;visibility:visible;v-text-anchor:bottom;z-index:251671552" filled="f" stroked="f">
              <v:textbox inset="20pt,0,7.2pt,0">
                <w:txbxContent>
                  <w:p w:rsidR="00573E3C" w14:paraId="73A19A30" w14:textId="77777777">
                    <w:r>
                      <w:rPr>
                        <w:rFonts w:ascii="Calibri" w:eastAsia="Calibri" w:hAnsi="Calibri" w:cs="Calibri"/>
                        <w:color w:val="000000"/>
                        <w:sz w:val="20"/>
                      </w:rPr>
                      <w:t>Restricted Use/Any User (No encryption)</w:t>
                    </w:r>
                  </w:p>
                </w:txbxContent>
              </v:textbox>
            </v:rect>
          </w:pict>
        </mc:Fallback>
      </mc:AlternateContent>
    </w:r>
  </w:p>
  <w:p w:rsidR="00573E3C" w14:paraId="000001BF" w14:textId="77777777">
    <w:pPr>
      <w:widowControl w:val="0"/>
      <w:pBdr>
        <w:top w:val="nil"/>
        <w:left w:val="nil"/>
        <w:bottom w:val="nil"/>
        <w:right w:val="nil"/>
        <w:between w:val="nil"/>
      </w:pBdr>
      <w:spacing w:line="276" w:lineRule="auto"/>
    </w:pPr>
  </w:p>
  <w:p w:rsidR="00573E3C" w14:paraId="000001C0" w14:textId="3ACD31F7">
    <w:pPr>
      <w:widowControl w:val="0"/>
      <w:pBdr>
        <w:top w:val="nil"/>
        <w:left w:val="nil"/>
        <w:bottom w:val="nil"/>
        <w:right w:val="nil"/>
        <w:between w:val="nil"/>
      </w:pBdr>
      <w:spacing w:line="276" w:lineRule="auto"/>
      <w:jc w:val="right"/>
    </w:pPr>
    <w:r>
      <w:fldChar w:fldCharType="begin"/>
    </w:r>
    <w:r>
      <w:instrText>PAGE</w:instrText>
    </w:r>
    <w:r>
      <w:fldChar w:fldCharType="separate"/>
    </w:r>
    <w:r w:rsidR="00A955A1">
      <w:rPr>
        <w:noProof/>
      </w:rPr>
      <w:t>2</w:t>
    </w:r>
    <w:r>
      <w:fldChar w:fldCharType="end"/>
    </w:r>
  </w:p>
  <w:p w:rsidR="00573E3C" w14:paraId="000001C1" w14:textId="77777777">
    <w:pPr>
      <w:widowControl w:val="0"/>
      <w:pBdr>
        <w:top w:val="nil"/>
        <w:left w:val="nil"/>
        <w:bottom w:val="nil"/>
        <w:right w:val="nil"/>
        <w:between w:val="nil"/>
      </w:pBdr>
      <w:spacing w:line="276" w:lineRule="auto"/>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4" w14:textId="77777777">
    <w:pPr>
      <w:pBdr>
        <w:top w:val="nil"/>
        <w:left w:val="nil"/>
        <w:bottom w:val="nil"/>
        <w:right w:val="nil"/>
        <w:between w:val="nil"/>
      </w:pBdr>
      <w:tabs>
        <w:tab w:val="center" w:pos="4320"/>
        <w:tab w:val="right" w:pos="8640"/>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5" w14:textId="77777777">
    <w:pPr>
      <w:pBdr>
        <w:top w:val="nil"/>
        <w:left w:val="nil"/>
        <w:bottom w:val="nil"/>
        <w:right w:val="nil"/>
        <w:between w:val="nil"/>
      </w:pBdr>
      <w:tabs>
        <w:tab w:val="center" w:pos="4320"/>
        <w:tab w:val="right" w:pos="8640"/>
      </w:tabs>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rsidP="77AC8BCE" w14:paraId="000001B6" w14:textId="6AF35C96">
    <w:pPr>
      <w:pBdr>
        <w:top w:val="nil"/>
        <w:left w:val="nil"/>
        <w:bottom w:val="nil"/>
        <w:right w:val="nil"/>
        <w:between w:val="nil"/>
      </w:pBdr>
      <w:tabs>
        <w:tab w:val="center" w:pos="4320"/>
        <w:tab w:val="right" w:pos="8640"/>
      </w:tabs>
      <w:rPr>
        <w:color w:val="000000"/>
        <w:sz w:val="24"/>
        <w:szCs w:val="24"/>
      </w:rPr>
    </w:pPr>
    <w:r w:rsidRPr="77AC8BCE">
      <w:rPr>
        <w:sz w:val="24"/>
        <w:szCs w:val="24"/>
      </w:rPr>
      <w:t>November 26</w:t>
    </w:r>
    <w:r w:rsidRPr="77AC8BCE">
      <w:rPr>
        <w:color w:val="000000" w:themeColor="text1"/>
        <w:sz w:val="24"/>
        <w:szCs w:val="24"/>
      </w:rPr>
      <w:t>, 202</w:t>
    </w:r>
    <w:r w:rsidRPr="77AC8BCE">
      <w:rPr>
        <w:sz w:val="24"/>
        <w:szCs w:val="24"/>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73E3C" w14:paraId="000001B7" w14:textId="77777777">
    <w:pPr>
      <w:pBdr>
        <w:top w:val="nil"/>
        <w:left w:val="nil"/>
        <w:bottom w:val="nil"/>
        <w:right w:val="nil"/>
        <w:between w:val="nil"/>
      </w:pBdr>
      <w:tabs>
        <w:tab w:val="center" w:pos="4320"/>
        <w:tab w:val="right" w:pos="8640"/>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328C4"/>
    <w:multiLevelType w:val="multilevel"/>
    <w:tmpl w:val="590C953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nsid w:val="1D806661"/>
    <w:multiLevelType w:val="multilevel"/>
    <w:tmpl w:val="DD267D7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2">
    <w:nsid w:val="242A081B"/>
    <w:multiLevelType w:val="multilevel"/>
    <w:tmpl w:val="6B984760"/>
    <w:lvl w:ilvl="0">
      <w:start w:val="1"/>
      <w:numFmt w:val="decimal"/>
      <w:pStyle w:val="QuestionCha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41B91E08"/>
    <w:multiLevelType w:val="multilevel"/>
    <w:tmpl w:val="A1CA41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75F37C"/>
    <w:multiLevelType w:val="multilevel"/>
    <w:tmpl w:val="BB6A5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7902706"/>
    <w:multiLevelType w:val="multilevel"/>
    <w:tmpl w:val="7F4E306A"/>
    <w:lvl w:ilvl="0">
      <w:start w:val="1"/>
      <w:numFmt w:val="decimal"/>
      <w:pStyle w:val="bullet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391588847">
    <w:abstractNumId w:val="4"/>
  </w:num>
  <w:num w:numId="2" w16cid:durableId="1603223552">
    <w:abstractNumId w:val="0"/>
  </w:num>
  <w:num w:numId="3" w16cid:durableId="1713380339">
    <w:abstractNumId w:val="5"/>
  </w:num>
  <w:num w:numId="4" w16cid:durableId="280958151">
    <w:abstractNumId w:val="1"/>
  </w:num>
  <w:num w:numId="5" w16cid:durableId="80102054">
    <w:abstractNumId w:val="2"/>
  </w:num>
  <w:num w:numId="6" w16cid:durableId="128188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3C"/>
    <w:rsid w:val="0001547F"/>
    <w:rsid w:val="000561C8"/>
    <w:rsid w:val="00087780"/>
    <w:rsid w:val="000A65FD"/>
    <w:rsid w:val="000D0C55"/>
    <w:rsid w:val="00100CA5"/>
    <w:rsid w:val="00111FCC"/>
    <w:rsid w:val="00133B7B"/>
    <w:rsid w:val="0015531E"/>
    <w:rsid w:val="00181B1E"/>
    <w:rsid w:val="001B39EC"/>
    <w:rsid w:val="001C2EC0"/>
    <w:rsid w:val="0024023D"/>
    <w:rsid w:val="00243DEC"/>
    <w:rsid w:val="002B7BA9"/>
    <w:rsid w:val="0031028C"/>
    <w:rsid w:val="003A0DC0"/>
    <w:rsid w:val="003C17CC"/>
    <w:rsid w:val="003E091F"/>
    <w:rsid w:val="00454B3E"/>
    <w:rsid w:val="00573E3C"/>
    <w:rsid w:val="005A56D6"/>
    <w:rsid w:val="0063388B"/>
    <w:rsid w:val="006C4E11"/>
    <w:rsid w:val="00707E54"/>
    <w:rsid w:val="00762923"/>
    <w:rsid w:val="007F1DF6"/>
    <w:rsid w:val="008A2565"/>
    <w:rsid w:val="008B52B5"/>
    <w:rsid w:val="008C2BA6"/>
    <w:rsid w:val="008E313E"/>
    <w:rsid w:val="009869A1"/>
    <w:rsid w:val="00992227"/>
    <w:rsid w:val="009D2A04"/>
    <w:rsid w:val="009D54C2"/>
    <w:rsid w:val="00A11C5C"/>
    <w:rsid w:val="00A41FE2"/>
    <w:rsid w:val="00A466D4"/>
    <w:rsid w:val="00A54EEC"/>
    <w:rsid w:val="00A955A1"/>
    <w:rsid w:val="00AA62B1"/>
    <w:rsid w:val="00AB18B6"/>
    <w:rsid w:val="00AB2046"/>
    <w:rsid w:val="00AF4F04"/>
    <w:rsid w:val="00AF67F4"/>
    <w:rsid w:val="00B0202A"/>
    <w:rsid w:val="00B2102A"/>
    <w:rsid w:val="00B6613F"/>
    <w:rsid w:val="00B7147A"/>
    <w:rsid w:val="00B725E3"/>
    <w:rsid w:val="00B75576"/>
    <w:rsid w:val="00B83A4C"/>
    <w:rsid w:val="00BA1547"/>
    <w:rsid w:val="00C10E41"/>
    <w:rsid w:val="00C30E61"/>
    <w:rsid w:val="00C62A88"/>
    <w:rsid w:val="00C95E6C"/>
    <w:rsid w:val="00CB2B5A"/>
    <w:rsid w:val="00D15E05"/>
    <w:rsid w:val="00D40203"/>
    <w:rsid w:val="00D40975"/>
    <w:rsid w:val="00D672FC"/>
    <w:rsid w:val="00D81931"/>
    <w:rsid w:val="00DA40C1"/>
    <w:rsid w:val="00E569D5"/>
    <w:rsid w:val="00E960B5"/>
    <w:rsid w:val="00EB4A31"/>
    <w:rsid w:val="00FC0386"/>
    <w:rsid w:val="03B36CEE"/>
    <w:rsid w:val="04DFA934"/>
    <w:rsid w:val="0602CB0B"/>
    <w:rsid w:val="064C28D8"/>
    <w:rsid w:val="06CF885B"/>
    <w:rsid w:val="07675735"/>
    <w:rsid w:val="07DEE44C"/>
    <w:rsid w:val="08CB90BA"/>
    <w:rsid w:val="0BABEBA5"/>
    <w:rsid w:val="0C410E62"/>
    <w:rsid w:val="0D90023D"/>
    <w:rsid w:val="0FF9F1DB"/>
    <w:rsid w:val="105AAE23"/>
    <w:rsid w:val="1078CC22"/>
    <w:rsid w:val="11E4F717"/>
    <w:rsid w:val="15727373"/>
    <w:rsid w:val="16065889"/>
    <w:rsid w:val="18327768"/>
    <w:rsid w:val="1886C8F2"/>
    <w:rsid w:val="18A96086"/>
    <w:rsid w:val="1A5F4842"/>
    <w:rsid w:val="1B74AEE6"/>
    <w:rsid w:val="1BF1FD97"/>
    <w:rsid w:val="1C26368E"/>
    <w:rsid w:val="1D8FD78B"/>
    <w:rsid w:val="20A8EF83"/>
    <w:rsid w:val="22DA817D"/>
    <w:rsid w:val="2319A616"/>
    <w:rsid w:val="252A1D3F"/>
    <w:rsid w:val="258ABACC"/>
    <w:rsid w:val="26A5377F"/>
    <w:rsid w:val="26D28AD2"/>
    <w:rsid w:val="28BEEFD2"/>
    <w:rsid w:val="28DD3C02"/>
    <w:rsid w:val="2A1192EE"/>
    <w:rsid w:val="2A97162A"/>
    <w:rsid w:val="2BEE4E64"/>
    <w:rsid w:val="2DB489EA"/>
    <w:rsid w:val="314E9130"/>
    <w:rsid w:val="32294D8F"/>
    <w:rsid w:val="33CBFDBD"/>
    <w:rsid w:val="344BE70E"/>
    <w:rsid w:val="35720A5F"/>
    <w:rsid w:val="3659556A"/>
    <w:rsid w:val="36DD5619"/>
    <w:rsid w:val="3826B479"/>
    <w:rsid w:val="39ED5306"/>
    <w:rsid w:val="3B6A44A8"/>
    <w:rsid w:val="3D851149"/>
    <w:rsid w:val="3FAA849F"/>
    <w:rsid w:val="3FC2C145"/>
    <w:rsid w:val="426BD37A"/>
    <w:rsid w:val="42A1D073"/>
    <w:rsid w:val="464E0921"/>
    <w:rsid w:val="477C2B4A"/>
    <w:rsid w:val="485F2298"/>
    <w:rsid w:val="4ACEFD13"/>
    <w:rsid w:val="4D3C086D"/>
    <w:rsid w:val="4DAE99EB"/>
    <w:rsid w:val="4E4880A9"/>
    <w:rsid w:val="4E99BAD0"/>
    <w:rsid w:val="4FED89B8"/>
    <w:rsid w:val="5258011C"/>
    <w:rsid w:val="52BE3C61"/>
    <w:rsid w:val="531EFA2C"/>
    <w:rsid w:val="552E9D85"/>
    <w:rsid w:val="55386D7A"/>
    <w:rsid w:val="5572E7BB"/>
    <w:rsid w:val="57FD9B48"/>
    <w:rsid w:val="591D3E60"/>
    <w:rsid w:val="5953A524"/>
    <w:rsid w:val="5B1F220F"/>
    <w:rsid w:val="5C41C016"/>
    <w:rsid w:val="5CD10BDC"/>
    <w:rsid w:val="5E3C41C0"/>
    <w:rsid w:val="5F7C88EB"/>
    <w:rsid w:val="5FD10C31"/>
    <w:rsid w:val="60F14BE3"/>
    <w:rsid w:val="64716BE0"/>
    <w:rsid w:val="66D42A2F"/>
    <w:rsid w:val="686E2DDD"/>
    <w:rsid w:val="68FC49E1"/>
    <w:rsid w:val="6A20AA11"/>
    <w:rsid w:val="6AD9EE31"/>
    <w:rsid w:val="6AF33D53"/>
    <w:rsid w:val="6B96752E"/>
    <w:rsid w:val="6CDD0C72"/>
    <w:rsid w:val="6D2AD26A"/>
    <w:rsid w:val="6F4425A0"/>
    <w:rsid w:val="6FFE1E23"/>
    <w:rsid w:val="7013B414"/>
    <w:rsid w:val="70C63000"/>
    <w:rsid w:val="7336E208"/>
    <w:rsid w:val="759E893A"/>
    <w:rsid w:val="76288337"/>
    <w:rsid w:val="763B1DC5"/>
    <w:rsid w:val="77AC8BCE"/>
    <w:rsid w:val="792494AE"/>
    <w:rsid w:val="79469448"/>
    <w:rsid w:val="7ACF4FDF"/>
    <w:rsid w:val="7E7244FA"/>
    <w:rsid w:val="7E9660EB"/>
    <w:rsid w:val="7F45ABCE"/>
    <w:rsid w:val="7F6275E7"/>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1D4A3AC9"/>
  <w15:docId w15:val="{A1832419-7240-F240-86A0-A9504D3C9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235E"/>
    <w:pPr>
      <w:autoSpaceDE w:val="0"/>
      <w:autoSpaceDN w:val="0"/>
      <w:adjustRightInd w:val="0"/>
    </w:pPr>
  </w:style>
  <w:style w:type="paragraph" w:styleId="Heading1">
    <w:name w:val="heading 1"/>
    <w:aliases w:val="l1"/>
    <w:basedOn w:val="Normal"/>
    <w:next w:val="Normal"/>
    <w:link w:val="Heading1Char"/>
    <w:uiPriority w:val="9"/>
    <w:qFormat/>
    <w:rsid w:val="0027613D"/>
    <w:pPr>
      <w:autoSpaceDE/>
      <w:autoSpaceDN/>
      <w:adjustRightInd/>
      <w:spacing w:after="240" w:line="360" w:lineRule="atLeast"/>
      <w:jc w:val="center"/>
      <w:outlineLvl w:val="0"/>
    </w:pPr>
    <w:rPr>
      <w:b/>
      <w:caps/>
    </w:rPr>
  </w:style>
  <w:style w:type="paragraph" w:styleId="Heading2">
    <w:name w:val="heading 2"/>
    <w:aliases w:val="l2"/>
    <w:basedOn w:val="Normal"/>
    <w:next w:val="BodyText1"/>
    <w:link w:val="Heading2Char"/>
    <w:uiPriority w:val="9"/>
    <w:unhideWhenUsed/>
    <w:qFormat/>
    <w:rsid w:val="008A3B68"/>
    <w:pPr>
      <w:keepNext/>
      <w:autoSpaceDE/>
      <w:autoSpaceDN/>
      <w:adjustRightInd/>
      <w:spacing w:before="240" w:after="120"/>
      <w:ind w:left="720" w:hanging="720"/>
      <w:outlineLvl w:val="1"/>
    </w:pPr>
    <w:rPr>
      <w:b/>
    </w:rPr>
  </w:style>
  <w:style w:type="paragraph" w:styleId="Heading3">
    <w:name w:val="heading 3"/>
    <w:aliases w:val="l3"/>
    <w:basedOn w:val="Normal"/>
    <w:next w:val="BodyText1"/>
    <w:link w:val="Heading3Char"/>
    <w:uiPriority w:val="9"/>
    <w:unhideWhenUsed/>
    <w:qFormat/>
    <w:rsid w:val="0027613D"/>
    <w:pPr>
      <w:keepNext/>
      <w:autoSpaceDE/>
      <w:autoSpaceDN/>
      <w:adjustRightInd/>
      <w:spacing w:before="240" w:after="120"/>
      <w:ind w:left="720" w:hanging="720"/>
      <w:outlineLvl w:val="2"/>
    </w:pPr>
    <w:rPr>
      <w:b/>
      <w:i/>
    </w:rPr>
  </w:style>
  <w:style w:type="paragraph" w:styleId="Heading4">
    <w:name w:val="heading 4"/>
    <w:aliases w:val="l4,l4 Char"/>
    <w:basedOn w:val="Normal"/>
    <w:next w:val="BodyText1"/>
    <w:uiPriority w:val="9"/>
    <w:unhideWhenUsed/>
    <w:qFormat/>
    <w:rsid w:val="0027613D"/>
    <w:pPr>
      <w:keepNext/>
      <w:autoSpaceDE/>
      <w:autoSpaceDN/>
      <w:adjustRightInd/>
      <w:spacing w:before="240" w:after="120"/>
      <w:ind w:left="720" w:hanging="720"/>
      <w:outlineLvl w:val="3"/>
    </w:pPr>
    <w:rPr>
      <w:i/>
    </w:rPr>
  </w:style>
  <w:style w:type="paragraph" w:styleId="Heading5">
    <w:name w:val="heading 5"/>
    <w:basedOn w:val="Normal"/>
    <w:next w:val="Normal"/>
    <w:uiPriority w:val="9"/>
    <w:semiHidden/>
    <w:unhideWhenUsed/>
    <w:qFormat/>
    <w:rsid w:val="0027613D"/>
    <w:pPr>
      <w:spacing w:before="240" w:after="60"/>
      <w:outlineLvl w:val="4"/>
    </w:pPr>
    <w:rPr>
      <w:b/>
      <w:bCs/>
      <w:i/>
      <w:iCs/>
      <w:sz w:val="26"/>
      <w:szCs w:val="26"/>
    </w:rPr>
  </w:style>
  <w:style w:type="paragraph" w:styleId="Heading6">
    <w:name w:val="heading 6"/>
    <w:basedOn w:val="Normal"/>
    <w:next w:val="Normal"/>
    <w:uiPriority w:val="9"/>
    <w:semiHidden/>
    <w:unhideWhenUsed/>
    <w:qFormat/>
    <w:rsid w:val="0027613D"/>
    <w:pPr>
      <w:autoSpaceDE/>
      <w:autoSpaceDN/>
      <w:adjustRightInd/>
      <w:spacing w:before="240" w:after="60"/>
      <w:outlineLvl w:val="5"/>
    </w:pPr>
    <w:rPr>
      <w:b/>
      <w:bCs/>
    </w:rPr>
  </w:style>
  <w:style w:type="paragraph" w:styleId="Heading7">
    <w:name w:val="heading 7"/>
    <w:basedOn w:val="Normal"/>
    <w:next w:val="Normal"/>
    <w:qFormat/>
    <w:rsid w:val="0027613D"/>
    <w:pPr>
      <w:autoSpaceDE/>
      <w:autoSpaceDN/>
      <w:adjustRightInd/>
      <w:spacing w:before="240" w:after="60"/>
      <w:outlineLvl w:val="6"/>
    </w:pPr>
    <w:rPr>
      <w:sz w:val="24"/>
      <w:szCs w:val="24"/>
    </w:rPr>
  </w:style>
  <w:style w:type="paragraph" w:styleId="Heading8">
    <w:name w:val="heading 8"/>
    <w:basedOn w:val="Normal"/>
    <w:next w:val="Normal"/>
    <w:qFormat/>
    <w:rsid w:val="0027613D"/>
    <w:pPr>
      <w:autoSpaceDE/>
      <w:autoSpaceDN/>
      <w:adjustRightInd/>
      <w:spacing w:before="240" w:after="60"/>
      <w:outlineLvl w:val="7"/>
    </w:pPr>
    <w:rPr>
      <w:i/>
      <w:iCs/>
      <w:sz w:val="24"/>
      <w:szCs w:val="24"/>
    </w:rPr>
  </w:style>
  <w:style w:type="paragraph" w:styleId="Heading9">
    <w:name w:val="heading 9"/>
    <w:basedOn w:val="Normal"/>
    <w:next w:val="Normal"/>
    <w:qFormat/>
    <w:rsid w:val="0027613D"/>
    <w:pPr>
      <w:autoSpaceDE/>
      <w:autoSpaceDN/>
      <w:adjustRightInd/>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27613D"/>
    <w:pPr>
      <w:numPr>
        <w:ilvl w:val="12"/>
      </w:numPr>
      <w:jc w:val="center"/>
    </w:pPr>
    <w:rPr>
      <w:b/>
      <w:bCs/>
      <w:sz w:val="24"/>
      <w:szCs w:val="24"/>
    </w:rPr>
  </w:style>
  <w:style w:type="paragraph" w:customStyle="1" w:styleId="BodyText1">
    <w:name w:val="Body Text1"/>
    <w:aliases w:val="body 4,body text Char1,body tx,body tx Char,body tx Char1,bt,bt Char,bt Char1,flush,flush Char Char Char Char Char Char Char Char Char Char Char Char Char,indent,indent Char,indent Char1 Char,memo body text,memo body text Char"/>
    <w:basedOn w:val="Normal"/>
    <w:uiPriority w:val="99"/>
    <w:rsid w:val="0027613D"/>
    <w:pPr>
      <w:autoSpaceDE/>
      <w:autoSpaceDN/>
      <w:adjustRightInd/>
      <w:spacing w:after="240"/>
      <w:ind w:firstLine="720"/>
    </w:pPr>
  </w:style>
  <w:style w:type="paragraph" w:customStyle="1" w:styleId="Level1">
    <w:name w:val="Level 1"/>
    <w:rsid w:val="0027613D"/>
    <w:pPr>
      <w:autoSpaceDE w:val="0"/>
      <w:autoSpaceDN w:val="0"/>
      <w:adjustRightInd w:val="0"/>
      <w:ind w:left="720"/>
    </w:pPr>
    <w:rPr>
      <w:sz w:val="24"/>
      <w:szCs w:val="24"/>
    </w:rPr>
  </w:style>
  <w:style w:type="paragraph" w:styleId="Header">
    <w:name w:val="header"/>
    <w:basedOn w:val="Normal"/>
    <w:rsid w:val="0027613D"/>
    <w:pPr>
      <w:tabs>
        <w:tab w:val="center" w:pos="4320"/>
        <w:tab w:val="right" w:pos="8640"/>
      </w:tabs>
      <w:autoSpaceDE/>
      <w:autoSpaceDN/>
      <w:adjustRightInd/>
    </w:pPr>
    <w:rPr>
      <w:sz w:val="24"/>
      <w:szCs w:val="24"/>
    </w:rPr>
  </w:style>
  <w:style w:type="paragraph" w:styleId="BalloonText">
    <w:name w:val="Balloon Text"/>
    <w:basedOn w:val="Normal"/>
    <w:semiHidden/>
    <w:rsid w:val="0027613D"/>
    <w:rPr>
      <w:rFonts w:ascii="Tahoma" w:hAnsi="Tahoma" w:cs="Tahoma"/>
      <w:sz w:val="16"/>
      <w:szCs w:val="16"/>
    </w:rPr>
  </w:style>
  <w:style w:type="paragraph" w:customStyle="1" w:styleId="equation">
    <w:name w:val="equation"/>
    <w:rsid w:val="0027613D"/>
    <w:pPr>
      <w:tabs>
        <w:tab w:val="center" w:pos="4680"/>
        <w:tab w:val="right" w:pos="9360"/>
      </w:tabs>
      <w:spacing w:after="240" w:line="480" w:lineRule="atLeast"/>
      <w:ind w:firstLine="720"/>
    </w:pPr>
    <w:rPr>
      <w:sz w:val="24"/>
    </w:rPr>
  </w:style>
  <w:style w:type="paragraph" w:customStyle="1" w:styleId="exhibitsource">
    <w:name w:val="exhibit source"/>
    <w:basedOn w:val="Normal"/>
    <w:rsid w:val="0027613D"/>
    <w:pPr>
      <w:keepLines/>
      <w:autoSpaceDE/>
      <w:autoSpaceDN/>
      <w:adjustRightInd/>
      <w:spacing w:before="120" w:after="240"/>
      <w:ind w:left="187" w:hanging="187"/>
    </w:pPr>
    <w:rPr>
      <w:sz w:val="20"/>
    </w:rPr>
  </w:style>
  <w:style w:type="paragraph" w:customStyle="1" w:styleId="figurewobox">
    <w:name w:val="figure w/o box"/>
    <w:basedOn w:val="Normal"/>
    <w:rsid w:val="0027613D"/>
    <w:pPr>
      <w:keepNext/>
      <w:autoSpaceDE/>
      <w:autoSpaceDN/>
      <w:adjustRightInd/>
      <w:spacing w:before="240"/>
      <w:jc w:val="center"/>
    </w:pPr>
  </w:style>
  <w:style w:type="paragraph" w:styleId="Footer">
    <w:name w:val="footer"/>
    <w:basedOn w:val="Normal"/>
    <w:link w:val="FooterChar"/>
    <w:uiPriority w:val="99"/>
    <w:rsid w:val="0027613D"/>
    <w:pPr>
      <w:tabs>
        <w:tab w:val="center" w:pos="4320"/>
        <w:tab w:val="right" w:pos="8640"/>
      </w:tabs>
      <w:autoSpaceDE/>
      <w:autoSpaceDN/>
      <w:adjustRightInd/>
      <w:jc w:val="right"/>
    </w:pPr>
    <w:rPr>
      <w:color w:val="000000"/>
    </w:rPr>
  </w:style>
  <w:style w:type="character" w:styleId="Strong">
    <w:name w:val="Strong"/>
    <w:qFormat/>
    <w:rsid w:val="0027613D"/>
    <w:rPr>
      <w:b/>
      <w:bCs/>
    </w:rPr>
  </w:style>
  <w:style w:type="paragraph" w:styleId="NormalWeb">
    <w:name w:val="Normal (Web)"/>
    <w:basedOn w:val="Normal"/>
    <w:uiPriority w:val="99"/>
    <w:rsid w:val="0027613D"/>
    <w:pPr>
      <w:autoSpaceDE/>
      <w:autoSpaceDN/>
      <w:adjustRightInd/>
      <w:spacing w:before="100" w:beforeAutospacing="1" w:after="100" w:afterAutospacing="1"/>
    </w:pPr>
    <w:rPr>
      <w:sz w:val="24"/>
      <w:szCs w:val="24"/>
    </w:rPr>
  </w:style>
  <w:style w:type="paragraph" w:customStyle="1" w:styleId="QuestionChar">
    <w:name w:val="Question Char"/>
    <w:basedOn w:val="Normal"/>
    <w:rsid w:val="0027613D"/>
    <w:pPr>
      <w:keepNext/>
      <w:keepLines/>
      <w:numPr>
        <w:numId w:val="5"/>
      </w:numPr>
      <w:spacing w:before="400" w:after="200"/>
    </w:pPr>
    <w:rPr>
      <w:b/>
      <w:bCs/>
      <w:sz w:val="24"/>
      <w:szCs w:val="24"/>
    </w:rPr>
  </w:style>
  <w:style w:type="character" w:styleId="PageNumber">
    <w:name w:val="page number"/>
    <w:basedOn w:val="DefaultParagraphFont"/>
    <w:rsid w:val="0027613D"/>
  </w:style>
  <w:style w:type="character" w:styleId="Hyperlink">
    <w:name w:val="Hyperlink"/>
    <w:uiPriority w:val="99"/>
    <w:rsid w:val="0027613D"/>
    <w:rPr>
      <w:color w:val="0000FF"/>
      <w:u w:val="single"/>
    </w:rPr>
  </w:style>
  <w:style w:type="paragraph" w:styleId="FootnoteText">
    <w:name w:val="footnote text"/>
    <w:basedOn w:val="Normal"/>
    <w:rsid w:val="0027613D"/>
    <w:rPr>
      <w:sz w:val="20"/>
    </w:rPr>
  </w:style>
  <w:style w:type="character" w:styleId="FootnoteReference">
    <w:name w:val="footnote reference"/>
    <w:rsid w:val="0027613D"/>
    <w:rPr>
      <w:position w:val="0"/>
      <w:vertAlign w:val="superscript"/>
    </w:rPr>
  </w:style>
  <w:style w:type="table" w:styleId="TableGrid">
    <w:name w:val="Table Grid"/>
    <w:basedOn w:val="TableNormal"/>
    <w:uiPriority w:val="39"/>
    <w:rsid w:val="0027613D"/>
    <w:tblPr/>
    <w:tblStylePr w:type="firstRow">
      <w:tblPr/>
      <w:tcPr>
        <w:tcBorders>
          <w:top w:val="double" w:sz="6" w:space="0" w:color="auto"/>
          <w:bottom w:val="single" w:sz="6" w:space="0" w:color="auto"/>
        </w:tcBorders>
      </w:tcPr>
    </w:tblStylePr>
    <w:tblStylePr w:type="lastRow">
      <w:tblPr/>
      <w:tcPr>
        <w:tcBorders>
          <w:bottom w:val="double" w:sz="6" w:space="0" w:color="auto"/>
        </w:tcBorders>
      </w:tcPr>
    </w:tblStylePr>
  </w:style>
  <w:style w:type="paragraph" w:styleId="BodyText">
    <w:name w:val="Body Text"/>
    <w:basedOn w:val="Normal"/>
    <w:semiHidden/>
    <w:rsid w:val="0027613D"/>
    <w:pPr>
      <w:widowControl w:val="0"/>
      <w:autoSpaceDE/>
      <w:autoSpaceDN/>
      <w:adjustRightInd/>
      <w:spacing w:after="240"/>
    </w:pPr>
    <w:rPr>
      <w:snapToGrid w:val="0"/>
    </w:rPr>
  </w:style>
  <w:style w:type="character" w:styleId="CommentReference">
    <w:name w:val="annotation reference"/>
    <w:uiPriority w:val="99"/>
    <w:rsid w:val="0027613D"/>
    <w:rPr>
      <w:sz w:val="16"/>
      <w:szCs w:val="16"/>
    </w:rPr>
  </w:style>
  <w:style w:type="paragraph" w:styleId="CommentText">
    <w:name w:val="annotation text"/>
    <w:basedOn w:val="Normal"/>
    <w:link w:val="CommentTextChar"/>
    <w:uiPriority w:val="99"/>
    <w:rsid w:val="0027613D"/>
  </w:style>
  <w:style w:type="paragraph" w:styleId="CommentSubject">
    <w:name w:val="annotation subject"/>
    <w:basedOn w:val="CommentText"/>
    <w:next w:val="CommentText"/>
    <w:semiHidden/>
    <w:rsid w:val="0027613D"/>
    <w:rPr>
      <w:b/>
      <w:bCs/>
    </w:rPr>
  </w:style>
  <w:style w:type="paragraph" w:customStyle="1" w:styleId="ResponseCharCharCharCharCharCharCharCharCharCharCharCharCharCharCharChar">
    <w:name w:val="Response Char Char Char Char Char Char Char Char Char Char Char Char Char Char Char Char"/>
    <w:basedOn w:val="Normal"/>
    <w:rsid w:val="0027613D"/>
    <w:pPr>
      <w:tabs>
        <w:tab w:val="left" w:leader="dot" w:pos="5040"/>
        <w:tab w:val="left" w:leader="dot" w:pos="8352"/>
      </w:tabs>
      <w:autoSpaceDE/>
      <w:autoSpaceDN/>
      <w:adjustRightInd/>
      <w:spacing w:after="80" w:line="240" w:lineRule="exact"/>
      <w:ind w:left="720"/>
    </w:pPr>
    <w:rPr>
      <w:sz w:val="24"/>
      <w:szCs w:val="24"/>
    </w:rPr>
  </w:style>
  <w:style w:type="paragraph" w:styleId="TOC1">
    <w:name w:val="toc 1"/>
    <w:basedOn w:val="Normal"/>
    <w:next w:val="Normal"/>
    <w:uiPriority w:val="39"/>
    <w:rsid w:val="0027613D"/>
    <w:pPr>
      <w:spacing w:before="120" w:after="120"/>
    </w:pPr>
    <w:rPr>
      <w:rFonts w:asciiTheme="minorHAnsi" w:hAnsiTheme="minorHAnsi" w:cstheme="minorHAnsi"/>
      <w:b/>
      <w:bCs/>
      <w:caps/>
      <w:sz w:val="20"/>
      <w:szCs w:val="20"/>
    </w:rPr>
  </w:style>
  <w:style w:type="paragraph" w:styleId="TOC2">
    <w:name w:val="toc 2"/>
    <w:basedOn w:val="Normal"/>
    <w:next w:val="Normal"/>
    <w:uiPriority w:val="39"/>
    <w:rsid w:val="0027613D"/>
    <w:pPr>
      <w:ind w:left="220"/>
    </w:pPr>
    <w:rPr>
      <w:rFonts w:asciiTheme="minorHAnsi" w:hAnsiTheme="minorHAnsi" w:cstheme="minorHAnsi"/>
      <w:smallCaps/>
      <w:sz w:val="20"/>
      <w:szCs w:val="20"/>
    </w:rPr>
  </w:style>
  <w:style w:type="paragraph" w:customStyle="1" w:styleId="TableTitle">
    <w:name w:val="Table Title"/>
    <w:basedOn w:val="ExhibitTitle"/>
    <w:rsid w:val="0083119F"/>
  </w:style>
  <w:style w:type="paragraph" w:customStyle="1" w:styleId="footnotetex">
    <w:name w:val="footnote tex"/>
    <w:basedOn w:val="Normal"/>
    <w:semiHidden/>
    <w:rsid w:val="0027613D"/>
    <w:pPr>
      <w:widowControl w:val="0"/>
      <w:autoSpaceDE/>
      <w:autoSpaceDN/>
      <w:adjustRightInd/>
    </w:pPr>
    <w:rPr>
      <w:rFonts w:ascii="Courier New" w:hAnsi="Courier New"/>
      <w:snapToGrid w:val="0"/>
    </w:rPr>
  </w:style>
  <w:style w:type="paragraph" w:styleId="TOC5">
    <w:name w:val="toc 5"/>
    <w:basedOn w:val="Normal"/>
    <w:next w:val="Normal"/>
    <w:uiPriority w:val="39"/>
    <w:rsid w:val="00367207"/>
    <w:pPr>
      <w:ind w:left="880"/>
    </w:pPr>
    <w:rPr>
      <w:rFonts w:asciiTheme="minorHAnsi" w:hAnsiTheme="minorHAnsi" w:cstheme="minorHAnsi"/>
      <w:sz w:val="18"/>
      <w:szCs w:val="18"/>
    </w:rPr>
  </w:style>
  <w:style w:type="paragraph" w:customStyle="1" w:styleId="Default">
    <w:name w:val="Default"/>
    <w:rsid w:val="0027613D"/>
    <w:pPr>
      <w:widowControl w:val="0"/>
      <w:autoSpaceDE w:val="0"/>
      <w:autoSpaceDN w:val="0"/>
      <w:adjustRightInd w:val="0"/>
    </w:pPr>
    <w:rPr>
      <w:rFonts w:ascii="Melior" w:hAnsi="Melior" w:cs="Melior"/>
      <w:color w:val="000000"/>
      <w:sz w:val="24"/>
      <w:szCs w:val="24"/>
    </w:rPr>
  </w:style>
  <w:style w:type="paragraph" w:customStyle="1" w:styleId="ExhibitTitle">
    <w:name w:val="Exhibit Title"/>
    <w:basedOn w:val="Normal"/>
    <w:rsid w:val="0027613D"/>
    <w:pPr>
      <w:keepNext/>
      <w:keepLines/>
      <w:autoSpaceDE/>
      <w:autoSpaceDN/>
      <w:adjustRightInd/>
      <w:spacing w:before="120" w:after="240"/>
      <w:ind w:left="1260" w:hanging="1260"/>
    </w:pPr>
    <w:rPr>
      <w:b/>
      <w:bCs/>
    </w:rPr>
  </w:style>
  <w:style w:type="paragraph" w:styleId="TOC3">
    <w:name w:val="toc 3"/>
    <w:basedOn w:val="Normal"/>
    <w:next w:val="Normal"/>
    <w:uiPriority w:val="39"/>
    <w:rsid w:val="0027613D"/>
    <w:pPr>
      <w:ind w:left="440"/>
    </w:pPr>
    <w:rPr>
      <w:rFonts w:asciiTheme="minorHAnsi" w:hAnsiTheme="minorHAnsi" w:cstheme="minorHAnsi"/>
      <w:i/>
      <w:iCs/>
      <w:sz w:val="20"/>
      <w:szCs w:val="20"/>
    </w:rPr>
  </w:style>
  <w:style w:type="paragraph" w:styleId="TOC4">
    <w:name w:val="toc 4"/>
    <w:basedOn w:val="Normal"/>
    <w:next w:val="Normal"/>
    <w:uiPriority w:val="39"/>
    <w:rsid w:val="0027613D"/>
    <w:pPr>
      <w:ind w:left="660"/>
    </w:pPr>
    <w:rPr>
      <w:rFonts w:asciiTheme="minorHAnsi" w:hAnsiTheme="minorHAnsi" w:cstheme="minorHAnsi"/>
      <w:sz w:val="18"/>
      <w:szCs w:val="18"/>
    </w:rPr>
  </w:style>
  <w:style w:type="paragraph" w:customStyle="1" w:styleId="TOCHeader">
    <w:name w:val="TOC Header"/>
    <w:basedOn w:val="Normal"/>
    <w:rsid w:val="0027613D"/>
    <w:pPr>
      <w:tabs>
        <w:tab w:val="right" w:pos="9360"/>
      </w:tabs>
      <w:autoSpaceDE/>
      <w:autoSpaceDN/>
      <w:adjustRightInd/>
      <w:spacing w:after="240"/>
    </w:pPr>
    <w:rPr>
      <w:u w:val="words"/>
    </w:rPr>
  </w:style>
  <w:style w:type="paragraph" w:customStyle="1" w:styleId="bullets-blank">
    <w:name w:val="bullets-blank"/>
    <w:basedOn w:val="Normal"/>
    <w:rsid w:val="0027613D"/>
    <w:pPr>
      <w:autoSpaceDE/>
      <w:autoSpaceDN/>
      <w:adjustRightInd/>
      <w:spacing w:after="120"/>
      <w:ind w:left="1080" w:hanging="360"/>
    </w:pPr>
  </w:style>
  <w:style w:type="paragraph" w:styleId="HTMLPreformatted">
    <w:name w:val="HTML Preformatted"/>
    <w:basedOn w:val="Normal"/>
    <w:rsid w:val="00276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rPr>
  </w:style>
  <w:style w:type="paragraph" w:customStyle="1" w:styleId="biblio">
    <w:name w:val="biblio"/>
    <w:basedOn w:val="Normal"/>
    <w:rsid w:val="0027613D"/>
    <w:pPr>
      <w:keepLines/>
      <w:autoSpaceDE/>
      <w:autoSpaceDN/>
      <w:adjustRightInd/>
      <w:spacing w:after="240"/>
      <w:ind w:left="720" w:hanging="720"/>
    </w:pPr>
  </w:style>
  <w:style w:type="paragraph" w:customStyle="1" w:styleId="OMBReferences">
    <w:name w:val="OMB References"/>
    <w:basedOn w:val="Normal"/>
    <w:rsid w:val="0027613D"/>
    <w:pPr>
      <w:autoSpaceDE/>
      <w:autoSpaceDN/>
      <w:adjustRightInd/>
      <w:spacing w:after="240"/>
      <w:ind w:left="720" w:hanging="720"/>
    </w:pPr>
  </w:style>
  <w:style w:type="paragraph" w:customStyle="1" w:styleId="OMBbullets">
    <w:name w:val="OMB bullets"/>
    <w:basedOn w:val="Normal"/>
    <w:rsid w:val="0027613D"/>
    <w:pPr>
      <w:autoSpaceDE/>
      <w:autoSpaceDN/>
      <w:adjustRightInd/>
      <w:spacing w:after="120"/>
      <w:ind w:left="360" w:hanging="360"/>
    </w:pPr>
  </w:style>
  <w:style w:type="paragraph" w:customStyle="1" w:styleId="bullets">
    <w:name w:val="bullets"/>
    <w:basedOn w:val="Normal"/>
    <w:rsid w:val="0027613D"/>
    <w:pPr>
      <w:numPr>
        <w:numId w:val="3"/>
      </w:numPr>
      <w:autoSpaceDE/>
      <w:autoSpaceDN/>
      <w:adjustRightInd/>
      <w:spacing w:after="240"/>
      <w:ind w:left="1080"/>
    </w:pPr>
  </w:style>
  <w:style w:type="paragraph" w:customStyle="1" w:styleId="tabletitle0">
    <w:name w:val="tabletitle"/>
    <w:basedOn w:val="Normal"/>
    <w:rsid w:val="0027613D"/>
    <w:pPr>
      <w:autoSpaceDE/>
      <w:autoSpaceDN/>
      <w:adjustRightInd/>
      <w:spacing w:before="100" w:beforeAutospacing="1" w:after="100" w:afterAutospacing="1"/>
    </w:pPr>
    <w:rPr>
      <w:szCs w:val="24"/>
    </w:rPr>
  </w:style>
  <w:style w:type="paragraph" w:customStyle="1" w:styleId="sidebar">
    <w:name w:val="sidebar"/>
    <w:basedOn w:val="Normal"/>
    <w:rsid w:val="0027613D"/>
    <w:pPr>
      <w:framePr w:w="2520" w:hSpace="180" w:vSpace="180" w:wrap="auto" w:hAnchor="page" w:x="1441"/>
      <w:pBdr>
        <w:top w:val="single" w:sz="6" w:space="6" w:color="auto" w:shadow="1"/>
        <w:left w:val="single" w:sz="6" w:space="6" w:color="auto" w:shadow="1"/>
        <w:bottom w:val="single" w:sz="6" w:space="6" w:color="auto" w:shadow="1"/>
        <w:right w:val="single" w:sz="6" w:space="6" w:color="auto" w:shadow="1"/>
      </w:pBdr>
      <w:shd w:val="pct5" w:color="auto" w:fill="auto"/>
      <w:autoSpaceDE/>
      <w:autoSpaceDN/>
      <w:adjustRightInd/>
      <w:spacing w:before="120" w:line="240" w:lineRule="exact"/>
      <w:ind w:left="180" w:right="180"/>
    </w:pPr>
    <w:rPr>
      <w:rFonts w:ascii="Verdana" w:eastAsia="MS Mincho" w:hAnsi="Verdana"/>
      <w:sz w:val="18"/>
    </w:rPr>
  </w:style>
  <w:style w:type="paragraph" w:styleId="Index7">
    <w:name w:val="index 7"/>
    <w:basedOn w:val="Normal"/>
    <w:next w:val="Normal"/>
    <w:autoRedefine/>
    <w:semiHidden/>
    <w:rsid w:val="0027613D"/>
    <w:pPr>
      <w:autoSpaceDE/>
      <w:autoSpaceDN/>
      <w:adjustRightInd/>
      <w:ind w:left="1540" w:hanging="220"/>
    </w:pPr>
    <w:rPr>
      <w:rFonts w:ascii="Verdana" w:eastAsia="MS Mincho" w:hAnsi="Verdana"/>
      <w:sz w:val="20"/>
    </w:rPr>
  </w:style>
  <w:style w:type="paragraph" w:customStyle="1" w:styleId="bullets-2ndlevel">
    <w:name w:val="bullets-2nd level"/>
    <w:basedOn w:val="bullets"/>
    <w:rsid w:val="0027613D"/>
    <w:pPr>
      <w:spacing w:after="120" w:line="240" w:lineRule="exact"/>
      <w:ind w:left="1440"/>
    </w:pPr>
  </w:style>
  <w:style w:type="paragraph" w:customStyle="1" w:styleId="bullets-3rdlevel">
    <w:name w:val="bullets-3rd level"/>
    <w:basedOn w:val="Normal"/>
    <w:rsid w:val="0027613D"/>
    <w:pPr>
      <w:autoSpaceDE/>
      <w:autoSpaceDN/>
      <w:adjustRightInd/>
      <w:spacing w:after="120"/>
      <w:ind w:left="1440" w:hanging="360"/>
    </w:pPr>
    <w:rPr>
      <w:rFonts w:ascii="Verdana" w:eastAsia="MS Mincho" w:hAnsi="Verdana"/>
      <w:sz w:val="20"/>
    </w:rPr>
  </w:style>
  <w:style w:type="paragraph" w:styleId="E-mailSignature">
    <w:name w:val="E-mail Signature"/>
    <w:basedOn w:val="Normal"/>
    <w:rsid w:val="0027613D"/>
    <w:pPr>
      <w:autoSpaceDE/>
      <w:autoSpaceDN/>
      <w:adjustRightInd/>
    </w:pPr>
    <w:rPr>
      <w:szCs w:val="24"/>
    </w:rPr>
  </w:style>
  <w:style w:type="paragraph" w:customStyle="1" w:styleId="Tabletext">
    <w:name w:val="Table text"/>
    <w:basedOn w:val="Normal"/>
    <w:rsid w:val="0027613D"/>
    <w:pPr>
      <w:keepNext/>
      <w:autoSpaceDE/>
      <w:autoSpaceDN/>
      <w:adjustRightInd/>
    </w:pPr>
  </w:style>
  <w:style w:type="paragraph" w:customStyle="1" w:styleId="Tableheading">
    <w:name w:val="Table heading"/>
    <w:rsid w:val="00D53133"/>
    <w:rPr>
      <w:b/>
      <w:noProof/>
    </w:rPr>
  </w:style>
  <w:style w:type="paragraph" w:customStyle="1" w:styleId="AppHeading1">
    <w:name w:val="App Heading 1"/>
    <w:basedOn w:val="Heading1"/>
    <w:rsid w:val="0027613D"/>
  </w:style>
  <w:style w:type="paragraph" w:styleId="Index1">
    <w:name w:val="index 1"/>
    <w:basedOn w:val="Normal"/>
    <w:next w:val="Normal"/>
    <w:autoRedefine/>
    <w:semiHidden/>
    <w:rsid w:val="0027613D"/>
    <w:pPr>
      <w:ind w:left="220" w:hanging="220"/>
    </w:pPr>
  </w:style>
  <w:style w:type="character" w:styleId="FollowedHyperlink">
    <w:name w:val="FollowedHyperlink"/>
    <w:rsid w:val="0027613D"/>
    <w:rPr>
      <w:color w:val="800080"/>
      <w:u w:val="single"/>
    </w:rPr>
  </w:style>
  <w:style w:type="paragraph" w:customStyle="1" w:styleId="bodytextpsg">
    <w:name w:val="body text_psg"/>
    <w:basedOn w:val="Normal"/>
    <w:link w:val="bodytextpsgCharChar"/>
    <w:rsid w:val="0027613D"/>
    <w:pPr>
      <w:autoSpaceDE/>
      <w:autoSpaceDN/>
      <w:adjustRightInd/>
      <w:spacing w:after="160" w:line="320" w:lineRule="exact"/>
      <w:ind w:firstLine="720"/>
    </w:pPr>
    <w:rPr>
      <w:rFonts w:eastAsia="MS Mincho"/>
      <w:sz w:val="24"/>
      <w:szCs w:val="24"/>
    </w:rPr>
  </w:style>
  <w:style w:type="character" w:customStyle="1" w:styleId="bodytextpsgCharChar">
    <w:name w:val="body text_psg Char Char"/>
    <w:link w:val="bodytextpsg"/>
    <w:rsid w:val="0027613D"/>
    <w:rPr>
      <w:rFonts w:eastAsia="MS Mincho"/>
      <w:sz w:val="24"/>
      <w:szCs w:val="24"/>
      <w:lang w:val="en-US" w:eastAsia="en-US" w:bidi="ar-SA"/>
    </w:rPr>
  </w:style>
  <w:style w:type="paragraph" w:customStyle="1" w:styleId="CharCharCharCharCharCharCharCharChar">
    <w:name w:val="Char Char Char Char Char Char Char Char Char"/>
    <w:basedOn w:val="Normal"/>
    <w:rsid w:val="0027613D"/>
    <w:pPr>
      <w:autoSpaceDE/>
      <w:autoSpaceDN/>
      <w:adjustRightInd/>
      <w:spacing w:before="80" w:after="80"/>
      <w:ind w:left="4320"/>
      <w:jc w:val="both"/>
    </w:pPr>
    <w:rPr>
      <w:rFonts w:ascii="Arial" w:hAnsi="Arial"/>
      <w:sz w:val="24"/>
      <w:szCs w:val="24"/>
    </w:rPr>
  </w:style>
  <w:style w:type="paragraph" w:styleId="BlockText">
    <w:name w:val="Block Text"/>
    <w:basedOn w:val="Normal"/>
    <w:rsid w:val="0027613D"/>
    <w:pPr>
      <w:autoSpaceDE/>
      <w:autoSpaceDN/>
      <w:adjustRightInd/>
      <w:spacing w:after="120"/>
      <w:ind w:left="1440" w:right="1440"/>
    </w:pPr>
    <w:rPr>
      <w:sz w:val="24"/>
      <w:szCs w:val="24"/>
    </w:rPr>
  </w:style>
  <w:style w:type="paragraph" w:styleId="BodyText2">
    <w:name w:val="Body Text 2"/>
    <w:basedOn w:val="Normal"/>
    <w:rsid w:val="0027613D"/>
    <w:pPr>
      <w:autoSpaceDE/>
      <w:autoSpaceDN/>
      <w:adjustRightInd/>
      <w:spacing w:after="120" w:line="480" w:lineRule="auto"/>
    </w:pPr>
    <w:rPr>
      <w:sz w:val="24"/>
      <w:szCs w:val="24"/>
    </w:rPr>
  </w:style>
  <w:style w:type="paragraph" w:styleId="BodyText3">
    <w:name w:val="Body Text 3"/>
    <w:basedOn w:val="Normal"/>
    <w:rsid w:val="0027613D"/>
    <w:pPr>
      <w:autoSpaceDE/>
      <w:autoSpaceDN/>
      <w:adjustRightInd/>
      <w:spacing w:after="120"/>
    </w:pPr>
    <w:rPr>
      <w:sz w:val="16"/>
      <w:szCs w:val="16"/>
    </w:rPr>
  </w:style>
  <w:style w:type="paragraph" w:styleId="BodyTextFirstIndent">
    <w:name w:val="Body Text First Indent"/>
    <w:basedOn w:val="BodyText"/>
    <w:rsid w:val="0027613D"/>
    <w:pPr>
      <w:widowControl/>
      <w:spacing w:after="120"/>
      <w:ind w:firstLine="210"/>
    </w:pPr>
    <w:rPr>
      <w:snapToGrid/>
      <w:sz w:val="24"/>
      <w:szCs w:val="24"/>
    </w:rPr>
  </w:style>
  <w:style w:type="paragraph" w:styleId="BodyTextIndent">
    <w:name w:val="Body Text Indent"/>
    <w:basedOn w:val="Normal"/>
    <w:rsid w:val="0027613D"/>
    <w:pPr>
      <w:autoSpaceDE/>
      <w:autoSpaceDN/>
      <w:adjustRightInd/>
      <w:spacing w:after="120"/>
      <w:ind w:left="360"/>
    </w:pPr>
    <w:rPr>
      <w:sz w:val="24"/>
      <w:szCs w:val="24"/>
    </w:rPr>
  </w:style>
  <w:style w:type="paragraph" w:styleId="BodyTextFirstIndent2">
    <w:name w:val="Body Text First Indent 2"/>
    <w:basedOn w:val="BodyTextIndent"/>
    <w:rsid w:val="0027613D"/>
    <w:pPr>
      <w:ind w:firstLine="210"/>
    </w:pPr>
  </w:style>
  <w:style w:type="paragraph" w:styleId="BodyTextIndent2">
    <w:name w:val="Body Text Indent 2"/>
    <w:basedOn w:val="Normal"/>
    <w:rsid w:val="0027613D"/>
    <w:pPr>
      <w:autoSpaceDE/>
      <w:autoSpaceDN/>
      <w:adjustRightInd/>
      <w:spacing w:after="120" w:line="480" w:lineRule="auto"/>
      <w:ind w:left="360"/>
    </w:pPr>
    <w:rPr>
      <w:sz w:val="24"/>
      <w:szCs w:val="24"/>
    </w:rPr>
  </w:style>
  <w:style w:type="paragraph" w:styleId="BodyTextIndent3">
    <w:name w:val="Body Text Indent 3"/>
    <w:basedOn w:val="Normal"/>
    <w:rsid w:val="0027613D"/>
    <w:pPr>
      <w:autoSpaceDE/>
      <w:autoSpaceDN/>
      <w:adjustRightInd/>
      <w:spacing w:after="120"/>
      <w:ind w:left="360"/>
    </w:pPr>
    <w:rPr>
      <w:sz w:val="16"/>
      <w:szCs w:val="16"/>
    </w:rPr>
  </w:style>
  <w:style w:type="paragraph" w:styleId="Caption">
    <w:name w:val="caption"/>
    <w:basedOn w:val="Normal"/>
    <w:next w:val="Normal"/>
    <w:qFormat/>
    <w:rsid w:val="0027613D"/>
    <w:pPr>
      <w:autoSpaceDE/>
      <w:autoSpaceDN/>
      <w:adjustRightInd/>
    </w:pPr>
    <w:rPr>
      <w:b/>
      <w:bCs/>
      <w:sz w:val="20"/>
    </w:rPr>
  </w:style>
  <w:style w:type="paragraph" w:styleId="Closing">
    <w:name w:val="Closing"/>
    <w:basedOn w:val="Normal"/>
    <w:rsid w:val="0027613D"/>
    <w:pPr>
      <w:autoSpaceDE/>
      <w:autoSpaceDN/>
      <w:adjustRightInd/>
      <w:ind w:left="4320"/>
    </w:pPr>
    <w:rPr>
      <w:sz w:val="24"/>
      <w:szCs w:val="24"/>
    </w:rPr>
  </w:style>
  <w:style w:type="paragraph" w:styleId="Date">
    <w:name w:val="Date"/>
    <w:basedOn w:val="Normal"/>
    <w:next w:val="Normal"/>
    <w:rsid w:val="0027613D"/>
    <w:pPr>
      <w:autoSpaceDE/>
      <w:autoSpaceDN/>
      <w:adjustRightInd/>
    </w:pPr>
    <w:rPr>
      <w:sz w:val="24"/>
      <w:szCs w:val="24"/>
    </w:rPr>
  </w:style>
  <w:style w:type="paragraph" w:styleId="DocumentMap">
    <w:name w:val="Document Map"/>
    <w:basedOn w:val="Normal"/>
    <w:semiHidden/>
    <w:rsid w:val="0027613D"/>
    <w:pPr>
      <w:shd w:val="clear" w:color="auto" w:fill="000080"/>
      <w:autoSpaceDE/>
      <w:autoSpaceDN/>
      <w:adjustRightInd/>
    </w:pPr>
    <w:rPr>
      <w:rFonts w:ascii="Tahoma" w:hAnsi="Tahoma" w:cs="Tahoma"/>
      <w:sz w:val="20"/>
    </w:rPr>
  </w:style>
  <w:style w:type="paragraph" w:styleId="EndnoteText">
    <w:name w:val="endnote text"/>
    <w:basedOn w:val="Normal"/>
    <w:semiHidden/>
    <w:rsid w:val="0027613D"/>
    <w:pPr>
      <w:autoSpaceDE/>
      <w:autoSpaceDN/>
      <w:adjustRightInd/>
    </w:pPr>
    <w:rPr>
      <w:sz w:val="20"/>
    </w:rPr>
  </w:style>
  <w:style w:type="paragraph" w:styleId="EnvelopeAddress">
    <w:name w:val="envelope address"/>
    <w:basedOn w:val="Normal"/>
    <w:rsid w:val="0027613D"/>
    <w:pPr>
      <w:framePr w:w="7920" w:h="1980" w:hRule="exact" w:hSpace="180" w:wrap="auto" w:hAnchor="page" w:xAlign="center" w:yAlign="bottom"/>
      <w:autoSpaceDE/>
      <w:autoSpaceDN/>
      <w:adjustRightInd/>
      <w:ind w:left="2880"/>
    </w:pPr>
    <w:rPr>
      <w:rFonts w:ascii="Arial" w:hAnsi="Arial" w:cs="Arial"/>
      <w:sz w:val="24"/>
      <w:szCs w:val="24"/>
    </w:rPr>
  </w:style>
  <w:style w:type="paragraph" w:styleId="EnvelopeReturn">
    <w:name w:val="envelope return"/>
    <w:basedOn w:val="Normal"/>
    <w:rsid w:val="0027613D"/>
    <w:pPr>
      <w:autoSpaceDE/>
      <w:autoSpaceDN/>
      <w:adjustRightInd/>
    </w:pPr>
    <w:rPr>
      <w:rFonts w:ascii="Arial" w:hAnsi="Arial" w:cs="Arial"/>
      <w:sz w:val="20"/>
    </w:rPr>
  </w:style>
  <w:style w:type="paragraph" w:styleId="HTMLAddress">
    <w:name w:val="HTML Address"/>
    <w:basedOn w:val="Normal"/>
    <w:rsid w:val="0027613D"/>
    <w:pPr>
      <w:autoSpaceDE/>
      <w:autoSpaceDN/>
      <w:adjustRightInd/>
    </w:pPr>
    <w:rPr>
      <w:i/>
      <w:iCs/>
      <w:sz w:val="24"/>
      <w:szCs w:val="24"/>
    </w:rPr>
  </w:style>
  <w:style w:type="paragraph" w:styleId="Index2">
    <w:name w:val="index 2"/>
    <w:basedOn w:val="Normal"/>
    <w:next w:val="Normal"/>
    <w:autoRedefine/>
    <w:semiHidden/>
    <w:rsid w:val="0027613D"/>
    <w:pPr>
      <w:autoSpaceDE/>
      <w:autoSpaceDN/>
      <w:adjustRightInd/>
      <w:ind w:left="480" w:hanging="240"/>
    </w:pPr>
    <w:rPr>
      <w:sz w:val="24"/>
      <w:szCs w:val="24"/>
    </w:rPr>
  </w:style>
  <w:style w:type="paragraph" w:styleId="Index3">
    <w:name w:val="index 3"/>
    <w:basedOn w:val="Normal"/>
    <w:next w:val="Normal"/>
    <w:autoRedefine/>
    <w:semiHidden/>
    <w:rsid w:val="0027613D"/>
    <w:pPr>
      <w:autoSpaceDE/>
      <w:autoSpaceDN/>
      <w:adjustRightInd/>
      <w:ind w:left="720" w:hanging="240"/>
    </w:pPr>
    <w:rPr>
      <w:sz w:val="24"/>
      <w:szCs w:val="24"/>
    </w:rPr>
  </w:style>
  <w:style w:type="paragraph" w:styleId="Index4">
    <w:name w:val="index 4"/>
    <w:basedOn w:val="Normal"/>
    <w:next w:val="Normal"/>
    <w:autoRedefine/>
    <w:semiHidden/>
    <w:rsid w:val="0027613D"/>
    <w:pPr>
      <w:autoSpaceDE/>
      <w:autoSpaceDN/>
      <w:adjustRightInd/>
      <w:ind w:left="960" w:hanging="240"/>
    </w:pPr>
    <w:rPr>
      <w:sz w:val="24"/>
      <w:szCs w:val="24"/>
    </w:rPr>
  </w:style>
  <w:style w:type="paragraph" w:styleId="Index5">
    <w:name w:val="index 5"/>
    <w:basedOn w:val="Normal"/>
    <w:next w:val="Normal"/>
    <w:autoRedefine/>
    <w:semiHidden/>
    <w:rsid w:val="0027613D"/>
    <w:pPr>
      <w:autoSpaceDE/>
      <w:autoSpaceDN/>
      <w:adjustRightInd/>
      <w:ind w:left="1200" w:hanging="240"/>
    </w:pPr>
    <w:rPr>
      <w:sz w:val="24"/>
      <w:szCs w:val="24"/>
    </w:rPr>
  </w:style>
  <w:style w:type="paragraph" w:styleId="Index6">
    <w:name w:val="index 6"/>
    <w:basedOn w:val="Normal"/>
    <w:next w:val="Normal"/>
    <w:autoRedefine/>
    <w:semiHidden/>
    <w:rsid w:val="0027613D"/>
    <w:pPr>
      <w:autoSpaceDE/>
      <w:autoSpaceDN/>
      <w:adjustRightInd/>
      <w:ind w:left="1440" w:hanging="240"/>
    </w:pPr>
    <w:rPr>
      <w:sz w:val="24"/>
      <w:szCs w:val="24"/>
    </w:rPr>
  </w:style>
  <w:style w:type="paragraph" w:styleId="Index8">
    <w:name w:val="index 8"/>
    <w:basedOn w:val="Normal"/>
    <w:next w:val="Normal"/>
    <w:autoRedefine/>
    <w:semiHidden/>
    <w:rsid w:val="0027613D"/>
    <w:pPr>
      <w:autoSpaceDE/>
      <w:autoSpaceDN/>
      <w:adjustRightInd/>
      <w:ind w:left="1920" w:hanging="240"/>
    </w:pPr>
    <w:rPr>
      <w:sz w:val="24"/>
      <w:szCs w:val="24"/>
    </w:rPr>
  </w:style>
  <w:style w:type="paragraph" w:styleId="Index9">
    <w:name w:val="index 9"/>
    <w:basedOn w:val="Normal"/>
    <w:next w:val="Normal"/>
    <w:autoRedefine/>
    <w:semiHidden/>
    <w:rsid w:val="0027613D"/>
    <w:pPr>
      <w:autoSpaceDE/>
      <w:autoSpaceDN/>
      <w:adjustRightInd/>
      <w:ind w:left="2160" w:hanging="240"/>
    </w:pPr>
    <w:rPr>
      <w:sz w:val="24"/>
      <w:szCs w:val="24"/>
    </w:rPr>
  </w:style>
  <w:style w:type="paragraph" w:styleId="IndexHeading">
    <w:name w:val="index heading"/>
    <w:basedOn w:val="Normal"/>
    <w:next w:val="Index1"/>
    <w:semiHidden/>
    <w:rsid w:val="0027613D"/>
    <w:pPr>
      <w:autoSpaceDE/>
      <w:autoSpaceDN/>
      <w:adjustRightInd/>
    </w:pPr>
    <w:rPr>
      <w:rFonts w:ascii="Arial" w:hAnsi="Arial" w:cs="Arial"/>
      <w:b/>
      <w:bCs/>
      <w:sz w:val="24"/>
      <w:szCs w:val="24"/>
    </w:rPr>
  </w:style>
  <w:style w:type="paragraph" w:styleId="List">
    <w:name w:val="List"/>
    <w:basedOn w:val="Normal"/>
    <w:rsid w:val="0027613D"/>
    <w:pPr>
      <w:autoSpaceDE/>
      <w:autoSpaceDN/>
      <w:adjustRightInd/>
      <w:ind w:left="360" w:hanging="360"/>
    </w:pPr>
    <w:rPr>
      <w:sz w:val="24"/>
      <w:szCs w:val="24"/>
    </w:rPr>
  </w:style>
  <w:style w:type="paragraph" w:styleId="List2">
    <w:name w:val="List 2"/>
    <w:basedOn w:val="Normal"/>
    <w:rsid w:val="0027613D"/>
    <w:pPr>
      <w:autoSpaceDE/>
      <w:autoSpaceDN/>
      <w:adjustRightInd/>
      <w:ind w:left="720" w:hanging="360"/>
    </w:pPr>
    <w:rPr>
      <w:sz w:val="24"/>
      <w:szCs w:val="24"/>
    </w:rPr>
  </w:style>
  <w:style w:type="paragraph" w:styleId="List3">
    <w:name w:val="List 3"/>
    <w:basedOn w:val="Normal"/>
    <w:rsid w:val="0027613D"/>
    <w:pPr>
      <w:autoSpaceDE/>
      <w:autoSpaceDN/>
      <w:adjustRightInd/>
      <w:ind w:left="1080" w:hanging="360"/>
    </w:pPr>
    <w:rPr>
      <w:sz w:val="24"/>
      <w:szCs w:val="24"/>
    </w:rPr>
  </w:style>
  <w:style w:type="paragraph" w:styleId="List4">
    <w:name w:val="List 4"/>
    <w:basedOn w:val="Normal"/>
    <w:rsid w:val="0027613D"/>
    <w:pPr>
      <w:autoSpaceDE/>
      <w:autoSpaceDN/>
      <w:adjustRightInd/>
      <w:ind w:left="1440" w:hanging="360"/>
    </w:pPr>
    <w:rPr>
      <w:sz w:val="24"/>
      <w:szCs w:val="24"/>
    </w:rPr>
  </w:style>
  <w:style w:type="paragraph" w:styleId="List5">
    <w:name w:val="List 5"/>
    <w:basedOn w:val="Normal"/>
    <w:rsid w:val="0027613D"/>
    <w:pPr>
      <w:autoSpaceDE/>
      <w:autoSpaceDN/>
      <w:adjustRightInd/>
      <w:ind w:left="1800" w:hanging="360"/>
    </w:pPr>
    <w:rPr>
      <w:sz w:val="24"/>
      <w:szCs w:val="24"/>
    </w:rPr>
  </w:style>
  <w:style w:type="paragraph" w:styleId="ListBullet">
    <w:name w:val="List Bullet"/>
    <w:basedOn w:val="Normal"/>
    <w:rsid w:val="0027613D"/>
    <w:pPr>
      <w:tabs>
        <w:tab w:val="num" w:pos="720"/>
      </w:tabs>
      <w:autoSpaceDE/>
      <w:autoSpaceDN/>
      <w:adjustRightInd/>
      <w:ind w:left="720" w:hanging="720"/>
    </w:pPr>
    <w:rPr>
      <w:sz w:val="24"/>
      <w:szCs w:val="24"/>
    </w:rPr>
  </w:style>
  <w:style w:type="paragraph" w:styleId="ListBullet2">
    <w:name w:val="List Bullet 2"/>
    <w:basedOn w:val="Normal"/>
    <w:rsid w:val="0027613D"/>
    <w:pPr>
      <w:tabs>
        <w:tab w:val="num" w:pos="720"/>
      </w:tabs>
      <w:autoSpaceDE/>
      <w:autoSpaceDN/>
      <w:adjustRightInd/>
      <w:ind w:left="720" w:hanging="720"/>
    </w:pPr>
    <w:rPr>
      <w:sz w:val="24"/>
      <w:szCs w:val="24"/>
    </w:rPr>
  </w:style>
  <w:style w:type="paragraph" w:styleId="ListBullet3">
    <w:name w:val="List Bullet 3"/>
    <w:basedOn w:val="Normal"/>
    <w:rsid w:val="0027613D"/>
    <w:pPr>
      <w:tabs>
        <w:tab w:val="num" w:pos="720"/>
      </w:tabs>
      <w:autoSpaceDE/>
      <w:autoSpaceDN/>
      <w:adjustRightInd/>
      <w:ind w:left="720" w:hanging="720"/>
    </w:pPr>
    <w:rPr>
      <w:sz w:val="24"/>
      <w:szCs w:val="24"/>
    </w:rPr>
  </w:style>
  <w:style w:type="paragraph" w:styleId="ListBullet4">
    <w:name w:val="List Bullet 4"/>
    <w:basedOn w:val="Normal"/>
    <w:rsid w:val="0027613D"/>
    <w:pPr>
      <w:tabs>
        <w:tab w:val="num" w:pos="720"/>
      </w:tabs>
      <w:autoSpaceDE/>
      <w:autoSpaceDN/>
      <w:adjustRightInd/>
      <w:ind w:left="720" w:hanging="720"/>
    </w:pPr>
    <w:rPr>
      <w:sz w:val="24"/>
      <w:szCs w:val="24"/>
    </w:rPr>
  </w:style>
  <w:style w:type="paragraph" w:styleId="ListBullet5">
    <w:name w:val="List Bullet 5"/>
    <w:basedOn w:val="Normal"/>
    <w:rsid w:val="0027613D"/>
    <w:pPr>
      <w:tabs>
        <w:tab w:val="num" w:pos="720"/>
      </w:tabs>
      <w:autoSpaceDE/>
      <w:autoSpaceDN/>
      <w:adjustRightInd/>
      <w:ind w:left="720" w:hanging="720"/>
    </w:pPr>
    <w:rPr>
      <w:sz w:val="24"/>
      <w:szCs w:val="24"/>
    </w:rPr>
  </w:style>
  <w:style w:type="paragraph" w:styleId="ListContinue">
    <w:name w:val="List Continue"/>
    <w:basedOn w:val="Normal"/>
    <w:rsid w:val="0027613D"/>
    <w:pPr>
      <w:autoSpaceDE/>
      <w:autoSpaceDN/>
      <w:adjustRightInd/>
      <w:spacing w:after="120"/>
      <w:ind w:left="360"/>
    </w:pPr>
    <w:rPr>
      <w:sz w:val="24"/>
      <w:szCs w:val="24"/>
    </w:rPr>
  </w:style>
  <w:style w:type="paragraph" w:styleId="ListContinue2">
    <w:name w:val="List Continue 2"/>
    <w:basedOn w:val="Normal"/>
    <w:rsid w:val="0027613D"/>
    <w:pPr>
      <w:autoSpaceDE/>
      <w:autoSpaceDN/>
      <w:adjustRightInd/>
      <w:spacing w:after="120"/>
      <w:ind w:left="720"/>
    </w:pPr>
    <w:rPr>
      <w:sz w:val="24"/>
      <w:szCs w:val="24"/>
    </w:rPr>
  </w:style>
  <w:style w:type="paragraph" w:styleId="ListContinue3">
    <w:name w:val="List Continue 3"/>
    <w:basedOn w:val="Normal"/>
    <w:rsid w:val="0027613D"/>
    <w:pPr>
      <w:autoSpaceDE/>
      <w:autoSpaceDN/>
      <w:adjustRightInd/>
      <w:spacing w:after="120"/>
      <w:ind w:left="1080"/>
    </w:pPr>
    <w:rPr>
      <w:sz w:val="24"/>
      <w:szCs w:val="24"/>
    </w:rPr>
  </w:style>
  <w:style w:type="paragraph" w:styleId="ListContinue4">
    <w:name w:val="List Continue 4"/>
    <w:basedOn w:val="Normal"/>
    <w:rsid w:val="0027613D"/>
    <w:pPr>
      <w:autoSpaceDE/>
      <w:autoSpaceDN/>
      <w:adjustRightInd/>
      <w:spacing w:after="120"/>
      <w:ind w:left="1440"/>
    </w:pPr>
    <w:rPr>
      <w:sz w:val="24"/>
      <w:szCs w:val="24"/>
    </w:rPr>
  </w:style>
  <w:style w:type="paragraph" w:styleId="ListContinue5">
    <w:name w:val="List Continue 5"/>
    <w:basedOn w:val="Normal"/>
    <w:rsid w:val="0027613D"/>
    <w:pPr>
      <w:autoSpaceDE/>
      <w:autoSpaceDN/>
      <w:adjustRightInd/>
      <w:spacing w:after="120"/>
      <w:ind w:left="1800"/>
    </w:pPr>
    <w:rPr>
      <w:sz w:val="24"/>
      <w:szCs w:val="24"/>
    </w:rPr>
  </w:style>
  <w:style w:type="paragraph" w:styleId="ListNumber">
    <w:name w:val="List Number"/>
    <w:basedOn w:val="Normal"/>
    <w:rsid w:val="0027613D"/>
    <w:pPr>
      <w:tabs>
        <w:tab w:val="num" w:pos="720"/>
      </w:tabs>
      <w:autoSpaceDE/>
      <w:autoSpaceDN/>
      <w:adjustRightInd/>
      <w:ind w:left="720" w:hanging="720"/>
    </w:pPr>
    <w:rPr>
      <w:sz w:val="24"/>
      <w:szCs w:val="24"/>
    </w:rPr>
  </w:style>
  <w:style w:type="paragraph" w:styleId="ListNumber2">
    <w:name w:val="List Number 2"/>
    <w:basedOn w:val="Normal"/>
    <w:rsid w:val="0027613D"/>
    <w:pPr>
      <w:tabs>
        <w:tab w:val="num" w:pos="720"/>
      </w:tabs>
      <w:autoSpaceDE/>
      <w:autoSpaceDN/>
      <w:adjustRightInd/>
      <w:ind w:left="720" w:hanging="720"/>
    </w:pPr>
    <w:rPr>
      <w:sz w:val="24"/>
      <w:szCs w:val="24"/>
    </w:rPr>
  </w:style>
  <w:style w:type="paragraph" w:styleId="ListNumber3">
    <w:name w:val="List Number 3"/>
    <w:basedOn w:val="Normal"/>
    <w:rsid w:val="0027613D"/>
    <w:pPr>
      <w:tabs>
        <w:tab w:val="num" w:pos="720"/>
      </w:tabs>
      <w:autoSpaceDE/>
      <w:autoSpaceDN/>
      <w:adjustRightInd/>
      <w:ind w:left="720" w:hanging="720"/>
    </w:pPr>
    <w:rPr>
      <w:sz w:val="24"/>
      <w:szCs w:val="24"/>
    </w:rPr>
  </w:style>
  <w:style w:type="paragraph" w:styleId="ListNumber4">
    <w:name w:val="List Number 4"/>
    <w:basedOn w:val="Normal"/>
    <w:rsid w:val="0027613D"/>
    <w:pPr>
      <w:tabs>
        <w:tab w:val="num" w:pos="720"/>
      </w:tabs>
      <w:autoSpaceDE/>
      <w:autoSpaceDN/>
      <w:adjustRightInd/>
      <w:ind w:left="720" w:hanging="720"/>
    </w:pPr>
    <w:rPr>
      <w:sz w:val="24"/>
      <w:szCs w:val="24"/>
    </w:rPr>
  </w:style>
  <w:style w:type="paragraph" w:styleId="ListNumber5">
    <w:name w:val="List Number 5"/>
    <w:basedOn w:val="Normal"/>
    <w:rsid w:val="0027613D"/>
    <w:pPr>
      <w:tabs>
        <w:tab w:val="num" w:pos="720"/>
      </w:tabs>
      <w:autoSpaceDE/>
      <w:autoSpaceDN/>
      <w:adjustRightInd/>
      <w:ind w:left="720" w:hanging="720"/>
    </w:pPr>
    <w:rPr>
      <w:sz w:val="24"/>
      <w:szCs w:val="24"/>
    </w:rPr>
  </w:style>
  <w:style w:type="paragraph" w:styleId="Macro">
    <w:name w:val="macro"/>
    <w:semiHidden/>
    <w:rsid w:val="0027613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27613D"/>
    <w:pPr>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paragraph" w:styleId="NormalIndent">
    <w:name w:val="Normal Indent"/>
    <w:basedOn w:val="Normal"/>
    <w:rsid w:val="0027613D"/>
    <w:pPr>
      <w:autoSpaceDE/>
      <w:autoSpaceDN/>
      <w:adjustRightInd/>
      <w:ind w:left="720"/>
    </w:pPr>
    <w:rPr>
      <w:sz w:val="24"/>
      <w:szCs w:val="24"/>
    </w:rPr>
  </w:style>
  <w:style w:type="paragraph" w:styleId="NoteHeading">
    <w:name w:val="Note Heading"/>
    <w:basedOn w:val="Normal"/>
    <w:next w:val="Normal"/>
    <w:rsid w:val="0027613D"/>
    <w:pPr>
      <w:autoSpaceDE/>
      <w:autoSpaceDN/>
      <w:adjustRightInd/>
    </w:pPr>
    <w:rPr>
      <w:sz w:val="24"/>
      <w:szCs w:val="24"/>
    </w:rPr>
  </w:style>
  <w:style w:type="paragraph" w:styleId="PlainText">
    <w:name w:val="Plain Text"/>
    <w:basedOn w:val="Normal"/>
    <w:rsid w:val="0027613D"/>
    <w:pPr>
      <w:autoSpaceDE/>
      <w:autoSpaceDN/>
      <w:adjustRightInd/>
    </w:pPr>
    <w:rPr>
      <w:rFonts w:ascii="Courier New" w:hAnsi="Courier New" w:cs="Courier New"/>
      <w:sz w:val="20"/>
    </w:rPr>
  </w:style>
  <w:style w:type="paragraph" w:styleId="Salutation">
    <w:name w:val="Salutation"/>
    <w:basedOn w:val="Normal"/>
    <w:next w:val="Normal"/>
    <w:rsid w:val="0027613D"/>
    <w:pPr>
      <w:autoSpaceDE/>
      <w:autoSpaceDN/>
      <w:adjustRightInd/>
    </w:pPr>
    <w:rPr>
      <w:sz w:val="24"/>
      <w:szCs w:val="24"/>
    </w:rPr>
  </w:style>
  <w:style w:type="paragraph" w:styleId="Signature">
    <w:name w:val="Signature"/>
    <w:basedOn w:val="Normal"/>
    <w:rsid w:val="0027613D"/>
    <w:pPr>
      <w:autoSpaceDE/>
      <w:autoSpaceDN/>
      <w:adjustRightInd/>
      <w:ind w:left="4320"/>
    </w:pPr>
    <w:rPr>
      <w:sz w:val="24"/>
      <w:szCs w:val="24"/>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paragraph" w:styleId="TableofAuthorities">
    <w:name w:val="table of authorities"/>
    <w:basedOn w:val="Normal"/>
    <w:next w:val="Normal"/>
    <w:semiHidden/>
    <w:rsid w:val="0027613D"/>
    <w:pPr>
      <w:autoSpaceDE/>
      <w:autoSpaceDN/>
      <w:adjustRightInd/>
      <w:ind w:left="240" w:hanging="240"/>
    </w:pPr>
    <w:rPr>
      <w:sz w:val="24"/>
      <w:szCs w:val="24"/>
    </w:rPr>
  </w:style>
  <w:style w:type="paragraph" w:styleId="TableofFigures">
    <w:name w:val="table of figures"/>
    <w:basedOn w:val="Normal"/>
    <w:next w:val="Normal"/>
    <w:semiHidden/>
    <w:rsid w:val="0027613D"/>
    <w:pPr>
      <w:autoSpaceDE/>
      <w:autoSpaceDN/>
      <w:adjustRightInd/>
    </w:pPr>
    <w:rPr>
      <w:sz w:val="24"/>
      <w:szCs w:val="24"/>
    </w:rPr>
  </w:style>
  <w:style w:type="paragraph" w:styleId="TOAHeading">
    <w:name w:val="toa heading"/>
    <w:basedOn w:val="Normal"/>
    <w:next w:val="Normal"/>
    <w:semiHidden/>
    <w:rsid w:val="0027613D"/>
    <w:pPr>
      <w:autoSpaceDE/>
      <w:autoSpaceDN/>
      <w:adjustRightInd/>
      <w:spacing w:before="120"/>
    </w:pPr>
    <w:rPr>
      <w:rFonts w:ascii="Arial" w:hAnsi="Arial" w:cs="Arial"/>
      <w:b/>
      <w:bCs/>
      <w:sz w:val="24"/>
      <w:szCs w:val="24"/>
    </w:rPr>
  </w:style>
  <w:style w:type="paragraph" w:styleId="TOC6">
    <w:name w:val="toc 6"/>
    <w:basedOn w:val="Normal"/>
    <w:next w:val="Normal"/>
    <w:autoRedefine/>
    <w:semiHidden/>
    <w:rsid w:val="0027613D"/>
    <w:pPr>
      <w:ind w:left="1100"/>
    </w:pPr>
    <w:rPr>
      <w:rFonts w:asciiTheme="minorHAnsi" w:hAnsiTheme="minorHAnsi" w:cstheme="minorHAnsi"/>
      <w:sz w:val="18"/>
      <w:szCs w:val="18"/>
    </w:rPr>
  </w:style>
  <w:style w:type="paragraph" w:styleId="TOC7">
    <w:name w:val="toc 7"/>
    <w:basedOn w:val="Normal"/>
    <w:next w:val="Normal"/>
    <w:autoRedefine/>
    <w:semiHidden/>
    <w:rsid w:val="0027613D"/>
    <w:pPr>
      <w:ind w:left="1320"/>
    </w:pPr>
    <w:rPr>
      <w:rFonts w:asciiTheme="minorHAnsi" w:hAnsiTheme="minorHAnsi" w:cstheme="minorHAnsi"/>
      <w:sz w:val="18"/>
      <w:szCs w:val="18"/>
    </w:rPr>
  </w:style>
  <w:style w:type="paragraph" w:styleId="TOC8">
    <w:name w:val="toc 8"/>
    <w:basedOn w:val="Normal"/>
    <w:next w:val="Normal"/>
    <w:autoRedefine/>
    <w:semiHidden/>
    <w:rsid w:val="0027613D"/>
    <w:pPr>
      <w:ind w:left="1540"/>
    </w:pPr>
    <w:rPr>
      <w:rFonts w:asciiTheme="minorHAnsi" w:hAnsiTheme="minorHAnsi" w:cstheme="minorHAnsi"/>
      <w:sz w:val="18"/>
      <w:szCs w:val="18"/>
    </w:rPr>
  </w:style>
  <w:style w:type="paragraph" w:styleId="TOC9">
    <w:name w:val="toc 9"/>
    <w:basedOn w:val="Normal"/>
    <w:next w:val="Normal"/>
    <w:autoRedefine/>
    <w:semiHidden/>
    <w:rsid w:val="0027613D"/>
    <w:pPr>
      <w:ind w:left="1760"/>
    </w:pPr>
    <w:rPr>
      <w:rFonts w:asciiTheme="minorHAnsi" w:hAnsiTheme="minorHAnsi" w:cstheme="minorHAnsi"/>
      <w:sz w:val="18"/>
      <w:szCs w:val="18"/>
    </w:rPr>
  </w:style>
  <w:style w:type="paragraph" w:customStyle="1" w:styleId="StyleHeading1BoldNounderline">
    <w:name w:val="Style Heading 1 + Bold No underline"/>
    <w:basedOn w:val="Heading1"/>
    <w:link w:val="StyleHeading1BoldNounderlineChar"/>
    <w:rsid w:val="0027613D"/>
    <w:pPr>
      <w:keepNext/>
      <w:spacing w:after="0" w:line="240" w:lineRule="auto"/>
      <w:jc w:val="left"/>
    </w:pPr>
    <w:rPr>
      <w:rFonts w:ascii="Arial" w:hAnsi="Arial"/>
      <w:bCs/>
      <w:caps w:val="0"/>
      <w:sz w:val="24"/>
      <w:szCs w:val="24"/>
      <w:u w:val="single"/>
    </w:rPr>
  </w:style>
  <w:style w:type="character" w:customStyle="1" w:styleId="StyleHeading1BoldNounderlineChar">
    <w:name w:val="Style Heading 1 + Bold No underline Char"/>
    <w:link w:val="StyleHeading1BoldNounderline"/>
    <w:rsid w:val="0027613D"/>
    <w:rPr>
      <w:rFonts w:ascii="Arial" w:hAnsi="Arial"/>
      <w:b/>
      <w:bCs/>
      <w:sz w:val="24"/>
      <w:szCs w:val="24"/>
      <w:u w:val="single"/>
      <w:lang w:val="en-US" w:eastAsia="en-US" w:bidi="ar-SA"/>
    </w:rPr>
  </w:style>
  <w:style w:type="character" w:customStyle="1" w:styleId="Heading1Char">
    <w:name w:val="Heading 1 Char"/>
    <w:aliases w:val="l1 Char"/>
    <w:link w:val="Heading1"/>
    <w:rsid w:val="0027613D"/>
    <w:rPr>
      <w:b/>
      <w:caps/>
      <w:sz w:val="22"/>
      <w:lang w:val="en-US" w:eastAsia="en-US" w:bidi="ar-SA"/>
    </w:rPr>
  </w:style>
  <w:style w:type="paragraph" w:customStyle="1" w:styleId="Char">
    <w:name w:val="Char"/>
    <w:basedOn w:val="Normal"/>
    <w:rsid w:val="0027613D"/>
    <w:pPr>
      <w:autoSpaceDE/>
      <w:autoSpaceDN/>
      <w:adjustRightInd/>
      <w:spacing w:before="80" w:after="80"/>
      <w:ind w:left="4320"/>
      <w:jc w:val="both"/>
    </w:pPr>
    <w:rPr>
      <w:rFonts w:ascii="Arial" w:hAnsi="Arial"/>
      <w:sz w:val="20"/>
      <w:szCs w:val="24"/>
    </w:rPr>
  </w:style>
  <w:style w:type="paragraph" w:customStyle="1" w:styleId="Level2">
    <w:name w:val="Level 2"/>
    <w:basedOn w:val="Normal"/>
    <w:rsid w:val="0027613D"/>
    <w:pPr>
      <w:widowControl w:val="0"/>
      <w:autoSpaceDE/>
      <w:autoSpaceDN/>
      <w:adjustRightInd/>
    </w:pPr>
    <w:rPr>
      <w:sz w:val="24"/>
    </w:rPr>
  </w:style>
  <w:style w:type="character" w:customStyle="1" w:styleId="CommentTextChar">
    <w:name w:val="Comment Text Char"/>
    <w:link w:val="CommentText"/>
    <w:uiPriority w:val="99"/>
    <w:rsid w:val="00D932E9"/>
    <w:rPr>
      <w:sz w:val="22"/>
    </w:rPr>
  </w:style>
  <w:style w:type="paragraph" w:customStyle="1" w:styleId="BodyText20">
    <w:name w:val="Body Text2"/>
    <w:basedOn w:val="Normal"/>
    <w:rsid w:val="00D932E9"/>
    <w:pPr>
      <w:autoSpaceDE/>
      <w:autoSpaceDN/>
      <w:adjustRightInd/>
      <w:spacing w:after="240" w:line="300" w:lineRule="exact"/>
      <w:ind w:firstLine="720"/>
    </w:pPr>
  </w:style>
  <w:style w:type="character" w:customStyle="1" w:styleId="A6">
    <w:name w:val="A6"/>
    <w:uiPriority w:val="99"/>
    <w:rsid w:val="00D932E9"/>
    <w:rPr>
      <w:rFonts w:cs="Myriad Pro"/>
      <w:color w:val="000000"/>
      <w:sz w:val="20"/>
      <w:szCs w:val="20"/>
    </w:rPr>
  </w:style>
  <w:style w:type="paragraph" w:styleId="ListParagraph">
    <w:name w:val="List Paragraph"/>
    <w:basedOn w:val="Normal"/>
    <w:link w:val="ListParagraphChar"/>
    <w:uiPriority w:val="34"/>
    <w:qFormat/>
    <w:rsid w:val="00C44FE7"/>
    <w:pPr>
      <w:autoSpaceDE/>
      <w:autoSpaceDN/>
      <w:adjustRightInd/>
      <w:ind w:left="720"/>
    </w:pPr>
    <w:rPr>
      <w:rFonts w:ascii="Calibri" w:eastAsia="Calibri" w:hAnsi="Calibri"/>
    </w:rPr>
  </w:style>
  <w:style w:type="character" w:customStyle="1" w:styleId="bodytextChar">
    <w:name w:val="body text Char"/>
    <w:aliases w:val="body text Char1 Char,body tx Char Char,body tx Char2,bt Char Char,bt Char2,flush Char,flush Char Char Char Char Char Char Char Char Char Char Char Char Char Char,indent Char Char,indent Char1,memo body text Char Char,memo body text Char1"/>
    <w:uiPriority w:val="99"/>
    <w:locked/>
    <w:rsid w:val="005A3545"/>
    <w:rPr>
      <w:sz w:val="22"/>
    </w:rPr>
  </w:style>
  <w:style w:type="paragraph" w:customStyle="1" w:styleId="hivsmalltext">
    <w:name w:val="hivsmalltext"/>
    <w:basedOn w:val="Normal"/>
    <w:rsid w:val="00EF6BC3"/>
    <w:pPr>
      <w:autoSpaceDE/>
      <w:autoSpaceDN/>
      <w:adjustRightInd/>
      <w:spacing w:before="100" w:beforeAutospacing="1" w:after="100" w:afterAutospacing="1"/>
    </w:pPr>
    <w:rPr>
      <w:sz w:val="24"/>
      <w:szCs w:val="24"/>
    </w:rPr>
  </w:style>
  <w:style w:type="character" w:customStyle="1" w:styleId="tp-label">
    <w:name w:val="tp-label"/>
    <w:rsid w:val="00EF6BC3"/>
  </w:style>
  <w:style w:type="character" w:styleId="Emphasis">
    <w:name w:val="Emphasis"/>
    <w:uiPriority w:val="20"/>
    <w:qFormat/>
    <w:rsid w:val="00EF6BC3"/>
    <w:rPr>
      <w:i/>
      <w:iCs/>
    </w:rPr>
  </w:style>
  <w:style w:type="character" w:customStyle="1" w:styleId="FooterChar">
    <w:name w:val="Footer Char"/>
    <w:link w:val="Footer"/>
    <w:uiPriority w:val="99"/>
    <w:rsid w:val="008A3B68"/>
    <w:rPr>
      <w:color w:val="000000"/>
      <w:sz w:val="22"/>
    </w:rPr>
  </w:style>
  <w:style w:type="character" w:customStyle="1" w:styleId="Heading3Char">
    <w:name w:val="Heading 3 Char"/>
    <w:aliases w:val="l3 Char"/>
    <w:link w:val="Heading3"/>
    <w:rsid w:val="008A3B68"/>
    <w:rPr>
      <w:b/>
      <w:i/>
      <w:sz w:val="22"/>
    </w:rPr>
  </w:style>
  <w:style w:type="paragraph" w:styleId="Revision">
    <w:name w:val="Revision"/>
    <w:hidden/>
    <w:uiPriority w:val="99"/>
    <w:semiHidden/>
    <w:rsid w:val="00901CDC"/>
  </w:style>
  <w:style w:type="character" w:customStyle="1" w:styleId="ListParagraphChar">
    <w:name w:val="List Paragraph Char"/>
    <w:link w:val="ListParagraph"/>
    <w:uiPriority w:val="34"/>
    <w:locked/>
    <w:rsid w:val="00250C2B"/>
    <w:rPr>
      <w:rFonts w:ascii="Calibri" w:eastAsia="Calibri" w:hAnsi="Calibri"/>
      <w:sz w:val="22"/>
      <w:szCs w:val="22"/>
    </w:rPr>
  </w:style>
  <w:style w:type="character" w:styleId="UnresolvedMention">
    <w:name w:val="Unresolved Mention"/>
    <w:basedOn w:val="DefaultParagraphFont"/>
    <w:uiPriority w:val="99"/>
    <w:semiHidden/>
    <w:unhideWhenUsed/>
    <w:rsid w:val="0002368B"/>
    <w:rPr>
      <w:color w:val="605E5C"/>
      <w:shd w:val="clear" w:color="auto" w:fill="E1DFDD"/>
    </w:rPr>
  </w:style>
  <w:style w:type="character" w:customStyle="1" w:styleId="cf01">
    <w:name w:val="cf01"/>
    <w:basedOn w:val="DefaultParagraphFont"/>
    <w:rsid w:val="0002368B"/>
    <w:rPr>
      <w:rFonts w:ascii="Segoe UI" w:hAnsi="Segoe UI" w:cs="Segoe UI" w:hint="default"/>
      <w:color w:val="666666"/>
      <w:sz w:val="18"/>
      <w:szCs w:val="18"/>
    </w:rPr>
  </w:style>
  <w:style w:type="table" w:customStyle="1" w:styleId="44">
    <w:name w:val="44"/>
    <w:basedOn w:val="TableNormal"/>
    <w:tblPr>
      <w:tblStyleRowBandSize w:val="1"/>
      <w:tblStyleColBandSize w:val="1"/>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33">
    <w:name w:val="33"/>
    <w:basedOn w:val="TableNormal"/>
    <w:tblPr>
      <w:tblStyleRowBandSize w:val="1"/>
      <w:tblStyleColBandSize w:val="1"/>
      <w:tblCellMar>
        <w:left w:w="115" w:type="dxa"/>
        <w:right w:w="115" w:type="dxa"/>
      </w:tblCellMar>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32744C"/>
    <w:pPr>
      <w:keepNext/>
      <w:keepLines/>
      <w:spacing w:before="480" w:after="0" w:line="276" w:lineRule="auto"/>
      <w:jc w:val="left"/>
      <w:outlineLvl w:val="9"/>
    </w:pPr>
    <w:rPr>
      <w:rFonts w:asciiTheme="majorHAnsi" w:eastAsiaTheme="majorEastAsia" w:hAnsiTheme="majorHAnsi" w:cstheme="majorBidi"/>
      <w:bCs/>
      <w:caps w:val="0"/>
      <w:color w:val="2F5496" w:themeColor="accent1" w:themeShade="BF"/>
      <w:sz w:val="28"/>
      <w:szCs w:val="28"/>
    </w:rPr>
  </w:style>
  <w:style w:type="table" w:customStyle="1" w:styleId="29">
    <w:name w:val="2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115" w:type="dxa"/>
        <w:right w:w="1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23">
    <w:name w:val="23"/>
    <w:basedOn w:val="TableNormal"/>
    <w:tblPr>
      <w:tblStyleRowBandSize w:val="1"/>
      <w:tblStyleColBandSize w:val="1"/>
      <w:tblCellMar>
        <w:left w:w="115" w:type="dxa"/>
        <w:right w:w="115" w:type="dxa"/>
      </w:tblCellMar>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character" w:customStyle="1" w:styleId="Heading2Char">
    <w:name w:val="Heading 2 Char"/>
    <w:aliases w:val="l2 Char"/>
    <w:basedOn w:val="DefaultParagraphFont"/>
    <w:link w:val="Heading2"/>
    <w:uiPriority w:val="9"/>
    <w:rsid w:val="001C414A"/>
    <w:rPr>
      <w:b/>
    </w:rPr>
  </w:style>
  <w:style w:type="table" w:customStyle="1" w:styleId="14">
    <w:name w:val="14"/>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Mention">
    <w:name w:val="Mention"/>
    <w:basedOn w:val="DefaultParagraphFont"/>
    <w:uiPriority w:val="99"/>
    <w:unhideWhenUsed/>
    <w:rsid w:val="00AC059C"/>
    <w:rPr>
      <w:color w:val="2B579A"/>
      <w:shd w:val="clear" w:color="auto" w:fill="E1DFDD"/>
    </w:rPr>
  </w:style>
  <w:style w:type="table" w:customStyle="1" w:styleId="51">
    <w:name w:val="51"/>
    <w:basedOn w:val="TableNormal"/>
    <w:tblPr>
      <w:tblStyleRowBandSize w:val="1"/>
      <w:tblStyleColBandSize w:val="1"/>
      <w:tblCellMar>
        <w:left w:w="115" w:type="dxa"/>
        <w:right w:w="115" w:type="dxa"/>
      </w:tblCellMar>
    </w:tblPr>
    <w:tblStylePr w:type="firstRow">
      <w:tblPr/>
      <w:tcPr>
        <w:tcBorders>
          <w:top w:val="single" w:sz="6" w:space="0" w:color="000000"/>
          <w:bottom w:val="single" w:sz="6" w:space="0" w:color="000000"/>
        </w:tcBorders>
      </w:tcPr>
    </w:tblStylePr>
    <w:tblStylePr w:type="lastRow">
      <w:tblPr/>
      <w:tcPr>
        <w:tcBorders>
          <w:bottom w:val="single" w:sz="6" w:space="0" w:color="000000"/>
        </w:tcBorders>
      </w:tcPr>
    </w:tblStyle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hyperlink" Target="https://www.bls.gov/eag/eag.us.htm" TargetMode="External" /><Relationship Id="rId16" Type="http://schemas.openxmlformats.org/officeDocument/2006/relationships/header" Target="header4.xml" /><Relationship Id="rId17" Type="http://schemas.openxmlformats.org/officeDocument/2006/relationships/footer" Target="footer4.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Mo/R3ByznAPX1N4nylh2U4MgRw==">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</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92fbbc55-9409-4142-b68d-a1b40e777604" xsi:nil="true"/>
    <lcf76f155ced4ddcb4097134ff3c332f xmlns="2c9027b9-d1cd-485f-aa29-2017f722a320">
      <Terms xmlns="http://schemas.microsoft.com/office/infopath/2007/PartnerControls"/>
    </lcf76f155ced4ddcb4097134ff3c332f>
    <Thumbnail xmlns="2c9027b9-d1cd-485f-aa29-2017f722a32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F52E7A3291904A8A5F9571AF9562D7" ma:contentTypeVersion="16" ma:contentTypeDescription="Create a new document." ma:contentTypeScope="" ma:versionID="f24962c70294344efac900319c5fca20">
  <xsd:schema xmlns:xsd="http://www.w3.org/2001/XMLSchema" xmlns:xs="http://www.w3.org/2001/XMLSchema" xmlns:p="http://schemas.microsoft.com/office/2006/metadata/properties" xmlns:ns2="92fbbc55-9409-4142-b68d-a1b40e777604" xmlns:ns3="2c9027b9-d1cd-485f-aa29-2017f722a320" targetNamespace="http://schemas.microsoft.com/office/2006/metadata/properties" ma:root="true" ma:fieldsID="932d3dc013959f4132eccc0ed8c3e7f1" ns2:_="" ns3:_="">
    <xsd:import namespace="92fbbc55-9409-4142-b68d-a1b40e777604"/>
    <xsd:import namespace="2c9027b9-d1cd-485f-aa29-2017f722a32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GenerationTime" minOccurs="0"/>
                <xsd:element ref="ns3:MediaServiceEventHashCode" minOccurs="0"/>
                <xsd:element ref="ns3:MediaServiceDateTaken" minOccurs="0"/>
                <xsd:element ref="ns3:MediaServiceOCR" minOccurs="0"/>
                <xsd:element ref="ns3:Thumbnail"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bbc55-9409-4142-b68d-a1b40e77760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bc6198e-abf2-4a2b-952b-2f6750e53958}" ma:internalName="TaxCatchAll" ma:showField="CatchAllData" ma:web="92fbbc55-9409-4142-b68d-a1b40e7776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027b9-d1cd-485f-aa29-2017f722a3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Thumbnail" ma:internalName="Thumbnail">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65E1A-D500-4CA2-8C6E-AF516BEE7F85}">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0CAD7A0-D3C7-4166-ADB6-1E86FF43AA21}">
  <ds:schemaRefs>
    <ds:schemaRef ds:uri="http://schemas.microsoft.com/office/2006/metadata/properties"/>
    <ds:schemaRef ds:uri="http://schemas.microsoft.com/office/infopath/2007/PartnerControls"/>
    <ds:schemaRef ds:uri="92fbbc55-9409-4142-b68d-a1b40e777604"/>
    <ds:schemaRef ds:uri="2c9027b9-d1cd-485f-aa29-2017f722a320"/>
  </ds:schemaRefs>
</ds:datastoreItem>
</file>

<file path=customXml/itemProps4.xml><?xml version="1.0" encoding="utf-8"?>
<ds:datastoreItem xmlns:ds="http://schemas.openxmlformats.org/officeDocument/2006/customXml" ds:itemID="{CD55041B-BCC1-435B-8D38-BC24CE52A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bbc55-9409-4142-b68d-a1b40e777604"/>
    <ds:schemaRef ds:uri="2c9027b9-d1cd-485f-aa29-2017f722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DE25629-1E7B-46F7-831B-B8D1A39A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Pages>
  <Words>4181</Words>
  <Characters>23835</Characters>
  <Application>Microsoft Office Word</Application>
  <DocSecurity>0</DocSecurity>
  <Lines>198</Lines>
  <Paragraphs>55</Paragraphs>
  <ScaleCrop>false</ScaleCrop>
  <Company/>
  <LinksUpToDate>false</LinksUpToDate>
  <CharactersWithSpaces>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Peyton Williams</dc:creator>
  <cp:lastModifiedBy>Zirger, Jeffrey (CDC/OD/OS)</cp:lastModifiedBy>
  <cp:revision>71</cp:revision>
  <dcterms:created xsi:type="dcterms:W3CDTF">2024-12-02T16:28:00Z</dcterms:created>
  <dcterms:modified xsi:type="dcterms:W3CDTF">2024-12-30T13:44:00Z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0x0101001EF52E7A3291904A8A5F9571AF9562D7</vt:lpwstr>
  </property>
  <property fmtid="{D5CDD505-2E9C-101B-9397-08002B2CF9AE}" pid="3" name="MediaServiceImageTags">
    <vt:lpwstr/>
  </property>
  <property fmtid="{D5CDD505-2E9C-101B-9397-08002B2CF9AE}" pid="4" name="MSIP_Label_7b94a7b8-f06c-4dfe-bdcc-9b548fd58c31_ActionId">
    <vt:lpwstr>1bc70b0a-f6d8-4bd9-ad35-b32e40eefeb5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2023-01-25T20:23:37Z</vt:lpwstr>
  </property>
  <property fmtid="{D5CDD505-2E9C-101B-9397-08002B2CF9AE}" pid="10" name="MSIP_Label_7b94a7b8-f06c-4dfe-bdcc-9b548fd58c31_SiteId">
    <vt:lpwstr>9ce70869-60db-44fd-abe8-d2767077fc8f</vt:lpwstr>
  </property>
</Properties>
</file>