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Hlk7623435"/>
    <w:bookmarkStart w:id="1" w:name="_Hlk7623453"/>
    <w:p w:rsidR="00D2468C" w:rsidRPr="00F06B97" w:rsidP="00F06B97" w14:paraId="0CAB60FD" w14:textId="77777777">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C629EB">
            <w:rPr>
              <w:rStyle w:val="Style4"/>
              <w:rFonts w:eastAsiaTheme="majorEastAsia"/>
            </w:rPr>
            <w:t>Supporting Statement A</w:t>
          </w:r>
        </w:sdtContent>
      </w:sdt>
    </w:p>
    <w:p w:rsidR="00D2468C" w:rsidRPr="00F06B97" w:rsidP="00CA0AE7" w14:paraId="25B48CE6" w14:textId="77777777">
      <w:pPr>
        <w:jc w:val="center"/>
        <w:rPr>
          <w:rFonts w:ascii="Arial Nova" w:hAnsi="Arial Nova"/>
        </w:rPr>
      </w:pPr>
    </w:p>
    <w:p w:rsidR="00AD1E0B" w:rsidRPr="00F06B97" w:rsidP="00F06B97" w14:paraId="1A8E15DE" w14:textId="77777777">
      <w:pPr>
        <w:spacing w:line="276" w:lineRule="auto"/>
        <w:rPr>
          <w:rFonts w:ascii="Arial Nova" w:hAnsi="Arial Nova"/>
        </w:rPr>
      </w:pPr>
    </w:p>
    <w:bookmarkEnd w:id="0"/>
    <w:p w:rsidR="00F43032" w:rsidRPr="00A303DB" w:rsidP="00F06B97" w14:paraId="57E9B5F8" w14:textId="77777777">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C629EB">
            <w:rPr>
              <w:rFonts w:ascii="Arial Nova" w:hAnsi="Arial Nova"/>
              <w:color w:val="6E6E6E"/>
            </w:rPr>
            <w:t>OMB No. 0920-0910</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C629EB">
            <w:rPr>
              <w:rFonts w:ascii="Arial Nova" w:hAnsi="Arial Nova"/>
              <w:color w:val="6E6E6E"/>
            </w:rPr>
            <w:t>exp.</w:t>
          </w:r>
          <w:r w:rsidR="00B03901">
            <w:rPr>
              <w:rFonts w:ascii="Arial Nova" w:hAnsi="Arial Nova"/>
              <w:color w:val="6E6E6E"/>
            </w:rPr>
            <w:t xml:space="preserve"> </w:t>
          </w:r>
          <w:r w:rsidR="00FA4367">
            <w:rPr>
              <w:rFonts w:ascii="Arial Nova" w:hAnsi="Arial Nova"/>
              <w:color w:val="6E6E6E"/>
            </w:rPr>
            <w:t>01/31/2024</w:t>
          </w:r>
          <w:r w:rsidR="00C629EB">
            <w:rPr>
              <w:rFonts w:ascii="Arial Nova" w:hAnsi="Arial Nova"/>
              <w:color w:val="6E6E6E"/>
            </w:rPr>
            <w:t xml:space="preserve"> </w:t>
          </w:r>
        </w:sdtContent>
      </w:sdt>
    </w:p>
    <w:p w:rsidR="00AD1E0B" w:rsidRPr="00F06B97" w:rsidP="00F06B97" w14:paraId="3BF6E082" w14:textId="77777777">
      <w:pPr>
        <w:spacing w:line="276" w:lineRule="auto"/>
        <w:jc w:val="center"/>
        <w:rPr>
          <w:rFonts w:ascii="Arial Nova" w:hAnsi="Arial Nova"/>
          <w:b/>
        </w:rPr>
      </w:pPr>
    </w:p>
    <w:p w:rsidR="00672B9C" w:rsidP="00F06B97" w14:paraId="090FA6E8"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3882D74A" w14:textId="77777777">
      <w:pPr>
        <w:spacing w:line="276" w:lineRule="auto"/>
        <w:jc w:val="center"/>
        <w:rPr>
          <w:rFonts w:ascii="Arial Nova" w:hAnsi="Arial Nova"/>
          <w:b/>
        </w:rPr>
      </w:pPr>
    </w:p>
    <w:p w:rsidR="00F96D9F" w:rsidP="00F06B97" w14:paraId="0E8A16E4" w14:textId="77777777">
      <w:pPr>
        <w:spacing w:line="276" w:lineRule="auto"/>
        <w:jc w:val="center"/>
        <w:rPr>
          <w:rFonts w:ascii="Arial Nova" w:hAnsi="Arial Nova"/>
          <w:b/>
        </w:rPr>
      </w:pPr>
    </w:p>
    <w:p w:rsidR="00F96D9F" w:rsidP="00F06B97" w14:paraId="629CD69C" w14:textId="77777777">
      <w:pPr>
        <w:spacing w:line="276" w:lineRule="auto"/>
        <w:jc w:val="center"/>
        <w:rPr>
          <w:rFonts w:ascii="Arial Nova" w:hAnsi="Arial Nova"/>
          <w:b/>
        </w:rPr>
      </w:pPr>
    </w:p>
    <w:p w:rsidR="0088291B" w:rsidP="00F06B97" w14:paraId="35E1F7D6" w14:textId="77777777">
      <w:pPr>
        <w:spacing w:line="276" w:lineRule="auto"/>
        <w:jc w:val="center"/>
        <w:rPr>
          <w:rFonts w:ascii="Arial Nova" w:hAnsi="Arial Nova"/>
          <w:b/>
        </w:rPr>
      </w:pPr>
    </w:p>
    <w:p w:rsidR="0088291B" w:rsidP="00F06B97" w14:paraId="38EDAC6D" w14:textId="77777777">
      <w:pPr>
        <w:spacing w:line="276" w:lineRule="auto"/>
        <w:jc w:val="center"/>
        <w:rPr>
          <w:rFonts w:ascii="Arial Nova" w:hAnsi="Arial Nova"/>
          <w:b/>
        </w:rPr>
      </w:pPr>
    </w:p>
    <w:p w:rsidR="0088291B" w:rsidRPr="00F06B97" w:rsidP="00F06B97" w14:paraId="10FCA9B7" w14:textId="77777777">
      <w:pPr>
        <w:spacing w:line="276" w:lineRule="auto"/>
        <w:jc w:val="center"/>
        <w:rPr>
          <w:rFonts w:ascii="Arial Nova" w:hAnsi="Arial Nova"/>
          <w:b/>
        </w:rPr>
      </w:pPr>
    </w:p>
    <w:p w:rsidR="00880185" w:rsidRPr="00F06B97" w:rsidP="00F06B97" w14:paraId="48079C55" w14:textId="77777777">
      <w:pPr>
        <w:spacing w:line="276" w:lineRule="auto"/>
        <w:jc w:val="center"/>
        <w:rPr>
          <w:rFonts w:ascii="Arial Nova" w:hAnsi="Arial Nova"/>
          <w:b/>
        </w:rPr>
      </w:pPr>
    </w:p>
    <w:p w:rsidR="002C7AA6" w:rsidRPr="00F06B97" w:rsidP="00F06B97" w14:paraId="67055453"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5280E020" w14:textId="77777777">
          <w:pPr>
            <w:spacing w:line="276" w:lineRule="auto"/>
            <w:rPr>
              <w:rFonts w:ascii="Arial Nova" w:hAnsi="Arial Nova"/>
            </w:rPr>
          </w:pPr>
          <w:r w:rsidRPr="00C629EB">
            <w:rPr>
              <w:rFonts w:ascii="Arial Nova" w:hAnsi="Arial Nova"/>
            </w:rPr>
            <w:t>Michelle O’Hegarty, 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3522FBA6" w14:textId="77777777">
          <w:pPr>
            <w:spacing w:line="276" w:lineRule="auto"/>
            <w:rPr>
              <w:rFonts w:ascii="Arial Nova" w:hAnsi="Arial Nova"/>
            </w:rPr>
          </w:pPr>
          <w:r w:rsidRPr="00C629EB">
            <w:rPr>
              <w:rFonts w:ascii="Arial Nova" w:hAnsi="Arial Nova"/>
            </w:rPr>
            <w:t>Office on Smoking and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1A1CE8D9" w14:textId="77777777">
          <w:pPr>
            <w:spacing w:line="276" w:lineRule="auto"/>
            <w:rPr>
              <w:rFonts w:ascii="Arial Nova" w:hAnsi="Arial Nova"/>
            </w:rPr>
          </w:pPr>
          <w:r w:rsidRPr="00F06B97">
            <w:rPr>
              <w:rFonts w:ascii="Arial Nova" w:hAnsi="Arial Nova"/>
            </w:rPr>
            <w:t xml:space="preserve">National Center for Chronic Disease Prevention and Health </w:t>
          </w:r>
          <w:r w:rsidRPr="00F06B97">
            <w:rPr>
              <w:rFonts w:ascii="Arial Nova" w:hAnsi="Arial Nova"/>
            </w:rPr>
            <w:t>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21D82A1" w14:textId="77777777">
          <w:pPr>
            <w:spacing w:line="276" w:lineRule="auto"/>
            <w:rPr>
              <w:rFonts w:ascii="Arial Nova" w:hAnsi="Arial Nova"/>
            </w:rPr>
          </w:pPr>
          <w:r>
            <w:rPr>
              <w:rFonts w:ascii="Arial Nova" w:hAnsi="Arial Nova"/>
            </w:rPr>
            <w:t>Centers for Disease Control and Prevention</w:t>
          </w:r>
        </w:p>
      </w:sdtContent>
    </w:sdt>
    <w:p w:rsidR="00E97A21" w:rsidRPr="00F06B97" w:rsidP="00E97A21" w14:paraId="2129445D" w14:textId="77777777">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Pr="00C629EB" w:rsidR="00C629EB">
                <w:rPr>
                  <w:rFonts w:ascii="Arial Nova" w:hAnsi="Arial Nova"/>
                </w:rPr>
                <w:t>770-488-5582</w:t>
              </w:r>
            </w:sdtContent>
          </w:sdt>
        </w:sdtContent>
      </w:sdt>
    </w:p>
    <w:p w:rsidR="002C7AA6" w:rsidP="00E97A21" w14:paraId="47307083" w14:textId="77777777">
      <w:pPr>
        <w:spacing w:line="276" w:lineRule="auto"/>
        <w:rPr>
          <w:rStyle w:val="PlaceholderText"/>
          <w:rFonts w:ascii="Arial Nova" w:hAnsi="Arial Nova"/>
        </w:rPr>
      </w:pPr>
      <w:r w:rsidRPr="00A838B9">
        <w:rPr>
          <w:rStyle w:val="PlaceholderText"/>
          <w:rFonts w:ascii="Arial Nova" w:hAnsi="Arial Nova"/>
          <w:color w:val="auto"/>
        </w:rPr>
        <w:t xml:space="preserve">F: </w:t>
      </w:r>
      <w:r w:rsidRPr="00C629EB" w:rsidR="00C629EB">
        <w:rPr>
          <w:rStyle w:val="PlaceholderText"/>
          <w:rFonts w:ascii="Arial Nova" w:hAnsi="Arial Nova"/>
          <w:color w:val="6E6E6E"/>
        </w:rPr>
        <w:t>770-488-5939</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28592B6E" w14:textId="77777777">
          <w:pPr>
            <w:spacing w:line="276" w:lineRule="auto"/>
            <w:rPr>
              <w:rFonts w:ascii="Arial Nova" w:hAnsi="Arial Nova"/>
            </w:rPr>
          </w:pPr>
          <w:r w:rsidRPr="00C629EB">
            <w:rPr>
              <w:rStyle w:val="Hyperlink"/>
              <w:rFonts w:ascii="Arial Nova" w:hAnsi="Arial Nova"/>
            </w:rPr>
            <w:t>mohegarty@cdc.gov</w:t>
          </w:r>
        </w:p>
      </w:sdtContent>
    </w:sdt>
    <w:p w:rsidR="0040756C" w:rsidP="00F06B97" w14:paraId="7FE3ECA1" w14:textId="77777777">
      <w:pPr>
        <w:spacing w:line="276" w:lineRule="auto"/>
        <w:ind w:left="2160" w:hanging="2160"/>
        <w:rPr>
          <w:rFonts w:ascii="Arial Nova" w:hAnsi="Arial Nova"/>
        </w:rPr>
      </w:pPr>
    </w:p>
    <w:p w:rsidR="00907049" w:rsidRPr="00F06B97" w:rsidP="00F06B97" w14:paraId="65F9DC3D"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5-22T00:00:00Z">
          <w:dateFormat w:val="M/d/yyyy"/>
          <w:lid w:val="en-US"/>
          <w:storeMappedDataAs w:val="dateTime"/>
          <w:calendar w:val="gregorian"/>
        </w:date>
      </w:sdtPr>
      <w:sdtContent>
        <w:p w:rsidR="003635DF" w:rsidRPr="006C6884" w:rsidP="006C6884" w14:paraId="3D8304D3" w14:textId="77777777">
          <w:pPr>
            <w:spacing w:line="276" w:lineRule="auto"/>
            <w:jc w:val="center"/>
            <w:rPr>
              <w:rFonts w:ascii="Arial Nova" w:hAnsi="Arial Nova"/>
            </w:rPr>
            <w:sectPr w:rsidSect="00A246E3">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890" w:left="1440" w:header="180" w:footer="720" w:gutter="0"/>
              <w:cols w:space="720"/>
              <w:vAlign w:val="center"/>
              <w:titlePg/>
              <w:docGrid w:linePitch="360"/>
            </w:sectPr>
          </w:pPr>
          <w:r>
            <w:rPr>
              <w:rFonts w:ascii="Arial Nova" w:hAnsi="Arial Nova"/>
            </w:rPr>
            <w:t>5/22/2023</w:t>
          </w:r>
        </w:p>
      </w:sdtContent>
    </w:sdt>
    <w:p w:rsidR="008A46F0" w:rsidRPr="00907049" w:rsidP="00907049" w14:paraId="665CE55F" w14:textId="77777777">
      <w:pPr>
        <w:rPr>
          <w:rFonts w:ascii="Arial Nova" w:hAnsi="Arial Nova" w:cstheme="minorHAnsi"/>
          <w:b/>
        </w:rPr>
      </w:pPr>
      <w:r w:rsidRPr="005A459E">
        <w:t>TABLE</w:t>
      </w:r>
      <w:r w:rsidRPr="00F06B97">
        <w:t xml:space="preserve"> OF CONTENTS</w:t>
      </w:r>
    </w:p>
    <w:p w:rsidR="007016C1" w:rsidP="00AF61D7" w14:paraId="14D85BBC" w14:textId="77777777">
      <w:pPr>
        <w:pStyle w:val="TOC1"/>
        <w:rPr>
          <w:highlight w:val="lightGray"/>
        </w:rPr>
      </w:pPr>
    </w:p>
    <w:p w:rsidR="004C0F10" w14:paraId="4B43F631" w14:textId="77777777">
      <w:pPr>
        <w:pStyle w:val="TOC1"/>
        <w:rPr>
          <w:rFonts w:asciiTheme="minorHAnsi" w:eastAsiaTheme="minorEastAsia" w:hAnsiTheme="minorHAnsi" w:cstheme="minorBidi"/>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131505170" w:history="1">
        <w:r w:rsidRPr="003D49E5">
          <w:rPr>
            <w:rStyle w:val="Hyperlink"/>
            <w:rFonts w:cstheme="minorHAnsi"/>
            <w:b/>
          </w:rPr>
          <w:t>A.</w:t>
        </w:r>
        <w:r>
          <w:rPr>
            <w:rFonts w:asciiTheme="minorHAnsi" w:eastAsiaTheme="minorEastAsia" w:hAnsiTheme="minorHAnsi" w:cstheme="minorBidi"/>
            <w:sz w:val="22"/>
            <w:szCs w:val="22"/>
          </w:rPr>
          <w:tab/>
        </w:r>
        <w:r w:rsidRPr="003D49E5">
          <w:rPr>
            <w:rStyle w:val="Hyperlink"/>
            <w:rFonts w:cstheme="minorHAnsi"/>
            <w:b/>
          </w:rPr>
          <w:t>JUSTIFICATION</w:t>
        </w:r>
        <w:r>
          <w:rPr>
            <w:webHidden/>
          </w:rPr>
          <w:tab/>
        </w:r>
        <w:r>
          <w:rPr>
            <w:webHidden/>
          </w:rPr>
          <w:fldChar w:fldCharType="begin"/>
        </w:r>
        <w:r>
          <w:rPr>
            <w:webHidden/>
          </w:rPr>
          <w:instrText xml:space="preserve"> PAGEREF _Toc131505170 \h </w:instrText>
        </w:r>
        <w:r>
          <w:rPr>
            <w:webHidden/>
          </w:rPr>
          <w:fldChar w:fldCharType="separate"/>
        </w:r>
        <w:r>
          <w:rPr>
            <w:webHidden/>
          </w:rPr>
          <w:t>4</w:t>
        </w:r>
        <w:r>
          <w:rPr>
            <w:webHidden/>
          </w:rPr>
          <w:fldChar w:fldCharType="end"/>
        </w:r>
      </w:hyperlink>
    </w:p>
    <w:p w:rsidR="004C0F10" w14:paraId="094886CD" w14:textId="77777777">
      <w:pPr>
        <w:pStyle w:val="TOC2"/>
        <w:rPr>
          <w:rFonts w:asciiTheme="minorHAnsi" w:eastAsiaTheme="minorEastAsia" w:hAnsiTheme="minorHAnsi" w:cstheme="minorBidi"/>
          <w:noProof/>
          <w:sz w:val="22"/>
          <w:szCs w:val="22"/>
        </w:rPr>
      </w:pPr>
      <w:hyperlink w:anchor="_Toc131505171" w:history="1">
        <w:r w:rsidRPr="003D49E5">
          <w:rPr>
            <w:rStyle w:val="Hyperlink"/>
            <w:rFonts w:ascii="Arial Nova" w:hAnsi="Arial Nova" w:cstheme="minorHAnsi"/>
            <w:i/>
            <w:noProof/>
          </w:rPr>
          <w:t>A1. Circumstances Making the Collection of Information</w:t>
        </w:r>
        <w:r w:rsidRPr="003D49E5">
          <w:rPr>
            <w:rStyle w:val="Hyperlink"/>
            <w:rFonts w:ascii="Arial Nova" w:hAnsi="Arial Nova" w:cstheme="minorHAnsi"/>
            <w:i/>
            <w:noProof/>
          </w:rPr>
          <w:t xml:space="preserve"> Necessary</w:t>
        </w:r>
        <w:r>
          <w:rPr>
            <w:noProof/>
            <w:webHidden/>
          </w:rPr>
          <w:tab/>
        </w:r>
        <w:r>
          <w:rPr>
            <w:noProof/>
            <w:webHidden/>
          </w:rPr>
          <w:fldChar w:fldCharType="begin"/>
        </w:r>
        <w:r>
          <w:rPr>
            <w:noProof/>
            <w:webHidden/>
          </w:rPr>
          <w:instrText xml:space="preserve"> PAGEREF _Toc131505171 \h </w:instrText>
        </w:r>
        <w:r>
          <w:rPr>
            <w:noProof/>
            <w:webHidden/>
          </w:rPr>
          <w:fldChar w:fldCharType="separate"/>
        </w:r>
        <w:r>
          <w:rPr>
            <w:noProof/>
            <w:webHidden/>
          </w:rPr>
          <w:t>4</w:t>
        </w:r>
        <w:r>
          <w:rPr>
            <w:noProof/>
            <w:webHidden/>
          </w:rPr>
          <w:fldChar w:fldCharType="end"/>
        </w:r>
      </w:hyperlink>
    </w:p>
    <w:p w:rsidR="004C0F10" w14:paraId="3E682783" w14:textId="77777777">
      <w:pPr>
        <w:pStyle w:val="TOC2"/>
        <w:rPr>
          <w:rFonts w:asciiTheme="minorHAnsi" w:eastAsiaTheme="minorEastAsia" w:hAnsiTheme="minorHAnsi" w:cstheme="minorBidi"/>
          <w:noProof/>
          <w:sz w:val="22"/>
          <w:szCs w:val="22"/>
        </w:rPr>
      </w:pPr>
      <w:hyperlink w:anchor="_Toc131505172" w:history="1">
        <w:r w:rsidRPr="003D49E5">
          <w:rPr>
            <w:rStyle w:val="Hyperlink"/>
            <w:rFonts w:ascii="Arial Nova" w:hAnsi="Arial Nova" w:cstheme="minorHAnsi"/>
            <w:i/>
            <w:noProof/>
          </w:rPr>
          <w:t>A2. Purpose and Use of the information Collection</w:t>
        </w:r>
        <w:r>
          <w:rPr>
            <w:noProof/>
            <w:webHidden/>
          </w:rPr>
          <w:tab/>
        </w:r>
        <w:r>
          <w:rPr>
            <w:noProof/>
            <w:webHidden/>
          </w:rPr>
          <w:fldChar w:fldCharType="begin"/>
        </w:r>
        <w:r>
          <w:rPr>
            <w:noProof/>
            <w:webHidden/>
          </w:rPr>
          <w:instrText xml:space="preserve"> PAGEREF _Toc131505172 \h </w:instrText>
        </w:r>
        <w:r>
          <w:rPr>
            <w:noProof/>
            <w:webHidden/>
          </w:rPr>
          <w:fldChar w:fldCharType="separate"/>
        </w:r>
        <w:r>
          <w:rPr>
            <w:noProof/>
            <w:webHidden/>
          </w:rPr>
          <w:t>5</w:t>
        </w:r>
        <w:r>
          <w:rPr>
            <w:noProof/>
            <w:webHidden/>
          </w:rPr>
          <w:fldChar w:fldCharType="end"/>
        </w:r>
      </w:hyperlink>
    </w:p>
    <w:p w:rsidR="004C0F10" w14:paraId="3CC0998B" w14:textId="77777777">
      <w:pPr>
        <w:pStyle w:val="TOC2"/>
        <w:rPr>
          <w:rFonts w:asciiTheme="minorHAnsi" w:eastAsiaTheme="minorEastAsia" w:hAnsiTheme="minorHAnsi" w:cstheme="minorBidi"/>
          <w:noProof/>
          <w:sz w:val="22"/>
          <w:szCs w:val="22"/>
        </w:rPr>
      </w:pPr>
      <w:hyperlink w:anchor="_Toc131505173" w:history="1">
        <w:r w:rsidRPr="003D49E5">
          <w:rPr>
            <w:rStyle w:val="Hyperlink"/>
            <w:rFonts w:ascii="Arial Nova" w:hAnsi="Arial Nova" w:cstheme="minorHAnsi"/>
            <w:i/>
            <w:noProof/>
          </w:rPr>
          <w:t>A3. Use of Improved Information Technology and Burden Reduction</w:t>
        </w:r>
        <w:r>
          <w:rPr>
            <w:noProof/>
            <w:webHidden/>
          </w:rPr>
          <w:tab/>
        </w:r>
        <w:r>
          <w:rPr>
            <w:noProof/>
            <w:webHidden/>
          </w:rPr>
          <w:fldChar w:fldCharType="begin"/>
        </w:r>
        <w:r>
          <w:rPr>
            <w:noProof/>
            <w:webHidden/>
          </w:rPr>
          <w:instrText xml:space="preserve"> PAGEREF _Toc131505173 \h </w:instrText>
        </w:r>
        <w:r>
          <w:rPr>
            <w:noProof/>
            <w:webHidden/>
          </w:rPr>
          <w:fldChar w:fldCharType="separate"/>
        </w:r>
        <w:r>
          <w:rPr>
            <w:noProof/>
            <w:webHidden/>
          </w:rPr>
          <w:t>8</w:t>
        </w:r>
        <w:r>
          <w:rPr>
            <w:noProof/>
            <w:webHidden/>
          </w:rPr>
          <w:fldChar w:fldCharType="end"/>
        </w:r>
      </w:hyperlink>
    </w:p>
    <w:p w:rsidR="004C0F10" w14:paraId="43CF31E0" w14:textId="77777777">
      <w:pPr>
        <w:pStyle w:val="TOC2"/>
        <w:rPr>
          <w:rFonts w:asciiTheme="minorHAnsi" w:eastAsiaTheme="minorEastAsia" w:hAnsiTheme="minorHAnsi" w:cstheme="minorBidi"/>
          <w:noProof/>
          <w:sz w:val="22"/>
          <w:szCs w:val="22"/>
        </w:rPr>
      </w:pPr>
      <w:hyperlink w:anchor="_Toc131505174" w:history="1">
        <w:r w:rsidRPr="003D49E5">
          <w:rPr>
            <w:rStyle w:val="Hyperlink"/>
            <w:rFonts w:ascii="Arial Nova" w:hAnsi="Arial Nova" w:cstheme="minorHAnsi"/>
            <w:i/>
            <w:noProof/>
          </w:rPr>
          <w:t>A4. Efforts to Identify Duplication and Use of Similar Information</w:t>
        </w:r>
        <w:r>
          <w:rPr>
            <w:noProof/>
            <w:webHidden/>
          </w:rPr>
          <w:tab/>
        </w:r>
        <w:r>
          <w:rPr>
            <w:noProof/>
            <w:webHidden/>
          </w:rPr>
          <w:fldChar w:fldCharType="begin"/>
        </w:r>
        <w:r>
          <w:rPr>
            <w:noProof/>
            <w:webHidden/>
          </w:rPr>
          <w:instrText xml:space="preserve"> PAGEREF _Toc131505174 \h </w:instrText>
        </w:r>
        <w:r>
          <w:rPr>
            <w:noProof/>
            <w:webHidden/>
          </w:rPr>
          <w:fldChar w:fldCharType="separate"/>
        </w:r>
        <w:r>
          <w:rPr>
            <w:noProof/>
            <w:webHidden/>
          </w:rPr>
          <w:t>10</w:t>
        </w:r>
        <w:r>
          <w:rPr>
            <w:noProof/>
            <w:webHidden/>
          </w:rPr>
          <w:fldChar w:fldCharType="end"/>
        </w:r>
      </w:hyperlink>
    </w:p>
    <w:p w:rsidR="004C0F10" w14:paraId="7EB94A0B" w14:textId="77777777">
      <w:pPr>
        <w:pStyle w:val="TOC2"/>
        <w:rPr>
          <w:rFonts w:asciiTheme="minorHAnsi" w:eastAsiaTheme="minorEastAsia" w:hAnsiTheme="minorHAnsi" w:cstheme="minorBidi"/>
          <w:noProof/>
          <w:sz w:val="22"/>
          <w:szCs w:val="22"/>
        </w:rPr>
      </w:pPr>
      <w:hyperlink w:anchor="_Toc131505175" w:history="1">
        <w:r w:rsidRPr="003D49E5">
          <w:rPr>
            <w:rStyle w:val="Hyperlink"/>
            <w:rFonts w:ascii="Arial Nova" w:hAnsi="Arial Nova" w:cstheme="minorHAnsi"/>
            <w:i/>
            <w:noProof/>
          </w:rPr>
          <w:t>A5. Impact on Small Businesses or Other Small Entities</w:t>
        </w:r>
        <w:r>
          <w:rPr>
            <w:noProof/>
            <w:webHidden/>
          </w:rPr>
          <w:tab/>
        </w:r>
        <w:r>
          <w:rPr>
            <w:noProof/>
            <w:webHidden/>
          </w:rPr>
          <w:fldChar w:fldCharType="begin"/>
        </w:r>
        <w:r>
          <w:rPr>
            <w:noProof/>
            <w:webHidden/>
          </w:rPr>
          <w:instrText xml:space="preserve"> PAGEREF _Toc131505175 \h </w:instrText>
        </w:r>
        <w:r>
          <w:rPr>
            <w:noProof/>
            <w:webHidden/>
          </w:rPr>
          <w:fldChar w:fldCharType="separate"/>
        </w:r>
        <w:r>
          <w:rPr>
            <w:noProof/>
            <w:webHidden/>
          </w:rPr>
          <w:t>11</w:t>
        </w:r>
        <w:r>
          <w:rPr>
            <w:noProof/>
            <w:webHidden/>
          </w:rPr>
          <w:fldChar w:fldCharType="end"/>
        </w:r>
      </w:hyperlink>
    </w:p>
    <w:p w:rsidR="004C0F10" w14:paraId="255A88E0" w14:textId="77777777">
      <w:pPr>
        <w:pStyle w:val="TOC2"/>
        <w:rPr>
          <w:rFonts w:asciiTheme="minorHAnsi" w:eastAsiaTheme="minorEastAsia" w:hAnsiTheme="minorHAnsi" w:cstheme="minorBidi"/>
          <w:noProof/>
          <w:sz w:val="22"/>
          <w:szCs w:val="22"/>
        </w:rPr>
      </w:pPr>
      <w:hyperlink w:anchor="_Toc131505176" w:history="1">
        <w:r w:rsidRPr="003D49E5">
          <w:rPr>
            <w:rStyle w:val="Hyperlink"/>
            <w:rFonts w:ascii="Arial Nova" w:hAnsi="Arial Nova" w:cstheme="minorHAnsi"/>
            <w:i/>
            <w:noProof/>
          </w:rPr>
          <w:t>A6. Consequences of Collecting the</w:t>
        </w:r>
        <w:r w:rsidRPr="003D49E5">
          <w:rPr>
            <w:rStyle w:val="Hyperlink"/>
            <w:rFonts w:ascii="Arial Nova" w:hAnsi="Arial Nova" w:cstheme="minorHAnsi"/>
            <w:i/>
            <w:noProof/>
          </w:rPr>
          <w:t xml:space="preserve"> Information Less Frequently</w:t>
        </w:r>
        <w:r>
          <w:rPr>
            <w:noProof/>
            <w:webHidden/>
          </w:rPr>
          <w:tab/>
        </w:r>
        <w:r>
          <w:rPr>
            <w:noProof/>
            <w:webHidden/>
          </w:rPr>
          <w:fldChar w:fldCharType="begin"/>
        </w:r>
        <w:r>
          <w:rPr>
            <w:noProof/>
            <w:webHidden/>
          </w:rPr>
          <w:instrText xml:space="preserve"> PAGEREF _Toc131505176 \h </w:instrText>
        </w:r>
        <w:r>
          <w:rPr>
            <w:noProof/>
            <w:webHidden/>
          </w:rPr>
          <w:fldChar w:fldCharType="separate"/>
        </w:r>
        <w:r>
          <w:rPr>
            <w:noProof/>
            <w:webHidden/>
          </w:rPr>
          <w:t>11</w:t>
        </w:r>
        <w:r>
          <w:rPr>
            <w:noProof/>
            <w:webHidden/>
          </w:rPr>
          <w:fldChar w:fldCharType="end"/>
        </w:r>
      </w:hyperlink>
    </w:p>
    <w:p w:rsidR="004C0F10" w14:paraId="1D41BD0A" w14:textId="77777777">
      <w:pPr>
        <w:pStyle w:val="TOC2"/>
        <w:rPr>
          <w:rFonts w:asciiTheme="minorHAnsi" w:eastAsiaTheme="minorEastAsia" w:hAnsiTheme="minorHAnsi" w:cstheme="minorBidi"/>
          <w:noProof/>
          <w:sz w:val="22"/>
          <w:szCs w:val="22"/>
        </w:rPr>
      </w:pPr>
      <w:hyperlink w:anchor="_Toc131505177" w:history="1">
        <w:r w:rsidRPr="003D49E5">
          <w:rPr>
            <w:rStyle w:val="Hyperlink"/>
            <w:rFonts w:ascii="Arial Nova" w:hAnsi="Arial Nova" w:cstheme="minorHAnsi"/>
            <w:i/>
            <w:noProof/>
          </w:rPr>
          <w:t>A7. Special Circumstances Relating to the Guidelines of 5 CRF 1320.5</w:t>
        </w:r>
        <w:r>
          <w:rPr>
            <w:noProof/>
            <w:webHidden/>
          </w:rPr>
          <w:tab/>
        </w:r>
        <w:r>
          <w:rPr>
            <w:noProof/>
            <w:webHidden/>
          </w:rPr>
          <w:fldChar w:fldCharType="begin"/>
        </w:r>
        <w:r>
          <w:rPr>
            <w:noProof/>
            <w:webHidden/>
          </w:rPr>
          <w:instrText xml:space="preserve"> PAGEREF _Toc131505177 \h </w:instrText>
        </w:r>
        <w:r>
          <w:rPr>
            <w:noProof/>
            <w:webHidden/>
          </w:rPr>
          <w:fldChar w:fldCharType="separate"/>
        </w:r>
        <w:r>
          <w:rPr>
            <w:noProof/>
            <w:webHidden/>
          </w:rPr>
          <w:t>11</w:t>
        </w:r>
        <w:r>
          <w:rPr>
            <w:noProof/>
            <w:webHidden/>
          </w:rPr>
          <w:fldChar w:fldCharType="end"/>
        </w:r>
      </w:hyperlink>
    </w:p>
    <w:p w:rsidR="004C0F10" w14:paraId="7DFDDCEE" w14:textId="77777777">
      <w:pPr>
        <w:pStyle w:val="TOC2"/>
        <w:rPr>
          <w:rFonts w:asciiTheme="minorHAnsi" w:eastAsiaTheme="minorEastAsia" w:hAnsiTheme="minorHAnsi" w:cstheme="minorBidi"/>
          <w:noProof/>
          <w:sz w:val="22"/>
          <w:szCs w:val="22"/>
        </w:rPr>
      </w:pPr>
      <w:hyperlink w:anchor="_Toc131505178" w:history="1">
        <w:r w:rsidRPr="003D49E5">
          <w:rPr>
            <w:rStyle w:val="Hyperlink"/>
            <w:rFonts w:ascii="Arial Nova" w:hAnsi="Arial Nova" w:cstheme="minorHAnsi"/>
            <w:i/>
            <w:noProof/>
          </w:rPr>
          <w:t>A8. Comments in Response to the FRN and Efforts to Consult Outside the Agency</w:t>
        </w:r>
        <w:r>
          <w:rPr>
            <w:noProof/>
            <w:webHidden/>
          </w:rPr>
          <w:tab/>
        </w:r>
        <w:r>
          <w:rPr>
            <w:noProof/>
            <w:webHidden/>
          </w:rPr>
          <w:fldChar w:fldCharType="begin"/>
        </w:r>
        <w:r>
          <w:rPr>
            <w:noProof/>
            <w:webHidden/>
          </w:rPr>
          <w:instrText xml:space="preserve"> PAGEREF _Toc131505178 \h </w:instrText>
        </w:r>
        <w:r>
          <w:rPr>
            <w:noProof/>
            <w:webHidden/>
          </w:rPr>
          <w:fldChar w:fldCharType="separate"/>
        </w:r>
        <w:r>
          <w:rPr>
            <w:noProof/>
            <w:webHidden/>
          </w:rPr>
          <w:t>12</w:t>
        </w:r>
        <w:r>
          <w:rPr>
            <w:noProof/>
            <w:webHidden/>
          </w:rPr>
          <w:fldChar w:fldCharType="end"/>
        </w:r>
      </w:hyperlink>
    </w:p>
    <w:p w:rsidR="004C0F10" w14:paraId="0F118E6D" w14:textId="77777777">
      <w:pPr>
        <w:pStyle w:val="TOC2"/>
        <w:rPr>
          <w:rFonts w:asciiTheme="minorHAnsi" w:eastAsiaTheme="minorEastAsia" w:hAnsiTheme="minorHAnsi" w:cstheme="minorBidi"/>
          <w:noProof/>
          <w:sz w:val="22"/>
          <w:szCs w:val="22"/>
        </w:rPr>
      </w:pPr>
      <w:hyperlink w:anchor="_Toc131505179" w:history="1">
        <w:r w:rsidRPr="003D49E5">
          <w:rPr>
            <w:rStyle w:val="Hyperlink"/>
            <w:rFonts w:ascii="Arial Nova" w:hAnsi="Arial Nova" w:cstheme="minorHAnsi"/>
            <w:i/>
            <w:noProof/>
          </w:rPr>
          <w:t>A9. Explanation of Any Payment or Gift to Respondents</w:t>
        </w:r>
        <w:r>
          <w:rPr>
            <w:noProof/>
            <w:webHidden/>
          </w:rPr>
          <w:tab/>
        </w:r>
        <w:r>
          <w:rPr>
            <w:noProof/>
            <w:webHidden/>
          </w:rPr>
          <w:fldChar w:fldCharType="begin"/>
        </w:r>
        <w:r>
          <w:rPr>
            <w:noProof/>
            <w:webHidden/>
          </w:rPr>
          <w:instrText xml:space="preserve"> PAGEREF _Toc131505179 \h </w:instrText>
        </w:r>
        <w:r>
          <w:rPr>
            <w:noProof/>
            <w:webHidden/>
          </w:rPr>
          <w:fldChar w:fldCharType="separate"/>
        </w:r>
        <w:r>
          <w:rPr>
            <w:noProof/>
            <w:webHidden/>
          </w:rPr>
          <w:t>13</w:t>
        </w:r>
        <w:r>
          <w:rPr>
            <w:noProof/>
            <w:webHidden/>
          </w:rPr>
          <w:fldChar w:fldCharType="end"/>
        </w:r>
      </w:hyperlink>
    </w:p>
    <w:p w:rsidR="004C0F10" w14:paraId="2F9197BB" w14:textId="77777777">
      <w:pPr>
        <w:pStyle w:val="TOC2"/>
        <w:rPr>
          <w:rFonts w:asciiTheme="minorHAnsi" w:eastAsiaTheme="minorEastAsia" w:hAnsiTheme="minorHAnsi" w:cstheme="minorBidi"/>
          <w:noProof/>
          <w:sz w:val="22"/>
          <w:szCs w:val="22"/>
        </w:rPr>
      </w:pPr>
      <w:hyperlink w:anchor="_Toc131505180" w:history="1">
        <w:r w:rsidRPr="003D49E5">
          <w:rPr>
            <w:rStyle w:val="Hyperlink"/>
            <w:rFonts w:ascii="Arial Nova" w:hAnsi="Arial Nova" w:cstheme="minorHAnsi"/>
            <w:i/>
            <w:noProof/>
          </w:rPr>
          <w:t>A10. Protection of the Privacy and Confidentiality of Information Provided by Respondent</w:t>
        </w:r>
        <w:r>
          <w:rPr>
            <w:noProof/>
            <w:webHidden/>
          </w:rPr>
          <w:tab/>
        </w:r>
        <w:r>
          <w:rPr>
            <w:noProof/>
            <w:webHidden/>
          </w:rPr>
          <w:fldChar w:fldCharType="begin"/>
        </w:r>
        <w:r>
          <w:rPr>
            <w:noProof/>
            <w:webHidden/>
          </w:rPr>
          <w:instrText xml:space="preserve"> PAGEREF _Toc131505180 \h </w:instrText>
        </w:r>
        <w:r>
          <w:rPr>
            <w:noProof/>
            <w:webHidden/>
          </w:rPr>
          <w:fldChar w:fldCharType="separate"/>
        </w:r>
        <w:r>
          <w:rPr>
            <w:noProof/>
            <w:webHidden/>
          </w:rPr>
          <w:t>13</w:t>
        </w:r>
        <w:r>
          <w:rPr>
            <w:noProof/>
            <w:webHidden/>
          </w:rPr>
          <w:fldChar w:fldCharType="end"/>
        </w:r>
      </w:hyperlink>
    </w:p>
    <w:p w:rsidR="004C0F10" w14:paraId="7F76BA3F" w14:textId="77777777">
      <w:pPr>
        <w:pStyle w:val="TOC2"/>
        <w:rPr>
          <w:rFonts w:asciiTheme="minorHAnsi" w:eastAsiaTheme="minorEastAsia" w:hAnsiTheme="minorHAnsi" w:cstheme="minorBidi"/>
          <w:noProof/>
          <w:sz w:val="22"/>
          <w:szCs w:val="22"/>
        </w:rPr>
      </w:pPr>
      <w:hyperlink w:anchor="_Toc131505181" w:history="1">
        <w:r w:rsidRPr="003D49E5">
          <w:rPr>
            <w:rStyle w:val="Hyperlink"/>
            <w:rFonts w:ascii="Arial Nova" w:hAnsi="Arial Nova" w:cstheme="minorHAnsi"/>
            <w:i/>
            <w:noProof/>
          </w:rPr>
          <w:t>A11. Institutional Review Board (IRB) and Justification for Sensitive Questions</w:t>
        </w:r>
        <w:r>
          <w:rPr>
            <w:noProof/>
            <w:webHidden/>
          </w:rPr>
          <w:tab/>
        </w:r>
        <w:r>
          <w:rPr>
            <w:noProof/>
            <w:webHidden/>
          </w:rPr>
          <w:fldChar w:fldCharType="begin"/>
        </w:r>
        <w:r>
          <w:rPr>
            <w:noProof/>
            <w:webHidden/>
          </w:rPr>
          <w:instrText xml:space="preserve"> PAGEREF _Toc131505181 \h </w:instrText>
        </w:r>
        <w:r>
          <w:rPr>
            <w:noProof/>
            <w:webHidden/>
          </w:rPr>
          <w:fldChar w:fldCharType="separate"/>
        </w:r>
        <w:r>
          <w:rPr>
            <w:noProof/>
            <w:webHidden/>
          </w:rPr>
          <w:t>17</w:t>
        </w:r>
        <w:r>
          <w:rPr>
            <w:noProof/>
            <w:webHidden/>
          </w:rPr>
          <w:fldChar w:fldCharType="end"/>
        </w:r>
      </w:hyperlink>
    </w:p>
    <w:p w:rsidR="004C0F10" w14:paraId="08D3F083" w14:textId="77777777">
      <w:pPr>
        <w:pStyle w:val="TOC2"/>
        <w:rPr>
          <w:rFonts w:asciiTheme="minorHAnsi" w:eastAsiaTheme="minorEastAsia" w:hAnsiTheme="minorHAnsi" w:cstheme="minorBidi"/>
          <w:noProof/>
          <w:sz w:val="22"/>
          <w:szCs w:val="22"/>
        </w:rPr>
      </w:pPr>
      <w:hyperlink w:anchor="_Toc131505182" w:history="1">
        <w:r w:rsidRPr="003D49E5">
          <w:rPr>
            <w:rStyle w:val="Hyperlink"/>
            <w:rFonts w:ascii="Arial Nova" w:hAnsi="Arial Nova" w:cstheme="minorHAnsi"/>
            <w:i/>
            <w:noProof/>
          </w:rPr>
          <w:t>A12. Estimates of Annualized Burden Hours and Costs</w:t>
        </w:r>
        <w:r>
          <w:rPr>
            <w:noProof/>
            <w:webHidden/>
          </w:rPr>
          <w:tab/>
        </w:r>
        <w:r>
          <w:rPr>
            <w:noProof/>
            <w:webHidden/>
          </w:rPr>
          <w:fldChar w:fldCharType="begin"/>
        </w:r>
        <w:r>
          <w:rPr>
            <w:noProof/>
            <w:webHidden/>
          </w:rPr>
          <w:instrText xml:space="preserve"> PAGEREF _Toc131505182 \h </w:instrText>
        </w:r>
        <w:r>
          <w:rPr>
            <w:noProof/>
            <w:webHidden/>
          </w:rPr>
          <w:fldChar w:fldCharType="separate"/>
        </w:r>
        <w:r>
          <w:rPr>
            <w:noProof/>
            <w:webHidden/>
          </w:rPr>
          <w:t>18</w:t>
        </w:r>
        <w:r>
          <w:rPr>
            <w:noProof/>
            <w:webHidden/>
          </w:rPr>
          <w:fldChar w:fldCharType="end"/>
        </w:r>
      </w:hyperlink>
    </w:p>
    <w:p w:rsidR="004C0F10" w14:paraId="45BE7B2D" w14:textId="77777777">
      <w:pPr>
        <w:pStyle w:val="TOC2"/>
        <w:rPr>
          <w:rFonts w:asciiTheme="minorHAnsi" w:eastAsiaTheme="minorEastAsia" w:hAnsiTheme="minorHAnsi" w:cstheme="minorBidi"/>
          <w:noProof/>
          <w:sz w:val="22"/>
          <w:szCs w:val="22"/>
        </w:rPr>
      </w:pPr>
      <w:hyperlink w:anchor="_Toc131505183" w:history="1">
        <w:r w:rsidRPr="003D49E5">
          <w:rPr>
            <w:rStyle w:val="Hyperlink"/>
            <w:rFonts w:ascii="Arial Nova" w:hAnsi="Arial Nova" w:cstheme="minorHAnsi"/>
            <w:i/>
            <w:noProof/>
          </w:rPr>
          <w:t>A13. Estimates of Other Total Annual Cost Burden to Responde</w:t>
        </w:r>
        <w:r w:rsidRPr="003D49E5">
          <w:rPr>
            <w:rStyle w:val="Hyperlink"/>
            <w:rFonts w:ascii="Arial Nova" w:hAnsi="Arial Nova" w:cstheme="minorHAnsi"/>
            <w:i/>
            <w:noProof/>
          </w:rPr>
          <w:t>nts and Record Keepers</w:t>
        </w:r>
        <w:r>
          <w:rPr>
            <w:noProof/>
            <w:webHidden/>
          </w:rPr>
          <w:tab/>
        </w:r>
        <w:r>
          <w:rPr>
            <w:noProof/>
            <w:webHidden/>
          </w:rPr>
          <w:fldChar w:fldCharType="begin"/>
        </w:r>
        <w:r>
          <w:rPr>
            <w:noProof/>
            <w:webHidden/>
          </w:rPr>
          <w:instrText xml:space="preserve"> PAGEREF _Toc131505183 \h </w:instrText>
        </w:r>
        <w:r>
          <w:rPr>
            <w:noProof/>
            <w:webHidden/>
          </w:rPr>
          <w:fldChar w:fldCharType="separate"/>
        </w:r>
        <w:r>
          <w:rPr>
            <w:noProof/>
            <w:webHidden/>
          </w:rPr>
          <w:t>20</w:t>
        </w:r>
        <w:r>
          <w:rPr>
            <w:noProof/>
            <w:webHidden/>
          </w:rPr>
          <w:fldChar w:fldCharType="end"/>
        </w:r>
      </w:hyperlink>
    </w:p>
    <w:p w:rsidR="004C0F10" w14:paraId="37883FEB" w14:textId="77777777">
      <w:pPr>
        <w:pStyle w:val="TOC2"/>
        <w:rPr>
          <w:rFonts w:asciiTheme="minorHAnsi" w:eastAsiaTheme="minorEastAsia" w:hAnsiTheme="minorHAnsi" w:cstheme="minorBidi"/>
          <w:noProof/>
          <w:sz w:val="22"/>
          <w:szCs w:val="22"/>
        </w:rPr>
      </w:pPr>
      <w:hyperlink w:anchor="_Toc131505184" w:history="1">
        <w:r w:rsidRPr="003D49E5">
          <w:rPr>
            <w:rStyle w:val="Hyperlink"/>
            <w:rFonts w:ascii="Arial Nova" w:hAnsi="Arial Nova" w:cstheme="minorHAnsi"/>
            <w:i/>
            <w:noProof/>
          </w:rPr>
          <w:t>A14. Annualized Cost to the Federal Government</w:t>
        </w:r>
        <w:r>
          <w:rPr>
            <w:noProof/>
            <w:webHidden/>
          </w:rPr>
          <w:tab/>
        </w:r>
        <w:r>
          <w:rPr>
            <w:noProof/>
            <w:webHidden/>
          </w:rPr>
          <w:fldChar w:fldCharType="begin"/>
        </w:r>
        <w:r>
          <w:rPr>
            <w:noProof/>
            <w:webHidden/>
          </w:rPr>
          <w:instrText xml:space="preserve"> PAGEREF _Toc131505184 \h </w:instrText>
        </w:r>
        <w:r>
          <w:rPr>
            <w:noProof/>
            <w:webHidden/>
          </w:rPr>
          <w:fldChar w:fldCharType="separate"/>
        </w:r>
        <w:r>
          <w:rPr>
            <w:noProof/>
            <w:webHidden/>
          </w:rPr>
          <w:t>20</w:t>
        </w:r>
        <w:r>
          <w:rPr>
            <w:noProof/>
            <w:webHidden/>
          </w:rPr>
          <w:fldChar w:fldCharType="end"/>
        </w:r>
      </w:hyperlink>
    </w:p>
    <w:p w:rsidR="004C0F10" w14:paraId="0108FAA8" w14:textId="77777777">
      <w:pPr>
        <w:pStyle w:val="TOC2"/>
        <w:rPr>
          <w:rFonts w:asciiTheme="minorHAnsi" w:eastAsiaTheme="minorEastAsia" w:hAnsiTheme="minorHAnsi" w:cstheme="minorBidi"/>
          <w:noProof/>
          <w:sz w:val="22"/>
          <w:szCs w:val="22"/>
        </w:rPr>
      </w:pPr>
      <w:hyperlink w:anchor="_Toc131505185" w:history="1">
        <w:r w:rsidRPr="003D49E5">
          <w:rPr>
            <w:rStyle w:val="Hyperlink"/>
            <w:rFonts w:ascii="Arial Nova" w:hAnsi="Arial Nova" w:cstheme="minorHAnsi"/>
            <w:i/>
            <w:noProof/>
          </w:rPr>
          <w:t>A15. Explanation for Program Changes or Adjustments</w:t>
        </w:r>
        <w:r>
          <w:rPr>
            <w:noProof/>
            <w:webHidden/>
          </w:rPr>
          <w:tab/>
        </w:r>
        <w:r>
          <w:rPr>
            <w:noProof/>
            <w:webHidden/>
          </w:rPr>
          <w:fldChar w:fldCharType="begin"/>
        </w:r>
        <w:r>
          <w:rPr>
            <w:noProof/>
            <w:webHidden/>
          </w:rPr>
          <w:instrText xml:space="preserve"> PAGEREF _Toc131505185 \h </w:instrText>
        </w:r>
        <w:r>
          <w:rPr>
            <w:noProof/>
            <w:webHidden/>
          </w:rPr>
          <w:fldChar w:fldCharType="separate"/>
        </w:r>
        <w:r>
          <w:rPr>
            <w:noProof/>
            <w:webHidden/>
          </w:rPr>
          <w:t>20</w:t>
        </w:r>
        <w:r>
          <w:rPr>
            <w:noProof/>
            <w:webHidden/>
          </w:rPr>
          <w:fldChar w:fldCharType="end"/>
        </w:r>
      </w:hyperlink>
    </w:p>
    <w:p w:rsidR="004C0F10" w14:paraId="5084C22B" w14:textId="77777777">
      <w:pPr>
        <w:pStyle w:val="TOC2"/>
        <w:rPr>
          <w:rFonts w:asciiTheme="minorHAnsi" w:eastAsiaTheme="minorEastAsia" w:hAnsiTheme="minorHAnsi" w:cstheme="minorBidi"/>
          <w:noProof/>
          <w:sz w:val="22"/>
          <w:szCs w:val="22"/>
        </w:rPr>
      </w:pPr>
      <w:hyperlink w:anchor="_Toc131505186" w:history="1">
        <w:r w:rsidRPr="003D49E5">
          <w:rPr>
            <w:rStyle w:val="Hyperlink"/>
            <w:rFonts w:ascii="Arial Nova" w:hAnsi="Arial Nova" w:cstheme="minorHAnsi"/>
            <w:i/>
            <w:noProof/>
          </w:rPr>
          <w:t>A16. Plans for Tabulation and Publication and Project Time Schedule</w:t>
        </w:r>
        <w:r>
          <w:rPr>
            <w:noProof/>
            <w:webHidden/>
          </w:rPr>
          <w:tab/>
        </w:r>
        <w:r>
          <w:rPr>
            <w:noProof/>
            <w:webHidden/>
          </w:rPr>
          <w:fldChar w:fldCharType="begin"/>
        </w:r>
        <w:r>
          <w:rPr>
            <w:noProof/>
            <w:webHidden/>
          </w:rPr>
          <w:instrText xml:space="preserve"> PAGEREF _Toc131505186 \h </w:instrText>
        </w:r>
        <w:r>
          <w:rPr>
            <w:noProof/>
            <w:webHidden/>
          </w:rPr>
          <w:fldChar w:fldCharType="separate"/>
        </w:r>
        <w:r>
          <w:rPr>
            <w:noProof/>
            <w:webHidden/>
          </w:rPr>
          <w:t>21</w:t>
        </w:r>
        <w:r>
          <w:rPr>
            <w:noProof/>
            <w:webHidden/>
          </w:rPr>
          <w:fldChar w:fldCharType="end"/>
        </w:r>
      </w:hyperlink>
    </w:p>
    <w:p w:rsidR="004C0F10" w14:paraId="1019BBE0" w14:textId="77777777">
      <w:pPr>
        <w:pStyle w:val="TOC2"/>
        <w:rPr>
          <w:rFonts w:asciiTheme="minorHAnsi" w:eastAsiaTheme="minorEastAsia" w:hAnsiTheme="minorHAnsi" w:cstheme="minorBidi"/>
          <w:noProof/>
          <w:sz w:val="22"/>
          <w:szCs w:val="22"/>
        </w:rPr>
      </w:pPr>
      <w:hyperlink w:anchor="_Toc131505187" w:history="1">
        <w:r w:rsidRPr="003D49E5">
          <w:rPr>
            <w:rStyle w:val="Hyperlink"/>
            <w:rFonts w:ascii="Arial Nova" w:hAnsi="Arial Nova" w:cstheme="minorHAnsi"/>
            <w:i/>
            <w:noProof/>
          </w:rPr>
          <w:t>A17. Reason(s) Display of OMB Expi</w:t>
        </w:r>
        <w:r w:rsidRPr="003D49E5">
          <w:rPr>
            <w:rStyle w:val="Hyperlink"/>
            <w:rFonts w:ascii="Arial Nova" w:hAnsi="Arial Nova" w:cstheme="minorHAnsi"/>
            <w:i/>
            <w:noProof/>
          </w:rPr>
          <w:t>ration Date is Inappropriate</w:t>
        </w:r>
        <w:r>
          <w:rPr>
            <w:noProof/>
            <w:webHidden/>
          </w:rPr>
          <w:tab/>
        </w:r>
        <w:r>
          <w:rPr>
            <w:noProof/>
            <w:webHidden/>
          </w:rPr>
          <w:fldChar w:fldCharType="begin"/>
        </w:r>
        <w:r>
          <w:rPr>
            <w:noProof/>
            <w:webHidden/>
          </w:rPr>
          <w:instrText xml:space="preserve"> PAGEREF _Toc131505187 \h </w:instrText>
        </w:r>
        <w:r>
          <w:rPr>
            <w:noProof/>
            <w:webHidden/>
          </w:rPr>
          <w:fldChar w:fldCharType="separate"/>
        </w:r>
        <w:r>
          <w:rPr>
            <w:noProof/>
            <w:webHidden/>
          </w:rPr>
          <w:t>22</w:t>
        </w:r>
        <w:r>
          <w:rPr>
            <w:noProof/>
            <w:webHidden/>
          </w:rPr>
          <w:fldChar w:fldCharType="end"/>
        </w:r>
      </w:hyperlink>
    </w:p>
    <w:p w:rsidR="004C0F10" w14:paraId="46492D8F" w14:textId="77777777">
      <w:pPr>
        <w:pStyle w:val="TOC2"/>
        <w:rPr>
          <w:rFonts w:asciiTheme="minorHAnsi" w:eastAsiaTheme="minorEastAsia" w:hAnsiTheme="minorHAnsi" w:cstheme="minorBidi"/>
          <w:noProof/>
          <w:sz w:val="22"/>
          <w:szCs w:val="22"/>
        </w:rPr>
      </w:pPr>
      <w:hyperlink w:anchor="_Toc131505188" w:history="1">
        <w:r w:rsidRPr="003D49E5">
          <w:rPr>
            <w:rStyle w:val="Hyperlink"/>
            <w:rFonts w:ascii="Arial Nova" w:hAnsi="Arial Nova" w:cstheme="minorHAnsi"/>
            <w:i/>
            <w:noProof/>
          </w:rPr>
          <w:t>A18. Exceptions to Certification for Paperwork Reduction Act Submission</w:t>
        </w:r>
        <w:r>
          <w:rPr>
            <w:noProof/>
            <w:webHidden/>
          </w:rPr>
          <w:tab/>
        </w:r>
        <w:r>
          <w:rPr>
            <w:noProof/>
            <w:webHidden/>
          </w:rPr>
          <w:fldChar w:fldCharType="begin"/>
        </w:r>
        <w:r>
          <w:rPr>
            <w:noProof/>
            <w:webHidden/>
          </w:rPr>
          <w:instrText xml:space="preserve"> PAGEREF _Toc131505188 \h </w:instrText>
        </w:r>
        <w:r>
          <w:rPr>
            <w:noProof/>
            <w:webHidden/>
          </w:rPr>
          <w:fldChar w:fldCharType="separate"/>
        </w:r>
        <w:r>
          <w:rPr>
            <w:noProof/>
            <w:webHidden/>
          </w:rPr>
          <w:t>22</w:t>
        </w:r>
        <w:r>
          <w:rPr>
            <w:noProof/>
            <w:webHidden/>
          </w:rPr>
          <w:fldChar w:fldCharType="end"/>
        </w:r>
      </w:hyperlink>
    </w:p>
    <w:p w:rsidR="004C0F10" w14:paraId="00658EBC" w14:textId="77777777">
      <w:pPr>
        <w:pStyle w:val="TOC1"/>
        <w:rPr>
          <w:rFonts w:asciiTheme="minorHAnsi" w:eastAsiaTheme="minorEastAsia" w:hAnsiTheme="minorHAnsi" w:cstheme="minorBidi"/>
          <w:sz w:val="22"/>
          <w:szCs w:val="22"/>
        </w:rPr>
      </w:pPr>
      <w:hyperlink w:anchor="_Toc131505189" w:history="1">
        <w:r w:rsidRPr="003D49E5">
          <w:rPr>
            <w:rStyle w:val="Hyperlink"/>
          </w:rPr>
          <w:t>REFERENCES</w:t>
        </w:r>
        <w:r>
          <w:rPr>
            <w:webHidden/>
          </w:rPr>
          <w:tab/>
        </w:r>
        <w:r>
          <w:rPr>
            <w:webHidden/>
          </w:rPr>
          <w:fldChar w:fldCharType="begin"/>
        </w:r>
        <w:r>
          <w:rPr>
            <w:webHidden/>
          </w:rPr>
          <w:instrText xml:space="preserve"> PAGEREF _Toc131505189 \h </w:instrText>
        </w:r>
        <w:r>
          <w:rPr>
            <w:webHidden/>
          </w:rPr>
          <w:fldChar w:fldCharType="separate"/>
        </w:r>
        <w:r>
          <w:rPr>
            <w:webHidden/>
          </w:rPr>
          <w:t>23</w:t>
        </w:r>
        <w:r>
          <w:rPr>
            <w:webHidden/>
          </w:rPr>
          <w:fldChar w:fldCharType="end"/>
        </w:r>
      </w:hyperlink>
    </w:p>
    <w:p w:rsidR="005A459E" w:rsidRPr="007B70F8" w:rsidP="00AF61D7" w14:paraId="53217639" w14:textId="77777777">
      <w:pPr>
        <w:pStyle w:val="TOC1"/>
        <w:rPr>
          <w:color w:val="FFFFFF" w:themeColor="background1"/>
        </w:rPr>
      </w:pPr>
      <w:r>
        <w:rPr>
          <w:highlight w:val="lightGray"/>
        </w:rPr>
        <w:fldChar w:fldCharType="end"/>
      </w:r>
      <w:bookmarkStart w:id="2" w:name="_Hlk522972351"/>
    </w:p>
    <w:p w:rsidR="00AE6315" w:rsidRPr="006C6884" w:rsidP="00E1579B" w14:paraId="45C13DD4" w14:textId="77777777">
      <w:pPr>
        <w:spacing w:line="276" w:lineRule="auto"/>
        <w:rPr>
          <w:rFonts w:ascii="Arial Nova" w:hAnsi="Arial Nova"/>
          <w:b/>
        </w:rPr>
      </w:pPr>
    </w:p>
    <w:p w:rsidR="005867E3" w:rsidRPr="006C6884" w:rsidP="006C6884" w14:paraId="216DBD11"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2D4792" w14:paraId="09FB00DB" w14:textId="77777777">
      <w:pPr>
        <w:spacing w:line="276" w:lineRule="auto"/>
        <w:rPr>
          <w:rFonts w:ascii="Arial Nova" w:hAnsi="Arial Nova"/>
          <w:b/>
          <w:color w:val="C75000"/>
        </w:rPr>
      </w:pPr>
      <w:r w:rsidRPr="006C6884">
        <w:rPr>
          <w:rFonts w:ascii="Arial Nova" w:hAnsi="Arial Nova"/>
          <w:b/>
        </w:rPr>
        <w:fldChar w:fldCharType="end"/>
      </w:r>
    </w:p>
    <w:p w:rsidR="002D4792" w:rsidRPr="007509C0" w:rsidP="002D4792" w14:paraId="7D5C9690" w14:textId="77777777">
      <w:pPr>
        <w:pStyle w:val="m-4824437483153403386msocommenttext"/>
        <w:shd w:val="clear" w:color="auto" w:fill="FFFFFF"/>
        <w:spacing w:before="0" w:beforeAutospacing="0" w:after="0" w:afterAutospacing="0" w:line="276" w:lineRule="auto"/>
        <w:rPr>
          <w:rFonts w:ascii="Arial Nova" w:hAnsi="Arial Nova"/>
          <w:iCs/>
        </w:rPr>
      </w:pPr>
      <w:bookmarkStart w:id="3" w:name="_Toc511934869"/>
      <w:bookmarkStart w:id="4" w:name="_Toc329519280"/>
      <w:bookmarkStart w:id="5" w:name="_Toc523105666"/>
      <w:bookmarkEnd w:id="2"/>
      <w:r w:rsidRPr="007509C0">
        <w:rPr>
          <w:rFonts w:ascii="Arial Nova" w:hAnsi="Arial Nova"/>
          <w:iCs/>
        </w:rPr>
        <w:t xml:space="preserve">Attachment 1:   Public Health Service Act </w:t>
      </w:r>
    </w:p>
    <w:p w:rsidR="002D4792" w:rsidRPr="007509C0" w:rsidP="002D4792" w14:paraId="64091DAD"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2:   Federal Register Notice</w:t>
      </w:r>
    </w:p>
    <w:p w:rsidR="002D4792" w:rsidRPr="007509C0" w:rsidP="002D4792" w14:paraId="4CC4705B"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   Overview of</w:t>
      </w:r>
      <w:r w:rsidRPr="007509C0">
        <w:rPr>
          <w:rFonts w:ascii="Arial Nova" w:hAnsi="Arial Nova"/>
          <w:iCs/>
        </w:rPr>
        <w:t xml:space="preserve"> Planned Information Collections</w:t>
      </w:r>
    </w:p>
    <w:p w:rsidR="002D4792" w:rsidRPr="007509C0" w:rsidP="002D4792" w14:paraId="27172C3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3a:  Example Data Collection Instrument – </w:t>
      </w:r>
      <w:r w:rsidR="00C22ED8">
        <w:rPr>
          <w:rFonts w:ascii="Arial Nova" w:hAnsi="Arial Nova"/>
          <w:iCs/>
        </w:rPr>
        <w:t xml:space="preserve">Screenshots </w:t>
      </w:r>
      <w:r w:rsidRPr="007509C0">
        <w:rPr>
          <w:rFonts w:ascii="Arial Nova" w:hAnsi="Arial Nova"/>
          <w:iCs/>
        </w:rPr>
        <w:t>Rough-Cut Testing Survey Screener</w:t>
      </w:r>
      <w:r w:rsidR="00C22ED8">
        <w:rPr>
          <w:rFonts w:ascii="Arial Nova" w:hAnsi="Arial Nova"/>
          <w:iCs/>
        </w:rPr>
        <w:t xml:space="preserve"> </w:t>
      </w:r>
    </w:p>
    <w:p w:rsidR="002D4792" w:rsidRPr="007509C0" w:rsidP="002D4792" w14:paraId="3F086664"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3b:  Example Data Collection Instrument – </w:t>
      </w:r>
      <w:r w:rsidR="00F3051B">
        <w:rPr>
          <w:rFonts w:ascii="Arial Nova" w:hAnsi="Arial Nova"/>
          <w:iCs/>
        </w:rPr>
        <w:t>Screenshots</w:t>
      </w:r>
      <w:r w:rsidRPr="007509C0" w:rsidR="00F3051B">
        <w:rPr>
          <w:rFonts w:ascii="Arial Nova" w:hAnsi="Arial Nova"/>
          <w:iCs/>
        </w:rPr>
        <w:t xml:space="preserve"> </w:t>
      </w:r>
      <w:r w:rsidRPr="007509C0">
        <w:rPr>
          <w:rFonts w:ascii="Arial Nova" w:hAnsi="Arial Nova"/>
          <w:iCs/>
        </w:rPr>
        <w:t xml:space="preserve">Rough-Cut Testing Survey </w:t>
      </w:r>
    </w:p>
    <w:p w:rsidR="002D4792" w:rsidRPr="007509C0" w:rsidP="002D4792" w14:paraId="404CE27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3c:  Example Data </w:t>
      </w:r>
      <w:r w:rsidRPr="007509C0">
        <w:rPr>
          <w:rFonts w:ascii="Arial Nova" w:hAnsi="Arial Nova"/>
          <w:iCs/>
        </w:rPr>
        <w:t>Collection Instrument – Creative Concept Testing Survey Screener</w:t>
      </w:r>
    </w:p>
    <w:p w:rsidR="002D4792" w:rsidRPr="007509C0" w:rsidP="002D4792" w14:paraId="6097FA44"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3d:  Example Data Collection Instrument – Creative Concept Testing Survey</w:t>
      </w:r>
    </w:p>
    <w:p w:rsidR="002D4792" w:rsidRPr="007509C0" w:rsidP="002D4792" w14:paraId="4168EE2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3e:  Example Data Collection Instrument – Creative Concept Testing Focus Group Screener</w:t>
      </w:r>
    </w:p>
    <w:p w:rsidR="002D4792" w:rsidRPr="007509C0" w:rsidP="002D4792" w14:paraId="718513C6"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w:t>
      </w:r>
      <w:r w:rsidRPr="007509C0">
        <w:rPr>
          <w:rFonts w:ascii="Arial Nova" w:hAnsi="Arial Nova"/>
          <w:iCs/>
        </w:rPr>
        <w:t xml:space="preserve">ent 3f:  </w:t>
      </w:r>
      <w:r w:rsidR="00485FE8">
        <w:rPr>
          <w:rFonts w:ascii="Arial Nova" w:hAnsi="Arial Nova"/>
          <w:iCs/>
        </w:rPr>
        <w:t xml:space="preserve"> </w:t>
      </w:r>
      <w:r w:rsidRPr="007509C0">
        <w:rPr>
          <w:rFonts w:ascii="Arial Nova" w:hAnsi="Arial Nova"/>
          <w:iCs/>
        </w:rPr>
        <w:t>Example Data Collection Instrument – Creative Concept Testing Focus Group Moderator’s Guide</w:t>
      </w:r>
    </w:p>
    <w:p w:rsidR="002D4792" w:rsidRPr="007509C0" w:rsidP="002D4792" w14:paraId="1954895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3g: </w:t>
      </w:r>
      <w:r w:rsidR="00485FE8">
        <w:rPr>
          <w:rFonts w:ascii="Arial Nova" w:hAnsi="Arial Nova"/>
          <w:iCs/>
        </w:rPr>
        <w:t xml:space="preserve"> </w:t>
      </w:r>
      <w:r w:rsidRPr="007509C0">
        <w:rPr>
          <w:rFonts w:ascii="Arial Nova" w:hAnsi="Arial Nova"/>
          <w:iCs/>
        </w:rPr>
        <w:t>Example Data Collection Instrument – Screenshots Message Platform Testing Screener</w:t>
      </w:r>
    </w:p>
    <w:p w:rsidR="002D4792" w:rsidRPr="007509C0" w:rsidP="002D4792" w14:paraId="5B24C1F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3h: </w:t>
      </w:r>
      <w:r w:rsidR="00485FE8">
        <w:rPr>
          <w:rFonts w:ascii="Arial Nova" w:hAnsi="Arial Nova"/>
          <w:iCs/>
        </w:rPr>
        <w:t xml:space="preserve"> </w:t>
      </w:r>
      <w:r w:rsidRPr="007509C0">
        <w:rPr>
          <w:rFonts w:ascii="Arial Nova" w:hAnsi="Arial Nova"/>
          <w:iCs/>
        </w:rPr>
        <w:t>Example Data Collection Instrument – Sc</w:t>
      </w:r>
      <w:r w:rsidRPr="007509C0">
        <w:rPr>
          <w:rFonts w:ascii="Arial Nova" w:hAnsi="Arial Nova"/>
          <w:iCs/>
        </w:rPr>
        <w:t>reenshots Message Platform Testing Survey</w:t>
      </w:r>
    </w:p>
    <w:p w:rsidR="002D4792" w:rsidRPr="007509C0" w:rsidP="002D4792" w14:paraId="2C31FCE5"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3i: </w:t>
      </w:r>
      <w:r w:rsidR="00B334B2">
        <w:rPr>
          <w:rFonts w:ascii="Arial Nova" w:hAnsi="Arial Nova"/>
          <w:iCs/>
        </w:rPr>
        <w:t xml:space="preserve"> </w:t>
      </w:r>
      <w:r w:rsidR="00485FE8">
        <w:rPr>
          <w:rFonts w:ascii="Arial Nova" w:hAnsi="Arial Nova"/>
          <w:iCs/>
        </w:rPr>
        <w:t xml:space="preserve"> </w:t>
      </w:r>
      <w:r w:rsidRPr="007509C0">
        <w:rPr>
          <w:rFonts w:ascii="Arial Nova" w:hAnsi="Arial Nova"/>
          <w:iCs/>
        </w:rPr>
        <w:t>Example Data Collection Instrument – Moderator’s Guide For Adults Who Smoke Cigarettes</w:t>
      </w:r>
    </w:p>
    <w:p w:rsidR="002D4792" w:rsidP="002D4792" w14:paraId="14BFA0B4"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3j: </w:t>
      </w:r>
      <w:r w:rsidR="00485FE8">
        <w:rPr>
          <w:rFonts w:ascii="Arial Nova" w:hAnsi="Arial Nova"/>
          <w:iCs/>
        </w:rPr>
        <w:t xml:space="preserve">  </w:t>
      </w:r>
      <w:r w:rsidRPr="007509C0">
        <w:rPr>
          <w:rFonts w:ascii="Arial Nova" w:hAnsi="Arial Nova"/>
          <w:iCs/>
        </w:rPr>
        <w:t>Example Data Collection Instrument – Moderator’s Guide For Adults Who Smoke Cigarettes and Us</w:t>
      </w:r>
      <w:r w:rsidRPr="007509C0">
        <w:rPr>
          <w:rFonts w:ascii="Arial Nova" w:hAnsi="Arial Nova"/>
          <w:iCs/>
        </w:rPr>
        <w:t xml:space="preserve">e E-cigarettes (Dual Use) </w:t>
      </w:r>
    </w:p>
    <w:p w:rsidR="00B266BB" w:rsidP="002D4792" w14:paraId="1684E61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k:</w:t>
      </w:r>
      <w:r w:rsidRPr="00DA10CD" w:rsidR="00DA10CD">
        <w:rPr>
          <w:rFonts w:ascii="Arial Nova" w:hAnsi="Arial Nova"/>
          <w:iCs/>
        </w:rPr>
        <w:t xml:space="preserve"> </w:t>
      </w:r>
      <w:r w:rsidR="00485FE8">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Focus Group </w:t>
      </w:r>
      <w:r w:rsidR="003E4003">
        <w:rPr>
          <w:rFonts w:ascii="Arial Nova" w:hAnsi="Arial Nova"/>
          <w:iCs/>
        </w:rPr>
        <w:t>Screener</w:t>
      </w:r>
    </w:p>
    <w:p w:rsidR="00B266BB" w:rsidP="002D4792" w14:paraId="037CE6BE"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l:</w:t>
      </w:r>
      <w:r w:rsidRPr="00DA10CD" w:rsidR="00DA10CD">
        <w:rPr>
          <w:rFonts w:ascii="Arial Nova" w:hAnsi="Arial Nova"/>
          <w:iCs/>
        </w:rPr>
        <w:t xml:space="preserve"> </w:t>
      </w:r>
      <w:r w:rsidR="00485FE8">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w:t>
      </w:r>
      <w:r w:rsidR="003E4003">
        <w:rPr>
          <w:rFonts w:ascii="Arial Nova" w:hAnsi="Arial Nova"/>
          <w:iCs/>
        </w:rPr>
        <w:t>Focus Group Moderator’s Guide</w:t>
      </w:r>
    </w:p>
    <w:p w:rsidR="00325295" w:rsidP="002D4792" w14:paraId="69ACB254"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m:</w:t>
      </w:r>
      <w:r w:rsidRPr="00DA10CD" w:rsidR="00DA10CD">
        <w:rPr>
          <w:rFonts w:ascii="Arial Nova" w:hAnsi="Arial Nova"/>
          <w:iCs/>
        </w:rPr>
        <w:t xml:space="preserve"> </w:t>
      </w:r>
      <w:r w:rsidRPr="007509C0" w:rsidR="00DA10CD">
        <w:rPr>
          <w:rFonts w:ascii="Arial Nova" w:hAnsi="Arial Nova"/>
          <w:iCs/>
        </w:rPr>
        <w:t>Example Data Collection Instrument –</w:t>
      </w:r>
      <w:r w:rsidR="00DA10CD">
        <w:rPr>
          <w:rFonts w:ascii="Arial Nova" w:hAnsi="Arial Nova"/>
          <w:iCs/>
        </w:rPr>
        <w:t xml:space="preserve"> Emerging Tobacco Products: </w:t>
      </w:r>
      <w:r w:rsidR="003E4003">
        <w:rPr>
          <w:rFonts w:ascii="Arial Nova" w:hAnsi="Arial Nova"/>
          <w:iCs/>
        </w:rPr>
        <w:t>Survey Questionnaire Eligibility Screener</w:t>
      </w:r>
    </w:p>
    <w:p w:rsidR="00DA10CD" w:rsidRPr="007509C0" w:rsidP="002D4792" w14:paraId="21424045"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n:</w:t>
      </w:r>
      <w:r w:rsidRPr="00DA10CD">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Survey Questionnaire </w:t>
      </w:r>
    </w:p>
    <w:p w:rsidR="002D4792" w:rsidRPr="007509C0" w:rsidP="002D4792" w14:paraId="05A8654C"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4:   Example Institutional Review Board Approval Letter </w:t>
      </w:r>
    </w:p>
    <w:p w:rsidR="00E23C89" w:rsidP="002D4792" w14:paraId="2842BA00" w14:textId="77777777">
      <w:pPr>
        <w:spacing w:line="276" w:lineRule="auto"/>
        <w:rPr>
          <w:rFonts w:ascii="Arial Nova" w:hAnsi="Arial Nova"/>
          <w:iCs/>
        </w:rPr>
      </w:pPr>
      <w:r w:rsidRPr="007509C0">
        <w:rPr>
          <w:rFonts w:ascii="Arial Nova" w:hAnsi="Arial Nova"/>
          <w:iCs/>
        </w:rPr>
        <w:t>Attachment 5:   Example Informed Consent Form</w:t>
      </w:r>
    </w:p>
    <w:p w:rsidR="00E5303E" w:rsidP="002D4792" w14:paraId="22E65DFB" w14:textId="77777777">
      <w:pPr>
        <w:spacing w:line="276" w:lineRule="auto"/>
        <w:rPr>
          <w:rFonts w:ascii="Arial Nova" w:hAnsi="Arial Nova"/>
          <w:iCs/>
        </w:rPr>
      </w:pPr>
      <w:r>
        <w:rPr>
          <w:rFonts w:ascii="Arial Nova" w:hAnsi="Arial Nova"/>
          <w:iCs/>
        </w:rPr>
        <w:t>Attachment 6:   Toluna Privacy Policy</w:t>
      </w:r>
    </w:p>
    <w:p w:rsidR="00E13F61" w:rsidP="00E13F61" w14:paraId="7AB020B3" w14:textId="77777777">
      <w:pPr>
        <w:spacing w:line="276" w:lineRule="auto"/>
        <w:rPr>
          <w:rFonts w:ascii="Arial Nova" w:hAnsi="Arial Nova"/>
          <w:iCs/>
        </w:rPr>
      </w:pPr>
      <w:r>
        <w:rPr>
          <w:rFonts w:ascii="Arial Nova" w:hAnsi="Arial Nova"/>
          <w:iCs/>
        </w:rPr>
        <w:t>Attachment 7:   Example Reminder Invitations</w:t>
      </w:r>
    </w:p>
    <w:p w:rsidR="00E13F61" w:rsidP="002D4792" w14:paraId="51E36DE9" w14:textId="77777777">
      <w:pPr>
        <w:spacing w:line="276" w:lineRule="auto"/>
        <w:rPr>
          <w:rFonts w:ascii="Arial Nova" w:hAnsi="Arial Nova"/>
          <w:iCs/>
        </w:rPr>
      </w:pPr>
    </w:p>
    <w:p w:rsidR="002D4792" w:rsidP="002D4792" w14:paraId="1CFC594A" w14:textId="77777777">
      <w:pPr>
        <w:spacing w:line="276" w:lineRule="auto"/>
        <w:ind w:left="360" w:hanging="180"/>
        <w:rPr>
          <w:rFonts w:ascii="Arial Nova" w:hAnsi="Arial Nova"/>
          <w:i/>
          <w:color w:val="F79646" w:themeColor="accent6"/>
        </w:rPr>
      </w:pPr>
    </w:p>
    <w:p w:rsidR="00B31A72" w14:paraId="17FA36F7" w14:textId="77777777">
      <w:pPr>
        <w:rPr>
          <w:rFonts w:ascii="Arial Nova" w:hAnsi="Arial Nova" w:cstheme="minorHAnsi"/>
          <w:b/>
        </w:rPr>
      </w:pPr>
      <w:r>
        <w:rPr>
          <w:rFonts w:ascii="Arial Nova" w:hAnsi="Arial Nova" w:cstheme="minorHAnsi"/>
          <w:b/>
        </w:rPr>
        <w:br w:type="page"/>
      </w:r>
    </w:p>
    <w:p w:rsidR="00E23C89" w:rsidP="00E23C89" w14:paraId="751B555A" w14:textId="77777777">
      <w:pPr>
        <w:spacing w:line="276" w:lineRule="auto"/>
        <w:rPr>
          <w:rFonts w:ascii="Arial Nova" w:hAnsi="Arial Nova" w:cstheme="minorHAnsi"/>
          <w:b/>
        </w:rPr>
      </w:pPr>
      <w:r>
        <w:rPr>
          <w:rFonts w:ascii="Arial Nova" w:hAnsi="Arial Nova" w:cstheme="minorHAnsi"/>
          <w:b/>
        </w:rPr>
        <w:t>JUSTIFICATION SUMMARY</w:t>
      </w:r>
    </w:p>
    <w:p w:rsidR="00E23C89" w:rsidRPr="00AF61D7" w:rsidP="001107D3" w14:paraId="34A663AB" w14:textId="77777777">
      <w:pPr>
        <w:spacing w:line="276" w:lineRule="auto"/>
        <w:rPr>
          <w:rFonts w:ascii="Arial Nova" w:hAnsi="Arial Nova"/>
          <w:b/>
          <w:color w:val="F79646" w:themeColor="accent6"/>
        </w:rPr>
      </w:pPr>
      <w:r w:rsidRPr="00EA4DF0">
        <w:rPr>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A820A1" w:rsidP="00501B49" w14:paraId="111DCF28"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F51D9">
                              <w:rPr>
                                <w:rFonts w:ascii="Arial Nova" w:hAnsi="Arial Nova"/>
                                <w:b/>
                              </w:rPr>
                              <w:t>Goal of the project:</w:t>
                            </w:r>
                            <w:r w:rsidRPr="004F51D9">
                              <w:rPr>
                                <w:rFonts w:ascii="Arial Nova" w:hAnsi="Arial Nova"/>
                                <w:sz w:val="20"/>
                              </w:rPr>
                              <w:t xml:space="preserve"> </w:t>
                            </w:r>
                            <w:r w:rsidRPr="004F51D9" w:rsidR="00966BE5">
                              <w:rPr>
                                <w:rFonts w:ascii="Arial Nova" w:hAnsi="Arial Nova"/>
                              </w:rPr>
                              <w:t>The primary purpose and use of information collected under MTTCA is to inform the development and pretesting of materials for the Centers for Disease Control and Prevention’s (CDC) ongoing national tobacco education campaign (NTEC). The MTTCA clearance is also used to develop other health messages that are not specifically associated with the NTEC (e.g.</w:t>
                            </w:r>
                            <w:r w:rsidR="004F51D9">
                              <w:rPr>
                                <w:rFonts w:ascii="Arial Nova" w:hAnsi="Arial Nova"/>
                              </w:rPr>
                              <w:t>,</w:t>
                            </w:r>
                            <w:r w:rsidRPr="004F51D9" w:rsidR="00966BE5">
                              <w:rPr>
                                <w:rFonts w:ascii="Arial Nova" w:hAnsi="Arial Nova"/>
                              </w:rPr>
                              <w:t xml:space="preserve"> </w:t>
                            </w:r>
                            <w:r w:rsidR="0062710E">
                              <w:rPr>
                                <w:rFonts w:ascii="Arial Nova" w:hAnsi="Arial Nova"/>
                              </w:rPr>
                              <w:t xml:space="preserve">emerging </w:t>
                            </w:r>
                            <w:r w:rsidR="00514FAD">
                              <w:rPr>
                                <w:rFonts w:ascii="Arial Nova" w:hAnsi="Arial Nova"/>
                              </w:rPr>
                              <w:t xml:space="preserve">tobacco products communication initiative, </w:t>
                            </w:r>
                            <w:r w:rsidRPr="004F51D9" w:rsidR="00966BE5">
                              <w:rPr>
                                <w:rFonts w:ascii="Arial Nova" w:hAnsi="Arial Nova"/>
                              </w:rPr>
                              <w:t>Surgeon General’s Reports, etc.). There is also a need to continue to test prevention and cessation messages related to combustible tobacco products</w:t>
                            </w:r>
                            <w:r w:rsidR="00501B49">
                              <w:rPr>
                                <w:rFonts w:ascii="Arial Nova" w:hAnsi="Arial Nova"/>
                              </w:rPr>
                              <w:t xml:space="preserve"> (e.g., </w:t>
                            </w:r>
                            <w:r w:rsidRPr="005F100C" w:rsidR="00501B49">
                              <w:rPr>
                                <w:rFonts w:ascii="Arial Nova" w:hAnsi="Arial Nova"/>
                              </w:rPr>
                              <w:t>cigarettes, cigar/little cigars, and cigarillos</w:t>
                            </w:r>
                            <w:r w:rsidR="00501B49">
                              <w:rPr>
                                <w:rFonts w:ascii="Arial Nova" w:hAnsi="Arial Nova"/>
                              </w:rPr>
                              <w:t>)</w:t>
                            </w:r>
                            <w:r w:rsidRPr="004F51D9" w:rsidR="00966BE5">
                              <w:rPr>
                                <w:rFonts w:ascii="Arial Nova" w:hAnsi="Arial Nova"/>
                              </w:rPr>
                              <w:t xml:space="preserve"> and non-combustible products</w:t>
                            </w:r>
                            <w:r w:rsidR="00501B49">
                              <w:rPr>
                                <w:rFonts w:ascii="Arial Nova" w:hAnsi="Arial Nova"/>
                              </w:rPr>
                              <w:t xml:space="preserve"> </w:t>
                            </w:r>
                            <w:r w:rsidRPr="005F100C" w:rsidR="00501B49">
                              <w:rPr>
                                <w:rFonts w:ascii="Arial Nova" w:hAnsi="Arial Nova"/>
                              </w:rPr>
                              <w:t>(e.g.</w:t>
                            </w:r>
                            <w:r w:rsidR="00501B49">
                              <w:rPr>
                                <w:rFonts w:ascii="Arial Nova" w:hAnsi="Arial Nova"/>
                              </w:rPr>
                              <w:t>,</w:t>
                            </w:r>
                            <w:r w:rsidRPr="005F100C" w:rsidR="00501B49">
                              <w:rPr>
                                <w:rFonts w:ascii="Arial Nova" w:hAnsi="Arial Nova"/>
                              </w:rPr>
                              <w:t xml:space="preserve"> electronic cigarettes or e-cigarettes</w:t>
                            </w:r>
                            <w:r w:rsidR="00501B49">
                              <w:rPr>
                                <w:rFonts w:ascii="Arial Nova" w:hAnsi="Arial Nova"/>
                              </w:rPr>
                              <w:t>, heated tobacco products</w:t>
                            </w:r>
                            <w:r w:rsidRPr="005F100C" w:rsidR="00501B49">
                              <w:rPr>
                                <w:rFonts w:ascii="Arial Nova" w:hAnsi="Arial Nova"/>
                              </w:rPr>
                              <w:t>).</w:t>
                            </w:r>
                          </w:p>
                          <w:p w:rsidR="00634F7E" w:rsidRPr="004F51D9" w:rsidP="00A820A1" w14:paraId="3FA0DABE"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634F7E" w:rsidRPr="004F51D9" w:rsidP="005F100C" w14:paraId="18F4811E" w14:textId="77777777">
                            <w:pPr>
                              <w:spacing w:after="200" w:line="276" w:lineRule="auto"/>
                              <w:rPr>
                                <w:rFonts w:ascii="Arial Nova" w:hAnsi="Arial Nova"/>
                                <w:b/>
                              </w:rPr>
                            </w:pPr>
                            <w:r w:rsidRPr="004F51D9">
                              <w:rPr>
                                <w:rFonts w:ascii="Arial Nova" w:hAnsi="Arial Nova"/>
                                <w:b/>
                              </w:rPr>
                              <w:t xml:space="preserve">Intended use of the resulting data: </w:t>
                            </w:r>
                            <w:r w:rsidRPr="004F51D9" w:rsidR="00966BE5">
                              <w:rPr>
                                <w:rFonts w:ascii="Arial Nova" w:hAnsi="Arial Nova"/>
                              </w:rPr>
                              <w:t>CDC will continue to use the MTTCA clearance to develop and test messages and materials for NTEC, as well as CDC’s ongoing programmatic initiatives including, but not limited to, reports from the Office of the Surgeon General</w:t>
                            </w:r>
                            <w:r w:rsidR="00427F6F">
                              <w:rPr>
                                <w:rFonts w:ascii="Arial Nova" w:hAnsi="Arial Nova"/>
                              </w:rPr>
                              <w:t xml:space="preserve"> </w:t>
                            </w:r>
                            <w:r w:rsidRPr="004F51D9" w:rsidR="00966BE5">
                              <w:rPr>
                                <w:rFonts w:ascii="Arial Nova" w:hAnsi="Arial Nova"/>
                              </w:rPr>
                              <w:t xml:space="preserve">and other communication efforts and materials.  </w:t>
                            </w:r>
                          </w:p>
                          <w:p w:rsidR="00634F7E" w:rsidRPr="004F51D9" w:rsidP="005F100C" w14:paraId="770A2A6C" w14:textId="77777777">
                            <w:pPr>
                              <w:spacing w:after="200" w:line="276" w:lineRule="auto"/>
                              <w:rPr>
                                <w:rFonts w:ascii="Arial Nova" w:hAnsi="Arial Nova"/>
                                <w:b/>
                              </w:rPr>
                            </w:pPr>
                            <w:r w:rsidRPr="004F51D9">
                              <w:rPr>
                                <w:rFonts w:ascii="Arial Nova" w:hAnsi="Arial Nova"/>
                                <w:b/>
                              </w:rPr>
                              <w:t xml:space="preserve">Methods to be used to collect: </w:t>
                            </w:r>
                            <w:r w:rsidRPr="004F51D9" w:rsidR="00966BE5">
                              <w:rPr>
                                <w:rFonts w:ascii="Arial Nova" w:hAnsi="Arial Nova"/>
                              </w:rPr>
                              <w:t xml:space="preserve">A variety of qualitative and quantitative information collection strategies are supported through this mechanism, including in-depth interviews; in-person </w:t>
                            </w:r>
                            <w:r w:rsidR="00F56225">
                              <w:rPr>
                                <w:rFonts w:ascii="Arial Nova" w:hAnsi="Arial Nova"/>
                              </w:rPr>
                              <w:t>and</w:t>
                            </w:r>
                            <w:r w:rsidRPr="004F51D9" w:rsidR="00966BE5">
                              <w:rPr>
                                <w:rFonts w:ascii="Arial Nova" w:hAnsi="Arial Nova"/>
                              </w:rPr>
                              <w:t xml:space="preserve"> online focus groups; </w:t>
                            </w:r>
                            <w:r w:rsidR="00D129CF">
                              <w:rPr>
                                <w:rFonts w:ascii="Arial Nova" w:hAnsi="Arial Nova"/>
                              </w:rPr>
                              <w:t xml:space="preserve">and </w:t>
                            </w:r>
                            <w:r w:rsidRPr="004F51D9" w:rsidR="00966BE5">
                              <w:rPr>
                                <w:rFonts w:ascii="Arial Nova" w:hAnsi="Arial Nova"/>
                              </w:rPr>
                              <w:t>online surveys.</w:t>
                            </w:r>
                          </w:p>
                          <w:p w:rsidR="00634F7E" w:rsidRPr="004F51D9" w:rsidP="005F100C" w14:paraId="5C0A58DC" w14:textId="77777777">
                            <w:pPr>
                              <w:spacing w:after="200" w:line="276" w:lineRule="auto"/>
                              <w:rPr>
                                <w:rFonts w:ascii="Arial Nova" w:hAnsi="Arial Nova"/>
                                <w:highlight w:val="yellow"/>
                              </w:rPr>
                            </w:pPr>
                            <w:r w:rsidRPr="004F51D9">
                              <w:rPr>
                                <w:rFonts w:ascii="Arial Nova" w:hAnsi="Arial Nova"/>
                                <w:b/>
                              </w:rPr>
                              <w:t>The subpo</w:t>
                            </w:r>
                            <w:r w:rsidRPr="004F51D9">
                              <w:rPr>
                                <w:rFonts w:ascii="Arial Nova" w:hAnsi="Arial Nova"/>
                                <w:b/>
                              </w:rPr>
                              <w:t xml:space="preserve">pulation to be studied: </w:t>
                            </w:r>
                            <w:r w:rsidRPr="004F51D9" w:rsidR="00966BE5">
                              <w:rPr>
                                <w:rFonts w:ascii="Arial Nova" w:hAnsi="Arial Nova"/>
                              </w:rPr>
                              <w:t>The study population will be adults who smoke and adults who do</w:t>
                            </w:r>
                            <w:r w:rsidR="00F52704">
                              <w:rPr>
                                <w:rFonts w:ascii="Arial Nova" w:hAnsi="Arial Nova"/>
                              </w:rPr>
                              <w:t xml:space="preserve"> not</w:t>
                            </w:r>
                            <w:r w:rsidRPr="004F51D9" w:rsidR="00966BE5">
                              <w:rPr>
                                <w:rFonts w:ascii="Arial Nova" w:hAnsi="Arial Nova"/>
                              </w:rPr>
                              <w:t xml:space="preserve"> smoke aged 18</w:t>
                            </w:r>
                            <w:r w:rsidR="00C76FD3">
                              <w:rPr>
                                <w:rFonts w:ascii="Arial Nova" w:hAnsi="Arial Nova"/>
                              </w:rPr>
                              <w:t xml:space="preserve"> </w:t>
                            </w:r>
                            <w:r w:rsidRPr="004F51D9" w:rsidR="00966BE5">
                              <w:rPr>
                                <w:rFonts w:ascii="Arial Nova" w:hAnsi="Arial Nova"/>
                              </w:rPr>
                              <w:t>years</w:t>
                            </w:r>
                            <w:r w:rsidR="00C76FD3">
                              <w:rPr>
                                <w:rFonts w:ascii="Arial Nova" w:hAnsi="Arial Nova"/>
                              </w:rPr>
                              <w:t xml:space="preserve"> and older</w:t>
                            </w:r>
                            <w:r w:rsidRPr="004F51D9" w:rsidR="00966BE5">
                              <w:rPr>
                                <w:rFonts w:ascii="Arial Nova" w:hAnsi="Arial Nova"/>
                              </w:rPr>
                              <w:t>. The existing clearance also includes youth aged 13-17 years.</w:t>
                            </w:r>
                          </w:p>
                          <w:p w:rsidR="00634F7E" w:rsidRPr="004F51D9" w:rsidP="005F100C" w14:paraId="13FFD1DB" w14:textId="77777777">
                            <w:pPr>
                              <w:spacing w:after="200" w:line="276" w:lineRule="auto"/>
                              <w:rPr>
                                <w:rFonts w:ascii="Arial Nova" w:hAnsi="Arial Nova"/>
                                <w:b/>
                              </w:rPr>
                            </w:pPr>
                            <w:r w:rsidRPr="004F51D9">
                              <w:rPr>
                                <w:rFonts w:ascii="Arial Nova" w:hAnsi="Arial Nova"/>
                                <w:b/>
                              </w:rPr>
                              <w:t xml:space="preserve">How data will be analyzed: </w:t>
                            </w:r>
                            <w:r w:rsidRPr="004F51D9" w:rsidR="00966BE5">
                              <w:rPr>
                                <w:rFonts w:ascii="Arial Nova" w:hAnsi="Arial Nova"/>
                              </w:rPr>
                              <w:t>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A820A1" w:rsidP="00501B49" w14:paraId="2EE3E611" w14:textId="7357501B">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4F51D9">
                        <w:rPr>
                          <w:rFonts w:ascii="Arial Nova" w:hAnsi="Arial Nova"/>
                          <w:b/>
                        </w:rPr>
                        <w:t>Goal of the project:</w:t>
                      </w:r>
                      <w:r w:rsidRPr="004F51D9">
                        <w:rPr>
                          <w:rFonts w:ascii="Arial Nova" w:hAnsi="Arial Nova"/>
                          <w:sz w:val="20"/>
                        </w:rPr>
                        <w:t xml:space="preserve"> </w:t>
                      </w:r>
                      <w:r w:rsidRPr="004F51D9" w:rsidR="00966BE5">
                        <w:rPr>
                          <w:rFonts w:ascii="Arial Nova" w:hAnsi="Arial Nova"/>
                        </w:rPr>
                        <w:t>The primary purpose and use of information collected under MTTCA is to inform the development and pretesting of materials for the Centers for Disease Control and Prevention’s (CDC) ongoing national tobacco education campaign (NTEC). The MTTCA clearance is also used to develop other health messages that are not specifically associated with the NTEC (e.g.</w:t>
                      </w:r>
                      <w:r w:rsidR="004F51D9">
                        <w:rPr>
                          <w:rFonts w:ascii="Arial Nova" w:hAnsi="Arial Nova"/>
                        </w:rPr>
                        <w:t>,</w:t>
                      </w:r>
                      <w:r w:rsidRPr="004F51D9" w:rsidR="00966BE5">
                        <w:rPr>
                          <w:rFonts w:ascii="Arial Nova" w:hAnsi="Arial Nova"/>
                        </w:rPr>
                        <w:t xml:space="preserve"> </w:t>
                      </w:r>
                      <w:r w:rsidR="0062710E">
                        <w:rPr>
                          <w:rFonts w:ascii="Arial Nova" w:hAnsi="Arial Nova"/>
                        </w:rPr>
                        <w:t xml:space="preserve">emerging </w:t>
                      </w:r>
                      <w:r w:rsidR="00514FAD">
                        <w:rPr>
                          <w:rFonts w:ascii="Arial Nova" w:hAnsi="Arial Nova"/>
                        </w:rPr>
                        <w:t xml:space="preserve">tobacco products communication initiative, </w:t>
                      </w:r>
                      <w:r w:rsidRPr="004F51D9" w:rsidR="00966BE5">
                        <w:rPr>
                          <w:rFonts w:ascii="Arial Nova" w:hAnsi="Arial Nova"/>
                        </w:rPr>
                        <w:t>Surgeon General’s Reports, etc.). There is also a need to continue to test prevention and cessation messages related to combustible tobacco products</w:t>
                      </w:r>
                      <w:r w:rsidR="00501B49">
                        <w:rPr>
                          <w:rFonts w:ascii="Arial Nova" w:hAnsi="Arial Nova"/>
                        </w:rPr>
                        <w:t xml:space="preserve"> (e.g., </w:t>
                      </w:r>
                      <w:r w:rsidRPr="005F100C" w:rsidR="00501B49">
                        <w:rPr>
                          <w:rFonts w:ascii="Arial Nova" w:hAnsi="Arial Nova"/>
                        </w:rPr>
                        <w:t>cigarettes, cigar/little cigars, and cigarillos</w:t>
                      </w:r>
                      <w:r w:rsidR="00501B49">
                        <w:rPr>
                          <w:rFonts w:ascii="Arial Nova" w:hAnsi="Arial Nova"/>
                        </w:rPr>
                        <w:t>)</w:t>
                      </w:r>
                      <w:r w:rsidRPr="004F51D9" w:rsidR="00966BE5">
                        <w:rPr>
                          <w:rFonts w:ascii="Arial Nova" w:hAnsi="Arial Nova"/>
                        </w:rPr>
                        <w:t xml:space="preserve"> and non-combustible products</w:t>
                      </w:r>
                      <w:r w:rsidR="00501B49">
                        <w:rPr>
                          <w:rFonts w:ascii="Arial Nova" w:hAnsi="Arial Nova"/>
                        </w:rPr>
                        <w:t xml:space="preserve"> </w:t>
                      </w:r>
                      <w:r w:rsidRPr="005F100C" w:rsidR="00501B49">
                        <w:rPr>
                          <w:rFonts w:ascii="Arial Nova" w:hAnsi="Arial Nova"/>
                        </w:rPr>
                        <w:t>(e.g.</w:t>
                      </w:r>
                      <w:r w:rsidR="00501B49">
                        <w:rPr>
                          <w:rFonts w:ascii="Arial Nova" w:hAnsi="Arial Nova"/>
                        </w:rPr>
                        <w:t>,</w:t>
                      </w:r>
                      <w:r w:rsidRPr="005F100C" w:rsidR="00501B49">
                        <w:rPr>
                          <w:rFonts w:ascii="Arial Nova" w:hAnsi="Arial Nova"/>
                        </w:rPr>
                        <w:t xml:space="preserve"> electronic cigarettes or e-cigarettes</w:t>
                      </w:r>
                      <w:r w:rsidR="00501B49">
                        <w:rPr>
                          <w:rFonts w:ascii="Arial Nova" w:hAnsi="Arial Nova"/>
                        </w:rPr>
                        <w:t>, heated tobacco products</w:t>
                      </w:r>
                      <w:r w:rsidRPr="005F100C" w:rsidR="00501B49">
                        <w:rPr>
                          <w:rFonts w:ascii="Arial Nova" w:hAnsi="Arial Nova"/>
                        </w:rPr>
                        <w:t>).</w:t>
                      </w:r>
                    </w:p>
                    <w:p w:rsidR="00634F7E" w:rsidRPr="004F51D9" w:rsidP="00A820A1" w14:paraId="3E8F3D13" w14:textId="7C03FD29">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634F7E" w:rsidRPr="004F51D9" w:rsidP="005F100C" w14:paraId="1826D60D" w14:textId="70980EA1">
                      <w:pPr>
                        <w:spacing w:after="200" w:line="276" w:lineRule="auto"/>
                        <w:rPr>
                          <w:rFonts w:ascii="Arial Nova" w:hAnsi="Arial Nova"/>
                          <w:b/>
                        </w:rPr>
                      </w:pPr>
                      <w:r w:rsidRPr="004F51D9">
                        <w:rPr>
                          <w:rFonts w:ascii="Arial Nova" w:hAnsi="Arial Nova"/>
                          <w:b/>
                        </w:rPr>
                        <w:t xml:space="preserve">Intended use of the resulting data: </w:t>
                      </w:r>
                      <w:r w:rsidRPr="004F51D9" w:rsidR="00966BE5">
                        <w:rPr>
                          <w:rFonts w:ascii="Arial Nova" w:hAnsi="Arial Nova"/>
                        </w:rPr>
                        <w:t>CDC will continue to use the MTTCA clearance to develop and test messages and materials for NTEC, as well as CDC’s ongoing programmatic initiatives including, but not limited to, reports from the Office of the Surgeon General</w:t>
                      </w:r>
                      <w:r w:rsidR="00427F6F">
                        <w:rPr>
                          <w:rFonts w:ascii="Arial Nova" w:hAnsi="Arial Nova"/>
                        </w:rPr>
                        <w:t xml:space="preserve"> </w:t>
                      </w:r>
                      <w:r w:rsidRPr="004F51D9" w:rsidR="00966BE5">
                        <w:rPr>
                          <w:rFonts w:ascii="Arial Nova" w:hAnsi="Arial Nova"/>
                        </w:rPr>
                        <w:t>and other communication efforts and materials</w:t>
                      </w:r>
                      <w:r w:rsidRPr="004F51D9" w:rsidR="00966BE5">
                        <w:rPr>
                          <w:rFonts w:ascii="Arial Nova" w:hAnsi="Arial Nova"/>
                        </w:rPr>
                        <w:t xml:space="preserve">.  </w:t>
                      </w:r>
                    </w:p>
                    <w:p w:rsidR="00634F7E" w:rsidRPr="004F51D9" w:rsidP="005F100C" w14:paraId="24EE6387" w14:textId="448EB82E">
                      <w:pPr>
                        <w:spacing w:after="200" w:line="276" w:lineRule="auto"/>
                        <w:rPr>
                          <w:rFonts w:ascii="Arial Nova" w:hAnsi="Arial Nova"/>
                          <w:b/>
                        </w:rPr>
                      </w:pPr>
                      <w:r w:rsidRPr="004F51D9">
                        <w:rPr>
                          <w:rFonts w:ascii="Arial Nova" w:hAnsi="Arial Nova"/>
                          <w:b/>
                        </w:rPr>
                        <w:t xml:space="preserve">Methods to be used to </w:t>
                      </w:r>
                      <w:r w:rsidRPr="004F51D9">
                        <w:rPr>
                          <w:rFonts w:ascii="Arial Nova" w:hAnsi="Arial Nova"/>
                          <w:b/>
                        </w:rPr>
                        <w:t>collect:</w:t>
                      </w:r>
                      <w:r w:rsidRPr="004F51D9">
                        <w:rPr>
                          <w:rFonts w:ascii="Arial Nova" w:hAnsi="Arial Nova"/>
                          <w:b/>
                        </w:rPr>
                        <w:t xml:space="preserve"> </w:t>
                      </w:r>
                      <w:r w:rsidRPr="004F51D9" w:rsidR="00966BE5">
                        <w:rPr>
                          <w:rFonts w:ascii="Arial Nova" w:hAnsi="Arial Nova"/>
                        </w:rPr>
                        <w:t xml:space="preserve">A variety of qualitative and quantitative information collection strategies are supported through this mechanism, including in-depth interviews; in-person </w:t>
                      </w:r>
                      <w:r w:rsidR="00F56225">
                        <w:rPr>
                          <w:rFonts w:ascii="Arial Nova" w:hAnsi="Arial Nova"/>
                        </w:rPr>
                        <w:t>and</w:t>
                      </w:r>
                      <w:r w:rsidRPr="004F51D9" w:rsidR="00966BE5">
                        <w:rPr>
                          <w:rFonts w:ascii="Arial Nova" w:hAnsi="Arial Nova"/>
                        </w:rPr>
                        <w:t xml:space="preserve"> online focus groups; </w:t>
                      </w:r>
                      <w:r w:rsidR="00D129CF">
                        <w:rPr>
                          <w:rFonts w:ascii="Arial Nova" w:hAnsi="Arial Nova"/>
                        </w:rPr>
                        <w:t xml:space="preserve">and </w:t>
                      </w:r>
                      <w:r w:rsidRPr="004F51D9" w:rsidR="00966BE5">
                        <w:rPr>
                          <w:rFonts w:ascii="Arial Nova" w:hAnsi="Arial Nova"/>
                        </w:rPr>
                        <w:t>online surveys.</w:t>
                      </w:r>
                    </w:p>
                    <w:p w:rsidR="00634F7E" w:rsidRPr="004F51D9" w:rsidP="005F100C" w14:paraId="686CEB5C" w14:textId="6D686CA2">
                      <w:pPr>
                        <w:spacing w:after="200" w:line="276" w:lineRule="auto"/>
                        <w:rPr>
                          <w:rFonts w:ascii="Arial Nova" w:hAnsi="Arial Nova"/>
                          <w:highlight w:val="yellow"/>
                        </w:rPr>
                      </w:pPr>
                      <w:r w:rsidRPr="004F51D9">
                        <w:rPr>
                          <w:rFonts w:ascii="Arial Nova" w:hAnsi="Arial Nova"/>
                          <w:b/>
                        </w:rPr>
                        <w:t xml:space="preserve">The subpopulation to be studied: </w:t>
                      </w:r>
                      <w:r w:rsidRPr="004F51D9" w:rsidR="00966BE5">
                        <w:rPr>
                          <w:rFonts w:ascii="Arial Nova" w:hAnsi="Arial Nova"/>
                        </w:rPr>
                        <w:t>The study population will be adults who smoke and adults who do</w:t>
                      </w:r>
                      <w:r w:rsidR="00F52704">
                        <w:rPr>
                          <w:rFonts w:ascii="Arial Nova" w:hAnsi="Arial Nova"/>
                        </w:rPr>
                        <w:t xml:space="preserve"> not</w:t>
                      </w:r>
                      <w:r w:rsidRPr="004F51D9" w:rsidR="00966BE5">
                        <w:rPr>
                          <w:rFonts w:ascii="Arial Nova" w:hAnsi="Arial Nova"/>
                        </w:rPr>
                        <w:t xml:space="preserve"> smoke aged 18</w:t>
                      </w:r>
                      <w:r w:rsidR="00C76FD3">
                        <w:rPr>
                          <w:rFonts w:ascii="Arial Nova" w:hAnsi="Arial Nova"/>
                        </w:rPr>
                        <w:t xml:space="preserve"> </w:t>
                      </w:r>
                      <w:r w:rsidRPr="004F51D9" w:rsidR="00966BE5">
                        <w:rPr>
                          <w:rFonts w:ascii="Arial Nova" w:hAnsi="Arial Nova"/>
                        </w:rPr>
                        <w:t>years</w:t>
                      </w:r>
                      <w:r w:rsidR="00C76FD3">
                        <w:rPr>
                          <w:rFonts w:ascii="Arial Nova" w:hAnsi="Arial Nova"/>
                        </w:rPr>
                        <w:t xml:space="preserve"> and older</w:t>
                      </w:r>
                      <w:r w:rsidRPr="004F51D9" w:rsidR="00966BE5">
                        <w:rPr>
                          <w:rFonts w:ascii="Arial Nova" w:hAnsi="Arial Nova"/>
                        </w:rPr>
                        <w:t>. The existing clearance also includes youth aged 13-17 years.</w:t>
                      </w:r>
                    </w:p>
                    <w:p w:rsidR="00634F7E" w:rsidRPr="004F51D9" w:rsidP="005F100C" w14:paraId="358E26E7" w14:textId="1AAECA79">
                      <w:pPr>
                        <w:spacing w:after="200" w:line="276" w:lineRule="auto"/>
                        <w:rPr>
                          <w:rFonts w:ascii="Arial Nova" w:hAnsi="Arial Nova"/>
                          <w:b/>
                        </w:rPr>
                      </w:pPr>
                      <w:r w:rsidRPr="004F51D9">
                        <w:rPr>
                          <w:rFonts w:ascii="Arial Nova" w:hAnsi="Arial Nova"/>
                          <w:b/>
                        </w:rPr>
                        <w:t xml:space="preserve">How data will be analyzed: </w:t>
                      </w:r>
                      <w:r w:rsidRPr="004F51D9" w:rsidR="00966BE5">
                        <w:rPr>
                          <w:rFonts w:ascii="Arial Nova" w:hAnsi="Arial Nova"/>
                        </w:rPr>
                        <w:t>Quantitative data will be analyzed using aggregate measures such as percentages and means. The qualitative data will be analyzed using thematic analysis. Focus group responses will be completely transcribed and read thoroughly, and codes will be created manually to identify themes and patterns of response.</w:t>
                      </w:r>
                    </w:p>
                  </w:txbxContent>
                </v:textbox>
                <w10:wrap type="none"/>
                <w10:anchorlock/>
              </v:shape>
            </w:pict>
          </mc:Fallback>
        </mc:AlternateContent>
      </w:r>
    </w:p>
    <w:p w:rsidR="00347B64" w:rsidRPr="00347B64" w:rsidP="00347B64" w14:paraId="6E4A6844" w14:textId="77777777">
      <w:pPr>
        <w:spacing w:line="276" w:lineRule="auto"/>
        <w:outlineLvl w:val="0"/>
        <w:rPr>
          <w:rFonts w:ascii="Arial Nova" w:hAnsi="Arial Nova" w:cstheme="minorHAnsi"/>
          <w:b/>
        </w:rPr>
      </w:pPr>
    </w:p>
    <w:p w:rsidR="00E23C89" w:rsidRPr="00174127" w:rsidP="004C36E8" w14:paraId="378EEE0B" w14:textId="77777777">
      <w:pPr>
        <w:pStyle w:val="ListParagraph"/>
        <w:numPr>
          <w:ilvl w:val="0"/>
          <w:numId w:val="1"/>
        </w:numPr>
        <w:spacing w:line="276" w:lineRule="auto"/>
        <w:outlineLvl w:val="0"/>
        <w:rPr>
          <w:rFonts w:ascii="Arial Nova" w:hAnsi="Arial Nova" w:cstheme="minorHAnsi"/>
          <w:b/>
        </w:rPr>
      </w:pPr>
      <w:bookmarkStart w:id="6" w:name="_Toc131505170"/>
      <w:r w:rsidRPr="00174127">
        <w:rPr>
          <w:rFonts w:ascii="Arial Nova" w:hAnsi="Arial Nova" w:cstheme="minorHAnsi"/>
          <w:b/>
        </w:rPr>
        <w:t>JUSTIFICATION</w:t>
      </w:r>
      <w:bookmarkEnd w:id="6"/>
    </w:p>
    <w:p w:rsidR="00E23C89" w:rsidRPr="00174127" w:rsidP="00E23C89" w14:paraId="014EE0DC" w14:textId="77777777">
      <w:pPr>
        <w:pStyle w:val="Heading2"/>
        <w:spacing w:line="276" w:lineRule="auto"/>
        <w:rPr>
          <w:rFonts w:ascii="Arial Nova" w:hAnsi="Arial Nova" w:cstheme="minorHAnsi"/>
          <w:i/>
          <w:color w:val="auto"/>
          <w:sz w:val="24"/>
          <w:szCs w:val="24"/>
        </w:rPr>
      </w:pPr>
      <w:bookmarkStart w:id="7" w:name="_Toc131505171"/>
      <w:r w:rsidRPr="00174127">
        <w:rPr>
          <w:rFonts w:ascii="Arial Nova" w:hAnsi="Arial Nova" w:cstheme="minorHAnsi"/>
          <w:i/>
          <w:color w:val="auto"/>
          <w:sz w:val="24"/>
          <w:szCs w:val="24"/>
        </w:rPr>
        <w:t>A1. Circumstances Making the Collection of Information Necessary</w:t>
      </w:r>
      <w:bookmarkEnd w:id="7"/>
    </w:p>
    <w:p w:rsidR="00D770BA" w:rsidRPr="00174127" w:rsidP="00612D94" w14:paraId="4A1508A0" w14:textId="77777777">
      <w:pPr>
        <w:rPr>
          <w:rFonts w:ascii="Arial Nova" w:hAnsi="Arial Nova"/>
          <w:b/>
          <w:i/>
          <w:color w:val="F79646" w:themeColor="accent6"/>
        </w:rPr>
      </w:pPr>
    </w:p>
    <w:p w:rsidR="00966BE5" w:rsidRPr="005F100C" w:rsidP="00347B64" w14:paraId="23F8BE84"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8F2AB5">
        <w:rPr>
          <w:rFonts w:ascii="Arial Nova" w:hAnsi="Arial Nova" w:eastAsiaTheme="minorHAnsi" w:cstheme="minorBidi"/>
          <w:bCs/>
          <w:iCs/>
        </w:rPr>
        <w:t xml:space="preserve">This package is a three-year </w:t>
      </w:r>
      <w:r w:rsidR="005C2265">
        <w:rPr>
          <w:rFonts w:ascii="Arial Nova" w:hAnsi="Arial Nova" w:eastAsiaTheme="minorHAnsi" w:cstheme="minorBidi"/>
          <w:bCs/>
          <w:iCs/>
        </w:rPr>
        <w:t>revision</w:t>
      </w:r>
      <w:r w:rsidRPr="008F2AB5" w:rsidR="005C2265">
        <w:rPr>
          <w:rFonts w:ascii="Arial Nova" w:hAnsi="Arial Nova" w:eastAsiaTheme="minorHAnsi" w:cstheme="minorBidi"/>
          <w:bCs/>
          <w:iCs/>
        </w:rPr>
        <w:t xml:space="preserve"> </w:t>
      </w:r>
      <w:r w:rsidRPr="008F2AB5">
        <w:rPr>
          <w:rFonts w:ascii="Arial Nova" w:hAnsi="Arial Nova" w:eastAsiaTheme="minorHAnsi" w:cstheme="minorBidi"/>
          <w:bCs/>
          <w:iCs/>
        </w:rPr>
        <w:t xml:space="preserve">request, with changes, to the 0920-0910 </w:t>
      </w:r>
      <w:bookmarkStart w:id="8" w:name="_Hlk135757977"/>
      <w:r w:rsidRPr="005F100C" w:rsidR="00340881">
        <w:rPr>
          <w:rFonts w:ascii="Arial Nova" w:hAnsi="Arial Nova"/>
        </w:rPr>
        <w:t>Message Testing for Tobacco Communication Activities</w:t>
      </w:r>
      <w:r w:rsidRPr="008F2AB5" w:rsidR="00340881">
        <w:rPr>
          <w:rFonts w:ascii="Arial Nova" w:hAnsi="Arial Nova" w:eastAsiaTheme="minorHAnsi" w:cstheme="minorBidi"/>
          <w:bCs/>
          <w:iCs/>
        </w:rPr>
        <w:t xml:space="preserve"> </w:t>
      </w:r>
      <w:bookmarkEnd w:id="8"/>
      <w:r w:rsidR="00340881">
        <w:rPr>
          <w:rFonts w:ascii="Arial Nova" w:hAnsi="Arial Nova" w:eastAsiaTheme="minorHAnsi" w:cstheme="minorBidi"/>
          <w:bCs/>
          <w:iCs/>
        </w:rPr>
        <w:t>(</w:t>
      </w:r>
      <w:r w:rsidRPr="008F2AB5">
        <w:rPr>
          <w:rFonts w:ascii="Arial Nova" w:hAnsi="Arial Nova" w:eastAsiaTheme="minorHAnsi" w:cstheme="minorBidi"/>
          <w:bCs/>
          <w:iCs/>
        </w:rPr>
        <w:t>MTTCA</w:t>
      </w:r>
      <w:r w:rsidR="00340881">
        <w:rPr>
          <w:rFonts w:ascii="Arial Nova" w:hAnsi="Arial Nova" w:eastAsiaTheme="minorHAnsi" w:cstheme="minorBidi"/>
          <w:bCs/>
          <w:iCs/>
        </w:rPr>
        <w:t>)</w:t>
      </w:r>
      <w:r w:rsidRPr="008F2AB5">
        <w:rPr>
          <w:rFonts w:ascii="Arial Nova" w:hAnsi="Arial Nova" w:eastAsiaTheme="minorHAnsi" w:cstheme="minorBidi"/>
          <w:bCs/>
          <w:iCs/>
        </w:rPr>
        <w:t xml:space="preserve"> clearance. </w:t>
      </w:r>
      <w:r w:rsidRPr="005F100C">
        <w:rPr>
          <w:rFonts w:ascii="Arial Nova" w:hAnsi="Arial Nova"/>
        </w:rPr>
        <w:t xml:space="preserve">Since 2012, </w:t>
      </w:r>
      <w:r w:rsidRPr="005F100C">
        <w:rPr>
          <w:rFonts w:ascii="Arial Nova" w:hAnsi="Arial Nova"/>
        </w:rPr>
        <w:t>OMB approval of a generic clearance of MTTCA</w:t>
      </w:r>
      <w:r w:rsidR="00340881">
        <w:rPr>
          <w:rFonts w:ascii="Arial Nova" w:hAnsi="Arial Nova"/>
        </w:rPr>
        <w:t xml:space="preserve"> </w:t>
      </w:r>
      <w:r w:rsidRPr="005F100C">
        <w:rPr>
          <w:rFonts w:ascii="Arial Nova" w:hAnsi="Arial Nova"/>
        </w:rPr>
        <w:t xml:space="preserve">has been continuously maintained, with minor adjustments as ad testing has evolved to keep pace with product types, audience segmentation, and/or dissemination channels. CDC is authorized to conduct information </w:t>
      </w:r>
      <w:r w:rsidRPr="005F100C">
        <w:rPr>
          <w:rFonts w:ascii="Arial Nova" w:hAnsi="Arial Nova"/>
        </w:rPr>
        <w:t xml:space="preserve">collection supporting these activities under the Public Health Service Act (41USC 241) Section 301 (see Attachment 1). This documentation established a unified information </w:t>
      </w:r>
      <w:r w:rsidRPr="005F100C">
        <w:rPr>
          <w:rFonts w:ascii="Arial Nova" w:hAnsi="Arial Nova"/>
        </w:rPr>
        <w:t>collection framework for the development of tobacco-related health messages, includi</w:t>
      </w:r>
      <w:r w:rsidRPr="005F100C">
        <w:rPr>
          <w:rFonts w:ascii="Arial Nova" w:hAnsi="Arial Nova"/>
        </w:rPr>
        <w:t xml:space="preserve">ng messages related to the NTEC. </w:t>
      </w:r>
    </w:p>
    <w:p w:rsidR="00966BE5" w:rsidRPr="005F100C" w:rsidP="00347B64" w14:paraId="18B18B79"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340881" w:rsidRPr="005F100C" w:rsidP="00347B64" w14:paraId="6E40594D"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Since 2012, CDC has successfully planned, implemented, and evaluated the NTEC, which includes health messages for the </w:t>
      </w:r>
      <w:r w:rsidR="0071145F">
        <w:rPr>
          <w:rFonts w:ascii="Arial Nova" w:hAnsi="Arial Nova"/>
        </w:rPr>
        <w:t xml:space="preserve">intended </w:t>
      </w:r>
      <w:r w:rsidRPr="005F100C">
        <w:rPr>
          <w:rFonts w:ascii="Arial Nova" w:hAnsi="Arial Nova"/>
        </w:rPr>
        <w:t>audience (adults who smoke, age</w:t>
      </w:r>
      <w:r w:rsidR="00CE1018">
        <w:rPr>
          <w:rFonts w:ascii="Arial Nova" w:hAnsi="Arial Nova"/>
        </w:rPr>
        <w:t>d</w:t>
      </w:r>
      <w:r w:rsidRPr="005F100C">
        <w:rPr>
          <w:rFonts w:ascii="Arial Nova" w:hAnsi="Arial Nova"/>
        </w:rPr>
        <w:t xml:space="preserve"> 18</w:t>
      </w:r>
      <w:r w:rsidR="00CC320E">
        <w:rPr>
          <w:rFonts w:ascii="Arial Nova" w:hAnsi="Arial Nova"/>
        </w:rPr>
        <w:t xml:space="preserve"> </w:t>
      </w:r>
      <w:r w:rsidRPr="005F100C">
        <w:rPr>
          <w:rFonts w:ascii="Arial Nova" w:hAnsi="Arial Nova"/>
        </w:rPr>
        <w:t xml:space="preserve">years </w:t>
      </w:r>
      <w:r w:rsidR="00CC320E">
        <w:rPr>
          <w:rFonts w:ascii="Arial Nova" w:hAnsi="Arial Nova"/>
        </w:rPr>
        <w:t xml:space="preserve">and </w:t>
      </w:r>
      <w:r w:rsidRPr="005F100C">
        <w:rPr>
          <w:rFonts w:ascii="Arial Nova" w:hAnsi="Arial Nova"/>
        </w:rPr>
        <w:t>old</w:t>
      </w:r>
      <w:r w:rsidR="00CC320E">
        <w:rPr>
          <w:rFonts w:ascii="Arial Nova" w:hAnsi="Arial Nova"/>
        </w:rPr>
        <w:t>er</w:t>
      </w:r>
      <w:r w:rsidRPr="005F100C">
        <w:rPr>
          <w:rFonts w:ascii="Arial Nova" w:hAnsi="Arial Nova"/>
        </w:rPr>
        <w:t>) and messages tailored to specific audienc</w:t>
      </w:r>
      <w:r w:rsidRPr="005F100C">
        <w:rPr>
          <w:rFonts w:ascii="Arial Nova" w:hAnsi="Arial Nova"/>
        </w:rPr>
        <w:t>e segments (e.g.</w:t>
      </w:r>
      <w:r w:rsidR="00CE1018">
        <w:rPr>
          <w:rFonts w:ascii="Arial Nova" w:hAnsi="Arial Nova"/>
        </w:rPr>
        <w:t>,</w:t>
      </w:r>
      <w:r w:rsidRPr="005F100C">
        <w:rPr>
          <w:rFonts w:ascii="Arial Nova" w:hAnsi="Arial Nova"/>
        </w:rPr>
        <w:t xml:space="preserve"> adults who smoke menthol cigarettes). The existing clearance also includes youth ages 13-17 years old. The campaign is delivered through a variety of media channels and formats, including television ads, radio ads, digital ads, out-of-hom</w:t>
      </w:r>
      <w:r w:rsidRPr="005F100C">
        <w:rPr>
          <w:rFonts w:ascii="Arial Nova" w:hAnsi="Arial Nova"/>
        </w:rPr>
        <w:t xml:space="preserve">e, and print materials. To keep the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 xml:space="preserve">audience engaged and ensure continued effectiveness of the campaign, new ads must be developed. For this reason, CDC is submitting </w:t>
      </w:r>
      <w:r>
        <w:rPr>
          <w:rFonts w:ascii="Arial Nova" w:hAnsi="Arial Nova"/>
        </w:rPr>
        <w:t>this</w:t>
      </w:r>
      <w:r w:rsidRPr="005F100C">
        <w:rPr>
          <w:rFonts w:ascii="Arial Nova" w:hAnsi="Arial Nova"/>
        </w:rPr>
        <w:t xml:space="preserve"> renewal request to continue to test messages and materials for NTEC, </w:t>
      </w:r>
      <w:r w:rsidR="00386051">
        <w:rPr>
          <w:rFonts w:ascii="Arial Nova" w:hAnsi="Arial Nova"/>
        </w:rPr>
        <w:t>the emerging tobacco products</w:t>
      </w:r>
      <w:r w:rsidR="00D17330">
        <w:rPr>
          <w:rFonts w:ascii="Arial Nova" w:hAnsi="Arial Nova"/>
        </w:rPr>
        <w:t xml:space="preserve"> communication</w:t>
      </w:r>
      <w:r w:rsidR="00386051">
        <w:rPr>
          <w:rFonts w:ascii="Arial Nova" w:hAnsi="Arial Nova"/>
        </w:rPr>
        <w:t xml:space="preserve"> initiative which is a campaign to encourage educators to speak with middle and high school students about the risks of e-cigarette use and empower them to avoid or quit e-cigarettes,</w:t>
      </w:r>
      <w:r w:rsidRPr="005F100C" w:rsidR="00386051">
        <w:rPr>
          <w:rFonts w:ascii="Arial Nova" w:hAnsi="Arial Nova"/>
        </w:rPr>
        <w:t xml:space="preserve"> </w:t>
      </w:r>
      <w:r w:rsidRPr="005F100C">
        <w:rPr>
          <w:rFonts w:ascii="Arial Nova" w:hAnsi="Arial Nova"/>
        </w:rPr>
        <w:t>reports from the Office of the Surg</w:t>
      </w:r>
      <w:r w:rsidRPr="005F100C">
        <w:rPr>
          <w:rFonts w:ascii="Arial Nova" w:hAnsi="Arial Nova"/>
        </w:rPr>
        <w:t xml:space="preserve">eon General, and other communication efforts. </w:t>
      </w:r>
    </w:p>
    <w:p w:rsidR="00C34A53" w:rsidP="00347B64" w14:paraId="35AECF97"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966BE5" w:rsidRPr="005F100C" w:rsidP="00347B64" w14:paraId="0E5EADFF"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Significant improvements have been made in reducing the smoking </w:t>
      </w:r>
      <w:r w:rsidR="00B05B18">
        <w:rPr>
          <w:rFonts w:ascii="Arial Nova" w:hAnsi="Arial Nova"/>
        </w:rPr>
        <w:t>prevalence</w:t>
      </w:r>
      <w:r w:rsidRPr="005F100C" w:rsidR="00B05B18">
        <w:rPr>
          <w:rFonts w:ascii="Arial Nova" w:hAnsi="Arial Nova"/>
        </w:rPr>
        <w:t xml:space="preserve"> </w:t>
      </w:r>
      <w:r w:rsidRPr="005F100C">
        <w:rPr>
          <w:rFonts w:ascii="Arial Nova" w:hAnsi="Arial Nova"/>
        </w:rPr>
        <w:t>in the United States since the first Surgeon General’s Report came out more than 50 years ago</w:t>
      </w:r>
      <w:r>
        <w:rPr>
          <w:rFonts w:ascii="Arial Nova" w:hAnsi="Arial Nova"/>
        </w:rPr>
        <w:t>, y</w:t>
      </w:r>
      <w:r w:rsidRPr="005F100C">
        <w:rPr>
          <w:rFonts w:ascii="Arial Nova" w:hAnsi="Arial Nova"/>
        </w:rPr>
        <w:t xml:space="preserve">et cigarette smoking is still the </w:t>
      </w:r>
      <w:r w:rsidRPr="005F100C">
        <w:rPr>
          <w:rFonts w:ascii="Arial Nova" w:hAnsi="Arial Nova"/>
        </w:rPr>
        <w:t>leading cause of preventable disease and death in the United States, accounting for more than 480,000 deaths every year, or one of every five deaths (HHS, 2014). In addition, more than 16 million Americans live with a smoking-related disease (HHS, 2014).</w:t>
      </w:r>
      <w:r w:rsidR="00BB523B">
        <w:rPr>
          <w:rFonts w:ascii="Arial Nova" w:hAnsi="Arial Nova"/>
        </w:rPr>
        <w:t xml:space="preserve"> </w:t>
      </w:r>
      <w:r w:rsidRPr="00C34A53" w:rsidR="00C34A53">
        <w:rPr>
          <w:rFonts w:ascii="Arial Nova" w:hAnsi="Arial Nova"/>
        </w:rPr>
        <w:t>In 2020, the prevalence of cigarette smoking among adults was 12.5%</w:t>
      </w:r>
      <w:r>
        <w:rPr>
          <w:rFonts w:ascii="Arial Nova" w:hAnsi="Arial Nova"/>
        </w:rPr>
        <w:t>, with</w:t>
      </w:r>
      <w:r w:rsidRPr="00C34A53" w:rsidR="00C34A53">
        <w:rPr>
          <w:rFonts w:ascii="Arial Nova" w:hAnsi="Arial Nova"/>
        </w:rPr>
        <w:t xml:space="preserve"> </w:t>
      </w:r>
      <w:r w:rsidRPr="00C34A53">
        <w:rPr>
          <w:rFonts w:ascii="Arial Nova" w:hAnsi="Arial Nova"/>
        </w:rPr>
        <w:t xml:space="preserve">higher rates of tobacco use among people </w:t>
      </w:r>
      <w:r w:rsidR="00764437">
        <w:rPr>
          <w:rFonts w:ascii="Arial Nova" w:hAnsi="Arial Nova"/>
        </w:rPr>
        <w:t>with household incomes below $35,000 and with people without a college diploma</w:t>
      </w:r>
      <w:r w:rsidRPr="00C34A53">
        <w:rPr>
          <w:rFonts w:ascii="Arial Nova" w:hAnsi="Arial Nova"/>
        </w:rPr>
        <w:t xml:space="preserve"> </w:t>
      </w:r>
      <w:r w:rsidRPr="00C34A53" w:rsidR="00C34A53">
        <w:rPr>
          <w:rFonts w:ascii="Arial Nova" w:hAnsi="Arial Nova"/>
        </w:rPr>
        <w:t xml:space="preserve">(Cornelius et al., 2022). </w:t>
      </w:r>
      <w:r w:rsidRPr="005F100C">
        <w:rPr>
          <w:rFonts w:ascii="Arial Nova" w:hAnsi="Arial Nova"/>
        </w:rPr>
        <w:t>In 2018, the Surgeon General released</w:t>
      </w:r>
      <w:r w:rsidRPr="005F100C">
        <w:rPr>
          <w:rFonts w:ascii="Arial Nova" w:hAnsi="Arial Nova"/>
        </w:rPr>
        <w:t xml:space="preserve"> an advisory on the e-cigarette epidemic among youth stressing the importance of protecting youth from nicotine addiction. </w:t>
      </w:r>
      <w:r w:rsidRPr="003C2CEC" w:rsidR="003C2CEC">
        <w:rPr>
          <w:rFonts w:ascii="Arial Nova" w:hAnsi="Arial Nova"/>
        </w:rPr>
        <w:t xml:space="preserve">In 2022, </w:t>
      </w:r>
      <w:r w:rsidR="003C2CEC">
        <w:rPr>
          <w:rFonts w:ascii="Arial Nova" w:hAnsi="Arial Nova"/>
        </w:rPr>
        <w:t>e-</w:t>
      </w:r>
      <w:r w:rsidRPr="003C2CEC" w:rsidR="003C2CEC">
        <w:rPr>
          <w:rFonts w:ascii="Arial Nova" w:hAnsi="Arial Nova"/>
        </w:rPr>
        <w:t>cigarettes were the most commonly used tobacco product among high school (14.1%; 2.14 million) and middle school (3.3%; 380,000) students</w:t>
      </w:r>
      <w:r w:rsidR="007C788F">
        <w:rPr>
          <w:rFonts w:ascii="Arial Nova" w:hAnsi="Arial Nova"/>
        </w:rPr>
        <w:t xml:space="preserve"> (Park-Lee et al., 2022)</w:t>
      </w:r>
      <w:r w:rsidRPr="005F100C">
        <w:rPr>
          <w:rFonts w:ascii="Arial Nova" w:hAnsi="Arial Nova"/>
        </w:rPr>
        <w:t xml:space="preserve">. </w:t>
      </w:r>
    </w:p>
    <w:p w:rsidR="00966BE5" w:rsidRPr="005F100C" w:rsidP="00347B64" w14:paraId="6145D6D1"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p>
    <w:p w:rsidR="00E23C89" w:rsidRPr="00591F48" w:rsidP="00591F48" w14:paraId="4F4EFF32" w14:textId="77777777">
      <w:pPr>
        <w:tabs>
          <w:tab w:val="left" w:pos="720"/>
          <w:tab w:val="left" w:pos="1080"/>
          <w:tab w:val="left" w:pos="1440"/>
          <w:tab w:val="left" w:pos="1800"/>
        </w:tabs>
        <w:autoSpaceDE w:val="0"/>
        <w:autoSpaceDN w:val="0"/>
        <w:adjustRightInd w:val="0"/>
        <w:spacing w:after="120" w:line="276" w:lineRule="auto"/>
        <w:contextualSpacing/>
        <w:rPr>
          <w:rFonts w:ascii="Arial Nova" w:hAnsi="Arial Nova"/>
        </w:rPr>
      </w:pPr>
      <w:r w:rsidRPr="005F100C">
        <w:rPr>
          <w:rFonts w:ascii="Arial Nova" w:hAnsi="Arial Nova"/>
        </w:rPr>
        <w:t xml:space="preserve">A coordinated series of health message testing activities will be required to support future development of effective, audience-specific and channel-specific messages for NTEC, </w:t>
      </w:r>
      <w:r w:rsidR="0034714E">
        <w:rPr>
          <w:rFonts w:ascii="Arial Nova" w:hAnsi="Arial Nova"/>
        </w:rPr>
        <w:t xml:space="preserve">the emerging tobacco products communication initiative, </w:t>
      </w:r>
      <w:r w:rsidRPr="005F100C">
        <w:rPr>
          <w:rFonts w:ascii="Arial Nova" w:hAnsi="Arial Nova"/>
        </w:rPr>
        <w:t xml:space="preserve">reports from the Surgeon General, and other communication efforts. Attachment 3 provides an overview of projected program needs during the time period of </w:t>
      </w:r>
      <w:r w:rsidR="00D129CF">
        <w:rPr>
          <w:rFonts w:ascii="Arial Nova" w:hAnsi="Arial Nova"/>
        </w:rPr>
        <w:t>January</w:t>
      </w:r>
      <w:r w:rsidRPr="005F100C">
        <w:rPr>
          <w:rFonts w:ascii="Arial Nova" w:hAnsi="Arial Nova"/>
        </w:rPr>
        <w:t xml:space="preserve"> 31, 2024 through </w:t>
      </w:r>
      <w:r w:rsidR="00D129CF">
        <w:rPr>
          <w:rFonts w:ascii="Arial Nova" w:hAnsi="Arial Nova"/>
        </w:rPr>
        <w:t>January</w:t>
      </w:r>
      <w:r w:rsidRPr="005F100C">
        <w:rPr>
          <w:rFonts w:ascii="Arial Nova" w:hAnsi="Arial Nova"/>
        </w:rPr>
        <w:t xml:space="preserve"> 31, 2027, including estimated burden to responden</w:t>
      </w:r>
      <w:r w:rsidRPr="005F100C">
        <w:rPr>
          <w:rFonts w:ascii="Arial Nova" w:hAnsi="Arial Nova"/>
        </w:rPr>
        <w:t>ts.</w:t>
      </w:r>
    </w:p>
    <w:p w:rsidR="00E23C89" w:rsidRPr="00AF61D7" w:rsidP="00AF61D7" w14:paraId="24A0F0E4" w14:textId="77777777">
      <w:pPr>
        <w:pStyle w:val="Heading2"/>
        <w:rPr>
          <w:rFonts w:ascii="Arial Nova" w:hAnsi="Arial Nova" w:cstheme="minorHAnsi"/>
          <w:i/>
          <w:color w:val="auto"/>
          <w:sz w:val="24"/>
          <w:szCs w:val="24"/>
        </w:rPr>
      </w:pPr>
      <w:bookmarkStart w:id="9" w:name="_Toc131505172"/>
      <w:r w:rsidRPr="00A06EB8">
        <w:rPr>
          <w:rFonts w:ascii="Arial Nova" w:hAnsi="Arial Nova" w:cstheme="minorHAnsi"/>
          <w:i/>
          <w:color w:val="auto"/>
          <w:sz w:val="24"/>
          <w:szCs w:val="24"/>
        </w:rPr>
        <w:t xml:space="preserve">A2. Purpose and Use of the </w:t>
      </w:r>
      <w:r w:rsidRPr="00A06EB8" w:rsidR="003C2CEC">
        <w:rPr>
          <w:rFonts w:ascii="Arial Nova" w:hAnsi="Arial Nova" w:cstheme="minorHAnsi"/>
          <w:i/>
          <w:color w:val="auto"/>
          <w:sz w:val="24"/>
          <w:szCs w:val="24"/>
        </w:rPr>
        <w:t>i</w:t>
      </w:r>
      <w:r w:rsidRPr="00A06EB8">
        <w:rPr>
          <w:rFonts w:ascii="Arial Nova" w:hAnsi="Arial Nova" w:cstheme="minorHAnsi"/>
          <w:i/>
          <w:color w:val="auto"/>
          <w:sz w:val="24"/>
          <w:szCs w:val="24"/>
        </w:rPr>
        <w:t>nformation Collection</w:t>
      </w:r>
      <w:bookmarkEnd w:id="9"/>
      <w:r w:rsidRPr="00AF61D7">
        <w:rPr>
          <w:rFonts w:ascii="Arial Nova" w:hAnsi="Arial Nova" w:cstheme="minorHAnsi"/>
          <w:i/>
          <w:color w:val="auto"/>
          <w:sz w:val="24"/>
          <w:szCs w:val="24"/>
        </w:rPr>
        <w:t xml:space="preserve"> </w:t>
      </w:r>
    </w:p>
    <w:p w:rsidR="00D770BA" w:rsidRPr="00174127" w:rsidP="00560BEB" w14:paraId="4D46187E" w14:textId="77777777">
      <w:pPr>
        <w:rPr>
          <w:rFonts w:ascii="Arial Nova" w:hAnsi="Arial Nova"/>
          <w:b/>
          <w:i/>
          <w:color w:val="F79646" w:themeColor="accent6"/>
        </w:rPr>
      </w:pPr>
    </w:p>
    <w:p w:rsidR="004B5D36" w:rsidRPr="005F100C" w:rsidP="005F100C" w14:paraId="1526866C" w14:textId="77777777">
      <w:pPr>
        <w:spacing w:line="276" w:lineRule="auto"/>
        <w:rPr>
          <w:rFonts w:ascii="Arial Nova" w:hAnsi="Arial Nova"/>
        </w:rPr>
      </w:pPr>
      <w:r w:rsidRPr="005F100C">
        <w:rPr>
          <w:rFonts w:ascii="Arial Nova" w:hAnsi="Arial Nova"/>
        </w:rPr>
        <w:t xml:space="preserve">The primary purpose and use of information collection under MTTCA will be to inform the development and pretesting of materials for CDC’s ongoing NTEC. Since approval of the </w:t>
      </w:r>
      <w:r w:rsidRPr="005F100C">
        <w:rPr>
          <w:rFonts w:ascii="Arial Nova" w:hAnsi="Arial Nova"/>
        </w:rPr>
        <w:t xml:space="preserve">extension to MTTCA in </w:t>
      </w:r>
      <w:r w:rsidR="00D129CF">
        <w:rPr>
          <w:rFonts w:ascii="Arial Nova" w:hAnsi="Arial Nova"/>
        </w:rPr>
        <w:t>January</w:t>
      </w:r>
      <w:r w:rsidRPr="005F100C">
        <w:rPr>
          <w:rFonts w:ascii="Arial Nova" w:hAnsi="Arial Nova"/>
        </w:rPr>
        <w:t xml:space="preserve"> 2021, this mechanism has been used to support rough-</w:t>
      </w:r>
      <w:r w:rsidRPr="005F100C">
        <w:rPr>
          <w:rFonts w:ascii="Arial Nova" w:hAnsi="Arial Nova"/>
        </w:rPr>
        <w:t>cut testing of television</w:t>
      </w:r>
      <w:r w:rsidR="000243F6">
        <w:rPr>
          <w:rFonts w:ascii="Arial Nova" w:hAnsi="Arial Nova"/>
        </w:rPr>
        <w:t>, radio,</w:t>
      </w:r>
      <w:r w:rsidRPr="005F100C">
        <w:rPr>
          <w:rFonts w:ascii="Arial Nova" w:hAnsi="Arial Nova"/>
        </w:rPr>
        <w:t xml:space="preserve"> and print ads for NTEC. </w:t>
      </w:r>
    </w:p>
    <w:p w:rsidR="004B5D36" w:rsidRPr="005F100C" w:rsidP="005F100C" w14:paraId="01FF9F40" w14:textId="77777777">
      <w:pPr>
        <w:spacing w:line="276" w:lineRule="auto"/>
        <w:rPr>
          <w:rFonts w:ascii="Arial Nova" w:hAnsi="Arial Nova"/>
        </w:rPr>
      </w:pPr>
    </w:p>
    <w:p w:rsidR="004B5D36" w:rsidP="005F100C" w14:paraId="468D0EB3" w14:textId="77777777">
      <w:pPr>
        <w:spacing w:line="276" w:lineRule="auto"/>
        <w:rPr>
          <w:rFonts w:ascii="Arial Nova" w:hAnsi="Arial Nova"/>
        </w:rPr>
      </w:pPr>
      <w:r w:rsidRPr="005F100C">
        <w:rPr>
          <w:rFonts w:ascii="Arial Nova" w:hAnsi="Arial Nova"/>
        </w:rPr>
        <w:t>To date, NTEC has had a significant impact on cessation behaviors among U.S. adults who smoke because of the continued use of graphic and hard-hitting ads (Davis</w:t>
      </w:r>
      <w:r w:rsidR="00CE4744">
        <w:rPr>
          <w:rFonts w:ascii="Arial Nova" w:hAnsi="Arial Nova"/>
        </w:rPr>
        <w:t xml:space="preserve"> et al.</w:t>
      </w:r>
      <w:r w:rsidRPr="005F100C">
        <w:rPr>
          <w:rFonts w:ascii="Arial Nova" w:hAnsi="Arial Nova"/>
        </w:rPr>
        <w:t>, 2017). During 2012-2018, t</w:t>
      </w:r>
      <w:r w:rsidRPr="005F100C">
        <w:rPr>
          <w:rFonts w:ascii="Arial Nova" w:hAnsi="Arial Nova"/>
        </w:rPr>
        <w:t>he campaign was associated with approximately one million sustained quits among U.S. adults who smoke, and more than 16.4 million quit attempts (Murphy-Hoefer</w:t>
      </w:r>
      <w:r w:rsidR="00CE4744">
        <w:rPr>
          <w:rFonts w:ascii="Arial Nova" w:hAnsi="Arial Nova"/>
        </w:rPr>
        <w:t>et al.</w:t>
      </w:r>
      <w:r w:rsidRPr="005F100C">
        <w:rPr>
          <w:rFonts w:ascii="Arial Nova" w:hAnsi="Arial Nova"/>
        </w:rPr>
        <w:t>, 2020). NTEC has also been associated with increased knowledge of tobacco-related health ri</w:t>
      </w:r>
      <w:r w:rsidRPr="005F100C">
        <w:rPr>
          <w:rFonts w:ascii="Arial Nova" w:hAnsi="Arial Nova"/>
        </w:rPr>
        <w:t>sks (Huang</w:t>
      </w:r>
      <w:r w:rsidR="00D63E78">
        <w:rPr>
          <w:rFonts w:ascii="Arial Nova" w:hAnsi="Arial Nova"/>
        </w:rPr>
        <w:t xml:space="preserve"> </w:t>
      </w:r>
      <w:r w:rsidR="00CE4744">
        <w:rPr>
          <w:rFonts w:ascii="Arial Nova" w:hAnsi="Arial Nova"/>
        </w:rPr>
        <w:t>et al.</w:t>
      </w:r>
      <w:r w:rsidRPr="005F100C">
        <w:rPr>
          <w:rFonts w:ascii="Arial Nova" w:hAnsi="Arial Nova"/>
        </w:rPr>
        <w:t>, 2015)</w:t>
      </w:r>
      <w:r w:rsidR="005F2271">
        <w:rPr>
          <w:rFonts w:ascii="Arial Nova" w:hAnsi="Arial Nova"/>
        </w:rPr>
        <w:t xml:space="preserve"> and lower odds of relapse (Davis et al., 2022)</w:t>
      </w:r>
      <w:r w:rsidRPr="005F100C">
        <w:rPr>
          <w:rFonts w:ascii="Arial Nova" w:hAnsi="Arial Nova"/>
        </w:rPr>
        <w:t xml:space="preserve">. </w:t>
      </w:r>
      <w:bookmarkStart w:id="10" w:name="_Hlk128407742"/>
      <w:r w:rsidRPr="005F100C">
        <w:rPr>
          <w:rFonts w:ascii="Arial Nova" w:hAnsi="Arial Nova"/>
        </w:rPr>
        <w:t xml:space="preserve">Furthermore, </w:t>
      </w:r>
      <w:r w:rsidR="002B6DAD">
        <w:rPr>
          <w:rFonts w:ascii="Arial Nova" w:hAnsi="Arial Nova"/>
        </w:rPr>
        <w:t>a</w:t>
      </w:r>
      <w:r w:rsidRPr="002B6DAD" w:rsidR="002B6DAD">
        <w:rPr>
          <w:rFonts w:ascii="Arial Nova" w:hAnsi="Arial Nova"/>
        </w:rPr>
        <w:t xml:space="preserve"> cost-effectiveness study </w:t>
      </w:r>
      <w:r w:rsidR="002B6DAD">
        <w:rPr>
          <w:rFonts w:ascii="Arial Nova" w:hAnsi="Arial Nova"/>
        </w:rPr>
        <w:t xml:space="preserve">has shown that </w:t>
      </w:r>
      <w:r w:rsidR="00C0330D">
        <w:rPr>
          <w:rFonts w:ascii="Arial Nova" w:hAnsi="Arial Nova"/>
        </w:rPr>
        <w:t xml:space="preserve">for </w:t>
      </w:r>
      <w:r w:rsidR="002B6DAD">
        <w:rPr>
          <w:rFonts w:ascii="Arial Nova" w:hAnsi="Arial Nova"/>
        </w:rPr>
        <w:t>every $3,800 spent on the Tips campaign between 201</w:t>
      </w:r>
      <w:r w:rsidR="00C0330D">
        <w:rPr>
          <w:rFonts w:ascii="Arial Nova" w:hAnsi="Arial Nova"/>
        </w:rPr>
        <w:t xml:space="preserve">2 and </w:t>
      </w:r>
      <w:r w:rsidR="002B6DAD">
        <w:rPr>
          <w:rFonts w:ascii="Arial Nova" w:hAnsi="Arial Nova"/>
        </w:rPr>
        <w:t>2018, an early death was prevented (</w:t>
      </w:r>
      <w:r w:rsidRPr="002B6DAD" w:rsidR="002B6DAD">
        <w:rPr>
          <w:rFonts w:ascii="Arial Nova" w:hAnsi="Arial Nova"/>
        </w:rPr>
        <w:t>Shrestha</w:t>
      </w:r>
      <w:r w:rsidR="002B6DAD">
        <w:rPr>
          <w:rFonts w:ascii="Arial Nova" w:hAnsi="Arial Nova"/>
        </w:rPr>
        <w:t xml:space="preserve"> et al., 2021).</w:t>
      </w:r>
      <w:r w:rsidRPr="005F100C">
        <w:rPr>
          <w:rFonts w:ascii="Arial Nova" w:hAnsi="Arial Nova"/>
        </w:rPr>
        <w:t xml:space="preserve"> </w:t>
      </w:r>
      <w:bookmarkEnd w:id="10"/>
      <w:r w:rsidRPr="005F100C">
        <w:rPr>
          <w:rFonts w:ascii="Arial Nova" w:hAnsi="Arial Nova"/>
        </w:rPr>
        <w:t>More in</w:t>
      </w:r>
      <w:r w:rsidRPr="005F100C">
        <w:rPr>
          <w:rFonts w:ascii="Arial Nova" w:hAnsi="Arial Nova"/>
        </w:rPr>
        <w:t xml:space="preserve">formation about the impact of the campaign can be found at the website cdc.gov/tips under the heading </w:t>
      </w:r>
      <w:r w:rsidRPr="005F100C">
        <w:rPr>
          <w:rFonts w:ascii="Arial Nova" w:hAnsi="Arial Nova"/>
          <w:i/>
          <w:iCs/>
        </w:rPr>
        <w:t>Tips</w:t>
      </w:r>
      <w:r w:rsidRPr="005F100C">
        <w:rPr>
          <w:rFonts w:ascii="Arial Nova" w:hAnsi="Arial Nova"/>
        </w:rPr>
        <w:t xml:space="preserve"> Impact and Results.</w:t>
      </w:r>
    </w:p>
    <w:p w:rsidR="00D46DA6" w:rsidP="005F100C" w14:paraId="2C79C891" w14:textId="77777777">
      <w:pPr>
        <w:spacing w:line="276" w:lineRule="auto"/>
        <w:rPr>
          <w:rFonts w:ascii="Arial Nova" w:hAnsi="Arial Nova"/>
        </w:rPr>
      </w:pPr>
    </w:p>
    <w:p w:rsidR="00045CAD" w:rsidP="005F100C" w14:paraId="57101D7E" w14:textId="77777777">
      <w:pPr>
        <w:spacing w:line="276" w:lineRule="auto"/>
        <w:rPr>
          <w:rFonts w:ascii="Arial Nova" w:hAnsi="Arial Nova"/>
        </w:rPr>
      </w:pPr>
      <w:r w:rsidRPr="00045CAD">
        <w:rPr>
          <w:rFonts w:ascii="Arial Nova" w:hAnsi="Arial Nova"/>
        </w:rPr>
        <w:t xml:space="preserve">The data collected utilizing the “Emerging Tobacco Products Communication Initiative Pre-testing of Ads” </w:t>
      </w:r>
      <w:r w:rsidR="00735B99">
        <w:rPr>
          <w:rFonts w:ascii="Arial Nova" w:hAnsi="Arial Nova"/>
        </w:rPr>
        <w:t>information collection</w:t>
      </w:r>
      <w:r w:rsidRPr="00045CAD">
        <w:rPr>
          <w:rFonts w:ascii="Arial Nova" w:hAnsi="Arial Nova"/>
        </w:rPr>
        <w:t xml:space="preserve"> has been used to select a new creative concept to refresh messaging and creative assets for the campaign’s focus population (U.S</w:t>
      </w:r>
      <w:r w:rsidRPr="00045CAD">
        <w:rPr>
          <w:rFonts w:ascii="Arial Nova" w:hAnsi="Arial Nova"/>
        </w:rPr>
        <w:t xml:space="preserve">. middle and high school educators, including teachers, counselors, administrators, and gym teachers/coaches) about ways to prevent vaping among students. The creative concept testing results refined the new creative approach, including the tone, types of </w:t>
      </w:r>
      <w:r w:rsidRPr="00045CAD">
        <w:rPr>
          <w:rFonts w:ascii="Arial Nova" w:hAnsi="Arial Nova"/>
        </w:rPr>
        <w:t>images that resonate with the focus population, and key messages and information that educators find helpful. The results guided the development of new creative assets, including the scripts, location, and casting for live-action videos, and the updated ca</w:t>
      </w:r>
      <w:r w:rsidRPr="00045CAD">
        <w:rPr>
          <w:rFonts w:ascii="Arial Nova" w:hAnsi="Arial Nova"/>
        </w:rPr>
        <w:t>mpaign branding and style (campaign name, colors, fonts, etc.).</w:t>
      </w:r>
    </w:p>
    <w:p w:rsidR="00045CAD" w:rsidP="005F100C" w14:paraId="20485B2B" w14:textId="77777777">
      <w:pPr>
        <w:spacing w:line="276" w:lineRule="auto"/>
        <w:rPr>
          <w:rFonts w:ascii="Arial Nova" w:hAnsi="Arial Nova"/>
        </w:rPr>
      </w:pPr>
    </w:p>
    <w:p w:rsidR="00045CAD" w:rsidRPr="005F100C" w:rsidP="002717C0" w14:paraId="12DE45C8" w14:textId="77777777">
      <w:pPr>
        <w:spacing w:line="276" w:lineRule="auto"/>
        <w:rPr>
          <w:rFonts w:ascii="Arial Nova" w:hAnsi="Arial Nova"/>
        </w:rPr>
      </w:pPr>
      <w:r w:rsidRPr="00E312D4">
        <w:rPr>
          <w:rFonts w:ascii="Arial Nova" w:hAnsi="Arial Nova"/>
        </w:rPr>
        <w:t xml:space="preserve">The data collected utilizing the rough cut </w:t>
      </w:r>
      <w:r w:rsidR="00735B99">
        <w:rPr>
          <w:rFonts w:ascii="Arial Nova" w:hAnsi="Arial Nova"/>
        </w:rPr>
        <w:t>information collection</w:t>
      </w:r>
      <w:r w:rsidRPr="00E312D4">
        <w:rPr>
          <w:rFonts w:ascii="Arial Nova" w:hAnsi="Arial Nova"/>
        </w:rPr>
        <w:t xml:space="preserve"> will be used to </w:t>
      </w:r>
      <w:r w:rsidRPr="00750F88">
        <w:rPr>
          <w:rFonts w:ascii="Arial Nova" w:hAnsi="Arial Nova"/>
        </w:rPr>
        <w:t>inform CDC whether rough-cut ads communicate credibly with the intended audience</w:t>
      </w:r>
      <w:r>
        <w:rPr>
          <w:rFonts w:ascii="Arial Nova" w:hAnsi="Arial Nova"/>
        </w:rPr>
        <w:t xml:space="preserve">. </w:t>
      </w:r>
      <w:r w:rsidRPr="002717C0" w:rsidR="002717C0">
        <w:rPr>
          <w:rFonts w:ascii="Arial Nova" w:hAnsi="Arial Nova"/>
        </w:rPr>
        <w:t>Rough-cut testing is crucial to ensuring that the ad informs the intended audience of the</w:t>
      </w:r>
      <w:r w:rsidR="002717C0">
        <w:rPr>
          <w:rFonts w:ascii="Arial Nova" w:hAnsi="Arial Nova"/>
        </w:rPr>
        <w:t xml:space="preserve"> </w:t>
      </w:r>
      <w:r w:rsidRPr="002717C0" w:rsidR="002717C0">
        <w:rPr>
          <w:rFonts w:ascii="Arial Nova" w:hAnsi="Arial Nova"/>
        </w:rPr>
        <w:t>health consequences caused by smoking cigarettes and motivates them to take action (e.g.,</w:t>
      </w:r>
      <w:r w:rsidR="002717C0">
        <w:rPr>
          <w:rFonts w:ascii="Arial Nova" w:hAnsi="Arial Nova"/>
        </w:rPr>
        <w:t xml:space="preserve"> </w:t>
      </w:r>
      <w:r w:rsidRPr="002717C0" w:rsidR="002717C0">
        <w:rPr>
          <w:rFonts w:ascii="Arial Nova" w:hAnsi="Arial Nova"/>
        </w:rPr>
        <w:t>quit smoking cigarettes or talk to a loved one about the dangers of smoking cigarettes).</w:t>
      </w:r>
      <w:r w:rsidR="002717C0">
        <w:rPr>
          <w:rFonts w:ascii="Arial Nova" w:hAnsi="Arial Nova"/>
        </w:rPr>
        <w:t xml:space="preserve"> </w:t>
      </w:r>
      <w:r w:rsidRPr="002717C0" w:rsidR="002717C0">
        <w:rPr>
          <w:rFonts w:ascii="Arial Nova" w:hAnsi="Arial Nova"/>
        </w:rPr>
        <w:t>Additionally, rough-cut testing is a way to measure any unanticipated confusion, ambiguity, or</w:t>
      </w:r>
      <w:r w:rsidR="002717C0">
        <w:rPr>
          <w:rFonts w:ascii="Arial Nova" w:hAnsi="Arial Nova"/>
        </w:rPr>
        <w:t xml:space="preserve"> </w:t>
      </w:r>
      <w:r w:rsidRPr="002717C0" w:rsidR="002717C0">
        <w:rPr>
          <w:rFonts w:ascii="Arial Nova" w:hAnsi="Arial Nova"/>
        </w:rPr>
        <w:t>lack of understanding of the ad’s message.</w:t>
      </w:r>
      <w:r w:rsidR="002717C0">
        <w:rPr>
          <w:rFonts w:ascii="Arial Nova" w:hAnsi="Arial Nova"/>
        </w:rPr>
        <w:t xml:space="preserve"> Lastly, rough cut testing informs development of </w:t>
      </w:r>
      <w:r w:rsidRPr="00750F88" w:rsidR="002717C0">
        <w:rPr>
          <w:rFonts w:ascii="Arial Nova" w:hAnsi="Arial Nova"/>
        </w:rPr>
        <w:t>new ads for</w:t>
      </w:r>
      <w:r w:rsidR="002717C0">
        <w:rPr>
          <w:rFonts w:ascii="Arial Nova" w:hAnsi="Arial Nova"/>
        </w:rPr>
        <w:t xml:space="preserve"> </w:t>
      </w:r>
      <w:r w:rsidRPr="00750F88" w:rsidR="002717C0">
        <w:rPr>
          <w:rFonts w:ascii="Arial Nova" w:hAnsi="Arial Nova"/>
        </w:rPr>
        <w:t>future campaign</w:t>
      </w:r>
      <w:r w:rsidR="002717C0">
        <w:rPr>
          <w:rFonts w:ascii="Arial Nova" w:hAnsi="Arial Nova"/>
        </w:rPr>
        <w:t>s</w:t>
      </w:r>
      <w:r w:rsidRPr="00750F88" w:rsidR="002717C0">
        <w:rPr>
          <w:rFonts w:ascii="Arial Nova" w:hAnsi="Arial Nova"/>
        </w:rPr>
        <w:t>.</w:t>
      </w:r>
    </w:p>
    <w:p w:rsidR="004B5D36" w:rsidRPr="005F100C" w:rsidP="005F100C" w14:paraId="7427D63B" w14:textId="77777777">
      <w:pPr>
        <w:spacing w:line="276" w:lineRule="auto"/>
        <w:rPr>
          <w:rFonts w:ascii="Arial Nova" w:hAnsi="Arial Nova"/>
        </w:rPr>
      </w:pPr>
    </w:p>
    <w:p w:rsidR="004B5D36" w:rsidRPr="005F100C" w:rsidP="005F100C" w14:paraId="375287B3" w14:textId="77777777">
      <w:pPr>
        <w:spacing w:line="276" w:lineRule="auto"/>
        <w:rPr>
          <w:rFonts w:ascii="Arial Nova" w:hAnsi="Arial Nova"/>
        </w:rPr>
      </w:pPr>
      <w:r w:rsidRPr="005F100C">
        <w:rPr>
          <w:rFonts w:ascii="Arial Nova" w:hAnsi="Arial Nova"/>
        </w:rPr>
        <w:t>The MTTCA generic clearance is founded on a st</w:t>
      </w:r>
      <w:r w:rsidRPr="005F100C">
        <w:rPr>
          <w:rFonts w:ascii="Arial Nova" w:hAnsi="Arial Nova"/>
        </w:rPr>
        <w:t xml:space="preserve">rategic and systematic approach to the design and testing of high-quality health messages, campaigns, and programs, and employs accepted methods of health message development, including input from public health partners and pre-testing with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w:t>
      </w:r>
      <w:r w:rsidRPr="005F100C">
        <w:rPr>
          <w:rFonts w:ascii="Arial Nova" w:hAnsi="Arial Nova"/>
        </w:rPr>
        <w:t>ces. (Figure 1) (National Cancer Institute, 2002). Figure 1 depicts the steps of planning, developing, implementing, and evaluating health communication programs in a systematic way.</w:t>
      </w:r>
    </w:p>
    <w:p w:rsidR="004B5D36" w:rsidRPr="005F100C" w:rsidP="005F100C" w14:paraId="742CB803" w14:textId="77777777">
      <w:pPr>
        <w:spacing w:line="276" w:lineRule="auto"/>
        <w:rPr>
          <w:rFonts w:ascii="Arial Nova" w:hAnsi="Arial Nova"/>
        </w:rPr>
      </w:pPr>
    </w:p>
    <w:p w:rsidR="004B5D36" w:rsidRPr="005F100C" w:rsidP="005F100C" w14:paraId="729C510F" w14:textId="77777777">
      <w:pPr>
        <w:spacing w:line="276" w:lineRule="auto"/>
        <w:rPr>
          <w:rFonts w:ascii="Arial Nova" w:hAnsi="Arial Nova"/>
        </w:rPr>
      </w:pPr>
      <w:r w:rsidRPr="005F100C">
        <w:rPr>
          <w:rFonts w:ascii="Arial Nova" w:hAnsi="Arial Nova"/>
        </w:rPr>
        <w:t xml:space="preserve"> </w:t>
      </w:r>
      <w:r w:rsidRPr="004F51D9">
        <w:rPr>
          <w:noProof/>
        </w:rPr>
        <w:drawing>
          <wp:inline distT="0" distB="0" distL="0" distR="0">
            <wp:extent cx="2143125" cy="2066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3"/>
                    <a:stretch>
                      <a:fillRect/>
                    </a:stretch>
                  </pic:blipFill>
                  <pic:spPr bwMode="auto">
                    <a:xfrm>
                      <a:off x="0" y="0"/>
                      <a:ext cx="2143125" cy="2066925"/>
                    </a:xfrm>
                    <a:prstGeom prst="rect">
                      <a:avLst/>
                    </a:prstGeom>
                    <a:noFill/>
                    <a:ln w="9525">
                      <a:noFill/>
                      <a:miter lim="800000"/>
                      <a:headEnd/>
                      <a:tailEnd/>
                    </a:ln>
                  </pic:spPr>
                </pic:pic>
              </a:graphicData>
            </a:graphic>
          </wp:inline>
        </w:drawing>
      </w:r>
    </w:p>
    <w:p w:rsidR="004B5D36" w:rsidRPr="005F100C" w:rsidP="005F100C" w14:paraId="71DEA3F5" w14:textId="77777777">
      <w:pPr>
        <w:spacing w:line="276" w:lineRule="auto"/>
        <w:rPr>
          <w:rFonts w:ascii="Arial Nova" w:hAnsi="Arial Nova"/>
          <w:i/>
          <w:iCs/>
        </w:rPr>
      </w:pPr>
      <w:r w:rsidRPr="005F100C">
        <w:rPr>
          <w:rFonts w:ascii="Arial Nova" w:hAnsi="Arial Nova"/>
          <w:i/>
          <w:iCs/>
        </w:rPr>
        <w:t>Figure 1. Health Communication Program Cycle</w:t>
      </w:r>
    </w:p>
    <w:p w:rsidR="004B5D36" w:rsidRPr="005F100C" w:rsidP="005F100C" w14:paraId="0544E36C" w14:textId="77777777">
      <w:pPr>
        <w:spacing w:line="276" w:lineRule="auto"/>
        <w:rPr>
          <w:rFonts w:ascii="Arial Nova" w:hAnsi="Arial Nova"/>
        </w:rPr>
      </w:pPr>
    </w:p>
    <w:p w:rsidR="004B5D36" w:rsidRPr="005F100C" w:rsidP="005F100C" w14:paraId="3ED54BA0" w14:textId="77777777">
      <w:pPr>
        <w:spacing w:line="276" w:lineRule="auto"/>
        <w:rPr>
          <w:rFonts w:ascii="Arial Nova" w:hAnsi="Arial Nova"/>
        </w:rPr>
      </w:pPr>
      <w:r w:rsidRPr="005F100C">
        <w:rPr>
          <w:rFonts w:ascii="Arial Nova" w:hAnsi="Arial Nova"/>
        </w:rPr>
        <w:t xml:space="preserve">This approach is outlined below: </w:t>
      </w:r>
    </w:p>
    <w:p w:rsidR="004B5D36" w:rsidRPr="005F100C" w:rsidP="005F100C" w14:paraId="17C3051B" w14:textId="77777777">
      <w:pPr>
        <w:spacing w:line="276" w:lineRule="auto"/>
        <w:rPr>
          <w:rFonts w:ascii="Arial Nova" w:hAnsi="Arial Nova"/>
        </w:rPr>
      </w:pPr>
    </w:p>
    <w:p w:rsidR="004B5D36" w:rsidRPr="00E312D4" w:rsidP="00E312D4" w14:paraId="2FA79754" w14:textId="77777777">
      <w:pPr>
        <w:spacing w:line="276" w:lineRule="auto"/>
        <w:rPr>
          <w:rFonts w:ascii="Arial Nova" w:hAnsi="Arial Nova"/>
        </w:rPr>
      </w:pPr>
      <w:r w:rsidRPr="00E312D4">
        <w:rPr>
          <w:rFonts w:ascii="Arial Nova" w:hAnsi="Arial Nova"/>
        </w:rPr>
        <w:t>1)</w:t>
      </w:r>
      <w:r w:rsidRPr="00E312D4">
        <w:rPr>
          <w:rFonts w:ascii="Arial Nova" w:hAnsi="Arial Nova"/>
        </w:rPr>
        <w:tab/>
      </w:r>
      <w:r w:rsidRPr="00E312D4">
        <w:rPr>
          <w:rFonts w:ascii="Arial Nova" w:hAnsi="Arial Nova"/>
          <w:b/>
          <w:bCs/>
        </w:rPr>
        <w:t>Planning and Strategy Development.</w:t>
      </w:r>
      <w:r w:rsidRPr="00E312D4">
        <w:rPr>
          <w:rFonts w:ascii="Arial Nova" w:hAnsi="Arial Nova"/>
        </w:rPr>
        <w:t xml:space="preserve"> This step can occur via formal needs assessments with partners and intended users (i.e., the </w:t>
      </w:r>
      <w:r w:rsidRPr="00E312D4" w:rsidR="00AE5495">
        <w:rPr>
          <w:rFonts w:ascii="Arial Nova" w:hAnsi="Arial Nova"/>
        </w:rPr>
        <w:t xml:space="preserve">intended </w:t>
      </w:r>
      <w:r w:rsidRPr="00E312D4">
        <w:rPr>
          <w:rFonts w:ascii="Arial Nova" w:hAnsi="Arial Nova"/>
        </w:rPr>
        <w:t>audience) and a review of published literature and epidemiological data related t</w:t>
      </w:r>
      <w:r w:rsidRPr="00E312D4">
        <w:rPr>
          <w:rFonts w:ascii="Arial Nova" w:hAnsi="Arial Nova"/>
        </w:rPr>
        <w:t>o a specific health problem. A needs assessment can be accomplished by conducting surveys, for example, to determine pressing health needs or concerns of the</w:t>
      </w:r>
      <w:r w:rsidRPr="00E312D4" w:rsidR="00AE5495">
        <w:rPr>
          <w:rFonts w:ascii="Arial Nova" w:hAnsi="Arial Nova"/>
        </w:rPr>
        <w:t xml:space="preserve"> intended</w:t>
      </w:r>
      <w:r w:rsidRPr="00E312D4">
        <w:rPr>
          <w:rFonts w:ascii="Arial Nova" w:hAnsi="Arial Nova"/>
        </w:rPr>
        <w:t xml:space="preserve"> audience. Next, CDC must understand a</w:t>
      </w:r>
      <w:r w:rsidRPr="00E312D4" w:rsidR="00AE5495">
        <w:rPr>
          <w:rFonts w:ascii="Arial Nova" w:hAnsi="Arial Nova"/>
        </w:rPr>
        <w:t>n intended</w:t>
      </w:r>
      <w:r w:rsidRPr="00E312D4">
        <w:rPr>
          <w:rFonts w:ascii="Arial Nova" w:hAnsi="Arial Nova"/>
        </w:rPr>
        <w:t xml:space="preserve"> audience’s current behaviors, beliefs, at</w:t>
      </w:r>
      <w:r w:rsidRPr="00E312D4">
        <w:rPr>
          <w:rFonts w:ascii="Arial Nova" w:hAnsi="Arial Nova"/>
        </w:rPr>
        <w:t>titudes, and knowledge about tobacco-related issues to effectively design health messages, programs, and campaigns. This information can be gained with focus groups, interviews, and/or surveys. These will guide selection and application of behavioral theor</w:t>
      </w:r>
      <w:r w:rsidRPr="00E312D4">
        <w:rPr>
          <w:rFonts w:ascii="Arial Nova" w:hAnsi="Arial Nova"/>
        </w:rPr>
        <w:t>ies to a program’s strategies and messages and audience segmentation (Fishbein &amp; Yzer, 2003; Noar, 2006; Thackeray &amp; Neiger, 2000).</w:t>
      </w:r>
    </w:p>
    <w:p w:rsidR="00DF55A7" w:rsidRPr="005F100C" w:rsidP="00DF55A7" w14:paraId="4B654609" w14:textId="77777777">
      <w:pPr>
        <w:spacing w:line="276" w:lineRule="auto"/>
        <w:rPr>
          <w:rFonts w:ascii="Arial Nova" w:hAnsi="Arial Nova"/>
        </w:rPr>
      </w:pPr>
    </w:p>
    <w:p w:rsidR="004B5D36" w14:paraId="073C9CEB" w14:textId="77777777">
      <w:pPr>
        <w:spacing w:line="276" w:lineRule="auto"/>
        <w:rPr>
          <w:rFonts w:ascii="Arial Nova" w:hAnsi="Arial Nova"/>
        </w:rPr>
      </w:pPr>
      <w:r w:rsidRPr="005F100C">
        <w:rPr>
          <w:rFonts w:ascii="Arial Nova" w:hAnsi="Arial Nova"/>
        </w:rPr>
        <w:t>2)</w:t>
      </w:r>
      <w:r w:rsidRPr="005F100C">
        <w:rPr>
          <w:rFonts w:ascii="Arial Nova" w:hAnsi="Arial Nova"/>
        </w:rPr>
        <w:tab/>
        <w:t xml:space="preserve"> </w:t>
      </w:r>
      <w:r w:rsidRPr="005F100C">
        <w:rPr>
          <w:rFonts w:ascii="Arial Nova" w:hAnsi="Arial Nova"/>
          <w:b/>
          <w:bCs/>
        </w:rPr>
        <w:t>Developing and Pretesting Concepts, Messages, and Materials.</w:t>
      </w:r>
      <w:r w:rsidRPr="005F100C">
        <w:rPr>
          <w:rFonts w:ascii="Arial Nova" w:hAnsi="Arial Nova"/>
        </w:rPr>
        <w:t xml:space="preserve"> In this second step, CDC designs draft messages that must </w:t>
      </w:r>
      <w:r w:rsidRPr="005F100C">
        <w:rPr>
          <w:rFonts w:ascii="Arial Nova" w:hAnsi="Arial Nova"/>
        </w:rPr>
        <w:t xml:space="preserve">be tested with members of the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 Audience feedback, in the form of interviews, focus groups or surveys, is incorporated into subsequent revisions. Audience testing informs the final development of messages, materials or advertisements and i</w:t>
      </w:r>
      <w:r w:rsidRPr="005F100C">
        <w:rPr>
          <w:rFonts w:ascii="Arial Nova" w:hAnsi="Arial Nova"/>
        </w:rPr>
        <w:t xml:space="preserve">s essential for ensuring that federal dollars are expended appropriately on health messages that are effective. </w:t>
      </w:r>
    </w:p>
    <w:p w:rsidR="00591F48" w:rsidRPr="005F100C" w:rsidP="00591F48" w14:paraId="3B5C8816" w14:textId="77777777">
      <w:pPr>
        <w:spacing w:line="276" w:lineRule="auto"/>
        <w:rPr>
          <w:rFonts w:ascii="Arial Nova" w:hAnsi="Arial Nova"/>
        </w:rPr>
      </w:pPr>
    </w:p>
    <w:p w:rsidR="004B5D36" w14:paraId="67DD8DFB" w14:textId="77777777">
      <w:pPr>
        <w:spacing w:line="276" w:lineRule="auto"/>
        <w:rPr>
          <w:rFonts w:ascii="Arial Nova" w:hAnsi="Arial Nova"/>
        </w:rPr>
      </w:pPr>
      <w:r w:rsidRPr="005F100C">
        <w:rPr>
          <w:rFonts w:ascii="Arial Nova" w:hAnsi="Arial Nova"/>
        </w:rPr>
        <w:t>3)</w:t>
      </w:r>
      <w:r w:rsidRPr="005F100C">
        <w:rPr>
          <w:rFonts w:ascii="Arial Nova" w:hAnsi="Arial Nova"/>
        </w:rPr>
        <w:tab/>
      </w:r>
      <w:r w:rsidRPr="005F100C">
        <w:rPr>
          <w:rFonts w:ascii="Arial Nova" w:hAnsi="Arial Nova"/>
          <w:b/>
          <w:bCs/>
        </w:rPr>
        <w:t xml:space="preserve">Implementing the Program/Campaign. </w:t>
      </w:r>
      <w:r w:rsidRPr="005F100C">
        <w:rPr>
          <w:rFonts w:ascii="Arial Nova" w:hAnsi="Arial Nova"/>
        </w:rPr>
        <w:t>CDC implements the campaign and conducts process evaluation to ascertain to what extent the campaign was</w:t>
      </w:r>
      <w:r w:rsidRPr="005F100C">
        <w:rPr>
          <w:rFonts w:ascii="Arial Nova" w:hAnsi="Arial Nova"/>
        </w:rPr>
        <w:t xml:space="preserve"> implemented as planned and under what conditions. This information helps campaign developers identify areas for improvement. </w:t>
      </w:r>
    </w:p>
    <w:p w:rsidR="00591F48" w:rsidRPr="005F100C" w:rsidP="00591F48" w14:paraId="399CB5CB" w14:textId="77777777">
      <w:pPr>
        <w:spacing w:line="276" w:lineRule="auto"/>
        <w:rPr>
          <w:rFonts w:ascii="Arial Nova" w:hAnsi="Arial Nova"/>
        </w:rPr>
      </w:pPr>
    </w:p>
    <w:p w:rsidR="004B5D36" w:rsidRPr="005F100C" w:rsidP="005F100C" w14:paraId="4BF6FDE5" w14:textId="77777777">
      <w:pPr>
        <w:spacing w:line="276" w:lineRule="auto"/>
        <w:rPr>
          <w:rFonts w:ascii="Arial Nova" w:hAnsi="Arial Nova"/>
        </w:rPr>
      </w:pPr>
      <w:r w:rsidRPr="005F100C">
        <w:rPr>
          <w:rFonts w:ascii="Arial Nova" w:hAnsi="Arial Nova"/>
        </w:rPr>
        <w:t>4)</w:t>
      </w:r>
      <w:r w:rsidRPr="005F100C">
        <w:rPr>
          <w:rFonts w:ascii="Arial Nova" w:hAnsi="Arial Nova"/>
        </w:rPr>
        <w:tab/>
      </w:r>
      <w:r w:rsidRPr="005F100C">
        <w:rPr>
          <w:rFonts w:ascii="Arial Nova" w:hAnsi="Arial Nova"/>
          <w:b/>
          <w:bCs/>
        </w:rPr>
        <w:t>Assessing Effectiveness and Making Refinements.</w:t>
      </w:r>
      <w:r w:rsidRPr="005F100C">
        <w:rPr>
          <w:rFonts w:ascii="Arial Nova" w:hAnsi="Arial Nova"/>
        </w:rPr>
        <w:t xml:space="preserve"> CDC must conduct outcome evaluation of the campaign to assess the degree to w</w:t>
      </w:r>
      <w:r w:rsidRPr="005F100C">
        <w:rPr>
          <w:rFonts w:ascii="Arial Nova" w:hAnsi="Arial Nova"/>
        </w:rPr>
        <w:t xml:space="preserve">hich the campaign was effective. This process also captures lessons learned for improving subsequent iterations of the program and for similar future efforts. Information collection for campaign assessment and evaluation </w:t>
      </w:r>
      <w:r w:rsidRPr="005F100C">
        <w:rPr>
          <w:rFonts w:ascii="Arial Nova" w:hAnsi="Arial Nova"/>
        </w:rPr>
        <w:t>activities has been approved in a s</w:t>
      </w:r>
      <w:r w:rsidRPr="005F100C">
        <w:rPr>
          <w:rFonts w:ascii="Arial Nova" w:hAnsi="Arial Nova"/>
        </w:rPr>
        <w:t xml:space="preserve">eparate but related information collection request (OMB No. 0920-1083, exp. 03/31/2023, Extended Evaluation of the National Tobacco Prevention and Control Public Education Campaign). </w:t>
      </w:r>
    </w:p>
    <w:p w:rsidR="004B5D36" w:rsidRPr="005F100C" w:rsidP="005F100C" w14:paraId="5D77092A" w14:textId="77777777">
      <w:pPr>
        <w:spacing w:line="276" w:lineRule="auto"/>
        <w:rPr>
          <w:rFonts w:ascii="Arial Nova" w:hAnsi="Arial Nova"/>
        </w:rPr>
      </w:pPr>
    </w:p>
    <w:p w:rsidR="004B5D36" w:rsidRPr="005F100C" w:rsidP="005F100C" w14:paraId="3AA77B55" w14:textId="77777777">
      <w:pPr>
        <w:spacing w:line="276" w:lineRule="auto"/>
        <w:rPr>
          <w:rFonts w:ascii="Arial Nova" w:hAnsi="Arial Nova"/>
        </w:rPr>
      </w:pPr>
      <w:r w:rsidRPr="005F100C">
        <w:rPr>
          <w:rFonts w:ascii="Arial Nova" w:hAnsi="Arial Nova"/>
        </w:rPr>
        <w:t>MTTCA provides a unified clearance framework for a variety of tobacco-r</w:t>
      </w:r>
      <w:r w:rsidRPr="005F100C">
        <w:rPr>
          <w:rFonts w:ascii="Arial Nova" w:hAnsi="Arial Nova"/>
        </w:rPr>
        <w:t>elated communication activities primarily related to steps 1-3 described above, which may occur on an as-needed basis, or in the context of a planned series utilizing a variety of methodologies. In the initial generic clearance period, we outlined the foll</w:t>
      </w:r>
      <w:r w:rsidRPr="005F100C">
        <w:rPr>
          <w:rFonts w:ascii="Arial Nova" w:hAnsi="Arial Nova"/>
        </w:rPr>
        <w:t xml:space="preserve">owing purposes and uses of information to be collected. We plan to continue using the MTTCA clearance in these ways: </w:t>
      </w:r>
    </w:p>
    <w:p w:rsidR="004B5D36" w:rsidRPr="005F100C" w:rsidP="005F100C" w14:paraId="46333502" w14:textId="77777777">
      <w:pPr>
        <w:pStyle w:val="ListParagraph"/>
        <w:numPr>
          <w:ilvl w:val="0"/>
          <w:numId w:val="5"/>
        </w:numPr>
        <w:spacing w:line="276" w:lineRule="auto"/>
        <w:rPr>
          <w:rFonts w:ascii="Arial Nova" w:hAnsi="Arial Nova"/>
        </w:rPr>
      </w:pPr>
      <w:r w:rsidRPr="005F100C">
        <w:rPr>
          <w:rFonts w:ascii="Arial Nova" w:hAnsi="Arial Nova"/>
        </w:rPr>
        <w:t xml:space="preserve">Provide critical knowledge about specific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audiences for tobacco communication activities conducted by CDC.</w:t>
      </w:r>
    </w:p>
    <w:p w:rsidR="004B5D36" w:rsidRPr="005F100C" w:rsidP="005F100C" w14:paraId="3585725B" w14:textId="77777777">
      <w:pPr>
        <w:pStyle w:val="ListParagraph"/>
        <w:numPr>
          <w:ilvl w:val="0"/>
          <w:numId w:val="5"/>
        </w:numPr>
        <w:spacing w:line="276" w:lineRule="auto"/>
        <w:rPr>
          <w:rFonts w:ascii="Arial Nova" w:hAnsi="Arial Nova"/>
        </w:rPr>
      </w:pPr>
      <w:r w:rsidRPr="005F100C">
        <w:rPr>
          <w:rFonts w:ascii="Arial Nova" w:hAnsi="Arial Nova"/>
        </w:rPr>
        <w:t>Understand individuals</w:t>
      </w:r>
      <w:r w:rsidRPr="005F100C">
        <w:rPr>
          <w:rFonts w:ascii="Arial Nova" w:hAnsi="Arial Nova"/>
        </w:rPr>
        <w:t>’ attitudes, knowledge and beliefs around combustible tobacco use, non-combustible use and quitting behaviors and how this may influence perception of messages.</w:t>
      </w:r>
    </w:p>
    <w:p w:rsidR="004B5D36" w:rsidRPr="005F100C" w:rsidP="005F100C" w14:paraId="5B80E4B9" w14:textId="77777777">
      <w:pPr>
        <w:pStyle w:val="ListParagraph"/>
        <w:numPr>
          <w:ilvl w:val="0"/>
          <w:numId w:val="5"/>
        </w:numPr>
        <w:spacing w:line="276" w:lineRule="auto"/>
        <w:rPr>
          <w:rFonts w:ascii="Arial Nova" w:hAnsi="Arial Nova"/>
        </w:rPr>
      </w:pPr>
      <w:r w:rsidRPr="005F100C">
        <w:rPr>
          <w:rFonts w:ascii="Arial Nova" w:hAnsi="Arial Nova"/>
        </w:rPr>
        <w:t xml:space="preserve">Develop and refine message concepts and pretest draft materials for clarity, salience, appeal, </w:t>
      </w:r>
      <w:r w:rsidRPr="005F100C">
        <w:rPr>
          <w:rFonts w:ascii="Arial Nova" w:hAnsi="Arial Nova"/>
        </w:rPr>
        <w:t xml:space="preserve">and persuasiveness to </w:t>
      </w:r>
      <w:r w:rsidR="00AE5495">
        <w:rPr>
          <w:rFonts w:ascii="Arial Nova" w:hAnsi="Arial Nova"/>
        </w:rPr>
        <w:t>intended</w:t>
      </w:r>
      <w:r w:rsidRPr="005F100C" w:rsidR="00AE5495">
        <w:rPr>
          <w:rFonts w:ascii="Arial Nova" w:hAnsi="Arial Nova"/>
        </w:rPr>
        <w:t xml:space="preserve"> </w:t>
      </w:r>
      <w:r w:rsidRPr="005F100C">
        <w:rPr>
          <w:rFonts w:ascii="Arial Nova" w:hAnsi="Arial Nova"/>
        </w:rPr>
        <w:t>audiences.</w:t>
      </w:r>
    </w:p>
    <w:p w:rsidR="004B5D36" w:rsidRPr="005F100C" w:rsidP="005F100C" w14:paraId="7AD37AF9" w14:textId="77777777">
      <w:pPr>
        <w:pStyle w:val="ListParagraph"/>
        <w:numPr>
          <w:ilvl w:val="0"/>
          <w:numId w:val="5"/>
        </w:numPr>
        <w:spacing w:line="276" w:lineRule="auto"/>
        <w:rPr>
          <w:rFonts w:ascii="Arial Nova" w:hAnsi="Arial Nova"/>
        </w:rPr>
      </w:pPr>
      <w:r w:rsidRPr="005F100C">
        <w:rPr>
          <w:rFonts w:ascii="Arial Nova" w:hAnsi="Arial Nova"/>
        </w:rPr>
        <w:t>Ensure quality of health information and prevent ineffective and wasteful message dissemination by CDC to the public.</w:t>
      </w:r>
    </w:p>
    <w:p w:rsidR="004B5D36" w:rsidRPr="005F100C" w:rsidP="005F100C" w14:paraId="1E21A6A2" w14:textId="77777777">
      <w:pPr>
        <w:pStyle w:val="ListParagraph"/>
        <w:numPr>
          <w:ilvl w:val="0"/>
          <w:numId w:val="5"/>
        </w:numPr>
        <w:spacing w:line="276" w:lineRule="auto"/>
        <w:rPr>
          <w:rFonts w:ascii="Arial Nova" w:hAnsi="Arial Nova"/>
        </w:rPr>
      </w:pPr>
      <w:r w:rsidRPr="005F100C">
        <w:rPr>
          <w:rFonts w:ascii="Arial Nova" w:hAnsi="Arial Nova"/>
        </w:rPr>
        <w:t xml:space="preserve">Allow for the collection of health and other employment-specific information from </w:t>
      </w:r>
      <w:r w:rsidRPr="005F100C">
        <w:rPr>
          <w:rFonts w:ascii="Arial Nova" w:hAnsi="Arial Nova"/>
        </w:rPr>
        <w:t>individuals who apply to be spokespersons for the campaign.</w:t>
      </w:r>
    </w:p>
    <w:p w:rsidR="004B5D36" w:rsidRPr="005F100C" w:rsidP="005F100C" w14:paraId="0C025837" w14:textId="77777777">
      <w:pPr>
        <w:spacing w:line="276" w:lineRule="auto"/>
        <w:rPr>
          <w:rFonts w:ascii="Arial Nova" w:hAnsi="Arial Nova"/>
        </w:rPr>
      </w:pPr>
    </w:p>
    <w:p w:rsidR="005D6B32" w:rsidRPr="005F100C" w:rsidP="005F100C" w14:paraId="50FEF4C5" w14:textId="77777777">
      <w:pPr>
        <w:spacing w:line="276" w:lineRule="auto"/>
        <w:rPr>
          <w:rFonts w:ascii="Arial Nova" w:hAnsi="Arial Nova"/>
        </w:rPr>
      </w:pPr>
      <w:r w:rsidRPr="005F100C">
        <w:rPr>
          <w:rFonts w:ascii="Arial Nova" w:hAnsi="Arial Nova"/>
        </w:rPr>
        <w:t>CDC will request OMB approval for each data collection activity through submission of a specific Information Collection Request</w:t>
      </w:r>
      <w:r w:rsidR="00D0513B">
        <w:rPr>
          <w:rFonts w:ascii="Arial Nova" w:hAnsi="Arial Nova"/>
        </w:rPr>
        <w:t xml:space="preserve"> (ICR)</w:t>
      </w:r>
      <w:r w:rsidRPr="005F100C">
        <w:rPr>
          <w:rFonts w:ascii="Arial Nova" w:hAnsi="Arial Nova"/>
        </w:rPr>
        <w:t xml:space="preserve"> that describes its purpose, use, methodology, and impact on affected respondents. Given that every data collection instrument will be based upon specific data collection needs for different stages of health communication planning and implementation, it is</w:t>
      </w:r>
      <w:r w:rsidRPr="005F100C">
        <w:rPr>
          <w:rFonts w:ascii="Arial Nova" w:hAnsi="Arial Nova"/>
        </w:rPr>
        <w:t xml:space="preserve"> not possible to develop one instrument for use in all instances. </w:t>
      </w:r>
      <w:r w:rsidRPr="000D47A9">
        <w:rPr>
          <w:rFonts w:ascii="Arial Nova" w:hAnsi="Arial Nova"/>
        </w:rPr>
        <w:t>Attachments 3a-3</w:t>
      </w:r>
      <w:r w:rsidR="00C22ED8">
        <w:rPr>
          <w:rFonts w:ascii="Arial Nova" w:hAnsi="Arial Nova"/>
        </w:rPr>
        <w:t>n</w:t>
      </w:r>
      <w:r w:rsidRPr="005F100C">
        <w:rPr>
          <w:rFonts w:ascii="Arial Nova" w:hAnsi="Arial Nova"/>
        </w:rPr>
        <w:t xml:space="preserve"> provide illustrative examples of previously OMB approved instruments</w:t>
      </w:r>
      <w:r w:rsidR="00045CAD">
        <w:rPr>
          <w:rFonts w:ascii="Arial Nova" w:hAnsi="Arial Nova"/>
        </w:rPr>
        <w:t>, such as moderator’s guides and surveys,</w:t>
      </w:r>
      <w:r w:rsidRPr="005F100C">
        <w:rPr>
          <w:rFonts w:ascii="Arial Nova" w:hAnsi="Arial Nova"/>
        </w:rPr>
        <w:t xml:space="preserve"> that could be used for a variety of information collections. F</w:t>
      </w:r>
      <w:r w:rsidRPr="005F100C">
        <w:rPr>
          <w:rFonts w:ascii="Arial Nova" w:hAnsi="Arial Nova"/>
        </w:rPr>
        <w:t>uture instruments are not expected to have any extensive revisions from those used previously under this clearance.</w:t>
      </w:r>
      <w:r w:rsidR="008705A9">
        <w:rPr>
          <w:rFonts w:ascii="Arial Nova" w:hAnsi="Arial Nova"/>
        </w:rPr>
        <w:t xml:space="preserve"> </w:t>
      </w:r>
      <w:r w:rsidRPr="00EF4889" w:rsidR="008705A9">
        <w:rPr>
          <w:rFonts w:ascii="Arial Nova" w:hAnsi="Arial Nova"/>
        </w:rPr>
        <w:t>The proposed changes to the MTTCA are to extend the duration of the generic clearance</w:t>
      </w:r>
      <w:r w:rsidRPr="00EF4889" w:rsidR="002F2447">
        <w:rPr>
          <w:rFonts w:ascii="Arial Nova" w:hAnsi="Arial Nova"/>
        </w:rPr>
        <w:t xml:space="preserve">, </w:t>
      </w:r>
      <w:r w:rsidRPr="00EF4889" w:rsidR="008705A9">
        <w:rPr>
          <w:rFonts w:ascii="Arial Nova" w:hAnsi="Arial Nova"/>
        </w:rPr>
        <w:t>increase the number of responses and burden hours</w:t>
      </w:r>
      <w:r w:rsidRPr="00EF4889" w:rsidR="002F2447">
        <w:rPr>
          <w:rFonts w:ascii="Arial Nova" w:hAnsi="Arial Nova"/>
        </w:rPr>
        <w:t>, and remove the upper age limit, previously 54 years of age, to include all adults aged 18 years and older</w:t>
      </w:r>
      <w:r w:rsidRPr="00EF4889" w:rsidR="008705A9">
        <w:rPr>
          <w:rFonts w:ascii="Arial Nova" w:hAnsi="Arial Nova"/>
        </w:rPr>
        <w:t>.</w:t>
      </w:r>
    </w:p>
    <w:p w:rsidR="005D6B32" w:rsidRPr="00174127" w:rsidP="005D6B32" w14:paraId="60010BA5" w14:textId="77777777">
      <w:pPr>
        <w:pStyle w:val="Heading2"/>
        <w:spacing w:line="276" w:lineRule="auto"/>
        <w:rPr>
          <w:rFonts w:ascii="Arial Nova" w:hAnsi="Arial Nova" w:cstheme="minorHAnsi"/>
          <w:i/>
          <w:color w:val="auto"/>
          <w:sz w:val="24"/>
          <w:szCs w:val="24"/>
        </w:rPr>
      </w:pPr>
      <w:bookmarkStart w:id="11" w:name="_Toc131505173"/>
      <w:r w:rsidRPr="00174127">
        <w:rPr>
          <w:rFonts w:ascii="Arial Nova" w:hAnsi="Arial Nova" w:cstheme="minorHAnsi"/>
          <w:i/>
          <w:color w:val="auto"/>
          <w:sz w:val="24"/>
          <w:szCs w:val="24"/>
        </w:rPr>
        <w:t>A3. Use of Improved Information Technology and Burden Reduction</w:t>
      </w:r>
      <w:bookmarkEnd w:id="11"/>
    </w:p>
    <w:p w:rsidR="00D770BA" w:rsidRPr="00174127" w:rsidP="005D6B32" w14:paraId="2328B03B" w14:textId="77777777">
      <w:pPr>
        <w:ind w:firstLine="720"/>
        <w:rPr>
          <w:rFonts w:ascii="Arial Nova" w:hAnsi="Arial Nova"/>
          <w:b/>
          <w:i/>
          <w:color w:val="F79646" w:themeColor="accent6"/>
        </w:rPr>
      </w:pPr>
    </w:p>
    <w:p w:rsidR="004705F0" w:rsidRPr="005F100C" w:rsidP="004705F0" w14:paraId="6AFD8180" w14:textId="77777777">
      <w:pPr>
        <w:spacing w:line="276" w:lineRule="auto"/>
        <w:rPr>
          <w:rFonts w:ascii="Arial Nova" w:hAnsi="Arial Nova" w:cstheme="minorHAnsi"/>
        </w:rPr>
      </w:pPr>
      <w:r w:rsidRPr="005F100C">
        <w:rPr>
          <w:rFonts w:ascii="Arial Nova" w:hAnsi="Arial Nova" w:cstheme="minorHAnsi"/>
        </w:rPr>
        <w:t>Whenever possible and appropriate, information collections submitted for approval under this generic clearance will use electronic data collection methods such as web-based surveys to collect and process data in order to reduce respondent burden and to mak</w:t>
      </w:r>
      <w:r w:rsidRPr="005F100C">
        <w:rPr>
          <w:rFonts w:ascii="Arial Nova" w:hAnsi="Arial Nova" w:cstheme="minorHAnsi"/>
        </w:rPr>
        <w:t xml:space="preserve">e data processing and reporting maximally efficient. </w:t>
      </w:r>
      <w:r w:rsidR="00E379AE">
        <w:rPr>
          <w:rFonts w:ascii="Arial Nova" w:hAnsi="Arial Nova" w:cstheme="minorHAnsi"/>
        </w:rPr>
        <w:t xml:space="preserve">We anticipate that </w:t>
      </w:r>
      <w:r w:rsidR="00D129CF">
        <w:rPr>
          <w:rFonts w:ascii="Arial Nova" w:hAnsi="Arial Nova" w:cstheme="minorHAnsi"/>
        </w:rPr>
        <w:t>99.5% of</w:t>
      </w:r>
      <w:r w:rsidR="00F55849">
        <w:rPr>
          <w:rFonts w:ascii="Arial Nova" w:hAnsi="Arial Nova" w:cstheme="minorHAnsi"/>
        </w:rPr>
        <w:t xml:space="preserve"> </w:t>
      </w:r>
      <w:r w:rsidR="00E379AE">
        <w:rPr>
          <w:rFonts w:ascii="Arial Nova" w:hAnsi="Arial Nova" w:cstheme="minorHAnsi"/>
        </w:rPr>
        <w:t>responses will be electronic</w:t>
      </w:r>
      <w:r w:rsidR="00F55849">
        <w:rPr>
          <w:rFonts w:ascii="Arial Nova" w:hAnsi="Arial Nova" w:cstheme="minorHAnsi"/>
        </w:rPr>
        <w:t xml:space="preserve">; focus groups conducted in-person would be the exception. </w:t>
      </w:r>
      <w:r w:rsidRPr="005F100C">
        <w:rPr>
          <w:rFonts w:ascii="Arial Nova" w:hAnsi="Arial Nova" w:cstheme="minorHAnsi"/>
        </w:rPr>
        <w:t xml:space="preserve">Further, electronic data collection </w:t>
      </w:r>
      <w:r w:rsidRPr="005F100C">
        <w:rPr>
          <w:rFonts w:ascii="Arial Nova" w:hAnsi="Arial Nova" w:cstheme="minorHAnsi"/>
        </w:rPr>
        <w:t>methods will be employed to minimize COVID-19</w:t>
      </w:r>
      <w:r w:rsidR="00356A43">
        <w:rPr>
          <w:rFonts w:ascii="Arial Nova" w:hAnsi="Arial Nova" w:cstheme="minorHAnsi"/>
        </w:rPr>
        <w:t xml:space="preserve"> </w:t>
      </w:r>
      <w:r w:rsidR="008378C6">
        <w:rPr>
          <w:rFonts w:ascii="Arial Nova" w:hAnsi="Arial Nova" w:cstheme="minorHAnsi"/>
        </w:rPr>
        <w:t>and/</w:t>
      </w:r>
      <w:r w:rsidR="00356A43">
        <w:rPr>
          <w:rFonts w:ascii="Arial Nova" w:hAnsi="Arial Nova" w:cstheme="minorHAnsi"/>
        </w:rPr>
        <w:t>or other</w:t>
      </w:r>
      <w:r w:rsidRPr="005F100C">
        <w:rPr>
          <w:rFonts w:ascii="Arial Nova" w:hAnsi="Arial Nova" w:cstheme="minorHAnsi"/>
        </w:rPr>
        <w:t xml:space="preserve"> exposure risk</w:t>
      </w:r>
      <w:r w:rsidR="008378C6">
        <w:rPr>
          <w:rFonts w:ascii="Arial Nova" w:hAnsi="Arial Nova" w:cstheme="minorHAnsi"/>
        </w:rPr>
        <w:t>s</w:t>
      </w:r>
      <w:r w:rsidR="00356A43">
        <w:rPr>
          <w:rFonts w:ascii="Arial Nova" w:hAnsi="Arial Nova" w:cstheme="minorHAnsi"/>
        </w:rPr>
        <w:t xml:space="preserve"> </w:t>
      </w:r>
      <w:r w:rsidR="008378C6">
        <w:rPr>
          <w:rFonts w:ascii="Arial Nova" w:hAnsi="Arial Nova" w:cstheme="minorHAnsi"/>
        </w:rPr>
        <w:t>as appropriate for</w:t>
      </w:r>
      <w:r w:rsidR="00356A43">
        <w:rPr>
          <w:rFonts w:ascii="Arial Nova" w:hAnsi="Arial Nova" w:cstheme="minorHAnsi"/>
        </w:rPr>
        <w:t xml:space="preserve"> the public health situation at the time</w:t>
      </w:r>
      <w:r w:rsidR="008378C6">
        <w:rPr>
          <w:rFonts w:ascii="Arial Nova" w:hAnsi="Arial Nova" w:cstheme="minorHAnsi"/>
        </w:rPr>
        <w:t xml:space="preserve"> of data collection</w:t>
      </w:r>
      <w:r w:rsidRPr="005F100C">
        <w:rPr>
          <w:rFonts w:ascii="Arial Nova" w:hAnsi="Arial Nova" w:cstheme="minorHAnsi"/>
        </w:rPr>
        <w:t>. If interviews and focus groups are conducted in-person</w:t>
      </w:r>
      <w:r w:rsidR="00356A43">
        <w:rPr>
          <w:rFonts w:ascii="Arial Nova" w:hAnsi="Arial Nova" w:cstheme="minorHAnsi"/>
        </w:rPr>
        <w:t xml:space="preserve"> during periods of high COVID-19 </w:t>
      </w:r>
      <w:r w:rsidR="008378C6">
        <w:rPr>
          <w:rFonts w:ascii="Arial Nova" w:hAnsi="Arial Nova" w:cstheme="minorHAnsi"/>
        </w:rPr>
        <w:t>and/</w:t>
      </w:r>
      <w:r w:rsidR="00356A43">
        <w:rPr>
          <w:rFonts w:ascii="Arial Nova" w:hAnsi="Arial Nova" w:cstheme="minorHAnsi"/>
        </w:rPr>
        <w:t>or other exposure risk</w:t>
      </w:r>
      <w:r w:rsidRPr="005F100C">
        <w:rPr>
          <w:rFonts w:ascii="Arial Nova" w:hAnsi="Arial Nova" w:cstheme="minorHAnsi"/>
        </w:rPr>
        <w:t xml:space="preserve">, additional precautions will be put into </w:t>
      </w:r>
      <w:r w:rsidRPr="005F100C">
        <w:rPr>
          <w:rFonts w:ascii="Arial Nova" w:hAnsi="Arial Nova" w:cstheme="minorHAnsi"/>
        </w:rPr>
        <w:t>place to ensure staff, contractors, and participants are protected from COVID-19</w:t>
      </w:r>
      <w:r w:rsidR="00356A43">
        <w:rPr>
          <w:rFonts w:ascii="Arial Nova" w:hAnsi="Arial Nova" w:cstheme="minorHAnsi"/>
        </w:rPr>
        <w:t xml:space="preserve"> </w:t>
      </w:r>
      <w:r w:rsidR="008378C6">
        <w:rPr>
          <w:rFonts w:ascii="Arial Nova" w:hAnsi="Arial Nova" w:cstheme="minorHAnsi"/>
        </w:rPr>
        <w:t>and/</w:t>
      </w:r>
      <w:r w:rsidR="00356A43">
        <w:rPr>
          <w:rFonts w:ascii="Arial Nova" w:hAnsi="Arial Nova" w:cstheme="minorHAnsi"/>
        </w:rPr>
        <w:t>or other</w:t>
      </w:r>
      <w:r w:rsidRPr="005F100C">
        <w:rPr>
          <w:rFonts w:ascii="Arial Nova" w:hAnsi="Arial Nova" w:cstheme="minorHAnsi"/>
        </w:rPr>
        <w:t xml:space="preserve"> exposure. Mitigation strategies could include a) enacting social distancing protocols (i.e.</w:t>
      </w:r>
      <w:r w:rsidRPr="005F100C" w:rsidR="004F51D9">
        <w:rPr>
          <w:rFonts w:ascii="Arial Nova" w:hAnsi="Arial Nova" w:cstheme="minorHAnsi"/>
        </w:rPr>
        <w:t>,</w:t>
      </w:r>
      <w:r w:rsidRPr="005F100C">
        <w:rPr>
          <w:rFonts w:ascii="Arial Nova" w:hAnsi="Arial Nova" w:cstheme="minorHAnsi"/>
        </w:rPr>
        <w:t xml:space="preserve"> six feet of space between persons to eliminate close contact), b) req</w:t>
      </w:r>
      <w:r w:rsidRPr="005F100C">
        <w:rPr>
          <w:rFonts w:ascii="Arial Nova" w:hAnsi="Arial Nova" w:cstheme="minorHAnsi"/>
        </w:rPr>
        <w:t>uiring appropriate personal protective equipment (PPE) use by all parties (e.g.</w:t>
      </w:r>
      <w:r w:rsidRPr="005F100C" w:rsidR="004F51D9">
        <w:rPr>
          <w:rFonts w:ascii="Arial Nova" w:hAnsi="Arial Nova" w:cstheme="minorHAnsi"/>
        </w:rPr>
        <w:t>,</w:t>
      </w:r>
      <w:r w:rsidRPr="005F100C">
        <w:rPr>
          <w:rFonts w:ascii="Arial Nova" w:hAnsi="Arial Nova" w:cstheme="minorHAnsi"/>
        </w:rPr>
        <w:t xml:space="preserve"> N95 or three-layer cotton masks), c) symptom screening prior to data collection, and d) disinfection of surfaces between sessions/interviews. The precautions may be revised to</w:t>
      </w:r>
      <w:r w:rsidRPr="005F100C">
        <w:rPr>
          <w:rFonts w:ascii="Arial Nova" w:hAnsi="Arial Nova" w:cstheme="minorHAnsi"/>
        </w:rPr>
        <w:t xml:space="preserve"> add or remove strategies as needed. Precautions may vary from site to site based on conditions on the ground and the timing of when activities are conducted. Project-specific plans will be described in each </w:t>
      </w:r>
      <w:r w:rsidR="00D0513B">
        <w:rPr>
          <w:rFonts w:ascii="Arial Nova" w:hAnsi="Arial Nova" w:cstheme="minorHAnsi"/>
        </w:rPr>
        <w:t>ICR</w:t>
      </w:r>
      <w:r w:rsidR="00063C16">
        <w:rPr>
          <w:rFonts w:ascii="Arial Nova" w:hAnsi="Arial Nova" w:cstheme="minorHAnsi"/>
        </w:rPr>
        <w:t xml:space="preserve"> as applicable</w:t>
      </w:r>
      <w:r w:rsidR="00D0513B">
        <w:rPr>
          <w:rFonts w:ascii="Arial Nova" w:hAnsi="Arial Nova" w:cstheme="minorHAnsi"/>
        </w:rPr>
        <w:t>.</w:t>
      </w:r>
      <w:r w:rsidRPr="005F100C">
        <w:rPr>
          <w:rFonts w:ascii="Arial Nova" w:hAnsi="Arial Nova" w:cstheme="minorHAnsi"/>
        </w:rPr>
        <w:t xml:space="preserve"> </w:t>
      </w:r>
      <w:r w:rsidR="00D0513B">
        <w:rPr>
          <w:rFonts w:ascii="Arial Nova" w:hAnsi="Arial Nova" w:cstheme="minorHAnsi"/>
        </w:rPr>
        <w:t>I</w:t>
      </w:r>
      <w:r w:rsidRPr="005F100C">
        <w:rPr>
          <w:rFonts w:ascii="Arial Nova" w:hAnsi="Arial Nova" w:cstheme="minorHAnsi"/>
        </w:rPr>
        <w:t>n-depth interviews, focus gr</w:t>
      </w:r>
      <w:r w:rsidRPr="005F100C">
        <w:rPr>
          <w:rFonts w:ascii="Arial Nova" w:hAnsi="Arial Nova" w:cstheme="minorHAnsi"/>
        </w:rPr>
        <w:t xml:space="preserve">oups, and surveys will be conducted with electronic and/or over-the-phone data collection methods when possible. </w:t>
      </w:r>
      <w:r w:rsidR="00F55849">
        <w:rPr>
          <w:rFonts w:ascii="Arial Nova" w:hAnsi="Arial Nova" w:cstheme="minorHAnsi"/>
        </w:rPr>
        <w:t>T</w:t>
      </w:r>
      <w:r w:rsidR="00E379AE">
        <w:rPr>
          <w:rFonts w:ascii="Arial Nova" w:hAnsi="Arial Nova" w:cstheme="minorHAnsi"/>
        </w:rPr>
        <w:t xml:space="preserve">he results </w:t>
      </w:r>
      <w:r w:rsidR="00F55849">
        <w:rPr>
          <w:rFonts w:ascii="Arial Nova" w:hAnsi="Arial Nova" w:cstheme="minorHAnsi"/>
        </w:rPr>
        <w:t>will not be available to the public on the Internet because they are collected</w:t>
      </w:r>
      <w:r w:rsidR="00E379AE">
        <w:rPr>
          <w:rFonts w:ascii="Arial Nova" w:hAnsi="Arial Nova" w:cstheme="minorHAnsi"/>
        </w:rPr>
        <w:t xml:space="preserve"> </w:t>
      </w:r>
      <w:r w:rsidRPr="005F100C" w:rsidR="00E379AE">
        <w:rPr>
          <w:rFonts w:ascii="Arial Nova" w:hAnsi="Arial Nova"/>
        </w:rPr>
        <w:t>to inform the development and pretesting of materials for CDC’s ongoing NTEC</w:t>
      </w:r>
      <w:r w:rsidR="002E4608">
        <w:rPr>
          <w:rFonts w:ascii="Arial Nova" w:hAnsi="Arial Nova"/>
        </w:rPr>
        <w:t xml:space="preserve"> and the emerging tobacco products communication initiative</w:t>
      </w:r>
      <w:r w:rsidR="00E379AE">
        <w:rPr>
          <w:rFonts w:ascii="Arial Nova" w:hAnsi="Arial Nova"/>
        </w:rPr>
        <w:t xml:space="preserve">. </w:t>
      </w:r>
    </w:p>
    <w:p w:rsidR="004705F0" w:rsidRPr="005F100C" w:rsidP="004705F0" w14:paraId="1A5E02F0" w14:textId="77777777">
      <w:pPr>
        <w:spacing w:line="276" w:lineRule="auto"/>
        <w:rPr>
          <w:rFonts w:ascii="Arial Nova" w:hAnsi="Arial Nova" w:cstheme="minorHAnsi"/>
        </w:rPr>
      </w:pPr>
      <w:r w:rsidRPr="005F100C">
        <w:rPr>
          <w:rFonts w:ascii="Arial Nova" w:hAnsi="Arial Nova" w:cstheme="minorHAnsi"/>
        </w:rPr>
        <w:tab/>
      </w:r>
    </w:p>
    <w:p w:rsidR="004705F0" w:rsidRPr="005F100C" w:rsidP="004705F0" w14:paraId="23A37958" w14:textId="77777777">
      <w:pPr>
        <w:spacing w:line="276" w:lineRule="auto"/>
        <w:rPr>
          <w:rFonts w:ascii="Arial Nova" w:hAnsi="Arial Nova" w:cstheme="minorHAnsi"/>
        </w:rPr>
      </w:pPr>
      <w:r w:rsidRPr="005F100C">
        <w:rPr>
          <w:rFonts w:ascii="Arial Nova" w:hAnsi="Arial Nova" w:cstheme="minorHAnsi"/>
        </w:rPr>
        <w:t xml:space="preserve">As computer technology has continued to improve and become more widespread, opportunities to pretest messages on the </w:t>
      </w:r>
      <w:r w:rsidR="00C3295A">
        <w:rPr>
          <w:rFonts w:ascii="Arial Nova" w:hAnsi="Arial Nova" w:cstheme="minorHAnsi"/>
        </w:rPr>
        <w:t>i</w:t>
      </w:r>
      <w:r w:rsidRPr="005F100C">
        <w:rPr>
          <w:rFonts w:ascii="Arial Nova" w:hAnsi="Arial Nova" w:cstheme="minorHAnsi"/>
        </w:rPr>
        <w:t>nternet using either web-based surveys, online focus groups, or online hybrid qualitative/quantitative methodologies have increased. Further, in all message, concept, material, and ad testing, the number of questions will be held to the absolute minimum re</w:t>
      </w:r>
      <w:r w:rsidRPr="005F100C">
        <w:rPr>
          <w:rFonts w:ascii="Arial Nova" w:hAnsi="Arial Nova" w:cstheme="minorHAnsi"/>
        </w:rPr>
        <w:t xml:space="preserve">quired for the intended use of the data. The following are examples of the types of technology that may be used to reduce burden and that have been used successfully by CDC in the past to collect information; evolving technologies may also be employed. </w:t>
      </w:r>
    </w:p>
    <w:p w:rsidR="004705F0" w:rsidRPr="005F100C" w:rsidP="004705F0" w14:paraId="5172FBBC" w14:textId="77777777">
      <w:pPr>
        <w:spacing w:line="276" w:lineRule="auto"/>
        <w:rPr>
          <w:rFonts w:ascii="Arial Nova" w:hAnsi="Arial Nova" w:cstheme="minorHAnsi"/>
        </w:rPr>
      </w:pPr>
    </w:p>
    <w:p w:rsidR="004705F0" w:rsidRPr="005F100C" w:rsidP="004705F0" w14:paraId="4330422C" w14:textId="77777777">
      <w:pPr>
        <w:spacing w:line="276" w:lineRule="auto"/>
        <w:rPr>
          <w:rFonts w:ascii="Arial Nova" w:hAnsi="Arial Nova" w:cstheme="minorHAnsi"/>
        </w:rPr>
      </w:pPr>
      <w:r w:rsidRPr="005F100C">
        <w:rPr>
          <w:rFonts w:ascii="Arial Nova" w:hAnsi="Arial Nova" w:cstheme="minorHAnsi"/>
          <w:b/>
          <w:bCs/>
        </w:rPr>
        <w:t>I</w:t>
      </w:r>
      <w:r w:rsidRPr="005F100C">
        <w:rPr>
          <w:rFonts w:ascii="Arial Nova" w:hAnsi="Arial Nova" w:cstheme="minorHAnsi"/>
          <w:b/>
          <w:bCs/>
        </w:rPr>
        <w:t>n-Depth Interviews:</w:t>
      </w:r>
      <w:r w:rsidRPr="005F100C">
        <w:rPr>
          <w:rFonts w:ascii="Arial Nova" w:hAnsi="Arial Nova" w:cstheme="minorHAnsi"/>
        </w:rPr>
        <w:t xml:space="preserve"> In-depth interviews consist of one-on-one interviews with members of </w:t>
      </w:r>
      <w:r w:rsidR="00C3295A">
        <w:rPr>
          <w:rFonts w:ascii="Arial Nova" w:hAnsi="Arial Nova" w:cstheme="minorHAnsi"/>
        </w:rPr>
        <w:t>intended</w:t>
      </w:r>
      <w:r w:rsidRPr="005F100C">
        <w:rPr>
          <w:rFonts w:ascii="Arial Nova" w:hAnsi="Arial Nova" w:cstheme="minorHAnsi"/>
        </w:rPr>
        <w:t xml:space="preserve"> audience</w:t>
      </w:r>
      <w:r w:rsidR="00C3295A">
        <w:rPr>
          <w:rFonts w:ascii="Arial Nova" w:hAnsi="Arial Nova" w:cstheme="minorHAnsi"/>
        </w:rPr>
        <w:t>s</w:t>
      </w:r>
      <w:r w:rsidRPr="005F100C">
        <w:rPr>
          <w:rFonts w:ascii="Arial Nova" w:hAnsi="Arial Nova" w:cstheme="minorHAnsi"/>
        </w:rPr>
        <w:t xml:space="preserve"> or other key stakeholders. These interviews will be conducted by telephone or online whenever possible to reduce burden and maximize convenience for</w:t>
      </w:r>
      <w:r w:rsidRPr="005F100C">
        <w:rPr>
          <w:rFonts w:ascii="Arial Nova" w:hAnsi="Arial Nova" w:cstheme="minorHAnsi"/>
        </w:rPr>
        <w:t xml:space="preserve"> participants. </w:t>
      </w:r>
    </w:p>
    <w:p w:rsidR="004705F0" w:rsidRPr="005F100C" w:rsidP="004705F0" w14:paraId="2D677AE3" w14:textId="77777777">
      <w:pPr>
        <w:spacing w:line="276" w:lineRule="auto"/>
        <w:rPr>
          <w:rFonts w:ascii="Arial Nova" w:hAnsi="Arial Nova" w:cstheme="minorHAnsi"/>
        </w:rPr>
      </w:pPr>
    </w:p>
    <w:p w:rsidR="004705F0" w:rsidRPr="005F100C" w:rsidP="004705F0" w14:paraId="75E21554" w14:textId="77777777">
      <w:pPr>
        <w:spacing w:line="276" w:lineRule="auto"/>
        <w:rPr>
          <w:rFonts w:ascii="Arial Nova" w:hAnsi="Arial Nova" w:cstheme="minorHAnsi"/>
        </w:rPr>
      </w:pPr>
      <w:r w:rsidRPr="005F100C">
        <w:rPr>
          <w:rFonts w:ascii="Arial Nova" w:hAnsi="Arial Nova" w:cstheme="minorHAnsi"/>
          <w:b/>
          <w:bCs/>
        </w:rPr>
        <w:t>Focus Groups:</w:t>
      </w:r>
      <w:r w:rsidRPr="005F100C">
        <w:rPr>
          <w:rFonts w:ascii="Arial Nova" w:hAnsi="Arial Nova" w:cstheme="minorHAnsi"/>
        </w:rPr>
        <w:t xml:space="preserve"> Focus groups are ideal for testing creative concepts and for eliciting feedback on visual stimuli. Focus groups will be conducted online whenever possible to reduce burden and maximize convenience for participants. </w:t>
      </w:r>
    </w:p>
    <w:p w:rsidR="004705F0" w:rsidRPr="005F100C" w:rsidP="004705F0" w14:paraId="7D592090" w14:textId="77777777">
      <w:pPr>
        <w:spacing w:line="276" w:lineRule="auto"/>
        <w:rPr>
          <w:rFonts w:ascii="Arial Nova" w:hAnsi="Arial Nova" w:cstheme="minorHAnsi"/>
        </w:rPr>
      </w:pPr>
      <w:r w:rsidRPr="005F100C">
        <w:rPr>
          <w:rFonts w:ascii="Arial Nova" w:hAnsi="Arial Nova" w:cstheme="minorHAnsi"/>
        </w:rPr>
        <w:t xml:space="preserve"> </w:t>
      </w:r>
    </w:p>
    <w:p w:rsidR="004705F0" w:rsidRPr="005F100C" w:rsidP="004705F0" w14:paraId="5F4327A0" w14:textId="77777777">
      <w:pPr>
        <w:spacing w:line="276" w:lineRule="auto"/>
        <w:rPr>
          <w:rFonts w:ascii="Arial Nova" w:hAnsi="Arial Nova" w:cstheme="minorHAnsi"/>
        </w:rPr>
      </w:pPr>
      <w:r w:rsidRPr="005F100C">
        <w:rPr>
          <w:rFonts w:ascii="Arial Nova" w:hAnsi="Arial Nova" w:cstheme="minorHAnsi"/>
          <w:b/>
          <w:bCs/>
        </w:rPr>
        <w:t xml:space="preserve">Online </w:t>
      </w:r>
      <w:r w:rsidRPr="005F100C">
        <w:rPr>
          <w:rFonts w:ascii="Arial Nova" w:hAnsi="Arial Nova" w:cstheme="minorHAnsi"/>
          <w:b/>
          <w:bCs/>
        </w:rPr>
        <w:t xml:space="preserve">Surveys and Bulletin Boards: </w:t>
      </w:r>
      <w:r w:rsidRPr="005F100C">
        <w:rPr>
          <w:rFonts w:ascii="Arial Nova" w:hAnsi="Arial Nova" w:cstheme="minorHAnsi"/>
        </w:rPr>
        <w:t>Online systems are ideal because of the ease of presenting visual stimuli (e.g., the concepts or advertisements) to respondents and recording their feedback. Online methods for interviews, focus groups, bulletin boards and surv</w:t>
      </w:r>
      <w:r w:rsidRPr="005F100C">
        <w:rPr>
          <w:rFonts w:ascii="Arial Nova" w:hAnsi="Arial Nova" w:cstheme="minorHAnsi"/>
        </w:rPr>
        <w:t>eys can also minimize burden because they can be completed in the respondent’s home or workplace, at the respondent’s convenience and</w:t>
      </w:r>
      <w:r w:rsidR="00C3295A">
        <w:rPr>
          <w:rFonts w:ascii="Arial Nova" w:hAnsi="Arial Nova" w:cstheme="minorHAnsi"/>
        </w:rPr>
        <w:t xml:space="preserve"> </w:t>
      </w:r>
      <w:r w:rsidRPr="005F100C">
        <w:rPr>
          <w:rFonts w:ascii="Arial Nova" w:hAnsi="Arial Nova" w:cstheme="minorHAnsi"/>
        </w:rPr>
        <w:t xml:space="preserve">do not require the presence of an interviewer. They are </w:t>
      </w:r>
      <w:r w:rsidRPr="005F100C">
        <w:rPr>
          <w:rFonts w:ascii="Arial Nova" w:hAnsi="Arial Nova" w:cstheme="minorHAnsi"/>
        </w:rPr>
        <w:t xml:space="preserve">less burdensome than mailed questionnaires in that they eliminate </w:t>
      </w:r>
      <w:r w:rsidRPr="005F100C">
        <w:rPr>
          <w:rFonts w:ascii="Arial Nova" w:hAnsi="Arial Nova" w:cstheme="minorHAnsi"/>
        </w:rPr>
        <w:t xml:space="preserve">the need to handle and return paper copies (Stempel III &amp; Stewart, 2000). </w:t>
      </w:r>
    </w:p>
    <w:p w:rsidR="004705F0" w:rsidRPr="005F100C" w:rsidP="004705F0" w14:paraId="2E5413F2" w14:textId="77777777">
      <w:pPr>
        <w:spacing w:line="276" w:lineRule="auto"/>
        <w:rPr>
          <w:rFonts w:ascii="Arial Nova" w:hAnsi="Arial Nova" w:cstheme="minorHAnsi"/>
        </w:rPr>
      </w:pPr>
    </w:p>
    <w:p w:rsidR="004705F0" w:rsidRPr="005F100C" w:rsidP="004705F0" w14:paraId="6A8DF730" w14:textId="77777777">
      <w:pPr>
        <w:spacing w:line="276" w:lineRule="auto"/>
        <w:rPr>
          <w:rFonts w:ascii="Arial Nova" w:hAnsi="Arial Nova" w:cstheme="minorHAnsi"/>
        </w:rPr>
      </w:pPr>
      <w:r w:rsidRPr="005F100C">
        <w:rPr>
          <w:rFonts w:ascii="Arial Nova" w:hAnsi="Arial Nova" w:cstheme="minorHAnsi"/>
        </w:rPr>
        <w:t>A web-enabled panel approach uses online technology to collect data from households that participate in an ongoing panel. The panels are very large (more than 1.7 million people in</w:t>
      </w:r>
      <w:r w:rsidRPr="005F100C">
        <w:rPr>
          <w:rFonts w:ascii="Arial Nova" w:hAnsi="Arial Nova" w:cstheme="minorHAnsi"/>
        </w:rPr>
        <w:t xml:space="preserve"> the U.S.), allowing quick selection from the overall pool and the rapid identification of several potential respondents from extremely small subgroups of the population. Web panels provide a highly efficient, low cost, and low burden method of data collec</w:t>
      </w:r>
      <w:r w:rsidRPr="005F100C">
        <w:rPr>
          <w:rFonts w:ascii="Arial Nova" w:hAnsi="Arial Nova" w:cstheme="minorHAnsi"/>
        </w:rPr>
        <w:t>tion for formative message testing. Online surveys can be of short</w:t>
      </w:r>
      <w:r w:rsidR="00F56225">
        <w:rPr>
          <w:rFonts w:ascii="Arial Nova" w:hAnsi="Arial Nova" w:cstheme="minorHAnsi"/>
        </w:rPr>
        <w:t xml:space="preserve"> or </w:t>
      </w:r>
      <w:r w:rsidRPr="005F100C">
        <w:rPr>
          <w:rFonts w:ascii="Arial Nova" w:hAnsi="Arial Nova" w:cstheme="minorHAnsi"/>
        </w:rPr>
        <w:t xml:space="preserve">medium length as required to meet project needs. Short surveys are appropriate for testing near completed ads and medium length surveys may be required for other project activities. </w:t>
      </w:r>
    </w:p>
    <w:p w:rsidR="004705F0" w:rsidRPr="005F100C" w:rsidP="004705F0" w14:paraId="6350E931" w14:textId="77777777">
      <w:pPr>
        <w:spacing w:line="276" w:lineRule="auto"/>
        <w:rPr>
          <w:rFonts w:ascii="Arial Nova" w:hAnsi="Arial Nova" w:cstheme="minorHAnsi"/>
        </w:rPr>
      </w:pPr>
    </w:p>
    <w:p w:rsidR="00634520" w:rsidP="004705F0" w14:paraId="320EE733" w14:textId="77777777">
      <w:pPr>
        <w:spacing w:line="276" w:lineRule="auto"/>
        <w:rPr>
          <w:rFonts w:ascii="Arial Nova" w:hAnsi="Arial Nova" w:cstheme="minorHAnsi"/>
        </w:rPr>
      </w:pPr>
      <w:r w:rsidRPr="005F100C">
        <w:rPr>
          <w:rFonts w:ascii="Arial Nova" w:hAnsi="Arial Nova" w:cstheme="minorHAnsi"/>
        </w:rPr>
        <w:t>Fo</w:t>
      </w:r>
      <w:r w:rsidRPr="005F100C">
        <w:rPr>
          <w:rFonts w:ascii="Arial Nova" w:hAnsi="Arial Nova" w:cstheme="minorHAnsi"/>
        </w:rPr>
        <w:t xml:space="preserve">r online bulletin boards, respondents can respond to a pre-loaded discussion guide at their own convenience while a trained, live moderator monitors responses throughout the duration of the bulletin board. </w:t>
      </w:r>
    </w:p>
    <w:p w:rsidR="00634520" w:rsidP="004705F0" w14:paraId="00C866AC" w14:textId="77777777">
      <w:pPr>
        <w:spacing w:line="276" w:lineRule="auto"/>
        <w:rPr>
          <w:rFonts w:ascii="Arial Nova" w:hAnsi="Arial Nova" w:cstheme="minorHAnsi"/>
        </w:rPr>
      </w:pPr>
    </w:p>
    <w:p w:rsidR="004705F0" w:rsidP="004705F0" w14:paraId="2317917A" w14:textId="77777777">
      <w:pPr>
        <w:spacing w:line="276" w:lineRule="auto"/>
        <w:rPr>
          <w:rFonts w:ascii="Arial Nova" w:hAnsi="Arial Nova" w:cstheme="minorHAnsi"/>
        </w:rPr>
      </w:pPr>
      <w:r w:rsidRPr="005F100C">
        <w:rPr>
          <w:rFonts w:ascii="Arial Nova" w:hAnsi="Arial Nova" w:cstheme="minorHAnsi"/>
        </w:rPr>
        <w:t>Web-based surveys are an especially convenient o</w:t>
      </w:r>
      <w:r w:rsidRPr="005F100C">
        <w:rPr>
          <w:rFonts w:ascii="Arial Nova" w:hAnsi="Arial Nova" w:cstheme="minorHAnsi"/>
        </w:rPr>
        <w:t>ption for eliciting feedback on visual stimuli. With web-based surveys, respondents view an ad, complete an online survey and then submit the data electronically and securely over the Internet. Online methods for bulletin boards and surveys are described i</w:t>
      </w:r>
      <w:r w:rsidRPr="005F100C">
        <w:rPr>
          <w:rFonts w:ascii="Arial Nova" w:hAnsi="Arial Nova" w:cstheme="minorHAnsi"/>
        </w:rPr>
        <w:t xml:space="preserve">n more detail in Part B. Relative to less technically advanced methods, these data collection approaches have the advantages of speed, cost, access and reduced burden.   </w:t>
      </w:r>
    </w:p>
    <w:p w:rsidR="004705F0" w:rsidRPr="005F100C" w:rsidP="004705F0" w14:paraId="5A34C99D" w14:textId="77777777">
      <w:pPr>
        <w:spacing w:line="276" w:lineRule="auto"/>
        <w:rPr>
          <w:rFonts w:ascii="Arial Nova" w:hAnsi="Arial Nova" w:cstheme="minorHAnsi"/>
        </w:rPr>
      </w:pPr>
    </w:p>
    <w:p w:rsidR="004705F0" w:rsidRPr="005F100C" w:rsidP="004705F0" w14:paraId="36277EA4" w14:textId="7D547017">
      <w:pPr>
        <w:spacing w:line="276" w:lineRule="auto"/>
        <w:rPr>
          <w:rFonts w:ascii="Arial Nova" w:hAnsi="Arial Nova" w:cstheme="minorHAnsi"/>
        </w:rPr>
      </w:pPr>
      <w:r w:rsidRPr="005F100C">
        <w:rPr>
          <w:rFonts w:ascii="Arial Nova" w:hAnsi="Arial Nova" w:cstheme="minorHAnsi"/>
        </w:rPr>
        <w:t xml:space="preserve">All </w:t>
      </w:r>
      <w:r w:rsidR="00612457">
        <w:rPr>
          <w:rFonts w:ascii="Arial Nova" w:hAnsi="Arial Nova" w:cstheme="minorHAnsi"/>
        </w:rPr>
        <w:t>personally identifiable information (</w:t>
      </w:r>
      <w:r w:rsidRPr="005F100C">
        <w:rPr>
          <w:rFonts w:ascii="Arial Nova" w:hAnsi="Arial Nova" w:cstheme="minorHAnsi"/>
        </w:rPr>
        <w:t>PII</w:t>
      </w:r>
      <w:r w:rsidR="00612457">
        <w:rPr>
          <w:rFonts w:ascii="Arial Nova" w:hAnsi="Arial Nova" w:cstheme="minorHAnsi"/>
        </w:rPr>
        <w:t>)</w:t>
      </w:r>
      <w:r w:rsidRPr="005F100C">
        <w:rPr>
          <w:rFonts w:ascii="Arial Nova" w:hAnsi="Arial Nova" w:cstheme="minorHAnsi"/>
        </w:rPr>
        <w:t xml:space="preserve"> – participant names and telephone numb</w:t>
      </w:r>
      <w:r w:rsidRPr="005F100C">
        <w:rPr>
          <w:rFonts w:ascii="Arial Nova" w:hAnsi="Arial Nova" w:cstheme="minorHAnsi"/>
        </w:rPr>
        <w:t xml:space="preserve">ers, for example </w:t>
      </w:r>
      <w:r w:rsidR="003C2CEC">
        <w:rPr>
          <w:rFonts w:ascii="Arial Nova" w:hAnsi="Arial Nova" w:cstheme="minorHAnsi"/>
        </w:rPr>
        <w:t>–</w:t>
      </w:r>
      <w:r w:rsidRPr="005F100C">
        <w:rPr>
          <w:rFonts w:ascii="Arial Nova" w:hAnsi="Arial Nova" w:cstheme="minorHAnsi"/>
        </w:rPr>
        <w:t xml:space="preserve"> will be stored separately from survey data and will not be shared with CDC</w:t>
      </w:r>
      <w:r w:rsidR="00634520">
        <w:rPr>
          <w:rFonts w:ascii="Arial Nova" w:hAnsi="Arial Nova" w:cstheme="minorHAnsi"/>
        </w:rPr>
        <w:t xml:space="preserve">. These data are </w:t>
      </w:r>
      <w:r w:rsidRPr="003C1F88" w:rsidR="00634520">
        <w:rPr>
          <w:rFonts w:ascii="Arial Nova" w:hAnsi="Arial Nova" w:cstheme="minorHAnsi"/>
        </w:rPr>
        <w:t>used only to generate a sample</w:t>
      </w:r>
      <w:r w:rsidR="00634520">
        <w:rPr>
          <w:rFonts w:ascii="Arial Nova" w:hAnsi="Arial Nova" w:cstheme="minorHAnsi"/>
        </w:rPr>
        <w:t xml:space="preserve">, </w:t>
      </w:r>
      <w:r w:rsidRPr="005F100C">
        <w:rPr>
          <w:rFonts w:ascii="Arial Nova" w:hAnsi="Arial Nova" w:cstheme="minorHAnsi"/>
        </w:rPr>
        <w:t>allowing participants to respond anonymously. The PII for contact</w:t>
      </w:r>
      <w:r w:rsidR="00634520">
        <w:rPr>
          <w:rFonts w:ascii="Arial Nova" w:hAnsi="Arial Nova" w:cstheme="minorHAnsi"/>
        </w:rPr>
        <w:t xml:space="preserve"> information</w:t>
      </w:r>
      <w:r w:rsidRPr="005F100C">
        <w:rPr>
          <w:rFonts w:ascii="Arial Nova" w:hAnsi="Arial Nova" w:cstheme="minorHAnsi"/>
        </w:rPr>
        <w:t xml:space="preserve"> is stored with the companies that ma</w:t>
      </w:r>
      <w:r w:rsidRPr="005F100C">
        <w:rPr>
          <w:rFonts w:ascii="Arial Nova" w:hAnsi="Arial Nova" w:cstheme="minorHAnsi"/>
        </w:rPr>
        <w:t xml:space="preserve">nage sample and CDC never receives it. Any PII collected will be destroyed at the end of data collection and will only be used for initial contact. Given this is not a longitudinal study, no PII is required for maintenance or re-contact after </w:t>
      </w:r>
      <w:r w:rsidR="00634520">
        <w:rPr>
          <w:rFonts w:ascii="Arial Nova" w:hAnsi="Arial Nova" w:cstheme="minorHAnsi"/>
        </w:rPr>
        <w:t xml:space="preserve">an </w:t>
      </w:r>
      <w:r w:rsidRPr="005F100C">
        <w:rPr>
          <w:rFonts w:ascii="Arial Nova" w:hAnsi="Arial Nova" w:cstheme="minorHAnsi"/>
        </w:rPr>
        <w:t xml:space="preserve">interview </w:t>
      </w:r>
      <w:r w:rsidRPr="005F100C">
        <w:rPr>
          <w:rFonts w:ascii="Arial Nova" w:hAnsi="Arial Nova" w:cstheme="minorHAnsi"/>
        </w:rPr>
        <w:t xml:space="preserve">has taken place. Although demographic information (e.g., age, </w:t>
      </w:r>
      <w:r w:rsidR="00343AB7">
        <w:rPr>
          <w:rFonts w:ascii="Arial Nova" w:hAnsi="Arial Nova" w:cstheme="minorHAnsi"/>
        </w:rPr>
        <w:t>sex</w:t>
      </w:r>
      <w:r w:rsidRPr="005F100C">
        <w:rPr>
          <w:rFonts w:ascii="Arial Nova" w:hAnsi="Arial Nova" w:cstheme="minorHAnsi"/>
        </w:rPr>
        <w:t>, race/ethnicity, household income, educational attainment, etc.) may be collected, no direct personal identifiers (e.g., date of birth, full name, phone number, social security number, et</w:t>
      </w:r>
      <w:r w:rsidRPr="005F100C">
        <w:rPr>
          <w:rFonts w:ascii="Arial Nova" w:hAnsi="Arial Nova" w:cstheme="minorHAnsi"/>
        </w:rPr>
        <w:t>c.) will be maintained. Data will be stored on password protected computers only accessible to study personnel.</w:t>
      </w:r>
    </w:p>
    <w:p w:rsidR="00D770BA" w:rsidRPr="00347B64" w:rsidP="00347B64" w14:paraId="24321945" w14:textId="77777777">
      <w:pPr>
        <w:pStyle w:val="Heading2"/>
        <w:spacing w:line="276" w:lineRule="auto"/>
        <w:rPr>
          <w:rFonts w:ascii="Arial Nova" w:hAnsi="Arial Nova" w:cstheme="minorHAnsi"/>
          <w:i/>
          <w:color w:val="auto"/>
          <w:sz w:val="24"/>
          <w:szCs w:val="24"/>
        </w:rPr>
      </w:pPr>
      <w:bookmarkStart w:id="12" w:name="_Toc131505174"/>
      <w:r w:rsidRPr="00174127">
        <w:rPr>
          <w:rFonts w:ascii="Arial Nova" w:hAnsi="Arial Nova" w:cstheme="minorHAnsi"/>
          <w:i/>
          <w:color w:val="auto"/>
          <w:sz w:val="24"/>
          <w:szCs w:val="24"/>
        </w:rPr>
        <w:t>A4. Efforts to Identify Duplication and Use of Similar Information</w:t>
      </w:r>
      <w:bookmarkEnd w:id="12"/>
    </w:p>
    <w:p w:rsidR="008177B7" w:rsidRPr="005F100C" w:rsidP="008177B7" w14:paraId="31002EAE" w14:textId="77777777">
      <w:pPr>
        <w:pStyle w:val="m-4824437483153403386msocommenttext"/>
        <w:shd w:val="clear" w:color="auto" w:fill="FFFFFF"/>
        <w:spacing w:line="276" w:lineRule="auto"/>
        <w:rPr>
          <w:rFonts w:ascii="Arial Nova" w:hAnsi="Arial Nova"/>
        </w:rPr>
      </w:pPr>
      <w:r w:rsidRPr="005F100C">
        <w:rPr>
          <w:rFonts w:ascii="Arial Nova" w:hAnsi="Arial Nova"/>
        </w:rPr>
        <w:t>To prepare for data collection, CDC reviewed existing published literature, and unpublished qualitative pretesting reports (e.g., the findings from previous formative testing) when they were available. CDC also consults with outside experts to identify inf</w:t>
      </w:r>
      <w:r w:rsidRPr="005F100C">
        <w:rPr>
          <w:rFonts w:ascii="Arial Nova" w:hAnsi="Arial Nova"/>
        </w:rPr>
        <w:t xml:space="preserve">ormation that could facilitate message development. Health messages developed by CDC are unique in their mix </w:t>
      </w:r>
      <w:r w:rsidRPr="005F100C">
        <w:rPr>
          <w:rFonts w:ascii="Arial Nova" w:hAnsi="Arial Nova"/>
        </w:rPr>
        <w:t>of intended audience, health behavior, concept, and execution. Therefore, there are no similar data available.</w:t>
      </w:r>
    </w:p>
    <w:p w:rsidR="00822EBE" w:rsidP="008177B7" w14:paraId="6F0B8F0B" w14:textId="77777777">
      <w:pPr>
        <w:pStyle w:val="m-4824437483153403386msocommenttext"/>
        <w:shd w:val="clear" w:color="auto" w:fill="FFFFFF"/>
        <w:spacing w:line="276" w:lineRule="auto"/>
        <w:rPr>
          <w:rFonts w:ascii="Arial Nova" w:hAnsi="Arial Nova"/>
        </w:rPr>
      </w:pPr>
      <w:r w:rsidRPr="005F100C">
        <w:rPr>
          <w:rFonts w:ascii="Arial Nova" w:hAnsi="Arial Nova"/>
        </w:rPr>
        <w:t xml:space="preserve">To help prevent redundancy, CDC collaborates with other federal government agencies that sponsor or endorse health communication projects, such as the U.S. Food and Drug Administration’s Center for Tobacco Products (FDA CTP). </w:t>
      </w:r>
      <w:r w:rsidRPr="00822EBE">
        <w:rPr>
          <w:rFonts w:ascii="Arial Nova" w:hAnsi="Arial Nova"/>
        </w:rPr>
        <w:t>FDA CTP is investing in a numb</w:t>
      </w:r>
      <w:r w:rsidRPr="00822EBE">
        <w:rPr>
          <w:rFonts w:ascii="Arial Nova" w:hAnsi="Arial Nova"/>
        </w:rPr>
        <w:t xml:space="preserve">er of public education campaigns aimed at youth and young adults (i.e., </w:t>
      </w:r>
      <w:r w:rsidRPr="00822EBE">
        <w:rPr>
          <w:rFonts w:ascii="Arial Nova" w:hAnsi="Arial Nova"/>
          <w:i/>
          <w:iCs/>
        </w:rPr>
        <w:t>The Real Cost</w:t>
      </w:r>
      <w:r w:rsidRPr="00822EBE">
        <w:rPr>
          <w:rFonts w:ascii="Arial Nova" w:hAnsi="Arial Nova"/>
        </w:rPr>
        <w:t xml:space="preserve">, </w:t>
      </w:r>
      <w:r w:rsidRPr="00822EBE">
        <w:rPr>
          <w:rFonts w:ascii="Arial Nova" w:hAnsi="Arial Nova"/>
          <w:i/>
          <w:iCs/>
        </w:rPr>
        <w:t>Fresh Empire</w:t>
      </w:r>
      <w:r w:rsidRPr="00822EBE">
        <w:rPr>
          <w:rFonts w:ascii="Arial Nova" w:hAnsi="Arial Nova"/>
        </w:rPr>
        <w:t xml:space="preserve">, and </w:t>
      </w:r>
      <w:r w:rsidRPr="00822EBE">
        <w:rPr>
          <w:rFonts w:ascii="Arial Nova" w:hAnsi="Arial Nova"/>
          <w:i/>
          <w:iCs/>
        </w:rPr>
        <w:t>This Free Life</w:t>
      </w:r>
      <w:r w:rsidRPr="00822EBE">
        <w:rPr>
          <w:rFonts w:ascii="Arial Nova" w:hAnsi="Arial Nova"/>
        </w:rPr>
        <w:t xml:space="preserve">) to educate them about the dangers of regulated tobacco products. In addition, FDA CTP also makes available to state partners materials </w:t>
      </w:r>
      <w:r w:rsidRPr="00822EBE">
        <w:rPr>
          <w:rFonts w:ascii="Arial Nova" w:hAnsi="Arial Nova"/>
        </w:rPr>
        <w:t xml:space="preserve">from its </w:t>
      </w:r>
      <w:r w:rsidRPr="00D129CF">
        <w:rPr>
          <w:rFonts w:ascii="Arial Nova" w:hAnsi="Arial Nova"/>
          <w:i/>
          <w:iCs/>
        </w:rPr>
        <w:t xml:space="preserve">Every Try Counts </w:t>
      </w:r>
      <w:r w:rsidRPr="00822EBE">
        <w:rPr>
          <w:rFonts w:ascii="Arial Nova" w:hAnsi="Arial Nova"/>
        </w:rPr>
        <w:t xml:space="preserve">campaign, an adult-focused campaign that uses encouraging messages to get people to quit smoking, however they are no longer doing paid placements for this campaign. </w:t>
      </w:r>
    </w:p>
    <w:p w:rsidR="008177B7" w:rsidRPr="005F100C" w:rsidP="008177B7" w14:paraId="297B7DED" w14:textId="77777777">
      <w:pPr>
        <w:pStyle w:val="m-4824437483153403386msocommenttext"/>
        <w:shd w:val="clear" w:color="auto" w:fill="FFFFFF"/>
        <w:spacing w:line="276" w:lineRule="auto"/>
        <w:rPr>
          <w:rFonts w:ascii="Arial Nova" w:hAnsi="Arial Nova"/>
        </w:rPr>
      </w:pPr>
      <w:r w:rsidRPr="005F100C">
        <w:rPr>
          <w:rFonts w:ascii="Arial Nova" w:hAnsi="Arial Nova"/>
        </w:rPr>
        <w:t>CDC and FDA CTP are coordinating and collaborating closely on t</w:t>
      </w:r>
      <w:r w:rsidRPr="005F100C">
        <w:rPr>
          <w:rFonts w:ascii="Arial Nova" w:hAnsi="Arial Nova"/>
        </w:rPr>
        <w:t>obacco information collections and material development to avoid duplication of efforts and to support respective campaign messaging. Regularly scheduled conference calls are held to review plans and share research findings of mutual interest. These collab</w:t>
      </w:r>
      <w:r w:rsidRPr="005F100C">
        <w:rPr>
          <w:rFonts w:ascii="Arial Nova" w:hAnsi="Arial Nova"/>
        </w:rPr>
        <w:t>orations serve as information channels, help prevent redundancy, and promote use of consistent measures of effectiveness. Coordination activities include the review of data collection instruments and other support materials for testing purposes. Relevant c</w:t>
      </w:r>
      <w:r w:rsidRPr="005F100C">
        <w:rPr>
          <w:rFonts w:ascii="Arial Nova" w:hAnsi="Arial Nova"/>
        </w:rPr>
        <w:t xml:space="preserve">ommunications will be documented in each </w:t>
      </w:r>
      <w:r w:rsidR="00091AD4">
        <w:rPr>
          <w:rFonts w:ascii="Arial Nova" w:hAnsi="Arial Nova"/>
        </w:rPr>
        <w:t>ICR</w:t>
      </w:r>
      <w:r w:rsidRPr="005F100C">
        <w:rPr>
          <w:rFonts w:ascii="Arial Nova" w:hAnsi="Arial Nova"/>
        </w:rPr>
        <w:t xml:space="preserve"> submitted to OMB for approval under MTTCA. CDC will share with FDA CTP all future findings from the formative work that will be submitted to OMB under this revised package to ensure that future duplication of ef</w:t>
      </w:r>
      <w:r w:rsidRPr="005F100C">
        <w:rPr>
          <w:rFonts w:ascii="Arial Nova" w:hAnsi="Arial Nova"/>
        </w:rPr>
        <w:t xml:space="preserve">forts is preempted. </w:t>
      </w:r>
    </w:p>
    <w:p w:rsidR="006B550E" w:rsidRPr="00347B64" w:rsidP="00347B64" w14:paraId="019ABA5A" w14:textId="77777777">
      <w:pPr>
        <w:pStyle w:val="Heading2"/>
        <w:spacing w:line="276" w:lineRule="auto"/>
        <w:rPr>
          <w:rFonts w:ascii="Arial Nova" w:hAnsi="Arial Nova" w:cstheme="minorHAnsi"/>
          <w:i/>
          <w:color w:val="auto"/>
          <w:sz w:val="24"/>
          <w:szCs w:val="24"/>
        </w:rPr>
      </w:pPr>
      <w:bookmarkStart w:id="13" w:name="_Toc131505175"/>
      <w:r w:rsidRPr="00174127">
        <w:rPr>
          <w:rFonts w:ascii="Arial Nova" w:hAnsi="Arial Nova" w:cstheme="minorHAnsi"/>
          <w:i/>
          <w:color w:val="auto"/>
          <w:sz w:val="24"/>
          <w:szCs w:val="24"/>
        </w:rPr>
        <w:t>A5. Impact on Small Businesses or Other Small Entities</w:t>
      </w:r>
      <w:bookmarkEnd w:id="13"/>
    </w:p>
    <w:p w:rsidR="006B550E" w:rsidRPr="00347B64" w:rsidP="00716890" w14:paraId="27EBCC96" w14:textId="77777777">
      <w:pPr>
        <w:spacing w:before="100" w:beforeAutospacing="1" w:after="100" w:afterAutospacing="1" w:line="276" w:lineRule="auto"/>
        <w:rPr>
          <w:rFonts w:ascii="Arial Nova" w:hAnsi="Arial Nova"/>
        </w:rPr>
      </w:pPr>
      <w:r>
        <w:rPr>
          <w:rFonts w:ascii="Arial Nova" w:hAnsi="Arial Nova"/>
        </w:rPr>
        <w:t>ICRs</w:t>
      </w:r>
      <w:r w:rsidRPr="00347B64" w:rsidR="008177B7">
        <w:rPr>
          <w:rFonts w:ascii="Arial Nova" w:hAnsi="Arial Nova"/>
        </w:rPr>
        <w:t xml:space="preserve"> will not involve small businesses or other small entities.</w:t>
      </w:r>
    </w:p>
    <w:p w:rsidR="006B550E" w:rsidRPr="00174127" w:rsidP="006B550E" w14:paraId="1C1471AF" w14:textId="77777777">
      <w:pPr>
        <w:pStyle w:val="Heading2"/>
        <w:spacing w:line="276" w:lineRule="auto"/>
        <w:rPr>
          <w:rFonts w:ascii="Arial Nova" w:hAnsi="Arial Nova" w:cstheme="minorHAnsi"/>
          <w:i/>
          <w:color w:val="auto"/>
          <w:sz w:val="24"/>
          <w:szCs w:val="24"/>
        </w:rPr>
      </w:pPr>
      <w:bookmarkStart w:id="14" w:name="_Toc131505176"/>
      <w:r w:rsidRPr="00174127">
        <w:rPr>
          <w:rFonts w:ascii="Arial Nova" w:hAnsi="Arial Nova" w:cstheme="minorHAnsi"/>
          <w:i/>
          <w:color w:val="auto"/>
          <w:sz w:val="24"/>
          <w:szCs w:val="24"/>
        </w:rPr>
        <w:t>A6. Consequences of Collecting the Information Less Frequently</w:t>
      </w:r>
      <w:bookmarkEnd w:id="14"/>
    </w:p>
    <w:p w:rsidR="007B49C8" w:rsidRPr="004F51D9" w:rsidP="00716890" w14:paraId="575A07B9" w14:textId="77777777">
      <w:pPr>
        <w:spacing w:before="100" w:beforeAutospacing="1" w:after="100" w:afterAutospacing="1" w:line="276" w:lineRule="auto"/>
        <w:rPr>
          <w:rFonts w:ascii="Arial Nova" w:hAnsi="Arial Nova"/>
          <w:bCs/>
          <w:iCs/>
        </w:rPr>
      </w:pPr>
      <w:r w:rsidRPr="004F51D9">
        <w:rPr>
          <w:rFonts w:ascii="Arial Nova" w:hAnsi="Arial Nova"/>
          <w:bCs/>
          <w:iCs/>
        </w:rPr>
        <w:t>This package supports the essential steps of conducti</w:t>
      </w:r>
      <w:r w:rsidRPr="004F51D9">
        <w:rPr>
          <w:rFonts w:ascii="Arial Nova" w:hAnsi="Arial Nova"/>
          <w:bCs/>
          <w:iCs/>
        </w:rPr>
        <w:t xml:space="preserve">ng needs assessments, assessing </w:t>
      </w:r>
      <w:r w:rsidR="00AE5495">
        <w:rPr>
          <w:rFonts w:ascii="Arial Nova" w:hAnsi="Arial Nova"/>
          <w:bCs/>
          <w:iCs/>
        </w:rPr>
        <w:t>intended</w:t>
      </w:r>
      <w:r w:rsidRPr="004F51D9" w:rsidR="00AE5495">
        <w:rPr>
          <w:rFonts w:ascii="Arial Nova" w:hAnsi="Arial Nova"/>
          <w:bCs/>
          <w:iCs/>
        </w:rPr>
        <w:t xml:space="preserve"> </w:t>
      </w:r>
      <w:r w:rsidRPr="004F51D9">
        <w:rPr>
          <w:rFonts w:ascii="Arial Nova" w:hAnsi="Arial Nova"/>
          <w:bCs/>
          <w:iCs/>
        </w:rPr>
        <w:t xml:space="preserve">audience awareness, attitudes, knowledge, beliefs, and behaviors; and testing messages on dimensions such as clarity, salience, appeal, and persuasiveness (i.e., the ability to influence behavioral </w:t>
      </w:r>
      <w:r w:rsidRPr="004F51D9">
        <w:rPr>
          <w:rFonts w:ascii="Arial Nova" w:hAnsi="Arial Nova"/>
          <w:bCs/>
          <w:iCs/>
        </w:rPr>
        <w:t>intention). Skipping these steps has a high potential cost. A program designed without a clear understanding of the issue or message from the</w:t>
      </w:r>
      <w:r w:rsidR="00AE5495">
        <w:rPr>
          <w:rFonts w:ascii="Arial Nova" w:hAnsi="Arial Nova"/>
          <w:bCs/>
          <w:iCs/>
        </w:rPr>
        <w:t xml:space="preserve"> intended</w:t>
      </w:r>
      <w:r w:rsidRPr="004F51D9">
        <w:rPr>
          <w:rFonts w:ascii="Arial Nova" w:hAnsi="Arial Nova"/>
          <w:bCs/>
          <w:iCs/>
        </w:rPr>
        <w:t xml:space="preserve"> audience’s perspective can be minimally effective, at best. Untested messages can waste communication res</w:t>
      </w:r>
      <w:r w:rsidRPr="004F51D9">
        <w:rPr>
          <w:rFonts w:ascii="Arial Nova" w:hAnsi="Arial Nova"/>
          <w:bCs/>
          <w:iCs/>
        </w:rPr>
        <w:t>ources and opportunities because the messages may be perceived as unclear or irrelevant. Untested messages can also have unintended consequences, such as jeopardizing the credibility of federal health agencies.</w:t>
      </w:r>
    </w:p>
    <w:p w:rsidR="00C23DCB" w:rsidRPr="00174127" w:rsidP="00C23DCB" w14:paraId="33E72ECB" w14:textId="77777777">
      <w:pPr>
        <w:pStyle w:val="Heading2"/>
        <w:spacing w:line="276" w:lineRule="auto"/>
        <w:rPr>
          <w:rFonts w:ascii="Arial Nova" w:hAnsi="Arial Nova" w:cstheme="minorHAnsi"/>
          <w:i/>
          <w:color w:val="auto"/>
          <w:sz w:val="24"/>
          <w:szCs w:val="24"/>
        </w:rPr>
      </w:pPr>
      <w:bookmarkStart w:id="15" w:name="_Toc131505177"/>
      <w:r w:rsidRPr="00174127">
        <w:rPr>
          <w:rFonts w:ascii="Arial Nova" w:hAnsi="Arial Nova" w:cstheme="minorHAnsi"/>
          <w:i/>
          <w:color w:val="auto"/>
          <w:sz w:val="24"/>
          <w:szCs w:val="24"/>
        </w:rPr>
        <w:t>A7. Special Circumstances Relating to the Gui</w:t>
      </w:r>
      <w:r w:rsidRPr="00174127">
        <w:rPr>
          <w:rFonts w:ascii="Arial Nova" w:hAnsi="Arial Nova" w:cstheme="minorHAnsi"/>
          <w:i/>
          <w:color w:val="auto"/>
          <w:sz w:val="24"/>
          <w:szCs w:val="24"/>
        </w:rPr>
        <w:t>delines of 5 CRF 1320.5</w:t>
      </w:r>
      <w:bookmarkEnd w:id="15"/>
    </w:p>
    <w:p w:rsidR="008177B7" w:rsidP="004F07B5" w14:paraId="46FAF72A" w14:textId="77777777">
      <w:pPr>
        <w:rPr>
          <w:rFonts w:ascii="Arial Nova" w:hAnsi="Arial Nova"/>
          <w:b/>
          <w:i/>
          <w:color w:val="C75000"/>
        </w:rPr>
      </w:pPr>
    </w:p>
    <w:p w:rsidR="008177B7" w:rsidRPr="00347B64" w:rsidP="005F100C" w14:paraId="24E8E2CC" w14:textId="77777777">
      <w:pPr>
        <w:spacing w:line="276" w:lineRule="auto"/>
        <w:rPr>
          <w:rFonts w:ascii="Arial Nova" w:hAnsi="Arial Nova"/>
          <w:bCs/>
          <w:iCs/>
        </w:rPr>
      </w:pPr>
      <w:r w:rsidRPr="00347B64">
        <w:rPr>
          <w:rFonts w:ascii="Arial Nova" w:hAnsi="Arial Nova"/>
          <w:bCs/>
          <w:iCs/>
        </w:rPr>
        <w:t>There are no special circumstances that require data collection to be conducted in a manner inconsistent with 5 CFR 1320.5 (d) (2). The information collection fully complies with the guidelines in 5 CFR 1320.5.</w:t>
      </w:r>
    </w:p>
    <w:p w:rsidR="00CE44C0" w:rsidRPr="00174127" w:rsidP="000E3F01" w14:paraId="15516C1A" w14:textId="77777777">
      <w:pPr>
        <w:pStyle w:val="Heading2"/>
        <w:rPr>
          <w:rFonts w:ascii="Arial Nova" w:hAnsi="Arial Nova"/>
          <w:color w:val="F79646" w:themeColor="accent6"/>
        </w:rPr>
      </w:pPr>
      <w:bookmarkStart w:id="16" w:name="_Toc131505178"/>
      <w:r w:rsidRPr="00174127">
        <w:rPr>
          <w:rFonts w:ascii="Arial Nova" w:hAnsi="Arial Nova" w:cstheme="minorHAnsi"/>
          <w:i/>
          <w:color w:val="auto"/>
          <w:sz w:val="24"/>
          <w:szCs w:val="24"/>
        </w:rPr>
        <w:t>A8. Comments in Resp</w:t>
      </w:r>
      <w:r w:rsidRPr="00174127">
        <w:rPr>
          <w:rFonts w:ascii="Arial Nova" w:hAnsi="Arial Nova" w:cstheme="minorHAnsi"/>
          <w:i/>
          <w:color w:val="auto"/>
          <w:sz w:val="24"/>
          <w:szCs w:val="24"/>
        </w:rPr>
        <w:t>onse to the FRN and Efforts to Consult Outside the Agency</w:t>
      </w:r>
      <w:bookmarkEnd w:id="16"/>
    </w:p>
    <w:p w:rsidR="00185854" w:rsidRPr="00174127" w:rsidP="005F100C" w14:paraId="6FACD990" w14:textId="77777777">
      <w:pPr>
        <w:spacing w:before="100" w:beforeAutospacing="1" w:after="100" w:afterAutospacing="1" w:line="276" w:lineRule="auto"/>
        <w:rPr>
          <w:rFonts w:ascii="Arial Nova" w:hAnsi="Arial Nova"/>
        </w:rPr>
      </w:pPr>
      <w:r w:rsidRPr="00174127">
        <w:rPr>
          <w:rFonts w:ascii="Arial Nova" w:hAnsi="Arial Nova"/>
        </w:rPr>
        <w:t>Part A: PUBLIC NOTICE</w:t>
      </w:r>
    </w:p>
    <w:p w:rsidR="00185854" w:rsidRPr="00174127" w:rsidP="00886066" w14:paraId="55236B63" w14:textId="77777777">
      <w:pPr>
        <w:spacing w:line="276" w:lineRule="auto"/>
        <w:rPr>
          <w:rFonts w:ascii="Arial Nova" w:hAnsi="Arial Nova"/>
        </w:rPr>
      </w:pPr>
      <w:r w:rsidRPr="00174127">
        <w:rPr>
          <w:rFonts w:ascii="Arial Nova" w:hAnsi="Arial Nova"/>
        </w:rPr>
        <w:t xml:space="preserve">A 60-day Federal Register Notice was published in the </w:t>
      </w:r>
      <w:r w:rsidRPr="00174127">
        <w:rPr>
          <w:rFonts w:ascii="Arial Nova" w:hAnsi="Arial Nova"/>
          <w:i/>
        </w:rPr>
        <w:t>Federal Register</w:t>
      </w:r>
      <w:r w:rsidRPr="00174127">
        <w:rPr>
          <w:rFonts w:ascii="Arial Nova" w:hAnsi="Arial Nova"/>
        </w:rPr>
        <w:t xml:space="preserve"> on </w:t>
      </w:r>
      <w:r w:rsidRPr="00347B64" w:rsidR="008177B7">
        <w:rPr>
          <w:rFonts w:ascii="Arial Nova" w:hAnsi="Arial Nova"/>
        </w:rPr>
        <w:t>January 23</w:t>
      </w:r>
      <w:r w:rsidRPr="00347B64">
        <w:rPr>
          <w:rFonts w:ascii="Arial Nova" w:hAnsi="Arial Nova"/>
        </w:rPr>
        <w:t xml:space="preserve">, </w:t>
      </w:r>
      <w:r w:rsidRPr="00347B64" w:rsidR="008177B7">
        <w:rPr>
          <w:rFonts w:ascii="Arial Nova" w:hAnsi="Arial Nova"/>
        </w:rPr>
        <w:t>2023</w:t>
      </w:r>
      <w:r w:rsidRPr="00347B64">
        <w:rPr>
          <w:rFonts w:ascii="Arial Nova" w:hAnsi="Arial Nova"/>
        </w:rPr>
        <w:t xml:space="preserve">, vol. </w:t>
      </w:r>
      <w:r w:rsidRPr="00347B64" w:rsidR="008177B7">
        <w:rPr>
          <w:rFonts w:ascii="Arial Nova" w:hAnsi="Arial Nova"/>
        </w:rPr>
        <w:t>88</w:t>
      </w:r>
      <w:r w:rsidRPr="00347B64">
        <w:rPr>
          <w:rFonts w:ascii="Arial Nova" w:hAnsi="Arial Nova"/>
        </w:rPr>
        <w:t xml:space="preserve"> No.</w:t>
      </w:r>
      <w:r w:rsidRPr="00347B64" w:rsidR="00DA23AB">
        <w:rPr>
          <w:rFonts w:ascii="Arial Nova" w:hAnsi="Arial Nova"/>
        </w:rPr>
        <w:t xml:space="preserve"> </w:t>
      </w:r>
      <w:r w:rsidRPr="00347B64" w:rsidR="008177B7">
        <w:rPr>
          <w:rFonts w:ascii="Arial Nova" w:hAnsi="Arial Nova"/>
        </w:rPr>
        <w:t>14</w:t>
      </w:r>
      <w:r w:rsidRPr="00347B64">
        <w:rPr>
          <w:rFonts w:ascii="Arial Nova" w:hAnsi="Arial Nova"/>
        </w:rPr>
        <w:t>, pp.</w:t>
      </w:r>
      <w:r w:rsidRPr="00347B64" w:rsidR="00253F2A">
        <w:rPr>
          <w:rFonts w:ascii="Arial Nova" w:hAnsi="Arial Nova"/>
        </w:rPr>
        <w:t xml:space="preserve"> </w:t>
      </w:r>
      <w:r w:rsidRPr="00347B64" w:rsidR="008177B7">
        <w:rPr>
          <w:rFonts w:ascii="Arial Nova" w:hAnsi="Arial Nova"/>
        </w:rPr>
        <w:t xml:space="preserve">3992-3994 </w:t>
      </w:r>
      <w:r w:rsidRPr="00174127">
        <w:rPr>
          <w:rFonts w:ascii="Arial Nova" w:hAnsi="Arial Nova"/>
        </w:rPr>
        <w:t xml:space="preserve">(see </w:t>
      </w:r>
      <w:r w:rsidRPr="00867885">
        <w:rPr>
          <w:rFonts w:ascii="Arial Nova" w:hAnsi="Arial Nova"/>
        </w:rPr>
        <w:t>Att</w:t>
      </w:r>
      <w:r w:rsidR="00716890">
        <w:rPr>
          <w:rFonts w:ascii="Arial Nova" w:hAnsi="Arial Nova"/>
        </w:rPr>
        <w:t>achment</w:t>
      </w:r>
      <w:r w:rsidRPr="00867885">
        <w:rPr>
          <w:rFonts w:ascii="Arial Nova" w:hAnsi="Arial Nova"/>
        </w:rPr>
        <w:t xml:space="preserve"> </w:t>
      </w:r>
      <w:r w:rsidR="00867885">
        <w:rPr>
          <w:rFonts w:ascii="Arial Nova" w:hAnsi="Arial Nova"/>
        </w:rPr>
        <w:t>2</w:t>
      </w:r>
      <w:r w:rsidRPr="00174127">
        <w:rPr>
          <w:rFonts w:ascii="Arial Nova" w:hAnsi="Arial Nova"/>
        </w:rPr>
        <w:t xml:space="preserve">). </w:t>
      </w:r>
    </w:p>
    <w:p w:rsidR="00F43091" w:rsidRPr="00793474" w:rsidP="00886066" w14:paraId="4ADB9B64" w14:textId="77777777">
      <w:pPr>
        <w:spacing w:line="276" w:lineRule="auto"/>
        <w:rPr>
          <w:rFonts w:ascii="Arial Nova" w:hAnsi="Arial Nova"/>
          <w:b/>
          <w:color w:val="C75000"/>
        </w:rPr>
      </w:pPr>
    </w:p>
    <w:p w:rsidR="0009527A" w:rsidRPr="00F92873" w:rsidP="00886066" w14:paraId="65E530C7" w14:textId="77777777">
      <w:pPr>
        <w:spacing w:line="276" w:lineRule="auto"/>
        <w:rPr>
          <w:rFonts w:ascii="Arial Nova" w:hAnsi="Arial Nova"/>
        </w:rPr>
      </w:pPr>
      <w:r w:rsidRPr="00F92873">
        <w:rPr>
          <w:rFonts w:ascii="Arial Nova" w:hAnsi="Arial Nova"/>
        </w:rPr>
        <w:t xml:space="preserve">CDC did not receive public comments related to this notice. </w:t>
      </w:r>
    </w:p>
    <w:p w:rsidR="00185854" w:rsidRPr="00174127" w:rsidP="00185854" w14:paraId="248D4040" w14:textId="77777777">
      <w:pPr>
        <w:rPr>
          <w:rFonts w:ascii="Arial Nova" w:hAnsi="Arial Nova"/>
        </w:rPr>
      </w:pPr>
    </w:p>
    <w:p w:rsidR="00822EBE" w:rsidRPr="00822EBE" w:rsidP="00822EBE" w14:paraId="59E697B0" w14:textId="77777777">
      <w:pPr>
        <w:rPr>
          <w:rFonts w:ascii="Arial Nova" w:hAnsi="Arial Nova"/>
          <w:bCs/>
          <w:iCs/>
        </w:rPr>
      </w:pPr>
      <w:r w:rsidRPr="00822EBE">
        <w:rPr>
          <w:rFonts w:ascii="Arial Nova" w:hAnsi="Arial Nova"/>
          <w:bCs/>
          <w:iCs/>
        </w:rPr>
        <w:t>NTEC has been funded primarily with funds from the Affordable Care Act/Public Health Fund</w:t>
      </w:r>
    </w:p>
    <w:p w:rsidR="00BA640A" w:rsidP="00822EBE" w14:paraId="7E561CDE" w14:textId="77777777">
      <w:pPr>
        <w:rPr>
          <w:rFonts w:ascii="Arial Nova" w:hAnsi="Arial Nova"/>
          <w:bCs/>
          <w:iCs/>
        </w:rPr>
      </w:pPr>
      <w:r w:rsidRPr="00822EBE">
        <w:rPr>
          <w:rFonts w:ascii="Arial Nova" w:hAnsi="Arial Nova"/>
          <w:bCs/>
          <w:iCs/>
        </w:rPr>
        <w:t>designated for smoking education since 2010. CDC consulted with FDA CTP on this revision</w:t>
      </w:r>
      <w:r w:rsidR="00033AF2">
        <w:rPr>
          <w:rFonts w:ascii="Arial Nova" w:hAnsi="Arial Nova"/>
          <w:bCs/>
          <w:iCs/>
        </w:rPr>
        <w:t xml:space="preserve"> </w:t>
      </w:r>
      <w:r w:rsidRPr="00822EBE">
        <w:rPr>
          <w:rFonts w:ascii="Arial Nova" w:hAnsi="Arial Nova"/>
          <w:bCs/>
          <w:iCs/>
        </w:rPr>
        <w:t>request to 0920</w:t>
      </w:r>
      <w:r w:rsidRPr="00822EBE">
        <w:rPr>
          <w:rFonts w:ascii="Arial Nova" w:hAnsi="Arial Nova"/>
          <w:bCs/>
          <w:iCs/>
        </w:rPr>
        <w:t>-0910 as part of our ongoing coordination and collaboration on data information</w:t>
      </w:r>
      <w:r>
        <w:rPr>
          <w:rFonts w:ascii="Arial Nova" w:hAnsi="Arial Nova"/>
          <w:bCs/>
          <w:iCs/>
        </w:rPr>
        <w:t xml:space="preserve"> </w:t>
      </w:r>
      <w:r w:rsidRPr="00822EBE">
        <w:rPr>
          <w:rFonts w:ascii="Arial Nova" w:hAnsi="Arial Nova"/>
          <w:bCs/>
          <w:iCs/>
        </w:rPr>
        <w:t>collections.</w:t>
      </w:r>
    </w:p>
    <w:p w:rsidR="008763DB" w:rsidRPr="00793474" w:rsidP="00185854" w14:paraId="489E59FF" w14:textId="77777777">
      <w:pPr>
        <w:rPr>
          <w:rFonts w:ascii="Arial Nova" w:hAnsi="Arial Nova"/>
          <w:i/>
          <w:color w:val="C75000"/>
        </w:rPr>
      </w:pPr>
    </w:p>
    <w:p w:rsidR="00185854" w:rsidRPr="00033AF2" w:rsidP="00185854" w14:paraId="7DEF7475" w14:textId="77777777">
      <w:pPr>
        <w:rPr>
          <w:rFonts w:ascii="Arial Nova" w:hAnsi="Arial Nova" w:cstheme="minorHAnsi"/>
        </w:rPr>
      </w:pPr>
      <w:r w:rsidRPr="00033AF2">
        <w:rPr>
          <w:rFonts w:ascii="Arial Nova" w:hAnsi="Arial Nova" w:cstheme="minorHAnsi"/>
          <w:b/>
          <w:bCs/>
        </w:rPr>
        <w:t xml:space="preserve">Table </w:t>
      </w:r>
      <w:r w:rsidRPr="00033AF2" w:rsidR="00033AF2">
        <w:rPr>
          <w:rFonts w:ascii="Arial Nova" w:hAnsi="Arial Nova" w:cstheme="minorHAnsi"/>
          <w:b/>
          <w:bCs/>
        </w:rPr>
        <w:t>A8</w:t>
      </w:r>
      <w:r w:rsidR="003B1A10">
        <w:rPr>
          <w:rFonts w:ascii="Arial Nova" w:hAnsi="Arial Nova" w:cstheme="minorHAnsi"/>
          <w:b/>
          <w:bCs/>
        </w:rPr>
        <w:t>A</w:t>
      </w:r>
      <w:r w:rsidR="0043663A">
        <w:rPr>
          <w:rFonts w:ascii="Arial Nova" w:hAnsi="Arial Nova" w:cstheme="minorHAnsi"/>
          <w:b/>
          <w:bCs/>
        </w:rPr>
        <w:t>.</w:t>
      </w:r>
      <w:r w:rsidRPr="00033AF2">
        <w:rPr>
          <w:rFonts w:ascii="Arial Nova" w:hAnsi="Arial Nova" w:cstheme="minorHAnsi"/>
          <w:b/>
          <w:bCs/>
        </w:rPr>
        <w:t xml:space="preserve"> </w:t>
      </w:r>
      <w:r w:rsidRPr="00033AF2">
        <w:rPr>
          <w:rFonts w:ascii="Arial Nova" w:hAnsi="Arial Nova" w:cstheme="minorHAnsi"/>
        </w:rPr>
        <w:t>External Consultations</w:t>
      </w:r>
    </w:p>
    <w:tbl>
      <w:tblPr>
        <w:tblW w:w="10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3"/>
        <w:gridCol w:w="2070"/>
        <w:gridCol w:w="1890"/>
        <w:gridCol w:w="1890"/>
        <w:gridCol w:w="3510"/>
      </w:tblGrid>
      <w:tr w14:paraId="2080DECB" w14:textId="77777777" w:rsidTr="00F92873">
        <w:tblPrEx>
          <w:tblW w:w="107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363" w:type="dxa"/>
          </w:tcPr>
          <w:p w:rsidR="007A2EEF" w:rsidRPr="00FF5057" w:rsidP="00643C52" w14:paraId="6653B120" w14:textId="77777777">
            <w:pPr>
              <w:pStyle w:val="Default"/>
              <w:rPr>
                <w:rFonts w:ascii="Arial Nova" w:hAnsi="Arial Nova" w:cstheme="minorHAnsi"/>
                <w:color w:val="auto"/>
              </w:rPr>
            </w:pPr>
            <w:r w:rsidRPr="00FF5057">
              <w:rPr>
                <w:rFonts w:ascii="Arial Nova" w:hAnsi="Arial Nova" w:cstheme="minorHAnsi"/>
                <w:b/>
                <w:bCs/>
                <w:color w:val="auto"/>
              </w:rPr>
              <w:t xml:space="preserve">Name </w:t>
            </w:r>
          </w:p>
        </w:tc>
        <w:tc>
          <w:tcPr>
            <w:tcW w:w="2070" w:type="dxa"/>
          </w:tcPr>
          <w:p w:rsidR="007A2EEF" w:rsidRPr="00FF5057" w:rsidP="00643C52" w14:paraId="33BF05F2" w14:textId="77777777">
            <w:pPr>
              <w:pStyle w:val="Default"/>
              <w:rPr>
                <w:rFonts w:ascii="Arial Nova" w:hAnsi="Arial Nova" w:cstheme="minorHAnsi"/>
                <w:color w:val="auto"/>
              </w:rPr>
            </w:pPr>
            <w:r w:rsidRPr="00FF5057">
              <w:rPr>
                <w:rFonts w:ascii="Arial Nova" w:hAnsi="Arial Nova" w:cstheme="minorHAnsi"/>
                <w:b/>
                <w:bCs/>
                <w:color w:val="auto"/>
              </w:rPr>
              <w:t xml:space="preserve">Title </w:t>
            </w:r>
          </w:p>
        </w:tc>
        <w:tc>
          <w:tcPr>
            <w:tcW w:w="1890" w:type="dxa"/>
          </w:tcPr>
          <w:p w:rsidR="007A2EEF" w:rsidRPr="00FF5057" w:rsidP="00643C52" w14:paraId="4253EF47" w14:textId="77777777">
            <w:pPr>
              <w:pStyle w:val="Default"/>
              <w:rPr>
                <w:rFonts w:ascii="Arial Nova" w:hAnsi="Arial Nova" w:cstheme="minorHAnsi"/>
                <w:color w:val="auto"/>
              </w:rPr>
            </w:pPr>
            <w:r w:rsidRPr="00FF5057">
              <w:rPr>
                <w:rFonts w:ascii="Arial Nova" w:hAnsi="Arial Nova" w:cstheme="minorHAnsi"/>
                <w:b/>
                <w:bCs/>
                <w:color w:val="auto"/>
              </w:rPr>
              <w:t xml:space="preserve">Affiliation </w:t>
            </w:r>
          </w:p>
        </w:tc>
        <w:tc>
          <w:tcPr>
            <w:tcW w:w="1890" w:type="dxa"/>
          </w:tcPr>
          <w:p w:rsidR="007A2EEF" w:rsidRPr="00FF5057" w:rsidP="00643C52" w14:paraId="290F52E2" w14:textId="77777777">
            <w:pPr>
              <w:pStyle w:val="Default"/>
              <w:rPr>
                <w:rFonts w:ascii="Arial Nova" w:hAnsi="Arial Nova" w:cstheme="minorHAnsi"/>
                <w:color w:val="auto"/>
              </w:rPr>
            </w:pPr>
            <w:r w:rsidRPr="00FF5057">
              <w:rPr>
                <w:rFonts w:ascii="Arial Nova" w:hAnsi="Arial Nova" w:cstheme="minorHAnsi"/>
                <w:b/>
                <w:bCs/>
                <w:color w:val="auto"/>
              </w:rPr>
              <w:t xml:space="preserve">Phone </w:t>
            </w:r>
          </w:p>
        </w:tc>
        <w:tc>
          <w:tcPr>
            <w:tcW w:w="3510" w:type="dxa"/>
          </w:tcPr>
          <w:p w:rsidR="007A2EEF" w:rsidRPr="00FF5057" w:rsidP="00643C52" w14:paraId="4BEB64A5" w14:textId="77777777">
            <w:pPr>
              <w:pStyle w:val="Default"/>
              <w:rPr>
                <w:rFonts w:ascii="Arial Nova" w:hAnsi="Arial Nova" w:cstheme="minorHAnsi"/>
                <w:color w:val="auto"/>
              </w:rPr>
            </w:pPr>
            <w:r w:rsidRPr="00FF5057">
              <w:rPr>
                <w:rFonts w:ascii="Arial Nova" w:hAnsi="Arial Nova" w:cstheme="minorHAnsi"/>
                <w:b/>
                <w:bCs/>
                <w:color w:val="auto"/>
              </w:rPr>
              <w:t xml:space="preserve">Email </w:t>
            </w:r>
          </w:p>
        </w:tc>
      </w:tr>
      <w:tr w14:paraId="2B5F8E07" w14:textId="77777777" w:rsidTr="00F92873">
        <w:tblPrEx>
          <w:tblW w:w="10723" w:type="dxa"/>
          <w:tblInd w:w="-108" w:type="dxa"/>
          <w:tblLayout w:type="fixed"/>
          <w:tblLook w:val="0000"/>
        </w:tblPrEx>
        <w:trPr>
          <w:trHeight w:val="98"/>
        </w:trPr>
        <w:tc>
          <w:tcPr>
            <w:tcW w:w="10723" w:type="dxa"/>
            <w:gridSpan w:val="5"/>
          </w:tcPr>
          <w:p w:rsidR="007A2EEF" w:rsidRPr="00793474" w:rsidP="00643C52" w14:paraId="0AEFC4DA" w14:textId="77777777">
            <w:pPr>
              <w:pStyle w:val="Default"/>
              <w:rPr>
                <w:rFonts w:ascii="Arial Nova" w:hAnsi="Arial Nova" w:cstheme="minorHAnsi"/>
                <w:color w:val="C75000"/>
              </w:rPr>
            </w:pPr>
            <w:r w:rsidRPr="00033AF2">
              <w:rPr>
                <w:rFonts w:ascii="Arial Nova" w:hAnsi="Arial Nova" w:cstheme="minorHAnsi"/>
                <w:i/>
                <w:iCs/>
                <w:color w:val="auto"/>
              </w:rPr>
              <w:t xml:space="preserve">OUTSIDE CONSULTANTS </w:t>
            </w:r>
          </w:p>
        </w:tc>
      </w:tr>
      <w:tr w14:paraId="03A99CF9" w14:textId="77777777" w:rsidTr="00F92873">
        <w:tblPrEx>
          <w:tblW w:w="10723" w:type="dxa"/>
          <w:tblInd w:w="-108" w:type="dxa"/>
          <w:tblLayout w:type="fixed"/>
          <w:tblLook w:val="0000"/>
        </w:tblPrEx>
        <w:trPr>
          <w:trHeight w:val="107"/>
        </w:trPr>
        <w:tc>
          <w:tcPr>
            <w:tcW w:w="1363" w:type="dxa"/>
          </w:tcPr>
          <w:p w:rsidR="003F22AF" w:rsidRPr="00822EBE" w:rsidP="003F22AF" w14:paraId="0BD86A2E" w14:textId="77777777">
            <w:pPr>
              <w:pStyle w:val="Default"/>
              <w:rPr>
                <w:rFonts w:ascii="Arial Nova" w:hAnsi="Arial Nova" w:cstheme="minorHAnsi"/>
                <w:color w:val="auto"/>
              </w:rPr>
            </w:pPr>
            <w:r w:rsidRPr="00822EBE">
              <w:rPr>
                <w:rFonts w:ascii="Arial Nova" w:hAnsi="Arial Nova" w:cstheme="minorHAnsi"/>
                <w:color w:val="auto"/>
              </w:rPr>
              <w:t>Gem Benoza</w:t>
            </w:r>
          </w:p>
        </w:tc>
        <w:tc>
          <w:tcPr>
            <w:tcW w:w="2070" w:type="dxa"/>
          </w:tcPr>
          <w:p w:rsidR="003F22AF" w:rsidP="003F22AF" w14:paraId="086E0CB4" w14:textId="77777777">
            <w:pPr>
              <w:pStyle w:val="Default"/>
              <w:rPr>
                <w:rFonts w:ascii="Arial Nova" w:hAnsi="Arial Nova" w:cstheme="minorHAnsi"/>
                <w:color w:val="auto"/>
              </w:rPr>
            </w:pPr>
            <w:r>
              <w:rPr>
                <w:rFonts w:ascii="Arial Nova" w:hAnsi="Arial Nova" w:cstheme="minorHAnsi"/>
                <w:color w:val="auto"/>
              </w:rPr>
              <w:t xml:space="preserve">Supervisory </w:t>
            </w:r>
            <w:r w:rsidRPr="007A2EEF">
              <w:rPr>
                <w:rFonts w:ascii="Arial Nova" w:hAnsi="Arial Nova" w:cstheme="minorHAnsi"/>
                <w:color w:val="auto"/>
              </w:rPr>
              <w:t>Health Communications</w:t>
            </w:r>
          </w:p>
        </w:tc>
        <w:tc>
          <w:tcPr>
            <w:tcW w:w="1890" w:type="dxa"/>
          </w:tcPr>
          <w:p w:rsidR="003F22AF" w:rsidRPr="00CB4EF2" w:rsidP="003F22AF" w14:paraId="00EA0C64" w14:textId="77777777">
            <w:pPr>
              <w:pStyle w:val="Default"/>
              <w:rPr>
                <w:rFonts w:ascii="Arial Nova" w:hAnsi="Arial Nova" w:cstheme="minorHAnsi"/>
                <w:color w:val="auto"/>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 xml:space="preserve">Office of </w:t>
            </w:r>
            <w:r w:rsidRPr="00BA640A">
              <w:rPr>
                <w:rFonts w:ascii="Arial Nova" w:hAnsi="Arial Nova"/>
                <w:bCs/>
                <w:iCs/>
              </w:rPr>
              <w:t>Health Communication and Education</w:t>
            </w:r>
          </w:p>
        </w:tc>
        <w:tc>
          <w:tcPr>
            <w:tcW w:w="1890" w:type="dxa"/>
          </w:tcPr>
          <w:p w:rsidR="003F22AF" w:rsidRPr="001C2004" w:rsidP="003F22AF" w14:paraId="2DEA183E" w14:textId="77777777">
            <w:pPr>
              <w:pStyle w:val="Default"/>
              <w:rPr>
                <w:rFonts w:ascii="Arial Nova" w:hAnsi="Arial Nova" w:cstheme="minorHAnsi"/>
                <w:color w:val="auto"/>
              </w:rPr>
            </w:pPr>
            <w:r w:rsidRPr="001C2004">
              <w:rPr>
                <w:rFonts w:ascii="Arial Nova" w:hAnsi="Arial Nova" w:cstheme="minorHAnsi"/>
                <w:color w:val="auto"/>
              </w:rPr>
              <w:t>(650) 260-2141</w:t>
            </w:r>
          </w:p>
        </w:tc>
        <w:tc>
          <w:tcPr>
            <w:tcW w:w="3510" w:type="dxa"/>
          </w:tcPr>
          <w:p w:rsidR="003F22AF" w:rsidRPr="001C2004" w:rsidP="003F22AF" w14:paraId="08B0DA0B" w14:textId="77777777">
            <w:pPr>
              <w:pStyle w:val="Default"/>
              <w:rPr>
                <w:rFonts w:ascii="Arial Nova" w:hAnsi="Arial Nova" w:cstheme="minorHAnsi"/>
                <w:color w:val="auto"/>
              </w:rPr>
            </w:pPr>
            <w:hyperlink r:id="rId14" w:history="1">
              <w:r w:rsidRPr="001408F9" w:rsidR="003C2CEC">
                <w:rPr>
                  <w:rStyle w:val="Hyperlink"/>
                  <w:rFonts w:ascii="Arial Nova" w:hAnsi="Arial Nova" w:cstheme="minorHAnsi"/>
                </w:rPr>
                <w:t>Maria.Benoza@fda</w:t>
              </w:r>
            </w:hyperlink>
            <w:r w:rsidRPr="001C2004">
              <w:rPr>
                <w:rFonts w:ascii="Arial Nova" w:hAnsi="Arial Nova" w:cstheme="minorHAnsi"/>
                <w:color w:val="auto"/>
              </w:rPr>
              <w:t>.hhs.gov</w:t>
            </w:r>
          </w:p>
        </w:tc>
      </w:tr>
      <w:tr w14:paraId="36DB062F" w14:textId="77777777" w:rsidTr="00F92873">
        <w:tblPrEx>
          <w:tblW w:w="10723" w:type="dxa"/>
          <w:tblInd w:w="-108" w:type="dxa"/>
          <w:tblLayout w:type="fixed"/>
          <w:tblLook w:val="0000"/>
        </w:tblPrEx>
        <w:trPr>
          <w:trHeight w:val="107"/>
        </w:trPr>
        <w:tc>
          <w:tcPr>
            <w:tcW w:w="1363" w:type="dxa"/>
          </w:tcPr>
          <w:p w:rsidR="003F22AF" w:rsidRPr="00822EBE" w:rsidP="003F22AF" w14:paraId="1CF7A46F" w14:textId="77777777">
            <w:pPr>
              <w:pStyle w:val="Default"/>
              <w:rPr>
                <w:rFonts w:ascii="Arial Nova" w:hAnsi="Arial Nova" w:cstheme="minorHAnsi"/>
                <w:color w:val="auto"/>
              </w:rPr>
            </w:pPr>
            <w:r w:rsidRPr="009E58FA">
              <w:rPr>
                <w:rFonts w:ascii="Arial Nova" w:hAnsi="Arial Nova" w:cstheme="minorHAnsi"/>
                <w:color w:val="auto"/>
              </w:rPr>
              <w:t>Chaunetta</w:t>
            </w:r>
            <w:r>
              <w:rPr>
                <w:rFonts w:ascii="Arial Nova" w:hAnsi="Arial Nova" w:cstheme="minorHAnsi"/>
                <w:color w:val="auto"/>
              </w:rPr>
              <w:t xml:space="preserve"> Jones</w:t>
            </w:r>
          </w:p>
        </w:tc>
        <w:tc>
          <w:tcPr>
            <w:tcW w:w="2070" w:type="dxa"/>
          </w:tcPr>
          <w:p w:rsidR="003F22AF" w:rsidP="003F22AF" w14:paraId="636BF959" w14:textId="77777777">
            <w:pPr>
              <w:pStyle w:val="Default"/>
              <w:rPr>
                <w:rFonts w:ascii="Arial Nova" w:hAnsi="Arial Nova" w:cstheme="minorHAnsi"/>
                <w:color w:val="auto"/>
              </w:rPr>
            </w:pPr>
            <w:r>
              <w:rPr>
                <w:rFonts w:ascii="Arial Nova" w:hAnsi="Arial Nova" w:cstheme="minorHAnsi"/>
                <w:color w:val="auto"/>
              </w:rPr>
              <w:t xml:space="preserve">Supervisory </w:t>
            </w:r>
            <w:r w:rsidRPr="007A2EEF">
              <w:rPr>
                <w:rFonts w:ascii="Arial Nova" w:hAnsi="Arial Nova" w:cstheme="minorHAnsi"/>
                <w:color w:val="auto"/>
              </w:rPr>
              <w:t xml:space="preserve">Health Communications </w:t>
            </w:r>
          </w:p>
        </w:tc>
        <w:tc>
          <w:tcPr>
            <w:tcW w:w="1890" w:type="dxa"/>
          </w:tcPr>
          <w:p w:rsidR="003F22AF" w:rsidRPr="00CB4EF2" w:rsidP="003F22AF" w14:paraId="4049A44F" w14:textId="77777777">
            <w:pPr>
              <w:pStyle w:val="Default"/>
              <w:rPr>
                <w:rFonts w:ascii="Arial Nova" w:hAnsi="Arial Nova" w:cstheme="minorHAnsi"/>
                <w:color w:val="auto"/>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Office of Health Communication and Education</w:t>
            </w:r>
          </w:p>
        </w:tc>
        <w:tc>
          <w:tcPr>
            <w:tcW w:w="1890" w:type="dxa"/>
          </w:tcPr>
          <w:p w:rsidR="003F22AF" w:rsidRPr="001C2004" w:rsidP="003F22AF" w14:paraId="64314C1B" w14:textId="77777777">
            <w:pPr>
              <w:pStyle w:val="Default"/>
              <w:rPr>
                <w:rFonts w:ascii="Arial Nova" w:hAnsi="Arial Nova" w:cstheme="minorHAnsi"/>
                <w:color w:val="auto"/>
              </w:rPr>
            </w:pPr>
            <w:r w:rsidRPr="001C2004">
              <w:rPr>
                <w:rFonts w:ascii="Arial Nova" w:hAnsi="Arial Nova" w:cstheme="minorHAnsi"/>
                <w:color w:val="auto"/>
              </w:rPr>
              <w:t>(240) 402-0427</w:t>
            </w:r>
          </w:p>
        </w:tc>
        <w:tc>
          <w:tcPr>
            <w:tcW w:w="3510" w:type="dxa"/>
          </w:tcPr>
          <w:p w:rsidR="003F22AF" w:rsidRPr="001C2004" w:rsidP="003F22AF" w14:paraId="524186BE" w14:textId="77777777">
            <w:pPr>
              <w:pStyle w:val="Default"/>
              <w:rPr>
                <w:rFonts w:ascii="Arial Nova" w:hAnsi="Arial Nova" w:cstheme="minorHAnsi"/>
                <w:color w:val="auto"/>
              </w:rPr>
            </w:pPr>
            <w:hyperlink r:id="rId15" w:history="1">
              <w:r w:rsidRPr="001408F9" w:rsidR="003C2CEC">
                <w:rPr>
                  <w:rStyle w:val="Hyperlink"/>
                  <w:rFonts w:ascii="Arial Nova" w:hAnsi="Arial Nova" w:cstheme="minorHAnsi"/>
                </w:rPr>
                <w:t>Chaunetta.Jones@fda</w:t>
              </w:r>
            </w:hyperlink>
            <w:r w:rsidRPr="001C2004">
              <w:rPr>
                <w:rFonts w:ascii="Arial Nova" w:hAnsi="Arial Nova" w:cstheme="minorHAnsi"/>
                <w:color w:val="auto"/>
              </w:rPr>
              <w:t>.hhs.gov</w:t>
            </w:r>
          </w:p>
        </w:tc>
      </w:tr>
      <w:tr w14:paraId="2981B889" w14:textId="77777777" w:rsidTr="00F92873">
        <w:tblPrEx>
          <w:tblW w:w="10723" w:type="dxa"/>
          <w:tblInd w:w="-108" w:type="dxa"/>
          <w:tblLayout w:type="fixed"/>
          <w:tblLook w:val="0000"/>
        </w:tblPrEx>
        <w:trPr>
          <w:trHeight w:val="107"/>
        </w:trPr>
        <w:tc>
          <w:tcPr>
            <w:tcW w:w="1363" w:type="dxa"/>
          </w:tcPr>
          <w:p w:rsidR="003F22AF" w:rsidRPr="00822EBE" w:rsidP="003F22AF" w14:paraId="0B8906C7" w14:textId="77777777">
            <w:pPr>
              <w:pStyle w:val="Default"/>
              <w:rPr>
                <w:rFonts w:ascii="Arial Nova" w:hAnsi="Arial Nova" w:cstheme="minorHAnsi"/>
                <w:color w:val="auto"/>
              </w:rPr>
            </w:pPr>
            <w:r w:rsidRPr="003F22AF">
              <w:rPr>
                <w:rFonts w:ascii="Arial Nova" w:hAnsi="Arial Nova" w:cstheme="minorHAnsi"/>
                <w:color w:val="auto"/>
              </w:rPr>
              <w:t>Allison Kulas</w:t>
            </w:r>
          </w:p>
        </w:tc>
        <w:tc>
          <w:tcPr>
            <w:tcW w:w="2070" w:type="dxa"/>
          </w:tcPr>
          <w:p w:rsidR="003F22AF" w:rsidP="003F22AF" w14:paraId="22D5C1A2" w14:textId="77777777">
            <w:pPr>
              <w:pStyle w:val="Default"/>
              <w:rPr>
                <w:rFonts w:ascii="Arial Nova" w:hAnsi="Arial Nova" w:cstheme="minorHAnsi"/>
                <w:color w:val="auto"/>
              </w:rPr>
            </w:pPr>
            <w:r w:rsidRPr="003F22AF">
              <w:rPr>
                <w:rFonts w:ascii="Arial Nova" w:hAnsi="Arial Nova" w:cstheme="minorHAnsi"/>
                <w:color w:val="auto"/>
              </w:rPr>
              <w:t>Social Scientist</w:t>
            </w:r>
          </w:p>
        </w:tc>
        <w:tc>
          <w:tcPr>
            <w:tcW w:w="1890" w:type="dxa"/>
          </w:tcPr>
          <w:p w:rsidR="003F22AF" w:rsidRPr="00CB4EF2" w:rsidP="003F22AF" w14:paraId="7D72264F" w14:textId="77777777">
            <w:pPr>
              <w:pStyle w:val="Default"/>
              <w:rPr>
                <w:rFonts w:ascii="Arial Nova" w:hAnsi="Arial Nova" w:cstheme="minorHAnsi"/>
                <w:color w:val="auto"/>
              </w:rPr>
            </w:pPr>
            <w:r w:rsidRPr="003F22AF">
              <w:rPr>
                <w:rFonts w:ascii="Arial Nova" w:hAnsi="Arial Nova" w:cstheme="minorHAnsi"/>
                <w:color w:val="auto"/>
              </w:rPr>
              <w:t>FDA, Office of Health Communication and Education</w:t>
            </w:r>
          </w:p>
        </w:tc>
        <w:tc>
          <w:tcPr>
            <w:tcW w:w="1890" w:type="dxa"/>
          </w:tcPr>
          <w:p w:rsidR="003F22AF" w:rsidRPr="001C2004" w:rsidP="003F22AF" w14:paraId="1F34A953" w14:textId="77777777">
            <w:pPr>
              <w:pStyle w:val="Default"/>
              <w:rPr>
                <w:rFonts w:ascii="Arial Nova" w:hAnsi="Arial Nova" w:cstheme="minorHAnsi"/>
                <w:color w:val="auto"/>
              </w:rPr>
            </w:pPr>
            <w:r w:rsidRPr="003F22AF">
              <w:rPr>
                <w:rFonts w:ascii="Arial Nova" w:hAnsi="Arial Nova" w:cstheme="minorHAnsi"/>
                <w:color w:val="auto"/>
              </w:rPr>
              <w:t>(301) 837-7453</w:t>
            </w:r>
          </w:p>
        </w:tc>
        <w:tc>
          <w:tcPr>
            <w:tcW w:w="3510" w:type="dxa"/>
          </w:tcPr>
          <w:p w:rsidR="003F22AF" w:rsidRPr="001C2004" w:rsidP="003F22AF" w14:paraId="42509C1C" w14:textId="77777777">
            <w:pPr>
              <w:pStyle w:val="Default"/>
              <w:rPr>
                <w:rFonts w:ascii="Arial Nova" w:hAnsi="Arial Nova" w:cstheme="minorHAnsi"/>
                <w:color w:val="auto"/>
              </w:rPr>
            </w:pPr>
            <w:hyperlink r:id="rId16" w:history="1">
              <w:r w:rsidRPr="001408F9" w:rsidR="003C2CEC">
                <w:rPr>
                  <w:rStyle w:val="Hyperlink"/>
                  <w:rFonts w:ascii="Arial Nova" w:hAnsi="Arial Nova" w:cstheme="minorHAnsi"/>
                </w:rPr>
                <w:t>Alison.Kulas@fda</w:t>
              </w:r>
            </w:hyperlink>
            <w:r w:rsidRPr="003F22AF">
              <w:rPr>
                <w:rFonts w:ascii="Arial Nova" w:hAnsi="Arial Nova" w:cstheme="minorHAnsi"/>
                <w:color w:val="auto"/>
              </w:rPr>
              <w:t>.hhs.gov</w:t>
            </w:r>
          </w:p>
        </w:tc>
      </w:tr>
      <w:tr w14:paraId="7A20B19E" w14:textId="77777777" w:rsidTr="00F92873">
        <w:tblPrEx>
          <w:tblW w:w="10723" w:type="dxa"/>
          <w:tblInd w:w="-108" w:type="dxa"/>
          <w:tblLayout w:type="fixed"/>
          <w:tblLook w:val="0000"/>
        </w:tblPrEx>
        <w:trPr>
          <w:trHeight w:val="107"/>
        </w:trPr>
        <w:tc>
          <w:tcPr>
            <w:tcW w:w="1363" w:type="dxa"/>
          </w:tcPr>
          <w:p w:rsidR="003F22AF" w:rsidRPr="00793474" w:rsidP="003F22AF" w14:paraId="70913BDB" w14:textId="77777777">
            <w:pPr>
              <w:pStyle w:val="Default"/>
              <w:rPr>
                <w:rFonts w:ascii="Arial Nova" w:hAnsi="Arial Nova" w:cstheme="minorHAnsi"/>
                <w:color w:val="C75000"/>
              </w:rPr>
            </w:pPr>
            <w:r w:rsidRPr="00BA640A">
              <w:rPr>
                <w:rFonts w:ascii="Arial Nova" w:hAnsi="Arial Nova"/>
                <w:bCs/>
                <w:iCs/>
              </w:rPr>
              <w:t>Anh Zarndt</w:t>
            </w:r>
          </w:p>
        </w:tc>
        <w:tc>
          <w:tcPr>
            <w:tcW w:w="2070" w:type="dxa"/>
          </w:tcPr>
          <w:p w:rsidR="003F22AF" w:rsidRPr="00793474" w:rsidP="003F22AF" w14:paraId="0EB22378" w14:textId="77777777">
            <w:pPr>
              <w:pStyle w:val="Default"/>
              <w:rPr>
                <w:rFonts w:ascii="Arial Nova" w:hAnsi="Arial Nova" w:cstheme="minorHAnsi"/>
                <w:color w:val="C75000"/>
              </w:rPr>
            </w:pPr>
            <w:r w:rsidRPr="00BA640A">
              <w:rPr>
                <w:rFonts w:ascii="Arial Nova" w:hAnsi="Arial Nova"/>
                <w:bCs/>
                <w:iCs/>
              </w:rPr>
              <w:t>Health Scientist</w:t>
            </w:r>
          </w:p>
        </w:tc>
        <w:tc>
          <w:tcPr>
            <w:tcW w:w="1890" w:type="dxa"/>
          </w:tcPr>
          <w:p w:rsidR="003F22AF" w:rsidRPr="00793474" w:rsidP="003F22AF" w14:paraId="63075D14" w14:textId="77777777">
            <w:pPr>
              <w:pStyle w:val="Default"/>
              <w:rPr>
                <w:rFonts w:ascii="Arial Nova" w:hAnsi="Arial Nova" w:cstheme="minorHAnsi"/>
                <w:color w:val="C75000"/>
              </w:rPr>
            </w:pPr>
            <w:r w:rsidRPr="00CB4EF2">
              <w:rPr>
                <w:rFonts w:ascii="Arial Nova" w:hAnsi="Arial Nova" w:cstheme="minorHAnsi"/>
                <w:color w:val="auto"/>
              </w:rPr>
              <w:t>FDA</w:t>
            </w:r>
            <w:r>
              <w:rPr>
                <w:rFonts w:ascii="Arial Nova" w:hAnsi="Arial Nova" w:cstheme="minorHAnsi"/>
                <w:color w:val="auto"/>
              </w:rPr>
              <w:t xml:space="preserve">, </w:t>
            </w:r>
            <w:r w:rsidRPr="00BA640A">
              <w:rPr>
                <w:rFonts w:ascii="Arial Nova" w:hAnsi="Arial Nova"/>
                <w:bCs/>
                <w:iCs/>
              </w:rPr>
              <w:t xml:space="preserve">Office of </w:t>
            </w:r>
            <w:r w:rsidRPr="00BA640A">
              <w:rPr>
                <w:rFonts w:ascii="Arial Nova" w:hAnsi="Arial Nova"/>
                <w:bCs/>
                <w:iCs/>
              </w:rPr>
              <w:t>Health Communication and Education</w:t>
            </w:r>
          </w:p>
        </w:tc>
        <w:tc>
          <w:tcPr>
            <w:tcW w:w="1890" w:type="dxa"/>
          </w:tcPr>
          <w:p w:rsidR="003F22AF" w:rsidRPr="00793474" w:rsidP="003F22AF" w14:paraId="2C8AA1BB" w14:textId="77777777">
            <w:pPr>
              <w:pStyle w:val="Default"/>
              <w:rPr>
                <w:rFonts w:ascii="Arial Nova" w:hAnsi="Arial Nova" w:cstheme="minorHAnsi"/>
                <w:i/>
                <w:iCs/>
                <w:color w:val="C75000"/>
              </w:rPr>
            </w:pPr>
            <w:r w:rsidRPr="00BA640A">
              <w:rPr>
                <w:rFonts w:ascii="Arial Nova" w:hAnsi="Arial Nova"/>
                <w:bCs/>
                <w:iCs/>
              </w:rPr>
              <w:t>(240) 402-5875</w:t>
            </w:r>
          </w:p>
        </w:tc>
        <w:tc>
          <w:tcPr>
            <w:tcW w:w="3510" w:type="dxa"/>
          </w:tcPr>
          <w:p w:rsidR="003F22AF" w:rsidRPr="00793474" w:rsidP="003F22AF" w14:paraId="5D6B5820" w14:textId="77777777">
            <w:pPr>
              <w:pStyle w:val="Default"/>
              <w:rPr>
                <w:rFonts w:ascii="Arial Nova" w:hAnsi="Arial Nova" w:cstheme="minorHAnsi"/>
                <w:color w:val="C75000"/>
              </w:rPr>
            </w:pPr>
            <w:hyperlink r:id="rId17" w:history="1">
              <w:r w:rsidRPr="001408F9" w:rsidR="003C2CEC">
                <w:rPr>
                  <w:rStyle w:val="Hyperlink"/>
                  <w:rFonts w:ascii="Arial Nova" w:hAnsi="Arial Nova"/>
                  <w:bCs/>
                  <w:iCs/>
                </w:rPr>
                <w:t>anh.zarndt@fda</w:t>
              </w:r>
            </w:hyperlink>
            <w:r w:rsidRPr="00BA640A">
              <w:rPr>
                <w:rFonts w:ascii="Arial Nova" w:hAnsi="Arial Nova"/>
                <w:bCs/>
                <w:iCs/>
              </w:rPr>
              <w:t>.hhs.gov</w:t>
            </w:r>
          </w:p>
        </w:tc>
      </w:tr>
    </w:tbl>
    <w:p w:rsidR="00185854" w:rsidRPr="00793474" w:rsidP="00185854" w14:paraId="534AED1D" w14:textId="77777777">
      <w:pPr>
        <w:rPr>
          <w:rFonts w:ascii="Arial Nova" w:hAnsi="Arial Nova" w:cstheme="minorHAnsi"/>
          <w:color w:val="C75000"/>
        </w:rPr>
      </w:pPr>
    </w:p>
    <w:p w:rsidR="00185854" w:rsidRPr="00F92873" w:rsidP="00185854" w14:paraId="7C774EF8" w14:textId="77777777">
      <w:pPr>
        <w:rPr>
          <w:rFonts w:ascii="Arial Nova" w:hAnsi="Arial Nova" w:cstheme="minorHAnsi"/>
        </w:rPr>
      </w:pPr>
      <w:r w:rsidRPr="00F92873">
        <w:rPr>
          <w:rFonts w:ascii="Arial Nova" w:hAnsi="Arial Nova" w:cstheme="minorHAnsi"/>
          <w:b/>
        </w:rPr>
        <w:t xml:space="preserve">Table </w:t>
      </w:r>
      <w:r w:rsidRPr="00F92873" w:rsidR="003B1A10">
        <w:rPr>
          <w:rFonts w:ascii="Arial Nova" w:hAnsi="Arial Nova" w:cstheme="minorHAnsi"/>
          <w:b/>
        </w:rPr>
        <w:t>A8B</w:t>
      </w:r>
      <w:r w:rsidRPr="00F92873">
        <w:rPr>
          <w:rFonts w:ascii="Arial Nova" w:hAnsi="Arial Nova" w:cstheme="minorHAnsi"/>
          <w:b/>
        </w:rPr>
        <w:t xml:space="preserve">. </w:t>
      </w:r>
      <w:r w:rsidRPr="00F92873">
        <w:rPr>
          <w:rFonts w:ascii="Arial Nova" w:hAnsi="Arial Nova" w:cstheme="minorHAnsi"/>
        </w:rPr>
        <w:t>Consultations within CDC</w:t>
      </w:r>
    </w:p>
    <w:tbl>
      <w:tblPr>
        <w:tblW w:w="10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4"/>
        <w:gridCol w:w="2074"/>
        <w:gridCol w:w="3150"/>
        <w:gridCol w:w="1890"/>
        <w:gridCol w:w="1980"/>
      </w:tblGrid>
      <w:tr w14:paraId="6749EEB4" w14:textId="77777777" w:rsidTr="00F92873">
        <w:tblPrEx>
          <w:tblW w:w="107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34" w:type="dxa"/>
          </w:tcPr>
          <w:p w:rsidR="00847225" w:rsidRPr="00F92873" w:rsidP="00643C52" w14:paraId="081D6D58" w14:textId="77777777">
            <w:pPr>
              <w:autoSpaceDE w:val="0"/>
              <w:autoSpaceDN w:val="0"/>
              <w:adjustRightInd w:val="0"/>
              <w:rPr>
                <w:rFonts w:ascii="Arial Nova" w:hAnsi="Arial Nova" w:cstheme="minorHAnsi"/>
              </w:rPr>
            </w:pPr>
            <w:r w:rsidRPr="00F92873">
              <w:rPr>
                <w:rFonts w:ascii="Arial Nova" w:hAnsi="Arial Nova" w:cstheme="minorHAnsi"/>
                <w:b/>
                <w:bCs/>
              </w:rPr>
              <w:t xml:space="preserve">Name </w:t>
            </w:r>
          </w:p>
        </w:tc>
        <w:tc>
          <w:tcPr>
            <w:tcW w:w="2074" w:type="dxa"/>
          </w:tcPr>
          <w:p w:rsidR="00847225" w:rsidRPr="00F92873" w:rsidP="00643C52" w14:paraId="6BF87626" w14:textId="77777777">
            <w:pPr>
              <w:autoSpaceDE w:val="0"/>
              <w:autoSpaceDN w:val="0"/>
              <w:adjustRightInd w:val="0"/>
              <w:rPr>
                <w:rFonts w:ascii="Arial Nova" w:hAnsi="Arial Nova" w:cstheme="minorHAnsi"/>
              </w:rPr>
            </w:pPr>
            <w:r w:rsidRPr="00F92873">
              <w:rPr>
                <w:rFonts w:ascii="Arial Nova" w:hAnsi="Arial Nova" w:cstheme="minorHAnsi"/>
                <w:b/>
                <w:bCs/>
              </w:rPr>
              <w:t xml:space="preserve">Title </w:t>
            </w:r>
          </w:p>
        </w:tc>
        <w:tc>
          <w:tcPr>
            <w:tcW w:w="3150" w:type="dxa"/>
          </w:tcPr>
          <w:p w:rsidR="00847225" w:rsidRPr="00F92873" w:rsidP="00643C52" w14:paraId="35D97DF3" w14:textId="77777777">
            <w:pPr>
              <w:autoSpaceDE w:val="0"/>
              <w:autoSpaceDN w:val="0"/>
              <w:adjustRightInd w:val="0"/>
              <w:rPr>
                <w:rFonts w:ascii="Arial Nova" w:hAnsi="Arial Nova" w:cstheme="minorHAnsi"/>
              </w:rPr>
            </w:pPr>
            <w:r w:rsidRPr="00F92873">
              <w:rPr>
                <w:rFonts w:ascii="Arial Nova" w:hAnsi="Arial Nova" w:cstheme="minorHAnsi"/>
                <w:b/>
                <w:bCs/>
              </w:rPr>
              <w:t xml:space="preserve">Affiliation </w:t>
            </w:r>
          </w:p>
        </w:tc>
        <w:tc>
          <w:tcPr>
            <w:tcW w:w="1890" w:type="dxa"/>
          </w:tcPr>
          <w:p w:rsidR="00847225" w:rsidRPr="00F92873" w:rsidP="00643C52" w14:paraId="73C1ADB7" w14:textId="77777777">
            <w:pPr>
              <w:autoSpaceDE w:val="0"/>
              <w:autoSpaceDN w:val="0"/>
              <w:adjustRightInd w:val="0"/>
              <w:rPr>
                <w:rFonts w:ascii="Arial Nova" w:hAnsi="Arial Nova" w:cstheme="minorHAnsi"/>
              </w:rPr>
            </w:pPr>
            <w:r w:rsidRPr="00F92873">
              <w:rPr>
                <w:rFonts w:ascii="Arial Nova" w:hAnsi="Arial Nova" w:cstheme="minorHAnsi"/>
                <w:b/>
                <w:bCs/>
              </w:rPr>
              <w:t xml:space="preserve">Phone </w:t>
            </w:r>
          </w:p>
        </w:tc>
        <w:tc>
          <w:tcPr>
            <w:tcW w:w="1980" w:type="dxa"/>
          </w:tcPr>
          <w:p w:rsidR="00847225" w:rsidRPr="00F92873" w:rsidP="00643C52" w14:paraId="68322889" w14:textId="77777777">
            <w:pPr>
              <w:autoSpaceDE w:val="0"/>
              <w:autoSpaceDN w:val="0"/>
              <w:adjustRightInd w:val="0"/>
              <w:rPr>
                <w:rFonts w:ascii="Arial Nova" w:hAnsi="Arial Nova" w:cstheme="minorHAnsi"/>
              </w:rPr>
            </w:pPr>
            <w:r w:rsidRPr="00F92873">
              <w:rPr>
                <w:rFonts w:ascii="Arial Nova" w:hAnsi="Arial Nova" w:cstheme="minorHAnsi"/>
                <w:b/>
                <w:bCs/>
              </w:rPr>
              <w:t xml:space="preserve">Email </w:t>
            </w:r>
          </w:p>
        </w:tc>
      </w:tr>
      <w:tr w14:paraId="2F68A2FC" w14:textId="77777777" w:rsidTr="00F92873">
        <w:tblPrEx>
          <w:tblW w:w="10728" w:type="dxa"/>
          <w:tblInd w:w="-113" w:type="dxa"/>
          <w:tblLayout w:type="fixed"/>
          <w:tblLook w:val="0000"/>
        </w:tblPrEx>
        <w:trPr>
          <w:trHeight w:val="111"/>
        </w:trPr>
        <w:tc>
          <w:tcPr>
            <w:tcW w:w="1634" w:type="dxa"/>
          </w:tcPr>
          <w:p w:rsidR="00295E14" w:rsidRPr="0005396A" w:rsidP="00643C52" w14:paraId="1A574E8D" w14:textId="77777777">
            <w:pPr>
              <w:autoSpaceDE w:val="0"/>
              <w:autoSpaceDN w:val="0"/>
              <w:adjustRightInd w:val="0"/>
              <w:rPr>
                <w:rFonts w:ascii="Arial Nova" w:hAnsi="Arial Nova" w:cstheme="minorHAnsi"/>
              </w:rPr>
            </w:pPr>
            <w:r w:rsidRPr="0005396A">
              <w:rPr>
                <w:rFonts w:ascii="Arial Nova" w:hAnsi="Arial Nova" w:cstheme="minorHAnsi"/>
              </w:rPr>
              <w:t>Brian Armour</w:t>
            </w:r>
          </w:p>
        </w:tc>
        <w:tc>
          <w:tcPr>
            <w:tcW w:w="2074" w:type="dxa"/>
          </w:tcPr>
          <w:p w:rsidR="00295E14" w:rsidRPr="0005396A" w:rsidP="00643C52" w14:paraId="226D44ED" w14:textId="77777777">
            <w:pPr>
              <w:autoSpaceDE w:val="0"/>
              <w:autoSpaceDN w:val="0"/>
              <w:adjustRightInd w:val="0"/>
              <w:rPr>
                <w:rFonts w:ascii="Arial Nova" w:hAnsi="Arial Nova" w:cstheme="minorHAnsi"/>
              </w:rPr>
            </w:pPr>
            <w:r w:rsidRPr="0005396A">
              <w:rPr>
                <w:rStyle w:val="cf01"/>
                <w:rFonts w:ascii="Arial Nova" w:hAnsi="Arial Nova"/>
                <w:sz w:val="24"/>
                <w:szCs w:val="24"/>
              </w:rPr>
              <w:t>Associate Director for Science</w:t>
            </w:r>
          </w:p>
        </w:tc>
        <w:tc>
          <w:tcPr>
            <w:tcW w:w="3150" w:type="dxa"/>
          </w:tcPr>
          <w:p w:rsidR="00295E14" w:rsidRPr="0005396A" w:rsidP="00643C52" w14:paraId="54F9F96F" w14:textId="77777777">
            <w:pPr>
              <w:autoSpaceDE w:val="0"/>
              <w:autoSpaceDN w:val="0"/>
              <w:adjustRightInd w:val="0"/>
              <w:rPr>
                <w:rFonts w:ascii="Arial Nova" w:hAnsi="Arial Nova" w:cstheme="minorHAnsi"/>
              </w:rPr>
            </w:pPr>
            <w:r w:rsidRPr="0005396A">
              <w:rPr>
                <w:rStyle w:val="cf01"/>
                <w:rFonts w:ascii="Arial Nova" w:hAnsi="Arial Nova"/>
                <w:sz w:val="24"/>
                <w:szCs w:val="24"/>
              </w:rPr>
              <w:t xml:space="preserve">CDC, Office of the </w:t>
            </w:r>
            <w:r w:rsidRPr="0005396A">
              <w:rPr>
                <w:rStyle w:val="cf01"/>
                <w:rFonts w:ascii="Arial Nova" w:hAnsi="Arial Nova"/>
                <w:sz w:val="24"/>
                <w:szCs w:val="24"/>
              </w:rPr>
              <w:t>Associate Director for Science</w:t>
            </w:r>
          </w:p>
        </w:tc>
        <w:tc>
          <w:tcPr>
            <w:tcW w:w="1890" w:type="dxa"/>
          </w:tcPr>
          <w:p w:rsidR="00295E14" w:rsidRPr="0005396A" w:rsidP="00643C52" w14:paraId="14E30027" w14:textId="77777777">
            <w:pPr>
              <w:autoSpaceDE w:val="0"/>
              <w:autoSpaceDN w:val="0"/>
              <w:adjustRightInd w:val="0"/>
              <w:rPr>
                <w:rFonts w:ascii="Arial Nova" w:hAnsi="Arial Nova" w:cstheme="minorHAnsi"/>
              </w:rPr>
            </w:pPr>
            <w:r w:rsidRPr="0005396A">
              <w:rPr>
                <w:rStyle w:val="cf01"/>
                <w:rFonts w:ascii="Arial Nova" w:hAnsi="Arial Nova"/>
                <w:sz w:val="24"/>
                <w:szCs w:val="24"/>
              </w:rPr>
              <w:t>(404) 498-3014</w:t>
            </w:r>
          </w:p>
        </w:tc>
        <w:tc>
          <w:tcPr>
            <w:tcW w:w="1980" w:type="dxa"/>
          </w:tcPr>
          <w:p w:rsidR="00295E14" w:rsidRPr="0005396A" w:rsidP="00643C52" w14:paraId="63899010" w14:textId="77777777">
            <w:pPr>
              <w:autoSpaceDE w:val="0"/>
              <w:autoSpaceDN w:val="0"/>
              <w:adjustRightInd w:val="0"/>
              <w:rPr>
                <w:rFonts w:ascii="Arial Nova" w:hAnsi="Arial Nova" w:cstheme="minorHAnsi"/>
              </w:rPr>
            </w:pPr>
            <w:r w:rsidRPr="0005396A">
              <w:rPr>
                <w:rStyle w:val="cf01"/>
                <w:rFonts w:ascii="Arial Nova" w:hAnsi="Arial Nova"/>
                <w:sz w:val="24"/>
                <w:szCs w:val="24"/>
              </w:rPr>
              <w:t>Bka9@cdc.gov</w:t>
            </w:r>
          </w:p>
        </w:tc>
      </w:tr>
      <w:tr w14:paraId="026D72E8" w14:textId="77777777" w:rsidTr="00F92873">
        <w:tblPrEx>
          <w:tblW w:w="10728" w:type="dxa"/>
          <w:tblInd w:w="-113" w:type="dxa"/>
          <w:tblLayout w:type="fixed"/>
          <w:tblLook w:val="0000"/>
        </w:tblPrEx>
        <w:trPr>
          <w:trHeight w:val="107"/>
        </w:trPr>
        <w:tc>
          <w:tcPr>
            <w:tcW w:w="1634" w:type="dxa"/>
          </w:tcPr>
          <w:p w:rsidR="00847225" w:rsidRPr="00F92873" w:rsidP="00643C52" w14:paraId="5C4169F9" w14:textId="77777777">
            <w:pPr>
              <w:autoSpaceDE w:val="0"/>
              <w:autoSpaceDN w:val="0"/>
              <w:adjustRightInd w:val="0"/>
              <w:rPr>
                <w:rFonts w:ascii="Arial Nova" w:hAnsi="Arial Nova" w:cstheme="minorHAnsi"/>
              </w:rPr>
            </w:pPr>
            <w:r w:rsidRPr="00F92873">
              <w:rPr>
                <w:rFonts w:ascii="Arial Nova" w:hAnsi="Arial Nova" w:cstheme="minorHAnsi"/>
              </w:rPr>
              <w:t>Cindy Allen</w:t>
            </w:r>
          </w:p>
        </w:tc>
        <w:tc>
          <w:tcPr>
            <w:tcW w:w="2074" w:type="dxa"/>
          </w:tcPr>
          <w:p w:rsidR="00847225" w:rsidRPr="00F92873" w:rsidP="00643C52" w14:paraId="548B59C9" w14:textId="77777777">
            <w:pPr>
              <w:autoSpaceDE w:val="0"/>
              <w:autoSpaceDN w:val="0"/>
              <w:adjustRightInd w:val="0"/>
              <w:rPr>
                <w:rFonts w:ascii="Arial Nova" w:hAnsi="Arial Nova" w:cstheme="minorHAnsi"/>
              </w:rPr>
            </w:pPr>
            <w:r w:rsidRPr="00F92873">
              <w:rPr>
                <w:rFonts w:ascii="Arial Nova" w:hAnsi="Arial Nova" w:cstheme="minorHAnsi"/>
              </w:rPr>
              <w:t>ISSO/CPIC Coordinator</w:t>
            </w:r>
          </w:p>
        </w:tc>
        <w:tc>
          <w:tcPr>
            <w:tcW w:w="3150" w:type="dxa"/>
          </w:tcPr>
          <w:p w:rsidR="00847225" w:rsidRPr="00F92873" w:rsidP="00643C52" w14:paraId="0100562E" w14:textId="77777777">
            <w:pPr>
              <w:autoSpaceDE w:val="0"/>
              <w:autoSpaceDN w:val="0"/>
              <w:adjustRightInd w:val="0"/>
              <w:rPr>
                <w:rFonts w:ascii="Arial Nova" w:hAnsi="Arial Nova" w:cstheme="minorHAnsi"/>
              </w:rPr>
            </w:pPr>
            <w:r w:rsidRPr="00F92873">
              <w:rPr>
                <w:rFonts w:ascii="Arial Nova" w:hAnsi="Arial Nova" w:cstheme="minorHAnsi"/>
              </w:rPr>
              <w:t>CDC, Office of the Director</w:t>
            </w:r>
          </w:p>
        </w:tc>
        <w:tc>
          <w:tcPr>
            <w:tcW w:w="1890" w:type="dxa"/>
          </w:tcPr>
          <w:p w:rsidR="00847225" w:rsidRPr="00F92873" w:rsidP="00643C52" w14:paraId="04F6D43E" w14:textId="77777777">
            <w:pPr>
              <w:autoSpaceDE w:val="0"/>
              <w:autoSpaceDN w:val="0"/>
              <w:adjustRightInd w:val="0"/>
              <w:rPr>
                <w:rFonts w:ascii="Arial Nova" w:hAnsi="Arial Nova" w:cstheme="minorHAnsi"/>
              </w:rPr>
            </w:pPr>
            <w:r w:rsidRPr="00F92873">
              <w:rPr>
                <w:rFonts w:ascii="Arial Nova" w:hAnsi="Arial Nova" w:cstheme="minorHAnsi"/>
              </w:rPr>
              <w:t>(770) 488-</w:t>
            </w:r>
            <w:r w:rsidRPr="00F92873" w:rsidR="006C0831">
              <w:rPr>
                <w:rFonts w:ascii="Arial Nova" w:hAnsi="Arial Nova" w:cstheme="minorHAnsi"/>
              </w:rPr>
              <w:t>5388</w:t>
            </w:r>
          </w:p>
        </w:tc>
        <w:tc>
          <w:tcPr>
            <w:tcW w:w="1980" w:type="dxa"/>
          </w:tcPr>
          <w:p w:rsidR="00847225" w:rsidRPr="00F92873" w:rsidP="00643C52" w14:paraId="0C39047A" w14:textId="77777777">
            <w:pPr>
              <w:autoSpaceDE w:val="0"/>
              <w:autoSpaceDN w:val="0"/>
              <w:adjustRightInd w:val="0"/>
              <w:rPr>
                <w:rFonts w:ascii="Arial Nova" w:hAnsi="Arial Nova" w:cstheme="minorHAnsi"/>
              </w:rPr>
            </w:pPr>
            <w:r w:rsidRPr="00F92873">
              <w:rPr>
                <w:rFonts w:ascii="Arial Nova" w:hAnsi="Arial Nova" w:cstheme="minorHAnsi"/>
              </w:rPr>
              <w:t>Cdl1@cdc.gov</w:t>
            </w:r>
          </w:p>
        </w:tc>
      </w:tr>
      <w:tr w14:paraId="4B8F566D" w14:textId="77777777" w:rsidTr="00F92873">
        <w:tblPrEx>
          <w:tblW w:w="10728" w:type="dxa"/>
          <w:tblInd w:w="-113" w:type="dxa"/>
          <w:tblLayout w:type="fixed"/>
          <w:tblLook w:val="0000"/>
        </w:tblPrEx>
        <w:trPr>
          <w:trHeight w:val="107"/>
        </w:trPr>
        <w:tc>
          <w:tcPr>
            <w:tcW w:w="1634" w:type="dxa"/>
          </w:tcPr>
          <w:p w:rsidR="00295E14" w:rsidRPr="0005396A" w:rsidP="00643C52" w14:paraId="3BDDD36D" w14:textId="77777777">
            <w:pPr>
              <w:autoSpaceDE w:val="0"/>
              <w:autoSpaceDN w:val="0"/>
              <w:adjustRightInd w:val="0"/>
              <w:rPr>
                <w:rFonts w:ascii="Arial Nova" w:hAnsi="Arial Nova" w:cstheme="minorHAnsi"/>
              </w:rPr>
            </w:pPr>
            <w:r w:rsidRPr="0005396A">
              <w:rPr>
                <w:rStyle w:val="cf01"/>
                <w:rFonts w:ascii="Arial Nova" w:hAnsi="Arial Nova"/>
                <w:sz w:val="24"/>
                <w:szCs w:val="24"/>
              </w:rPr>
              <w:t>Diane Beistle</w:t>
            </w:r>
          </w:p>
        </w:tc>
        <w:tc>
          <w:tcPr>
            <w:tcW w:w="2074" w:type="dxa"/>
          </w:tcPr>
          <w:p w:rsidR="00295E14" w:rsidRPr="0005396A" w:rsidP="00643C52" w14:paraId="4804E1E2" w14:textId="77777777">
            <w:pPr>
              <w:autoSpaceDE w:val="0"/>
              <w:autoSpaceDN w:val="0"/>
              <w:adjustRightInd w:val="0"/>
              <w:rPr>
                <w:rFonts w:ascii="Arial Nova" w:hAnsi="Arial Nova" w:cstheme="minorHAnsi"/>
              </w:rPr>
            </w:pPr>
            <w:r w:rsidRPr="0005396A">
              <w:rPr>
                <w:rStyle w:val="cf01"/>
                <w:rFonts w:ascii="Arial Nova" w:hAnsi="Arial Nova"/>
                <w:sz w:val="24"/>
                <w:szCs w:val="24"/>
              </w:rPr>
              <w:t>Chief</w:t>
            </w:r>
          </w:p>
        </w:tc>
        <w:tc>
          <w:tcPr>
            <w:tcW w:w="3150" w:type="dxa"/>
          </w:tcPr>
          <w:p w:rsidR="00295E14" w:rsidRPr="0005396A" w:rsidP="00643C52" w14:paraId="7E5A83A0" w14:textId="77777777">
            <w:pPr>
              <w:autoSpaceDE w:val="0"/>
              <w:autoSpaceDN w:val="0"/>
              <w:adjustRightInd w:val="0"/>
              <w:rPr>
                <w:rFonts w:ascii="Arial Nova" w:hAnsi="Arial Nova" w:cstheme="minorHAnsi"/>
              </w:rPr>
            </w:pPr>
            <w:r w:rsidRPr="0005396A">
              <w:rPr>
                <w:rStyle w:val="cf01"/>
                <w:rFonts w:ascii="Arial Nova" w:hAnsi="Arial Nova"/>
                <w:sz w:val="24"/>
                <w:szCs w:val="24"/>
              </w:rPr>
              <w:t>CDC, Health Communications Branch</w:t>
            </w:r>
          </w:p>
        </w:tc>
        <w:tc>
          <w:tcPr>
            <w:tcW w:w="1890" w:type="dxa"/>
          </w:tcPr>
          <w:p w:rsidR="00295E14" w:rsidRPr="0005396A" w:rsidP="00643C52" w14:paraId="717879DF" w14:textId="77777777">
            <w:pPr>
              <w:autoSpaceDE w:val="0"/>
              <w:autoSpaceDN w:val="0"/>
              <w:adjustRightInd w:val="0"/>
              <w:rPr>
                <w:rFonts w:ascii="Arial Nova" w:hAnsi="Arial Nova" w:cstheme="minorHAnsi"/>
              </w:rPr>
            </w:pPr>
            <w:r w:rsidRPr="0005396A">
              <w:rPr>
                <w:rStyle w:val="cf01"/>
                <w:rFonts w:ascii="Arial Nova" w:hAnsi="Arial Nova"/>
                <w:sz w:val="24"/>
                <w:szCs w:val="24"/>
              </w:rPr>
              <w:t>(770) 488-5066</w:t>
            </w:r>
          </w:p>
        </w:tc>
        <w:tc>
          <w:tcPr>
            <w:tcW w:w="1980" w:type="dxa"/>
          </w:tcPr>
          <w:p w:rsidR="00C30B5E" w:rsidRPr="0005396A" w:rsidP="002B1439" w14:paraId="35E85DD1" w14:textId="77777777">
            <w:pPr>
              <w:pStyle w:val="pf0"/>
              <w:ind w:left="0"/>
              <w:rPr>
                <w:rFonts w:ascii="Arial Nova" w:hAnsi="Arial Nova" w:cs="Arial"/>
              </w:rPr>
            </w:pPr>
            <w:r w:rsidRPr="0005396A">
              <w:rPr>
                <w:rStyle w:val="cf01"/>
                <w:rFonts w:ascii="Arial Nova" w:hAnsi="Arial Nova"/>
                <w:sz w:val="24"/>
                <w:szCs w:val="24"/>
              </w:rPr>
              <w:t xml:space="preserve">Zgv1@cdc.gov </w:t>
            </w:r>
          </w:p>
          <w:p w:rsidR="00295E14" w:rsidRPr="0005396A" w:rsidP="00643C52" w14:paraId="2E63F3DE" w14:textId="77777777">
            <w:pPr>
              <w:autoSpaceDE w:val="0"/>
              <w:autoSpaceDN w:val="0"/>
              <w:adjustRightInd w:val="0"/>
              <w:rPr>
                <w:rFonts w:ascii="Arial Nova" w:hAnsi="Arial Nova" w:cstheme="minorHAnsi"/>
              </w:rPr>
            </w:pPr>
          </w:p>
        </w:tc>
      </w:tr>
      <w:tr w14:paraId="41EFA27B" w14:textId="77777777" w:rsidTr="00F92873">
        <w:tblPrEx>
          <w:tblW w:w="10728" w:type="dxa"/>
          <w:tblInd w:w="-113" w:type="dxa"/>
          <w:tblLayout w:type="fixed"/>
          <w:tblLook w:val="0000"/>
        </w:tblPrEx>
        <w:trPr>
          <w:trHeight w:val="107"/>
        </w:trPr>
        <w:tc>
          <w:tcPr>
            <w:tcW w:w="1634" w:type="dxa"/>
          </w:tcPr>
          <w:p w:rsidR="00C30B5E" w:rsidRPr="0005396A" w:rsidP="00643C52" w14:paraId="54F37813"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 xml:space="preserve">Lauren </w:t>
            </w:r>
            <w:r w:rsidRPr="0005396A">
              <w:rPr>
                <w:rStyle w:val="cf01"/>
                <w:rFonts w:ascii="Arial Nova" w:hAnsi="Arial Nova"/>
                <w:sz w:val="24"/>
                <w:szCs w:val="24"/>
              </w:rPr>
              <w:t>Boyle-Estheimer</w:t>
            </w:r>
          </w:p>
        </w:tc>
        <w:tc>
          <w:tcPr>
            <w:tcW w:w="2074" w:type="dxa"/>
          </w:tcPr>
          <w:p w:rsidR="00C30B5E" w:rsidRPr="0005396A" w:rsidP="00643C52" w14:paraId="1B5260FF"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Health Communications Specialist</w:t>
            </w:r>
          </w:p>
        </w:tc>
        <w:tc>
          <w:tcPr>
            <w:tcW w:w="3150" w:type="dxa"/>
          </w:tcPr>
          <w:p w:rsidR="00C30B5E" w:rsidRPr="0005396A" w:rsidP="00643C52" w14:paraId="425FE649"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CDC, Health Communications Branch</w:t>
            </w:r>
          </w:p>
        </w:tc>
        <w:tc>
          <w:tcPr>
            <w:tcW w:w="1890" w:type="dxa"/>
          </w:tcPr>
          <w:p w:rsidR="00C30B5E" w:rsidRPr="0005396A" w:rsidP="00643C52" w14:paraId="74125B94"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(404) 498-228</w:t>
            </w:r>
            <w:r w:rsidRPr="0005396A" w:rsidR="00D0209F">
              <w:rPr>
                <w:rStyle w:val="cf01"/>
                <w:rFonts w:ascii="Arial Nova" w:hAnsi="Arial Nova"/>
                <w:sz w:val="24"/>
                <w:szCs w:val="24"/>
              </w:rPr>
              <w:t>3</w:t>
            </w:r>
          </w:p>
        </w:tc>
        <w:tc>
          <w:tcPr>
            <w:tcW w:w="1980" w:type="dxa"/>
          </w:tcPr>
          <w:p w:rsidR="00C30B5E" w:rsidRPr="0005396A" w:rsidP="00C30B5E" w14:paraId="7F502D87" w14:textId="77777777">
            <w:pPr>
              <w:pStyle w:val="pf0"/>
              <w:ind w:left="0"/>
              <w:rPr>
                <w:rStyle w:val="cf01"/>
                <w:rFonts w:ascii="Arial Nova" w:hAnsi="Arial Nova"/>
                <w:sz w:val="24"/>
                <w:szCs w:val="24"/>
              </w:rPr>
            </w:pPr>
            <w:r w:rsidRPr="0005396A">
              <w:rPr>
                <w:rStyle w:val="cf01"/>
                <w:rFonts w:ascii="Arial Nova" w:hAnsi="Arial Nova"/>
                <w:sz w:val="24"/>
                <w:szCs w:val="24"/>
              </w:rPr>
              <w:t>Yjw7cdc.gov</w:t>
            </w:r>
          </w:p>
        </w:tc>
      </w:tr>
      <w:tr w14:paraId="1F3392A7" w14:textId="77777777" w:rsidTr="00F92873">
        <w:tblPrEx>
          <w:tblW w:w="10728" w:type="dxa"/>
          <w:tblInd w:w="-113" w:type="dxa"/>
          <w:tblLayout w:type="fixed"/>
          <w:tblLook w:val="0000"/>
        </w:tblPrEx>
        <w:trPr>
          <w:trHeight w:val="107"/>
        </w:trPr>
        <w:tc>
          <w:tcPr>
            <w:tcW w:w="1634" w:type="dxa"/>
          </w:tcPr>
          <w:p w:rsidR="00295E14" w:rsidRPr="0005396A" w:rsidP="00643C52" w14:paraId="21392E10" w14:textId="77777777">
            <w:pPr>
              <w:autoSpaceDE w:val="0"/>
              <w:autoSpaceDN w:val="0"/>
              <w:adjustRightInd w:val="0"/>
              <w:rPr>
                <w:rFonts w:ascii="Arial Nova" w:hAnsi="Arial Nova" w:cstheme="minorHAnsi"/>
              </w:rPr>
            </w:pPr>
            <w:r w:rsidRPr="0005396A">
              <w:rPr>
                <w:rStyle w:val="cf01"/>
                <w:rFonts w:ascii="Arial Nova" w:hAnsi="Arial Nova"/>
                <w:sz w:val="24"/>
                <w:szCs w:val="24"/>
              </w:rPr>
              <w:t>Elizabeth Courtney-Long</w:t>
            </w:r>
          </w:p>
        </w:tc>
        <w:tc>
          <w:tcPr>
            <w:tcW w:w="2074" w:type="dxa"/>
          </w:tcPr>
          <w:p w:rsidR="00295E14" w:rsidRPr="0005396A" w:rsidP="00643C52" w14:paraId="29A8EC70" w14:textId="77777777">
            <w:pPr>
              <w:autoSpaceDE w:val="0"/>
              <w:autoSpaceDN w:val="0"/>
              <w:adjustRightInd w:val="0"/>
              <w:rPr>
                <w:rFonts w:ascii="Arial Nova" w:hAnsi="Arial Nova" w:cstheme="minorHAnsi"/>
              </w:rPr>
            </w:pPr>
            <w:r w:rsidRPr="0005396A">
              <w:rPr>
                <w:rStyle w:val="cf01"/>
                <w:rFonts w:ascii="Arial Nova" w:hAnsi="Arial Nova"/>
                <w:sz w:val="24"/>
                <w:szCs w:val="24"/>
              </w:rPr>
              <w:t>Health Scientist</w:t>
            </w:r>
          </w:p>
        </w:tc>
        <w:tc>
          <w:tcPr>
            <w:tcW w:w="3150" w:type="dxa"/>
          </w:tcPr>
          <w:p w:rsidR="00295E14" w:rsidRPr="0005396A" w:rsidP="00643C52" w14:paraId="5083493F" w14:textId="77777777">
            <w:pPr>
              <w:autoSpaceDE w:val="0"/>
              <w:autoSpaceDN w:val="0"/>
              <w:adjustRightInd w:val="0"/>
              <w:rPr>
                <w:rFonts w:ascii="Arial Nova" w:hAnsi="Arial Nova" w:cstheme="minorHAnsi"/>
              </w:rPr>
            </w:pPr>
            <w:r w:rsidRPr="0005396A">
              <w:rPr>
                <w:rStyle w:val="cf01"/>
                <w:rFonts w:ascii="Arial Nova" w:hAnsi="Arial Nova"/>
                <w:sz w:val="24"/>
                <w:szCs w:val="24"/>
              </w:rPr>
              <w:t>CDC, Office of the Associate Director for Science</w:t>
            </w:r>
          </w:p>
        </w:tc>
        <w:tc>
          <w:tcPr>
            <w:tcW w:w="1890" w:type="dxa"/>
          </w:tcPr>
          <w:p w:rsidR="00295E14" w:rsidRPr="0005396A" w:rsidP="00643C52" w14:paraId="579DD771" w14:textId="77777777">
            <w:pPr>
              <w:autoSpaceDE w:val="0"/>
              <w:autoSpaceDN w:val="0"/>
              <w:adjustRightInd w:val="0"/>
              <w:rPr>
                <w:rFonts w:ascii="Arial Nova" w:hAnsi="Arial Nova" w:cstheme="minorHAnsi"/>
              </w:rPr>
            </w:pPr>
            <w:r w:rsidRPr="0005396A">
              <w:rPr>
                <w:rStyle w:val="cf01"/>
                <w:rFonts w:ascii="Arial Nova" w:hAnsi="Arial Nova"/>
                <w:sz w:val="24"/>
                <w:szCs w:val="24"/>
              </w:rPr>
              <w:t>(404) 498-0264</w:t>
            </w:r>
          </w:p>
        </w:tc>
        <w:tc>
          <w:tcPr>
            <w:tcW w:w="1980" w:type="dxa"/>
          </w:tcPr>
          <w:p w:rsidR="00295E14" w:rsidRPr="0005396A" w:rsidP="00643C52" w14:paraId="5D5EF6EC" w14:textId="77777777">
            <w:pPr>
              <w:autoSpaceDE w:val="0"/>
              <w:autoSpaceDN w:val="0"/>
              <w:adjustRightInd w:val="0"/>
              <w:rPr>
                <w:rFonts w:ascii="Arial Nova" w:hAnsi="Arial Nova" w:cstheme="minorHAnsi"/>
              </w:rPr>
            </w:pPr>
            <w:r w:rsidRPr="0005396A">
              <w:rPr>
                <w:rStyle w:val="cf01"/>
                <w:rFonts w:ascii="Arial Nova" w:hAnsi="Arial Nova"/>
                <w:sz w:val="24"/>
                <w:szCs w:val="24"/>
              </w:rPr>
              <w:t>Gmr9@cdc.gov</w:t>
            </w:r>
          </w:p>
        </w:tc>
      </w:tr>
      <w:tr w14:paraId="3A99CD94" w14:textId="77777777" w:rsidTr="00F92873">
        <w:tblPrEx>
          <w:tblW w:w="10728" w:type="dxa"/>
          <w:tblInd w:w="-113" w:type="dxa"/>
          <w:tblLayout w:type="fixed"/>
          <w:tblLook w:val="0000"/>
        </w:tblPrEx>
        <w:trPr>
          <w:trHeight w:val="107"/>
        </w:trPr>
        <w:tc>
          <w:tcPr>
            <w:tcW w:w="1634" w:type="dxa"/>
          </w:tcPr>
          <w:p w:rsidR="00295E14" w:rsidRPr="0005396A" w:rsidP="00643C52" w14:paraId="188DDF1F" w14:textId="77777777">
            <w:pPr>
              <w:autoSpaceDE w:val="0"/>
              <w:autoSpaceDN w:val="0"/>
              <w:adjustRightInd w:val="0"/>
              <w:rPr>
                <w:rFonts w:ascii="Arial Nova" w:hAnsi="Arial Nova" w:cstheme="minorHAnsi"/>
              </w:rPr>
            </w:pPr>
            <w:r w:rsidRPr="0005396A">
              <w:rPr>
                <w:rStyle w:val="cf01"/>
                <w:rFonts w:ascii="Arial Nova" w:hAnsi="Arial Nova"/>
                <w:sz w:val="24"/>
                <w:szCs w:val="24"/>
              </w:rPr>
              <w:t>Michelle O</w:t>
            </w:r>
            <w:r w:rsidRPr="0005396A">
              <w:rPr>
                <w:rStyle w:val="cf11"/>
                <w:rFonts w:ascii="Arial Nova" w:hAnsi="Arial Nova"/>
                <w:sz w:val="24"/>
                <w:szCs w:val="24"/>
              </w:rPr>
              <w:t>’</w:t>
            </w:r>
            <w:r w:rsidRPr="0005396A">
              <w:rPr>
                <w:rStyle w:val="cf01"/>
                <w:rFonts w:ascii="Arial Nova" w:hAnsi="Arial Nova"/>
                <w:sz w:val="24"/>
                <w:szCs w:val="24"/>
              </w:rPr>
              <w:t>Hegarty</w:t>
            </w:r>
          </w:p>
        </w:tc>
        <w:tc>
          <w:tcPr>
            <w:tcW w:w="2074" w:type="dxa"/>
          </w:tcPr>
          <w:p w:rsidR="00295E14" w:rsidRPr="0005396A" w:rsidP="00643C52" w14:paraId="15B5628F" w14:textId="77777777">
            <w:pPr>
              <w:autoSpaceDE w:val="0"/>
              <w:autoSpaceDN w:val="0"/>
              <w:adjustRightInd w:val="0"/>
              <w:rPr>
                <w:rFonts w:ascii="Arial Nova" w:hAnsi="Arial Nova" w:cstheme="minorHAnsi"/>
              </w:rPr>
            </w:pPr>
            <w:r w:rsidRPr="0005396A">
              <w:rPr>
                <w:rStyle w:val="cf01"/>
                <w:rFonts w:ascii="Arial Nova" w:hAnsi="Arial Nova"/>
                <w:sz w:val="24"/>
                <w:szCs w:val="24"/>
              </w:rPr>
              <w:t>Health Communications Specialist</w:t>
            </w:r>
          </w:p>
        </w:tc>
        <w:tc>
          <w:tcPr>
            <w:tcW w:w="3150" w:type="dxa"/>
          </w:tcPr>
          <w:p w:rsidR="00295E14" w:rsidRPr="0005396A" w:rsidP="00643C52" w14:paraId="6A92C790" w14:textId="77777777">
            <w:pPr>
              <w:autoSpaceDE w:val="0"/>
              <w:autoSpaceDN w:val="0"/>
              <w:adjustRightInd w:val="0"/>
              <w:rPr>
                <w:rFonts w:ascii="Arial Nova" w:hAnsi="Arial Nova" w:cstheme="minorHAnsi"/>
              </w:rPr>
            </w:pPr>
            <w:r w:rsidRPr="0005396A">
              <w:rPr>
                <w:rStyle w:val="cf01"/>
                <w:rFonts w:ascii="Arial Nova" w:hAnsi="Arial Nova"/>
                <w:sz w:val="24"/>
                <w:szCs w:val="24"/>
              </w:rPr>
              <w:t>CDC, Campaign Development, Health Communications Branch</w:t>
            </w:r>
          </w:p>
        </w:tc>
        <w:tc>
          <w:tcPr>
            <w:tcW w:w="1890" w:type="dxa"/>
          </w:tcPr>
          <w:p w:rsidR="00295E14" w:rsidRPr="0005396A" w:rsidP="00643C52" w14:paraId="1BFEC152" w14:textId="77777777">
            <w:pPr>
              <w:autoSpaceDE w:val="0"/>
              <w:autoSpaceDN w:val="0"/>
              <w:adjustRightInd w:val="0"/>
              <w:rPr>
                <w:rFonts w:ascii="Arial Nova" w:hAnsi="Arial Nova" w:cstheme="minorHAnsi"/>
              </w:rPr>
            </w:pPr>
            <w:r w:rsidRPr="0005396A">
              <w:rPr>
                <w:rStyle w:val="cf01"/>
                <w:rFonts w:ascii="Arial Nova" w:hAnsi="Arial Nova"/>
                <w:sz w:val="24"/>
                <w:szCs w:val="24"/>
              </w:rPr>
              <w:t>(770) 488-5582</w:t>
            </w:r>
          </w:p>
        </w:tc>
        <w:tc>
          <w:tcPr>
            <w:tcW w:w="1980" w:type="dxa"/>
          </w:tcPr>
          <w:p w:rsidR="00295E14" w:rsidRPr="0005396A" w:rsidP="00643C52" w14:paraId="174B30BF" w14:textId="77777777">
            <w:pPr>
              <w:autoSpaceDE w:val="0"/>
              <w:autoSpaceDN w:val="0"/>
              <w:adjustRightInd w:val="0"/>
              <w:rPr>
                <w:rFonts w:ascii="Arial Nova" w:hAnsi="Arial Nova" w:cstheme="minorHAnsi"/>
              </w:rPr>
            </w:pPr>
            <w:r w:rsidRPr="0005396A">
              <w:rPr>
                <w:rStyle w:val="cf01"/>
                <w:rFonts w:ascii="Arial Nova" w:hAnsi="Arial Nova"/>
                <w:sz w:val="24"/>
                <w:szCs w:val="24"/>
              </w:rPr>
              <w:t>Izr0@cdc.gov</w:t>
            </w:r>
          </w:p>
        </w:tc>
      </w:tr>
      <w:tr w14:paraId="6C98B5A7" w14:textId="77777777" w:rsidTr="00F92873">
        <w:tblPrEx>
          <w:tblW w:w="10728" w:type="dxa"/>
          <w:tblInd w:w="-113" w:type="dxa"/>
          <w:tblLayout w:type="fixed"/>
          <w:tblLook w:val="0000"/>
        </w:tblPrEx>
        <w:trPr>
          <w:trHeight w:val="107"/>
        </w:trPr>
        <w:tc>
          <w:tcPr>
            <w:tcW w:w="1634" w:type="dxa"/>
          </w:tcPr>
          <w:p w:rsidR="00C30B5E" w:rsidRPr="0005396A" w:rsidP="00643C52" w14:paraId="39707777"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Lindsey McCarter</w:t>
            </w:r>
          </w:p>
        </w:tc>
        <w:tc>
          <w:tcPr>
            <w:tcW w:w="2074" w:type="dxa"/>
          </w:tcPr>
          <w:p w:rsidR="00C30B5E" w:rsidRPr="0005396A" w:rsidP="00643C52" w14:paraId="2AA3DBC3"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Team Lead</w:t>
            </w:r>
          </w:p>
        </w:tc>
        <w:tc>
          <w:tcPr>
            <w:tcW w:w="3150" w:type="dxa"/>
          </w:tcPr>
          <w:p w:rsidR="00C30B5E" w:rsidRPr="0005396A" w:rsidP="00643C52" w14:paraId="6B327EE9"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CDC, Campaign Development, Health Communications Branch</w:t>
            </w:r>
          </w:p>
        </w:tc>
        <w:tc>
          <w:tcPr>
            <w:tcW w:w="1890" w:type="dxa"/>
          </w:tcPr>
          <w:p w:rsidR="00C30B5E" w:rsidRPr="0005396A" w:rsidP="00643C52" w14:paraId="0B3B9DE5"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(770) 488-4239</w:t>
            </w:r>
          </w:p>
        </w:tc>
        <w:tc>
          <w:tcPr>
            <w:tcW w:w="1980" w:type="dxa"/>
          </w:tcPr>
          <w:p w:rsidR="00C30B5E" w:rsidRPr="0005396A" w:rsidP="00643C52" w14:paraId="09250760" w14:textId="77777777">
            <w:pPr>
              <w:autoSpaceDE w:val="0"/>
              <w:autoSpaceDN w:val="0"/>
              <w:adjustRightInd w:val="0"/>
              <w:rPr>
                <w:rStyle w:val="cf01"/>
                <w:rFonts w:ascii="Arial Nova" w:hAnsi="Arial Nova"/>
                <w:sz w:val="24"/>
                <w:szCs w:val="24"/>
              </w:rPr>
            </w:pPr>
            <w:r w:rsidRPr="0005396A">
              <w:rPr>
                <w:rStyle w:val="cf01"/>
                <w:rFonts w:ascii="Arial Nova" w:hAnsi="Arial Nova"/>
                <w:sz w:val="24"/>
                <w:szCs w:val="24"/>
              </w:rPr>
              <w:t>Lpq4@cdc.gov</w:t>
            </w:r>
          </w:p>
        </w:tc>
      </w:tr>
      <w:tr w14:paraId="272E2B6A" w14:textId="77777777" w:rsidTr="00F92873">
        <w:tblPrEx>
          <w:tblW w:w="10728" w:type="dxa"/>
          <w:tblInd w:w="-113" w:type="dxa"/>
          <w:tblLayout w:type="fixed"/>
          <w:tblLook w:val="0000"/>
        </w:tblPrEx>
        <w:trPr>
          <w:trHeight w:val="107"/>
        </w:trPr>
        <w:tc>
          <w:tcPr>
            <w:tcW w:w="1634" w:type="dxa"/>
          </w:tcPr>
          <w:p w:rsidR="003E4731" w:rsidRPr="00F92873" w:rsidP="00643C52" w14:paraId="397DC852" w14:textId="77777777">
            <w:pPr>
              <w:autoSpaceDE w:val="0"/>
              <w:autoSpaceDN w:val="0"/>
              <w:adjustRightInd w:val="0"/>
              <w:rPr>
                <w:rFonts w:ascii="Arial Nova" w:hAnsi="Arial Nova" w:cstheme="minorHAnsi"/>
              </w:rPr>
            </w:pPr>
            <w:r w:rsidRPr="00F92873">
              <w:rPr>
                <w:rFonts w:ascii="Arial Nova" w:hAnsi="Arial Nova" w:cstheme="minorHAnsi"/>
              </w:rPr>
              <w:t xml:space="preserve">Terri </w:t>
            </w:r>
            <w:r w:rsidRPr="00F92873">
              <w:rPr>
                <w:rFonts w:ascii="Arial Nova" w:hAnsi="Arial Nova" w:cstheme="minorHAnsi"/>
              </w:rPr>
              <w:t>Still-LeMelle</w:t>
            </w:r>
          </w:p>
        </w:tc>
        <w:tc>
          <w:tcPr>
            <w:tcW w:w="2074" w:type="dxa"/>
          </w:tcPr>
          <w:p w:rsidR="003E4731" w:rsidRPr="00F92873" w:rsidP="00643C52" w14:paraId="297AC6FC" w14:textId="77777777">
            <w:pPr>
              <w:autoSpaceDE w:val="0"/>
              <w:autoSpaceDN w:val="0"/>
              <w:adjustRightInd w:val="0"/>
              <w:rPr>
                <w:rFonts w:ascii="Arial Nova" w:hAnsi="Arial Nova" w:cstheme="minorHAnsi"/>
              </w:rPr>
            </w:pPr>
            <w:r w:rsidRPr="00F92873">
              <w:rPr>
                <w:rFonts w:ascii="Arial Nova" w:hAnsi="Arial Nova" w:cstheme="minorHAnsi"/>
              </w:rPr>
              <w:t>Technical Writer-Editor</w:t>
            </w:r>
          </w:p>
        </w:tc>
        <w:tc>
          <w:tcPr>
            <w:tcW w:w="3150" w:type="dxa"/>
          </w:tcPr>
          <w:p w:rsidR="003E4731" w:rsidRPr="00F92873" w:rsidP="00643C52" w14:paraId="6630792D" w14:textId="77777777">
            <w:pPr>
              <w:autoSpaceDE w:val="0"/>
              <w:autoSpaceDN w:val="0"/>
              <w:adjustRightInd w:val="0"/>
              <w:rPr>
                <w:rFonts w:ascii="Arial Nova" w:hAnsi="Arial Nova" w:cstheme="minorHAnsi"/>
              </w:rPr>
            </w:pPr>
            <w:r w:rsidRPr="00F92873">
              <w:rPr>
                <w:rFonts w:ascii="Arial Nova" w:hAnsi="Arial Nova" w:cstheme="minorHAnsi"/>
              </w:rPr>
              <w:t>CDC, Office of the Director</w:t>
            </w:r>
          </w:p>
        </w:tc>
        <w:tc>
          <w:tcPr>
            <w:tcW w:w="1890" w:type="dxa"/>
          </w:tcPr>
          <w:p w:rsidR="003E4731" w:rsidRPr="00F92873" w:rsidP="00643C52" w14:paraId="6CA5A60F" w14:textId="77777777">
            <w:pPr>
              <w:autoSpaceDE w:val="0"/>
              <w:autoSpaceDN w:val="0"/>
              <w:adjustRightInd w:val="0"/>
              <w:rPr>
                <w:rFonts w:ascii="Arial Nova" w:hAnsi="Arial Nova" w:cstheme="minorHAnsi"/>
              </w:rPr>
            </w:pPr>
            <w:r w:rsidRPr="00F92873">
              <w:rPr>
                <w:rFonts w:ascii="Arial Nova" w:hAnsi="Arial Nova" w:cstheme="minorHAnsi"/>
              </w:rPr>
              <w:t>(404) 639-7407</w:t>
            </w:r>
          </w:p>
        </w:tc>
        <w:tc>
          <w:tcPr>
            <w:tcW w:w="1980" w:type="dxa"/>
          </w:tcPr>
          <w:p w:rsidR="003E4731" w:rsidRPr="00F92873" w:rsidP="00643C52" w14:paraId="29E0912D" w14:textId="77777777">
            <w:pPr>
              <w:autoSpaceDE w:val="0"/>
              <w:autoSpaceDN w:val="0"/>
              <w:adjustRightInd w:val="0"/>
              <w:rPr>
                <w:rFonts w:ascii="Arial Nova" w:hAnsi="Arial Nova" w:cstheme="minorHAnsi"/>
              </w:rPr>
            </w:pPr>
            <w:r w:rsidRPr="00F92873">
              <w:rPr>
                <w:rFonts w:ascii="Arial Nova" w:hAnsi="Arial Nova" w:cstheme="minorHAnsi"/>
              </w:rPr>
              <w:t>Cse6@cdc.gov</w:t>
            </w:r>
          </w:p>
        </w:tc>
      </w:tr>
    </w:tbl>
    <w:p w:rsidR="00865500" w:rsidRPr="00174127" w:rsidP="007071BA" w14:paraId="31444099"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43663A" w:rsidP="0043663A" w14:paraId="226F052D" w14:textId="77777777">
      <w:pPr>
        <w:pStyle w:val="Heading2"/>
        <w:spacing w:line="276" w:lineRule="auto"/>
        <w:rPr>
          <w:rFonts w:ascii="Arial Nova" w:hAnsi="Arial Nova" w:cstheme="minorHAnsi"/>
          <w:i/>
          <w:color w:val="auto"/>
          <w:sz w:val="24"/>
          <w:szCs w:val="24"/>
        </w:rPr>
      </w:pPr>
      <w:bookmarkStart w:id="17" w:name="_Toc131505179"/>
      <w:bookmarkStart w:id="18" w:name="_Hlk36702687"/>
      <w:r w:rsidRPr="0043663A">
        <w:rPr>
          <w:rFonts w:ascii="Arial Nova" w:hAnsi="Arial Nova" w:cstheme="minorHAnsi"/>
          <w:i/>
          <w:color w:val="auto"/>
          <w:sz w:val="24"/>
          <w:szCs w:val="24"/>
        </w:rPr>
        <w:t>A9. Explanation of Any Payment or Gift to Respondents</w:t>
      </w:r>
      <w:bookmarkEnd w:id="17"/>
    </w:p>
    <w:bookmarkEnd w:id="18"/>
    <w:p w:rsidR="00D770BA" w:rsidRPr="00174127" w:rsidP="00A666C4" w14:paraId="18264FCA" w14:textId="77777777">
      <w:pPr>
        <w:pStyle w:val="Default"/>
        <w:rPr>
          <w:rFonts w:ascii="Arial Nova" w:hAnsi="Arial Nova"/>
          <w:b/>
          <w:color w:val="F79646" w:themeColor="accent6"/>
        </w:rPr>
      </w:pPr>
    </w:p>
    <w:p w:rsidR="0020707A" w:rsidRPr="004F51D9" w:rsidP="00347B64" w14:paraId="10CFB3F4" w14:textId="77777777">
      <w:pPr>
        <w:spacing w:line="276" w:lineRule="auto"/>
        <w:rPr>
          <w:rFonts w:ascii="Arial Nova" w:hAnsi="Arial Nova"/>
        </w:rPr>
      </w:pPr>
      <w:r w:rsidRPr="004F51D9">
        <w:rPr>
          <w:rFonts w:ascii="Arial Nova" w:hAnsi="Arial Nova"/>
        </w:rPr>
        <w:t>Participation in certain data collections will be requested on a voluntary basis without specific incenti</w:t>
      </w:r>
      <w:r w:rsidRPr="004F51D9">
        <w:rPr>
          <w:rFonts w:ascii="Arial Nova" w:hAnsi="Arial Nova"/>
        </w:rPr>
        <w:t xml:space="preserve">ves. However, CDC may request OMB approval to offer incentives in some circumstances, when a) information is needed from respondents who are difficult to reach or recruit, or b) information collection is time-sensitive and recruitment must be accelerated. </w:t>
      </w:r>
      <w:r w:rsidRPr="004F51D9">
        <w:rPr>
          <w:rFonts w:ascii="Arial Nova" w:hAnsi="Arial Nova"/>
        </w:rPr>
        <w:t xml:space="preserve">Each request to offer an incentive will be appropriately justified on a case-by-case basis and will describe the type of incentive to be offered (cash, gift card, or reward “points”) and the amount. Studies have indicated that a monetary gift can increase </w:t>
      </w:r>
      <w:r w:rsidRPr="004F51D9">
        <w:rPr>
          <w:rFonts w:ascii="Arial Nova" w:hAnsi="Arial Nova"/>
        </w:rPr>
        <w:t>response rates in survey research (Church, 1993; Greenbaum, 2000; Haveman, 2010).</w:t>
      </w:r>
    </w:p>
    <w:p w:rsidR="001A27EB" w:rsidRPr="00174127" w:rsidP="001A27EB" w14:paraId="0B375AA1" w14:textId="77777777">
      <w:pPr>
        <w:pStyle w:val="Heading2"/>
        <w:spacing w:line="276" w:lineRule="auto"/>
        <w:rPr>
          <w:rFonts w:ascii="Arial Nova" w:hAnsi="Arial Nova" w:cstheme="minorHAnsi"/>
          <w:sz w:val="24"/>
          <w:szCs w:val="24"/>
        </w:rPr>
      </w:pPr>
      <w:bookmarkStart w:id="19" w:name="_Toc131505180"/>
      <w:r w:rsidRPr="00174127">
        <w:rPr>
          <w:rFonts w:ascii="Arial Nova" w:hAnsi="Arial Nova" w:cstheme="minorHAnsi"/>
          <w:i/>
          <w:color w:val="auto"/>
          <w:sz w:val="24"/>
          <w:szCs w:val="24"/>
        </w:rPr>
        <w:t>A10. Protection of the Privacy and Confidentiality of Information Provided by Respondent</w:t>
      </w:r>
      <w:bookmarkEnd w:id="19"/>
    </w:p>
    <w:p w:rsidR="00D770BA" w:rsidRPr="00174127" w:rsidP="001A27EB" w14:paraId="659C94CC" w14:textId="77777777">
      <w:pPr>
        <w:rPr>
          <w:rFonts w:ascii="Arial Nova" w:hAnsi="Arial Nova"/>
          <w:b/>
          <w:color w:val="F79646" w:themeColor="accent6"/>
        </w:rPr>
      </w:pPr>
    </w:p>
    <w:p w:rsidR="008A39B6" w:rsidRPr="004F51D9" w:rsidP="005F100C" w14:paraId="43054CCC" w14:textId="77777777">
      <w:pPr>
        <w:spacing w:line="276" w:lineRule="auto"/>
        <w:rPr>
          <w:rFonts w:ascii="Arial Nova" w:hAnsi="Arial Nova" w:cstheme="minorHAnsi"/>
          <w:lang w:eastAsia="x-none"/>
        </w:rPr>
      </w:pPr>
      <w:r w:rsidRPr="004F51D9">
        <w:rPr>
          <w:rFonts w:ascii="Arial Nova" w:hAnsi="Arial Nova" w:cstheme="minorHAnsi"/>
          <w:lang w:eastAsia="x-none"/>
        </w:rPr>
        <w:t>For prior rounds of testing under this clearance, submissions were reviewed by staff in CDC’s National Center for Chronic Disease Prevention and Health Promotion, who determined that the Privacy Act does not apply. While the CDC data collection contractors</w:t>
      </w:r>
      <w:r w:rsidRPr="004F51D9">
        <w:rPr>
          <w:rFonts w:ascii="Arial Nova" w:hAnsi="Arial Nova" w:cstheme="minorHAnsi"/>
          <w:lang w:eastAsia="x-none"/>
        </w:rPr>
        <w:t xml:space="preserve"> may have access to personally identifiable information (PII), no PII will be shared with CDC or any agencies. Participants will respond anonymously and PII will be used only to generate a sample. All data collected and delivered to CDC from contractors wi</w:t>
      </w:r>
      <w:r w:rsidRPr="004F51D9">
        <w:rPr>
          <w:rFonts w:ascii="Arial Nova" w:hAnsi="Arial Nova" w:cstheme="minorHAnsi"/>
          <w:lang w:eastAsia="x-none"/>
        </w:rPr>
        <w:t xml:space="preserve">ll be in the aggregate only. Further, the information that will be reported to and maintained by CDC is not considered a record as defined by the Privacy Act: it will not include individuals’ education, financial transactions, medical history, criminal or </w:t>
      </w:r>
      <w:r w:rsidRPr="004F51D9">
        <w:rPr>
          <w:rFonts w:ascii="Arial Nova" w:hAnsi="Arial Nova" w:cstheme="minorHAnsi"/>
          <w:lang w:eastAsia="x-none"/>
        </w:rPr>
        <w:t xml:space="preserve">employment history, name, or the identifying number, symbol, or other identifier assigned to any individual, such as a finger or voice print or a photograph. </w:t>
      </w:r>
    </w:p>
    <w:p w:rsidR="008A39B6" w:rsidP="00CE1018" w14:paraId="3D5FFD29" w14:textId="77777777">
      <w:pPr>
        <w:spacing w:line="276" w:lineRule="auto"/>
        <w:rPr>
          <w:rFonts w:ascii="Arial Nova" w:hAnsi="Arial Nova" w:cstheme="minorHAnsi"/>
          <w:lang w:eastAsia="x-none"/>
        </w:rPr>
      </w:pPr>
      <w:r w:rsidRPr="004F51D9">
        <w:rPr>
          <w:rFonts w:ascii="Arial Nova" w:hAnsi="Arial Nova" w:cstheme="minorHAnsi"/>
          <w:lang w:eastAsia="x-none"/>
        </w:rPr>
        <w:t>CDC anticipates that participation in all data collection under this generic clearance will be vo</w:t>
      </w:r>
      <w:r w:rsidRPr="004F51D9">
        <w:rPr>
          <w:rFonts w:ascii="Arial Nova" w:hAnsi="Arial Nova" w:cstheme="minorHAnsi"/>
          <w:lang w:eastAsia="x-none"/>
        </w:rPr>
        <w:t>luntary. Prior to submitting a data collection request to OMB for review and approval, CDC will submit a Privacy Narrative to CDC’s Security Officer for review and approval. Each project-specific data collection request submitted to OMB for review and appr</w:t>
      </w:r>
      <w:r w:rsidRPr="004F51D9">
        <w:rPr>
          <w:rFonts w:ascii="Arial Nova" w:hAnsi="Arial Nova" w:cstheme="minorHAnsi"/>
          <w:lang w:eastAsia="x-none"/>
        </w:rPr>
        <w:t>oval will include 1) a description of the applicable privacy safeguards</w:t>
      </w:r>
      <w:r>
        <w:rPr>
          <w:lang w:eastAsia="x-none"/>
        </w:rPr>
        <w:footnoteReference w:id="3"/>
      </w:r>
      <w:r w:rsidRPr="004F51D9">
        <w:rPr>
          <w:rFonts w:ascii="Arial Nova" w:hAnsi="Arial Nova" w:cstheme="minorHAnsi"/>
          <w:lang w:eastAsia="x-none"/>
        </w:rPr>
        <w:t xml:space="preserve">, 2) a project-specific Privacy Act </w:t>
      </w:r>
      <w:r w:rsidRPr="00CE1018">
        <w:rPr>
          <w:rFonts w:ascii="Arial Nova" w:hAnsi="Arial Nova" w:cstheme="minorHAnsi"/>
          <w:lang w:eastAsia="x-none"/>
        </w:rPr>
        <w:t>determination, and 3) a project-specific IRB approval, if required.</w:t>
      </w:r>
    </w:p>
    <w:p w:rsidR="00CE1018" w:rsidRPr="00CE1018" w:rsidP="005F100C" w14:paraId="267FD993" w14:textId="77777777">
      <w:pPr>
        <w:spacing w:line="276" w:lineRule="auto"/>
        <w:rPr>
          <w:rFonts w:ascii="Arial Nova" w:hAnsi="Arial Nova" w:cstheme="minorHAnsi"/>
          <w:lang w:eastAsia="x-none"/>
        </w:rPr>
      </w:pPr>
    </w:p>
    <w:p w:rsidR="008A39B6" w:rsidRPr="003E6D9C" w:rsidP="005F100C" w14:paraId="11CAA16A"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information collection </w:t>
      </w:r>
    </w:p>
    <w:p w:rsidR="00CE1018" w:rsidRPr="00CE1018" w:rsidP="005F100C" w14:paraId="259F1E26" w14:textId="4F9303FD">
      <w:pPr>
        <w:spacing w:line="276" w:lineRule="auto"/>
        <w:rPr>
          <w:rFonts w:ascii="Arial Nova" w:hAnsi="Arial Nova" w:cstheme="minorHAnsi"/>
          <w:lang w:eastAsia="x-none"/>
        </w:rPr>
      </w:pPr>
      <w:r w:rsidRPr="00CE1018">
        <w:rPr>
          <w:rFonts w:ascii="Arial Nova" w:hAnsi="Arial Nova" w:cstheme="minorHAnsi"/>
          <w:lang w:eastAsia="x-none"/>
        </w:rPr>
        <w:t xml:space="preserve">Although demographic information (e.g., </w:t>
      </w:r>
      <w:r w:rsidR="00343AB7">
        <w:rPr>
          <w:rFonts w:ascii="Arial Nova" w:hAnsi="Arial Nova" w:cstheme="minorHAnsi"/>
          <w:lang w:eastAsia="x-none"/>
        </w:rPr>
        <w:t>sex</w:t>
      </w:r>
      <w:r w:rsidRPr="00CE1018">
        <w:rPr>
          <w:rFonts w:ascii="Arial Nova" w:hAnsi="Arial Nova" w:cstheme="minorHAnsi"/>
          <w:lang w:eastAsia="x-none"/>
        </w:rPr>
        <w:t>, age, and race) may be gathered for screening or in interviews and focus group-type activities to describe an audience segment, no direct personal identifiers (e.g., full name, date of birth, address, phone number, email address, social security numbe</w:t>
      </w:r>
      <w:r w:rsidRPr="00CE1018">
        <w:rPr>
          <w:rFonts w:ascii="Arial Nova" w:hAnsi="Arial Nova" w:cstheme="minorHAnsi"/>
          <w:lang w:eastAsia="x-none"/>
        </w:rPr>
        <w:t xml:space="preserve">r, photograph, biometric information, or any other unique identifier that can be linked to an individual) will be collected or maintained. </w:t>
      </w:r>
    </w:p>
    <w:p w:rsidR="008A39B6" w:rsidRPr="00CE1018" w:rsidP="005F100C" w14:paraId="64546BF3" w14:textId="77777777">
      <w:pPr>
        <w:spacing w:line="276" w:lineRule="auto"/>
        <w:rPr>
          <w:rFonts w:ascii="Arial Nova" w:hAnsi="Arial Nova" w:cstheme="minorHAnsi"/>
          <w:lang w:eastAsia="x-none"/>
        </w:rPr>
      </w:pPr>
    </w:p>
    <w:p w:rsidR="008A39B6" w:rsidRPr="003E6D9C" w:rsidP="005F100C" w14:paraId="15BE2272"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Quantitative data collections</w:t>
      </w:r>
    </w:p>
    <w:p w:rsidR="00695CC2" w:rsidP="005F100C" w14:paraId="3A3C28BC" w14:textId="77777777">
      <w:pPr>
        <w:spacing w:line="276" w:lineRule="auto"/>
        <w:rPr>
          <w:rFonts w:ascii="Arial Nova" w:hAnsi="Arial Nova" w:cstheme="minorHAnsi"/>
          <w:lang w:eastAsia="x-none"/>
        </w:rPr>
      </w:pPr>
    </w:p>
    <w:p w:rsidR="00695CC2" w:rsidRPr="00E312D4" w:rsidP="00695CC2" w14:paraId="30F38C6A"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Privacy protections for quantitative data collections</w:t>
      </w:r>
    </w:p>
    <w:p w:rsidR="00695CC2" w:rsidRPr="00CE1018" w:rsidP="00695CC2" w14:paraId="0A5E895D" w14:textId="77777777">
      <w:pPr>
        <w:spacing w:line="276" w:lineRule="auto"/>
        <w:rPr>
          <w:rFonts w:ascii="Arial Nova" w:hAnsi="Arial Nova" w:cstheme="minorHAnsi"/>
          <w:lang w:eastAsia="x-none"/>
        </w:rPr>
      </w:pPr>
      <w:r w:rsidRPr="00695CC2">
        <w:rPr>
          <w:rFonts w:ascii="Arial Nova" w:hAnsi="Arial Nova" w:cstheme="minorHAnsi"/>
          <w:lang w:eastAsia="x-none"/>
        </w:rPr>
        <w:t xml:space="preserve">Respondents will be informed that their participation in the quantitative data collections is entirely voluntary. Although e-mail addresses are used to invite users to participate in the data collection, these data come from existing </w:t>
      </w:r>
      <w:r w:rsidRPr="00695CC2" w:rsidR="00E312D4">
        <w:rPr>
          <w:rFonts w:ascii="Arial Nova" w:hAnsi="Arial Nova" w:cstheme="minorHAnsi"/>
          <w:lang w:eastAsia="x-none"/>
        </w:rPr>
        <w:t>third-party</w:t>
      </w:r>
      <w:r w:rsidRPr="00695CC2">
        <w:rPr>
          <w:rFonts w:ascii="Arial Nova" w:hAnsi="Arial Nova" w:cstheme="minorHAnsi"/>
          <w:lang w:eastAsia="x-none"/>
        </w:rPr>
        <w:t xml:space="preserve"> panelist d</w:t>
      </w:r>
      <w:r w:rsidRPr="00695CC2">
        <w:rPr>
          <w:rFonts w:ascii="Arial Nova" w:hAnsi="Arial Nova" w:cstheme="minorHAnsi"/>
          <w:lang w:eastAsia="x-none"/>
        </w:rPr>
        <w:t xml:space="preserve">atabases participants have opted into and are protected in accordance with the panel’s privacy policy (Attachment </w:t>
      </w:r>
      <w:r w:rsidR="00243A54">
        <w:rPr>
          <w:rFonts w:ascii="Arial Nova" w:hAnsi="Arial Nova" w:cstheme="minorHAnsi"/>
          <w:lang w:eastAsia="x-none"/>
        </w:rPr>
        <w:t>6</w:t>
      </w:r>
      <w:r w:rsidRPr="00695CC2">
        <w:rPr>
          <w:rFonts w:ascii="Arial Nova" w:hAnsi="Arial Nova" w:cstheme="minorHAnsi"/>
          <w:lang w:eastAsia="x-none"/>
        </w:rPr>
        <w:t xml:space="preserve">). To protect the privacy of respondents who agree to participate, they will be given the opportunity to decline to respond to any questions </w:t>
      </w:r>
      <w:r w:rsidRPr="00695CC2">
        <w:rPr>
          <w:rFonts w:ascii="Arial Nova" w:hAnsi="Arial Nova" w:cstheme="minorHAnsi"/>
          <w:lang w:eastAsia="x-none"/>
        </w:rPr>
        <w:t>they don’t feel comfortable answering. There will be no penalty associated with declining to answer questions. PII is never elicited during quantitative data collections. Quantitative data collections will not use cookies or other means of collecting infor</w:t>
      </w:r>
      <w:r w:rsidRPr="00695CC2">
        <w:rPr>
          <w:rFonts w:ascii="Arial Nova" w:hAnsi="Arial Nova" w:cstheme="minorHAnsi"/>
          <w:lang w:eastAsia="x-none"/>
        </w:rPr>
        <w:t>mation outside those explicitly agreed to during the informed consent process participants complete prior to the data collection.</w:t>
      </w:r>
    </w:p>
    <w:p w:rsidR="00695CC2" w:rsidP="005F100C" w14:paraId="67C879DE" w14:textId="77777777">
      <w:pPr>
        <w:spacing w:line="276" w:lineRule="auto"/>
        <w:rPr>
          <w:rFonts w:ascii="Arial Nova" w:hAnsi="Arial Nova" w:cstheme="minorHAnsi"/>
          <w:lang w:eastAsia="x-none"/>
        </w:rPr>
      </w:pPr>
    </w:p>
    <w:p w:rsidR="00695CC2" w:rsidRPr="00E312D4" w:rsidP="005F100C" w14:paraId="10F825A0"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Confidentiality protections for quantitative data collections</w:t>
      </w:r>
    </w:p>
    <w:p w:rsidR="00CE1018" w:rsidRPr="00CE1018" w:rsidP="005F100C" w14:paraId="1AC814CA" w14:textId="77777777">
      <w:pPr>
        <w:spacing w:line="276" w:lineRule="auto"/>
        <w:rPr>
          <w:rFonts w:ascii="Arial Nova" w:hAnsi="Arial Nova" w:cstheme="minorHAnsi"/>
          <w:lang w:eastAsia="x-none"/>
        </w:rPr>
      </w:pPr>
      <w:r w:rsidRPr="00CE1018">
        <w:rPr>
          <w:rFonts w:ascii="Arial Nova" w:hAnsi="Arial Nova" w:cstheme="minorHAnsi"/>
          <w:lang w:eastAsia="x-none"/>
        </w:rPr>
        <w:t>For online surveys, online data collections will conform to fed</w:t>
      </w:r>
      <w:r w:rsidRPr="00CE1018">
        <w:rPr>
          <w:rFonts w:ascii="Arial Nova" w:hAnsi="Arial Nova" w:cstheme="minorHAnsi"/>
          <w:lang w:eastAsia="x-none"/>
        </w:rPr>
        <w:t>eral regulations [the Hawkins-Stafford Amendments of 1988 (P.L. 100-297) and the Computer Security Act of 1987] and will be required to comply with comprehensive, written plans to maintain security. Information will be collected electronically through self</w:t>
      </w:r>
      <w:r w:rsidRPr="00CE1018">
        <w:rPr>
          <w:rFonts w:ascii="Arial Nova" w:hAnsi="Arial Nova" w:cstheme="minorHAnsi"/>
          <w:lang w:eastAsia="x-none"/>
        </w:rPr>
        <w:t>-administered survey instruments hosted in secure, online, web-based data collection systems. Data will be separated from any identifying information, including the email address of the respondent. There is no online content being planned that will be dire</w:t>
      </w:r>
      <w:r w:rsidRPr="00CE1018">
        <w:rPr>
          <w:rFonts w:ascii="Arial Nova" w:hAnsi="Arial Nova" w:cstheme="minorHAnsi"/>
          <w:lang w:eastAsia="x-none"/>
        </w:rPr>
        <w:t>cted at children younger than 13 years of age.</w:t>
      </w:r>
    </w:p>
    <w:p w:rsidR="008A39B6" w:rsidRPr="00CE1018" w:rsidP="005F100C" w14:paraId="08D23C90" w14:textId="77777777">
      <w:pPr>
        <w:spacing w:line="276" w:lineRule="auto"/>
        <w:rPr>
          <w:rFonts w:ascii="Arial Nova" w:hAnsi="Arial Nova" w:cstheme="minorHAnsi"/>
          <w:lang w:eastAsia="x-none"/>
        </w:rPr>
      </w:pPr>
    </w:p>
    <w:p w:rsidR="00CE1018" w:rsidRPr="00CE1018" w:rsidP="005F100C" w14:paraId="046A161D" w14:textId="77777777">
      <w:pPr>
        <w:spacing w:line="276" w:lineRule="auto"/>
        <w:rPr>
          <w:rFonts w:ascii="Arial Nova" w:hAnsi="Arial Nova" w:cstheme="minorHAnsi"/>
          <w:lang w:eastAsia="x-none"/>
        </w:rPr>
      </w:pPr>
      <w:r>
        <w:rPr>
          <w:rFonts w:ascii="Arial Nova" w:hAnsi="Arial Nova" w:cstheme="minorHAnsi"/>
          <w:lang w:eastAsia="x-none"/>
        </w:rPr>
        <w:t>Through provision of the privacy policy link noted above (Attachment 6) and applicable consent procedures (see Section A11), r</w:t>
      </w:r>
      <w:r w:rsidRPr="00CE1018" w:rsidR="008A39B6">
        <w:rPr>
          <w:rFonts w:ascii="Arial Nova" w:hAnsi="Arial Nova" w:cstheme="minorHAnsi"/>
          <w:lang w:eastAsia="x-none"/>
        </w:rPr>
        <w:t xml:space="preserve">espondents will be informed prior to participation that </w:t>
      </w:r>
      <w:r w:rsidRPr="00CE1018" w:rsidR="008A39B6">
        <w:rPr>
          <w:rFonts w:ascii="Arial Nova" w:hAnsi="Arial Nova" w:cstheme="minorHAnsi"/>
          <w:lang w:eastAsia="x-none"/>
        </w:rPr>
        <w:t xml:space="preserve">their responses will be treated in a secure manner. All data provided by respondents will be treated in a secure manner and will not be disclosed, unless compelled by law. All electronic file transmissions will be encrypted and password protected. </w:t>
      </w:r>
    </w:p>
    <w:p w:rsidR="008A39B6" w:rsidRPr="00CE1018" w:rsidP="005F100C" w14:paraId="74DF1A0B" w14:textId="77777777">
      <w:pPr>
        <w:spacing w:line="276" w:lineRule="auto"/>
        <w:rPr>
          <w:rFonts w:ascii="Arial Nova" w:hAnsi="Arial Nova" w:cstheme="minorHAnsi"/>
          <w:lang w:eastAsia="x-none"/>
        </w:rPr>
      </w:pPr>
    </w:p>
    <w:p w:rsidR="008A39B6" w:rsidRPr="00CE1018" w:rsidP="005F100C" w14:paraId="2DF70B16" w14:textId="77777777">
      <w:pPr>
        <w:spacing w:line="276" w:lineRule="auto"/>
        <w:rPr>
          <w:rFonts w:ascii="Arial Nova" w:hAnsi="Arial Nova" w:cstheme="minorHAnsi"/>
          <w:lang w:eastAsia="x-none"/>
        </w:rPr>
      </w:pPr>
      <w:r w:rsidRPr="00CE1018">
        <w:rPr>
          <w:rFonts w:ascii="Arial Nova" w:hAnsi="Arial Nova" w:cstheme="minorHAnsi"/>
          <w:lang w:eastAsia="x-none"/>
        </w:rPr>
        <w:t>Best practices for online web-ba</w:t>
      </w:r>
      <w:r w:rsidRPr="00CE1018">
        <w:rPr>
          <w:rFonts w:ascii="Arial Nova" w:hAnsi="Arial Nova" w:cstheme="minorHAnsi"/>
          <w:lang w:eastAsia="x-none"/>
        </w:rPr>
        <w:t>sed data collection systems and in-person focus groups submitted under 0920-0910 include the following: Surveys sent electronically from web-based data collection systems will be sent to an email address solely dedicated for the information collection proj</w:t>
      </w:r>
      <w:r w:rsidRPr="00CE1018">
        <w:rPr>
          <w:rFonts w:ascii="Arial Nova" w:hAnsi="Arial Nova" w:cstheme="minorHAnsi"/>
          <w:lang w:eastAsia="x-none"/>
        </w:rPr>
        <w:t>ect. When respondents begin a survey, all identifiable links to the existing system of records are severed. CDC will not have direct contact with or access to any PII about participants during this stage. Online data collection systems have access to the e</w:t>
      </w:r>
      <w:r w:rsidRPr="00CE1018">
        <w:rPr>
          <w:rFonts w:ascii="Arial Nova" w:hAnsi="Arial Nova" w:cstheme="minorHAnsi"/>
          <w:lang w:eastAsia="x-none"/>
        </w:rPr>
        <w:t>mail address of panel subscribers, but no match back is possible with the survey response data. Participants will respond anonymously and PII will be used only to generate a sample. IP addresses will not be stored by the online survey system, and no first-</w:t>
      </w:r>
      <w:r w:rsidRPr="00CE1018">
        <w:rPr>
          <w:rFonts w:ascii="Arial Nova" w:hAnsi="Arial Nova" w:cstheme="minorHAnsi"/>
          <w:lang w:eastAsia="x-none"/>
        </w:rPr>
        <w:t xml:space="preserve">or third-party cookies will be stored during survey completion. No link between the respondent’s email and the specific survey is made after the potential respondent clicks on the link to start the survey. </w:t>
      </w:r>
    </w:p>
    <w:p w:rsidR="008A39B6" w:rsidRPr="00CE1018" w:rsidP="005F100C" w14:paraId="797124D4" w14:textId="44ACBAE2">
      <w:pPr>
        <w:spacing w:line="276" w:lineRule="auto"/>
        <w:rPr>
          <w:rFonts w:ascii="Arial Nova" w:hAnsi="Arial Nova" w:cstheme="minorHAnsi"/>
          <w:lang w:eastAsia="x-none"/>
        </w:rPr>
      </w:pPr>
      <w:r w:rsidRPr="00CE1018">
        <w:rPr>
          <w:rFonts w:ascii="Arial Nova" w:hAnsi="Arial Nova" w:cstheme="minorHAnsi"/>
          <w:lang w:eastAsia="x-none"/>
        </w:rPr>
        <w:t>For telephone surveys, although demographic infor</w:t>
      </w:r>
      <w:r w:rsidRPr="00CE1018">
        <w:rPr>
          <w:rFonts w:ascii="Arial Nova" w:hAnsi="Arial Nova" w:cstheme="minorHAnsi"/>
          <w:lang w:eastAsia="x-none"/>
        </w:rPr>
        <w:t xml:space="preserve">mation (e.g., age, </w:t>
      </w:r>
      <w:r w:rsidR="00343AB7">
        <w:rPr>
          <w:rFonts w:ascii="Arial Nova" w:hAnsi="Arial Nova" w:cstheme="minorHAnsi"/>
          <w:lang w:eastAsia="x-none"/>
        </w:rPr>
        <w:t>sex</w:t>
      </w:r>
      <w:r w:rsidRPr="00CE1018">
        <w:rPr>
          <w:rFonts w:ascii="Arial Nova" w:hAnsi="Arial Nova" w:cstheme="minorHAnsi"/>
          <w:lang w:eastAsia="x-none"/>
        </w:rPr>
        <w:t>, race/ethnicity, household income, educational attainment, etc.) may be collected, no direct personal identifiers (e.g., full name, social security number, etc.), including phone numbers, will be maintained after a response has be</w:t>
      </w:r>
      <w:r w:rsidRPr="00CE1018">
        <w:rPr>
          <w:rFonts w:ascii="Arial Nova" w:hAnsi="Arial Nova" w:cstheme="minorHAnsi"/>
          <w:lang w:eastAsia="x-none"/>
        </w:rPr>
        <w:t>en given. Data will be stored on password protected computers only accessible to study personnel.</w:t>
      </w:r>
      <w:r w:rsidR="00695CC2">
        <w:rPr>
          <w:rFonts w:ascii="Arial Nova" w:hAnsi="Arial Nova" w:cstheme="minorHAnsi"/>
          <w:lang w:eastAsia="x-none"/>
        </w:rPr>
        <w:t xml:space="preserve"> </w:t>
      </w:r>
    </w:p>
    <w:p w:rsidR="00695CC2" w:rsidP="005F100C" w14:paraId="049ED10E" w14:textId="77777777">
      <w:pPr>
        <w:spacing w:line="276" w:lineRule="auto"/>
        <w:rPr>
          <w:rFonts w:ascii="Arial Nova" w:hAnsi="Arial Nova" w:cstheme="minorHAnsi"/>
          <w:u w:val="single"/>
          <w:lang w:eastAsia="x-none"/>
        </w:rPr>
      </w:pPr>
    </w:p>
    <w:p w:rsidR="008A39B6" w:rsidP="005F100C" w14:paraId="5BC6B943"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Qualitative data collections</w:t>
      </w:r>
    </w:p>
    <w:p w:rsidR="00695CC2" w:rsidP="005F100C" w14:paraId="71BE1B80" w14:textId="77777777">
      <w:pPr>
        <w:spacing w:line="276" w:lineRule="auto"/>
        <w:rPr>
          <w:rFonts w:ascii="Arial Nova" w:hAnsi="Arial Nova" w:cstheme="minorHAnsi"/>
          <w:u w:val="single"/>
          <w:lang w:eastAsia="x-none"/>
        </w:rPr>
      </w:pPr>
    </w:p>
    <w:p w:rsidR="00695CC2" w:rsidRPr="00E312D4" w:rsidP="00695CC2" w14:paraId="2531E760"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Privacy protections for qualitative data collections</w:t>
      </w:r>
    </w:p>
    <w:p w:rsidR="00695CC2" w:rsidRPr="00CE1018" w:rsidP="00695CC2" w14:paraId="06861AAE" w14:textId="77777777">
      <w:pPr>
        <w:spacing w:line="276" w:lineRule="auto"/>
        <w:rPr>
          <w:rFonts w:ascii="Arial Nova" w:hAnsi="Arial Nova" w:cstheme="minorHAnsi"/>
          <w:lang w:eastAsia="x-none"/>
        </w:rPr>
      </w:pPr>
      <w:r w:rsidRPr="00695CC2">
        <w:rPr>
          <w:rFonts w:ascii="Arial Nova" w:hAnsi="Arial Nova" w:cstheme="minorHAnsi"/>
          <w:lang w:eastAsia="x-none"/>
        </w:rPr>
        <w:t xml:space="preserve">Respondents will be informed that their participation in the </w:t>
      </w:r>
      <w:r w:rsidRPr="00695CC2">
        <w:rPr>
          <w:rFonts w:ascii="Arial Nova" w:hAnsi="Arial Nova" w:cstheme="minorHAnsi"/>
          <w:lang w:eastAsia="x-none"/>
        </w:rPr>
        <w:t>qualitative data collections is entirely voluntary. Although e-mail addresses or other forms of contact information (e.g.</w:t>
      </w:r>
      <w:r w:rsidR="008E07BB">
        <w:rPr>
          <w:rFonts w:ascii="Arial Nova" w:hAnsi="Arial Nova" w:cstheme="minorHAnsi"/>
          <w:lang w:eastAsia="x-none"/>
        </w:rPr>
        <w:t>,</w:t>
      </w:r>
      <w:r w:rsidRPr="00695CC2">
        <w:rPr>
          <w:rFonts w:ascii="Arial Nova" w:hAnsi="Arial Nova" w:cstheme="minorHAnsi"/>
          <w:lang w:eastAsia="x-none"/>
        </w:rPr>
        <w:t xml:space="preserve"> phone numbers) may be used to invite panelists to participate in the data collection, these data come from existing </w:t>
      </w:r>
      <w:r w:rsidRPr="00695CC2" w:rsidR="00E312D4">
        <w:rPr>
          <w:rFonts w:ascii="Arial Nova" w:hAnsi="Arial Nova" w:cstheme="minorHAnsi"/>
          <w:lang w:eastAsia="x-none"/>
        </w:rPr>
        <w:t>third-party</w:t>
      </w:r>
      <w:r w:rsidRPr="00695CC2">
        <w:rPr>
          <w:rFonts w:ascii="Arial Nova" w:hAnsi="Arial Nova" w:cstheme="minorHAnsi"/>
          <w:lang w:eastAsia="x-none"/>
        </w:rPr>
        <w:t xml:space="preserve"> panelist databases participants have opted into and are protected in accordance with the panel’s privacy policy (Attachment </w:t>
      </w:r>
      <w:r w:rsidR="00E312D4">
        <w:rPr>
          <w:rFonts w:ascii="Arial Nova" w:hAnsi="Arial Nova" w:cstheme="minorHAnsi"/>
          <w:lang w:eastAsia="x-none"/>
        </w:rPr>
        <w:t>6</w:t>
      </w:r>
      <w:r w:rsidRPr="00695CC2">
        <w:rPr>
          <w:rFonts w:ascii="Arial Nova" w:hAnsi="Arial Nova" w:cstheme="minorHAnsi"/>
          <w:lang w:eastAsia="x-none"/>
        </w:rPr>
        <w:t>).</w:t>
      </w:r>
      <w:r w:rsidRPr="00695CC2">
        <w:rPr>
          <w:rFonts w:ascii="Arial Nova" w:hAnsi="Arial Nova" w:cstheme="minorHAnsi"/>
          <w:lang w:eastAsia="x-none"/>
        </w:rPr>
        <w:t xml:space="preserve"> To protect the privacy of respondents who agree to participate, they will be given the opportunity to decline to respond to any questions they don’t feel comfortable answering. There will be no penalty associated with declining to answer questions. Qualit</w:t>
      </w:r>
      <w:r w:rsidRPr="00695CC2">
        <w:rPr>
          <w:rFonts w:ascii="Arial Nova" w:hAnsi="Arial Nova" w:cstheme="minorHAnsi"/>
          <w:lang w:eastAsia="x-none"/>
        </w:rPr>
        <w:t>ative data collections will use first names only and any PII that emerges during the data collection will be redacted from recordings and transcripts. Recordings will be destroyed in accordance with the record retention schedule detailed in the IC</w:t>
      </w:r>
      <w:r w:rsidR="00E74EAF">
        <w:rPr>
          <w:rFonts w:ascii="Arial Nova" w:hAnsi="Arial Nova" w:cstheme="minorHAnsi"/>
          <w:lang w:eastAsia="x-none"/>
        </w:rPr>
        <w:t>R</w:t>
      </w:r>
      <w:r w:rsidRPr="00695CC2">
        <w:rPr>
          <w:rFonts w:ascii="Arial Nova" w:hAnsi="Arial Nova" w:cstheme="minorHAnsi"/>
          <w:lang w:eastAsia="x-none"/>
        </w:rPr>
        <w:t>.</w:t>
      </w:r>
    </w:p>
    <w:p w:rsidR="00695CC2" w:rsidRPr="003E6D9C" w:rsidP="005F100C" w14:paraId="61BA3FA7" w14:textId="77777777">
      <w:pPr>
        <w:spacing w:line="276" w:lineRule="auto"/>
        <w:rPr>
          <w:rFonts w:ascii="Arial Nova" w:hAnsi="Arial Nova" w:cstheme="minorHAnsi"/>
          <w:u w:val="single"/>
          <w:lang w:eastAsia="x-none"/>
        </w:rPr>
      </w:pPr>
    </w:p>
    <w:p w:rsidR="00695CC2" w:rsidRPr="00E312D4" w:rsidP="00695CC2" w14:paraId="4128DD95" w14:textId="77777777">
      <w:pPr>
        <w:spacing w:line="276" w:lineRule="auto"/>
        <w:rPr>
          <w:rFonts w:ascii="Arial Nova" w:hAnsi="Arial Nova" w:cstheme="minorHAnsi"/>
          <w:u w:val="single"/>
          <w:lang w:eastAsia="x-none"/>
        </w:rPr>
      </w:pPr>
      <w:r w:rsidRPr="00E312D4">
        <w:rPr>
          <w:rFonts w:ascii="Arial Nova" w:hAnsi="Arial Nova" w:cstheme="minorHAnsi"/>
          <w:u w:val="single"/>
          <w:lang w:eastAsia="x-none"/>
        </w:rPr>
        <w:t>Confi</w:t>
      </w:r>
      <w:r w:rsidRPr="00E312D4">
        <w:rPr>
          <w:rFonts w:ascii="Arial Nova" w:hAnsi="Arial Nova" w:cstheme="minorHAnsi"/>
          <w:u w:val="single"/>
          <w:lang w:eastAsia="x-none"/>
        </w:rPr>
        <w:t>dentiality protections for qualitative data collections</w:t>
      </w:r>
    </w:p>
    <w:p w:rsidR="00695CC2" w:rsidRPr="00CE1018" w:rsidP="00695CC2" w14:paraId="57C976E4" w14:textId="77777777">
      <w:pPr>
        <w:spacing w:line="276" w:lineRule="auto"/>
        <w:rPr>
          <w:rFonts w:ascii="Arial Nova" w:hAnsi="Arial Nova" w:cstheme="minorHAnsi"/>
          <w:lang w:eastAsia="x-none"/>
        </w:rPr>
      </w:pPr>
      <w:r w:rsidRPr="00CE1018">
        <w:rPr>
          <w:rFonts w:ascii="Arial Nova" w:hAnsi="Arial Nova" w:cstheme="minorHAnsi"/>
          <w:lang w:eastAsia="x-none"/>
        </w:rPr>
        <w:t xml:space="preserve">During qualitative data collection (i.e., </w:t>
      </w:r>
      <w:r w:rsidR="00CF7FB3">
        <w:rPr>
          <w:rFonts w:ascii="Arial Nova" w:hAnsi="Arial Nova" w:cstheme="minorHAnsi"/>
          <w:lang w:eastAsia="x-none"/>
        </w:rPr>
        <w:t xml:space="preserve">online and </w:t>
      </w:r>
      <w:r w:rsidRPr="00CE1018">
        <w:rPr>
          <w:rFonts w:ascii="Arial Nova" w:hAnsi="Arial Nova" w:cstheme="minorHAnsi"/>
          <w:lang w:eastAsia="x-none"/>
        </w:rPr>
        <w:t>in-person focus groups), focus group facilities will recruit respondents using their own respondent panels. The identifiable information about pane</w:t>
      </w:r>
      <w:r w:rsidRPr="00CE1018">
        <w:rPr>
          <w:rFonts w:ascii="Arial Nova" w:hAnsi="Arial Nova" w:cstheme="minorHAnsi"/>
          <w:lang w:eastAsia="x-none"/>
        </w:rPr>
        <w:t xml:space="preserve">lists is maintained in proprietary records systems of the focus group </w:t>
      </w:r>
      <w:r w:rsidRPr="00CE1018">
        <w:rPr>
          <w:rFonts w:ascii="Arial Nova" w:hAnsi="Arial Nova" w:cstheme="minorHAnsi"/>
          <w:lang w:eastAsia="x-none"/>
        </w:rPr>
        <w:t>facilities and is not released. Neither CDC nor the data collection contractors will have access to participant’s PII at any point. Although demographic information (e.g., age) can be co</w:t>
      </w:r>
      <w:r w:rsidRPr="00CE1018">
        <w:rPr>
          <w:rFonts w:ascii="Arial Nova" w:hAnsi="Arial Nova" w:cstheme="minorHAnsi"/>
          <w:lang w:eastAsia="x-none"/>
        </w:rPr>
        <w:t xml:space="preserve">nfirmed through the use of a pre-focus group questionnaire, no direct personal identifiers (e.g., name, phone number, social security number, etc.) will be collected or maintained as part of a pre-focus group questionnaire or during the focus groups. Last </w:t>
      </w:r>
      <w:r w:rsidRPr="00CE1018">
        <w:rPr>
          <w:rFonts w:ascii="Arial Nova" w:hAnsi="Arial Nova" w:cstheme="minorHAnsi"/>
          <w:lang w:eastAsia="x-none"/>
        </w:rPr>
        <w:t>names will not be used during group discussions. Any PII disclosed during focus groups will be redacted from transcripts and recordings. All information that is collected from pre-focus group questionnaire</w:t>
      </w:r>
      <w:r w:rsidRPr="00CE1018" w:rsidR="00451496">
        <w:rPr>
          <w:rFonts w:ascii="Arial Nova" w:hAnsi="Arial Nova" w:cstheme="minorHAnsi"/>
          <w:lang w:eastAsia="x-none"/>
        </w:rPr>
        <w:t>s</w:t>
      </w:r>
      <w:r w:rsidRPr="00CE1018">
        <w:rPr>
          <w:rFonts w:ascii="Arial Nova" w:hAnsi="Arial Nova" w:cstheme="minorHAnsi"/>
          <w:lang w:eastAsia="x-none"/>
        </w:rPr>
        <w:t xml:space="preserve"> or during the focus group will be immediately ent</w:t>
      </w:r>
      <w:r w:rsidRPr="00CE1018">
        <w:rPr>
          <w:rFonts w:ascii="Arial Nova" w:hAnsi="Arial Nova" w:cstheme="minorHAnsi"/>
          <w:lang w:eastAsia="x-none"/>
        </w:rPr>
        <w:t>ered into a password-protected database, then all paper copies will be shredded and disposed of the same day. The originals entered into the database will not be shared with CDC until de-identified, with any PII removed. Focus groups will be streamed throu</w:t>
      </w:r>
      <w:r w:rsidRPr="00CE1018">
        <w:rPr>
          <w:rFonts w:ascii="Arial Nova" w:hAnsi="Arial Nova" w:cstheme="minorHAnsi"/>
          <w:lang w:eastAsia="x-none"/>
        </w:rPr>
        <w:t>gh an encrypted and password protected streaming service which ensure that only study personnel can access the data. Recordings and transcripts will be stored in a secure environment.</w:t>
      </w:r>
      <w:r>
        <w:rPr>
          <w:rFonts w:ascii="Arial Nova" w:hAnsi="Arial Nova" w:cstheme="minorHAnsi"/>
          <w:lang w:eastAsia="x-none"/>
        </w:rPr>
        <w:t xml:space="preserve"> </w:t>
      </w:r>
    </w:p>
    <w:p w:rsidR="008A39B6" w:rsidRPr="00CE1018" w:rsidP="005F100C" w14:paraId="66E2F9E5" w14:textId="77777777">
      <w:pPr>
        <w:spacing w:line="276" w:lineRule="auto"/>
        <w:rPr>
          <w:rFonts w:ascii="Arial Nova" w:hAnsi="Arial Nova" w:cstheme="minorHAnsi"/>
          <w:lang w:eastAsia="x-none"/>
        </w:rPr>
      </w:pPr>
    </w:p>
    <w:p w:rsidR="008A39B6" w:rsidRPr="003E6D9C" w:rsidP="005F100C" w14:paraId="2C99A3B4"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Overview of how information will be shared and for what purpose</w:t>
      </w:r>
    </w:p>
    <w:p w:rsidR="00CE1018" w:rsidRPr="00CE1018" w:rsidP="005F100C" w14:paraId="1D29FE3E" w14:textId="77777777">
      <w:pPr>
        <w:spacing w:line="276" w:lineRule="auto"/>
        <w:rPr>
          <w:rFonts w:ascii="Arial Nova" w:hAnsi="Arial Nova" w:cstheme="minorHAnsi"/>
          <w:lang w:eastAsia="x-none"/>
        </w:rPr>
      </w:pPr>
      <w:r w:rsidRPr="00CE1018">
        <w:rPr>
          <w:rFonts w:ascii="Arial Nova" w:hAnsi="Arial Nova" w:cstheme="minorHAnsi"/>
          <w:lang w:eastAsia="x-none"/>
        </w:rPr>
        <w:t>Information will be collected and evaluated by CDC personnel and/or CDC’s data collection contractors. CDC will collaborate with its data collection contractors on instrument development, analysis, interpretation, and implementation of the results from the</w:t>
      </w:r>
      <w:r w:rsidRPr="00CE1018">
        <w:rPr>
          <w:rFonts w:ascii="Arial Nova" w:hAnsi="Arial Nova" w:cstheme="minorHAnsi"/>
          <w:lang w:eastAsia="x-none"/>
        </w:rPr>
        <w:t xml:space="preserve"> data. CDC will not have direct contact with participants nor will CDC have access to any personal identifying information about the panelists. The data collection contractors, in collaboration with CDC, plan to analyze data on measures such as perceived e</w:t>
      </w:r>
      <w:r w:rsidRPr="00CE1018">
        <w:rPr>
          <w:rFonts w:ascii="Arial Nova" w:hAnsi="Arial Nova" w:cstheme="minorHAnsi"/>
          <w:lang w:eastAsia="x-none"/>
        </w:rPr>
        <w:t>ffectiveness, comprehension, and believability of the tested advertisements, as well as demographic characteristics, such as state of residence, and smoking status.</w:t>
      </w:r>
    </w:p>
    <w:p w:rsidR="008A39B6" w:rsidRPr="00CE1018" w:rsidP="005F100C" w14:paraId="6F0B5FCC" w14:textId="77777777">
      <w:pPr>
        <w:spacing w:line="276" w:lineRule="auto"/>
        <w:rPr>
          <w:rFonts w:ascii="Arial Nova" w:hAnsi="Arial Nova" w:cstheme="minorHAnsi"/>
          <w:lang w:eastAsia="x-none"/>
        </w:rPr>
      </w:pPr>
    </w:p>
    <w:p w:rsidR="008A39B6" w:rsidRPr="003E6D9C" w:rsidP="005F100C" w14:paraId="2266F5B2"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voluntary participation </w:t>
      </w:r>
    </w:p>
    <w:p w:rsidR="00CE1018" w:rsidRPr="00CE1018" w:rsidP="005F100C" w14:paraId="62EC6662" w14:textId="77777777">
      <w:pPr>
        <w:spacing w:line="276" w:lineRule="auto"/>
        <w:rPr>
          <w:rFonts w:ascii="Arial Nova" w:hAnsi="Arial Nova" w:cstheme="minorHAnsi"/>
          <w:lang w:eastAsia="x-none"/>
        </w:rPr>
      </w:pPr>
      <w:r w:rsidRPr="00CE1018">
        <w:rPr>
          <w:rFonts w:ascii="Arial Nova" w:hAnsi="Arial Nova" w:cstheme="minorHAnsi"/>
          <w:lang w:eastAsia="x-none"/>
        </w:rPr>
        <w:t>Independent of the data collection system, all potent</w:t>
      </w:r>
      <w:r w:rsidRPr="00CE1018">
        <w:rPr>
          <w:rFonts w:ascii="Arial Nova" w:hAnsi="Arial Nova" w:cstheme="minorHAnsi"/>
          <w:lang w:eastAsia="x-none"/>
        </w:rPr>
        <w:t>ial respondents will be advised of the nature of the activity, the length of time it will require, and that participation is voluntary. The appropriate advisements on voluntary participation will also be provided to respondents, generally during the recrui</w:t>
      </w:r>
      <w:r w:rsidRPr="00CE1018">
        <w:rPr>
          <w:rFonts w:ascii="Arial Nova" w:hAnsi="Arial Nova" w:cstheme="minorHAnsi"/>
          <w:lang w:eastAsia="x-none"/>
        </w:rPr>
        <w:t xml:space="preserve">tment, consent and/or screening process (Attachment 5 includes an example Informed Consent form). These procedures conform to ethical practices for collecting data from human participants. </w:t>
      </w:r>
    </w:p>
    <w:p w:rsidR="008A39B6" w:rsidRPr="00CE1018" w:rsidP="005F100C" w14:paraId="2220AAB3" w14:textId="77777777">
      <w:pPr>
        <w:spacing w:line="276" w:lineRule="auto"/>
        <w:rPr>
          <w:rFonts w:ascii="Arial Nova" w:hAnsi="Arial Nova" w:cstheme="minorHAnsi"/>
          <w:lang w:eastAsia="x-none"/>
        </w:rPr>
      </w:pPr>
    </w:p>
    <w:p w:rsidR="008A39B6" w:rsidRPr="003E6D9C" w:rsidP="005F100C" w14:paraId="5A415A7C"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 xml:space="preserve">Overview of data security </w:t>
      </w:r>
    </w:p>
    <w:p w:rsidR="008A39B6" w:rsidRPr="00CE1018" w:rsidP="005F100C" w14:paraId="18392F80" w14:textId="77777777">
      <w:pPr>
        <w:spacing w:line="276" w:lineRule="auto"/>
        <w:rPr>
          <w:rFonts w:ascii="Arial Nova" w:hAnsi="Arial Nova" w:cstheme="minorHAnsi"/>
          <w:lang w:eastAsia="x-none"/>
        </w:rPr>
      </w:pPr>
      <w:r w:rsidRPr="00CE1018">
        <w:rPr>
          <w:rFonts w:ascii="Arial Nova" w:hAnsi="Arial Nova" w:cstheme="minorHAnsi"/>
          <w:lang w:eastAsia="x-none"/>
        </w:rPr>
        <w:t>All information will be stored on pass</w:t>
      </w:r>
      <w:r w:rsidRPr="00CE1018">
        <w:rPr>
          <w:rFonts w:ascii="Arial Nova" w:hAnsi="Arial Nova" w:cstheme="minorHAnsi"/>
          <w:lang w:eastAsia="x-none"/>
        </w:rPr>
        <w:t xml:space="preserve">word-protected databases to which only contractors working on a project have access. All information that is collected from paper pre-focus group questionnaires or during the focus group will be immediately entered into a password-protected database, then </w:t>
      </w:r>
      <w:r w:rsidRPr="00CE1018">
        <w:rPr>
          <w:rFonts w:ascii="Arial Nova" w:hAnsi="Arial Nova" w:cstheme="minorHAnsi"/>
          <w:lang w:eastAsia="x-none"/>
        </w:rPr>
        <w:t xml:space="preserve">all paper copies will be shredded and disposed of the same day. </w:t>
      </w:r>
    </w:p>
    <w:p w:rsidR="00643C52" w:rsidRPr="004F51D9" w:rsidP="005F100C" w14:paraId="64DFFCEB" w14:textId="77777777">
      <w:pPr>
        <w:spacing w:line="276" w:lineRule="auto"/>
        <w:rPr>
          <w:rFonts w:ascii="Arial Nova" w:hAnsi="Arial Nova" w:cstheme="minorHAnsi"/>
          <w:lang w:eastAsia="x-none"/>
        </w:rPr>
      </w:pPr>
      <w:r w:rsidRPr="00CE1018">
        <w:rPr>
          <w:rFonts w:ascii="Arial Nova" w:hAnsi="Arial Nova" w:cstheme="minorHAnsi"/>
          <w:lang w:eastAsia="x-none"/>
        </w:rPr>
        <w:t>CDC contractors will keep the data in non-aggregate form for six months after information collection has been completed, and then the respondent-level data will be deleted from the password-p</w:t>
      </w:r>
      <w:r w:rsidRPr="00CE1018">
        <w:rPr>
          <w:rFonts w:ascii="Arial Nova" w:hAnsi="Arial Nova" w:cstheme="minorHAnsi"/>
          <w:lang w:eastAsia="x-none"/>
        </w:rPr>
        <w:t xml:space="preserve">rotected databases. Contractors will provide CDC with de-identified data, to be </w:t>
      </w:r>
      <w:r w:rsidRPr="00CE1018">
        <w:rPr>
          <w:rFonts w:ascii="Arial Nova" w:hAnsi="Arial Nova" w:cstheme="minorHAnsi"/>
          <w:lang w:eastAsia="x-none"/>
        </w:rPr>
        <w:t>used for analyses. Only CDC and contractors involved in data analysis will have access to the data. CDC will handle the de-identified data in accordance with the record control</w:t>
      </w:r>
      <w:r w:rsidRPr="00CE1018">
        <w:rPr>
          <w:rFonts w:ascii="Arial Nova" w:hAnsi="Arial Nova" w:cstheme="minorHAnsi"/>
          <w:lang w:eastAsia="x-none"/>
        </w:rPr>
        <w:t xml:space="preserve"> schedule (maintained at least six years, but no longer than ten years). No desktop or laptop computer will contain any PII. CDC will retain and destroy records in accordance with the applicable CDC Records Control Schedule. Data management procedures have</w:t>
      </w:r>
      <w:r w:rsidRPr="00CE1018">
        <w:rPr>
          <w:rFonts w:ascii="Arial Nova" w:hAnsi="Arial Nova" w:cstheme="minorHAnsi"/>
          <w:lang w:eastAsia="x-none"/>
        </w:rPr>
        <w:t xml:space="preserve"> not changed since previous approval</w:t>
      </w:r>
      <w:r w:rsidRPr="004F51D9">
        <w:rPr>
          <w:rFonts w:ascii="Arial Nova" w:hAnsi="Arial Nova" w:cstheme="minorHAnsi"/>
          <w:lang w:eastAsia="x-none"/>
        </w:rPr>
        <w:t>.</w:t>
      </w:r>
    </w:p>
    <w:p w:rsidR="008A39B6" w:rsidP="005F100C" w14:paraId="7FF69EC8" w14:textId="77777777">
      <w:pPr>
        <w:pStyle w:val="Heading2"/>
        <w:spacing w:line="276" w:lineRule="auto"/>
      </w:pPr>
      <w:bookmarkStart w:id="20" w:name="_Toc131505181"/>
      <w:r w:rsidRPr="00174127">
        <w:rPr>
          <w:rFonts w:ascii="Arial Nova" w:hAnsi="Arial Nova" w:cstheme="minorHAnsi"/>
          <w:i/>
          <w:color w:val="auto"/>
          <w:sz w:val="24"/>
          <w:szCs w:val="24"/>
        </w:rPr>
        <w:t>A11. Institutional Review Board (IRB) and Justification for Sensitive Questions</w:t>
      </w:r>
      <w:bookmarkEnd w:id="20"/>
      <w:r w:rsidRPr="00174127">
        <w:rPr>
          <w:rFonts w:ascii="Arial Nova" w:hAnsi="Arial Nova" w:cstheme="minorHAnsi"/>
          <w:sz w:val="24"/>
          <w:szCs w:val="24"/>
        </w:rPr>
        <w:t xml:space="preserve"> </w:t>
      </w:r>
    </w:p>
    <w:p w:rsidR="00CE1018" w:rsidP="00CE1018" w14:paraId="33364F93" w14:textId="77777777">
      <w:pPr>
        <w:spacing w:line="276" w:lineRule="auto"/>
        <w:rPr>
          <w:rFonts w:ascii="Arial Nova" w:hAnsi="Arial Nova" w:cstheme="minorHAnsi"/>
          <w:lang w:eastAsia="x-none"/>
        </w:rPr>
      </w:pPr>
    </w:p>
    <w:p w:rsidR="008A39B6" w:rsidRPr="003E6D9C" w:rsidP="005F100C" w14:paraId="45978A0D"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IRB Approval</w:t>
      </w:r>
    </w:p>
    <w:p w:rsidR="008A39B6" w:rsidP="00CE1018" w14:paraId="6197F1C8" w14:textId="77777777">
      <w:pPr>
        <w:spacing w:line="276" w:lineRule="auto"/>
        <w:rPr>
          <w:rFonts w:ascii="Arial Nova" w:hAnsi="Arial Nova" w:cstheme="minorHAnsi"/>
          <w:lang w:eastAsia="x-none"/>
        </w:rPr>
      </w:pPr>
      <w:r w:rsidRPr="004F51D9">
        <w:rPr>
          <w:rFonts w:ascii="Arial Nova" w:hAnsi="Arial Nova" w:cstheme="minorHAnsi"/>
          <w:lang w:eastAsia="x-none"/>
        </w:rPr>
        <w:t>All procedures will be developed in accordance with federal, state, and local guidelines to ensure that the rights and priv</w:t>
      </w:r>
      <w:r w:rsidRPr="004F51D9">
        <w:rPr>
          <w:rFonts w:ascii="Arial Nova" w:hAnsi="Arial Nova" w:cstheme="minorHAnsi"/>
          <w:lang w:eastAsia="x-none"/>
        </w:rPr>
        <w:t xml:space="preserve">acy of participants are protected and maintained. When applicable, IRB approval will be obtained (see </w:t>
      </w:r>
      <w:r w:rsidRPr="00591F48">
        <w:rPr>
          <w:rFonts w:ascii="Arial Nova" w:hAnsi="Arial Nova" w:cstheme="minorHAnsi"/>
          <w:lang w:eastAsia="x-none"/>
        </w:rPr>
        <w:t>Att</w:t>
      </w:r>
      <w:r w:rsidR="00716890">
        <w:rPr>
          <w:rFonts w:ascii="Arial Nova" w:hAnsi="Arial Nova" w:cstheme="minorHAnsi"/>
          <w:lang w:eastAsia="x-none"/>
        </w:rPr>
        <w:t>achment</w:t>
      </w:r>
      <w:r w:rsidRPr="00591F48">
        <w:rPr>
          <w:rFonts w:ascii="Arial Nova" w:hAnsi="Arial Nova" w:cstheme="minorHAnsi"/>
          <w:lang w:eastAsia="x-none"/>
        </w:rPr>
        <w:t xml:space="preserve"> 4 for</w:t>
      </w:r>
      <w:r w:rsidRPr="004F51D9">
        <w:rPr>
          <w:rFonts w:ascii="Arial Nova" w:hAnsi="Arial Nova" w:cstheme="minorHAnsi"/>
          <w:lang w:eastAsia="x-none"/>
        </w:rPr>
        <w:t xml:space="preserve"> an example of an IRB approval letter). </w:t>
      </w:r>
      <w:r w:rsidR="007555D4">
        <w:rPr>
          <w:rFonts w:ascii="Arial Nova" w:hAnsi="Arial Nova" w:cstheme="minorHAnsi"/>
          <w:lang w:eastAsia="x-none"/>
        </w:rPr>
        <w:t>When applicable, r</w:t>
      </w:r>
      <w:r w:rsidRPr="007555D4" w:rsidR="007555D4">
        <w:rPr>
          <w:rFonts w:ascii="Arial Nova" w:hAnsi="Arial Nova" w:cstheme="minorHAnsi"/>
          <w:lang w:eastAsia="x-none"/>
        </w:rPr>
        <w:t>espondents will complete an IRB approved informed consent process prior to participating in a data collection. Participants will review IRB-approved information which explains that their participation is voluntary, the expected time commitment for participating, and how their privacy and confidentiality will be protected. An example informed consent document appear</w:t>
      </w:r>
      <w:r w:rsidR="008B1F32">
        <w:rPr>
          <w:rFonts w:ascii="Arial Nova" w:hAnsi="Arial Nova" w:cstheme="minorHAnsi"/>
          <w:lang w:eastAsia="x-none"/>
        </w:rPr>
        <w:t>s</w:t>
      </w:r>
      <w:r w:rsidRPr="007555D4" w:rsidR="007555D4">
        <w:rPr>
          <w:rFonts w:ascii="Arial Nova" w:hAnsi="Arial Nova" w:cstheme="minorHAnsi"/>
          <w:lang w:eastAsia="x-none"/>
        </w:rPr>
        <w:t xml:space="preserve"> in Attachment 5. </w:t>
      </w:r>
      <w:r w:rsidR="008E07BB">
        <w:rPr>
          <w:rFonts w:ascii="Arial Nova" w:hAnsi="Arial Nova" w:cstheme="minorHAnsi"/>
          <w:lang w:eastAsia="x-none"/>
        </w:rPr>
        <w:t>Depending on the specific data collection protocol for an information collection, r</w:t>
      </w:r>
      <w:r w:rsidR="007555D4">
        <w:rPr>
          <w:rFonts w:ascii="Arial Nova" w:hAnsi="Arial Nova" w:cstheme="minorHAnsi"/>
          <w:lang w:eastAsia="x-none"/>
        </w:rPr>
        <w:t xml:space="preserve">espondents may provide consent by clicking a button to indicate consent, signing a consent form, or providing verbal consent. </w:t>
      </w:r>
      <w:r w:rsidRPr="007555D4" w:rsidR="007555D4">
        <w:rPr>
          <w:rFonts w:ascii="Arial Nova" w:hAnsi="Arial Nova" w:cstheme="minorHAnsi"/>
          <w:lang w:eastAsia="x-none"/>
        </w:rPr>
        <w:t>Respondents who do not provide informed consent will be thanked for their time and will not participate in the data collection.</w:t>
      </w:r>
      <w:r w:rsidR="007555D4">
        <w:rPr>
          <w:rFonts w:ascii="Arial Nova" w:hAnsi="Arial Nova" w:cstheme="minorHAnsi"/>
          <w:lang w:eastAsia="x-none"/>
        </w:rPr>
        <w:t xml:space="preserve"> </w:t>
      </w:r>
      <w:r w:rsidRPr="004F51D9">
        <w:rPr>
          <w:rFonts w:ascii="Arial Nova" w:hAnsi="Arial Nova" w:cstheme="minorHAnsi"/>
          <w:lang w:eastAsia="x-none"/>
        </w:rPr>
        <w:t xml:space="preserve">Participants will be provided with a phone number and email for the principal investigator and for the IRB, should they </w:t>
      </w:r>
      <w:r w:rsidRPr="004F51D9">
        <w:rPr>
          <w:rFonts w:ascii="Arial Nova" w:hAnsi="Arial Nova" w:cstheme="minorHAnsi"/>
          <w:lang w:eastAsia="x-none"/>
        </w:rPr>
        <w:t xml:space="preserve">have any questions or concerns about the study or their rights as a study participant. </w:t>
      </w:r>
    </w:p>
    <w:p w:rsidR="00CE1018" w:rsidRPr="004F51D9" w:rsidP="005F100C" w14:paraId="1D23766D" w14:textId="77777777">
      <w:pPr>
        <w:spacing w:line="276" w:lineRule="auto"/>
        <w:rPr>
          <w:rFonts w:ascii="Arial Nova" w:hAnsi="Arial Nova" w:cstheme="minorHAnsi"/>
          <w:lang w:eastAsia="x-none"/>
        </w:rPr>
      </w:pPr>
    </w:p>
    <w:p w:rsidR="008A39B6" w:rsidRPr="003E6D9C" w:rsidP="005F100C" w14:paraId="7482F53B" w14:textId="77777777">
      <w:pPr>
        <w:spacing w:line="276" w:lineRule="auto"/>
        <w:rPr>
          <w:rFonts w:ascii="Arial Nova" w:hAnsi="Arial Nova" w:cstheme="minorHAnsi"/>
          <w:u w:val="single"/>
          <w:lang w:eastAsia="x-none"/>
        </w:rPr>
      </w:pPr>
      <w:r w:rsidRPr="003E6D9C">
        <w:rPr>
          <w:rFonts w:ascii="Arial Nova" w:hAnsi="Arial Nova" w:cstheme="minorHAnsi"/>
          <w:u w:val="single"/>
          <w:lang w:eastAsia="x-none"/>
        </w:rPr>
        <w:t>Sensitive Questions</w:t>
      </w:r>
    </w:p>
    <w:p w:rsidR="008A39B6" w:rsidRPr="004F51D9" w:rsidP="005F100C" w14:paraId="5F06DD21" w14:textId="77777777">
      <w:pPr>
        <w:spacing w:line="276" w:lineRule="auto"/>
        <w:rPr>
          <w:rFonts w:ascii="Arial Nova" w:hAnsi="Arial Nova" w:cstheme="minorHAnsi"/>
          <w:lang w:eastAsia="x-none"/>
        </w:rPr>
      </w:pPr>
      <w:r w:rsidRPr="004F51D9">
        <w:rPr>
          <w:rFonts w:ascii="Arial Nova" w:hAnsi="Arial Nova" w:cstheme="minorHAnsi"/>
          <w:lang w:eastAsia="x-none"/>
        </w:rPr>
        <w:t>The majority of questions asked will not be of a sensitive nature. There will be no requests for a respondent’s Social Security Number. Questions a</w:t>
      </w:r>
      <w:r w:rsidRPr="004F51D9">
        <w:rPr>
          <w:rFonts w:ascii="Arial Nova" w:hAnsi="Arial Nova" w:cstheme="minorHAnsi"/>
          <w:lang w:eastAsia="x-none"/>
        </w:rPr>
        <w:t xml:space="preserve">sked during the screening about tobacco use or non-combustible product use and some demographic information (e.g., age) could be considered sensitive, although these items would not generally be considered highly sensitive. It may also be necessary to ask </w:t>
      </w:r>
      <w:r w:rsidRPr="004F51D9">
        <w:rPr>
          <w:rFonts w:ascii="Arial Nova" w:hAnsi="Arial Nova" w:cstheme="minorHAnsi"/>
          <w:lang w:eastAsia="x-none"/>
        </w:rPr>
        <w:t xml:space="preserve">some questions considered to be sensitive in order to assess individuals’ attitudes and behaviors about tobacco products or non-combustible products and to test ads about the specific health behavior of combustible product and non-combustible product use. </w:t>
      </w:r>
      <w:r w:rsidRPr="004F51D9">
        <w:rPr>
          <w:rFonts w:ascii="Arial Nova" w:hAnsi="Arial Nova" w:cstheme="minorHAnsi"/>
          <w:lang w:eastAsia="x-none"/>
        </w:rPr>
        <w:t>These items are not generally considered highly sensitive either. To avoid fear of disclosure of potentially sensitive information, participants will be informed of the applicable privacy safeguards. Sensitive information will only be requested when necess</w:t>
      </w:r>
      <w:r w:rsidRPr="004F51D9">
        <w:rPr>
          <w:rFonts w:ascii="Arial Nova" w:hAnsi="Arial Nova" w:cstheme="minorHAnsi"/>
          <w:lang w:eastAsia="x-none"/>
        </w:rPr>
        <w:t>ary to describe sample characteristics (e.g., age). Such questions will include a “prefer not to answer” option. In addition, to avoid negative reactions to potentially sensitive questions, several steps may be taken:</w:t>
      </w:r>
    </w:p>
    <w:p w:rsidR="008A39B6" w:rsidRPr="005F100C" w:rsidP="005F100C" w14:paraId="255E2F34" w14:textId="77777777">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Respondents will be informed that they</w:t>
      </w:r>
      <w:r w:rsidRPr="005F100C">
        <w:rPr>
          <w:rFonts w:ascii="Arial Nova" w:hAnsi="Arial Nova" w:cstheme="minorHAnsi"/>
          <w:lang w:eastAsia="x-none"/>
        </w:rPr>
        <w:t xml:space="preserve"> do not have to answer any question that makes them feel uncomfortable or that they simply do not wish to answer.</w:t>
      </w:r>
    </w:p>
    <w:p w:rsidR="008A39B6" w:rsidRPr="005F100C" w:rsidP="005F100C" w14:paraId="2945AD2B" w14:textId="77777777">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Where possible, use of touch-screen methodology or other self-directed techniques will provide privacy; not having to verbalize a response may</w:t>
      </w:r>
      <w:r w:rsidRPr="005F100C">
        <w:rPr>
          <w:rFonts w:ascii="Arial Nova" w:hAnsi="Arial Nova" w:cstheme="minorHAnsi"/>
          <w:lang w:eastAsia="x-none"/>
        </w:rPr>
        <w:t xml:space="preserve"> increase comfort.</w:t>
      </w:r>
    </w:p>
    <w:p w:rsidR="008A39B6" w:rsidRPr="005F100C" w:rsidP="005F100C" w14:paraId="711104D6" w14:textId="77777777">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When such numbers are available and appropriate, participants will be provided with a phone number and email for the principal investigator and for the IRB, should they have any questions or concerns about the proposed project or their r</w:t>
      </w:r>
      <w:r w:rsidRPr="005F100C">
        <w:rPr>
          <w:rFonts w:ascii="Arial Nova" w:hAnsi="Arial Nova" w:cstheme="minorHAnsi"/>
          <w:lang w:eastAsia="x-none"/>
        </w:rPr>
        <w:t xml:space="preserve">ights as a participant. </w:t>
      </w:r>
    </w:p>
    <w:p w:rsidR="008A39B6" w:rsidRPr="005F100C" w:rsidP="005F100C" w14:paraId="34F38B1E" w14:textId="1E5535FB">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 xml:space="preserve">Interviewers will be trained to ask questions in a sensitive manner and to handle any subsequent discussion skillfully. Where appropriate, interviewers and respondents will be matched for </w:t>
      </w:r>
      <w:r w:rsidR="00343AB7">
        <w:rPr>
          <w:rFonts w:ascii="Arial Nova" w:hAnsi="Arial Nova" w:cstheme="minorHAnsi"/>
          <w:lang w:eastAsia="x-none"/>
        </w:rPr>
        <w:t>sex</w:t>
      </w:r>
      <w:r w:rsidRPr="005F100C">
        <w:rPr>
          <w:rFonts w:ascii="Arial Nova" w:hAnsi="Arial Nova" w:cstheme="minorHAnsi"/>
          <w:lang w:eastAsia="x-none"/>
        </w:rPr>
        <w:t xml:space="preserve"> and other demographic </w:t>
      </w:r>
      <w:r w:rsidRPr="005F100C">
        <w:rPr>
          <w:rFonts w:ascii="Arial Nova" w:hAnsi="Arial Nova" w:cstheme="minorHAnsi"/>
          <w:lang w:eastAsia="x-none"/>
        </w:rPr>
        <w:t>criteria (e.g., age, preferred language use).</w:t>
      </w:r>
    </w:p>
    <w:p w:rsidR="008A39B6" w:rsidRPr="005F100C" w:rsidP="005F100C" w14:paraId="7E2CBDA9" w14:textId="77777777">
      <w:pPr>
        <w:pStyle w:val="ListParagraph"/>
        <w:numPr>
          <w:ilvl w:val="0"/>
          <w:numId w:val="6"/>
        </w:numPr>
        <w:spacing w:line="276" w:lineRule="auto"/>
        <w:rPr>
          <w:rFonts w:ascii="Arial Nova" w:hAnsi="Arial Nova" w:cstheme="minorHAnsi"/>
          <w:lang w:eastAsia="x-none"/>
        </w:rPr>
      </w:pPr>
      <w:r w:rsidRPr="005F100C">
        <w:rPr>
          <w:rFonts w:ascii="Arial Nova" w:hAnsi="Arial Nova" w:cstheme="minorHAnsi"/>
          <w:lang w:eastAsia="x-none"/>
        </w:rPr>
        <w:t>If specific health information is obtained from medical professionals, informed consent will be obtained.</w:t>
      </w:r>
    </w:p>
    <w:p w:rsidR="00CE1018" w:rsidRPr="004F51D9" w:rsidP="005F100C" w14:paraId="1574EC57" w14:textId="77777777">
      <w:pPr>
        <w:spacing w:line="276" w:lineRule="auto"/>
        <w:rPr>
          <w:rFonts w:ascii="Arial Nova" w:hAnsi="Arial Nova" w:cstheme="minorHAnsi"/>
          <w:lang w:eastAsia="x-none"/>
        </w:rPr>
      </w:pPr>
    </w:p>
    <w:p w:rsidR="00E702B3" w:rsidRPr="00347B64" w:rsidP="005F100C" w14:paraId="419B8778" w14:textId="77777777">
      <w:pPr>
        <w:spacing w:line="276" w:lineRule="auto"/>
        <w:rPr>
          <w:rFonts w:ascii="Arial Nova" w:hAnsi="Arial Nova" w:cstheme="minorHAnsi"/>
          <w:color w:val="C75000"/>
          <w:lang w:eastAsia="x-none"/>
        </w:rPr>
      </w:pPr>
      <w:r w:rsidRPr="004F51D9">
        <w:rPr>
          <w:rFonts w:ascii="Arial Nova" w:hAnsi="Arial Nova" w:cstheme="minorHAnsi"/>
          <w:lang w:eastAsia="x-none"/>
        </w:rPr>
        <w:t>Sensitive information will only be requested when necessary for specific project objectives.</w:t>
      </w:r>
      <w:r w:rsidR="00F55849">
        <w:rPr>
          <w:rFonts w:ascii="Arial Nova" w:hAnsi="Arial Nova" w:cstheme="minorHAnsi"/>
          <w:lang w:eastAsia="x-none"/>
        </w:rPr>
        <w:t xml:space="preserve"> OMB race/ethnicity standards will be followed.</w:t>
      </w:r>
      <w:r w:rsidRPr="004F51D9">
        <w:rPr>
          <w:rFonts w:ascii="Arial Nova" w:hAnsi="Arial Nova" w:cstheme="minorHAnsi"/>
          <w:lang w:eastAsia="x-none"/>
        </w:rPr>
        <w:t xml:space="preserve"> </w:t>
      </w:r>
    </w:p>
    <w:p w:rsidR="00247D67" w:rsidRPr="00174127" w:rsidP="00247D67" w14:paraId="06A8D379" w14:textId="77777777">
      <w:pPr>
        <w:pStyle w:val="Heading2"/>
        <w:spacing w:line="276" w:lineRule="auto"/>
        <w:rPr>
          <w:rFonts w:ascii="Arial Nova" w:hAnsi="Arial Nova" w:cstheme="minorHAnsi"/>
          <w:i/>
          <w:color w:val="auto"/>
          <w:sz w:val="24"/>
          <w:szCs w:val="24"/>
        </w:rPr>
      </w:pPr>
      <w:bookmarkStart w:id="21" w:name="_Toc131505182"/>
      <w:r w:rsidRPr="00174127">
        <w:rPr>
          <w:rFonts w:ascii="Arial Nova" w:hAnsi="Arial Nova" w:cstheme="minorHAnsi"/>
          <w:i/>
          <w:color w:val="auto"/>
          <w:sz w:val="24"/>
          <w:szCs w:val="24"/>
        </w:rPr>
        <w:t>A12. Estimates of Annualized Burden Hours and Costs</w:t>
      </w:r>
      <w:bookmarkEnd w:id="21"/>
    </w:p>
    <w:p w:rsidR="001425F9" w:rsidRPr="00174127" w:rsidP="004C36E8" w14:paraId="15C58A5F" w14:textId="77777777">
      <w:pPr>
        <w:spacing w:line="276" w:lineRule="auto"/>
        <w:rPr>
          <w:rFonts w:ascii="Arial Nova" w:hAnsi="Arial Nova" w:cstheme="minorHAnsi"/>
          <w:color w:val="F79646" w:themeColor="accent6"/>
        </w:rPr>
      </w:pPr>
    </w:p>
    <w:p w:rsidR="00F6081C" w:rsidRPr="00A87C8F" w:rsidP="00A87C8F" w14:paraId="565A27F1" w14:textId="77777777">
      <w:pPr>
        <w:spacing w:line="276" w:lineRule="auto"/>
        <w:rPr>
          <w:rFonts w:ascii="Arial Nova" w:eastAsia="MS Mincho" w:hAnsi="Arial Nova"/>
        </w:rPr>
      </w:pPr>
      <w:r w:rsidRPr="00A87C8F">
        <w:rPr>
          <w:rFonts w:ascii="Arial Nova" w:eastAsia="MS Mincho" w:hAnsi="Arial Nova"/>
        </w:rPr>
        <w:t>Information will be collected through methods including, but not limited to:</w:t>
      </w:r>
    </w:p>
    <w:p w:rsidR="00F6081C" w:rsidRPr="005F100C" w:rsidP="005F100C" w14:paraId="5BBB22B0" w14:textId="77777777">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Screening</w:t>
      </w:r>
      <w:r w:rsidRPr="005F100C">
        <w:rPr>
          <w:rFonts w:ascii="Arial Nova" w:eastAsia="MS Mincho" w:hAnsi="Arial Nova"/>
        </w:rPr>
        <w:t xml:space="preserve"> to ensure proper selection of participants. The estimated burden is two minutes per response.</w:t>
      </w:r>
    </w:p>
    <w:p w:rsidR="00F6081C" w:rsidRPr="005F100C" w:rsidP="005F100C" w14:paraId="352EA77C" w14:textId="77777777">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In-depth interviews</w:t>
      </w:r>
      <w:r w:rsidRPr="005F100C">
        <w:rPr>
          <w:rFonts w:ascii="Arial Nova" w:eastAsia="MS Mincho" w:hAnsi="Arial Nova"/>
        </w:rPr>
        <w:t>, including interviews conducted with key informants. Interviews will be conducted in-person</w:t>
      </w:r>
      <w:r w:rsidR="00F56225">
        <w:rPr>
          <w:rFonts w:ascii="Arial Nova" w:eastAsia="MS Mincho" w:hAnsi="Arial Nova"/>
        </w:rPr>
        <w:t>, by telephone, or online</w:t>
      </w:r>
      <w:r w:rsidRPr="005F100C">
        <w:rPr>
          <w:rFonts w:ascii="Arial Nova" w:eastAsia="MS Mincho" w:hAnsi="Arial Nova"/>
        </w:rPr>
        <w:t>. The estimated burden is</w:t>
      </w:r>
      <w:r w:rsidRPr="005F100C">
        <w:rPr>
          <w:rFonts w:ascii="Arial Nova" w:eastAsia="MS Mincho" w:hAnsi="Arial Nova"/>
        </w:rPr>
        <w:t xml:space="preserve"> 60 minutes per response.</w:t>
      </w:r>
    </w:p>
    <w:p w:rsidR="00F6081C" w:rsidRPr="005F100C" w:rsidP="005F100C" w14:paraId="59DC08F3" w14:textId="77777777">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In-person/Online focus groups</w:t>
      </w:r>
      <w:r w:rsidRPr="005F100C">
        <w:rPr>
          <w:rFonts w:ascii="Arial Nova" w:eastAsia="MS Mincho" w:hAnsi="Arial Nova"/>
        </w:rPr>
        <w:t>, primarily for creative concept testing and social media concept testing. The estimated burden is 60-90 minutes per response.</w:t>
      </w:r>
    </w:p>
    <w:p w:rsidR="00F6081C" w:rsidRPr="005F100C" w:rsidP="005F100C" w14:paraId="6950485D" w14:textId="77777777">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Short surveys</w:t>
      </w:r>
      <w:r w:rsidRPr="005F100C">
        <w:rPr>
          <w:rFonts w:ascii="Arial Nova" w:eastAsia="MS Mincho" w:hAnsi="Arial Nova"/>
        </w:rPr>
        <w:t xml:space="preserve"> conducted online or through bulletin boards, for message pla</w:t>
      </w:r>
      <w:r w:rsidRPr="005F100C">
        <w:rPr>
          <w:rFonts w:ascii="Arial Nova" w:eastAsia="MS Mincho" w:hAnsi="Arial Nova"/>
        </w:rPr>
        <w:t xml:space="preserve">tform testing, message validation, rough-cut testing and final revised cut testing. The estimated burden is </w:t>
      </w:r>
      <w:r w:rsidR="00EF4889">
        <w:rPr>
          <w:rFonts w:ascii="Arial Nova" w:eastAsia="MS Mincho" w:hAnsi="Arial Nova"/>
        </w:rPr>
        <w:t>13-20</w:t>
      </w:r>
      <w:r w:rsidRPr="005F100C">
        <w:rPr>
          <w:rFonts w:ascii="Arial Nova" w:eastAsia="MS Mincho" w:hAnsi="Arial Nova"/>
        </w:rPr>
        <w:t xml:space="preserve"> minutes per response.</w:t>
      </w:r>
    </w:p>
    <w:p w:rsidR="00F6081C" w:rsidRPr="005F100C" w:rsidP="005F100C" w14:paraId="47F4FBD0" w14:textId="77777777">
      <w:pPr>
        <w:pStyle w:val="ListParagraph"/>
        <w:numPr>
          <w:ilvl w:val="0"/>
          <w:numId w:val="7"/>
        </w:numPr>
        <w:spacing w:line="276" w:lineRule="auto"/>
        <w:rPr>
          <w:rFonts w:ascii="Arial Nova" w:eastAsia="MS Mincho" w:hAnsi="Arial Nova"/>
        </w:rPr>
      </w:pPr>
      <w:r w:rsidRPr="009D2828">
        <w:rPr>
          <w:rFonts w:ascii="Arial Nova" w:eastAsia="MS Mincho" w:hAnsi="Arial Nova"/>
          <w:u w:val="single"/>
        </w:rPr>
        <w:t>Medium-length surveys</w:t>
      </w:r>
      <w:r w:rsidRPr="005F100C">
        <w:rPr>
          <w:rFonts w:ascii="Arial Nova" w:eastAsia="MS Mincho" w:hAnsi="Arial Nova"/>
        </w:rPr>
        <w:t xml:space="preserve"> conducted online for quantitative social media concept testing, and validation of advertisements a</w:t>
      </w:r>
      <w:r w:rsidRPr="005F100C">
        <w:rPr>
          <w:rFonts w:ascii="Arial Nova" w:eastAsia="MS Mincho" w:hAnsi="Arial Nova"/>
        </w:rPr>
        <w:t>nd Surgeon General Report or other health communication materials. The estimated burden is 25-40 minutes per response.</w:t>
      </w:r>
    </w:p>
    <w:p w:rsidR="00F6081C" w:rsidRPr="00A87C8F" w:rsidP="005F100C" w14:paraId="1C6D4736" w14:textId="77777777">
      <w:pPr>
        <w:rPr>
          <w:rFonts w:eastAsia="MS Mincho"/>
        </w:rPr>
      </w:pPr>
    </w:p>
    <w:p w:rsidR="009D2828" w:rsidRPr="00A87C8F" w:rsidP="00A87C8F" w14:paraId="2751A4A1" w14:textId="77777777">
      <w:pPr>
        <w:spacing w:line="276" w:lineRule="auto"/>
        <w:rPr>
          <w:rFonts w:ascii="Arial Nova" w:eastAsia="MS Mincho" w:hAnsi="Arial Nova"/>
        </w:rPr>
      </w:pPr>
      <w:r w:rsidRPr="00A87C8F">
        <w:rPr>
          <w:rFonts w:ascii="Arial Nova" w:eastAsia="MS Mincho" w:hAnsi="Arial Nova"/>
        </w:rPr>
        <w:t>The distribution of CDC’s needs for information collection through screening, surveys, interviews, and focus groups may change over time</w:t>
      </w:r>
      <w:r w:rsidRPr="00A87C8F">
        <w:rPr>
          <w:rFonts w:ascii="Arial Nova" w:eastAsia="MS Mincho" w:hAnsi="Arial Nova"/>
        </w:rPr>
        <w:t>. An approximate distribution is described in Table A</w:t>
      </w:r>
      <w:r w:rsidR="00D009E1">
        <w:rPr>
          <w:rFonts w:ascii="Arial Nova" w:eastAsia="MS Mincho" w:hAnsi="Arial Nova"/>
        </w:rPr>
        <w:t>1</w:t>
      </w:r>
      <w:r w:rsidRPr="00A87C8F">
        <w:rPr>
          <w:rFonts w:ascii="Arial Nova" w:eastAsia="MS Mincho" w:hAnsi="Arial Nova"/>
        </w:rPr>
        <w:t>2</w:t>
      </w:r>
      <w:r w:rsidR="00D009E1">
        <w:rPr>
          <w:rFonts w:ascii="Arial Nova" w:eastAsia="MS Mincho" w:hAnsi="Arial Nova"/>
        </w:rPr>
        <w:t>A</w:t>
      </w:r>
      <w:r w:rsidRPr="00A87C8F">
        <w:rPr>
          <w:rFonts w:ascii="Arial Nova" w:eastAsia="MS Mincho" w:hAnsi="Arial Nova"/>
        </w:rPr>
        <w:t xml:space="preserve"> below, which shows the estimated annualized number of respondents for the requested revision as 148,772 and the estimated annualized burden</w:t>
      </w:r>
      <w:r w:rsidR="007A4696">
        <w:rPr>
          <w:rFonts w:ascii="Arial Nova" w:eastAsia="MS Mincho" w:hAnsi="Arial Nova"/>
        </w:rPr>
        <w:t xml:space="preserve"> hours</w:t>
      </w:r>
      <w:r w:rsidRPr="00A87C8F">
        <w:rPr>
          <w:rFonts w:ascii="Arial Nova" w:eastAsia="MS Mincho" w:hAnsi="Arial Nova"/>
        </w:rPr>
        <w:t xml:space="preserve"> as 20,039. Over the course of the three-year renewal, the data collection methods may differ from the anticip</w:t>
      </w:r>
      <w:r w:rsidRPr="00A87C8F">
        <w:rPr>
          <w:rFonts w:ascii="Arial Nova" w:eastAsia="MS Mincho" w:hAnsi="Arial Nova"/>
        </w:rPr>
        <w:t xml:space="preserve">ated methods indicated below, but the number of responses/respondents and total burden hours </w:t>
      </w:r>
    </w:p>
    <w:p w:rsidR="00F6081C" w:rsidP="00A87C8F" w14:paraId="02258F4E" w14:textId="77777777">
      <w:pPr>
        <w:spacing w:line="276" w:lineRule="auto"/>
        <w:rPr>
          <w:rFonts w:ascii="Arial Nova" w:eastAsia="MS Mincho" w:hAnsi="Arial Nova"/>
        </w:rPr>
      </w:pPr>
      <w:r w:rsidRPr="00A87C8F">
        <w:rPr>
          <w:rFonts w:ascii="Arial Nova" w:eastAsia="MS Mincho" w:hAnsi="Arial Nova"/>
        </w:rPr>
        <w:t>will be itemized in each request submitted to OMB for approval under the MTTCA generic clearance.</w:t>
      </w:r>
    </w:p>
    <w:tbl>
      <w:tblPr>
        <w:tblpPr w:leftFromText="187" w:rightFromText="187" w:topFromText="274" w:bottomFromText="274"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2442"/>
        <w:gridCol w:w="1435"/>
        <w:gridCol w:w="2124"/>
        <w:gridCol w:w="2302"/>
      </w:tblGrid>
      <w:tr w14:paraId="2DA4B169" w14:textId="77777777" w:rsidTr="00D009E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trPr>
        <w:tc>
          <w:tcPr>
            <w:tcW w:w="5000" w:type="pct"/>
            <w:gridSpan w:val="5"/>
            <w:tcBorders>
              <w:top w:val="nil"/>
              <w:left w:val="nil"/>
              <w:bottom w:val="single" w:sz="4" w:space="0" w:color="auto"/>
              <w:right w:val="nil"/>
            </w:tcBorders>
            <w:shd w:val="clear" w:color="auto" w:fill="auto"/>
            <w:vAlign w:val="bottom"/>
          </w:tcPr>
          <w:p w:rsidR="00403421" w:rsidRPr="00E8551A" w:rsidP="00403421" w14:paraId="75F75C81" w14:textId="77777777">
            <w:pPr>
              <w:spacing w:before="100" w:beforeAutospacing="1" w:after="100" w:afterAutospacing="1" w:line="276" w:lineRule="auto"/>
              <w:rPr>
                <w:rFonts w:ascii="Arial Nova" w:eastAsia="MS Mincho" w:hAnsi="Arial Nova"/>
              </w:rPr>
            </w:pPr>
            <w:r w:rsidRPr="005F100C">
              <w:rPr>
                <w:rFonts w:ascii="Arial Nova" w:eastAsia="MS Mincho" w:hAnsi="Arial Nova"/>
                <w:b/>
                <w:bCs/>
              </w:rPr>
              <w:t>Table A</w:t>
            </w:r>
            <w:r w:rsidR="00D009E1">
              <w:rPr>
                <w:rFonts w:ascii="Arial Nova" w:eastAsia="MS Mincho" w:hAnsi="Arial Nova"/>
                <w:b/>
                <w:bCs/>
              </w:rPr>
              <w:t>1</w:t>
            </w:r>
            <w:r w:rsidRPr="005F100C">
              <w:rPr>
                <w:rFonts w:ascii="Arial Nova" w:eastAsia="MS Mincho" w:hAnsi="Arial Nova"/>
                <w:b/>
                <w:bCs/>
              </w:rPr>
              <w:t>2</w:t>
            </w:r>
            <w:r w:rsidR="00D009E1">
              <w:rPr>
                <w:rFonts w:ascii="Arial Nova" w:eastAsia="MS Mincho" w:hAnsi="Arial Nova"/>
                <w:b/>
                <w:bCs/>
              </w:rPr>
              <w:t>A</w:t>
            </w:r>
            <w:r w:rsidRPr="005F100C">
              <w:rPr>
                <w:rFonts w:ascii="Arial Nova" w:eastAsia="MS Mincho" w:hAnsi="Arial Nova"/>
                <w:b/>
                <w:bCs/>
              </w:rPr>
              <w:t xml:space="preserve">. </w:t>
            </w:r>
            <w:r w:rsidRPr="00B31A72">
              <w:rPr>
                <w:rFonts w:ascii="Arial Nova" w:eastAsia="MS Mincho" w:hAnsi="Arial Nova"/>
              </w:rPr>
              <w:t>Estimated Annualized Burden to Respondents</w:t>
            </w:r>
          </w:p>
        </w:tc>
      </w:tr>
      <w:tr w14:paraId="7EB62550" w14:textId="77777777" w:rsidTr="00D009E1">
        <w:tblPrEx>
          <w:tblW w:w="5000" w:type="pct"/>
          <w:tblLayout w:type="fixed"/>
          <w:tblLook w:val="04A0"/>
        </w:tblPrEx>
        <w:trPr>
          <w:trHeight w:val="344"/>
        </w:trPr>
        <w:tc>
          <w:tcPr>
            <w:tcW w:w="845" w:type="pct"/>
            <w:tcBorders>
              <w:top w:val="single" w:sz="4" w:space="0" w:color="auto"/>
            </w:tcBorders>
            <w:shd w:val="clear" w:color="auto" w:fill="auto"/>
            <w:vAlign w:val="bottom"/>
            <w:hideMark/>
          </w:tcPr>
          <w:p w:rsidR="00403421" w:rsidRPr="00E8551A" w:rsidP="00403421" w14:paraId="2236CCF5" w14:textId="77777777">
            <w:pPr>
              <w:spacing w:line="276" w:lineRule="auto"/>
              <w:jc w:val="center"/>
              <w:rPr>
                <w:rFonts w:ascii="Arial Nova" w:eastAsia="MS Mincho" w:hAnsi="Arial Nova"/>
              </w:rPr>
            </w:pPr>
            <w:r w:rsidRPr="00E8551A">
              <w:rPr>
                <w:rFonts w:ascii="Arial Nova" w:eastAsia="MS Mincho" w:hAnsi="Arial Nova"/>
              </w:rPr>
              <w:t xml:space="preserve">Type </w:t>
            </w:r>
            <w:r w:rsidRPr="00E8551A">
              <w:rPr>
                <w:rFonts w:ascii="Arial Nova" w:eastAsia="MS Mincho" w:hAnsi="Arial Nova"/>
              </w:rPr>
              <w:t>of Respondents</w:t>
            </w:r>
          </w:p>
        </w:tc>
        <w:tc>
          <w:tcPr>
            <w:tcW w:w="1222" w:type="pct"/>
            <w:tcBorders>
              <w:top w:val="single" w:sz="4" w:space="0" w:color="auto"/>
            </w:tcBorders>
            <w:shd w:val="clear" w:color="auto" w:fill="auto"/>
            <w:vAlign w:val="bottom"/>
            <w:hideMark/>
          </w:tcPr>
          <w:p w:rsidR="00403421" w:rsidRPr="00E8551A" w:rsidP="00403421" w14:paraId="2B61953E" w14:textId="77777777">
            <w:pPr>
              <w:spacing w:line="276" w:lineRule="auto"/>
              <w:jc w:val="center"/>
              <w:rPr>
                <w:rFonts w:ascii="Arial Nova" w:eastAsia="MS Mincho" w:hAnsi="Arial Nova"/>
              </w:rPr>
            </w:pPr>
            <w:r w:rsidRPr="00E8551A">
              <w:rPr>
                <w:rFonts w:ascii="Arial Nova" w:eastAsia="MS Mincho" w:hAnsi="Arial Nova"/>
              </w:rPr>
              <w:t>Data Collection Method</w:t>
            </w:r>
          </w:p>
        </w:tc>
        <w:tc>
          <w:tcPr>
            <w:tcW w:w="718" w:type="pct"/>
            <w:tcBorders>
              <w:top w:val="single" w:sz="4" w:space="0" w:color="auto"/>
            </w:tcBorders>
            <w:shd w:val="clear" w:color="auto" w:fill="auto"/>
            <w:vAlign w:val="bottom"/>
          </w:tcPr>
          <w:p w:rsidR="00403421" w:rsidRPr="00E8551A" w:rsidP="00403421" w14:paraId="59A734E1" w14:textId="77777777">
            <w:pPr>
              <w:spacing w:line="276" w:lineRule="auto"/>
              <w:jc w:val="center"/>
              <w:rPr>
                <w:rFonts w:ascii="Arial Nova" w:eastAsia="MS Mincho" w:hAnsi="Arial Nova"/>
              </w:rPr>
            </w:pPr>
            <w:r w:rsidRPr="00E8551A">
              <w:rPr>
                <w:rFonts w:ascii="Arial Nova" w:eastAsia="MS Mincho" w:hAnsi="Arial Nova"/>
              </w:rPr>
              <w:t>Total Burden</w:t>
            </w:r>
          </w:p>
          <w:p w:rsidR="00403421" w:rsidRPr="00E8551A" w:rsidP="00403421" w14:paraId="7EA46EE8" w14:textId="77777777">
            <w:pPr>
              <w:spacing w:line="276" w:lineRule="auto"/>
              <w:jc w:val="center"/>
              <w:rPr>
                <w:rFonts w:ascii="Arial Nova" w:eastAsia="MS Mincho" w:hAnsi="Arial Nova"/>
              </w:rPr>
            </w:pPr>
            <w:r w:rsidRPr="00E8551A">
              <w:rPr>
                <w:rFonts w:ascii="Arial Nova" w:eastAsia="MS Mincho" w:hAnsi="Arial Nova"/>
              </w:rPr>
              <w:t>(in hours)</w:t>
            </w:r>
          </w:p>
        </w:tc>
        <w:tc>
          <w:tcPr>
            <w:tcW w:w="1063" w:type="pct"/>
            <w:tcBorders>
              <w:top w:val="single" w:sz="4" w:space="0" w:color="auto"/>
            </w:tcBorders>
            <w:shd w:val="clear" w:color="auto" w:fill="auto"/>
            <w:vAlign w:val="bottom"/>
          </w:tcPr>
          <w:p w:rsidR="00403421" w:rsidRPr="00E8551A" w:rsidP="00403421" w14:paraId="053FABF4" w14:textId="77777777">
            <w:pPr>
              <w:spacing w:line="276" w:lineRule="auto"/>
              <w:jc w:val="center"/>
              <w:rPr>
                <w:rFonts w:ascii="Arial Nova" w:eastAsia="MS Mincho" w:hAnsi="Arial Nova"/>
              </w:rPr>
            </w:pPr>
            <w:r w:rsidRPr="00E8551A">
              <w:rPr>
                <w:rFonts w:ascii="Arial Nova" w:eastAsia="MS Mincho" w:hAnsi="Arial Nova"/>
              </w:rPr>
              <w:t>Average Hourly Wage</w:t>
            </w:r>
          </w:p>
        </w:tc>
        <w:tc>
          <w:tcPr>
            <w:tcW w:w="1152" w:type="pct"/>
            <w:tcBorders>
              <w:top w:val="single" w:sz="4" w:space="0" w:color="auto"/>
            </w:tcBorders>
            <w:vAlign w:val="bottom"/>
          </w:tcPr>
          <w:p w:rsidR="00403421" w:rsidRPr="00E8551A" w:rsidP="00403421" w14:paraId="76B451E1" w14:textId="77777777">
            <w:pPr>
              <w:spacing w:line="276" w:lineRule="auto"/>
              <w:jc w:val="center"/>
              <w:rPr>
                <w:rFonts w:ascii="Arial Nova" w:eastAsia="MS Mincho" w:hAnsi="Arial Nova"/>
              </w:rPr>
            </w:pPr>
            <w:r w:rsidRPr="00E8551A">
              <w:rPr>
                <w:rFonts w:ascii="Arial Nova" w:eastAsia="MS Mincho" w:hAnsi="Arial Nova"/>
              </w:rPr>
              <w:t>Total Cost</w:t>
            </w:r>
          </w:p>
        </w:tc>
      </w:tr>
      <w:tr w14:paraId="34E0EBCB" w14:textId="77777777" w:rsidTr="00403421">
        <w:tblPrEx>
          <w:tblW w:w="5000" w:type="pct"/>
          <w:tblLayout w:type="fixed"/>
          <w:tblLook w:val="04A0"/>
        </w:tblPrEx>
        <w:trPr>
          <w:trHeight w:val="86"/>
        </w:trPr>
        <w:tc>
          <w:tcPr>
            <w:tcW w:w="845" w:type="pct"/>
            <w:vMerge w:val="restart"/>
            <w:shd w:val="clear" w:color="auto" w:fill="auto"/>
            <w:vAlign w:val="center"/>
            <w:hideMark/>
          </w:tcPr>
          <w:p w:rsidR="00403421" w:rsidRPr="00E8551A" w:rsidP="00403421" w14:paraId="2CC26294" w14:textId="77777777">
            <w:pPr>
              <w:spacing w:line="276" w:lineRule="auto"/>
              <w:jc w:val="center"/>
              <w:rPr>
                <w:rFonts w:ascii="Arial Nova" w:eastAsia="MS Mincho" w:hAnsi="Arial Nova"/>
              </w:rPr>
            </w:pPr>
            <w:r w:rsidRPr="00E8551A">
              <w:rPr>
                <w:rFonts w:ascii="Arial Nova" w:eastAsia="MS Mincho" w:hAnsi="Arial Nova"/>
              </w:rPr>
              <w:t>General Public and Special Populations</w:t>
            </w:r>
          </w:p>
        </w:tc>
        <w:tc>
          <w:tcPr>
            <w:tcW w:w="1222" w:type="pct"/>
            <w:shd w:val="clear" w:color="auto" w:fill="auto"/>
            <w:vAlign w:val="center"/>
            <w:hideMark/>
          </w:tcPr>
          <w:p w:rsidR="00403421" w:rsidRPr="00E8551A" w:rsidP="00403421" w14:paraId="384C8CA0" w14:textId="77777777">
            <w:pPr>
              <w:spacing w:line="276" w:lineRule="auto"/>
              <w:jc w:val="center"/>
              <w:rPr>
                <w:rFonts w:ascii="Arial Nova" w:eastAsia="MS Mincho" w:hAnsi="Arial Nova"/>
              </w:rPr>
            </w:pPr>
            <w:r w:rsidRPr="00E8551A">
              <w:rPr>
                <w:rFonts w:ascii="Arial Nova" w:eastAsia="MS Mincho" w:hAnsi="Arial Nova"/>
              </w:rPr>
              <w:t>Screening</w:t>
            </w:r>
          </w:p>
        </w:tc>
        <w:tc>
          <w:tcPr>
            <w:tcW w:w="718" w:type="pct"/>
            <w:shd w:val="clear" w:color="auto" w:fill="auto"/>
            <w:vAlign w:val="center"/>
          </w:tcPr>
          <w:p w:rsidR="00403421" w:rsidRPr="00E8551A" w:rsidP="00403421" w14:paraId="6BBBAD30" w14:textId="77777777">
            <w:pPr>
              <w:spacing w:line="276" w:lineRule="auto"/>
              <w:jc w:val="center"/>
              <w:rPr>
                <w:rFonts w:ascii="Arial Nova" w:eastAsia="MS Mincho" w:hAnsi="Arial Nova"/>
              </w:rPr>
            </w:pPr>
            <w:r w:rsidRPr="00E8551A">
              <w:rPr>
                <w:rFonts w:ascii="Arial Nova" w:eastAsia="MS Mincho" w:hAnsi="Arial Nova"/>
              </w:rPr>
              <w:t>2,480</w:t>
            </w:r>
          </w:p>
        </w:tc>
        <w:tc>
          <w:tcPr>
            <w:tcW w:w="1063" w:type="pct"/>
            <w:shd w:val="clear" w:color="auto" w:fill="auto"/>
            <w:vAlign w:val="center"/>
          </w:tcPr>
          <w:p w:rsidR="00403421" w:rsidRPr="00E8551A" w:rsidP="00403421" w14:paraId="19F00D31"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2936C2EE"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81,914</w:t>
            </w:r>
          </w:p>
        </w:tc>
      </w:tr>
      <w:tr w14:paraId="5D66079D" w14:textId="77777777" w:rsidTr="00403421">
        <w:tblPrEx>
          <w:tblW w:w="5000" w:type="pct"/>
          <w:tblLayout w:type="fixed"/>
          <w:tblLook w:val="04A0"/>
        </w:tblPrEx>
        <w:trPr>
          <w:trHeight w:val="108"/>
        </w:trPr>
        <w:tc>
          <w:tcPr>
            <w:tcW w:w="845" w:type="pct"/>
            <w:vMerge/>
            <w:vAlign w:val="center"/>
          </w:tcPr>
          <w:p w:rsidR="00403421" w:rsidRPr="00E8551A" w:rsidP="00403421" w14:paraId="33C2A197" w14:textId="77777777">
            <w:pPr>
              <w:spacing w:line="276" w:lineRule="auto"/>
              <w:jc w:val="center"/>
              <w:rPr>
                <w:rFonts w:ascii="Arial Nova" w:eastAsia="MS Mincho" w:hAnsi="Arial Nova"/>
              </w:rPr>
            </w:pPr>
          </w:p>
        </w:tc>
        <w:tc>
          <w:tcPr>
            <w:tcW w:w="1222" w:type="pct"/>
            <w:shd w:val="clear" w:color="auto" w:fill="auto"/>
            <w:vAlign w:val="center"/>
          </w:tcPr>
          <w:p w:rsidR="00403421" w:rsidRPr="00E8551A" w:rsidP="00403421" w14:paraId="4CBDE556" w14:textId="77777777">
            <w:pPr>
              <w:spacing w:line="276" w:lineRule="auto"/>
              <w:jc w:val="center"/>
              <w:rPr>
                <w:rFonts w:ascii="Arial Nova" w:eastAsia="MS Mincho" w:hAnsi="Arial Nova"/>
              </w:rPr>
            </w:pPr>
            <w:r w:rsidRPr="00E8551A">
              <w:rPr>
                <w:rFonts w:ascii="Arial Nova" w:eastAsia="MS Mincho" w:hAnsi="Arial Nova"/>
              </w:rPr>
              <w:t>In-Depth Interviews (In Person</w:t>
            </w:r>
            <w:r>
              <w:rPr>
                <w:rFonts w:ascii="Arial Nova" w:eastAsia="MS Mincho" w:hAnsi="Arial Nova"/>
              </w:rPr>
              <w:t>, Online</w:t>
            </w:r>
            <w:r w:rsidRPr="00E8551A">
              <w:rPr>
                <w:rFonts w:ascii="Arial Nova" w:eastAsia="MS Mincho" w:hAnsi="Arial Nova"/>
              </w:rPr>
              <w:t>)</w:t>
            </w:r>
          </w:p>
        </w:tc>
        <w:tc>
          <w:tcPr>
            <w:tcW w:w="718" w:type="pct"/>
            <w:shd w:val="clear" w:color="auto" w:fill="auto"/>
            <w:vAlign w:val="center"/>
          </w:tcPr>
          <w:p w:rsidR="00403421" w:rsidRPr="00E8551A" w:rsidP="00403421" w14:paraId="2C13F906" w14:textId="77777777">
            <w:pPr>
              <w:spacing w:line="276" w:lineRule="auto"/>
              <w:jc w:val="center"/>
              <w:rPr>
                <w:rFonts w:ascii="Arial Nova" w:eastAsia="MS Mincho" w:hAnsi="Arial Nova"/>
              </w:rPr>
            </w:pPr>
            <w:r w:rsidRPr="00E8551A">
              <w:rPr>
                <w:rFonts w:ascii="Arial Nova" w:eastAsia="MS Mincho" w:hAnsi="Arial Nova"/>
              </w:rPr>
              <w:t>25</w:t>
            </w:r>
          </w:p>
        </w:tc>
        <w:tc>
          <w:tcPr>
            <w:tcW w:w="1063" w:type="pct"/>
            <w:shd w:val="clear" w:color="auto" w:fill="auto"/>
            <w:vAlign w:val="center"/>
          </w:tcPr>
          <w:p w:rsidR="00403421" w:rsidRPr="00E8551A" w:rsidP="00403421" w14:paraId="15451A6C"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17136067" w14:textId="77777777">
            <w:pPr>
              <w:spacing w:line="276" w:lineRule="auto"/>
              <w:jc w:val="center"/>
              <w:rPr>
                <w:rFonts w:ascii="Arial Nova" w:eastAsia="MS Mincho" w:hAnsi="Arial Nova"/>
              </w:rPr>
            </w:pPr>
            <w:r w:rsidRPr="00E8551A">
              <w:rPr>
                <w:rFonts w:ascii="Arial Nova" w:eastAsia="MS Mincho" w:hAnsi="Arial Nova"/>
              </w:rPr>
              <w:t>$8</w:t>
            </w:r>
            <w:r>
              <w:rPr>
                <w:rFonts w:ascii="Arial Nova" w:eastAsia="MS Mincho" w:hAnsi="Arial Nova"/>
              </w:rPr>
              <w:t>26</w:t>
            </w:r>
          </w:p>
        </w:tc>
      </w:tr>
      <w:tr w14:paraId="7437AA56" w14:textId="77777777" w:rsidTr="00403421">
        <w:tblPrEx>
          <w:tblW w:w="5000" w:type="pct"/>
          <w:tblLayout w:type="fixed"/>
          <w:tblLook w:val="04A0"/>
        </w:tblPrEx>
        <w:trPr>
          <w:trHeight w:val="108"/>
        </w:trPr>
        <w:tc>
          <w:tcPr>
            <w:tcW w:w="845" w:type="pct"/>
            <w:vMerge/>
            <w:vAlign w:val="center"/>
          </w:tcPr>
          <w:p w:rsidR="00403421" w:rsidRPr="00E8551A" w:rsidP="00403421" w14:paraId="2E3EF4B8" w14:textId="77777777">
            <w:pPr>
              <w:spacing w:line="276" w:lineRule="auto"/>
              <w:jc w:val="center"/>
              <w:rPr>
                <w:rFonts w:ascii="Arial Nova" w:eastAsia="MS Mincho" w:hAnsi="Arial Nova"/>
              </w:rPr>
            </w:pPr>
          </w:p>
        </w:tc>
        <w:tc>
          <w:tcPr>
            <w:tcW w:w="1222" w:type="pct"/>
            <w:shd w:val="clear" w:color="auto" w:fill="auto"/>
            <w:vAlign w:val="center"/>
          </w:tcPr>
          <w:p w:rsidR="00403421" w:rsidRPr="00E8551A" w:rsidP="00403421" w14:paraId="403EF2C9" w14:textId="77777777">
            <w:pPr>
              <w:spacing w:line="276" w:lineRule="auto"/>
              <w:jc w:val="center"/>
              <w:rPr>
                <w:rFonts w:ascii="Arial Nova" w:eastAsia="MS Mincho" w:hAnsi="Arial Nova"/>
              </w:rPr>
            </w:pPr>
            <w:r w:rsidRPr="00E8551A">
              <w:rPr>
                <w:rFonts w:ascii="Arial Nova" w:eastAsia="MS Mincho" w:hAnsi="Arial Nova"/>
              </w:rPr>
              <w:t xml:space="preserve">Focus Groups </w:t>
            </w:r>
            <w:r w:rsidRPr="00E8551A">
              <w:rPr>
                <w:rFonts w:ascii="Arial Nova" w:eastAsia="MS Mincho" w:hAnsi="Arial Nova"/>
              </w:rPr>
              <w:br/>
              <w:t>(In Person</w:t>
            </w:r>
            <w:r>
              <w:rPr>
                <w:rFonts w:ascii="Arial Nova" w:eastAsia="MS Mincho" w:hAnsi="Arial Nova"/>
              </w:rPr>
              <w:t xml:space="preserve">, </w:t>
            </w:r>
            <w:r>
              <w:rPr>
                <w:rFonts w:ascii="Arial Nova" w:eastAsia="MS Mincho" w:hAnsi="Arial Nova"/>
              </w:rPr>
              <w:t>Online</w:t>
            </w:r>
            <w:r w:rsidRPr="00E8551A">
              <w:rPr>
                <w:rFonts w:ascii="Arial Nova" w:eastAsia="MS Mincho" w:hAnsi="Arial Nova"/>
              </w:rPr>
              <w:t>)</w:t>
            </w:r>
          </w:p>
        </w:tc>
        <w:tc>
          <w:tcPr>
            <w:tcW w:w="718" w:type="pct"/>
            <w:shd w:val="clear" w:color="auto" w:fill="auto"/>
            <w:vAlign w:val="center"/>
          </w:tcPr>
          <w:p w:rsidR="00403421" w:rsidRPr="00E8551A" w:rsidP="00403421" w14:paraId="49F4EED9" w14:textId="77777777">
            <w:pPr>
              <w:spacing w:line="276" w:lineRule="auto"/>
              <w:jc w:val="center"/>
              <w:rPr>
                <w:rFonts w:ascii="Arial Nova" w:eastAsia="MS Mincho" w:hAnsi="Arial Nova"/>
              </w:rPr>
            </w:pPr>
            <w:r w:rsidRPr="00E8551A">
              <w:rPr>
                <w:rFonts w:ascii="Arial Nova" w:eastAsia="MS Mincho" w:hAnsi="Arial Nova"/>
              </w:rPr>
              <w:t>942</w:t>
            </w:r>
          </w:p>
        </w:tc>
        <w:tc>
          <w:tcPr>
            <w:tcW w:w="1063" w:type="pct"/>
            <w:shd w:val="clear" w:color="auto" w:fill="auto"/>
            <w:vAlign w:val="center"/>
          </w:tcPr>
          <w:p w:rsidR="00403421" w:rsidRPr="00E8551A" w:rsidP="00403421" w14:paraId="547BCEE7"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2CBD461E"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31,114</w:t>
            </w:r>
          </w:p>
        </w:tc>
      </w:tr>
      <w:tr w14:paraId="5E681142" w14:textId="77777777" w:rsidTr="00403421">
        <w:tblPrEx>
          <w:tblW w:w="5000" w:type="pct"/>
          <w:tblLayout w:type="fixed"/>
          <w:tblLook w:val="04A0"/>
        </w:tblPrEx>
        <w:trPr>
          <w:trHeight w:val="108"/>
        </w:trPr>
        <w:tc>
          <w:tcPr>
            <w:tcW w:w="845" w:type="pct"/>
            <w:vMerge/>
            <w:vAlign w:val="center"/>
          </w:tcPr>
          <w:p w:rsidR="00403421" w:rsidRPr="00E8551A" w:rsidP="00403421" w14:paraId="168EA359" w14:textId="77777777">
            <w:pPr>
              <w:spacing w:line="276" w:lineRule="auto"/>
              <w:jc w:val="center"/>
              <w:rPr>
                <w:rFonts w:ascii="Arial Nova" w:eastAsia="MS Mincho" w:hAnsi="Arial Nova"/>
              </w:rPr>
            </w:pPr>
          </w:p>
        </w:tc>
        <w:tc>
          <w:tcPr>
            <w:tcW w:w="1222" w:type="pct"/>
            <w:shd w:val="clear" w:color="auto" w:fill="auto"/>
            <w:vAlign w:val="center"/>
            <w:hideMark/>
          </w:tcPr>
          <w:p w:rsidR="00403421" w:rsidRPr="00E8551A" w:rsidP="00403421" w14:paraId="791D5BC7"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Short)</w:t>
            </w:r>
          </w:p>
        </w:tc>
        <w:tc>
          <w:tcPr>
            <w:tcW w:w="718" w:type="pct"/>
            <w:shd w:val="clear" w:color="auto" w:fill="auto"/>
            <w:vAlign w:val="center"/>
          </w:tcPr>
          <w:p w:rsidR="00403421" w:rsidRPr="00E8551A" w:rsidP="00403421" w14:paraId="7656E850" w14:textId="77777777">
            <w:pPr>
              <w:spacing w:line="276" w:lineRule="auto"/>
              <w:jc w:val="center"/>
              <w:rPr>
                <w:rFonts w:ascii="Arial Nova" w:eastAsia="MS Mincho" w:hAnsi="Arial Nova"/>
              </w:rPr>
            </w:pPr>
            <w:r w:rsidRPr="00E8551A">
              <w:rPr>
                <w:rFonts w:ascii="Arial Nova" w:eastAsia="MS Mincho" w:hAnsi="Arial Nova"/>
              </w:rPr>
              <w:t>15,453</w:t>
            </w:r>
          </w:p>
        </w:tc>
        <w:tc>
          <w:tcPr>
            <w:tcW w:w="1063" w:type="pct"/>
            <w:shd w:val="clear" w:color="auto" w:fill="auto"/>
            <w:vAlign w:val="center"/>
          </w:tcPr>
          <w:p w:rsidR="00403421" w:rsidRPr="00E8551A" w:rsidP="00403421" w14:paraId="7F1B2B30"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5054C074"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510,413</w:t>
            </w:r>
          </w:p>
        </w:tc>
      </w:tr>
      <w:tr w14:paraId="5922BF9F" w14:textId="77777777" w:rsidTr="00403421">
        <w:tblPrEx>
          <w:tblW w:w="5000" w:type="pct"/>
          <w:tblLayout w:type="fixed"/>
          <w:tblLook w:val="04A0"/>
        </w:tblPrEx>
        <w:trPr>
          <w:trHeight w:val="108"/>
        </w:trPr>
        <w:tc>
          <w:tcPr>
            <w:tcW w:w="845" w:type="pct"/>
            <w:vMerge/>
            <w:shd w:val="clear" w:color="auto" w:fill="auto"/>
            <w:vAlign w:val="center"/>
          </w:tcPr>
          <w:p w:rsidR="00403421" w:rsidRPr="00E8551A" w:rsidP="00403421" w14:paraId="596AF920" w14:textId="77777777">
            <w:pPr>
              <w:spacing w:line="276" w:lineRule="auto"/>
              <w:jc w:val="center"/>
              <w:rPr>
                <w:rFonts w:ascii="Arial Nova" w:eastAsia="MS Mincho" w:hAnsi="Arial Nova"/>
              </w:rPr>
            </w:pPr>
          </w:p>
        </w:tc>
        <w:tc>
          <w:tcPr>
            <w:tcW w:w="1222" w:type="pct"/>
            <w:shd w:val="clear" w:color="auto" w:fill="auto"/>
            <w:vAlign w:val="center"/>
            <w:hideMark/>
          </w:tcPr>
          <w:p w:rsidR="00403421" w:rsidRPr="00E8551A" w:rsidP="00403421" w14:paraId="77E42CE5"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Medium)</w:t>
            </w:r>
          </w:p>
        </w:tc>
        <w:tc>
          <w:tcPr>
            <w:tcW w:w="718" w:type="pct"/>
            <w:shd w:val="clear" w:color="auto" w:fill="auto"/>
            <w:vAlign w:val="center"/>
          </w:tcPr>
          <w:p w:rsidR="00403421" w:rsidRPr="00E8551A" w:rsidP="00403421" w14:paraId="079B3918" w14:textId="77777777">
            <w:pPr>
              <w:spacing w:line="276" w:lineRule="auto"/>
              <w:jc w:val="center"/>
              <w:rPr>
                <w:rFonts w:ascii="Arial Nova" w:eastAsia="MS Mincho" w:hAnsi="Arial Nova"/>
              </w:rPr>
            </w:pPr>
            <w:r w:rsidRPr="00E8551A">
              <w:rPr>
                <w:rFonts w:ascii="Arial Nova" w:eastAsia="MS Mincho" w:hAnsi="Arial Nova"/>
              </w:rPr>
              <w:t>1,139</w:t>
            </w:r>
          </w:p>
        </w:tc>
        <w:tc>
          <w:tcPr>
            <w:tcW w:w="1063" w:type="pct"/>
            <w:shd w:val="clear" w:color="auto" w:fill="auto"/>
            <w:vAlign w:val="center"/>
          </w:tcPr>
          <w:p w:rsidR="00403421" w:rsidRPr="00E8551A" w:rsidP="00403421" w14:paraId="68E9F069"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33.03</w:t>
            </w:r>
          </w:p>
        </w:tc>
        <w:tc>
          <w:tcPr>
            <w:tcW w:w="1152" w:type="pct"/>
            <w:shd w:val="clear" w:color="auto" w:fill="auto"/>
            <w:vAlign w:val="center"/>
          </w:tcPr>
          <w:p w:rsidR="00403421" w:rsidRPr="00E8551A" w:rsidP="00403421" w14:paraId="71B8C9CD"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37,621</w:t>
            </w:r>
          </w:p>
        </w:tc>
      </w:tr>
      <w:tr w14:paraId="49BCA4CE" w14:textId="77777777" w:rsidTr="00403421">
        <w:tblPrEx>
          <w:tblW w:w="5000" w:type="pct"/>
          <w:tblLayout w:type="fixed"/>
          <w:tblLook w:val="04A0"/>
        </w:tblPrEx>
        <w:trPr>
          <w:trHeight w:val="108"/>
        </w:trPr>
        <w:tc>
          <w:tcPr>
            <w:tcW w:w="845" w:type="pct"/>
            <w:shd w:val="clear" w:color="auto" w:fill="auto"/>
            <w:vAlign w:val="center"/>
          </w:tcPr>
          <w:p w:rsidR="00403421" w:rsidRPr="00E8551A" w:rsidP="00403421" w14:paraId="251E243C" w14:textId="77777777">
            <w:pPr>
              <w:spacing w:line="276" w:lineRule="auto"/>
              <w:jc w:val="center"/>
              <w:rPr>
                <w:rFonts w:ascii="Arial Nova" w:eastAsia="MS Mincho" w:hAnsi="Arial Nova"/>
              </w:rPr>
            </w:pPr>
            <w:r w:rsidRPr="00E8551A">
              <w:rPr>
                <w:rFonts w:ascii="Arial Nova" w:eastAsia="MS Mincho" w:hAnsi="Arial Nova"/>
              </w:rPr>
              <w:t>Total</w:t>
            </w:r>
          </w:p>
        </w:tc>
        <w:tc>
          <w:tcPr>
            <w:tcW w:w="1222" w:type="pct"/>
            <w:shd w:val="clear" w:color="auto" w:fill="auto"/>
            <w:vAlign w:val="center"/>
          </w:tcPr>
          <w:p w:rsidR="00403421" w:rsidRPr="00E8551A" w:rsidP="00403421" w14:paraId="1060D3BD" w14:textId="77777777">
            <w:pPr>
              <w:spacing w:line="276" w:lineRule="auto"/>
              <w:jc w:val="center"/>
              <w:rPr>
                <w:rFonts w:ascii="Arial Nova" w:eastAsia="MS Mincho" w:hAnsi="Arial Nova"/>
              </w:rPr>
            </w:pPr>
          </w:p>
        </w:tc>
        <w:tc>
          <w:tcPr>
            <w:tcW w:w="718" w:type="pct"/>
            <w:shd w:val="clear" w:color="auto" w:fill="auto"/>
            <w:vAlign w:val="center"/>
          </w:tcPr>
          <w:p w:rsidR="00403421" w:rsidRPr="00E8551A" w:rsidP="00403421" w14:paraId="6DA7A724" w14:textId="77777777">
            <w:pPr>
              <w:spacing w:line="276" w:lineRule="auto"/>
              <w:jc w:val="center"/>
              <w:rPr>
                <w:rFonts w:ascii="Arial Nova" w:eastAsia="MS Mincho" w:hAnsi="Arial Nova"/>
              </w:rPr>
            </w:pPr>
            <w:r w:rsidRPr="00E8551A">
              <w:rPr>
                <w:rFonts w:ascii="Arial Nova" w:eastAsia="MS Mincho" w:hAnsi="Arial Nova"/>
              </w:rPr>
              <w:t>20,039</w:t>
            </w:r>
          </w:p>
        </w:tc>
        <w:tc>
          <w:tcPr>
            <w:tcW w:w="1063" w:type="pct"/>
            <w:shd w:val="clear" w:color="auto" w:fill="auto"/>
            <w:vAlign w:val="center"/>
          </w:tcPr>
          <w:p w:rsidR="00403421" w:rsidRPr="00E8551A" w:rsidP="00403421" w14:paraId="53C3F3BB" w14:textId="77777777">
            <w:pPr>
              <w:spacing w:line="276" w:lineRule="auto"/>
              <w:jc w:val="center"/>
              <w:rPr>
                <w:rFonts w:ascii="Arial Nova" w:eastAsia="MS Mincho" w:hAnsi="Arial Nova"/>
              </w:rPr>
            </w:pPr>
          </w:p>
        </w:tc>
        <w:tc>
          <w:tcPr>
            <w:tcW w:w="1152" w:type="pct"/>
          </w:tcPr>
          <w:p w:rsidR="00403421" w:rsidRPr="00E8551A" w:rsidP="00403421" w14:paraId="1F6A3D41" w14:textId="77777777">
            <w:pPr>
              <w:spacing w:line="276" w:lineRule="auto"/>
              <w:jc w:val="center"/>
              <w:rPr>
                <w:rFonts w:ascii="Arial Nova" w:eastAsia="MS Mincho" w:hAnsi="Arial Nova"/>
              </w:rPr>
            </w:pPr>
            <w:r w:rsidRPr="00E8551A">
              <w:rPr>
                <w:rFonts w:ascii="Arial Nova" w:eastAsia="MS Mincho" w:hAnsi="Arial Nova"/>
              </w:rPr>
              <w:t>$</w:t>
            </w:r>
            <w:r>
              <w:rPr>
                <w:rFonts w:ascii="Arial Nova" w:eastAsia="MS Mincho" w:hAnsi="Arial Nova"/>
              </w:rPr>
              <w:t>661,888</w:t>
            </w:r>
          </w:p>
        </w:tc>
      </w:tr>
    </w:tbl>
    <w:p w:rsidR="00591F48" w:rsidP="00F92873" w14:paraId="650B4388" w14:textId="77777777">
      <w:pPr>
        <w:spacing w:line="276" w:lineRule="auto"/>
        <w:rPr>
          <w:rFonts w:ascii="Arial Nova" w:eastAsia="MS Mincho" w:hAnsi="Arial Nova"/>
        </w:rPr>
      </w:pPr>
      <w:r w:rsidRPr="004F51D9">
        <w:rPr>
          <w:rFonts w:ascii="Arial Nova" w:eastAsia="MS Mincho" w:hAnsi="Arial Nova"/>
        </w:rPr>
        <w:t>Because the time required to respond to a survey or interview, and to participate in a focus group, has a</w:t>
      </w:r>
      <w:r w:rsidRPr="004F51D9">
        <w:rPr>
          <w:rFonts w:ascii="Arial Nova" w:eastAsia="MS Mincho" w:hAnsi="Arial Nova"/>
        </w:rPr>
        <w:t xml:space="preserve"> monetary value, Table A</w:t>
      </w:r>
      <w:r w:rsidR="00D009E1">
        <w:rPr>
          <w:rFonts w:ascii="Arial Nova" w:eastAsia="MS Mincho" w:hAnsi="Arial Nova"/>
        </w:rPr>
        <w:t>12B</w:t>
      </w:r>
      <w:r w:rsidRPr="004F51D9">
        <w:rPr>
          <w:rFonts w:ascii="Arial Nova" w:eastAsia="MS Mincho" w:hAnsi="Arial Nova"/>
        </w:rPr>
        <w:t xml:space="preserve"> estimates the total annual cost to respondents for all activities and breaks the total figure down by the principal data collection strategies that may occur over a one-year period. To calculate this cost, we used the mean hourl</w:t>
      </w:r>
      <w:r w:rsidRPr="004F51D9">
        <w:rPr>
          <w:rFonts w:ascii="Arial Nova" w:eastAsia="MS Mincho" w:hAnsi="Arial Nova"/>
        </w:rPr>
        <w:t xml:space="preserve">y wage of </w:t>
      </w:r>
      <w:r w:rsidRPr="00CC320E">
        <w:rPr>
          <w:rFonts w:ascii="Arial Nova" w:eastAsia="MS Mincho" w:hAnsi="Arial Nova"/>
        </w:rPr>
        <w:t>$</w:t>
      </w:r>
      <w:r w:rsidRPr="004F51D9" w:rsidR="00D54351">
        <w:rPr>
          <w:rFonts w:ascii="Arial Nova" w:eastAsia="MS Mincho" w:hAnsi="Arial Nova"/>
        </w:rPr>
        <w:t>3</w:t>
      </w:r>
      <w:r w:rsidR="00CC320E">
        <w:rPr>
          <w:rFonts w:ascii="Arial Nova" w:eastAsia="MS Mincho" w:hAnsi="Arial Nova"/>
        </w:rPr>
        <w:t>3.03</w:t>
      </w:r>
      <w:r w:rsidRPr="004F51D9">
        <w:rPr>
          <w:rFonts w:ascii="Arial Nova" w:eastAsia="MS Mincho" w:hAnsi="Arial Nova"/>
        </w:rPr>
        <w:t xml:space="preserve">, which represents the Department of Labor estimated mean for state, local, and private industry earnings (Bureau of Labor Statistics, </w:t>
      </w:r>
      <w:r w:rsidR="00CC320E">
        <w:rPr>
          <w:rFonts w:ascii="Arial Nova" w:eastAsia="MS Mincho" w:hAnsi="Arial Nova"/>
        </w:rPr>
        <w:t>2023</w:t>
      </w:r>
      <w:r w:rsidRPr="004F51D9">
        <w:rPr>
          <w:rFonts w:ascii="Arial Nova" w:eastAsia="MS Mincho" w:hAnsi="Arial Nova"/>
        </w:rPr>
        <w:t>). The total annualized burden cost is estimated at $</w:t>
      </w:r>
      <w:r w:rsidR="00CC320E">
        <w:rPr>
          <w:rFonts w:ascii="Arial Nova" w:eastAsia="MS Mincho" w:hAnsi="Arial Nova"/>
        </w:rPr>
        <w:t>661,888</w:t>
      </w:r>
      <w:r w:rsidRPr="004F51D9" w:rsidR="00344701">
        <w:rPr>
          <w:rFonts w:ascii="Arial Nova" w:eastAsia="MS Mincho" w:hAnsi="Arial Nova"/>
        </w:rPr>
        <w:t xml:space="preserve"> </w:t>
      </w:r>
      <w:r w:rsidRPr="004F51D9">
        <w:rPr>
          <w:rFonts w:ascii="Arial Nova" w:eastAsia="MS Mincho" w:hAnsi="Arial Nova"/>
        </w:rPr>
        <w:t>per year.</w:t>
      </w:r>
    </w:p>
    <w:tbl>
      <w:tblPr>
        <w:tblpPr w:leftFromText="187" w:rightFromText="187" w:vertAnchor="page" w:horzAnchor="margin" w:tblpY="8969"/>
        <w:tblOverlap w:val="neve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2128"/>
        <w:gridCol w:w="2016"/>
        <w:gridCol w:w="1890"/>
        <w:gridCol w:w="1530"/>
        <w:gridCol w:w="1353"/>
        <w:gridCol w:w="1618"/>
      </w:tblGrid>
      <w:tr w14:paraId="0BD4030C" w14:textId="77777777" w:rsidTr="00D009E1">
        <w:tblPrEx>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440"/>
        </w:trPr>
        <w:tc>
          <w:tcPr>
            <w:tcW w:w="5000" w:type="pct"/>
            <w:gridSpan w:val="6"/>
            <w:tcBorders>
              <w:top w:val="nil"/>
              <w:left w:val="nil"/>
              <w:bottom w:val="single" w:sz="4" w:space="0" w:color="auto"/>
              <w:right w:val="nil"/>
            </w:tcBorders>
            <w:shd w:val="clear" w:color="auto" w:fill="auto"/>
            <w:vAlign w:val="bottom"/>
          </w:tcPr>
          <w:p w:rsidR="00476FD7" w:rsidRPr="00300CEC" w:rsidP="00F92873" w14:paraId="7C2AAA4B" w14:textId="77777777">
            <w:pPr>
              <w:spacing w:line="276" w:lineRule="auto"/>
              <w:rPr>
                <w:rFonts w:ascii="Arial Nova" w:eastAsia="MS Mincho" w:hAnsi="Arial Nova"/>
                <w:b/>
                <w:bCs/>
              </w:rPr>
            </w:pPr>
            <w:r w:rsidRPr="00300CEC">
              <w:rPr>
                <w:rFonts w:ascii="Arial Nova" w:hAnsi="Arial Nova" w:cstheme="minorHAnsi"/>
                <w:b/>
                <w:bCs/>
                <w:iCs/>
              </w:rPr>
              <w:t>Table A</w:t>
            </w:r>
            <w:r w:rsidR="00D009E1">
              <w:rPr>
                <w:rFonts w:ascii="Arial Nova" w:hAnsi="Arial Nova" w:cstheme="minorHAnsi"/>
                <w:b/>
                <w:bCs/>
                <w:iCs/>
              </w:rPr>
              <w:t>12B</w:t>
            </w:r>
            <w:r w:rsidRPr="00300CEC">
              <w:rPr>
                <w:rFonts w:ascii="Arial Nova" w:hAnsi="Arial Nova" w:cstheme="minorHAnsi"/>
                <w:b/>
                <w:bCs/>
                <w:iCs/>
              </w:rPr>
              <w:t xml:space="preserve">. </w:t>
            </w:r>
            <w:r w:rsidRPr="00B31A72">
              <w:rPr>
                <w:rFonts w:ascii="Arial Nova" w:hAnsi="Arial Nova" w:cstheme="minorHAnsi"/>
                <w:iCs/>
              </w:rPr>
              <w:t xml:space="preserve">Estimated </w:t>
            </w:r>
            <w:r w:rsidRPr="00B31A72">
              <w:rPr>
                <w:rFonts w:ascii="Arial Nova" w:hAnsi="Arial Nova" w:cstheme="minorHAnsi"/>
                <w:iCs/>
              </w:rPr>
              <w:t>Annualized Burden Costs</w:t>
            </w:r>
          </w:p>
        </w:tc>
      </w:tr>
      <w:tr w14:paraId="5662F6B5" w14:textId="77777777" w:rsidTr="00D009E1">
        <w:tblPrEx>
          <w:tblW w:w="5273" w:type="pct"/>
          <w:tblCellMar>
            <w:left w:w="115" w:type="dxa"/>
            <w:right w:w="115" w:type="dxa"/>
          </w:tblCellMar>
          <w:tblLook w:val="04A0"/>
        </w:tblPrEx>
        <w:trPr>
          <w:trHeight w:val="1321"/>
        </w:trPr>
        <w:tc>
          <w:tcPr>
            <w:tcW w:w="1010" w:type="pct"/>
            <w:tcBorders>
              <w:top w:val="single" w:sz="4" w:space="0" w:color="auto"/>
            </w:tcBorders>
            <w:shd w:val="clear" w:color="auto" w:fill="auto"/>
            <w:vAlign w:val="bottom"/>
            <w:hideMark/>
          </w:tcPr>
          <w:p w:rsidR="00476FD7" w:rsidRPr="00E8551A" w:rsidP="005A16FD" w14:paraId="5F85AA51" w14:textId="77777777">
            <w:pPr>
              <w:spacing w:line="276" w:lineRule="auto"/>
              <w:jc w:val="center"/>
              <w:rPr>
                <w:rFonts w:ascii="Arial Nova" w:eastAsia="MS Mincho" w:hAnsi="Arial Nova"/>
              </w:rPr>
            </w:pPr>
            <w:r w:rsidRPr="00E8551A">
              <w:rPr>
                <w:rFonts w:ascii="Arial Nova" w:eastAsia="MS Mincho" w:hAnsi="Arial Nova"/>
              </w:rPr>
              <w:t>Respondents</w:t>
            </w:r>
          </w:p>
        </w:tc>
        <w:tc>
          <w:tcPr>
            <w:tcW w:w="957" w:type="pct"/>
            <w:tcBorders>
              <w:top w:val="single" w:sz="4" w:space="0" w:color="auto"/>
            </w:tcBorders>
            <w:shd w:val="clear" w:color="auto" w:fill="auto"/>
            <w:vAlign w:val="bottom"/>
            <w:hideMark/>
          </w:tcPr>
          <w:p w:rsidR="00476FD7" w:rsidRPr="00E8551A" w:rsidP="005A16FD" w14:paraId="25E3BFCB" w14:textId="77777777">
            <w:pPr>
              <w:spacing w:line="276" w:lineRule="auto"/>
              <w:jc w:val="center"/>
              <w:rPr>
                <w:rFonts w:ascii="Arial Nova" w:eastAsia="MS Mincho" w:hAnsi="Arial Nova"/>
              </w:rPr>
            </w:pPr>
            <w:r w:rsidRPr="00E8551A">
              <w:rPr>
                <w:rFonts w:ascii="Arial Nova" w:eastAsia="MS Mincho" w:hAnsi="Arial Nova"/>
              </w:rPr>
              <w:t>Data Collection Method</w:t>
            </w:r>
          </w:p>
        </w:tc>
        <w:tc>
          <w:tcPr>
            <w:tcW w:w="897" w:type="pct"/>
            <w:tcBorders>
              <w:top w:val="single" w:sz="4" w:space="0" w:color="auto"/>
            </w:tcBorders>
            <w:shd w:val="clear" w:color="auto" w:fill="auto"/>
            <w:vAlign w:val="bottom"/>
            <w:hideMark/>
          </w:tcPr>
          <w:p w:rsidR="00476FD7" w:rsidRPr="00E8551A" w:rsidP="005A16FD" w14:paraId="2D418479" w14:textId="77777777">
            <w:pPr>
              <w:spacing w:line="276" w:lineRule="auto"/>
              <w:jc w:val="center"/>
              <w:rPr>
                <w:rFonts w:ascii="Arial Nova" w:eastAsia="MS Mincho" w:hAnsi="Arial Nova"/>
              </w:rPr>
            </w:pPr>
            <w:r w:rsidRPr="00E8551A">
              <w:rPr>
                <w:rFonts w:ascii="Arial Nova" w:eastAsia="MS Mincho" w:hAnsi="Arial Nova"/>
              </w:rPr>
              <w:t>Number of Respondents</w:t>
            </w:r>
          </w:p>
        </w:tc>
        <w:tc>
          <w:tcPr>
            <w:tcW w:w="726" w:type="pct"/>
            <w:tcBorders>
              <w:top w:val="single" w:sz="4" w:space="0" w:color="auto"/>
            </w:tcBorders>
            <w:shd w:val="clear" w:color="auto" w:fill="auto"/>
            <w:vAlign w:val="bottom"/>
            <w:hideMark/>
          </w:tcPr>
          <w:p w:rsidR="00476FD7" w:rsidRPr="00E8551A" w:rsidP="005A16FD" w14:paraId="4583D280" w14:textId="77777777">
            <w:pPr>
              <w:spacing w:line="276" w:lineRule="auto"/>
              <w:jc w:val="center"/>
              <w:rPr>
                <w:rFonts w:ascii="Arial Nova" w:eastAsia="MS Mincho" w:hAnsi="Arial Nova"/>
              </w:rPr>
            </w:pPr>
            <w:r w:rsidRPr="00E8551A">
              <w:rPr>
                <w:rFonts w:ascii="Arial Nova" w:eastAsia="MS Mincho" w:hAnsi="Arial Nova"/>
              </w:rPr>
              <w:t>Number of Responses per Respondent</w:t>
            </w:r>
          </w:p>
        </w:tc>
        <w:tc>
          <w:tcPr>
            <w:tcW w:w="642" w:type="pct"/>
            <w:tcBorders>
              <w:top w:val="single" w:sz="4" w:space="0" w:color="auto"/>
            </w:tcBorders>
            <w:shd w:val="clear" w:color="auto" w:fill="auto"/>
            <w:vAlign w:val="bottom"/>
            <w:hideMark/>
          </w:tcPr>
          <w:p w:rsidR="00476FD7" w:rsidRPr="00E8551A" w:rsidP="005A16FD" w14:paraId="6D2F4958" w14:textId="77777777">
            <w:pPr>
              <w:spacing w:line="276" w:lineRule="auto"/>
              <w:jc w:val="center"/>
              <w:rPr>
                <w:rFonts w:ascii="Arial Nova" w:eastAsia="MS Mincho" w:hAnsi="Arial Nova"/>
              </w:rPr>
            </w:pPr>
            <w:r w:rsidRPr="00E8551A">
              <w:rPr>
                <w:rFonts w:ascii="Arial Nova" w:eastAsia="MS Mincho" w:hAnsi="Arial Nova"/>
              </w:rPr>
              <w:t>Average Burden per Response (in hours)</w:t>
            </w:r>
          </w:p>
        </w:tc>
        <w:tc>
          <w:tcPr>
            <w:tcW w:w="768" w:type="pct"/>
            <w:tcBorders>
              <w:top w:val="single" w:sz="4" w:space="0" w:color="auto"/>
            </w:tcBorders>
            <w:vAlign w:val="bottom"/>
          </w:tcPr>
          <w:p w:rsidR="00476FD7" w:rsidRPr="00E8551A" w:rsidP="005A16FD" w14:paraId="4A1DB4CC" w14:textId="77777777">
            <w:pPr>
              <w:spacing w:line="276" w:lineRule="auto"/>
              <w:jc w:val="center"/>
              <w:rPr>
                <w:rFonts w:ascii="Arial Nova" w:eastAsia="MS Mincho" w:hAnsi="Arial Nova"/>
              </w:rPr>
            </w:pPr>
            <w:r w:rsidRPr="00E8551A">
              <w:rPr>
                <w:rFonts w:ascii="Arial Nova" w:eastAsia="MS Mincho" w:hAnsi="Arial Nova"/>
              </w:rPr>
              <w:t>Total Burden</w:t>
            </w:r>
          </w:p>
          <w:p w:rsidR="00476FD7" w:rsidRPr="00E8551A" w:rsidP="005A16FD" w14:paraId="70ADCB73" w14:textId="77777777">
            <w:pPr>
              <w:spacing w:line="276" w:lineRule="auto"/>
              <w:jc w:val="center"/>
              <w:rPr>
                <w:rFonts w:ascii="Arial Nova" w:eastAsia="MS Mincho" w:hAnsi="Arial Nova"/>
              </w:rPr>
            </w:pPr>
            <w:r w:rsidRPr="00E8551A">
              <w:rPr>
                <w:rFonts w:ascii="Arial Nova" w:eastAsia="MS Mincho" w:hAnsi="Arial Nova"/>
              </w:rPr>
              <w:t>(in hours)</w:t>
            </w:r>
          </w:p>
        </w:tc>
      </w:tr>
      <w:tr w14:paraId="6BB1188E" w14:textId="77777777" w:rsidTr="005A16FD">
        <w:tblPrEx>
          <w:tblW w:w="5273" w:type="pct"/>
          <w:tblCellMar>
            <w:left w:w="115" w:type="dxa"/>
            <w:right w:w="115" w:type="dxa"/>
          </w:tblCellMar>
          <w:tblLook w:val="04A0"/>
        </w:tblPrEx>
        <w:trPr>
          <w:trHeight w:val="263"/>
        </w:trPr>
        <w:tc>
          <w:tcPr>
            <w:tcW w:w="1010" w:type="pct"/>
            <w:vMerge w:val="restart"/>
            <w:shd w:val="clear" w:color="auto" w:fill="auto"/>
            <w:vAlign w:val="center"/>
          </w:tcPr>
          <w:p w:rsidR="00476FD7" w:rsidRPr="00E8551A" w:rsidP="005A16FD" w14:paraId="2D9F6861" w14:textId="77777777">
            <w:pPr>
              <w:spacing w:line="276" w:lineRule="auto"/>
              <w:jc w:val="center"/>
              <w:rPr>
                <w:rFonts w:ascii="Arial Nova" w:eastAsia="MS Mincho" w:hAnsi="Arial Nova"/>
              </w:rPr>
            </w:pPr>
            <w:r w:rsidRPr="00E8551A">
              <w:rPr>
                <w:rFonts w:ascii="Arial Nova" w:eastAsia="MS Mincho" w:hAnsi="Arial Nova"/>
              </w:rPr>
              <w:t>General Public and Special Populations</w:t>
            </w:r>
          </w:p>
        </w:tc>
        <w:tc>
          <w:tcPr>
            <w:tcW w:w="957" w:type="pct"/>
            <w:shd w:val="clear" w:color="auto" w:fill="auto"/>
            <w:vAlign w:val="center"/>
            <w:hideMark/>
          </w:tcPr>
          <w:p w:rsidR="00476FD7" w:rsidRPr="00E8551A" w:rsidP="005A16FD" w14:paraId="577416EC" w14:textId="77777777">
            <w:pPr>
              <w:spacing w:line="276" w:lineRule="auto"/>
              <w:jc w:val="center"/>
              <w:rPr>
                <w:rFonts w:ascii="Arial Nova" w:eastAsia="MS Mincho" w:hAnsi="Arial Nova"/>
              </w:rPr>
            </w:pPr>
            <w:r w:rsidRPr="00E8551A">
              <w:rPr>
                <w:rFonts w:ascii="Arial Nova" w:eastAsia="MS Mincho" w:hAnsi="Arial Nova"/>
              </w:rPr>
              <w:t>Screening</w:t>
            </w:r>
          </w:p>
        </w:tc>
        <w:tc>
          <w:tcPr>
            <w:tcW w:w="897" w:type="pct"/>
            <w:shd w:val="clear" w:color="auto" w:fill="auto"/>
            <w:vAlign w:val="center"/>
          </w:tcPr>
          <w:p w:rsidR="00476FD7" w:rsidRPr="00E8551A" w:rsidP="005A16FD" w14:paraId="1BA032BB" w14:textId="77777777">
            <w:pPr>
              <w:spacing w:line="276" w:lineRule="auto"/>
              <w:jc w:val="center"/>
              <w:rPr>
                <w:rFonts w:ascii="Arial Nova" w:eastAsia="MS Mincho" w:hAnsi="Arial Nova"/>
              </w:rPr>
            </w:pPr>
            <w:r w:rsidRPr="00E8551A">
              <w:rPr>
                <w:rFonts w:ascii="Arial Nova" w:eastAsia="MS Mincho" w:hAnsi="Arial Nova"/>
              </w:rPr>
              <w:t>74,386</w:t>
            </w:r>
          </w:p>
        </w:tc>
        <w:tc>
          <w:tcPr>
            <w:tcW w:w="726" w:type="pct"/>
            <w:shd w:val="clear" w:color="auto" w:fill="auto"/>
            <w:vAlign w:val="center"/>
          </w:tcPr>
          <w:p w:rsidR="00476FD7" w:rsidRPr="00E8551A" w:rsidP="005A16FD" w14:paraId="6BC6DEFC"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47656C72" w14:textId="77777777">
            <w:pPr>
              <w:spacing w:line="276" w:lineRule="auto"/>
              <w:jc w:val="center"/>
              <w:rPr>
                <w:rFonts w:ascii="Arial Nova" w:eastAsia="MS Mincho" w:hAnsi="Arial Nova"/>
              </w:rPr>
            </w:pPr>
            <w:r w:rsidRPr="00E8551A">
              <w:rPr>
                <w:rFonts w:ascii="Arial Nova" w:eastAsia="MS Mincho" w:hAnsi="Arial Nova"/>
              </w:rPr>
              <w:t>2/60</w:t>
            </w:r>
          </w:p>
        </w:tc>
        <w:tc>
          <w:tcPr>
            <w:tcW w:w="768" w:type="pct"/>
            <w:vAlign w:val="center"/>
          </w:tcPr>
          <w:p w:rsidR="00476FD7" w:rsidRPr="00E8551A" w:rsidP="005A16FD" w14:paraId="18FE37D8" w14:textId="77777777">
            <w:pPr>
              <w:spacing w:line="276" w:lineRule="auto"/>
              <w:jc w:val="center"/>
              <w:rPr>
                <w:rFonts w:ascii="Arial Nova" w:eastAsia="MS Mincho" w:hAnsi="Arial Nova"/>
              </w:rPr>
            </w:pPr>
            <w:r w:rsidRPr="00E8551A">
              <w:rPr>
                <w:rFonts w:ascii="Arial Nova" w:eastAsia="MS Mincho" w:hAnsi="Arial Nova"/>
              </w:rPr>
              <w:t>2,480</w:t>
            </w:r>
          </w:p>
        </w:tc>
      </w:tr>
      <w:tr w14:paraId="4858ECBF" w14:textId="77777777" w:rsidTr="005A16FD">
        <w:tblPrEx>
          <w:tblW w:w="5273" w:type="pct"/>
          <w:tblCellMar>
            <w:left w:w="115" w:type="dxa"/>
            <w:right w:w="115" w:type="dxa"/>
          </w:tblCellMar>
          <w:tblLook w:val="04A0"/>
        </w:tblPrEx>
        <w:trPr>
          <w:trHeight w:val="329"/>
        </w:trPr>
        <w:tc>
          <w:tcPr>
            <w:tcW w:w="1010" w:type="pct"/>
            <w:vMerge/>
            <w:vAlign w:val="center"/>
          </w:tcPr>
          <w:p w:rsidR="00476FD7" w:rsidRPr="00E8551A" w:rsidP="005A16FD" w14:paraId="0407FD8B" w14:textId="77777777">
            <w:pPr>
              <w:spacing w:line="276" w:lineRule="auto"/>
              <w:jc w:val="center"/>
              <w:rPr>
                <w:rFonts w:ascii="Arial Nova" w:eastAsia="MS Mincho" w:hAnsi="Arial Nova"/>
              </w:rPr>
            </w:pPr>
          </w:p>
        </w:tc>
        <w:tc>
          <w:tcPr>
            <w:tcW w:w="957" w:type="pct"/>
            <w:shd w:val="clear" w:color="auto" w:fill="auto"/>
            <w:vAlign w:val="center"/>
          </w:tcPr>
          <w:p w:rsidR="00476FD7" w:rsidRPr="00E8551A" w:rsidP="005A16FD" w14:paraId="41967E02" w14:textId="77777777">
            <w:pPr>
              <w:spacing w:line="276" w:lineRule="auto"/>
              <w:jc w:val="center"/>
              <w:rPr>
                <w:rFonts w:ascii="Arial Nova" w:eastAsia="MS Mincho" w:hAnsi="Arial Nova"/>
              </w:rPr>
            </w:pPr>
            <w:r w:rsidRPr="00E8551A">
              <w:rPr>
                <w:rFonts w:ascii="Arial Nova" w:eastAsia="MS Mincho" w:hAnsi="Arial Nova"/>
              </w:rPr>
              <w:t>In-Depth Interviews (In Person</w:t>
            </w:r>
            <w:r>
              <w:rPr>
                <w:rFonts w:ascii="Arial Nova" w:eastAsia="MS Mincho" w:hAnsi="Arial Nova"/>
              </w:rPr>
              <w:t>, Online</w:t>
            </w:r>
            <w:r w:rsidRPr="00E8551A">
              <w:rPr>
                <w:rFonts w:ascii="Arial Nova" w:eastAsia="MS Mincho" w:hAnsi="Arial Nova"/>
              </w:rPr>
              <w:t>)</w:t>
            </w:r>
          </w:p>
        </w:tc>
        <w:tc>
          <w:tcPr>
            <w:tcW w:w="897" w:type="pct"/>
            <w:shd w:val="clear" w:color="auto" w:fill="auto"/>
            <w:vAlign w:val="center"/>
          </w:tcPr>
          <w:p w:rsidR="00476FD7" w:rsidRPr="00E8551A" w:rsidP="005A16FD" w14:paraId="456CFBA0" w14:textId="77777777">
            <w:pPr>
              <w:spacing w:line="276" w:lineRule="auto"/>
              <w:jc w:val="center"/>
              <w:rPr>
                <w:rFonts w:ascii="Arial Nova" w:eastAsia="MS Mincho" w:hAnsi="Arial Nova"/>
              </w:rPr>
            </w:pPr>
            <w:r w:rsidRPr="00E8551A">
              <w:rPr>
                <w:rFonts w:ascii="Arial Nova" w:eastAsia="MS Mincho" w:hAnsi="Arial Nova"/>
              </w:rPr>
              <w:t>25</w:t>
            </w:r>
          </w:p>
        </w:tc>
        <w:tc>
          <w:tcPr>
            <w:tcW w:w="726" w:type="pct"/>
            <w:shd w:val="clear" w:color="auto" w:fill="auto"/>
            <w:vAlign w:val="center"/>
          </w:tcPr>
          <w:p w:rsidR="00476FD7" w:rsidRPr="00E8551A" w:rsidP="005A16FD" w14:paraId="00FE0E5B"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2D797BBF" w14:textId="77777777">
            <w:pPr>
              <w:spacing w:line="276" w:lineRule="auto"/>
              <w:jc w:val="center"/>
              <w:rPr>
                <w:rFonts w:ascii="Arial Nova" w:eastAsia="MS Mincho" w:hAnsi="Arial Nova"/>
              </w:rPr>
            </w:pPr>
            <w:r w:rsidRPr="00E8551A">
              <w:rPr>
                <w:rFonts w:ascii="Arial Nova" w:eastAsia="MS Mincho" w:hAnsi="Arial Nova"/>
              </w:rPr>
              <w:t>1</w:t>
            </w:r>
          </w:p>
        </w:tc>
        <w:tc>
          <w:tcPr>
            <w:tcW w:w="768" w:type="pct"/>
            <w:vAlign w:val="center"/>
          </w:tcPr>
          <w:p w:rsidR="00476FD7" w:rsidRPr="00E8551A" w:rsidP="005A16FD" w14:paraId="288D1B31" w14:textId="77777777">
            <w:pPr>
              <w:spacing w:line="276" w:lineRule="auto"/>
              <w:jc w:val="center"/>
              <w:rPr>
                <w:rFonts w:ascii="Arial Nova" w:eastAsia="MS Mincho" w:hAnsi="Arial Nova"/>
              </w:rPr>
            </w:pPr>
            <w:r w:rsidRPr="00E8551A">
              <w:rPr>
                <w:rFonts w:ascii="Arial Nova" w:eastAsia="MS Mincho" w:hAnsi="Arial Nova"/>
              </w:rPr>
              <w:t>25</w:t>
            </w:r>
          </w:p>
        </w:tc>
      </w:tr>
      <w:tr w14:paraId="61E1213A" w14:textId="77777777" w:rsidTr="005A16FD">
        <w:tblPrEx>
          <w:tblW w:w="5273" w:type="pct"/>
          <w:tblCellMar>
            <w:left w:w="115" w:type="dxa"/>
            <w:right w:w="115" w:type="dxa"/>
          </w:tblCellMar>
          <w:tblLook w:val="04A0"/>
        </w:tblPrEx>
        <w:trPr>
          <w:trHeight w:val="329"/>
        </w:trPr>
        <w:tc>
          <w:tcPr>
            <w:tcW w:w="1010" w:type="pct"/>
            <w:vMerge/>
            <w:vAlign w:val="center"/>
          </w:tcPr>
          <w:p w:rsidR="00476FD7" w:rsidRPr="00E8551A" w:rsidP="005A16FD" w14:paraId="167F3797" w14:textId="77777777">
            <w:pPr>
              <w:spacing w:line="276" w:lineRule="auto"/>
              <w:jc w:val="center"/>
              <w:rPr>
                <w:rFonts w:ascii="Arial Nova" w:eastAsia="MS Mincho" w:hAnsi="Arial Nova"/>
              </w:rPr>
            </w:pPr>
          </w:p>
        </w:tc>
        <w:tc>
          <w:tcPr>
            <w:tcW w:w="957" w:type="pct"/>
            <w:shd w:val="clear" w:color="auto" w:fill="auto"/>
            <w:vAlign w:val="center"/>
          </w:tcPr>
          <w:p w:rsidR="00476FD7" w:rsidRPr="00E8551A" w:rsidP="005A16FD" w14:paraId="29844FB5" w14:textId="77777777">
            <w:pPr>
              <w:spacing w:line="276" w:lineRule="auto"/>
              <w:jc w:val="center"/>
              <w:rPr>
                <w:rFonts w:ascii="Arial Nova" w:eastAsia="MS Mincho" w:hAnsi="Arial Nova"/>
              </w:rPr>
            </w:pPr>
            <w:r w:rsidRPr="00E8551A">
              <w:rPr>
                <w:rFonts w:ascii="Arial Nova" w:eastAsia="MS Mincho" w:hAnsi="Arial Nova"/>
              </w:rPr>
              <w:t xml:space="preserve">Focus Groups </w:t>
            </w:r>
            <w:r w:rsidRPr="00E8551A">
              <w:rPr>
                <w:rFonts w:ascii="Arial Nova" w:eastAsia="MS Mincho" w:hAnsi="Arial Nova"/>
              </w:rPr>
              <w:br/>
              <w:t>(In Person</w:t>
            </w:r>
            <w:r>
              <w:rPr>
                <w:rFonts w:ascii="Arial Nova" w:eastAsia="MS Mincho" w:hAnsi="Arial Nova"/>
              </w:rPr>
              <w:t>, Online</w:t>
            </w:r>
            <w:r w:rsidRPr="00E8551A">
              <w:rPr>
                <w:rFonts w:ascii="Arial Nova" w:eastAsia="MS Mincho" w:hAnsi="Arial Nova"/>
              </w:rPr>
              <w:t>)</w:t>
            </w:r>
          </w:p>
        </w:tc>
        <w:tc>
          <w:tcPr>
            <w:tcW w:w="897" w:type="pct"/>
            <w:shd w:val="clear" w:color="auto" w:fill="auto"/>
            <w:vAlign w:val="center"/>
          </w:tcPr>
          <w:p w:rsidR="00476FD7" w:rsidRPr="00E8551A" w:rsidP="005A16FD" w14:paraId="53F2A0E7" w14:textId="77777777">
            <w:pPr>
              <w:spacing w:line="276" w:lineRule="auto"/>
              <w:jc w:val="center"/>
              <w:rPr>
                <w:rFonts w:ascii="Arial Nova" w:eastAsia="MS Mincho" w:hAnsi="Arial Nova"/>
              </w:rPr>
            </w:pPr>
            <w:r w:rsidRPr="00E8551A">
              <w:rPr>
                <w:rFonts w:ascii="Arial Nova" w:eastAsia="MS Mincho" w:hAnsi="Arial Nova"/>
              </w:rPr>
              <w:t>628</w:t>
            </w:r>
          </w:p>
        </w:tc>
        <w:tc>
          <w:tcPr>
            <w:tcW w:w="726" w:type="pct"/>
            <w:shd w:val="clear" w:color="auto" w:fill="auto"/>
            <w:vAlign w:val="center"/>
          </w:tcPr>
          <w:p w:rsidR="00476FD7" w:rsidRPr="00E8551A" w:rsidP="005A16FD" w14:paraId="1E13A911"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7349C145" w14:textId="77777777">
            <w:pPr>
              <w:spacing w:line="276" w:lineRule="auto"/>
              <w:jc w:val="center"/>
              <w:rPr>
                <w:rFonts w:ascii="Arial Nova" w:eastAsia="MS Mincho" w:hAnsi="Arial Nova"/>
              </w:rPr>
            </w:pPr>
            <w:r w:rsidRPr="00E8551A">
              <w:rPr>
                <w:rFonts w:ascii="Arial Nova" w:eastAsia="MS Mincho" w:hAnsi="Arial Nova"/>
              </w:rPr>
              <w:t>1.5</w:t>
            </w:r>
          </w:p>
        </w:tc>
        <w:tc>
          <w:tcPr>
            <w:tcW w:w="768" w:type="pct"/>
            <w:vAlign w:val="center"/>
          </w:tcPr>
          <w:p w:rsidR="00476FD7" w:rsidRPr="00E8551A" w:rsidP="005A16FD" w14:paraId="6F887AEF" w14:textId="77777777">
            <w:pPr>
              <w:spacing w:line="276" w:lineRule="auto"/>
              <w:jc w:val="center"/>
              <w:rPr>
                <w:rFonts w:ascii="Arial Nova" w:eastAsia="MS Mincho" w:hAnsi="Arial Nova"/>
              </w:rPr>
            </w:pPr>
            <w:r w:rsidRPr="00E8551A">
              <w:rPr>
                <w:rFonts w:ascii="Arial Nova" w:eastAsia="MS Mincho" w:hAnsi="Arial Nova"/>
              </w:rPr>
              <w:t>942</w:t>
            </w:r>
          </w:p>
        </w:tc>
      </w:tr>
      <w:tr w14:paraId="7AF8D599" w14:textId="77777777" w:rsidTr="005A16FD">
        <w:tblPrEx>
          <w:tblW w:w="5273" w:type="pct"/>
          <w:tblCellMar>
            <w:left w:w="115" w:type="dxa"/>
            <w:right w:w="115" w:type="dxa"/>
          </w:tblCellMar>
          <w:tblLook w:val="04A0"/>
        </w:tblPrEx>
        <w:trPr>
          <w:trHeight w:val="329"/>
        </w:trPr>
        <w:tc>
          <w:tcPr>
            <w:tcW w:w="1010" w:type="pct"/>
            <w:vMerge/>
            <w:vAlign w:val="center"/>
            <w:hideMark/>
          </w:tcPr>
          <w:p w:rsidR="00476FD7" w:rsidRPr="00E8551A" w:rsidP="005A16FD" w14:paraId="14C49866" w14:textId="77777777">
            <w:pPr>
              <w:spacing w:line="276" w:lineRule="auto"/>
              <w:jc w:val="center"/>
              <w:rPr>
                <w:rFonts w:ascii="Arial Nova" w:eastAsia="MS Mincho" w:hAnsi="Arial Nova"/>
              </w:rPr>
            </w:pPr>
          </w:p>
        </w:tc>
        <w:tc>
          <w:tcPr>
            <w:tcW w:w="957" w:type="pct"/>
            <w:shd w:val="clear" w:color="auto" w:fill="auto"/>
            <w:vAlign w:val="center"/>
            <w:hideMark/>
          </w:tcPr>
          <w:p w:rsidR="00476FD7" w:rsidRPr="00E8551A" w:rsidP="005A16FD" w14:paraId="55172ADD"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Short)</w:t>
            </w:r>
          </w:p>
        </w:tc>
        <w:tc>
          <w:tcPr>
            <w:tcW w:w="897" w:type="pct"/>
            <w:shd w:val="clear" w:color="auto" w:fill="auto"/>
            <w:vAlign w:val="center"/>
          </w:tcPr>
          <w:p w:rsidR="00476FD7" w:rsidRPr="00E8551A" w:rsidP="005A16FD" w14:paraId="74D447C2" w14:textId="77777777">
            <w:pPr>
              <w:spacing w:line="276" w:lineRule="auto"/>
              <w:jc w:val="center"/>
              <w:rPr>
                <w:rFonts w:ascii="Arial Nova" w:eastAsia="MS Mincho" w:hAnsi="Arial Nova"/>
              </w:rPr>
            </w:pPr>
            <w:r w:rsidRPr="00E8551A">
              <w:rPr>
                <w:rFonts w:ascii="Arial Nova" w:eastAsia="MS Mincho" w:hAnsi="Arial Nova"/>
              </w:rPr>
              <w:t>71,000</w:t>
            </w:r>
          </w:p>
        </w:tc>
        <w:tc>
          <w:tcPr>
            <w:tcW w:w="726" w:type="pct"/>
            <w:shd w:val="clear" w:color="auto" w:fill="auto"/>
            <w:vAlign w:val="center"/>
          </w:tcPr>
          <w:p w:rsidR="00476FD7" w:rsidRPr="00E8551A" w:rsidP="005A16FD" w14:paraId="0ED1D7C3"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234F181A" w14:textId="77777777">
            <w:pPr>
              <w:spacing w:line="276" w:lineRule="auto"/>
              <w:jc w:val="center"/>
              <w:rPr>
                <w:rFonts w:ascii="Arial Nova" w:eastAsia="MS Mincho" w:hAnsi="Arial Nova"/>
              </w:rPr>
            </w:pPr>
            <w:r w:rsidRPr="00E8551A">
              <w:rPr>
                <w:rFonts w:ascii="Arial Nova" w:eastAsia="MS Mincho" w:hAnsi="Arial Nova"/>
              </w:rPr>
              <w:t>20/60</w:t>
            </w:r>
          </w:p>
          <w:p w:rsidR="00476FD7" w:rsidRPr="00E8551A" w:rsidP="005A16FD" w14:paraId="2C5C6321" w14:textId="77777777">
            <w:pPr>
              <w:spacing w:line="276" w:lineRule="auto"/>
              <w:jc w:val="center"/>
              <w:rPr>
                <w:rFonts w:ascii="Arial Nova" w:eastAsia="MS Mincho" w:hAnsi="Arial Nova"/>
              </w:rPr>
            </w:pPr>
            <w:r w:rsidRPr="00E8551A">
              <w:rPr>
                <w:rFonts w:ascii="Arial Nova" w:eastAsia="MS Mincho" w:hAnsi="Arial Nova"/>
              </w:rPr>
              <w:t>13/60</w:t>
            </w:r>
          </w:p>
        </w:tc>
        <w:tc>
          <w:tcPr>
            <w:tcW w:w="768" w:type="pct"/>
            <w:vAlign w:val="center"/>
          </w:tcPr>
          <w:p w:rsidR="00476FD7" w:rsidRPr="00E8551A" w:rsidP="005A16FD" w14:paraId="6F53BFFA" w14:textId="77777777">
            <w:pPr>
              <w:spacing w:line="276" w:lineRule="auto"/>
              <w:jc w:val="center"/>
              <w:rPr>
                <w:rFonts w:ascii="Arial Nova" w:eastAsia="MS Mincho" w:hAnsi="Arial Nova"/>
              </w:rPr>
            </w:pPr>
            <w:r w:rsidRPr="00E8551A">
              <w:rPr>
                <w:rFonts w:ascii="Arial Nova" w:eastAsia="MS Mincho" w:hAnsi="Arial Nova"/>
              </w:rPr>
              <w:t>15,453</w:t>
            </w:r>
          </w:p>
        </w:tc>
      </w:tr>
      <w:tr w14:paraId="3703F2D3" w14:textId="77777777" w:rsidTr="005A16FD">
        <w:tblPrEx>
          <w:tblW w:w="5273" w:type="pct"/>
          <w:tblCellMar>
            <w:left w:w="115" w:type="dxa"/>
            <w:right w:w="115" w:type="dxa"/>
          </w:tblCellMar>
          <w:tblLook w:val="04A0"/>
        </w:tblPrEx>
        <w:trPr>
          <w:trHeight w:val="329"/>
        </w:trPr>
        <w:tc>
          <w:tcPr>
            <w:tcW w:w="1010" w:type="pct"/>
            <w:vMerge/>
            <w:shd w:val="clear" w:color="auto" w:fill="auto"/>
            <w:vAlign w:val="center"/>
            <w:hideMark/>
          </w:tcPr>
          <w:p w:rsidR="00476FD7" w:rsidRPr="00E8551A" w:rsidP="005A16FD" w14:paraId="3727517C" w14:textId="77777777">
            <w:pPr>
              <w:spacing w:line="276" w:lineRule="auto"/>
              <w:jc w:val="center"/>
              <w:rPr>
                <w:rFonts w:ascii="Arial Nova" w:eastAsia="MS Mincho" w:hAnsi="Arial Nova"/>
              </w:rPr>
            </w:pPr>
          </w:p>
        </w:tc>
        <w:tc>
          <w:tcPr>
            <w:tcW w:w="957" w:type="pct"/>
            <w:shd w:val="clear" w:color="auto" w:fill="auto"/>
            <w:vAlign w:val="center"/>
            <w:hideMark/>
          </w:tcPr>
          <w:p w:rsidR="00476FD7" w:rsidRPr="00E8551A" w:rsidP="005A16FD" w14:paraId="7A6DC21B" w14:textId="77777777">
            <w:pPr>
              <w:spacing w:line="276" w:lineRule="auto"/>
              <w:jc w:val="center"/>
              <w:rPr>
                <w:rFonts w:ascii="Arial Nova" w:eastAsia="MS Mincho" w:hAnsi="Arial Nova"/>
              </w:rPr>
            </w:pPr>
            <w:r w:rsidRPr="00E8551A">
              <w:rPr>
                <w:rFonts w:ascii="Arial Nova" w:eastAsia="MS Mincho" w:hAnsi="Arial Nova"/>
              </w:rPr>
              <w:t>Surveys</w:t>
            </w:r>
            <w:r w:rsidRPr="00E8551A">
              <w:rPr>
                <w:rFonts w:ascii="Arial Nova" w:eastAsia="MS Mincho" w:hAnsi="Arial Nova"/>
              </w:rPr>
              <w:br/>
              <w:t>(Online, Medium)</w:t>
            </w:r>
          </w:p>
        </w:tc>
        <w:tc>
          <w:tcPr>
            <w:tcW w:w="897" w:type="pct"/>
            <w:shd w:val="clear" w:color="auto" w:fill="auto"/>
            <w:vAlign w:val="center"/>
          </w:tcPr>
          <w:p w:rsidR="00476FD7" w:rsidRPr="00E8551A" w:rsidP="005A16FD" w14:paraId="5FBC91A0" w14:textId="77777777">
            <w:pPr>
              <w:spacing w:line="276" w:lineRule="auto"/>
              <w:jc w:val="center"/>
              <w:rPr>
                <w:rFonts w:ascii="Arial Nova" w:eastAsia="MS Mincho" w:hAnsi="Arial Nova"/>
              </w:rPr>
            </w:pPr>
            <w:r w:rsidRPr="00E8551A">
              <w:rPr>
                <w:rFonts w:ascii="Arial Nova" w:eastAsia="MS Mincho" w:hAnsi="Arial Nova"/>
              </w:rPr>
              <w:t>2,733</w:t>
            </w:r>
          </w:p>
        </w:tc>
        <w:tc>
          <w:tcPr>
            <w:tcW w:w="726" w:type="pct"/>
            <w:shd w:val="clear" w:color="auto" w:fill="auto"/>
            <w:vAlign w:val="center"/>
          </w:tcPr>
          <w:p w:rsidR="00476FD7" w:rsidRPr="00E8551A" w:rsidP="005A16FD" w14:paraId="602B7EDD" w14:textId="77777777">
            <w:pPr>
              <w:spacing w:line="276" w:lineRule="auto"/>
              <w:jc w:val="center"/>
              <w:rPr>
                <w:rFonts w:ascii="Arial Nova" w:eastAsia="MS Mincho" w:hAnsi="Arial Nova"/>
              </w:rPr>
            </w:pPr>
            <w:r w:rsidRPr="00E8551A">
              <w:rPr>
                <w:rFonts w:ascii="Arial Nova" w:eastAsia="MS Mincho" w:hAnsi="Arial Nova"/>
              </w:rPr>
              <w:t>1</w:t>
            </w:r>
          </w:p>
        </w:tc>
        <w:tc>
          <w:tcPr>
            <w:tcW w:w="642" w:type="pct"/>
            <w:shd w:val="clear" w:color="auto" w:fill="auto"/>
            <w:vAlign w:val="center"/>
          </w:tcPr>
          <w:p w:rsidR="00476FD7" w:rsidRPr="00E8551A" w:rsidP="005A16FD" w14:paraId="7FAED905" w14:textId="77777777">
            <w:pPr>
              <w:spacing w:line="276" w:lineRule="auto"/>
              <w:jc w:val="center"/>
              <w:rPr>
                <w:rFonts w:ascii="Arial Nova" w:eastAsia="MS Mincho" w:hAnsi="Arial Nova"/>
              </w:rPr>
            </w:pPr>
            <w:r w:rsidRPr="00E8551A">
              <w:rPr>
                <w:rFonts w:ascii="Arial Nova" w:eastAsia="MS Mincho" w:hAnsi="Arial Nova"/>
              </w:rPr>
              <w:t>25/60</w:t>
            </w:r>
          </w:p>
        </w:tc>
        <w:tc>
          <w:tcPr>
            <w:tcW w:w="768" w:type="pct"/>
            <w:vAlign w:val="center"/>
          </w:tcPr>
          <w:p w:rsidR="00476FD7" w:rsidRPr="00E8551A" w:rsidP="005A16FD" w14:paraId="71C894DE" w14:textId="77777777">
            <w:pPr>
              <w:spacing w:line="276" w:lineRule="auto"/>
              <w:jc w:val="center"/>
              <w:rPr>
                <w:rFonts w:ascii="Arial Nova" w:eastAsia="MS Mincho" w:hAnsi="Arial Nova"/>
              </w:rPr>
            </w:pPr>
            <w:r w:rsidRPr="00E8551A">
              <w:rPr>
                <w:rFonts w:ascii="Arial Nova" w:eastAsia="MS Mincho" w:hAnsi="Arial Nova"/>
              </w:rPr>
              <w:t>1,139</w:t>
            </w:r>
          </w:p>
        </w:tc>
      </w:tr>
      <w:tr w14:paraId="3A14560E" w14:textId="77777777" w:rsidTr="005A16FD">
        <w:tblPrEx>
          <w:tblW w:w="5273" w:type="pct"/>
          <w:tblCellMar>
            <w:left w:w="115" w:type="dxa"/>
            <w:right w:w="115" w:type="dxa"/>
          </w:tblCellMar>
          <w:tblLook w:val="04A0"/>
        </w:tblPrEx>
        <w:trPr>
          <w:trHeight w:val="329"/>
        </w:trPr>
        <w:tc>
          <w:tcPr>
            <w:tcW w:w="1010" w:type="pct"/>
            <w:shd w:val="clear" w:color="auto" w:fill="auto"/>
            <w:vAlign w:val="center"/>
          </w:tcPr>
          <w:p w:rsidR="00476FD7" w:rsidRPr="00716890" w:rsidP="005A16FD" w14:paraId="2D874AF7" w14:textId="77777777">
            <w:pPr>
              <w:spacing w:line="276" w:lineRule="auto"/>
              <w:jc w:val="center"/>
              <w:rPr>
                <w:rFonts w:ascii="Arial Nova" w:eastAsia="MS Mincho" w:hAnsi="Arial Nova"/>
              </w:rPr>
            </w:pPr>
            <w:r w:rsidRPr="00716890">
              <w:rPr>
                <w:rFonts w:ascii="Arial Nova" w:eastAsia="MS Mincho" w:hAnsi="Arial Nova"/>
              </w:rPr>
              <w:t>Total</w:t>
            </w:r>
          </w:p>
        </w:tc>
        <w:tc>
          <w:tcPr>
            <w:tcW w:w="957" w:type="pct"/>
            <w:shd w:val="clear" w:color="auto" w:fill="auto"/>
            <w:vAlign w:val="center"/>
          </w:tcPr>
          <w:p w:rsidR="00476FD7" w:rsidRPr="00716890" w:rsidP="005A16FD" w14:paraId="3A53B60E" w14:textId="77777777">
            <w:pPr>
              <w:spacing w:line="276" w:lineRule="auto"/>
              <w:jc w:val="center"/>
              <w:rPr>
                <w:rFonts w:ascii="Arial Nova" w:eastAsia="MS Mincho" w:hAnsi="Arial Nova"/>
              </w:rPr>
            </w:pPr>
          </w:p>
        </w:tc>
        <w:tc>
          <w:tcPr>
            <w:tcW w:w="897" w:type="pct"/>
            <w:shd w:val="clear" w:color="auto" w:fill="auto"/>
            <w:vAlign w:val="center"/>
          </w:tcPr>
          <w:p w:rsidR="00476FD7" w:rsidRPr="00716890" w:rsidP="005A16FD" w14:paraId="387C0623" w14:textId="77777777">
            <w:pPr>
              <w:spacing w:line="276" w:lineRule="auto"/>
              <w:jc w:val="center"/>
              <w:rPr>
                <w:rFonts w:ascii="Arial Nova" w:eastAsia="MS Mincho" w:hAnsi="Arial Nova"/>
              </w:rPr>
            </w:pPr>
            <w:r w:rsidRPr="00716890">
              <w:rPr>
                <w:rFonts w:ascii="Arial Nova" w:eastAsia="MS Mincho" w:hAnsi="Arial Nova"/>
              </w:rPr>
              <w:t>148,772</w:t>
            </w:r>
          </w:p>
        </w:tc>
        <w:tc>
          <w:tcPr>
            <w:tcW w:w="726" w:type="pct"/>
            <w:shd w:val="clear" w:color="auto" w:fill="auto"/>
            <w:vAlign w:val="center"/>
          </w:tcPr>
          <w:p w:rsidR="00476FD7" w:rsidRPr="00716890" w:rsidP="005A16FD" w14:paraId="09043865" w14:textId="77777777">
            <w:pPr>
              <w:spacing w:line="276" w:lineRule="auto"/>
              <w:jc w:val="center"/>
              <w:rPr>
                <w:rFonts w:ascii="Arial Nova" w:eastAsia="MS Mincho" w:hAnsi="Arial Nova"/>
              </w:rPr>
            </w:pPr>
          </w:p>
        </w:tc>
        <w:tc>
          <w:tcPr>
            <w:tcW w:w="642" w:type="pct"/>
            <w:shd w:val="clear" w:color="auto" w:fill="auto"/>
            <w:vAlign w:val="center"/>
          </w:tcPr>
          <w:p w:rsidR="00476FD7" w:rsidRPr="00716890" w:rsidP="005A16FD" w14:paraId="01F43FB4" w14:textId="77777777">
            <w:pPr>
              <w:spacing w:line="276" w:lineRule="auto"/>
              <w:jc w:val="center"/>
              <w:rPr>
                <w:rFonts w:ascii="Arial Nova" w:eastAsia="MS Mincho" w:hAnsi="Arial Nova"/>
              </w:rPr>
            </w:pPr>
          </w:p>
        </w:tc>
        <w:tc>
          <w:tcPr>
            <w:tcW w:w="768" w:type="pct"/>
            <w:vAlign w:val="center"/>
          </w:tcPr>
          <w:p w:rsidR="00476FD7" w:rsidRPr="00716890" w:rsidP="005A16FD" w14:paraId="123C9B09" w14:textId="77777777">
            <w:pPr>
              <w:spacing w:line="276" w:lineRule="auto"/>
              <w:jc w:val="center"/>
              <w:rPr>
                <w:rFonts w:ascii="Arial Nova" w:eastAsia="MS Mincho" w:hAnsi="Arial Nova"/>
              </w:rPr>
            </w:pPr>
            <w:r w:rsidRPr="00716890">
              <w:rPr>
                <w:rFonts w:ascii="Arial Nova" w:eastAsia="MS Mincho" w:hAnsi="Arial Nova"/>
              </w:rPr>
              <w:t>20,039</w:t>
            </w:r>
          </w:p>
        </w:tc>
      </w:tr>
    </w:tbl>
    <w:p w:rsidR="00476FD7" w:rsidP="00F92873" w14:paraId="393620E4" w14:textId="77777777">
      <w:pPr>
        <w:spacing w:line="276" w:lineRule="auto"/>
        <w:rPr>
          <w:rFonts w:ascii="Arial Nova" w:eastAsia="MS Mincho" w:hAnsi="Arial Nova"/>
        </w:rPr>
      </w:pPr>
    </w:p>
    <w:p w:rsidR="00344701" w:rsidRPr="00174127" w:rsidP="00F92873" w14:paraId="6C98A171" w14:textId="77777777">
      <w:pPr>
        <w:pStyle w:val="Heading2"/>
        <w:spacing w:before="0" w:line="276" w:lineRule="auto"/>
        <w:rPr>
          <w:rFonts w:ascii="Arial Nova" w:hAnsi="Arial Nova" w:cstheme="minorHAnsi"/>
          <w:i/>
          <w:color w:val="auto"/>
          <w:sz w:val="24"/>
          <w:szCs w:val="24"/>
        </w:rPr>
      </w:pPr>
      <w:bookmarkStart w:id="22" w:name="_Toc131505183"/>
      <w:r w:rsidRPr="00174127">
        <w:rPr>
          <w:rFonts w:ascii="Arial Nova" w:hAnsi="Arial Nova" w:cstheme="minorHAnsi"/>
          <w:i/>
          <w:color w:val="auto"/>
          <w:sz w:val="24"/>
          <w:szCs w:val="24"/>
        </w:rPr>
        <w:t xml:space="preserve">A13. Estimates of Other </w:t>
      </w:r>
      <w:r w:rsidRPr="00174127">
        <w:rPr>
          <w:rFonts w:ascii="Arial Nova" w:hAnsi="Arial Nova" w:cstheme="minorHAnsi"/>
          <w:i/>
          <w:color w:val="auto"/>
          <w:sz w:val="24"/>
          <w:szCs w:val="24"/>
        </w:rPr>
        <w:t>Total Annual Cost Burden to Respondents and Record Keepers</w:t>
      </w:r>
      <w:bookmarkEnd w:id="22"/>
    </w:p>
    <w:p w:rsidR="00E8551A" w:rsidP="00716890" w14:paraId="36766B5B" w14:textId="77777777">
      <w:pPr>
        <w:spacing w:before="100" w:beforeAutospacing="1" w:after="100" w:afterAutospacing="1" w:line="276" w:lineRule="auto"/>
        <w:rPr>
          <w:rFonts w:ascii="Arial Nova" w:hAnsi="Arial Nova" w:eastAsiaTheme="minorHAnsi" w:cstheme="minorBidi"/>
          <w:bCs/>
        </w:rPr>
      </w:pPr>
      <w:r w:rsidRPr="00347B64">
        <w:rPr>
          <w:rFonts w:ascii="Arial Nova" w:hAnsi="Arial Nova" w:eastAsiaTheme="minorHAnsi" w:cstheme="minorBidi"/>
          <w:bCs/>
        </w:rPr>
        <w:t>No respondent capital and maintenance costs are anticipated.</w:t>
      </w:r>
    </w:p>
    <w:p w:rsidR="001425F9" w:rsidRPr="00174127" w:rsidP="001425F9" w14:paraId="78014CE9" w14:textId="77777777">
      <w:pPr>
        <w:pStyle w:val="Heading2"/>
        <w:spacing w:line="276" w:lineRule="auto"/>
        <w:rPr>
          <w:rFonts w:ascii="Arial Nova" w:hAnsi="Arial Nova" w:cstheme="minorHAnsi"/>
          <w:i/>
          <w:color w:val="auto"/>
          <w:sz w:val="24"/>
          <w:szCs w:val="24"/>
        </w:rPr>
      </w:pPr>
      <w:bookmarkStart w:id="23" w:name="_Toc131505184"/>
      <w:r w:rsidRPr="00174127">
        <w:rPr>
          <w:rFonts w:ascii="Arial Nova" w:hAnsi="Arial Nova" w:cstheme="minorHAnsi"/>
          <w:i/>
          <w:color w:val="auto"/>
          <w:sz w:val="24"/>
          <w:szCs w:val="24"/>
        </w:rPr>
        <w:t>A14. Annualized Cost to the Federal Government</w:t>
      </w:r>
      <w:bookmarkEnd w:id="23"/>
    </w:p>
    <w:p w:rsidR="00716890" w:rsidP="00716890" w14:paraId="64F07217" w14:textId="77777777">
      <w:pPr>
        <w:keepNext/>
        <w:keepLines/>
        <w:tabs>
          <w:tab w:val="right" w:pos="9360"/>
        </w:tabs>
        <w:spacing w:before="100" w:beforeAutospacing="1" w:after="100" w:afterAutospacing="1" w:line="276" w:lineRule="auto"/>
        <w:rPr>
          <w:rFonts w:ascii="Arial Nova" w:hAnsi="Arial Nova"/>
          <w:bCs/>
        </w:rPr>
      </w:pPr>
      <w:r w:rsidRPr="004F51D9">
        <w:rPr>
          <w:rFonts w:ascii="Arial Nova" w:hAnsi="Arial Nova"/>
          <w:bCs/>
        </w:rPr>
        <w:t>Approximately 20% of one full-time equivalent (FTE) staff and 5% of one senior manager FT</w:t>
      </w:r>
      <w:r w:rsidRPr="004F51D9">
        <w:rPr>
          <w:rFonts w:ascii="Arial Nova" w:hAnsi="Arial Nova"/>
          <w:bCs/>
        </w:rPr>
        <w:t>E will be required to oversee this generic clearance and associated information collection requests. Additional responsibilities will include internal coordination of a specific Information Collection Requests and maintaining proper accounting of burden ho</w:t>
      </w:r>
      <w:r w:rsidRPr="004F51D9">
        <w:rPr>
          <w:rFonts w:ascii="Arial Nova" w:hAnsi="Arial Nova"/>
          <w:bCs/>
        </w:rPr>
        <w:t>urs. The total average annualized cost to the government for CDC oversight is $3</w:t>
      </w:r>
      <w:r w:rsidR="00E42262">
        <w:rPr>
          <w:rFonts w:ascii="Arial Nova" w:hAnsi="Arial Nova"/>
          <w:bCs/>
        </w:rPr>
        <w:t>6,217</w:t>
      </w:r>
      <w:r w:rsidRPr="004F51D9">
        <w:rPr>
          <w:rFonts w:ascii="Arial Nova" w:hAnsi="Arial Nova"/>
          <w:bCs/>
        </w:rPr>
        <w:t xml:space="preserve"> (Table A</w:t>
      </w:r>
      <w:r w:rsidR="00B31A72">
        <w:rPr>
          <w:rFonts w:ascii="Arial Nova" w:hAnsi="Arial Nova"/>
          <w:bCs/>
        </w:rPr>
        <w:t>1</w:t>
      </w:r>
      <w:r w:rsidRPr="004F51D9">
        <w:rPr>
          <w:rFonts w:ascii="Arial Nova" w:hAnsi="Arial Nova"/>
          <w:bCs/>
        </w:rPr>
        <w:t>4). The majority of</w:t>
      </w:r>
      <w:r w:rsidRPr="004F51D9">
        <w:rPr>
          <w:rFonts w:ascii="Arial Nova" w:hAnsi="Arial Nova"/>
          <w:bCs/>
        </w:rPr>
        <w:t xml:space="preserve"> data collections will be conducted by contractors on CDC’s behalf. The costs of each information collection activity will be itemized in the project-specific request submitted for approval under this generic clearance.</w:t>
      </w:r>
    </w:p>
    <w:p w:rsidR="00344701" w:rsidRPr="005F100C" w:rsidP="00716890" w14:paraId="7755C879" w14:textId="77777777">
      <w:pPr>
        <w:keepNext/>
        <w:keepLines/>
        <w:tabs>
          <w:tab w:val="right" w:pos="9360"/>
        </w:tabs>
        <w:spacing w:before="100" w:beforeAutospacing="1" w:after="100" w:afterAutospacing="1" w:line="276" w:lineRule="auto"/>
        <w:rPr>
          <w:rFonts w:ascii="Arial Nova" w:hAnsi="Arial Nova"/>
          <w:b/>
        </w:rPr>
      </w:pPr>
      <w:r w:rsidRPr="005F100C">
        <w:rPr>
          <w:rFonts w:ascii="Arial Nova" w:hAnsi="Arial Nova"/>
          <w:b/>
        </w:rPr>
        <w:t>Table A</w:t>
      </w:r>
      <w:r w:rsidR="00FA2984">
        <w:rPr>
          <w:rFonts w:ascii="Arial Nova" w:hAnsi="Arial Nova"/>
          <w:b/>
        </w:rPr>
        <w:t>1</w:t>
      </w:r>
      <w:r w:rsidRPr="005F100C">
        <w:rPr>
          <w:rFonts w:ascii="Arial Nova" w:hAnsi="Arial Nova"/>
          <w:b/>
        </w:rPr>
        <w:t>4</w:t>
      </w:r>
      <w:r w:rsidR="00B31A72">
        <w:rPr>
          <w:rFonts w:ascii="Arial Nova" w:hAnsi="Arial Nova"/>
          <w:b/>
        </w:rPr>
        <w:t>.</w:t>
      </w:r>
      <w:r w:rsidRPr="005F100C">
        <w:rPr>
          <w:rFonts w:ascii="Arial Nova" w:hAnsi="Arial Nova"/>
          <w:b/>
        </w:rPr>
        <w:t xml:space="preserve"> </w:t>
      </w:r>
      <w:r w:rsidRPr="00B31A72">
        <w:rPr>
          <w:rFonts w:ascii="Arial Nova" w:hAnsi="Arial Nova"/>
          <w:bCs/>
        </w:rPr>
        <w:t xml:space="preserve">Estimated </w:t>
      </w:r>
      <w:r w:rsidRPr="00B31A72">
        <w:rPr>
          <w:rFonts w:ascii="Arial Nova" w:hAnsi="Arial Nova"/>
          <w:bCs/>
        </w:rPr>
        <w:t>Annualized Cost to the Federal Government</w:t>
      </w:r>
    </w:p>
    <w:tbl>
      <w:tblPr>
        <w:tblStyle w:val="TableGrid1"/>
        <w:tblW w:w="0" w:type="auto"/>
        <w:tblLook w:val="04A0"/>
      </w:tblPr>
      <w:tblGrid>
        <w:gridCol w:w="2448"/>
        <w:gridCol w:w="1980"/>
        <w:gridCol w:w="2610"/>
        <w:gridCol w:w="1077"/>
      </w:tblGrid>
      <w:tr w14:paraId="598EBEDF" w14:textId="77777777" w:rsidTr="00206EC9">
        <w:tblPrEx>
          <w:tblW w:w="0" w:type="auto"/>
          <w:tblLook w:val="04A0"/>
        </w:tblPrEx>
        <w:tc>
          <w:tcPr>
            <w:tcW w:w="2448" w:type="dxa"/>
          </w:tcPr>
          <w:p w:rsidR="00344701" w:rsidRPr="004F51D9" w:rsidP="00344701" w14:paraId="30F8CE4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4F51D9">
              <w:rPr>
                <w:rFonts w:ascii="Arial Nova" w:eastAsia="Times New Roman" w:hAnsi="Arial Nova"/>
                <w:bCs/>
              </w:rPr>
              <w:t>Government Personnel</w:t>
            </w:r>
          </w:p>
        </w:tc>
        <w:tc>
          <w:tcPr>
            <w:tcW w:w="1980" w:type="dxa"/>
          </w:tcPr>
          <w:p w:rsidR="00344701" w:rsidRPr="00344701" w:rsidP="00344701" w14:paraId="540E719A"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Time Commitment</w:t>
            </w:r>
          </w:p>
        </w:tc>
        <w:tc>
          <w:tcPr>
            <w:tcW w:w="2610" w:type="dxa"/>
          </w:tcPr>
          <w:p w:rsidR="00344701" w:rsidRPr="00344701" w:rsidP="00344701" w14:paraId="49290BCB"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Average Annual Salary</w:t>
            </w:r>
          </w:p>
        </w:tc>
        <w:tc>
          <w:tcPr>
            <w:tcW w:w="990" w:type="dxa"/>
          </w:tcPr>
          <w:p w:rsidR="00344701" w:rsidRPr="00344701" w:rsidP="00344701" w14:paraId="46B6455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Total</w:t>
            </w:r>
          </w:p>
        </w:tc>
      </w:tr>
      <w:tr w14:paraId="24171C71" w14:textId="77777777" w:rsidTr="00206EC9">
        <w:tblPrEx>
          <w:tblW w:w="0" w:type="auto"/>
          <w:tblLook w:val="04A0"/>
        </w:tblPrEx>
        <w:tc>
          <w:tcPr>
            <w:tcW w:w="2448" w:type="dxa"/>
          </w:tcPr>
          <w:p w:rsidR="00344701" w:rsidRPr="00344701" w:rsidP="00344701" w14:paraId="543D478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GS-13</w:t>
            </w:r>
          </w:p>
        </w:tc>
        <w:tc>
          <w:tcPr>
            <w:tcW w:w="1980" w:type="dxa"/>
          </w:tcPr>
          <w:p w:rsidR="00344701" w:rsidRPr="00344701" w:rsidP="00344701" w14:paraId="4DEEE48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20%</w:t>
            </w:r>
          </w:p>
        </w:tc>
        <w:tc>
          <w:tcPr>
            <w:tcW w:w="2610" w:type="dxa"/>
          </w:tcPr>
          <w:p w:rsidR="00344701" w:rsidRPr="00344701" w:rsidP="00344701" w14:paraId="60C310D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 xml:space="preserve">$ </w:t>
            </w:r>
            <w:r w:rsidRPr="000A00FE" w:rsidR="000A00FE">
              <w:rPr>
                <w:rFonts w:ascii="Arial Nova" w:eastAsia="Times New Roman" w:hAnsi="Arial Nova"/>
                <w:bCs/>
              </w:rPr>
              <w:t>135,209</w:t>
            </w:r>
          </w:p>
        </w:tc>
        <w:tc>
          <w:tcPr>
            <w:tcW w:w="990" w:type="dxa"/>
          </w:tcPr>
          <w:p w:rsidR="00344701" w:rsidRPr="00344701" w:rsidP="00344701" w14:paraId="366A38F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27,042</w:t>
            </w:r>
          </w:p>
        </w:tc>
      </w:tr>
      <w:tr w14:paraId="6F942C33" w14:textId="77777777" w:rsidTr="00206EC9">
        <w:tblPrEx>
          <w:tblW w:w="0" w:type="auto"/>
          <w:tblLook w:val="04A0"/>
        </w:tblPrEx>
        <w:tc>
          <w:tcPr>
            <w:tcW w:w="2448" w:type="dxa"/>
          </w:tcPr>
          <w:p w:rsidR="00344701" w:rsidRPr="00344701" w:rsidP="00344701" w14:paraId="25AAD8F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GS-15</w:t>
            </w:r>
          </w:p>
        </w:tc>
        <w:tc>
          <w:tcPr>
            <w:tcW w:w="1980" w:type="dxa"/>
          </w:tcPr>
          <w:p w:rsidR="00344701" w:rsidRPr="00344701" w:rsidP="00344701" w14:paraId="265170B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5%</w:t>
            </w:r>
          </w:p>
        </w:tc>
        <w:tc>
          <w:tcPr>
            <w:tcW w:w="2610" w:type="dxa"/>
          </w:tcPr>
          <w:p w:rsidR="00344701" w:rsidRPr="00344701" w:rsidP="00344701" w14:paraId="1D5EDEA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00"/>
              <w:rPr>
                <w:rFonts w:ascii="Arial Nova" w:eastAsia="Times New Roman" w:hAnsi="Arial Nova"/>
                <w:bCs/>
              </w:rPr>
            </w:pPr>
            <w:r w:rsidRPr="00344701">
              <w:rPr>
                <w:rFonts w:ascii="Arial Nova" w:eastAsia="Times New Roman" w:hAnsi="Arial Nova"/>
                <w:bCs/>
              </w:rPr>
              <w:t xml:space="preserve">$ </w:t>
            </w:r>
            <w:r w:rsidRPr="000A00FE" w:rsidR="000A00FE">
              <w:rPr>
                <w:rFonts w:ascii="Arial Nova" w:eastAsia="Times New Roman" w:hAnsi="Arial Nova"/>
                <w:bCs/>
              </w:rPr>
              <w:t>183,500</w:t>
            </w:r>
          </w:p>
        </w:tc>
        <w:tc>
          <w:tcPr>
            <w:tcW w:w="990" w:type="dxa"/>
          </w:tcPr>
          <w:p w:rsidR="00344701" w:rsidRPr="00344701" w:rsidP="00344701" w14:paraId="5B91486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9,175</w:t>
            </w:r>
          </w:p>
        </w:tc>
      </w:tr>
      <w:tr w14:paraId="4AB48BA9" w14:textId="77777777" w:rsidTr="00206EC9">
        <w:tblPrEx>
          <w:tblW w:w="0" w:type="auto"/>
          <w:tblLook w:val="04A0"/>
        </w:tblPrEx>
        <w:tc>
          <w:tcPr>
            <w:tcW w:w="7038" w:type="dxa"/>
            <w:gridSpan w:val="3"/>
          </w:tcPr>
          <w:p w:rsidR="00344701" w:rsidRPr="00344701" w:rsidP="00716890" w14:paraId="22709FF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Nova" w:eastAsia="Times New Roman" w:hAnsi="Arial Nova"/>
                <w:bCs/>
              </w:rPr>
            </w:pPr>
            <w:r w:rsidRPr="00344701">
              <w:rPr>
                <w:rFonts w:ascii="Arial Nova" w:eastAsia="Times New Roman" w:hAnsi="Arial Nova"/>
                <w:bCs/>
              </w:rPr>
              <w:t>Total</w:t>
            </w:r>
          </w:p>
        </w:tc>
        <w:tc>
          <w:tcPr>
            <w:tcW w:w="990" w:type="dxa"/>
          </w:tcPr>
          <w:p w:rsidR="00344701" w:rsidRPr="00344701" w:rsidP="00344701" w14:paraId="55B638F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eastAsia="Times New Roman" w:hAnsi="Arial Nova"/>
                <w:bCs/>
              </w:rPr>
            </w:pPr>
            <w:r w:rsidRPr="00344701">
              <w:rPr>
                <w:rFonts w:ascii="Arial Nova" w:eastAsia="Times New Roman" w:hAnsi="Arial Nova"/>
                <w:bCs/>
              </w:rPr>
              <w:t>$</w:t>
            </w:r>
            <w:r w:rsidR="000A00FE">
              <w:rPr>
                <w:rFonts w:ascii="Arial Nova" w:eastAsia="Times New Roman" w:hAnsi="Arial Nova"/>
                <w:bCs/>
              </w:rPr>
              <w:t>36,217</w:t>
            </w:r>
          </w:p>
        </w:tc>
      </w:tr>
    </w:tbl>
    <w:p w:rsidR="00DA1523" w:rsidRPr="00174127" w:rsidP="00F92873" w14:paraId="0B5EBF1E" w14:textId="77777777">
      <w:pPr>
        <w:spacing w:line="276" w:lineRule="auto"/>
        <w:rPr>
          <w:rFonts w:ascii="Arial Nova" w:hAnsi="Arial Nova"/>
          <w:b/>
          <w:color w:val="F79646" w:themeColor="accent6"/>
        </w:rPr>
      </w:pPr>
    </w:p>
    <w:p w:rsidR="00D770BA" w:rsidRPr="00FA59C4" w:rsidP="00F92873" w14:paraId="4CD6AAE1" w14:textId="77777777">
      <w:pPr>
        <w:pStyle w:val="Heading2"/>
        <w:spacing w:before="0" w:line="276" w:lineRule="auto"/>
        <w:rPr>
          <w:rFonts w:ascii="Arial Nova" w:hAnsi="Arial Nova" w:cstheme="minorHAnsi"/>
          <w:i/>
          <w:color w:val="auto"/>
          <w:sz w:val="24"/>
          <w:szCs w:val="24"/>
        </w:rPr>
      </w:pPr>
      <w:bookmarkStart w:id="24" w:name="_Toc131505185"/>
      <w:r w:rsidRPr="00174127">
        <w:rPr>
          <w:rFonts w:ascii="Arial Nova" w:hAnsi="Arial Nova" w:cstheme="minorHAnsi"/>
          <w:i/>
          <w:color w:val="auto"/>
          <w:sz w:val="24"/>
          <w:szCs w:val="24"/>
        </w:rPr>
        <w:t>A15. Explanation for Program Changes or Adjustments</w:t>
      </w:r>
      <w:bookmarkEnd w:id="24"/>
    </w:p>
    <w:p w:rsidR="008F2AB5" w:rsidRPr="008F2AB5" w:rsidP="005F100C" w14:paraId="6266506E" w14:textId="77777777">
      <w:pPr>
        <w:spacing w:before="100" w:beforeAutospacing="1" w:after="100" w:afterAutospacing="1" w:line="276" w:lineRule="auto"/>
        <w:rPr>
          <w:rFonts w:ascii="Arial Nova" w:hAnsi="Arial Nova" w:eastAsiaTheme="minorHAnsi" w:cstheme="minorBidi"/>
          <w:bCs/>
          <w:iCs/>
        </w:rPr>
      </w:pPr>
      <w:r w:rsidRPr="008F2AB5">
        <w:rPr>
          <w:rFonts w:ascii="Arial Nova" w:hAnsi="Arial Nova" w:eastAsiaTheme="minorHAnsi" w:cstheme="minorBidi"/>
          <w:bCs/>
          <w:iCs/>
        </w:rPr>
        <w:t xml:space="preserve">This package is a </w:t>
      </w:r>
      <w:r w:rsidRPr="008F2AB5">
        <w:rPr>
          <w:rFonts w:ascii="Arial Nova" w:hAnsi="Arial Nova" w:eastAsiaTheme="minorHAnsi" w:cstheme="minorBidi"/>
          <w:bCs/>
          <w:iCs/>
        </w:rPr>
        <w:t>three-year renewal request, with changes, to the 0920-0910 MTTCA clearance. The changes that are being proposed are as follows:</w:t>
      </w:r>
    </w:p>
    <w:p w:rsidR="002F2447" w:rsidRPr="00574470" w:rsidP="009B269B" w14:paraId="0A286BDF" w14:textId="77777777">
      <w:pPr>
        <w:pStyle w:val="ListParagraph"/>
        <w:numPr>
          <w:ilvl w:val="0"/>
          <w:numId w:val="4"/>
        </w:numPr>
        <w:spacing w:before="100" w:beforeAutospacing="1" w:after="100" w:afterAutospacing="1" w:line="276" w:lineRule="auto"/>
        <w:rPr>
          <w:rFonts w:ascii="Arial Nova" w:hAnsi="Arial Nova" w:eastAsiaTheme="minorHAnsi" w:cstheme="minorBidi"/>
          <w:b/>
          <w:iCs/>
        </w:rPr>
      </w:pPr>
      <w:r w:rsidRPr="00716890">
        <w:rPr>
          <w:rFonts w:ascii="Arial Nova" w:hAnsi="Arial Nova" w:eastAsiaTheme="minorHAnsi" w:cstheme="minorBidi"/>
          <w:bCs/>
          <w:iCs/>
        </w:rPr>
        <w:t xml:space="preserve">Increase the number of estimated annualized responses (from </w:t>
      </w:r>
      <w:r w:rsidRPr="00716890" w:rsidR="004673F1">
        <w:rPr>
          <w:rFonts w:ascii="Arial Nova" w:hAnsi="Arial Nova" w:eastAsiaTheme="minorHAnsi" w:cstheme="minorBidi"/>
          <w:bCs/>
          <w:iCs/>
        </w:rPr>
        <w:t>77,522</w:t>
      </w:r>
      <w:r w:rsidRPr="00716890">
        <w:rPr>
          <w:rFonts w:ascii="Arial Nova" w:hAnsi="Arial Nova" w:eastAsiaTheme="minorHAnsi" w:cstheme="minorBidi"/>
          <w:bCs/>
          <w:iCs/>
        </w:rPr>
        <w:t xml:space="preserve"> previously approved to 148,772) and increase the estimated an</w:t>
      </w:r>
      <w:r w:rsidRPr="00716890">
        <w:rPr>
          <w:rFonts w:ascii="Arial Nova" w:hAnsi="Arial Nova" w:eastAsiaTheme="minorHAnsi" w:cstheme="minorBidi"/>
          <w:bCs/>
          <w:iCs/>
        </w:rPr>
        <w:t xml:space="preserve">nualized burden hours (from </w:t>
      </w:r>
      <w:r w:rsidRPr="00716890" w:rsidR="004673F1">
        <w:rPr>
          <w:rFonts w:ascii="Arial Nova" w:hAnsi="Arial Nova" w:eastAsiaTheme="minorHAnsi" w:cstheme="minorBidi"/>
          <w:bCs/>
          <w:iCs/>
        </w:rPr>
        <w:t>10,458</w:t>
      </w:r>
      <w:r w:rsidRPr="00716890">
        <w:rPr>
          <w:rFonts w:ascii="Arial Nova" w:hAnsi="Arial Nova" w:eastAsiaTheme="minorHAnsi" w:cstheme="minorBidi"/>
          <w:bCs/>
          <w:iCs/>
        </w:rPr>
        <w:t xml:space="preserve"> previously approved to </w:t>
      </w:r>
      <w:r w:rsidRPr="00716890" w:rsidR="00F409D5">
        <w:rPr>
          <w:rFonts w:ascii="Arial Nova" w:hAnsi="Arial Nova" w:eastAsiaTheme="minorHAnsi" w:cstheme="minorBidi"/>
          <w:bCs/>
          <w:iCs/>
        </w:rPr>
        <w:t>20,039</w:t>
      </w:r>
      <w:r w:rsidRPr="00716890">
        <w:rPr>
          <w:rFonts w:ascii="Arial Nova" w:hAnsi="Arial Nova" w:eastAsiaTheme="minorHAnsi" w:cstheme="minorBidi"/>
          <w:bCs/>
          <w:iCs/>
        </w:rPr>
        <w:t xml:space="preserve">) starting on the current expiration date of </w:t>
      </w:r>
      <w:r w:rsidRPr="00716890" w:rsidR="00FD277F">
        <w:rPr>
          <w:rFonts w:ascii="Arial Nova" w:hAnsi="Arial Nova" w:eastAsiaTheme="minorHAnsi" w:cstheme="minorBidi"/>
          <w:bCs/>
          <w:iCs/>
        </w:rPr>
        <w:t>January</w:t>
      </w:r>
      <w:r w:rsidRPr="00716890">
        <w:rPr>
          <w:rFonts w:ascii="Arial Nova" w:hAnsi="Arial Nova" w:eastAsiaTheme="minorHAnsi" w:cstheme="minorBidi"/>
          <w:bCs/>
          <w:iCs/>
        </w:rPr>
        <w:t xml:space="preserve"> 31, 2024 to account for planned future activities such as message platform testing, rough-cut testing, and to accommodate some unanticipated activities. Our experience has shown that some needs develop later in the generic clearance period and we need fle</w:t>
      </w:r>
      <w:r w:rsidRPr="00716890">
        <w:rPr>
          <w:rFonts w:ascii="Arial Nova" w:hAnsi="Arial Nova" w:eastAsiaTheme="minorHAnsi" w:cstheme="minorBidi"/>
          <w:bCs/>
          <w:iCs/>
        </w:rPr>
        <w:t xml:space="preserve">xibility to accommodate these requests. The principal sources of increases are in the areas of screening and recruitment and short surveys. An itemized summary of estimated changes is provided </w:t>
      </w:r>
      <w:r w:rsidRPr="00716890" w:rsidR="008B57DA">
        <w:rPr>
          <w:rFonts w:ascii="Arial Nova" w:hAnsi="Arial Nova" w:eastAsiaTheme="minorHAnsi" w:cstheme="minorBidi"/>
          <w:bCs/>
          <w:iCs/>
        </w:rPr>
        <w:t xml:space="preserve">in Table A15 </w:t>
      </w:r>
      <w:r w:rsidRPr="00716890">
        <w:rPr>
          <w:rFonts w:ascii="Arial Nova" w:hAnsi="Arial Nova" w:eastAsiaTheme="minorHAnsi" w:cstheme="minorBidi"/>
          <w:bCs/>
          <w:iCs/>
        </w:rPr>
        <w:t>below.</w:t>
      </w:r>
      <w:r w:rsidRPr="002F2447">
        <w:t xml:space="preserve"> </w:t>
      </w:r>
    </w:p>
    <w:p w:rsidR="002F2447" w:rsidRPr="00574470" w:rsidP="00574470" w14:paraId="4BBF10AB" w14:textId="77777777">
      <w:pPr>
        <w:pStyle w:val="ListParagraph"/>
        <w:numPr>
          <w:ilvl w:val="0"/>
          <w:numId w:val="4"/>
        </w:numPr>
        <w:spacing w:before="100" w:beforeAutospacing="1" w:after="100" w:afterAutospacing="1" w:line="276" w:lineRule="auto"/>
        <w:rPr>
          <w:rFonts w:ascii="Arial Nova" w:hAnsi="Arial Nova" w:eastAsiaTheme="minorHAnsi" w:cstheme="minorBidi"/>
          <w:b/>
          <w:iCs/>
        </w:rPr>
      </w:pPr>
      <w:r>
        <w:rPr>
          <w:rFonts w:ascii="Arial Nova" w:hAnsi="Arial Nova" w:eastAsiaTheme="minorHAnsi" w:cstheme="minorBidi"/>
          <w:bCs/>
          <w:iCs/>
        </w:rPr>
        <w:t>R</w:t>
      </w:r>
      <w:r w:rsidRPr="002F2447">
        <w:rPr>
          <w:rFonts w:ascii="Arial Nova" w:hAnsi="Arial Nova" w:eastAsiaTheme="minorHAnsi" w:cstheme="minorBidi"/>
          <w:bCs/>
          <w:iCs/>
        </w:rPr>
        <w:t xml:space="preserve">emove the upper age limit, previously 54 years of age, to include all adults aged 18 years </w:t>
      </w:r>
      <w:r w:rsidR="005F7AA0">
        <w:rPr>
          <w:rFonts w:ascii="Arial Nova" w:hAnsi="Arial Nova" w:eastAsiaTheme="minorHAnsi" w:cstheme="minorBidi"/>
          <w:bCs/>
          <w:iCs/>
        </w:rPr>
        <w:t>or</w:t>
      </w:r>
      <w:r w:rsidRPr="002F2447" w:rsidR="005F7AA0">
        <w:rPr>
          <w:rFonts w:ascii="Arial Nova" w:hAnsi="Arial Nova" w:eastAsiaTheme="minorHAnsi" w:cstheme="minorBidi"/>
          <w:bCs/>
          <w:iCs/>
        </w:rPr>
        <w:t xml:space="preserve"> </w:t>
      </w:r>
      <w:r w:rsidRPr="002F2447">
        <w:rPr>
          <w:rFonts w:ascii="Arial Nova" w:hAnsi="Arial Nova" w:eastAsiaTheme="minorHAnsi" w:cstheme="minorBidi"/>
          <w:bCs/>
          <w:iCs/>
        </w:rPr>
        <w:t>older.</w:t>
      </w:r>
    </w:p>
    <w:p w:rsidR="008F2AB5" w:rsidRPr="00F06743" w:rsidP="008F2AB5" w14:paraId="7BEF54F9" w14:textId="77777777">
      <w:pPr>
        <w:pStyle w:val="bodytextpsg"/>
        <w:spacing w:after="0" w:line="240" w:lineRule="auto"/>
        <w:ind w:firstLine="0"/>
        <w:rPr>
          <w:rFonts w:ascii="Arial Nova" w:hAnsi="Arial Nova" w:eastAsiaTheme="minorHAnsi" w:cstheme="minorBidi"/>
          <w:b/>
          <w:iCs/>
          <w:szCs w:val="24"/>
        </w:rPr>
      </w:pPr>
      <w:r w:rsidRPr="00F06743">
        <w:rPr>
          <w:rFonts w:ascii="Arial Nova" w:hAnsi="Arial Nova" w:eastAsiaTheme="minorHAnsi" w:cstheme="minorBidi"/>
          <w:b/>
          <w:iCs/>
          <w:szCs w:val="24"/>
        </w:rPr>
        <w:t>Table A</w:t>
      </w:r>
      <w:r w:rsidR="00B31A72">
        <w:rPr>
          <w:rFonts w:ascii="Arial Nova" w:hAnsi="Arial Nova" w:eastAsiaTheme="minorHAnsi" w:cstheme="minorBidi"/>
          <w:b/>
          <w:iCs/>
          <w:szCs w:val="24"/>
        </w:rPr>
        <w:t>1</w:t>
      </w:r>
      <w:r w:rsidRPr="00F06743">
        <w:rPr>
          <w:rFonts w:ascii="Arial Nova" w:hAnsi="Arial Nova" w:eastAsiaTheme="minorHAnsi" w:cstheme="minorBidi"/>
          <w:b/>
          <w:iCs/>
          <w:szCs w:val="24"/>
        </w:rPr>
        <w:t xml:space="preserve">5. </w:t>
      </w:r>
      <w:r w:rsidRPr="00B31A72">
        <w:rPr>
          <w:rFonts w:ascii="Arial Nova" w:hAnsi="Arial Nova" w:eastAsiaTheme="minorHAnsi" w:cstheme="minorBidi"/>
          <w:bCs/>
          <w:iCs/>
          <w:szCs w:val="24"/>
        </w:rPr>
        <w:t>Proposed Burden Changes</w:t>
      </w:r>
    </w:p>
    <w:tbl>
      <w:tblPr>
        <w:tblStyle w:val="TableGrid2"/>
        <w:tblpPr w:leftFromText="180" w:rightFromText="180" w:vertAnchor="text" w:horzAnchor="margin" w:tblpY="170"/>
        <w:tblW w:w="10885" w:type="dxa"/>
        <w:tblLayout w:type="fixed"/>
        <w:tblLook w:val="04A0"/>
      </w:tblPr>
      <w:tblGrid>
        <w:gridCol w:w="2065"/>
        <w:gridCol w:w="1710"/>
        <w:gridCol w:w="1170"/>
        <w:gridCol w:w="1710"/>
        <w:gridCol w:w="1170"/>
        <w:gridCol w:w="1710"/>
        <w:gridCol w:w="1350"/>
      </w:tblGrid>
      <w:tr w14:paraId="1BD3BFAB" w14:textId="77777777" w:rsidTr="008F2AB5">
        <w:tblPrEx>
          <w:tblW w:w="10885" w:type="dxa"/>
          <w:tblLayout w:type="fixed"/>
          <w:tblLook w:val="04A0"/>
        </w:tblPrEx>
        <w:tc>
          <w:tcPr>
            <w:tcW w:w="2065" w:type="dxa"/>
          </w:tcPr>
          <w:p w:rsidR="008F2AB5" w:rsidRPr="004815A8" w:rsidP="008F2AB5" w14:paraId="279BC10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bookmarkStart w:id="25" w:name="_Hlk20396828"/>
          </w:p>
        </w:tc>
        <w:tc>
          <w:tcPr>
            <w:tcW w:w="2880" w:type="dxa"/>
            <w:gridSpan w:val="2"/>
            <w:tcBorders>
              <w:right w:val="single" w:sz="12" w:space="0" w:color="auto"/>
            </w:tcBorders>
          </w:tcPr>
          <w:p w:rsidR="008F2AB5" w:rsidRPr="004815A8" w:rsidP="008F2AB5" w14:paraId="1D490B0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Previous Approval</w:t>
            </w:r>
          </w:p>
        </w:tc>
        <w:tc>
          <w:tcPr>
            <w:tcW w:w="5940" w:type="dxa"/>
            <w:gridSpan w:val="4"/>
            <w:tcBorders>
              <w:left w:val="single" w:sz="12" w:space="0" w:color="auto"/>
            </w:tcBorders>
          </w:tcPr>
          <w:p w:rsidR="008F2AB5" w:rsidRPr="004815A8" w:rsidP="008F2AB5" w14:paraId="1638CB1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Proposed Changes for Current Revision</w:t>
            </w:r>
          </w:p>
        </w:tc>
      </w:tr>
      <w:tr w14:paraId="5C712AA8" w14:textId="77777777" w:rsidTr="008F2AB5">
        <w:tblPrEx>
          <w:tblW w:w="10885" w:type="dxa"/>
          <w:tblLayout w:type="fixed"/>
          <w:tblLook w:val="04A0"/>
        </w:tblPrEx>
        <w:tc>
          <w:tcPr>
            <w:tcW w:w="2065" w:type="dxa"/>
            <w:vAlign w:val="bottom"/>
          </w:tcPr>
          <w:p w:rsidR="008F2AB5" w:rsidRPr="004815A8" w:rsidP="008F2AB5" w14:paraId="256CD13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Data Collection Method</w:t>
            </w:r>
          </w:p>
        </w:tc>
        <w:tc>
          <w:tcPr>
            <w:tcW w:w="1710" w:type="dxa"/>
            <w:vAlign w:val="bottom"/>
          </w:tcPr>
          <w:p w:rsidR="008F2AB5" w:rsidRPr="004815A8" w:rsidP="008F2AB5" w14:paraId="5AA24F5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Respondents</w:t>
            </w:r>
          </w:p>
        </w:tc>
        <w:tc>
          <w:tcPr>
            <w:tcW w:w="1170" w:type="dxa"/>
            <w:tcBorders>
              <w:right w:val="single" w:sz="12" w:space="0" w:color="auto"/>
            </w:tcBorders>
            <w:vAlign w:val="bottom"/>
          </w:tcPr>
          <w:p w:rsidR="008F2AB5" w:rsidRPr="004815A8" w:rsidP="008F2AB5" w14:paraId="1FCAB73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Burden Hours</w:t>
            </w:r>
          </w:p>
        </w:tc>
        <w:tc>
          <w:tcPr>
            <w:tcW w:w="1710" w:type="dxa"/>
            <w:tcBorders>
              <w:left w:val="single" w:sz="12" w:space="0" w:color="auto"/>
            </w:tcBorders>
            <w:vAlign w:val="bottom"/>
          </w:tcPr>
          <w:p w:rsidR="008F2AB5" w:rsidRPr="004815A8" w:rsidP="008F2AB5" w14:paraId="3EE28C9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 xml:space="preserve">No. </w:t>
            </w:r>
            <w:r w:rsidRPr="004815A8">
              <w:rPr>
                <w:rFonts w:ascii="Arial Nova" w:hAnsi="Arial Nova" w:eastAsiaTheme="minorHAnsi" w:cstheme="minorBidi"/>
                <w:bCs/>
                <w:iCs/>
              </w:rPr>
              <w:t>Respondents</w:t>
            </w:r>
          </w:p>
        </w:tc>
        <w:tc>
          <w:tcPr>
            <w:tcW w:w="1170" w:type="dxa"/>
            <w:vAlign w:val="bottom"/>
          </w:tcPr>
          <w:p w:rsidR="008F2AB5" w:rsidRPr="004815A8" w:rsidP="008F2AB5" w14:paraId="1437989B"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No. Burden Hours</w:t>
            </w:r>
          </w:p>
        </w:tc>
        <w:tc>
          <w:tcPr>
            <w:tcW w:w="1710" w:type="dxa"/>
            <w:vAlign w:val="bottom"/>
          </w:tcPr>
          <w:p w:rsidR="008F2AB5" w:rsidRPr="004815A8" w:rsidP="008F2AB5" w14:paraId="33E6247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Change in Respondents</w:t>
            </w:r>
          </w:p>
        </w:tc>
        <w:tc>
          <w:tcPr>
            <w:tcW w:w="1350" w:type="dxa"/>
            <w:vAlign w:val="bottom"/>
          </w:tcPr>
          <w:p w:rsidR="008F2AB5" w:rsidRPr="004815A8" w:rsidP="008F2AB5" w14:paraId="1F10A40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Increase in Burden Hours</w:t>
            </w:r>
          </w:p>
        </w:tc>
      </w:tr>
      <w:tr w14:paraId="41089613" w14:textId="77777777" w:rsidTr="008F2AB5">
        <w:tblPrEx>
          <w:tblW w:w="10885" w:type="dxa"/>
          <w:tblLayout w:type="fixed"/>
          <w:tblLook w:val="04A0"/>
        </w:tblPrEx>
        <w:tc>
          <w:tcPr>
            <w:tcW w:w="2065" w:type="dxa"/>
          </w:tcPr>
          <w:p w:rsidR="008F2AB5" w:rsidRPr="004815A8" w:rsidP="008F2AB5" w14:paraId="7C7E5CD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Screening and Recruitment</w:t>
            </w:r>
          </w:p>
        </w:tc>
        <w:tc>
          <w:tcPr>
            <w:tcW w:w="1710" w:type="dxa"/>
            <w:vAlign w:val="center"/>
          </w:tcPr>
          <w:p w:rsidR="008F2AB5" w:rsidRPr="004815A8" w:rsidP="008F2AB5" w14:paraId="16BDE22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36,267</w:t>
            </w:r>
          </w:p>
        </w:tc>
        <w:tc>
          <w:tcPr>
            <w:tcW w:w="1170" w:type="dxa"/>
            <w:tcBorders>
              <w:right w:val="single" w:sz="12" w:space="0" w:color="auto"/>
            </w:tcBorders>
            <w:vAlign w:val="center"/>
          </w:tcPr>
          <w:p w:rsidR="008F2AB5" w:rsidRPr="004815A8" w:rsidP="008F2AB5" w14:paraId="0D99D7D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1,208</w:t>
            </w:r>
          </w:p>
        </w:tc>
        <w:tc>
          <w:tcPr>
            <w:tcW w:w="1710" w:type="dxa"/>
            <w:tcBorders>
              <w:left w:val="single" w:sz="12" w:space="0" w:color="auto"/>
            </w:tcBorders>
            <w:vAlign w:val="center"/>
          </w:tcPr>
          <w:p w:rsidR="008F2AB5" w:rsidRPr="004815A8" w:rsidP="008F2AB5" w14:paraId="61FA65F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74,386</w:t>
            </w:r>
          </w:p>
        </w:tc>
        <w:tc>
          <w:tcPr>
            <w:tcW w:w="1170" w:type="dxa"/>
            <w:vAlign w:val="center"/>
          </w:tcPr>
          <w:p w:rsidR="008F2AB5" w:rsidRPr="004815A8" w:rsidP="008F2AB5" w14:paraId="5E268F2B"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2,480</w:t>
            </w:r>
          </w:p>
        </w:tc>
        <w:tc>
          <w:tcPr>
            <w:tcW w:w="1710" w:type="dxa"/>
            <w:vAlign w:val="center"/>
          </w:tcPr>
          <w:p w:rsidR="008F2AB5" w:rsidRPr="004815A8" w:rsidP="008F2AB5" w14:paraId="084F47A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38,119</w:t>
            </w:r>
          </w:p>
        </w:tc>
        <w:tc>
          <w:tcPr>
            <w:tcW w:w="1350" w:type="dxa"/>
            <w:vAlign w:val="center"/>
          </w:tcPr>
          <w:p w:rsidR="008F2AB5" w:rsidRPr="004815A8" w:rsidP="008F2AB5" w14:paraId="647D96A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1,272</w:t>
            </w:r>
          </w:p>
        </w:tc>
      </w:tr>
      <w:tr w14:paraId="6C87641F" w14:textId="77777777" w:rsidTr="008F2AB5">
        <w:tblPrEx>
          <w:tblW w:w="10885" w:type="dxa"/>
          <w:tblLayout w:type="fixed"/>
          <w:tblLook w:val="04A0"/>
        </w:tblPrEx>
        <w:tc>
          <w:tcPr>
            <w:tcW w:w="2065" w:type="dxa"/>
          </w:tcPr>
          <w:p w:rsidR="008F2AB5" w:rsidRPr="004815A8" w:rsidP="008F2AB5" w14:paraId="01722CD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In-depth Interviews</w:t>
            </w:r>
          </w:p>
        </w:tc>
        <w:tc>
          <w:tcPr>
            <w:tcW w:w="1710" w:type="dxa"/>
            <w:vAlign w:val="center"/>
          </w:tcPr>
          <w:p w:rsidR="008F2AB5" w:rsidRPr="004815A8" w:rsidP="008F2AB5" w14:paraId="142F416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67</w:t>
            </w:r>
          </w:p>
        </w:tc>
        <w:tc>
          <w:tcPr>
            <w:tcW w:w="1170" w:type="dxa"/>
            <w:tcBorders>
              <w:right w:val="single" w:sz="12" w:space="0" w:color="auto"/>
            </w:tcBorders>
            <w:vAlign w:val="center"/>
          </w:tcPr>
          <w:p w:rsidR="008F2AB5" w:rsidRPr="004815A8" w:rsidP="008F2AB5" w14:paraId="73ED95B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67</w:t>
            </w:r>
          </w:p>
        </w:tc>
        <w:tc>
          <w:tcPr>
            <w:tcW w:w="1710" w:type="dxa"/>
            <w:tcBorders>
              <w:left w:val="single" w:sz="12" w:space="0" w:color="auto"/>
            </w:tcBorders>
            <w:vAlign w:val="center"/>
          </w:tcPr>
          <w:p w:rsidR="008F2AB5" w:rsidRPr="004815A8" w:rsidP="008F2AB5" w14:paraId="7C966044"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25</w:t>
            </w:r>
          </w:p>
        </w:tc>
        <w:tc>
          <w:tcPr>
            <w:tcW w:w="1170" w:type="dxa"/>
            <w:vAlign w:val="center"/>
          </w:tcPr>
          <w:p w:rsidR="008F2AB5" w:rsidRPr="004815A8" w:rsidP="008F2AB5" w14:paraId="2FF808D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25</w:t>
            </w:r>
          </w:p>
        </w:tc>
        <w:tc>
          <w:tcPr>
            <w:tcW w:w="1710" w:type="dxa"/>
            <w:vAlign w:val="center"/>
          </w:tcPr>
          <w:p w:rsidR="008F2AB5" w:rsidRPr="004815A8" w:rsidP="008F2AB5" w14:paraId="5976F3F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w:t>
            </w:r>
            <w:r w:rsidR="00D511E0">
              <w:rPr>
                <w:rFonts w:ascii="Arial Nova" w:hAnsi="Arial Nova" w:eastAsiaTheme="minorHAnsi" w:cstheme="minorBidi"/>
                <w:bCs/>
                <w:iCs/>
              </w:rPr>
              <w:t>42</w:t>
            </w:r>
          </w:p>
        </w:tc>
        <w:tc>
          <w:tcPr>
            <w:tcW w:w="1350" w:type="dxa"/>
            <w:vAlign w:val="center"/>
          </w:tcPr>
          <w:p w:rsidR="008F2AB5" w:rsidRPr="004815A8" w:rsidP="008F2AB5" w14:paraId="437B4EB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w:t>
            </w:r>
            <w:r w:rsidR="00D511E0">
              <w:rPr>
                <w:rFonts w:ascii="Arial Nova" w:hAnsi="Arial Nova" w:eastAsiaTheme="minorHAnsi" w:cstheme="minorBidi"/>
                <w:bCs/>
                <w:iCs/>
              </w:rPr>
              <w:t>42</w:t>
            </w:r>
          </w:p>
        </w:tc>
      </w:tr>
      <w:tr w14:paraId="04DE57E8" w14:textId="77777777" w:rsidTr="008F2AB5">
        <w:tblPrEx>
          <w:tblW w:w="10885" w:type="dxa"/>
          <w:tblLayout w:type="fixed"/>
          <w:tblLook w:val="04A0"/>
        </w:tblPrEx>
        <w:tc>
          <w:tcPr>
            <w:tcW w:w="2065" w:type="dxa"/>
          </w:tcPr>
          <w:p w:rsidR="008F2AB5" w:rsidRPr="004815A8" w:rsidP="008F2AB5" w14:paraId="2118E875"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Focus Groups (In Person</w:t>
            </w:r>
            <w:r w:rsidR="00412F96">
              <w:rPr>
                <w:rFonts w:ascii="Arial Nova" w:hAnsi="Arial Nova" w:eastAsiaTheme="minorHAnsi" w:cstheme="minorBidi"/>
                <w:bCs/>
                <w:iCs/>
              </w:rPr>
              <w:t>, Online</w:t>
            </w:r>
            <w:r w:rsidRPr="004815A8">
              <w:rPr>
                <w:rFonts w:ascii="Arial Nova" w:hAnsi="Arial Nova" w:eastAsiaTheme="minorHAnsi" w:cstheme="minorBidi"/>
                <w:bCs/>
                <w:iCs/>
              </w:rPr>
              <w:t>)</w:t>
            </w:r>
          </w:p>
        </w:tc>
        <w:tc>
          <w:tcPr>
            <w:tcW w:w="1710" w:type="dxa"/>
            <w:vAlign w:val="center"/>
          </w:tcPr>
          <w:p w:rsidR="008F2AB5" w:rsidRPr="004815A8" w:rsidP="008F2AB5" w14:paraId="539A994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288</w:t>
            </w:r>
          </w:p>
        </w:tc>
        <w:tc>
          <w:tcPr>
            <w:tcW w:w="1170" w:type="dxa"/>
            <w:tcBorders>
              <w:right w:val="single" w:sz="12" w:space="0" w:color="auto"/>
            </w:tcBorders>
            <w:vAlign w:val="center"/>
          </w:tcPr>
          <w:p w:rsidR="008F2AB5" w:rsidRPr="004815A8" w:rsidP="008F2AB5" w14:paraId="6CF6612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432</w:t>
            </w:r>
          </w:p>
        </w:tc>
        <w:tc>
          <w:tcPr>
            <w:tcW w:w="1710" w:type="dxa"/>
            <w:tcBorders>
              <w:left w:val="single" w:sz="12" w:space="0" w:color="auto"/>
            </w:tcBorders>
            <w:vAlign w:val="center"/>
          </w:tcPr>
          <w:p w:rsidR="008F2AB5" w:rsidRPr="004815A8" w:rsidP="008F2AB5" w14:paraId="42F8F4E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628</w:t>
            </w:r>
          </w:p>
        </w:tc>
        <w:tc>
          <w:tcPr>
            <w:tcW w:w="1170" w:type="dxa"/>
            <w:vAlign w:val="center"/>
          </w:tcPr>
          <w:p w:rsidR="008F2AB5" w:rsidRPr="004815A8" w:rsidP="008F2AB5" w14:paraId="63D7E12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942</w:t>
            </w:r>
          </w:p>
        </w:tc>
        <w:tc>
          <w:tcPr>
            <w:tcW w:w="1710" w:type="dxa"/>
            <w:vAlign w:val="center"/>
          </w:tcPr>
          <w:p w:rsidR="008F2AB5" w:rsidRPr="004815A8" w:rsidP="008F2AB5" w14:paraId="6BE5D84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340</w:t>
            </w:r>
          </w:p>
        </w:tc>
        <w:tc>
          <w:tcPr>
            <w:tcW w:w="1350" w:type="dxa"/>
            <w:vAlign w:val="center"/>
          </w:tcPr>
          <w:p w:rsidR="008F2AB5" w:rsidRPr="004815A8" w:rsidP="008F2AB5" w14:paraId="6BA71BB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510</w:t>
            </w:r>
          </w:p>
        </w:tc>
      </w:tr>
      <w:tr w14:paraId="33CF32E6" w14:textId="77777777" w:rsidTr="008F2AB5">
        <w:tblPrEx>
          <w:tblW w:w="10885" w:type="dxa"/>
          <w:tblLayout w:type="fixed"/>
          <w:tblLook w:val="04A0"/>
        </w:tblPrEx>
        <w:tc>
          <w:tcPr>
            <w:tcW w:w="2065" w:type="dxa"/>
          </w:tcPr>
          <w:p w:rsidR="008F2AB5" w:rsidRPr="004815A8" w:rsidP="008F2AB5" w14:paraId="60DF037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Surveys</w:t>
            </w:r>
            <w:r w:rsidR="00412F96">
              <w:rPr>
                <w:rFonts w:ascii="Arial Nova" w:hAnsi="Arial Nova" w:eastAsiaTheme="minorHAnsi" w:cstheme="minorBidi"/>
                <w:bCs/>
                <w:iCs/>
              </w:rPr>
              <w:t xml:space="preserve"> (Online, Short)</w:t>
            </w:r>
          </w:p>
        </w:tc>
        <w:tc>
          <w:tcPr>
            <w:tcW w:w="1710" w:type="dxa"/>
            <w:vAlign w:val="center"/>
          </w:tcPr>
          <w:p w:rsidR="008F2AB5" w:rsidRPr="004815A8" w:rsidP="008F2AB5" w14:paraId="6695088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36,667</w:t>
            </w:r>
          </w:p>
        </w:tc>
        <w:tc>
          <w:tcPr>
            <w:tcW w:w="1170" w:type="dxa"/>
            <w:tcBorders>
              <w:right w:val="single" w:sz="12" w:space="0" w:color="auto"/>
            </w:tcBorders>
            <w:vAlign w:val="center"/>
          </w:tcPr>
          <w:p w:rsidR="008F2AB5" w:rsidRPr="004815A8" w:rsidP="008F2AB5" w14:paraId="7E751F7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6,112</w:t>
            </w:r>
          </w:p>
        </w:tc>
        <w:tc>
          <w:tcPr>
            <w:tcW w:w="1710" w:type="dxa"/>
            <w:tcBorders>
              <w:left w:val="single" w:sz="12" w:space="0" w:color="auto"/>
            </w:tcBorders>
            <w:vAlign w:val="center"/>
          </w:tcPr>
          <w:p w:rsidR="008F2AB5" w:rsidRPr="004815A8" w:rsidP="008F2AB5" w14:paraId="6E46400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71,000</w:t>
            </w:r>
          </w:p>
        </w:tc>
        <w:tc>
          <w:tcPr>
            <w:tcW w:w="1170" w:type="dxa"/>
            <w:vAlign w:val="center"/>
          </w:tcPr>
          <w:p w:rsidR="008F2AB5" w:rsidRPr="004815A8" w:rsidP="008F2AB5" w14:paraId="18130DC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15,453</w:t>
            </w:r>
          </w:p>
        </w:tc>
        <w:tc>
          <w:tcPr>
            <w:tcW w:w="1710" w:type="dxa"/>
            <w:vAlign w:val="center"/>
          </w:tcPr>
          <w:p w:rsidR="008F2AB5" w:rsidRPr="004815A8" w:rsidP="008F2AB5" w14:paraId="2E0579C5"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34,333</w:t>
            </w:r>
          </w:p>
        </w:tc>
        <w:tc>
          <w:tcPr>
            <w:tcW w:w="1350" w:type="dxa"/>
            <w:vAlign w:val="center"/>
          </w:tcPr>
          <w:p w:rsidR="008F2AB5" w:rsidRPr="004815A8" w:rsidP="008F2AB5" w14:paraId="231D3D8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9,341</w:t>
            </w:r>
          </w:p>
        </w:tc>
      </w:tr>
      <w:tr w14:paraId="04F630FB" w14:textId="77777777" w:rsidTr="008F2AB5">
        <w:tblPrEx>
          <w:tblW w:w="10885" w:type="dxa"/>
          <w:tblLayout w:type="fixed"/>
          <w:tblLook w:val="04A0"/>
        </w:tblPrEx>
        <w:tc>
          <w:tcPr>
            <w:tcW w:w="2065" w:type="dxa"/>
          </w:tcPr>
          <w:p w:rsidR="008F2AB5" w:rsidRPr="004815A8" w:rsidP="008F2AB5" w14:paraId="2EE071E1"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sidRPr="004815A8">
              <w:rPr>
                <w:rFonts w:ascii="Arial Nova" w:hAnsi="Arial Nova" w:eastAsiaTheme="minorHAnsi" w:cstheme="minorBidi"/>
                <w:bCs/>
                <w:iCs/>
              </w:rPr>
              <w:t>Surveys</w:t>
            </w:r>
            <w:r w:rsidR="00412F96">
              <w:rPr>
                <w:rFonts w:ascii="Arial Nova" w:hAnsi="Arial Nova" w:eastAsiaTheme="minorHAnsi" w:cstheme="minorBidi"/>
                <w:bCs/>
                <w:iCs/>
              </w:rPr>
              <w:t xml:space="preserve"> (Online, Medium)</w:t>
            </w:r>
          </w:p>
        </w:tc>
        <w:tc>
          <w:tcPr>
            <w:tcW w:w="1710" w:type="dxa"/>
            <w:vAlign w:val="center"/>
          </w:tcPr>
          <w:p w:rsidR="008F2AB5" w:rsidRPr="004815A8" w:rsidP="008F2AB5" w14:paraId="737D93C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2,733</w:t>
            </w:r>
          </w:p>
        </w:tc>
        <w:tc>
          <w:tcPr>
            <w:tcW w:w="1170" w:type="dxa"/>
            <w:tcBorders>
              <w:right w:val="single" w:sz="12" w:space="0" w:color="auto"/>
            </w:tcBorders>
            <w:vAlign w:val="center"/>
          </w:tcPr>
          <w:p w:rsidR="008F2AB5" w:rsidRPr="004815A8" w:rsidP="008F2AB5" w14:paraId="339B781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1,139</w:t>
            </w:r>
          </w:p>
        </w:tc>
        <w:tc>
          <w:tcPr>
            <w:tcW w:w="1710" w:type="dxa"/>
            <w:tcBorders>
              <w:left w:val="single" w:sz="12" w:space="0" w:color="auto"/>
            </w:tcBorders>
            <w:vAlign w:val="center"/>
          </w:tcPr>
          <w:p w:rsidR="008F2AB5" w:rsidRPr="004815A8" w:rsidP="008F2AB5" w14:paraId="6E59C2F8"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2,733</w:t>
            </w:r>
          </w:p>
        </w:tc>
        <w:tc>
          <w:tcPr>
            <w:tcW w:w="1170" w:type="dxa"/>
            <w:vAlign w:val="center"/>
          </w:tcPr>
          <w:p w:rsidR="008F2AB5" w:rsidRPr="004815A8" w:rsidP="008F2AB5" w14:paraId="0499970A"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1,139</w:t>
            </w:r>
          </w:p>
        </w:tc>
        <w:tc>
          <w:tcPr>
            <w:tcW w:w="1710" w:type="dxa"/>
            <w:vAlign w:val="center"/>
          </w:tcPr>
          <w:p w:rsidR="008F2AB5" w:rsidRPr="004815A8" w:rsidP="008F2AB5" w14:paraId="1344005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350" w:type="dxa"/>
            <w:vAlign w:val="center"/>
          </w:tcPr>
          <w:p w:rsidR="008F2AB5" w:rsidRPr="004815A8" w:rsidP="008F2AB5" w14:paraId="32CD31A4"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r>
      <w:tr w14:paraId="5D0FF219" w14:textId="77777777" w:rsidTr="008F2AB5">
        <w:tblPrEx>
          <w:tblW w:w="10885" w:type="dxa"/>
          <w:tblLayout w:type="fixed"/>
          <w:tblLook w:val="04A0"/>
        </w:tblPrEx>
        <w:tc>
          <w:tcPr>
            <w:tcW w:w="2065" w:type="dxa"/>
          </w:tcPr>
          <w:p w:rsidR="00780959" w:rsidRPr="004815A8" w:rsidP="008F2AB5" w14:paraId="73C1BCD6"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ova" w:hAnsi="Arial Nova" w:eastAsiaTheme="minorHAnsi" w:cstheme="minorBidi"/>
                <w:bCs/>
                <w:iCs/>
              </w:rPr>
            </w:pPr>
            <w:r>
              <w:rPr>
                <w:rFonts w:ascii="Arial Nova" w:hAnsi="Arial Nova" w:eastAsiaTheme="minorHAnsi" w:cstheme="minorBidi"/>
                <w:bCs/>
                <w:iCs/>
              </w:rPr>
              <w:t xml:space="preserve">Surveys </w:t>
            </w:r>
            <w:r w:rsidRPr="002A2D46" w:rsidR="002A2D46">
              <w:rPr>
                <w:rFonts w:ascii="Arial Nova" w:hAnsi="Arial Nova" w:eastAsiaTheme="minorHAnsi" w:cstheme="minorBidi"/>
                <w:bCs/>
                <w:iCs/>
              </w:rPr>
              <w:t>(In-Depth Telephone and Online)</w:t>
            </w:r>
          </w:p>
        </w:tc>
        <w:tc>
          <w:tcPr>
            <w:tcW w:w="1710" w:type="dxa"/>
            <w:vAlign w:val="center"/>
          </w:tcPr>
          <w:p w:rsidR="00780959" w:rsidRPr="004815A8" w:rsidP="008F2AB5" w14:paraId="6A764BA9"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170" w:type="dxa"/>
            <w:tcBorders>
              <w:right w:val="single" w:sz="12" w:space="0" w:color="auto"/>
            </w:tcBorders>
            <w:vAlign w:val="center"/>
          </w:tcPr>
          <w:p w:rsidR="00780959" w:rsidRPr="004815A8" w:rsidP="008F2AB5" w14:paraId="57417E37"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710" w:type="dxa"/>
            <w:tcBorders>
              <w:left w:val="single" w:sz="12" w:space="0" w:color="auto"/>
            </w:tcBorders>
            <w:vAlign w:val="center"/>
          </w:tcPr>
          <w:p w:rsidR="00780959" w:rsidRPr="004815A8" w:rsidP="008F2AB5" w14:paraId="0693EC6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170" w:type="dxa"/>
            <w:vAlign w:val="center"/>
          </w:tcPr>
          <w:p w:rsidR="00780959" w:rsidRPr="004815A8" w:rsidP="008F2AB5" w14:paraId="73E219B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0</w:t>
            </w:r>
          </w:p>
        </w:tc>
        <w:tc>
          <w:tcPr>
            <w:tcW w:w="1710" w:type="dxa"/>
            <w:vAlign w:val="center"/>
          </w:tcPr>
          <w:p w:rsidR="00780959" w:rsidRPr="004815A8" w:rsidP="008F2AB5" w14:paraId="4402697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c>
          <w:tcPr>
            <w:tcW w:w="1350" w:type="dxa"/>
            <w:vAlign w:val="center"/>
          </w:tcPr>
          <w:p w:rsidR="00780959" w:rsidRPr="004815A8" w:rsidP="008F2AB5" w14:paraId="2B93B83E"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-1,500</w:t>
            </w:r>
          </w:p>
        </w:tc>
      </w:tr>
      <w:tr w14:paraId="55EB6280" w14:textId="77777777" w:rsidTr="008F2AB5">
        <w:tblPrEx>
          <w:tblW w:w="10885" w:type="dxa"/>
          <w:tblLayout w:type="fixed"/>
          <w:tblLook w:val="04A0"/>
        </w:tblPrEx>
        <w:tc>
          <w:tcPr>
            <w:tcW w:w="2065" w:type="dxa"/>
          </w:tcPr>
          <w:p w:rsidR="008F2AB5" w:rsidRPr="004815A8" w:rsidP="008F2AB5" w14:paraId="47C77F2D"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ova" w:hAnsi="Arial Nova" w:eastAsiaTheme="minorHAnsi" w:cstheme="minorBidi"/>
                <w:bCs/>
                <w:iCs/>
              </w:rPr>
            </w:pPr>
            <w:r w:rsidRPr="004815A8">
              <w:rPr>
                <w:rFonts w:ascii="Arial Nova" w:hAnsi="Arial Nova" w:eastAsiaTheme="minorHAnsi" w:cstheme="minorBidi"/>
                <w:bCs/>
                <w:iCs/>
              </w:rPr>
              <w:t>Total</w:t>
            </w:r>
          </w:p>
        </w:tc>
        <w:tc>
          <w:tcPr>
            <w:tcW w:w="1710" w:type="dxa"/>
            <w:vAlign w:val="center"/>
          </w:tcPr>
          <w:p w:rsidR="008F2AB5" w:rsidRPr="004815A8" w:rsidP="008F2AB5" w14:paraId="4B66AFD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77,522*</w:t>
            </w:r>
          </w:p>
        </w:tc>
        <w:tc>
          <w:tcPr>
            <w:tcW w:w="1170" w:type="dxa"/>
            <w:tcBorders>
              <w:right w:val="single" w:sz="12" w:space="0" w:color="auto"/>
            </w:tcBorders>
            <w:vAlign w:val="center"/>
          </w:tcPr>
          <w:p w:rsidR="008F2AB5" w:rsidRPr="004815A8" w:rsidP="008F2AB5" w14:paraId="3D75E5A3"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10,458*</w:t>
            </w:r>
          </w:p>
        </w:tc>
        <w:tc>
          <w:tcPr>
            <w:tcW w:w="1710" w:type="dxa"/>
            <w:tcBorders>
              <w:left w:val="single" w:sz="12" w:space="0" w:color="auto"/>
            </w:tcBorders>
            <w:vAlign w:val="center"/>
          </w:tcPr>
          <w:p w:rsidR="008F2AB5" w:rsidRPr="004815A8" w:rsidP="008F2AB5" w14:paraId="6EF78012"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148,772</w:t>
            </w:r>
          </w:p>
        </w:tc>
        <w:tc>
          <w:tcPr>
            <w:tcW w:w="1170" w:type="dxa"/>
            <w:vAlign w:val="center"/>
          </w:tcPr>
          <w:p w:rsidR="008F2AB5" w:rsidRPr="004815A8" w:rsidP="008F2AB5" w14:paraId="27F914EC"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sidRPr="004815A8">
              <w:rPr>
                <w:rFonts w:ascii="Arial Nova" w:hAnsi="Arial Nova" w:eastAsiaTheme="minorHAnsi" w:cstheme="minorBidi"/>
                <w:bCs/>
                <w:iCs/>
              </w:rPr>
              <w:t>20,039</w:t>
            </w:r>
          </w:p>
        </w:tc>
        <w:tc>
          <w:tcPr>
            <w:tcW w:w="1710" w:type="dxa"/>
            <w:vAlign w:val="center"/>
          </w:tcPr>
          <w:p w:rsidR="008F2AB5" w:rsidRPr="004815A8" w:rsidP="008F2AB5" w14:paraId="19A4683F"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71,250</w:t>
            </w:r>
          </w:p>
        </w:tc>
        <w:tc>
          <w:tcPr>
            <w:tcW w:w="1350" w:type="dxa"/>
            <w:vAlign w:val="center"/>
          </w:tcPr>
          <w:p w:rsidR="008F2AB5" w:rsidRPr="004815A8" w:rsidP="008F2AB5" w14:paraId="533FE970" w14:textId="77777777">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ova" w:hAnsi="Arial Nova" w:eastAsiaTheme="minorHAnsi" w:cstheme="minorBidi"/>
                <w:bCs/>
                <w:iCs/>
              </w:rPr>
            </w:pPr>
            <w:r>
              <w:rPr>
                <w:rFonts w:ascii="Arial Nova" w:hAnsi="Arial Nova" w:eastAsiaTheme="minorHAnsi" w:cstheme="minorBidi"/>
                <w:bCs/>
                <w:iCs/>
              </w:rPr>
              <w:t>9,581</w:t>
            </w:r>
          </w:p>
        </w:tc>
      </w:tr>
    </w:tbl>
    <w:bookmarkEnd w:id="25"/>
    <w:p w:rsidR="00DA1523" w:rsidRPr="00F92873" w:rsidP="00DA1523" w14:paraId="422EA928" w14:textId="77777777">
      <w:pPr>
        <w:spacing w:line="276" w:lineRule="auto"/>
        <w:rPr>
          <w:rFonts w:ascii="Arial Nova" w:hAnsi="Arial Nova" w:eastAsiaTheme="minorHAnsi" w:cstheme="minorBidi"/>
          <w:bCs/>
          <w:iCs/>
        </w:rPr>
      </w:pPr>
      <w:r w:rsidRPr="00BC2B47">
        <w:rPr>
          <w:rFonts w:ascii="Arial Nova" w:hAnsi="Arial Nova" w:eastAsiaTheme="minorHAnsi" w:cstheme="minorBidi"/>
          <w:bCs/>
          <w:iCs/>
        </w:rPr>
        <w:t>*</w:t>
      </w:r>
      <w:r w:rsidRPr="004815A8">
        <w:rPr>
          <w:rFonts w:ascii="Arial Nova" w:hAnsi="Arial Nova" w:eastAsiaTheme="minorHAnsi" w:cstheme="minorBidi"/>
          <w:bCs/>
          <w:iCs/>
        </w:rPr>
        <w:t xml:space="preserve">Note: The </w:t>
      </w:r>
      <w:r w:rsidRPr="004815A8">
        <w:rPr>
          <w:rFonts w:ascii="Arial Nova" w:hAnsi="Arial Nova" w:eastAsiaTheme="minorHAnsi" w:cstheme="minorBidi"/>
          <w:bCs/>
          <w:iCs/>
        </w:rPr>
        <w:t>numbers in the table above are annualized.</w:t>
      </w:r>
    </w:p>
    <w:p w:rsidR="00823609" w:rsidRPr="00174127" w:rsidP="00823609" w14:paraId="131C4983" w14:textId="77777777">
      <w:pPr>
        <w:pStyle w:val="Heading2"/>
        <w:spacing w:line="276" w:lineRule="auto"/>
        <w:rPr>
          <w:rFonts w:ascii="Arial Nova" w:hAnsi="Arial Nova" w:cstheme="minorHAnsi"/>
          <w:i/>
          <w:color w:val="auto"/>
          <w:sz w:val="24"/>
          <w:szCs w:val="24"/>
        </w:rPr>
      </w:pPr>
      <w:bookmarkStart w:id="26" w:name="_Toc131505186"/>
      <w:r w:rsidRPr="00174127">
        <w:rPr>
          <w:rFonts w:ascii="Arial Nova" w:hAnsi="Arial Nova" w:cstheme="minorHAnsi"/>
          <w:i/>
          <w:color w:val="auto"/>
          <w:sz w:val="24"/>
          <w:szCs w:val="24"/>
        </w:rPr>
        <w:t>A16. Plans for Tabulation and Publication and Project Time Schedule</w:t>
      </w:r>
      <w:bookmarkEnd w:id="26"/>
    </w:p>
    <w:p w:rsidR="00D770BA" w:rsidRPr="00174127" w:rsidP="00823609" w14:paraId="3F3CE23C" w14:textId="77777777">
      <w:pPr>
        <w:pStyle w:val="ListParagraph"/>
        <w:ind w:left="0"/>
        <w:rPr>
          <w:rFonts w:ascii="Arial Nova" w:eastAsia="MS Mincho" w:hAnsi="Arial Nova"/>
          <w:b/>
          <w:color w:val="F79646" w:themeColor="accent6"/>
        </w:rPr>
      </w:pPr>
    </w:p>
    <w:p w:rsidR="00B177AE" w:rsidRPr="0010581E" w:rsidP="00347B64" w14:paraId="1DBFE1C1" w14:textId="77777777">
      <w:pPr>
        <w:spacing w:line="276" w:lineRule="auto"/>
        <w:rPr>
          <w:rFonts w:ascii="Arial Nova" w:eastAsia="MS Mincho" w:hAnsi="Arial Nova"/>
        </w:rPr>
      </w:pPr>
      <w:r w:rsidRPr="0010581E">
        <w:rPr>
          <w:rFonts w:ascii="Arial Nova" w:eastAsia="MS Mincho" w:hAnsi="Arial Nova"/>
        </w:rPr>
        <w:t xml:space="preserve">Results of the information collections conducted under this generic clearance will be used primarily to inform programmatic efforts, specifically the NTEC, </w:t>
      </w:r>
      <w:r w:rsidR="005768CD">
        <w:rPr>
          <w:rFonts w:ascii="Arial Nova" w:hAnsi="Arial Nova"/>
        </w:rPr>
        <w:t xml:space="preserve">emerging tobacco products communication initiative, </w:t>
      </w:r>
      <w:r w:rsidRPr="0010581E">
        <w:rPr>
          <w:rFonts w:ascii="Arial Nova" w:eastAsia="MS Mincho" w:hAnsi="Arial Nova"/>
        </w:rPr>
        <w:t xml:space="preserve">reports from the Office of the Surgeon General, </w:t>
      </w:r>
      <w:r w:rsidRPr="0010581E">
        <w:rPr>
          <w:rFonts w:ascii="Arial Nova" w:eastAsia="MS Mincho" w:hAnsi="Arial Nova"/>
        </w:rPr>
        <w:t>and other communication efforts. Information collections may include message platform testing, creative concept testing (i.e., focus groups), and rough-cut testing (i.e., online surveys) related to the development of messages and materials for the NTEC</w:t>
      </w:r>
      <w:r w:rsidR="000C0A47">
        <w:rPr>
          <w:rFonts w:ascii="Arial Nova" w:eastAsia="MS Mincho" w:hAnsi="Arial Nova"/>
        </w:rPr>
        <w:t xml:space="preserve"> or the </w:t>
      </w:r>
      <w:r w:rsidR="000C0A47">
        <w:rPr>
          <w:rFonts w:ascii="Arial Nova" w:hAnsi="Arial Nova"/>
        </w:rPr>
        <w:t>emerging tobacco products communication initiative</w:t>
      </w:r>
      <w:r w:rsidRPr="0010581E">
        <w:rPr>
          <w:rFonts w:ascii="Arial Nova" w:eastAsia="MS Mincho" w:hAnsi="Arial Nova"/>
        </w:rPr>
        <w:t>. Quantitative data will be analyzed using conventional tabulation techniques. Qualitative data will be analyzed using thematic analysis. The data will be read thoroughly and initial codes will be creat</w:t>
      </w:r>
      <w:r w:rsidRPr="0010581E">
        <w:rPr>
          <w:rFonts w:ascii="Arial Nova" w:eastAsia="MS Mincho" w:hAnsi="Arial Nova"/>
        </w:rPr>
        <w:t xml:space="preserve">ed manually, identifying themes and patterns of responses. </w:t>
      </w:r>
    </w:p>
    <w:p w:rsidR="00B177AE" w:rsidRPr="0010581E" w:rsidP="00347B64" w14:paraId="6544674D" w14:textId="77777777">
      <w:pPr>
        <w:spacing w:line="276" w:lineRule="auto"/>
        <w:rPr>
          <w:rFonts w:ascii="Arial Nova" w:eastAsia="MS Mincho" w:hAnsi="Arial Nova"/>
        </w:rPr>
      </w:pPr>
    </w:p>
    <w:p w:rsidR="00B177AE" w:rsidRPr="0010581E" w:rsidP="00347B64" w14:paraId="0C3BEC0A" w14:textId="77777777">
      <w:pPr>
        <w:spacing w:line="276" w:lineRule="auto"/>
        <w:rPr>
          <w:rFonts w:ascii="Arial Nova" w:eastAsia="MS Mincho" w:hAnsi="Arial Nova"/>
        </w:rPr>
      </w:pPr>
      <w:r w:rsidRPr="0010581E">
        <w:rPr>
          <w:rFonts w:ascii="Arial Nova" w:eastAsia="MS Mincho" w:hAnsi="Arial Nova"/>
        </w:rPr>
        <w:t>Publication and Dissemination Plans</w:t>
      </w:r>
    </w:p>
    <w:p w:rsidR="00B177AE" w:rsidRPr="0010581E" w:rsidP="00347B64" w14:paraId="71DAE0CB" w14:textId="77777777">
      <w:pPr>
        <w:spacing w:line="276" w:lineRule="auto"/>
        <w:rPr>
          <w:rFonts w:ascii="Arial Nova" w:eastAsia="MS Mincho" w:hAnsi="Arial Nova"/>
        </w:rPr>
      </w:pPr>
      <w:r w:rsidRPr="0010581E">
        <w:rPr>
          <w:rFonts w:ascii="Arial Nova" w:eastAsia="MS Mincho" w:hAnsi="Arial Nova"/>
        </w:rPr>
        <w:t xml:space="preserve">The information collected under this generic clearance will be used primarily for NTEC, reports from the Office of the Surgeon General, and to inform programmatic efforts. Results that may be of interest to </w:t>
      </w:r>
      <w:r w:rsidR="007822B1">
        <w:rPr>
          <w:rFonts w:ascii="Arial Nova" w:eastAsia="MS Mincho" w:hAnsi="Arial Nova"/>
        </w:rPr>
        <w:t>the public</w:t>
      </w:r>
      <w:r w:rsidRPr="0010581E">
        <w:rPr>
          <w:rFonts w:ascii="Arial Nova" w:eastAsia="MS Mincho" w:hAnsi="Arial Nova"/>
        </w:rPr>
        <w:t xml:space="preserve"> may be disseminated through presentati</w:t>
      </w:r>
      <w:r w:rsidRPr="0010581E">
        <w:rPr>
          <w:rFonts w:ascii="Arial Nova" w:eastAsia="MS Mincho" w:hAnsi="Arial Nova"/>
        </w:rPr>
        <w:t>ons at professional meetings.</w:t>
      </w:r>
    </w:p>
    <w:p w:rsidR="00B177AE" w:rsidRPr="0010581E" w:rsidP="00347B64" w14:paraId="74EECF8B" w14:textId="77777777">
      <w:pPr>
        <w:spacing w:line="276" w:lineRule="auto"/>
        <w:rPr>
          <w:rFonts w:ascii="Arial Nova" w:eastAsia="MS Mincho" w:hAnsi="Arial Nova"/>
        </w:rPr>
      </w:pPr>
    </w:p>
    <w:p w:rsidR="00B177AE" w:rsidRPr="0010581E" w:rsidP="00347B64" w14:paraId="089CF4D2" w14:textId="77777777">
      <w:pPr>
        <w:spacing w:line="276" w:lineRule="auto"/>
        <w:rPr>
          <w:rFonts w:ascii="Arial Nova" w:eastAsia="MS Mincho" w:hAnsi="Arial Nova"/>
        </w:rPr>
      </w:pPr>
      <w:r w:rsidRPr="0010581E">
        <w:rPr>
          <w:rFonts w:ascii="Arial Nova" w:eastAsia="MS Mincho" w:hAnsi="Arial Nova"/>
        </w:rPr>
        <w:t>Project Time Schedule</w:t>
      </w:r>
    </w:p>
    <w:p w:rsidR="00B177AE" w:rsidRPr="0010581E" w:rsidP="00347B64" w14:paraId="0868D05E" w14:textId="77777777">
      <w:pPr>
        <w:spacing w:line="276" w:lineRule="auto"/>
        <w:rPr>
          <w:rFonts w:ascii="Arial Nova" w:eastAsia="MS Mincho" w:hAnsi="Arial Nova"/>
        </w:rPr>
      </w:pPr>
      <w:r w:rsidRPr="0010581E">
        <w:rPr>
          <w:rFonts w:ascii="Arial Nova" w:eastAsia="MS Mincho" w:hAnsi="Arial Nova"/>
        </w:rPr>
        <w:t>Table A</w:t>
      </w:r>
      <w:r w:rsidR="00716890">
        <w:rPr>
          <w:rFonts w:ascii="Arial Nova" w:eastAsia="MS Mincho" w:hAnsi="Arial Nova"/>
        </w:rPr>
        <w:t>16</w:t>
      </w:r>
      <w:r w:rsidRPr="0010581E">
        <w:rPr>
          <w:rFonts w:ascii="Arial Nova" w:eastAsia="MS Mincho" w:hAnsi="Arial Nova"/>
        </w:rPr>
        <w:t xml:space="preserve"> is an example of a project time schedule for an information collection request for rough-cut testing.</w:t>
      </w:r>
    </w:p>
    <w:p w:rsidR="00022645" w:rsidRPr="00174127" w:rsidP="00823609" w14:paraId="380E62D7" w14:textId="77777777">
      <w:pPr>
        <w:spacing w:line="360" w:lineRule="auto"/>
        <w:rPr>
          <w:rFonts w:ascii="Arial Nova" w:eastAsia="MS Mincho" w:hAnsi="Arial Nova"/>
          <w:b/>
          <w:color w:val="F79646" w:themeColor="accent6"/>
        </w:rPr>
      </w:pPr>
      <w:bookmarkStart w:id="27" w:name="_Toc307224728"/>
      <w:bookmarkStart w:id="28" w:name="_Toc275433795"/>
    </w:p>
    <w:p w:rsidR="00823609" w:rsidP="00823609" w14:paraId="1AF2B0E4"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Estimated Time Schedule for Project Activities</w:t>
      </w:r>
      <w:bookmarkEnd w:id="27"/>
      <w:bookmarkEnd w:id="28"/>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5D6254C8"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174127" w:rsidP="004B4C91" w14:paraId="6B78EC0C" w14:textId="77777777">
            <w:pPr>
              <w:spacing w:line="360" w:lineRule="auto"/>
              <w:rPr>
                <w:rFonts w:ascii="Arial Nova" w:eastAsia="MS Mincho" w:hAnsi="Arial Nova"/>
              </w:rPr>
            </w:pPr>
            <w:r w:rsidRPr="00174127">
              <w:rPr>
                <w:rFonts w:ascii="Arial Nova" w:eastAsia="MS Mincho" w:hAnsi="Arial Nova"/>
              </w:rPr>
              <w:t>Activity</w:t>
            </w:r>
          </w:p>
        </w:tc>
        <w:tc>
          <w:tcPr>
            <w:tcW w:w="4741" w:type="dxa"/>
            <w:tcBorders>
              <w:top w:val="single" w:sz="12" w:space="0" w:color="auto"/>
              <w:left w:val="nil"/>
              <w:bottom w:val="single" w:sz="6" w:space="0" w:color="auto"/>
              <w:right w:val="nil"/>
            </w:tcBorders>
            <w:vAlign w:val="bottom"/>
            <w:hideMark/>
          </w:tcPr>
          <w:p w:rsidR="00823609" w:rsidRPr="00174127" w:rsidP="004B4C91" w14:paraId="190484AB" w14:textId="77777777">
            <w:pPr>
              <w:spacing w:line="360" w:lineRule="auto"/>
              <w:rPr>
                <w:rFonts w:ascii="Arial Nova" w:eastAsia="MS Mincho" w:hAnsi="Arial Nova"/>
              </w:rPr>
            </w:pPr>
            <w:r w:rsidRPr="00174127">
              <w:rPr>
                <w:rFonts w:ascii="Arial Nova" w:eastAsia="MS Mincho" w:hAnsi="Arial Nova"/>
              </w:rPr>
              <w:t>Timeline</w:t>
            </w:r>
          </w:p>
        </w:tc>
      </w:tr>
      <w:tr w14:paraId="649A4D46"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tcPr>
          <w:p w:rsidR="00823609" w:rsidRPr="00B177AE" w:rsidP="004B4C91" w14:paraId="205B737F" w14:textId="77777777">
            <w:pPr>
              <w:spacing w:line="360" w:lineRule="auto"/>
              <w:rPr>
                <w:rFonts w:ascii="Arial Nova" w:eastAsia="MS Mincho" w:hAnsi="Arial Nova"/>
              </w:rPr>
            </w:pPr>
            <w:r w:rsidRPr="0010581E">
              <w:rPr>
                <w:rFonts w:ascii="Arial Nova" w:eastAsia="MS Mincho" w:hAnsi="Arial Nova"/>
              </w:rPr>
              <w:t>Email invitat</w:t>
            </w:r>
            <w:r w:rsidRPr="0010581E">
              <w:rPr>
                <w:rFonts w:ascii="Arial Nova" w:eastAsia="MS Mincho" w:hAnsi="Arial Nova"/>
              </w:rPr>
              <w:t>ions sent to respondents for quantitative testing</w:t>
            </w:r>
          </w:p>
        </w:tc>
        <w:tc>
          <w:tcPr>
            <w:tcW w:w="4741" w:type="dxa"/>
            <w:tcBorders>
              <w:top w:val="single" w:sz="12" w:space="0" w:color="auto"/>
              <w:left w:val="nil"/>
              <w:bottom w:val="single" w:sz="6" w:space="0" w:color="auto"/>
              <w:right w:val="nil"/>
            </w:tcBorders>
          </w:tcPr>
          <w:p w:rsidR="00823609" w:rsidRPr="00B177AE" w:rsidP="004B4C91" w14:paraId="6F6A85C2" w14:textId="77777777">
            <w:pPr>
              <w:spacing w:line="360" w:lineRule="auto"/>
              <w:rPr>
                <w:rFonts w:ascii="Arial Nova" w:eastAsia="MS Mincho" w:hAnsi="Arial Nova"/>
              </w:rPr>
            </w:pPr>
            <w:r w:rsidRPr="0010581E">
              <w:rPr>
                <w:rFonts w:ascii="Arial Nova" w:eastAsia="MS Mincho" w:hAnsi="Arial Nova"/>
              </w:rPr>
              <w:t>1-30 days after OMB approval</w:t>
            </w:r>
          </w:p>
        </w:tc>
      </w:tr>
      <w:tr w14:paraId="6159715F"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0E93628E" w14:textId="77777777">
            <w:pPr>
              <w:spacing w:line="360" w:lineRule="auto"/>
              <w:rPr>
                <w:rFonts w:ascii="Arial Nova" w:eastAsia="MS Mincho" w:hAnsi="Arial Nova"/>
              </w:rPr>
            </w:pPr>
            <w:r w:rsidRPr="0010581E">
              <w:rPr>
                <w:rFonts w:ascii="Arial Nova" w:eastAsia="MS Mincho" w:hAnsi="Arial Nova"/>
              </w:rPr>
              <w:t>Online data collection</w:t>
            </w:r>
          </w:p>
        </w:tc>
        <w:tc>
          <w:tcPr>
            <w:tcW w:w="4741" w:type="dxa"/>
            <w:tcBorders>
              <w:top w:val="single" w:sz="6" w:space="0" w:color="auto"/>
              <w:left w:val="nil"/>
              <w:bottom w:val="nil"/>
              <w:right w:val="nil"/>
            </w:tcBorders>
            <w:hideMark/>
          </w:tcPr>
          <w:p w:rsidR="00823609" w:rsidRPr="00B177AE" w:rsidP="004B4C91" w14:paraId="4738992F" w14:textId="77777777">
            <w:pPr>
              <w:spacing w:line="360" w:lineRule="auto"/>
              <w:rPr>
                <w:rFonts w:ascii="Arial Nova" w:eastAsia="MS Mincho" w:hAnsi="Arial Nova"/>
              </w:rPr>
            </w:pPr>
            <w:r w:rsidRPr="0010581E">
              <w:rPr>
                <w:rFonts w:ascii="Arial Nova" w:eastAsia="MS Mincho" w:hAnsi="Arial Nova"/>
              </w:rPr>
              <w:t>1-30 days after OMB approval</w:t>
            </w:r>
          </w:p>
        </w:tc>
      </w:tr>
      <w:tr w14:paraId="200DB60F"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3F5F266C" w14:textId="77777777">
            <w:pPr>
              <w:spacing w:line="360" w:lineRule="auto"/>
              <w:rPr>
                <w:rFonts w:ascii="Arial Nova" w:eastAsia="MS Mincho" w:hAnsi="Arial Nova"/>
              </w:rPr>
            </w:pPr>
            <w:r w:rsidRPr="00B177AE">
              <w:rPr>
                <w:rFonts w:ascii="Arial Nova" w:eastAsia="MS Mincho" w:hAnsi="Arial Nova"/>
              </w:rPr>
              <w:t>Complete field work</w:t>
            </w:r>
          </w:p>
        </w:tc>
        <w:tc>
          <w:tcPr>
            <w:tcW w:w="4741" w:type="dxa"/>
            <w:tcBorders>
              <w:top w:val="single" w:sz="6" w:space="0" w:color="auto"/>
              <w:left w:val="nil"/>
              <w:bottom w:val="nil"/>
              <w:right w:val="nil"/>
            </w:tcBorders>
          </w:tcPr>
          <w:p w:rsidR="00823609" w:rsidRPr="00B177AE" w:rsidP="004B4C91" w14:paraId="4051E011" w14:textId="77777777">
            <w:pPr>
              <w:spacing w:line="360" w:lineRule="auto"/>
              <w:rPr>
                <w:rFonts w:ascii="Arial Nova" w:eastAsia="MS Mincho" w:hAnsi="Arial Nova"/>
              </w:rPr>
            </w:pPr>
            <w:r w:rsidRPr="00B177AE">
              <w:rPr>
                <w:rFonts w:ascii="Arial Nova" w:eastAsia="MS Mincho" w:hAnsi="Arial Nova"/>
              </w:rPr>
              <w:t>30-45 days after OMB approval</w:t>
            </w:r>
          </w:p>
        </w:tc>
      </w:tr>
      <w:tr w14:paraId="5FF27E7D"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490E14AC" w14:textId="77777777">
            <w:pPr>
              <w:spacing w:line="360" w:lineRule="auto"/>
              <w:rPr>
                <w:rFonts w:ascii="Arial Nova" w:eastAsia="MS Mincho" w:hAnsi="Arial Nova"/>
              </w:rPr>
            </w:pPr>
            <w:r w:rsidRPr="00B177AE">
              <w:rPr>
                <w:rFonts w:ascii="Arial Nova" w:eastAsia="MS Mincho" w:hAnsi="Arial Nova"/>
              </w:rPr>
              <w:t>Validation</w:t>
            </w:r>
          </w:p>
        </w:tc>
        <w:tc>
          <w:tcPr>
            <w:tcW w:w="4741" w:type="dxa"/>
            <w:tcBorders>
              <w:top w:val="single" w:sz="6" w:space="0" w:color="auto"/>
              <w:left w:val="nil"/>
              <w:bottom w:val="nil"/>
              <w:right w:val="nil"/>
            </w:tcBorders>
          </w:tcPr>
          <w:p w:rsidR="00823609" w:rsidRPr="00B177AE" w:rsidP="004B4C91" w14:paraId="3C3BDF4E" w14:textId="77777777">
            <w:pPr>
              <w:spacing w:line="360" w:lineRule="auto"/>
              <w:rPr>
                <w:rFonts w:ascii="Arial Nova" w:eastAsia="MS Mincho" w:hAnsi="Arial Nova"/>
              </w:rPr>
            </w:pPr>
            <w:r w:rsidRPr="0010581E">
              <w:rPr>
                <w:rFonts w:ascii="Arial Nova" w:eastAsia="MS Mincho" w:hAnsi="Arial Nova"/>
              </w:rPr>
              <w:t>45-55 days after OMB approval</w:t>
            </w:r>
          </w:p>
        </w:tc>
      </w:tr>
      <w:tr w14:paraId="25DEBDD0"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74EB625D" w14:textId="77777777">
            <w:pPr>
              <w:spacing w:line="360" w:lineRule="auto"/>
              <w:rPr>
                <w:rFonts w:ascii="Arial Nova" w:eastAsia="MS Mincho" w:hAnsi="Arial Nova"/>
              </w:rPr>
            </w:pPr>
            <w:r w:rsidRPr="00B177AE">
              <w:rPr>
                <w:rFonts w:ascii="Arial Nova" w:eastAsia="MS Mincho" w:hAnsi="Arial Nova"/>
              </w:rPr>
              <w:t>Data analysis</w:t>
            </w:r>
          </w:p>
        </w:tc>
        <w:tc>
          <w:tcPr>
            <w:tcW w:w="4741" w:type="dxa"/>
            <w:tcBorders>
              <w:top w:val="single" w:sz="6" w:space="0" w:color="auto"/>
              <w:left w:val="nil"/>
              <w:bottom w:val="nil"/>
              <w:right w:val="nil"/>
            </w:tcBorders>
          </w:tcPr>
          <w:p w:rsidR="00823609" w:rsidRPr="00B177AE" w:rsidP="004B4C91" w14:paraId="05298BA4" w14:textId="77777777">
            <w:pPr>
              <w:spacing w:line="360" w:lineRule="auto"/>
              <w:rPr>
                <w:rFonts w:ascii="Arial Nova" w:eastAsia="MS Mincho" w:hAnsi="Arial Nova"/>
              </w:rPr>
            </w:pPr>
            <w:r w:rsidRPr="0010581E">
              <w:rPr>
                <w:rFonts w:ascii="Arial Nova" w:eastAsia="MS Mincho" w:hAnsi="Arial Nova"/>
              </w:rPr>
              <w:t xml:space="preserve">55-65 days </w:t>
            </w:r>
            <w:r w:rsidRPr="0010581E">
              <w:rPr>
                <w:rFonts w:ascii="Arial Nova" w:eastAsia="MS Mincho" w:hAnsi="Arial Nova"/>
              </w:rPr>
              <w:t>after OMB approval</w:t>
            </w:r>
          </w:p>
        </w:tc>
      </w:tr>
      <w:tr w14:paraId="190193A6"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B177AE" w:rsidP="004B4C91" w14:paraId="6D24A6FB" w14:textId="77777777">
            <w:pPr>
              <w:spacing w:line="360" w:lineRule="auto"/>
              <w:rPr>
                <w:rFonts w:ascii="Arial Nova" w:eastAsia="MS Mincho" w:hAnsi="Arial Nova"/>
              </w:rPr>
            </w:pPr>
            <w:r w:rsidRPr="00B177AE">
              <w:rPr>
                <w:rFonts w:ascii="Arial Nova" w:eastAsia="MS Mincho" w:hAnsi="Arial Nova"/>
              </w:rPr>
              <w:t>Report writing</w:t>
            </w:r>
          </w:p>
        </w:tc>
        <w:tc>
          <w:tcPr>
            <w:tcW w:w="4741" w:type="dxa"/>
            <w:tcBorders>
              <w:top w:val="single" w:sz="6" w:space="0" w:color="auto"/>
              <w:left w:val="nil"/>
              <w:bottom w:val="nil"/>
              <w:right w:val="nil"/>
            </w:tcBorders>
          </w:tcPr>
          <w:p w:rsidR="00823609" w:rsidRPr="00B177AE" w:rsidP="004B4C91" w14:paraId="3226E3E5" w14:textId="77777777">
            <w:pPr>
              <w:spacing w:line="360" w:lineRule="auto"/>
              <w:rPr>
                <w:rFonts w:ascii="Arial Nova" w:eastAsia="MS Mincho" w:hAnsi="Arial Nova"/>
              </w:rPr>
            </w:pPr>
            <w:r w:rsidRPr="0010581E">
              <w:rPr>
                <w:rFonts w:ascii="Arial Nova" w:eastAsia="MS Mincho" w:hAnsi="Arial Nova"/>
              </w:rPr>
              <w:t xml:space="preserve">65-150 days after OMB approval </w:t>
            </w:r>
          </w:p>
        </w:tc>
      </w:tr>
    </w:tbl>
    <w:p w:rsidR="00823609" w:rsidRPr="00174127" w:rsidP="00823609" w14:paraId="6C89F768" w14:textId="77777777">
      <w:pPr>
        <w:pStyle w:val="Heading2"/>
        <w:spacing w:line="276" w:lineRule="auto"/>
        <w:rPr>
          <w:rFonts w:ascii="Arial Nova" w:hAnsi="Arial Nova" w:cstheme="minorHAnsi"/>
          <w:i/>
          <w:color w:val="auto"/>
          <w:sz w:val="24"/>
          <w:szCs w:val="24"/>
        </w:rPr>
      </w:pPr>
      <w:bookmarkStart w:id="29" w:name="_Toc131505187"/>
      <w:r w:rsidRPr="00174127">
        <w:rPr>
          <w:rFonts w:ascii="Arial Nova" w:hAnsi="Arial Nova" w:cstheme="minorHAnsi"/>
          <w:i/>
          <w:color w:val="auto"/>
          <w:sz w:val="24"/>
          <w:szCs w:val="24"/>
        </w:rPr>
        <w:t>A17. Reason(s) Display of OMB Expiration Date is Inappropriate</w:t>
      </w:r>
      <w:bookmarkEnd w:id="29"/>
    </w:p>
    <w:p w:rsidR="00D770BA" w:rsidRPr="00174127" w:rsidP="00823609" w14:paraId="03E54227" w14:textId="77777777">
      <w:pPr>
        <w:pStyle w:val="Default"/>
        <w:rPr>
          <w:rFonts w:ascii="Arial Nova" w:hAnsi="Arial Nova" w:eastAsiaTheme="minorHAnsi" w:cstheme="minorBidi"/>
          <w:b/>
          <w:i/>
          <w:color w:val="F79646" w:themeColor="accent6"/>
        </w:rPr>
      </w:pPr>
    </w:p>
    <w:p w:rsidR="00E702B3" w:rsidRPr="00B177AE" w:rsidP="005F100C" w14:paraId="0D277EE7" w14:textId="77777777">
      <w:pPr>
        <w:spacing w:line="276" w:lineRule="auto"/>
        <w:rPr>
          <w:rFonts w:ascii="Arial Nova" w:eastAsia="MS Mincho" w:hAnsi="Arial Nova"/>
        </w:rPr>
      </w:pPr>
      <w:r w:rsidRPr="00B177AE">
        <w:rPr>
          <w:rFonts w:ascii="Arial Nova" w:eastAsia="MS Mincho" w:hAnsi="Arial Nova"/>
        </w:rPr>
        <w:t xml:space="preserve">An exemption to this requirement is not being requested. The expiration date of OMB approval will be displayed on all </w:t>
      </w:r>
      <w:r w:rsidRPr="00B177AE">
        <w:rPr>
          <w:rFonts w:ascii="Arial Nova" w:eastAsia="MS Mincho" w:hAnsi="Arial Nova"/>
        </w:rPr>
        <w:t>information collection instruments.</w:t>
      </w:r>
    </w:p>
    <w:p w:rsidR="00823609" w:rsidRPr="00174127" w:rsidP="00823609" w14:paraId="3F3C2841" w14:textId="77777777">
      <w:pPr>
        <w:pStyle w:val="Heading2"/>
        <w:spacing w:line="276" w:lineRule="auto"/>
        <w:rPr>
          <w:rFonts w:ascii="Arial Nova" w:hAnsi="Arial Nova" w:cstheme="minorHAnsi"/>
          <w:i/>
          <w:color w:val="auto"/>
          <w:sz w:val="24"/>
          <w:szCs w:val="24"/>
        </w:rPr>
      </w:pPr>
      <w:bookmarkStart w:id="30" w:name="_Toc131505188"/>
      <w:r w:rsidRPr="00174127">
        <w:rPr>
          <w:rFonts w:ascii="Arial Nova" w:hAnsi="Arial Nova" w:cstheme="minorHAnsi"/>
          <w:i/>
          <w:color w:val="auto"/>
          <w:sz w:val="24"/>
          <w:szCs w:val="24"/>
        </w:rPr>
        <w:t>A18. Exceptions to Certification for Paperwork Reduction Act Submission</w:t>
      </w:r>
      <w:bookmarkEnd w:id="30"/>
    </w:p>
    <w:p w:rsidR="00D770BA" w:rsidRPr="00793474" w:rsidP="00F9719E" w14:paraId="01E11245" w14:textId="77777777">
      <w:pPr>
        <w:spacing w:line="276" w:lineRule="auto"/>
        <w:rPr>
          <w:rFonts w:ascii="Arial Nova" w:hAnsi="Arial Nova" w:eastAsiaTheme="minorHAnsi" w:cstheme="minorBidi"/>
          <w:b/>
          <w:i/>
          <w:color w:val="C75000"/>
        </w:rPr>
      </w:pPr>
    </w:p>
    <w:bookmarkEnd w:id="3"/>
    <w:bookmarkEnd w:id="4"/>
    <w:bookmarkEnd w:id="5"/>
    <w:p w:rsidR="00174127" w:rsidRPr="00B177AE" w:rsidP="00347B64" w14:paraId="32868D93" w14:textId="77777777">
      <w:pPr>
        <w:spacing w:line="276" w:lineRule="auto"/>
        <w:rPr>
          <w:rFonts w:ascii="Arial Nova" w:hAnsi="Arial Nova" w:eastAsiaTheme="minorHAnsi" w:cstheme="minorBidi"/>
          <w:bCs/>
          <w:iCs/>
        </w:rPr>
      </w:pPr>
      <w:r w:rsidRPr="00B177AE">
        <w:rPr>
          <w:rFonts w:ascii="Arial Nova" w:hAnsi="Arial Nova" w:eastAsiaTheme="minorHAnsi" w:cstheme="minorBidi"/>
          <w:bCs/>
          <w:iCs/>
        </w:rPr>
        <w:t>There are no exceptions to the certification.</w:t>
      </w:r>
    </w:p>
    <w:p w:rsidR="00E74EAF" w14:paraId="6EF21632" w14:textId="77777777">
      <w:pPr>
        <w:rPr>
          <w:rFonts w:ascii="Arial Nova" w:hAnsi="Arial Nova" w:eastAsiaTheme="minorHAnsi" w:cstheme="minorBidi"/>
          <w:b/>
          <w:i/>
          <w:color w:val="F79646" w:themeColor="accent6"/>
        </w:rPr>
      </w:pPr>
      <w:r>
        <w:rPr>
          <w:rFonts w:ascii="Arial Nova" w:hAnsi="Arial Nova" w:eastAsiaTheme="minorHAnsi" w:cstheme="minorBidi"/>
          <w:b/>
          <w:i/>
          <w:color w:val="F79646" w:themeColor="accent6"/>
        </w:rPr>
        <w:br w:type="page"/>
      </w:r>
    </w:p>
    <w:p w:rsidR="00174127" w:rsidP="00F2743F" w14:paraId="584A6C2E" w14:textId="77777777">
      <w:pPr>
        <w:spacing w:line="360" w:lineRule="auto"/>
        <w:rPr>
          <w:rFonts w:ascii="Arial Nova" w:hAnsi="Arial Nova" w:eastAsiaTheme="minorHAnsi" w:cstheme="minorBidi"/>
          <w:b/>
          <w:i/>
          <w:color w:val="F79646" w:themeColor="accent6"/>
        </w:rPr>
      </w:pPr>
    </w:p>
    <w:bookmarkStart w:id="31" w:name="_Hlk523104886"/>
    <w:p w:rsidR="007B70F8" w:rsidP="007B70F8" w14:paraId="3A250FD5"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2" w:name="_Toc131505189"/>
      <w:r w:rsidRPr="00F06B97">
        <w:rPr>
          <w:rStyle w:val="Hyperlink"/>
          <w:rFonts w:ascii="Arial Nova" w:hAnsi="Arial Nova" w:cs="Times New Roman"/>
          <w:color w:val="auto"/>
          <w:sz w:val="24"/>
          <w:szCs w:val="24"/>
          <w:u w:val="none"/>
        </w:rPr>
        <w:t>REFERENCES</w:t>
      </w:r>
      <w:bookmarkEnd w:id="32"/>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1"/>
    <w:p w:rsidR="004F51D9" w:rsidRPr="004F51D9" w:rsidP="005F100C" w14:paraId="3ADD202B" w14:textId="7777777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fldChar w:fldCharType="begin"/>
      </w:r>
      <w:r w:rsidRPr="004F51D9">
        <w:rPr>
          <w:rFonts w:ascii="Arial Nova" w:hAnsi="Arial Nova" w:eastAsiaTheme="minorHAnsi" w:cstheme="minorBidi"/>
          <w:bCs/>
          <w:iCs/>
        </w:rPr>
        <w:instrText xml:space="preserve"> ADDIN EN.REFLIST </w:instrText>
      </w:r>
      <w:r w:rsidRPr="004F51D9">
        <w:rPr>
          <w:rFonts w:ascii="Arial Nova" w:hAnsi="Arial Nova" w:eastAsiaTheme="minorHAnsi" w:cstheme="minorBidi"/>
          <w:bCs/>
          <w:iCs/>
        </w:rPr>
        <w:fldChar w:fldCharType="separate"/>
      </w:r>
      <w:bookmarkStart w:id="33" w:name="_ENREF_1"/>
      <w:r w:rsidRPr="004F51D9">
        <w:rPr>
          <w:rFonts w:ascii="Arial Nova" w:hAnsi="Arial Nova" w:eastAsiaTheme="minorHAnsi" w:cstheme="minorBidi"/>
          <w:bCs/>
          <w:iCs/>
        </w:rPr>
        <w:t>Bureau of Labor Statistics. (20</w:t>
      </w:r>
      <w:r w:rsidR="00CC320E">
        <w:rPr>
          <w:rFonts w:ascii="Arial Nova" w:hAnsi="Arial Nova" w:eastAsiaTheme="minorHAnsi" w:cstheme="minorBidi"/>
          <w:bCs/>
          <w:iCs/>
        </w:rPr>
        <w:t>23</w:t>
      </w:r>
      <w:r w:rsidRPr="004F51D9">
        <w:rPr>
          <w:rFonts w:ascii="Arial Nova" w:hAnsi="Arial Nova" w:eastAsiaTheme="minorHAnsi" w:cstheme="minorBidi"/>
          <w:bCs/>
          <w:iCs/>
        </w:rPr>
        <w:t xml:space="preserve">). </w:t>
      </w:r>
      <w:r w:rsidRPr="00CC320E" w:rsidR="00CC320E">
        <w:rPr>
          <w:rFonts w:ascii="Arial Nova" w:hAnsi="Arial Nova" w:eastAsiaTheme="minorHAnsi" w:cstheme="minorBidi"/>
          <w:bCs/>
          <w:i/>
        </w:rPr>
        <w:t>Table B-3. Average hourly and weekly earnings of all employees on private nonfarm payrolls by industry sector, seasonally adjusted</w:t>
      </w:r>
      <w:r w:rsidRPr="004F51D9">
        <w:rPr>
          <w:rFonts w:ascii="Arial Nova" w:hAnsi="Arial Nova" w:eastAsiaTheme="minorHAnsi" w:cstheme="minorBidi"/>
          <w:bCs/>
          <w:iCs/>
        </w:rPr>
        <w:t>. Retrieved from https://www.bls.gov/</w:t>
      </w:r>
      <w:r w:rsidR="00CC320E">
        <w:rPr>
          <w:rFonts w:ascii="Arial Nova" w:hAnsi="Arial Nova" w:eastAsiaTheme="minorHAnsi" w:cstheme="minorBidi"/>
          <w:bCs/>
          <w:iCs/>
        </w:rPr>
        <w:t>news.release/empsit.t19</w:t>
      </w:r>
      <w:r w:rsidRPr="004F51D9">
        <w:rPr>
          <w:rFonts w:ascii="Arial Nova" w:hAnsi="Arial Nova" w:eastAsiaTheme="minorHAnsi" w:cstheme="minorBidi"/>
          <w:bCs/>
          <w:iCs/>
        </w:rPr>
        <w:t>.htm</w:t>
      </w:r>
      <w:bookmarkEnd w:id="33"/>
    </w:p>
    <w:p w:rsidR="004F51D9" w:rsidP="005F100C" w14:paraId="5027D787" w14:textId="77777777">
      <w:pPr>
        <w:widowControl w:val="0"/>
        <w:spacing w:line="276" w:lineRule="auto"/>
        <w:ind w:left="720" w:hanging="720"/>
        <w:rPr>
          <w:rFonts w:ascii="Arial Nova" w:hAnsi="Arial Nova" w:eastAsiaTheme="minorHAnsi" w:cstheme="minorBidi"/>
          <w:bCs/>
          <w:iCs/>
        </w:rPr>
      </w:pPr>
      <w:bookmarkStart w:id="34" w:name="_ENREF_3"/>
      <w:r w:rsidRPr="004F51D9">
        <w:rPr>
          <w:rFonts w:ascii="Arial Nova" w:hAnsi="Arial Nova" w:eastAsiaTheme="minorHAnsi" w:cstheme="minorBidi"/>
          <w:bCs/>
          <w:iCs/>
        </w:rPr>
        <w:t>Church,</w:t>
      </w:r>
      <w:r w:rsidRPr="004F51D9">
        <w:rPr>
          <w:rFonts w:ascii="Arial Nova" w:hAnsi="Arial Nova" w:eastAsiaTheme="minorHAnsi" w:cstheme="minorBidi"/>
          <w:bCs/>
          <w:iCs/>
        </w:rPr>
        <w:t xml:space="preserve"> A. H. (1993). Estimating the effect of incentives on mail survey response rates: A meta-analysis. </w:t>
      </w:r>
      <w:r w:rsidRPr="0010581E">
        <w:rPr>
          <w:rFonts w:ascii="Arial Nova" w:hAnsi="Arial Nova" w:eastAsiaTheme="minorHAnsi" w:cstheme="minorBidi"/>
          <w:bCs/>
          <w:i/>
        </w:rPr>
        <w:t xml:space="preserve">Public </w:t>
      </w:r>
      <w:r w:rsidR="00D81F4C">
        <w:rPr>
          <w:rFonts w:ascii="Arial Nova" w:hAnsi="Arial Nova" w:eastAsiaTheme="minorHAnsi" w:cstheme="minorBidi"/>
          <w:bCs/>
          <w:i/>
        </w:rPr>
        <w:t>O</w:t>
      </w:r>
      <w:r w:rsidRPr="0010581E" w:rsidR="00D81F4C">
        <w:rPr>
          <w:rFonts w:ascii="Arial Nova" w:hAnsi="Arial Nova" w:eastAsiaTheme="minorHAnsi" w:cstheme="minorBidi"/>
          <w:bCs/>
          <w:i/>
        </w:rPr>
        <w:t xml:space="preserve">pinion </w:t>
      </w:r>
      <w:r w:rsidR="00A6667E">
        <w:rPr>
          <w:rFonts w:ascii="Arial Nova" w:hAnsi="Arial Nova" w:eastAsiaTheme="minorHAnsi" w:cstheme="minorBidi"/>
          <w:bCs/>
          <w:i/>
        </w:rPr>
        <w:t>Q</w:t>
      </w:r>
      <w:r w:rsidRPr="0010581E">
        <w:rPr>
          <w:rFonts w:ascii="Arial Nova" w:hAnsi="Arial Nova" w:eastAsiaTheme="minorHAnsi" w:cstheme="minorBidi"/>
          <w:bCs/>
          <w:i/>
        </w:rPr>
        <w:t>uarterly</w:t>
      </w:r>
      <w:r w:rsidRPr="004F51D9">
        <w:rPr>
          <w:rFonts w:ascii="Arial Nova" w:hAnsi="Arial Nova" w:eastAsiaTheme="minorHAnsi" w:cstheme="minorBidi"/>
          <w:bCs/>
          <w:iCs/>
        </w:rPr>
        <w:t xml:space="preserve">, </w:t>
      </w:r>
      <w:r w:rsidRPr="00C37734">
        <w:rPr>
          <w:rFonts w:ascii="Arial Nova" w:hAnsi="Arial Nova" w:eastAsiaTheme="minorHAnsi" w:cstheme="minorBidi"/>
          <w:bCs/>
          <w:i/>
        </w:rPr>
        <w:t>57</w:t>
      </w:r>
      <w:r w:rsidRPr="004F51D9">
        <w:rPr>
          <w:rFonts w:ascii="Arial Nova" w:hAnsi="Arial Nova" w:eastAsiaTheme="minorHAnsi" w:cstheme="minorBidi"/>
          <w:bCs/>
          <w:iCs/>
        </w:rPr>
        <w:t>(1), 62</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79. </w:t>
      </w:r>
      <w:bookmarkEnd w:id="34"/>
    </w:p>
    <w:p w:rsidR="00FD764C" w:rsidRPr="004F51D9" w:rsidP="005F100C" w14:paraId="238441F1" w14:textId="77777777">
      <w:pPr>
        <w:widowControl w:val="0"/>
        <w:spacing w:line="276" w:lineRule="auto"/>
        <w:ind w:left="720" w:hanging="720"/>
        <w:rPr>
          <w:rFonts w:ascii="Arial Nova" w:hAnsi="Arial Nova" w:eastAsiaTheme="minorHAnsi" w:cstheme="minorBidi"/>
          <w:bCs/>
          <w:iCs/>
        </w:rPr>
      </w:pPr>
      <w:r w:rsidRPr="00FD764C">
        <w:rPr>
          <w:rFonts w:ascii="Arial Nova" w:hAnsi="Arial Nova" w:eastAsiaTheme="minorHAnsi" w:cstheme="minorBidi"/>
          <w:bCs/>
          <w:iCs/>
        </w:rPr>
        <w:t xml:space="preserve">Cornelius, M. E., Loretan, C. G., Wang, T. W., Jamal, A., &amp; Homa, D. M. (2022). Tobacco </w:t>
      </w:r>
      <w:r w:rsidR="00D523D4">
        <w:rPr>
          <w:rFonts w:ascii="Arial Nova" w:hAnsi="Arial Nova" w:eastAsiaTheme="minorHAnsi" w:cstheme="minorBidi"/>
          <w:bCs/>
          <w:iCs/>
        </w:rPr>
        <w:t>p</w:t>
      </w:r>
      <w:r w:rsidRPr="00FD764C">
        <w:rPr>
          <w:rFonts w:ascii="Arial Nova" w:hAnsi="Arial Nova" w:eastAsiaTheme="minorHAnsi" w:cstheme="minorBidi"/>
          <w:bCs/>
          <w:iCs/>
        </w:rPr>
        <w:t xml:space="preserve">roduct </w:t>
      </w:r>
      <w:r w:rsidR="00D523D4">
        <w:rPr>
          <w:rFonts w:ascii="Arial Nova" w:hAnsi="Arial Nova" w:eastAsiaTheme="minorHAnsi" w:cstheme="minorBidi"/>
          <w:bCs/>
          <w:iCs/>
        </w:rPr>
        <w:t>u</w:t>
      </w:r>
      <w:r w:rsidRPr="00FD764C">
        <w:rPr>
          <w:rFonts w:ascii="Arial Nova" w:hAnsi="Arial Nova" w:eastAsiaTheme="minorHAnsi" w:cstheme="minorBidi"/>
          <w:bCs/>
          <w:iCs/>
        </w:rPr>
        <w:t xml:space="preserve">se </w:t>
      </w:r>
      <w:r w:rsidR="00D523D4">
        <w:rPr>
          <w:rFonts w:ascii="Arial Nova" w:hAnsi="Arial Nova" w:eastAsiaTheme="minorHAnsi" w:cstheme="minorBidi"/>
          <w:bCs/>
          <w:iCs/>
        </w:rPr>
        <w:t>a</w:t>
      </w:r>
      <w:r w:rsidRPr="00FD764C">
        <w:rPr>
          <w:rFonts w:ascii="Arial Nova" w:hAnsi="Arial Nova" w:eastAsiaTheme="minorHAnsi" w:cstheme="minorBidi"/>
          <w:bCs/>
          <w:iCs/>
        </w:rPr>
        <w:t xml:space="preserve">mong </w:t>
      </w:r>
      <w:r w:rsidR="00D523D4">
        <w:rPr>
          <w:rFonts w:ascii="Arial Nova" w:hAnsi="Arial Nova" w:eastAsiaTheme="minorHAnsi" w:cstheme="minorBidi"/>
          <w:bCs/>
          <w:iCs/>
        </w:rPr>
        <w:t>a</w:t>
      </w:r>
      <w:r w:rsidRPr="00FD764C">
        <w:rPr>
          <w:rFonts w:ascii="Arial Nova" w:hAnsi="Arial Nova" w:eastAsiaTheme="minorHAnsi" w:cstheme="minorBidi"/>
          <w:bCs/>
          <w:iCs/>
        </w:rPr>
        <w:t xml:space="preserve">dults - United States, 2020. </w:t>
      </w:r>
      <w:r w:rsidRPr="00C37734">
        <w:rPr>
          <w:rFonts w:ascii="Arial Nova" w:hAnsi="Arial Nova" w:eastAsiaTheme="minorHAnsi" w:cstheme="minorBidi"/>
          <w:bCs/>
          <w:i/>
        </w:rPr>
        <w:t xml:space="preserve">MMWR. Morbidity and </w:t>
      </w:r>
      <w:r w:rsidR="00C37734">
        <w:rPr>
          <w:rFonts w:ascii="Arial Nova" w:hAnsi="Arial Nova" w:eastAsiaTheme="minorHAnsi" w:cstheme="minorBidi"/>
          <w:bCs/>
          <w:i/>
        </w:rPr>
        <w:t>M</w:t>
      </w:r>
      <w:r w:rsidRPr="00C37734" w:rsidR="00C37734">
        <w:rPr>
          <w:rFonts w:ascii="Arial Nova" w:hAnsi="Arial Nova" w:eastAsiaTheme="minorHAnsi" w:cstheme="minorBidi"/>
          <w:bCs/>
          <w:i/>
        </w:rPr>
        <w:t xml:space="preserve">ortality </w:t>
      </w:r>
      <w:r w:rsidR="00C37734">
        <w:rPr>
          <w:rFonts w:ascii="Arial Nova" w:hAnsi="Arial Nova" w:eastAsiaTheme="minorHAnsi" w:cstheme="minorBidi"/>
          <w:bCs/>
          <w:i/>
        </w:rPr>
        <w:t>W</w:t>
      </w:r>
      <w:r w:rsidRPr="00C37734">
        <w:rPr>
          <w:rFonts w:ascii="Arial Nova" w:hAnsi="Arial Nova" w:eastAsiaTheme="minorHAnsi" w:cstheme="minorBidi"/>
          <w:bCs/>
          <w:i/>
        </w:rPr>
        <w:t xml:space="preserve">eekly </w:t>
      </w:r>
      <w:r w:rsidR="00C37734">
        <w:rPr>
          <w:rFonts w:ascii="Arial Nova" w:hAnsi="Arial Nova" w:eastAsiaTheme="minorHAnsi" w:cstheme="minorBidi"/>
          <w:bCs/>
          <w:i/>
        </w:rPr>
        <w:t>R</w:t>
      </w:r>
      <w:r w:rsidRPr="00C37734">
        <w:rPr>
          <w:rFonts w:ascii="Arial Nova" w:hAnsi="Arial Nova" w:eastAsiaTheme="minorHAnsi" w:cstheme="minorBidi"/>
          <w:bCs/>
          <w:i/>
        </w:rPr>
        <w:t>eport, 71</w:t>
      </w:r>
      <w:r w:rsidRPr="00FD764C">
        <w:rPr>
          <w:rFonts w:ascii="Arial Nova" w:hAnsi="Arial Nova" w:eastAsiaTheme="minorHAnsi" w:cstheme="minorBidi"/>
          <w:bCs/>
          <w:iCs/>
        </w:rPr>
        <w:t>(11), 397</w:t>
      </w:r>
      <w:r w:rsidR="00D523D4">
        <w:rPr>
          <w:rFonts w:ascii="Arial Nova" w:hAnsi="Arial Nova" w:eastAsiaTheme="minorHAnsi" w:cstheme="minorBidi"/>
          <w:bCs/>
          <w:iCs/>
        </w:rPr>
        <w:t>-</w:t>
      </w:r>
      <w:r w:rsidRPr="00FD764C">
        <w:rPr>
          <w:rFonts w:ascii="Arial Nova" w:hAnsi="Arial Nova" w:eastAsiaTheme="minorHAnsi" w:cstheme="minorBidi"/>
          <w:bCs/>
          <w:iCs/>
        </w:rPr>
        <w:t xml:space="preserve">405. </w:t>
      </w:r>
      <w:r w:rsidRPr="00FD764C">
        <w:rPr>
          <w:rFonts w:ascii="Arial Nova" w:hAnsi="Arial Nova" w:eastAsiaTheme="minorHAnsi" w:cstheme="minorBidi"/>
          <w:bCs/>
          <w:iCs/>
        </w:rPr>
        <w:t>https://doi.org/10.15585/mmwr.mm7111a1</w:t>
      </w:r>
    </w:p>
    <w:p w:rsidR="004F51D9" w:rsidP="005F100C" w14:paraId="23E2839C" w14:textId="7777777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Davis, K.</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 xml:space="preserve">C., Patel, D., Shafer, P., Duke, J., Glover-Kudon, R., Ridgeway, W., &amp; Cox, S. (2017). Association between media doeses of the </w:t>
      </w:r>
      <w:r w:rsidRPr="0010581E">
        <w:rPr>
          <w:rFonts w:ascii="Arial Nova" w:hAnsi="Arial Nova" w:eastAsiaTheme="minorHAnsi" w:cstheme="minorBidi"/>
          <w:bCs/>
          <w:i/>
        </w:rPr>
        <w:t>Tips From Former Smokers</w:t>
      </w:r>
      <w:r w:rsidRPr="004F51D9">
        <w:rPr>
          <w:rFonts w:ascii="Arial Nova" w:hAnsi="Arial Nova" w:eastAsiaTheme="minorHAnsi" w:cstheme="minorBidi"/>
          <w:bCs/>
          <w:iCs/>
        </w:rPr>
        <w:t xml:space="preserve"> campaign and cessation behaviors and intentions to quit</w:t>
      </w:r>
      <w:r w:rsidRPr="004F51D9">
        <w:rPr>
          <w:rFonts w:ascii="Arial Nova" w:hAnsi="Arial Nova" w:eastAsiaTheme="minorHAnsi" w:cstheme="minorBidi"/>
          <w:bCs/>
          <w:iCs/>
        </w:rPr>
        <w:t xml:space="preserve"> among cigarette smokers, 2012</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2015. </w:t>
      </w:r>
      <w:r w:rsidRPr="0010581E">
        <w:rPr>
          <w:rFonts w:ascii="Arial Nova" w:hAnsi="Arial Nova" w:eastAsiaTheme="minorHAnsi" w:cstheme="minorBidi"/>
          <w:bCs/>
          <w:i/>
        </w:rPr>
        <w:t xml:space="preserve">Health Education </w:t>
      </w:r>
      <w:r w:rsidR="00A6667E">
        <w:rPr>
          <w:rFonts w:ascii="Arial Nova" w:hAnsi="Arial Nova" w:eastAsiaTheme="minorHAnsi" w:cstheme="minorBidi"/>
          <w:bCs/>
          <w:i/>
        </w:rPr>
        <w:t>and</w:t>
      </w:r>
      <w:r w:rsidRPr="0010581E">
        <w:rPr>
          <w:rFonts w:ascii="Arial Nova" w:hAnsi="Arial Nova" w:eastAsiaTheme="minorHAnsi" w:cstheme="minorBidi"/>
          <w:bCs/>
          <w:i/>
        </w:rPr>
        <w:t xml:space="preserve"> Behavior</w:t>
      </w:r>
      <w:r w:rsidRPr="004F51D9">
        <w:rPr>
          <w:rFonts w:ascii="Arial Nova" w:hAnsi="Arial Nova" w:eastAsiaTheme="minorHAnsi" w:cstheme="minorBidi"/>
          <w:bCs/>
          <w:iCs/>
        </w:rPr>
        <w:t>,</w:t>
      </w:r>
      <w:r w:rsidR="00BE761E">
        <w:rPr>
          <w:rFonts w:ascii="Arial Nova" w:hAnsi="Arial Nova" w:eastAsiaTheme="minorHAnsi" w:cstheme="minorBidi"/>
          <w:bCs/>
          <w:iCs/>
        </w:rPr>
        <w:t xml:space="preserve"> </w:t>
      </w:r>
      <w:r w:rsidRPr="004F51D9">
        <w:rPr>
          <w:rFonts w:ascii="Arial Nova" w:hAnsi="Arial Nova" w:eastAsiaTheme="minorHAnsi" w:cstheme="minorBidi"/>
          <w:bCs/>
          <w:iCs/>
        </w:rPr>
        <w:t>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9. </w:t>
      </w:r>
    </w:p>
    <w:p w:rsidR="003D4DB6" w:rsidRPr="004F51D9" w:rsidP="005F100C" w14:paraId="43DFAEF8" w14:textId="77777777">
      <w:pPr>
        <w:widowControl w:val="0"/>
        <w:spacing w:line="276" w:lineRule="auto"/>
        <w:ind w:left="720" w:hanging="720"/>
        <w:rPr>
          <w:rFonts w:ascii="Arial Nova" w:hAnsi="Arial Nova" w:eastAsiaTheme="minorHAnsi" w:cstheme="minorBidi"/>
          <w:bCs/>
          <w:iCs/>
        </w:rPr>
      </w:pPr>
      <w:r>
        <w:rPr>
          <w:rFonts w:ascii="Arial Nova" w:hAnsi="Arial Nova" w:eastAsiaTheme="minorHAnsi" w:cstheme="minorBidi"/>
          <w:bCs/>
          <w:iCs/>
        </w:rPr>
        <w:t>Davis, K.</w:t>
      </w:r>
      <w:r w:rsidR="00FD764C">
        <w:rPr>
          <w:rFonts w:ascii="Arial Nova" w:hAnsi="Arial Nova" w:eastAsiaTheme="minorHAnsi" w:cstheme="minorBidi"/>
          <w:bCs/>
          <w:iCs/>
        </w:rPr>
        <w:t xml:space="preserve"> </w:t>
      </w:r>
      <w:r>
        <w:rPr>
          <w:rFonts w:ascii="Arial Nova" w:hAnsi="Arial Nova" w:eastAsiaTheme="minorHAnsi" w:cstheme="minorBidi"/>
          <w:bCs/>
          <w:iCs/>
        </w:rPr>
        <w:t xml:space="preserve">C., Murphy-Hoefer, R., Dutra, L., King., B., Bradfield, B., Rodes, R., &amp; Beistle, D. (2022). </w:t>
      </w:r>
      <w:r w:rsidRPr="003D4DB6">
        <w:rPr>
          <w:rFonts w:ascii="Arial Nova" w:hAnsi="Arial Nova" w:eastAsiaTheme="minorHAnsi" w:cstheme="minorBidi"/>
          <w:bCs/>
          <w:iCs/>
        </w:rPr>
        <w:t xml:space="preserve">The </w:t>
      </w:r>
      <w:r w:rsidR="00F344EE">
        <w:rPr>
          <w:rFonts w:ascii="Arial Nova" w:hAnsi="Arial Nova" w:eastAsiaTheme="minorHAnsi" w:cstheme="minorBidi"/>
          <w:bCs/>
          <w:iCs/>
        </w:rPr>
        <w:t>i</w:t>
      </w:r>
      <w:r w:rsidRPr="003D4DB6">
        <w:rPr>
          <w:rFonts w:ascii="Arial Nova" w:hAnsi="Arial Nova" w:eastAsiaTheme="minorHAnsi" w:cstheme="minorBidi"/>
          <w:bCs/>
          <w:iCs/>
        </w:rPr>
        <w:t xml:space="preserve">mpact of the </w:t>
      </w:r>
      <w:r w:rsidRPr="00F513A3">
        <w:rPr>
          <w:rFonts w:ascii="Arial Nova" w:hAnsi="Arial Nova" w:eastAsiaTheme="minorHAnsi" w:cstheme="minorBidi"/>
          <w:bCs/>
          <w:i/>
        </w:rPr>
        <w:t>Tips from Former Smokers®</w:t>
      </w:r>
      <w:r w:rsidRPr="003D4DB6">
        <w:rPr>
          <w:rFonts w:ascii="Arial Nova" w:hAnsi="Arial Nova" w:eastAsiaTheme="minorHAnsi" w:cstheme="minorBidi"/>
          <w:bCs/>
          <w:iCs/>
        </w:rPr>
        <w:t xml:space="preserve"> Campaign on </w:t>
      </w:r>
      <w:r w:rsidR="00F344EE">
        <w:rPr>
          <w:rFonts w:ascii="Arial Nova" w:hAnsi="Arial Nova" w:eastAsiaTheme="minorHAnsi" w:cstheme="minorBidi"/>
          <w:bCs/>
          <w:iCs/>
        </w:rPr>
        <w:t>r</w:t>
      </w:r>
      <w:r w:rsidRPr="003D4DB6">
        <w:rPr>
          <w:rFonts w:ascii="Arial Nova" w:hAnsi="Arial Nova" w:eastAsiaTheme="minorHAnsi" w:cstheme="minorBidi"/>
          <w:bCs/>
          <w:iCs/>
        </w:rPr>
        <w:t xml:space="preserve">educing </w:t>
      </w:r>
      <w:r w:rsidR="00F344EE">
        <w:rPr>
          <w:rFonts w:ascii="Arial Nova" w:hAnsi="Arial Nova" w:eastAsiaTheme="minorHAnsi" w:cstheme="minorBidi"/>
          <w:bCs/>
          <w:iCs/>
        </w:rPr>
        <w:t>c</w:t>
      </w:r>
      <w:r w:rsidRPr="003D4DB6">
        <w:rPr>
          <w:rFonts w:ascii="Arial Nova" w:hAnsi="Arial Nova" w:eastAsiaTheme="minorHAnsi" w:cstheme="minorBidi"/>
          <w:bCs/>
          <w:iCs/>
        </w:rPr>
        <w:t xml:space="preserve">igarette </w:t>
      </w:r>
      <w:r w:rsidR="00F344EE">
        <w:rPr>
          <w:rFonts w:ascii="Arial Nova" w:hAnsi="Arial Nova" w:eastAsiaTheme="minorHAnsi" w:cstheme="minorBidi"/>
          <w:bCs/>
          <w:iCs/>
        </w:rPr>
        <w:t>s</w:t>
      </w:r>
      <w:r w:rsidRPr="003D4DB6">
        <w:rPr>
          <w:rFonts w:ascii="Arial Nova" w:hAnsi="Arial Nova" w:eastAsiaTheme="minorHAnsi" w:cstheme="minorBidi"/>
          <w:bCs/>
          <w:iCs/>
        </w:rPr>
        <w:t xml:space="preserve">moking </w:t>
      </w:r>
      <w:r w:rsidR="00F344EE">
        <w:rPr>
          <w:rFonts w:ascii="Arial Nova" w:hAnsi="Arial Nova" w:eastAsiaTheme="minorHAnsi" w:cstheme="minorBidi"/>
          <w:bCs/>
          <w:iCs/>
        </w:rPr>
        <w:t>r</w:t>
      </w:r>
      <w:r w:rsidRPr="003D4DB6">
        <w:rPr>
          <w:rFonts w:ascii="Arial Nova" w:hAnsi="Arial Nova" w:eastAsiaTheme="minorHAnsi" w:cstheme="minorBidi"/>
          <w:bCs/>
          <w:iCs/>
        </w:rPr>
        <w:t>elapse</w:t>
      </w:r>
      <w:r w:rsidR="00BE761E">
        <w:rPr>
          <w:rFonts w:ascii="Arial Nova" w:hAnsi="Arial Nova" w:eastAsiaTheme="minorHAnsi" w:cstheme="minorBidi"/>
          <w:bCs/>
          <w:iCs/>
        </w:rPr>
        <w:t>.</w:t>
      </w:r>
      <w:r w:rsidRPr="00041BDC" w:rsidR="00BE761E">
        <w:rPr>
          <w:rFonts w:ascii="Arial Nova" w:hAnsi="Arial Nova" w:eastAsiaTheme="minorHAnsi" w:cstheme="minorBidi"/>
          <w:bCs/>
          <w:i/>
        </w:rPr>
        <w:t xml:space="preserve"> Journal of Smoking Cessation, 2022</w:t>
      </w:r>
      <w:r w:rsidR="00BE761E">
        <w:rPr>
          <w:rFonts w:ascii="Arial Nova" w:hAnsi="Arial Nova" w:eastAsiaTheme="minorHAnsi" w:cstheme="minorBidi"/>
          <w:bCs/>
          <w:iCs/>
        </w:rPr>
        <w:t xml:space="preserve">, </w:t>
      </w:r>
      <w:r w:rsidRPr="00BE761E" w:rsidR="00BE761E">
        <w:rPr>
          <w:rFonts w:ascii="Arial Nova" w:hAnsi="Arial Nova" w:eastAsiaTheme="minorHAnsi" w:cstheme="minorBidi"/>
          <w:bCs/>
          <w:iCs/>
        </w:rPr>
        <w:t>https://doi.org/10.1155/2022/3435462</w:t>
      </w:r>
      <w:r w:rsidR="00BE761E">
        <w:rPr>
          <w:rFonts w:ascii="Arial Nova" w:hAnsi="Arial Nova" w:eastAsiaTheme="minorHAnsi" w:cstheme="minorBidi"/>
          <w:bCs/>
          <w:iCs/>
        </w:rPr>
        <w:t xml:space="preserve"> </w:t>
      </w:r>
    </w:p>
    <w:p w:rsidR="004F51D9" w:rsidRPr="004F51D9" w:rsidP="005F100C" w14:paraId="77483BE1" w14:textId="77777777">
      <w:pPr>
        <w:widowControl w:val="0"/>
        <w:spacing w:line="276" w:lineRule="auto"/>
        <w:ind w:left="720" w:hanging="720"/>
        <w:rPr>
          <w:rFonts w:ascii="Arial Nova" w:hAnsi="Arial Nova" w:eastAsiaTheme="minorHAnsi" w:cstheme="minorBidi"/>
          <w:bCs/>
          <w:iCs/>
        </w:rPr>
      </w:pPr>
      <w:bookmarkStart w:id="35" w:name="_ENREF_4"/>
      <w:r w:rsidRPr="004F51D9">
        <w:rPr>
          <w:rFonts w:ascii="Arial Nova" w:hAnsi="Arial Nova" w:eastAsiaTheme="minorHAnsi" w:cstheme="minorBidi"/>
          <w:bCs/>
          <w:iCs/>
        </w:rPr>
        <w:t xml:space="preserve">Department of Health and Human Services (HHS). (2014). </w:t>
      </w:r>
      <w:r w:rsidRPr="0010581E">
        <w:rPr>
          <w:rFonts w:ascii="Arial Nova" w:hAnsi="Arial Nova" w:eastAsiaTheme="minorHAnsi" w:cstheme="minorBidi"/>
          <w:bCs/>
          <w:i/>
        </w:rPr>
        <w:t xml:space="preserve">The </w:t>
      </w:r>
      <w:r w:rsidR="005954B3">
        <w:rPr>
          <w:rFonts w:ascii="Arial Nova" w:hAnsi="Arial Nova" w:eastAsiaTheme="minorHAnsi" w:cstheme="minorBidi"/>
          <w:bCs/>
          <w:i/>
        </w:rPr>
        <w:t>h</w:t>
      </w:r>
      <w:r w:rsidRPr="0010581E">
        <w:rPr>
          <w:rFonts w:ascii="Arial Nova" w:hAnsi="Arial Nova" w:eastAsiaTheme="minorHAnsi" w:cstheme="minorBidi"/>
          <w:bCs/>
          <w:i/>
        </w:rPr>
        <w:t xml:space="preserve">ealth </w:t>
      </w:r>
      <w:r w:rsidR="005954B3">
        <w:rPr>
          <w:rFonts w:ascii="Arial Nova" w:hAnsi="Arial Nova" w:eastAsiaTheme="minorHAnsi" w:cstheme="minorBidi"/>
          <w:bCs/>
          <w:i/>
        </w:rPr>
        <w:t>c</w:t>
      </w:r>
      <w:r w:rsidRPr="0010581E">
        <w:rPr>
          <w:rFonts w:ascii="Arial Nova" w:hAnsi="Arial Nova" w:eastAsiaTheme="minorHAnsi" w:cstheme="minorBidi"/>
          <w:bCs/>
          <w:i/>
        </w:rPr>
        <w:t xml:space="preserve">onsequences of </w:t>
      </w:r>
      <w:r w:rsidR="005954B3">
        <w:rPr>
          <w:rFonts w:ascii="Arial Nova" w:hAnsi="Arial Nova" w:eastAsiaTheme="minorHAnsi" w:cstheme="minorBidi"/>
          <w:bCs/>
          <w:i/>
        </w:rPr>
        <w:t>s</w:t>
      </w:r>
      <w:r w:rsidRPr="0010581E">
        <w:rPr>
          <w:rFonts w:ascii="Arial Nova" w:hAnsi="Arial Nova" w:eastAsiaTheme="minorHAnsi" w:cstheme="minorBidi"/>
          <w:bCs/>
          <w:i/>
        </w:rPr>
        <w:t xml:space="preserve">moking—50 </w:t>
      </w:r>
      <w:r w:rsidR="005954B3">
        <w:rPr>
          <w:rFonts w:ascii="Arial Nova" w:hAnsi="Arial Nova" w:eastAsiaTheme="minorHAnsi" w:cstheme="minorBidi"/>
          <w:bCs/>
          <w:i/>
        </w:rPr>
        <w:t>y</w:t>
      </w:r>
      <w:r w:rsidRPr="0010581E">
        <w:rPr>
          <w:rFonts w:ascii="Arial Nova" w:hAnsi="Arial Nova" w:eastAsiaTheme="minorHAnsi" w:cstheme="minorBidi"/>
          <w:bCs/>
          <w:i/>
        </w:rPr>
        <w:t xml:space="preserve">ears of </w:t>
      </w:r>
      <w:r w:rsidR="005954B3">
        <w:rPr>
          <w:rFonts w:ascii="Arial Nova" w:hAnsi="Arial Nova" w:eastAsiaTheme="minorHAnsi" w:cstheme="minorBidi"/>
          <w:bCs/>
          <w:i/>
        </w:rPr>
        <w:t>p</w:t>
      </w:r>
      <w:r w:rsidRPr="0010581E">
        <w:rPr>
          <w:rFonts w:ascii="Arial Nova" w:hAnsi="Arial Nova" w:eastAsiaTheme="minorHAnsi" w:cstheme="minorBidi"/>
          <w:bCs/>
          <w:i/>
        </w:rPr>
        <w:t xml:space="preserve">rogress: A </w:t>
      </w:r>
      <w:r w:rsidR="005954B3">
        <w:rPr>
          <w:rFonts w:ascii="Arial Nova" w:hAnsi="Arial Nova" w:eastAsiaTheme="minorHAnsi" w:cstheme="minorBidi"/>
          <w:bCs/>
          <w:i/>
        </w:rPr>
        <w:t>r</w:t>
      </w:r>
      <w:r w:rsidRPr="0010581E">
        <w:rPr>
          <w:rFonts w:ascii="Arial Nova" w:hAnsi="Arial Nova" w:eastAsiaTheme="minorHAnsi" w:cstheme="minorBidi"/>
          <w:bCs/>
          <w:i/>
        </w:rPr>
        <w:t xml:space="preserve">eport of the </w:t>
      </w:r>
      <w:r w:rsidR="005954B3">
        <w:rPr>
          <w:rFonts w:ascii="Arial Nova" w:hAnsi="Arial Nova" w:eastAsiaTheme="minorHAnsi" w:cstheme="minorBidi"/>
          <w:bCs/>
          <w:i/>
        </w:rPr>
        <w:t>s</w:t>
      </w:r>
      <w:r w:rsidRPr="0010581E">
        <w:rPr>
          <w:rFonts w:ascii="Arial Nova" w:hAnsi="Arial Nova" w:eastAsiaTheme="minorHAnsi" w:cstheme="minorBidi"/>
          <w:bCs/>
          <w:i/>
        </w:rPr>
        <w:t xml:space="preserve">urgeon </w:t>
      </w:r>
      <w:r w:rsidR="005954B3">
        <w:rPr>
          <w:rFonts w:ascii="Arial Nova" w:hAnsi="Arial Nova" w:eastAsiaTheme="minorHAnsi" w:cstheme="minorBidi"/>
          <w:bCs/>
          <w:i/>
        </w:rPr>
        <w:t>g</w:t>
      </w:r>
      <w:r w:rsidRPr="0010581E">
        <w:rPr>
          <w:rFonts w:ascii="Arial Nova" w:hAnsi="Arial Nova" w:eastAsiaTheme="minorHAnsi" w:cstheme="minorBidi"/>
          <w:bCs/>
          <w:i/>
        </w:rPr>
        <w:t>eneral</w:t>
      </w:r>
      <w:r w:rsidRPr="004F51D9">
        <w:rPr>
          <w:rFonts w:ascii="Arial Nova" w:hAnsi="Arial Nova" w:eastAsiaTheme="minorHAnsi" w:cstheme="minorBidi"/>
          <w:bCs/>
          <w:iCs/>
        </w:rPr>
        <w:t>. Atlanta, GA</w:t>
      </w:r>
      <w:r w:rsidRPr="004F51D9">
        <w:rPr>
          <w:rFonts w:ascii="Arial Nova" w:hAnsi="Arial Nova" w:eastAsiaTheme="minorHAnsi" w:cstheme="minorBidi"/>
          <w:bCs/>
          <w:iCs/>
        </w:rPr>
        <w:t>: US Department of Health and Human Services, Centers for Disease Control and Prevention, National Center for Chronic Disease Prevention and Health Promotion, Office on Smoking and Health.</w:t>
      </w:r>
      <w:bookmarkEnd w:id="35"/>
    </w:p>
    <w:p w:rsidR="004F51D9" w:rsidRPr="004F51D9" w:rsidP="005F100C" w14:paraId="292E1423" w14:textId="77777777">
      <w:pPr>
        <w:widowControl w:val="0"/>
        <w:spacing w:line="276" w:lineRule="auto"/>
        <w:ind w:left="720" w:hanging="720"/>
        <w:rPr>
          <w:rFonts w:ascii="Arial Nova" w:hAnsi="Arial Nova" w:eastAsiaTheme="minorHAnsi" w:cstheme="minorBidi"/>
          <w:bCs/>
          <w:iCs/>
        </w:rPr>
      </w:pPr>
      <w:bookmarkStart w:id="36" w:name="_ENREF_5"/>
      <w:r w:rsidRPr="004F51D9">
        <w:rPr>
          <w:rFonts w:ascii="Arial Nova" w:hAnsi="Arial Nova" w:eastAsiaTheme="minorHAnsi" w:cstheme="minorBidi"/>
          <w:bCs/>
          <w:iCs/>
        </w:rPr>
        <w:t>Fishbein, M., &amp; Yzer, M. C. (2003). Using theory to design effectiv</w:t>
      </w:r>
      <w:r w:rsidRPr="004F51D9">
        <w:rPr>
          <w:rFonts w:ascii="Arial Nova" w:hAnsi="Arial Nova" w:eastAsiaTheme="minorHAnsi" w:cstheme="minorBidi"/>
          <w:bCs/>
          <w:iCs/>
        </w:rPr>
        <w:t xml:space="preserve">e health behavior interventions. </w:t>
      </w:r>
      <w:r w:rsidRPr="00901B44">
        <w:rPr>
          <w:rFonts w:ascii="Arial Nova" w:hAnsi="Arial Nova" w:eastAsiaTheme="minorHAnsi" w:cstheme="minorBidi"/>
          <w:bCs/>
          <w:i/>
        </w:rPr>
        <w:t xml:space="preserve">Communication </w:t>
      </w:r>
      <w:r w:rsidR="00A6667E">
        <w:rPr>
          <w:rFonts w:ascii="Arial Nova" w:hAnsi="Arial Nova" w:eastAsiaTheme="minorHAnsi" w:cstheme="minorBidi"/>
          <w:bCs/>
          <w:i/>
        </w:rPr>
        <w:t>T</w:t>
      </w:r>
      <w:r w:rsidRPr="00901B44">
        <w:rPr>
          <w:rFonts w:ascii="Arial Nova" w:hAnsi="Arial Nova" w:eastAsiaTheme="minorHAnsi" w:cstheme="minorBidi"/>
          <w:bCs/>
          <w:i/>
        </w:rPr>
        <w:t>heory, 13</w:t>
      </w:r>
      <w:r w:rsidRPr="004F51D9">
        <w:rPr>
          <w:rFonts w:ascii="Arial Nova" w:hAnsi="Arial Nova" w:eastAsiaTheme="minorHAnsi" w:cstheme="minorBidi"/>
          <w:bCs/>
          <w:iCs/>
        </w:rPr>
        <w:t>(2), 164</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183. </w:t>
      </w:r>
      <w:bookmarkEnd w:id="36"/>
    </w:p>
    <w:p w:rsidR="004F51D9" w:rsidRPr="004F51D9" w:rsidP="005F100C" w14:paraId="67C73DAE" w14:textId="77777777">
      <w:pPr>
        <w:widowControl w:val="0"/>
        <w:spacing w:line="276" w:lineRule="auto"/>
        <w:ind w:left="720" w:hanging="720"/>
        <w:rPr>
          <w:rFonts w:ascii="Arial Nova" w:hAnsi="Arial Nova" w:eastAsiaTheme="minorHAnsi" w:cstheme="minorBidi"/>
          <w:bCs/>
          <w:iCs/>
        </w:rPr>
      </w:pPr>
      <w:bookmarkStart w:id="37" w:name="_ENREF_6"/>
      <w:r w:rsidRPr="004F51D9">
        <w:rPr>
          <w:rFonts w:ascii="Arial Nova" w:hAnsi="Arial Nova" w:eastAsiaTheme="minorHAnsi" w:cstheme="minorBidi"/>
          <w:bCs/>
          <w:iCs/>
        </w:rPr>
        <w:t xml:space="preserve">Greenbaum, R. T. (2000). </w:t>
      </w:r>
      <w:r w:rsidRPr="0010581E">
        <w:rPr>
          <w:rFonts w:ascii="Arial Nova" w:hAnsi="Arial Nova" w:eastAsiaTheme="minorHAnsi" w:cstheme="minorBidi"/>
          <w:bCs/>
          <w:iCs/>
        </w:rPr>
        <w:t xml:space="preserve">Selecting the right site: </w:t>
      </w:r>
      <w:r w:rsidR="00F344EE">
        <w:rPr>
          <w:rFonts w:ascii="Arial Nova" w:hAnsi="Arial Nova" w:eastAsiaTheme="minorHAnsi" w:cstheme="minorBidi"/>
          <w:bCs/>
          <w:iCs/>
        </w:rPr>
        <w:t>W</w:t>
      </w:r>
      <w:r w:rsidRPr="0010581E">
        <w:rPr>
          <w:rFonts w:ascii="Arial Nova" w:hAnsi="Arial Nova" w:eastAsiaTheme="minorHAnsi" w:cstheme="minorBidi"/>
          <w:bCs/>
          <w:iCs/>
        </w:rPr>
        <w:t>here do states locate place-based economic development programs?</w:t>
      </w:r>
      <w:r w:rsidRPr="004F51D9">
        <w:rPr>
          <w:rFonts w:ascii="Arial Nova" w:hAnsi="Arial Nova" w:eastAsiaTheme="minorHAnsi" w:cstheme="minorBidi"/>
          <w:bCs/>
          <w:iCs/>
        </w:rPr>
        <w:t xml:space="preserve"> Paper presented at the Proceedings. Annual Conference on Taxation and Minutes of the Annual Meeting of the National Tax Association.</w:t>
      </w:r>
      <w:bookmarkEnd w:id="37"/>
    </w:p>
    <w:p w:rsidR="004F51D9" w:rsidRPr="004F51D9" w:rsidP="005F100C" w14:paraId="61963A8A" w14:textId="77777777">
      <w:pPr>
        <w:widowControl w:val="0"/>
        <w:spacing w:line="276" w:lineRule="auto"/>
        <w:ind w:left="720" w:hanging="720"/>
        <w:rPr>
          <w:rFonts w:ascii="Arial Nova" w:hAnsi="Arial Nova" w:eastAsiaTheme="minorHAnsi" w:cstheme="minorBidi"/>
          <w:bCs/>
          <w:iCs/>
        </w:rPr>
      </w:pPr>
      <w:bookmarkStart w:id="38" w:name="_ENREF_7"/>
      <w:r w:rsidRPr="004F51D9">
        <w:rPr>
          <w:rFonts w:ascii="Arial Nova" w:hAnsi="Arial Nova" w:eastAsiaTheme="minorHAnsi" w:cstheme="minorBidi"/>
          <w:bCs/>
          <w:iCs/>
        </w:rPr>
        <w:t xml:space="preserve">Haveman, R. H. (2010). Principles to guide the development of population health incentives. </w:t>
      </w:r>
      <w:r w:rsidRPr="0010581E">
        <w:rPr>
          <w:rFonts w:ascii="Arial Nova" w:hAnsi="Arial Nova" w:eastAsiaTheme="minorHAnsi" w:cstheme="minorBidi"/>
          <w:bCs/>
          <w:i/>
        </w:rPr>
        <w:t>Prev</w:t>
      </w:r>
      <w:r w:rsidR="00A6667E">
        <w:rPr>
          <w:rFonts w:ascii="Arial Nova" w:hAnsi="Arial Nova" w:eastAsiaTheme="minorHAnsi" w:cstheme="minorBidi"/>
          <w:bCs/>
          <w:i/>
        </w:rPr>
        <w:t>entative</w:t>
      </w:r>
      <w:r w:rsidRPr="0010581E">
        <w:rPr>
          <w:rFonts w:ascii="Arial Nova" w:hAnsi="Arial Nova" w:eastAsiaTheme="minorHAnsi" w:cstheme="minorBidi"/>
          <w:bCs/>
          <w:i/>
        </w:rPr>
        <w:t xml:space="preserve"> Chronic Dis</w:t>
      </w:r>
      <w:r w:rsidR="00A6667E">
        <w:rPr>
          <w:rFonts w:ascii="Arial Nova" w:hAnsi="Arial Nova" w:eastAsiaTheme="minorHAnsi" w:cstheme="minorBidi"/>
          <w:bCs/>
          <w:i/>
        </w:rPr>
        <w:t>ease</w:t>
      </w:r>
      <w:r w:rsidRPr="0010581E">
        <w:rPr>
          <w:rFonts w:ascii="Arial Nova" w:hAnsi="Arial Nova" w:eastAsiaTheme="minorHAnsi" w:cstheme="minorBidi"/>
          <w:bCs/>
          <w:iCs/>
        </w:rPr>
        <w:t xml:space="preserve">, </w:t>
      </w:r>
      <w:r w:rsidRPr="00C37734">
        <w:rPr>
          <w:rFonts w:ascii="Arial Nova" w:hAnsi="Arial Nova" w:eastAsiaTheme="minorHAnsi" w:cstheme="minorBidi"/>
          <w:bCs/>
          <w:i/>
        </w:rPr>
        <w:t>7</w:t>
      </w:r>
      <w:r w:rsidRPr="004F51D9">
        <w:rPr>
          <w:rFonts w:ascii="Arial Nova" w:hAnsi="Arial Nova" w:eastAsiaTheme="minorHAnsi" w:cstheme="minorBidi"/>
          <w:bCs/>
          <w:iCs/>
        </w:rPr>
        <w:t xml:space="preserve">(5), A94. </w:t>
      </w:r>
      <w:bookmarkEnd w:id="38"/>
    </w:p>
    <w:p w:rsidR="004F51D9" w:rsidRPr="004F51D9" w:rsidP="005F100C" w14:paraId="5B50A369" w14:textId="7777777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Huang, L.</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L., Thrasher, J.</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F., Abad, E.</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N., Cummings, K.</w:t>
      </w:r>
      <w:r w:rsidR="00FD764C">
        <w:rPr>
          <w:rFonts w:ascii="Arial Nova" w:hAnsi="Arial Nova" w:eastAsiaTheme="minorHAnsi" w:cstheme="minorBidi"/>
          <w:bCs/>
          <w:iCs/>
        </w:rPr>
        <w:t xml:space="preserve"> </w:t>
      </w:r>
      <w:r w:rsidRPr="004F51D9">
        <w:rPr>
          <w:rFonts w:ascii="Arial Nova" w:hAnsi="Arial Nova" w:eastAsiaTheme="minorHAnsi" w:cstheme="minorBidi"/>
          <w:bCs/>
          <w:iCs/>
        </w:rPr>
        <w:t xml:space="preserve">M., Bansal-Travers, M. Brown, A., </w:t>
      </w:r>
      <w:r w:rsidR="00FD764C">
        <w:rPr>
          <w:rFonts w:ascii="Arial Nova" w:hAnsi="Arial Nova" w:eastAsiaTheme="minorHAnsi" w:cstheme="minorBidi"/>
          <w:bCs/>
          <w:iCs/>
        </w:rPr>
        <w:t xml:space="preserve">&amp; </w:t>
      </w:r>
      <w:r w:rsidRPr="004F51D9">
        <w:rPr>
          <w:rFonts w:ascii="Arial Nova" w:hAnsi="Arial Nova" w:eastAsiaTheme="minorHAnsi" w:cstheme="minorBidi"/>
          <w:bCs/>
          <w:iCs/>
        </w:rPr>
        <w:t>Nagelhout, G.E. (2015). The U.S. national Tips From Former Smokers antismoking campaign: Promoting awareness of smoking-related risks, cessation resou</w:t>
      </w:r>
      <w:r w:rsidR="004F28CA">
        <w:rPr>
          <w:rFonts w:ascii="Arial Nova" w:hAnsi="Arial Nova" w:eastAsiaTheme="minorHAnsi" w:cstheme="minorBidi"/>
          <w:bCs/>
          <w:iCs/>
        </w:rPr>
        <w:t>r</w:t>
      </w:r>
      <w:r w:rsidRPr="004F51D9">
        <w:rPr>
          <w:rFonts w:ascii="Arial Nova" w:hAnsi="Arial Nova" w:eastAsiaTheme="minorHAnsi" w:cstheme="minorBidi"/>
          <w:bCs/>
          <w:iCs/>
        </w:rPr>
        <w:t xml:space="preserve">ces, and cessation behaviors. </w:t>
      </w:r>
      <w:r w:rsidRPr="0010581E">
        <w:rPr>
          <w:rFonts w:ascii="Arial Nova" w:hAnsi="Arial Nova" w:eastAsiaTheme="minorHAnsi" w:cstheme="minorBidi"/>
          <w:bCs/>
          <w:i/>
        </w:rPr>
        <w:t xml:space="preserve">Health Education </w:t>
      </w:r>
      <w:r w:rsidR="00A6667E">
        <w:rPr>
          <w:rFonts w:ascii="Arial Nova" w:hAnsi="Arial Nova" w:eastAsiaTheme="minorHAnsi" w:cstheme="minorBidi"/>
          <w:bCs/>
          <w:i/>
        </w:rPr>
        <w:t>and</w:t>
      </w:r>
      <w:r w:rsidRPr="0010581E">
        <w:rPr>
          <w:rFonts w:ascii="Arial Nova" w:hAnsi="Arial Nova" w:eastAsiaTheme="minorHAnsi" w:cstheme="minorBidi"/>
          <w:bCs/>
          <w:i/>
        </w:rPr>
        <w:t xml:space="preserve"> Behavior</w:t>
      </w:r>
      <w:r w:rsidRPr="004F51D9">
        <w:rPr>
          <w:rFonts w:ascii="Arial Nova" w:hAnsi="Arial Nova" w:eastAsiaTheme="minorHAnsi" w:cstheme="minorBidi"/>
          <w:bCs/>
          <w:iCs/>
        </w:rPr>
        <w:t xml:space="preserve">, </w:t>
      </w:r>
      <w:r w:rsidRPr="00C37734">
        <w:rPr>
          <w:rFonts w:ascii="Arial Nova" w:hAnsi="Arial Nova" w:eastAsiaTheme="minorHAnsi" w:cstheme="minorBidi"/>
          <w:bCs/>
          <w:i/>
        </w:rPr>
        <w:t>42</w:t>
      </w:r>
      <w:r w:rsidRPr="004F51D9">
        <w:rPr>
          <w:rFonts w:ascii="Arial Nova" w:hAnsi="Arial Nova" w:eastAsiaTheme="minorHAnsi" w:cstheme="minorBidi"/>
          <w:bCs/>
          <w:iCs/>
        </w:rPr>
        <w:t>, 480</w:t>
      </w:r>
      <w:r w:rsidR="00C37734">
        <w:rPr>
          <w:rFonts w:ascii="Arial Nova" w:hAnsi="Arial Nova" w:eastAsiaTheme="minorHAnsi" w:cstheme="minorBidi"/>
          <w:bCs/>
          <w:iCs/>
        </w:rPr>
        <w:t>-</w:t>
      </w:r>
      <w:r w:rsidRPr="004F51D9">
        <w:rPr>
          <w:rFonts w:ascii="Arial Nova" w:hAnsi="Arial Nova" w:eastAsiaTheme="minorHAnsi" w:cstheme="minorBidi"/>
          <w:bCs/>
          <w:iCs/>
        </w:rPr>
        <w:t>486.</w:t>
      </w:r>
    </w:p>
    <w:p w:rsidR="00751B6C" w:rsidP="00C37734" w14:paraId="3F99E6D6" w14:textId="77777777">
      <w:pPr>
        <w:widowControl w:val="0"/>
        <w:spacing w:line="276" w:lineRule="auto"/>
        <w:ind w:left="720" w:hanging="720"/>
        <w:rPr>
          <w:rFonts w:ascii="Arial Nova" w:hAnsi="Arial Nova" w:eastAsiaTheme="minorHAnsi" w:cstheme="minorBidi"/>
          <w:bCs/>
          <w:iCs/>
        </w:rPr>
      </w:pPr>
      <w:bookmarkStart w:id="39" w:name="_ENREF_8"/>
      <w:r w:rsidRPr="004F51D9">
        <w:rPr>
          <w:rFonts w:ascii="Arial Nova" w:hAnsi="Arial Nova" w:eastAsiaTheme="minorHAnsi" w:cstheme="minorBidi"/>
          <w:bCs/>
          <w:iCs/>
        </w:rPr>
        <w:t>Murphy-Hoefer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R</w:t>
      </w:r>
      <w:r w:rsidR="00FD764C">
        <w:rPr>
          <w:rFonts w:ascii="Arial Nova" w:hAnsi="Arial Nova" w:eastAsiaTheme="minorHAnsi" w:cstheme="minorBidi"/>
          <w:bCs/>
          <w:iCs/>
        </w:rPr>
        <w:t>.</w:t>
      </w:r>
      <w:r w:rsidRPr="004F51D9">
        <w:rPr>
          <w:rFonts w:ascii="Arial Nova" w:hAnsi="Arial Nova" w:eastAsiaTheme="minorHAnsi" w:cstheme="minorBidi"/>
          <w:bCs/>
          <w:iCs/>
        </w:rPr>
        <w:t>, Davis</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K.C., King</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B.A</w:t>
      </w:r>
      <w:r w:rsidR="00FD764C">
        <w:rPr>
          <w:rFonts w:ascii="Arial Nova" w:hAnsi="Arial Nova" w:eastAsiaTheme="minorHAnsi" w:cstheme="minorBidi"/>
          <w:bCs/>
          <w:iCs/>
        </w:rPr>
        <w:t>.</w:t>
      </w:r>
      <w:r w:rsidRPr="004F51D9">
        <w:rPr>
          <w:rFonts w:ascii="Arial Nova" w:hAnsi="Arial Nova" w:eastAsiaTheme="minorHAnsi" w:cstheme="minorBidi"/>
          <w:bCs/>
          <w:iCs/>
        </w:rPr>
        <w:t>, Beistle</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D</w:t>
      </w:r>
      <w:r w:rsidR="00FD764C">
        <w:rPr>
          <w:rFonts w:ascii="Arial Nova" w:hAnsi="Arial Nova" w:eastAsiaTheme="minorHAnsi" w:cstheme="minorBidi"/>
          <w:bCs/>
          <w:iCs/>
        </w:rPr>
        <w:t>.</w:t>
      </w:r>
      <w:r w:rsidRPr="004F51D9">
        <w:rPr>
          <w:rFonts w:ascii="Arial Nova" w:hAnsi="Arial Nova" w:eastAsiaTheme="minorHAnsi" w:cstheme="minorBidi"/>
          <w:bCs/>
          <w:iCs/>
        </w:rPr>
        <w:t>, Rodes</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w:t>
      </w:r>
      <w:r w:rsidR="00FD764C">
        <w:rPr>
          <w:rFonts w:ascii="Arial Nova" w:hAnsi="Arial Nova" w:eastAsiaTheme="minorHAnsi" w:cstheme="minorBidi"/>
          <w:bCs/>
          <w:iCs/>
        </w:rPr>
        <w:t xml:space="preserve">&amp; </w:t>
      </w:r>
      <w:r w:rsidRPr="004F51D9">
        <w:rPr>
          <w:rFonts w:ascii="Arial Nova" w:hAnsi="Arial Nova" w:eastAsiaTheme="minorHAnsi" w:cstheme="minorBidi"/>
          <w:bCs/>
          <w:iCs/>
        </w:rPr>
        <w:t>Graffunder</w:t>
      </w:r>
      <w:r w:rsidR="00FD764C">
        <w:rPr>
          <w:rFonts w:ascii="Arial Nova" w:hAnsi="Arial Nova" w:eastAsiaTheme="minorHAnsi" w:cstheme="minorBidi"/>
          <w:bCs/>
          <w:iCs/>
        </w:rPr>
        <w:t>,</w:t>
      </w:r>
      <w:r w:rsidRPr="004F51D9">
        <w:rPr>
          <w:rFonts w:ascii="Arial Nova" w:hAnsi="Arial Nova" w:eastAsiaTheme="minorHAnsi" w:cstheme="minorBidi"/>
          <w:bCs/>
          <w:iCs/>
        </w:rPr>
        <w:t xml:space="preserve"> C. </w:t>
      </w:r>
      <w:r w:rsidR="00C37734">
        <w:rPr>
          <w:rFonts w:ascii="Arial Nova" w:hAnsi="Arial Nova" w:eastAsiaTheme="minorHAnsi" w:cstheme="minorBidi"/>
          <w:bCs/>
          <w:iCs/>
        </w:rPr>
        <w:t xml:space="preserve">(2020). </w:t>
      </w:r>
      <w:r w:rsidRPr="004F51D9">
        <w:rPr>
          <w:rFonts w:ascii="Arial Nova" w:hAnsi="Arial Nova" w:eastAsiaTheme="minorHAnsi" w:cstheme="minorBidi"/>
          <w:bCs/>
          <w:iCs/>
        </w:rPr>
        <w:t>Association</w:t>
      </w:r>
      <w:r w:rsidR="00C37734">
        <w:rPr>
          <w:rFonts w:ascii="Arial Nova" w:hAnsi="Arial Nova" w:eastAsiaTheme="minorHAnsi" w:cstheme="minorBidi"/>
          <w:bCs/>
          <w:iCs/>
        </w:rPr>
        <w:t xml:space="preserve"> </w:t>
      </w:r>
      <w:r w:rsidRPr="004F51D9">
        <w:rPr>
          <w:rFonts w:ascii="Arial Nova" w:hAnsi="Arial Nova" w:eastAsiaTheme="minorHAnsi" w:cstheme="minorBidi"/>
          <w:bCs/>
          <w:iCs/>
        </w:rPr>
        <w:t xml:space="preserve">between the </w:t>
      </w:r>
      <w:r w:rsidRPr="0010581E">
        <w:rPr>
          <w:rFonts w:ascii="Arial Nova" w:hAnsi="Arial Nova" w:eastAsiaTheme="minorHAnsi" w:cstheme="minorBidi"/>
          <w:bCs/>
          <w:i/>
        </w:rPr>
        <w:t>Tips From Former Smokers®</w:t>
      </w:r>
      <w:r w:rsidRPr="004F51D9">
        <w:rPr>
          <w:rFonts w:ascii="Arial Nova" w:hAnsi="Arial Nova" w:eastAsiaTheme="minorHAnsi" w:cstheme="minorBidi"/>
          <w:bCs/>
          <w:iCs/>
        </w:rPr>
        <w:t xml:space="preserve"> Campaign and </w:t>
      </w:r>
      <w:r w:rsidR="00C37734">
        <w:rPr>
          <w:rFonts w:ascii="Arial Nova" w:hAnsi="Arial Nova" w:eastAsiaTheme="minorHAnsi" w:cstheme="minorBidi"/>
          <w:bCs/>
          <w:iCs/>
        </w:rPr>
        <w:t>s</w:t>
      </w:r>
      <w:r w:rsidRPr="004F51D9">
        <w:rPr>
          <w:rFonts w:ascii="Arial Nova" w:hAnsi="Arial Nova" w:eastAsiaTheme="minorHAnsi" w:cstheme="minorBidi"/>
          <w:bCs/>
          <w:iCs/>
        </w:rPr>
        <w:t xml:space="preserve">moking </w:t>
      </w:r>
      <w:r w:rsidR="00C37734">
        <w:rPr>
          <w:rFonts w:ascii="Arial Nova" w:hAnsi="Arial Nova" w:eastAsiaTheme="minorHAnsi" w:cstheme="minorBidi"/>
          <w:bCs/>
          <w:iCs/>
        </w:rPr>
        <w:t>c</w:t>
      </w:r>
      <w:r w:rsidRPr="004F51D9">
        <w:rPr>
          <w:rFonts w:ascii="Arial Nova" w:hAnsi="Arial Nova" w:eastAsiaTheme="minorHAnsi" w:cstheme="minorBidi"/>
          <w:bCs/>
          <w:iCs/>
        </w:rPr>
        <w:t xml:space="preserve">essation </w:t>
      </w:r>
      <w:r w:rsidR="00C37734">
        <w:rPr>
          <w:rFonts w:ascii="Arial Nova" w:hAnsi="Arial Nova" w:eastAsiaTheme="minorHAnsi" w:cstheme="minorBidi"/>
          <w:bCs/>
          <w:iCs/>
        </w:rPr>
        <w:t>a</w:t>
      </w:r>
      <w:r w:rsidRPr="004F51D9">
        <w:rPr>
          <w:rFonts w:ascii="Arial Nova" w:hAnsi="Arial Nova" w:eastAsiaTheme="minorHAnsi" w:cstheme="minorBidi"/>
          <w:bCs/>
          <w:iCs/>
        </w:rPr>
        <w:t>mong</w:t>
      </w:r>
      <w:r w:rsidR="0010581E">
        <w:rPr>
          <w:rFonts w:ascii="Arial Nova" w:hAnsi="Arial Nova" w:eastAsiaTheme="minorHAnsi" w:cstheme="minorBidi"/>
          <w:bCs/>
          <w:iCs/>
        </w:rPr>
        <w:t xml:space="preserve"> </w:t>
      </w:r>
      <w:r w:rsidR="00C37734">
        <w:rPr>
          <w:rFonts w:ascii="Arial Nova" w:hAnsi="Arial Nova" w:eastAsiaTheme="minorHAnsi" w:cstheme="minorBidi"/>
          <w:bCs/>
          <w:iCs/>
        </w:rPr>
        <w:t>a</w:t>
      </w:r>
      <w:r w:rsidRPr="004F51D9">
        <w:rPr>
          <w:rFonts w:ascii="Arial Nova" w:hAnsi="Arial Nova" w:eastAsiaTheme="minorHAnsi" w:cstheme="minorBidi"/>
          <w:bCs/>
          <w:iCs/>
        </w:rPr>
        <w:t>dults</w:t>
      </w:r>
      <w:r w:rsidR="00C37734">
        <w:rPr>
          <w:rFonts w:ascii="Arial Nova" w:hAnsi="Arial Nova" w:eastAsiaTheme="minorHAnsi" w:cstheme="minorBidi"/>
          <w:bCs/>
          <w:iCs/>
        </w:rPr>
        <w:t xml:space="preserve">, </w:t>
      </w:r>
      <w:r w:rsidRPr="004F51D9">
        <w:rPr>
          <w:rFonts w:ascii="Arial Nova" w:hAnsi="Arial Nova" w:eastAsiaTheme="minorHAnsi" w:cstheme="minorBidi"/>
          <w:bCs/>
          <w:iCs/>
        </w:rPr>
        <w:t xml:space="preserve">United States, 2012–2018. </w:t>
      </w:r>
      <w:r w:rsidRPr="0010581E" w:rsidR="00FD764C">
        <w:rPr>
          <w:rFonts w:ascii="Arial Nova" w:hAnsi="Arial Nova" w:eastAsiaTheme="minorHAnsi" w:cstheme="minorBidi"/>
          <w:bCs/>
          <w:i/>
        </w:rPr>
        <w:t>Prev</w:t>
      </w:r>
      <w:r w:rsidR="00FD764C">
        <w:rPr>
          <w:rFonts w:ascii="Arial Nova" w:hAnsi="Arial Nova" w:eastAsiaTheme="minorHAnsi" w:cstheme="minorBidi"/>
          <w:bCs/>
          <w:i/>
        </w:rPr>
        <w:t>entative</w:t>
      </w:r>
      <w:r w:rsidRPr="0010581E" w:rsidR="00FD764C">
        <w:rPr>
          <w:rFonts w:ascii="Arial Nova" w:hAnsi="Arial Nova" w:eastAsiaTheme="minorHAnsi" w:cstheme="minorBidi"/>
          <w:bCs/>
          <w:i/>
        </w:rPr>
        <w:t xml:space="preserve"> Chronic Dis</w:t>
      </w:r>
      <w:r w:rsidR="00FD764C">
        <w:rPr>
          <w:rFonts w:ascii="Arial Nova" w:hAnsi="Arial Nova" w:eastAsiaTheme="minorHAnsi" w:cstheme="minorBidi"/>
          <w:bCs/>
          <w:i/>
        </w:rPr>
        <w:t>ease,</w:t>
      </w:r>
      <w:r w:rsidR="00C37734">
        <w:rPr>
          <w:rFonts w:ascii="Arial Nova" w:hAnsi="Arial Nova" w:eastAsiaTheme="minorHAnsi" w:cstheme="minorBidi"/>
          <w:bCs/>
          <w:i/>
        </w:rPr>
        <w:t xml:space="preserve"> 17, </w:t>
      </w:r>
      <w:bookmarkStart w:id="40" w:name="_ENREF_9"/>
      <w:bookmarkEnd w:id="39"/>
      <w:r w:rsidR="00C37734">
        <w:rPr>
          <w:rFonts w:ascii="Arial Nova" w:hAnsi="Arial Nova" w:eastAsiaTheme="minorHAnsi" w:cstheme="minorBidi"/>
          <w:bCs/>
          <w:iCs/>
        </w:rPr>
        <w:t xml:space="preserve">E97. </w:t>
      </w:r>
      <w:r w:rsidRPr="00C37734" w:rsidR="00C37734">
        <w:rPr>
          <w:rFonts w:ascii="Arial Nova" w:hAnsi="Arial Nova" w:eastAsiaTheme="minorHAnsi" w:cstheme="minorBidi"/>
          <w:bCs/>
          <w:iCs/>
        </w:rPr>
        <w:t>https://doi.org/10.5888/pcd17.200052</w:t>
      </w:r>
    </w:p>
    <w:p w:rsidR="004F51D9" w:rsidRPr="004F51D9" w:rsidP="005F100C" w14:paraId="0E39649B" w14:textId="7777777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 xml:space="preserve">National Cancer Institute. (2002). Making health communication programs work. </w:t>
      </w:r>
      <w:r w:rsidRPr="00751B6C">
        <w:rPr>
          <w:rFonts w:ascii="Arial Nova" w:hAnsi="Arial Nova" w:eastAsiaTheme="minorHAnsi" w:cstheme="minorBidi"/>
          <w:bCs/>
          <w:i/>
        </w:rPr>
        <w:t xml:space="preserve">Bethesda, </w:t>
      </w:r>
      <w:r w:rsidRPr="00751B6C">
        <w:rPr>
          <w:rFonts w:ascii="Arial Nova" w:hAnsi="Arial Nova" w:eastAsiaTheme="minorHAnsi" w:cstheme="minorBidi"/>
          <w:bCs/>
          <w:i/>
        </w:rPr>
        <w:t xml:space="preserve">MD: National Cancer Institute. </w:t>
      </w:r>
      <w:bookmarkEnd w:id="40"/>
    </w:p>
    <w:p w:rsidR="004F51D9" w:rsidRPr="004F51D9" w:rsidP="005F100C" w14:paraId="4AD53F03" w14:textId="77777777">
      <w:pPr>
        <w:widowControl w:val="0"/>
        <w:spacing w:line="276" w:lineRule="auto"/>
        <w:ind w:left="720" w:hanging="720"/>
        <w:rPr>
          <w:rFonts w:ascii="Arial Nova" w:hAnsi="Arial Nova" w:eastAsiaTheme="minorHAnsi" w:cstheme="minorBidi"/>
          <w:bCs/>
          <w:iCs/>
        </w:rPr>
      </w:pPr>
      <w:bookmarkStart w:id="41" w:name="_ENREF_10"/>
      <w:r w:rsidRPr="004F51D9">
        <w:rPr>
          <w:rFonts w:ascii="Arial Nova" w:hAnsi="Arial Nova" w:eastAsiaTheme="minorHAnsi" w:cstheme="minorBidi"/>
          <w:bCs/>
          <w:iCs/>
        </w:rPr>
        <w:t xml:space="preserve">Noar, S. M. (2006). A 10-year retrospective of research in health mass media campaigns: Where do we go from here? </w:t>
      </w:r>
      <w:r w:rsidRPr="00751B6C">
        <w:rPr>
          <w:rFonts w:ascii="Arial Nova" w:hAnsi="Arial Nova" w:eastAsiaTheme="minorHAnsi" w:cstheme="minorBidi"/>
          <w:bCs/>
          <w:i/>
        </w:rPr>
        <w:t xml:space="preserve">Journal of </w:t>
      </w:r>
      <w:r w:rsidR="00FD764C">
        <w:rPr>
          <w:rFonts w:ascii="Arial Nova" w:hAnsi="Arial Nova" w:eastAsiaTheme="minorHAnsi" w:cstheme="minorBidi"/>
          <w:bCs/>
          <w:i/>
        </w:rPr>
        <w:t>H</w:t>
      </w:r>
      <w:r w:rsidRPr="00751B6C" w:rsidR="00FD764C">
        <w:rPr>
          <w:rFonts w:ascii="Arial Nova" w:hAnsi="Arial Nova" w:eastAsiaTheme="minorHAnsi" w:cstheme="minorBidi"/>
          <w:bCs/>
          <w:i/>
        </w:rPr>
        <w:t xml:space="preserve">ealth </w:t>
      </w:r>
      <w:r w:rsidR="00FD764C">
        <w:rPr>
          <w:rFonts w:ascii="Arial Nova" w:hAnsi="Arial Nova" w:eastAsiaTheme="minorHAnsi" w:cstheme="minorBidi"/>
          <w:bCs/>
          <w:i/>
        </w:rPr>
        <w:t>C</w:t>
      </w:r>
      <w:r w:rsidRPr="00751B6C" w:rsidR="00FD764C">
        <w:rPr>
          <w:rFonts w:ascii="Arial Nova" w:hAnsi="Arial Nova" w:eastAsiaTheme="minorHAnsi" w:cstheme="minorBidi"/>
          <w:bCs/>
          <w:i/>
        </w:rPr>
        <w:t>ommunication</w:t>
      </w:r>
      <w:r w:rsidRPr="00751B6C">
        <w:rPr>
          <w:rFonts w:ascii="Arial Nova" w:hAnsi="Arial Nova" w:eastAsiaTheme="minorHAnsi" w:cstheme="minorBidi"/>
          <w:bCs/>
          <w:iCs/>
        </w:rPr>
        <w:t xml:space="preserve">, </w:t>
      </w:r>
      <w:r w:rsidRPr="0010581E">
        <w:rPr>
          <w:rFonts w:ascii="Arial Nova" w:hAnsi="Arial Nova" w:eastAsiaTheme="minorHAnsi" w:cstheme="minorBidi"/>
          <w:bCs/>
          <w:iCs/>
        </w:rPr>
        <w:t>11</w:t>
      </w:r>
      <w:r w:rsidRPr="004F51D9">
        <w:rPr>
          <w:rFonts w:ascii="Arial Nova" w:hAnsi="Arial Nova" w:eastAsiaTheme="minorHAnsi" w:cstheme="minorBidi"/>
          <w:bCs/>
          <w:iCs/>
        </w:rPr>
        <w:t>(1), 21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42. </w:t>
      </w:r>
      <w:bookmarkEnd w:id="41"/>
    </w:p>
    <w:p w:rsidR="003C2CEC" w:rsidP="005F100C" w14:paraId="71DF3279" w14:textId="77777777">
      <w:pPr>
        <w:widowControl w:val="0"/>
        <w:spacing w:line="276" w:lineRule="auto"/>
        <w:ind w:left="720" w:hanging="720"/>
        <w:rPr>
          <w:rFonts w:ascii="Arial Nova" w:hAnsi="Arial Nova" w:eastAsiaTheme="minorHAnsi" w:cstheme="minorBidi"/>
          <w:bCs/>
          <w:iCs/>
        </w:rPr>
      </w:pPr>
      <w:bookmarkStart w:id="42" w:name="_Hlk128407784"/>
      <w:bookmarkStart w:id="43" w:name="_ENREF_11"/>
      <w:r w:rsidRPr="003C2CEC">
        <w:rPr>
          <w:rFonts w:ascii="Arial Nova" w:hAnsi="Arial Nova" w:eastAsiaTheme="minorHAnsi" w:cstheme="minorBidi"/>
          <w:bCs/>
          <w:iCs/>
        </w:rPr>
        <w:t>Park-Lee</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E</w:t>
      </w:r>
      <w:r w:rsidR="00FD764C">
        <w:rPr>
          <w:rFonts w:ascii="Arial Nova" w:hAnsi="Arial Nova" w:eastAsiaTheme="minorHAnsi" w:cstheme="minorBidi"/>
          <w:bCs/>
          <w:iCs/>
        </w:rPr>
        <w:t>.</w:t>
      </w:r>
      <w:r w:rsidRPr="003C2CEC">
        <w:rPr>
          <w:rFonts w:ascii="Arial Nova" w:hAnsi="Arial Nova" w:eastAsiaTheme="minorHAnsi" w:cstheme="minorBidi"/>
          <w:bCs/>
          <w:iCs/>
        </w:rPr>
        <w:t>, Ren</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C</w:t>
      </w:r>
      <w:r w:rsidR="00FD764C">
        <w:rPr>
          <w:rFonts w:ascii="Arial Nova" w:hAnsi="Arial Nova" w:eastAsiaTheme="minorHAnsi" w:cstheme="minorBidi"/>
          <w:bCs/>
          <w:iCs/>
        </w:rPr>
        <w:t>.</w:t>
      </w:r>
      <w:r w:rsidRPr="003C2CEC">
        <w:rPr>
          <w:rFonts w:ascii="Arial Nova" w:hAnsi="Arial Nova" w:eastAsiaTheme="minorHAnsi" w:cstheme="minorBidi"/>
          <w:bCs/>
          <w:iCs/>
        </w:rPr>
        <w:t>, Cooper</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M</w:t>
      </w:r>
      <w:r w:rsidR="00FD764C">
        <w:rPr>
          <w:rFonts w:ascii="Arial Nova" w:hAnsi="Arial Nova" w:eastAsiaTheme="minorHAnsi" w:cstheme="minorBidi"/>
          <w:bCs/>
          <w:iCs/>
        </w:rPr>
        <w:t>.</w:t>
      </w:r>
      <w:r w:rsidRPr="003C2CEC">
        <w:rPr>
          <w:rFonts w:ascii="Arial Nova" w:hAnsi="Arial Nova" w:eastAsiaTheme="minorHAnsi" w:cstheme="minorBidi"/>
          <w:bCs/>
          <w:iCs/>
        </w:rPr>
        <w:t>, Cornelius</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M</w:t>
      </w:r>
      <w:r w:rsidR="00FD764C">
        <w:rPr>
          <w:rFonts w:ascii="Arial Nova" w:hAnsi="Arial Nova" w:eastAsiaTheme="minorHAnsi" w:cstheme="minorBidi"/>
          <w:bCs/>
          <w:iCs/>
        </w:rPr>
        <w:t>.</w:t>
      </w:r>
      <w:r w:rsidRPr="003C2CEC">
        <w:rPr>
          <w:rFonts w:ascii="Arial Nova" w:hAnsi="Arial Nova" w:eastAsiaTheme="minorHAnsi" w:cstheme="minorBidi"/>
          <w:bCs/>
          <w:iCs/>
        </w:rPr>
        <w:t>, Jamal</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A</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w:t>
      </w:r>
      <w:r w:rsidR="00C37734">
        <w:rPr>
          <w:rFonts w:ascii="Arial Nova" w:hAnsi="Arial Nova" w:eastAsiaTheme="minorHAnsi" w:cstheme="minorBidi"/>
          <w:bCs/>
          <w:iCs/>
        </w:rPr>
        <w:t xml:space="preserve">&amp; </w:t>
      </w:r>
      <w:r w:rsidRPr="003C2CEC">
        <w:rPr>
          <w:rFonts w:ascii="Arial Nova" w:hAnsi="Arial Nova" w:eastAsiaTheme="minorHAnsi" w:cstheme="minorBidi"/>
          <w:bCs/>
          <w:iCs/>
        </w:rPr>
        <w:t>Cullen</w:t>
      </w:r>
      <w:r w:rsidR="00FD764C">
        <w:rPr>
          <w:rFonts w:ascii="Arial Nova" w:hAnsi="Arial Nova" w:eastAsiaTheme="minorHAnsi" w:cstheme="minorBidi"/>
          <w:bCs/>
          <w:iCs/>
        </w:rPr>
        <w:t>,</w:t>
      </w:r>
      <w:r w:rsidRPr="003C2CEC">
        <w:rPr>
          <w:rFonts w:ascii="Arial Nova" w:hAnsi="Arial Nova" w:eastAsiaTheme="minorHAnsi" w:cstheme="minorBidi"/>
          <w:bCs/>
          <w:iCs/>
        </w:rPr>
        <w:t xml:space="preserve"> K</w:t>
      </w:r>
      <w:r w:rsidR="00FD764C">
        <w:rPr>
          <w:rFonts w:ascii="Arial Nova" w:hAnsi="Arial Nova" w:eastAsiaTheme="minorHAnsi" w:cstheme="minorBidi"/>
          <w:bCs/>
          <w:iCs/>
        </w:rPr>
        <w:t xml:space="preserve">. </w:t>
      </w:r>
      <w:r w:rsidRPr="003C2CEC">
        <w:rPr>
          <w:rFonts w:ascii="Arial Nova" w:hAnsi="Arial Nova" w:eastAsiaTheme="minorHAnsi" w:cstheme="minorBidi"/>
          <w:bCs/>
          <w:iCs/>
        </w:rPr>
        <w:t xml:space="preserve">A. </w:t>
      </w:r>
      <w:r w:rsidR="00C37734">
        <w:rPr>
          <w:rFonts w:ascii="Arial Nova" w:hAnsi="Arial Nova" w:eastAsiaTheme="minorHAnsi" w:cstheme="minorBidi"/>
          <w:bCs/>
          <w:iCs/>
        </w:rPr>
        <w:t xml:space="preserve">(2022). </w:t>
      </w:r>
      <w:r w:rsidRPr="003C2CEC">
        <w:rPr>
          <w:rFonts w:ascii="Arial Nova" w:hAnsi="Arial Nova" w:eastAsiaTheme="minorHAnsi" w:cstheme="minorBidi"/>
          <w:bCs/>
          <w:iCs/>
        </w:rPr>
        <w:t xml:space="preserve">Tobacco </w:t>
      </w:r>
      <w:r w:rsidR="00C37734">
        <w:rPr>
          <w:rFonts w:ascii="Arial Nova" w:hAnsi="Arial Nova" w:eastAsiaTheme="minorHAnsi" w:cstheme="minorBidi"/>
          <w:bCs/>
          <w:iCs/>
        </w:rPr>
        <w:t>p</w:t>
      </w:r>
      <w:r w:rsidRPr="003C2CEC">
        <w:rPr>
          <w:rFonts w:ascii="Arial Nova" w:hAnsi="Arial Nova" w:eastAsiaTheme="minorHAnsi" w:cstheme="minorBidi"/>
          <w:bCs/>
          <w:iCs/>
        </w:rPr>
        <w:t xml:space="preserve">roduct </w:t>
      </w:r>
      <w:r w:rsidR="00C37734">
        <w:rPr>
          <w:rFonts w:ascii="Arial Nova" w:hAnsi="Arial Nova" w:eastAsiaTheme="minorHAnsi" w:cstheme="minorBidi"/>
          <w:bCs/>
          <w:iCs/>
        </w:rPr>
        <w:t>u</w:t>
      </w:r>
      <w:r w:rsidRPr="003C2CEC">
        <w:rPr>
          <w:rFonts w:ascii="Arial Nova" w:hAnsi="Arial Nova" w:eastAsiaTheme="minorHAnsi" w:cstheme="minorBidi"/>
          <w:bCs/>
          <w:iCs/>
        </w:rPr>
        <w:t xml:space="preserve">se </w:t>
      </w:r>
      <w:r w:rsidR="00C37734">
        <w:rPr>
          <w:rFonts w:ascii="Arial Nova" w:hAnsi="Arial Nova" w:eastAsiaTheme="minorHAnsi" w:cstheme="minorBidi"/>
          <w:bCs/>
          <w:iCs/>
        </w:rPr>
        <w:t>a</w:t>
      </w:r>
      <w:r w:rsidRPr="003C2CEC">
        <w:rPr>
          <w:rFonts w:ascii="Arial Nova" w:hAnsi="Arial Nova" w:eastAsiaTheme="minorHAnsi" w:cstheme="minorBidi"/>
          <w:bCs/>
          <w:iCs/>
        </w:rPr>
        <w:t xml:space="preserve">mong </w:t>
      </w:r>
      <w:r w:rsidR="00C37734">
        <w:rPr>
          <w:rFonts w:ascii="Arial Nova" w:hAnsi="Arial Nova" w:eastAsiaTheme="minorHAnsi" w:cstheme="minorBidi"/>
          <w:bCs/>
          <w:iCs/>
        </w:rPr>
        <w:t>m</w:t>
      </w:r>
      <w:r w:rsidRPr="003C2CEC">
        <w:rPr>
          <w:rFonts w:ascii="Arial Nova" w:hAnsi="Arial Nova" w:eastAsiaTheme="minorHAnsi" w:cstheme="minorBidi"/>
          <w:bCs/>
          <w:iCs/>
        </w:rPr>
        <w:t xml:space="preserve">iddle and </w:t>
      </w:r>
      <w:r w:rsidR="00C37734">
        <w:rPr>
          <w:rFonts w:ascii="Arial Nova" w:hAnsi="Arial Nova" w:eastAsiaTheme="minorHAnsi" w:cstheme="minorBidi"/>
          <w:bCs/>
          <w:iCs/>
        </w:rPr>
        <w:t>h</w:t>
      </w:r>
      <w:r w:rsidRPr="003C2CEC">
        <w:rPr>
          <w:rFonts w:ascii="Arial Nova" w:hAnsi="Arial Nova" w:eastAsiaTheme="minorHAnsi" w:cstheme="minorBidi"/>
          <w:bCs/>
          <w:iCs/>
        </w:rPr>
        <w:t xml:space="preserve">igh </w:t>
      </w:r>
      <w:r w:rsidR="00C37734">
        <w:rPr>
          <w:rFonts w:ascii="Arial Nova" w:hAnsi="Arial Nova" w:eastAsiaTheme="minorHAnsi" w:cstheme="minorBidi"/>
          <w:bCs/>
          <w:iCs/>
        </w:rPr>
        <w:t>s</w:t>
      </w:r>
      <w:r w:rsidRPr="003C2CEC">
        <w:rPr>
          <w:rFonts w:ascii="Arial Nova" w:hAnsi="Arial Nova" w:eastAsiaTheme="minorHAnsi" w:cstheme="minorBidi"/>
          <w:bCs/>
          <w:iCs/>
        </w:rPr>
        <w:t xml:space="preserve">chool </w:t>
      </w:r>
      <w:r w:rsidR="00C37734">
        <w:rPr>
          <w:rFonts w:ascii="Arial Nova" w:hAnsi="Arial Nova" w:eastAsiaTheme="minorHAnsi" w:cstheme="minorBidi"/>
          <w:bCs/>
          <w:iCs/>
        </w:rPr>
        <w:t>s</w:t>
      </w:r>
      <w:r w:rsidRPr="003C2CEC">
        <w:rPr>
          <w:rFonts w:ascii="Arial Nova" w:hAnsi="Arial Nova" w:eastAsiaTheme="minorHAnsi" w:cstheme="minorBidi"/>
          <w:bCs/>
          <w:iCs/>
        </w:rPr>
        <w:t xml:space="preserve">tudents — United States. </w:t>
      </w:r>
      <w:r w:rsidRPr="00C37734" w:rsidR="00C37734">
        <w:rPr>
          <w:rFonts w:ascii="Arial Nova" w:hAnsi="Arial Nova" w:eastAsiaTheme="minorHAnsi" w:cstheme="minorBidi"/>
          <w:bCs/>
          <w:i/>
        </w:rPr>
        <w:t xml:space="preserve">MMWR. Morbidity and </w:t>
      </w:r>
      <w:r w:rsidR="00C37734">
        <w:rPr>
          <w:rFonts w:ascii="Arial Nova" w:hAnsi="Arial Nova" w:eastAsiaTheme="minorHAnsi" w:cstheme="minorBidi"/>
          <w:bCs/>
          <w:i/>
        </w:rPr>
        <w:t>M</w:t>
      </w:r>
      <w:r w:rsidRPr="00C37734" w:rsidR="00C37734">
        <w:rPr>
          <w:rFonts w:ascii="Arial Nova" w:hAnsi="Arial Nova" w:eastAsiaTheme="minorHAnsi" w:cstheme="minorBidi"/>
          <w:bCs/>
          <w:i/>
        </w:rPr>
        <w:t xml:space="preserve">ortality </w:t>
      </w:r>
      <w:r w:rsidR="00C37734">
        <w:rPr>
          <w:rFonts w:ascii="Arial Nova" w:hAnsi="Arial Nova" w:eastAsiaTheme="minorHAnsi" w:cstheme="minorBidi"/>
          <w:bCs/>
          <w:i/>
        </w:rPr>
        <w:t>W</w:t>
      </w:r>
      <w:r w:rsidRPr="00C37734" w:rsidR="00C37734">
        <w:rPr>
          <w:rFonts w:ascii="Arial Nova" w:hAnsi="Arial Nova" w:eastAsiaTheme="minorHAnsi" w:cstheme="minorBidi"/>
          <w:bCs/>
          <w:i/>
        </w:rPr>
        <w:t xml:space="preserve">eekly </w:t>
      </w:r>
      <w:r w:rsidR="00C37734">
        <w:rPr>
          <w:rFonts w:ascii="Arial Nova" w:hAnsi="Arial Nova" w:eastAsiaTheme="minorHAnsi" w:cstheme="minorBidi"/>
          <w:bCs/>
          <w:i/>
        </w:rPr>
        <w:t>R</w:t>
      </w:r>
      <w:r w:rsidRPr="00C37734" w:rsidR="00C37734">
        <w:rPr>
          <w:rFonts w:ascii="Arial Nova" w:hAnsi="Arial Nova" w:eastAsiaTheme="minorHAnsi" w:cstheme="minorBidi"/>
          <w:bCs/>
          <w:i/>
        </w:rPr>
        <w:t>eport</w:t>
      </w:r>
      <w:r w:rsidR="00C37734">
        <w:rPr>
          <w:rFonts w:ascii="Arial Nova" w:hAnsi="Arial Nova" w:eastAsiaTheme="minorHAnsi" w:cstheme="minorBidi"/>
          <w:bCs/>
          <w:i/>
        </w:rPr>
        <w:t xml:space="preserve">, </w:t>
      </w:r>
      <w:r w:rsidRPr="00C37734">
        <w:rPr>
          <w:rFonts w:ascii="Arial Nova" w:hAnsi="Arial Nova" w:eastAsiaTheme="minorHAnsi" w:cstheme="minorBidi"/>
          <w:bCs/>
          <w:i/>
        </w:rPr>
        <w:t>71</w:t>
      </w:r>
      <w:r w:rsidR="00C37734">
        <w:rPr>
          <w:rFonts w:ascii="Arial Nova" w:hAnsi="Arial Nova" w:eastAsiaTheme="minorHAnsi" w:cstheme="minorBidi"/>
          <w:bCs/>
          <w:iCs/>
        </w:rPr>
        <w:t xml:space="preserve">, </w:t>
      </w:r>
      <w:r w:rsidRPr="003C2CEC">
        <w:rPr>
          <w:rFonts w:ascii="Arial Nova" w:hAnsi="Arial Nova" w:eastAsiaTheme="minorHAnsi" w:cstheme="minorBidi"/>
          <w:bCs/>
          <w:iCs/>
        </w:rPr>
        <w:t>1429–1435. DOI: http://dx.doi.org/10.15585/mmwr.mm7145a1.</w:t>
      </w:r>
    </w:p>
    <w:p w:rsidR="002B6DAD" w:rsidP="005F100C" w14:paraId="1AA04ABD" w14:textId="77777777">
      <w:pPr>
        <w:widowControl w:val="0"/>
        <w:spacing w:line="276" w:lineRule="auto"/>
        <w:ind w:left="720" w:hanging="720"/>
        <w:rPr>
          <w:rFonts w:ascii="Arial Nova" w:hAnsi="Arial Nova" w:eastAsiaTheme="minorHAnsi" w:cstheme="minorBidi"/>
          <w:bCs/>
          <w:iCs/>
        </w:rPr>
      </w:pPr>
      <w:r w:rsidRPr="002B6DAD">
        <w:rPr>
          <w:rFonts w:ascii="Arial Nova" w:hAnsi="Arial Nova" w:eastAsiaTheme="minorHAnsi" w:cstheme="minorBidi"/>
          <w:bCs/>
          <w:iCs/>
        </w:rPr>
        <w:t xml:space="preserve">Shrestha, S. S., Davis, K., Mann, N., Taylor, N., Nonnemaker, J., Murphy-Hoefer, R., Trivers, K. F., King, B. A., Babb, S. D., &amp; Armour, B. S. (2021). Cost </w:t>
      </w:r>
      <w:r w:rsidR="00C37734">
        <w:rPr>
          <w:rFonts w:ascii="Arial Nova" w:hAnsi="Arial Nova" w:eastAsiaTheme="minorHAnsi" w:cstheme="minorBidi"/>
          <w:bCs/>
          <w:iCs/>
        </w:rPr>
        <w:t>e</w:t>
      </w:r>
      <w:r w:rsidRPr="002B6DAD">
        <w:rPr>
          <w:rFonts w:ascii="Arial Nova" w:hAnsi="Arial Nova" w:eastAsiaTheme="minorHAnsi" w:cstheme="minorBidi"/>
          <w:bCs/>
          <w:iCs/>
        </w:rPr>
        <w:t xml:space="preserve">ffectiveness of the Tips From Former Smokers® Campaign-U.S., 2012-2018. </w:t>
      </w:r>
      <w:r w:rsidRPr="002B6DAD">
        <w:rPr>
          <w:rFonts w:ascii="Arial Nova" w:hAnsi="Arial Nova" w:eastAsiaTheme="minorHAnsi" w:cstheme="minorBidi"/>
          <w:bCs/>
          <w:i/>
        </w:rPr>
        <w:t xml:space="preserve">American </w:t>
      </w:r>
      <w:r w:rsidR="00FD764C">
        <w:rPr>
          <w:rFonts w:ascii="Arial Nova" w:hAnsi="Arial Nova" w:eastAsiaTheme="minorHAnsi" w:cstheme="minorBidi"/>
          <w:bCs/>
          <w:i/>
        </w:rPr>
        <w:t>J</w:t>
      </w:r>
      <w:r w:rsidRPr="002B6DAD" w:rsidR="00FD764C">
        <w:rPr>
          <w:rFonts w:ascii="Arial Nova" w:hAnsi="Arial Nova" w:eastAsiaTheme="minorHAnsi" w:cstheme="minorBidi"/>
          <w:bCs/>
          <w:i/>
        </w:rPr>
        <w:t xml:space="preserve">ournal </w:t>
      </w:r>
      <w:r w:rsidRPr="002B6DAD">
        <w:rPr>
          <w:rFonts w:ascii="Arial Nova" w:hAnsi="Arial Nova" w:eastAsiaTheme="minorHAnsi" w:cstheme="minorBidi"/>
          <w:bCs/>
          <w:i/>
        </w:rPr>
        <w:t xml:space="preserve">of </w:t>
      </w:r>
      <w:r w:rsidR="00FD764C">
        <w:rPr>
          <w:rFonts w:ascii="Arial Nova" w:hAnsi="Arial Nova" w:eastAsiaTheme="minorHAnsi" w:cstheme="minorBidi"/>
          <w:bCs/>
          <w:i/>
        </w:rPr>
        <w:t>P</w:t>
      </w:r>
      <w:r w:rsidRPr="002B6DAD" w:rsidR="00FD764C">
        <w:rPr>
          <w:rFonts w:ascii="Arial Nova" w:hAnsi="Arial Nova" w:eastAsiaTheme="minorHAnsi" w:cstheme="minorBidi"/>
          <w:bCs/>
          <w:i/>
        </w:rPr>
        <w:t xml:space="preserve">reventive </w:t>
      </w:r>
      <w:r w:rsidR="00FD764C">
        <w:rPr>
          <w:rFonts w:ascii="Arial Nova" w:hAnsi="Arial Nova" w:eastAsiaTheme="minorHAnsi" w:cstheme="minorBidi"/>
          <w:bCs/>
          <w:i/>
        </w:rPr>
        <w:t>M</w:t>
      </w:r>
      <w:r w:rsidRPr="002B6DAD" w:rsidR="00FD764C">
        <w:rPr>
          <w:rFonts w:ascii="Arial Nova" w:hAnsi="Arial Nova" w:eastAsiaTheme="minorHAnsi" w:cstheme="minorBidi"/>
          <w:bCs/>
          <w:i/>
        </w:rPr>
        <w:t>edicine</w:t>
      </w:r>
      <w:r w:rsidRPr="002B6DAD">
        <w:rPr>
          <w:rFonts w:ascii="Arial Nova" w:hAnsi="Arial Nova" w:eastAsiaTheme="minorHAnsi" w:cstheme="minorBidi"/>
          <w:bCs/>
          <w:i/>
        </w:rPr>
        <w:t>, 60</w:t>
      </w:r>
      <w:r w:rsidRPr="002B6DAD">
        <w:rPr>
          <w:rFonts w:ascii="Arial Nova" w:hAnsi="Arial Nova" w:eastAsiaTheme="minorHAnsi" w:cstheme="minorBidi"/>
          <w:bCs/>
          <w:iCs/>
        </w:rPr>
        <w:t>(3), 406</w:t>
      </w:r>
      <w:r w:rsidR="00C37734">
        <w:rPr>
          <w:rFonts w:ascii="Arial Nova" w:hAnsi="Arial Nova" w:eastAsiaTheme="minorHAnsi" w:cstheme="minorBidi"/>
          <w:bCs/>
          <w:iCs/>
        </w:rPr>
        <w:t>-</w:t>
      </w:r>
      <w:r w:rsidRPr="002B6DAD">
        <w:rPr>
          <w:rFonts w:ascii="Arial Nova" w:hAnsi="Arial Nova" w:eastAsiaTheme="minorHAnsi" w:cstheme="minorBidi"/>
          <w:bCs/>
          <w:iCs/>
        </w:rPr>
        <w:t>410. https://doi.org/10.1016/j.amepre.2020.10.009</w:t>
      </w:r>
    </w:p>
    <w:bookmarkEnd w:id="42"/>
    <w:p w:rsidR="004F51D9" w:rsidRPr="004F51D9" w:rsidP="005F100C" w14:paraId="125FF507" w14:textId="77777777">
      <w:pPr>
        <w:widowControl w:val="0"/>
        <w:spacing w:line="276" w:lineRule="auto"/>
        <w:ind w:left="720" w:hanging="720"/>
        <w:rPr>
          <w:rFonts w:ascii="Arial Nova" w:hAnsi="Arial Nova" w:eastAsiaTheme="minorHAnsi" w:cstheme="minorBidi"/>
          <w:bCs/>
          <w:iCs/>
        </w:rPr>
      </w:pPr>
      <w:r w:rsidRPr="004F51D9">
        <w:rPr>
          <w:rFonts w:ascii="Arial Nova" w:hAnsi="Arial Nova" w:eastAsiaTheme="minorHAnsi" w:cstheme="minorBidi"/>
          <w:bCs/>
          <w:iCs/>
        </w:rPr>
        <w:t xml:space="preserve">Stempel III, G. H., &amp; Stewart, R. K. (2000). The Internet provides both opportunities and challenges for mass communication researchers. </w:t>
      </w:r>
      <w:r w:rsidRPr="0010581E">
        <w:rPr>
          <w:rFonts w:ascii="Arial Nova" w:hAnsi="Arial Nova" w:eastAsiaTheme="minorHAnsi" w:cstheme="minorBidi"/>
          <w:bCs/>
          <w:iCs/>
        </w:rPr>
        <w:t>J</w:t>
      </w:r>
      <w:r w:rsidRPr="00751B6C">
        <w:rPr>
          <w:rFonts w:ascii="Arial Nova" w:hAnsi="Arial Nova" w:eastAsiaTheme="minorHAnsi" w:cstheme="minorBidi"/>
          <w:bCs/>
          <w:i/>
        </w:rPr>
        <w:t xml:space="preserve">ournalism </w:t>
      </w:r>
      <w:r w:rsidR="00FD764C">
        <w:rPr>
          <w:rFonts w:ascii="Arial Nova" w:hAnsi="Arial Nova" w:eastAsiaTheme="minorHAnsi" w:cstheme="minorBidi"/>
          <w:bCs/>
          <w:i/>
        </w:rPr>
        <w:t>and</w:t>
      </w:r>
      <w:r w:rsidRPr="00751B6C">
        <w:rPr>
          <w:rFonts w:ascii="Arial Nova" w:hAnsi="Arial Nova" w:eastAsiaTheme="minorHAnsi" w:cstheme="minorBidi"/>
          <w:bCs/>
          <w:i/>
        </w:rPr>
        <w:t xml:space="preserve"> Mass Communication Quarterly</w:t>
      </w:r>
      <w:r w:rsidRPr="0010581E">
        <w:rPr>
          <w:rFonts w:ascii="Arial Nova" w:hAnsi="Arial Nova" w:eastAsiaTheme="minorHAnsi" w:cstheme="minorBidi"/>
          <w:bCs/>
          <w:iCs/>
        </w:rPr>
        <w:t>,</w:t>
      </w:r>
      <w:r w:rsidRPr="0010581E">
        <w:rPr>
          <w:rFonts w:ascii="Arial Nova" w:hAnsi="Arial Nova" w:eastAsiaTheme="minorHAnsi" w:cstheme="minorBidi"/>
          <w:bCs/>
          <w:iCs/>
        </w:rPr>
        <w:t xml:space="preserve"> 77</w:t>
      </w:r>
      <w:r w:rsidRPr="004F51D9">
        <w:rPr>
          <w:rFonts w:ascii="Arial Nova" w:hAnsi="Arial Nova" w:eastAsiaTheme="minorHAnsi" w:cstheme="minorBidi"/>
          <w:bCs/>
          <w:iCs/>
        </w:rPr>
        <w:t>(3), 541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548. </w:t>
      </w:r>
      <w:bookmarkEnd w:id="43"/>
    </w:p>
    <w:p w:rsidR="004F51D9" w:rsidP="005F100C" w14:paraId="0647C225" w14:textId="77777777">
      <w:pPr>
        <w:widowControl w:val="0"/>
        <w:spacing w:line="276" w:lineRule="auto"/>
        <w:ind w:left="720" w:hanging="720"/>
        <w:rPr>
          <w:rFonts w:ascii="Arial Nova" w:hAnsi="Arial Nova" w:eastAsiaTheme="minorHAnsi" w:cstheme="minorBidi"/>
          <w:bCs/>
          <w:iCs/>
        </w:rPr>
      </w:pPr>
      <w:bookmarkStart w:id="44" w:name="_ENREF_12"/>
      <w:r w:rsidRPr="004F51D9">
        <w:rPr>
          <w:rFonts w:ascii="Arial Nova" w:hAnsi="Arial Nova" w:eastAsiaTheme="minorHAnsi" w:cstheme="minorBidi"/>
          <w:bCs/>
          <w:iCs/>
        </w:rPr>
        <w:t xml:space="preserve">Thackeray, R., &amp; Neiger, B. L. (2000). Establishing a relationship between behavior change theory and social marketing: Implications for health education. </w:t>
      </w:r>
      <w:r w:rsidRPr="00751B6C">
        <w:rPr>
          <w:rFonts w:ascii="Arial Nova" w:hAnsi="Arial Nova" w:eastAsiaTheme="minorHAnsi" w:cstheme="minorBidi"/>
          <w:bCs/>
          <w:i/>
        </w:rPr>
        <w:t>Journal of Health Education</w:t>
      </w:r>
      <w:r w:rsidRPr="0010581E">
        <w:rPr>
          <w:rFonts w:ascii="Arial Nova" w:hAnsi="Arial Nova" w:eastAsiaTheme="minorHAnsi" w:cstheme="minorBidi"/>
          <w:bCs/>
          <w:iCs/>
        </w:rPr>
        <w:t>, 31</w:t>
      </w:r>
      <w:r w:rsidRPr="004F51D9">
        <w:rPr>
          <w:rFonts w:ascii="Arial Nova" w:hAnsi="Arial Nova" w:eastAsiaTheme="minorHAnsi" w:cstheme="minorBidi"/>
          <w:bCs/>
          <w:iCs/>
        </w:rPr>
        <w:t>(6), 331</w:t>
      </w:r>
      <w:r w:rsidR="00C37734">
        <w:rPr>
          <w:rFonts w:ascii="Arial Nova" w:hAnsi="Arial Nova" w:eastAsiaTheme="minorHAnsi" w:cstheme="minorBidi"/>
          <w:bCs/>
          <w:iCs/>
        </w:rPr>
        <w:t>-</w:t>
      </w:r>
      <w:r w:rsidRPr="004F51D9">
        <w:rPr>
          <w:rFonts w:ascii="Arial Nova" w:hAnsi="Arial Nova" w:eastAsiaTheme="minorHAnsi" w:cstheme="minorBidi"/>
          <w:bCs/>
          <w:iCs/>
        </w:rPr>
        <w:t xml:space="preserve">335. </w:t>
      </w:r>
      <w:bookmarkEnd w:id="44"/>
    </w:p>
    <w:p w:rsidR="004F51D9" w:rsidRPr="004F51D9" w:rsidP="005F100C" w14:paraId="09EFCC8D" w14:textId="77777777">
      <w:pPr>
        <w:widowControl w:val="0"/>
        <w:spacing w:line="276" w:lineRule="auto"/>
        <w:ind w:left="720" w:hanging="720"/>
        <w:rPr>
          <w:rFonts w:ascii="Arial Nova" w:hAnsi="Arial Nova" w:eastAsiaTheme="minorHAnsi" w:cstheme="minorBidi"/>
          <w:bCs/>
          <w:iCs/>
        </w:rPr>
      </w:pPr>
    </w:p>
    <w:p w:rsidR="004F51D9" w:rsidRPr="004F51D9" w:rsidP="005F100C" w14:paraId="4F86FF29" w14:textId="77777777">
      <w:pPr>
        <w:widowControl w:val="0"/>
        <w:spacing w:line="276" w:lineRule="auto"/>
        <w:rPr>
          <w:rFonts w:ascii="Arial Nova" w:hAnsi="Arial Nova" w:eastAsiaTheme="minorHAnsi" w:cstheme="minorBidi"/>
          <w:bCs/>
          <w:iCs/>
        </w:rPr>
      </w:pPr>
    </w:p>
    <w:p w:rsidR="00174127" w:rsidRPr="004F51D9" w:rsidP="005F100C" w14:paraId="08F79BBE" w14:textId="77777777">
      <w:pPr>
        <w:spacing w:line="276" w:lineRule="auto"/>
        <w:rPr>
          <w:rFonts w:ascii="Arial Nova" w:hAnsi="Arial Nova" w:eastAsiaTheme="minorHAnsi" w:cstheme="minorBidi"/>
          <w:bCs/>
          <w:iCs/>
        </w:rPr>
      </w:pPr>
      <w:r w:rsidRPr="004F51D9">
        <w:rPr>
          <w:rFonts w:ascii="Arial Nova" w:hAnsi="Arial Nova" w:eastAsiaTheme="minorHAnsi" w:cstheme="minorBidi"/>
          <w:bCs/>
          <w:iCs/>
        </w:rPr>
        <w:fldChar w:fldCharType="end"/>
      </w:r>
    </w:p>
    <w:sectPr w:rsidSect="006C6884">
      <w:footerReference w:type="default" r:id="rId18"/>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86A" w14:paraId="1EBB95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5194885"/>
      <w:docPartObj>
        <w:docPartGallery w:val="Page Numbers (Bottom of Page)"/>
        <w:docPartUnique/>
      </w:docPartObj>
    </w:sdtPr>
    <w:sdtEndPr>
      <w:rPr>
        <w:noProof/>
      </w:rPr>
    </w:sdtEndPr>
    <w:sdtContent>
      <w:p w:rsidR="00634F7E" w:rsidRPr="00880185" w:rsidP="007A47A5" w14:paraId="5CAED977"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3AD97F20" w14:textId="77777777">
    <w:pPr>
      <w:rPr>
        <w:b/>
        <w:sz w:val="28"/>
        <w:szCs w:val="28"/>
      </w:rPr>
    </w:pPr>
  </w:p>
  <w:p w:rsidR="00634F7E" w:rsidP="00880185" w14:paraId="44EEC0B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86A" w14:paraId="606003C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1697617"/>
      <w:docPartObj>
        <w:docPartGallery w:val="Page Numbers (Bottom of Page)"/>
        <w:docPartUnique/>
      </w:docPartObj>
    </w:sdtPr>
    <w:sdtEndPr>
      <w:rPr>
        <w:noProof/>
      </w:rPr>
    </w:sdtEndPr>
    <w:sdtContent>
      <w:p w:rsidR="00CB4EF2" w14:paraId="4894C51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F7E" w:rsidRPr="000E451B" w:rsidP="00F421B3" w14:paraId="0E59CA17" w14:textId="77777777">
    <w:pPr>
      <w:spacing w:line="276" w:lineRule="auto"/>
      <w:rPr>
        <w:rFonts w:ascii="Arial Nova" w:hAnsi="Arial Nova"/>
        <w:b/>
        <w:i/>
        <w:color w:val="C75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4219E" w:rsidP="00AC6049" w14:paraId="517953C2" w14:textId="77777777">
      <w:r>
        <w:separator/>
      </w:r>
    </w:p>
  </w:footnote>
  <w:footnote w:type="continuationSeparator" w:id="1">
    <w:p w:rsidR="0074219E" w:rsidP="00AC6049" w14:paraId="2949A315" w14:textId="77777777">
      <w:r>
        <w:continuationSeparator/>
      </w:r>
    </w:p>
  </w:footnote>
  <w:footnote w:type="continuationNotice" w:id="2">
    <w:p w:rsidR="0074219E" w14:paraId="33B9F93C" w14:textId="77777777"/>
  </w:footnote>
  <w:footnote w:id="3">
    <w:p w:rsidR="00B60B9D" w14:paraId="31EFB9D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586A" w14:paraId="4CCA0F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4F7E" w:rsidRPr="00CB20E7" w:rsidP="00CB20E7" w14:paraId="0744D8E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34F7E" w:rsidP="00A246E3" w14:paraId="44C43292" w14:textId="77777777">
    <w:pPr>
      <w:pStyle w:val="Header"/>
      <w:jc w:val="center"/>
    </w:pPr>
  </w:p>
  <w:p w:rsidR="00634F7E" w14:paraId="35D4D9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17290D"/>
    <w:multiLevelType w:val="hybridMultilevel"/>
    <w:tmpl w:val="7CD69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EF0107"/>
    <w:multiLevelType w:val="hybridMultilevel"/>
    <w:tmpl w:val="43F68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4B358B"/>
    <w:multiLevelType w:val="hybridMultilevel"/>
    <w:tmpl w:val="A5AC5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FE64D2C"/>
    <w:multiLevelType w:val="hybridMultilevel"/>
    <w:tmpl w:val="A926A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D676584"/>
    <w:multiLevelType w:val="hybridMultilevel"/>
    <w:tmpl w:val="1012E418"/>
    <w:lvl w:ilvl="0">
      <w:start w:val="65"/>
      <w:numFmt w:val="decimal"/>
      <w:lvlText w:val="%1)"/>
      <w:lvlJc w:val="left"/>
      <w:pPr>
        <w:ind w:left="1080" w:hanging="720"/>
      </w:pPr>
      <w:rPr>
        <w:rFonts w:eastAsia="MS Mincho"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3"/>
  </w:num>
  <w:num w:numId="6">
    <w:abstractNumId w:val="4"/>
  </w:num>
  <w:num w:numId="7">
    <w:abstractNumId w:val="0"/>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07E4A"/>
    <w:rsid w:val="0001151F"/>
    <w:rsid w:val="00013103"/>
    <w:rsid w:val="00017FAF"/>
    <w:rsid w:val="000201C3"/>
    <w:rsid w:val="00022645"/>
    <w:rsid w:val="00022E71"/>
    <w:rsid w:val="000237A2"/>
    <w:rsid w:val="000243F6"/>
    <w:rsid w:val="00024725"/>
    <w:rsid w:val="000264EF"/>
    <w:rsid w:val="000309E3"/>
    <w:rsid w:val="000319C8"/>
    <w:rsid w:val="000324D6"/>
    <w:rsid w:val="00033648"/>
    <w:rsid w:val="00033796"/>
    <w:rsid w:val="00033AF2"/>
    <w:rsid w:val="00035D4B"/>
    <w:rsid w:val="000378F5"/>
    <w:rsid w:val="00040A1B"/>
    <w:rsid w:val="00040B8C"/>
    <w:rsid w:val="00041BDC"/>
    <w:rsid w:val="000433C4"/>
    <w:rsid w:val="00044814"/>
    <w:rsid w:val="00044E54"/>
    <w:rsid w:val="00045A69"/>
    <w:rsid w:val="00045CAD"/>
    <w:rsid w:val="00046505"/>
    <w:rsid w:val="000501C2"/>
    <w:rsid w:val="00050767"/>
    <w:rsid w:val="000512F8"/>
    <w:rsid w:val="000522B5"/>
    <w:rsid w:val="000530D1"/>
    <w:rsid w:val="0005396A"/>
    <w:rsid w:val="00053E32"/>
    <w:rsid w:val="0005433E"/>
    <w:rsid w:val="000579E1"/>
    <w:rsid w:val="00063C16"/>
    <w:rsid w:val="00064195"/>
    <w:rsid w:val="0006499B"/>
    <w:rsid w:val="00065A2F"/>
    <w:rsid w:val="000664E6"/>
    <w:rsid w:val="00066897"/>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4076"/>
    <w:rsid w:val="000854EA"/>
    <w:rsid w:val="000909FC"/>
    <w:rsid w:val="00091AD4"/>
    <w:rsid w:val="00092684"/>
    <w:rsid w:val="00094119"/>
    <w:rsid w:val="000941C5"/>
    <w:rsid w:val="000946D5"/>
    <w:rsid w:val="00094DB5"/>
    <w:rsid w:val="0009527A"/>
    <w:rsid w:val="00095DDB"/>
    <w:rsid w:val="000967B7"/>
    <w:rsid w:val="00096C70"/>
    <w:rsid w:val="00097587"/>
    <w:rsid w:val="000A00FE"/>
    <w:rsid w:val="000A08FD"/>
    <w:rsid w:val="000A2596"/>
    <w:rsid w:val="000A2F68"/>
    <w:rsid w:val="000A3F81"/>
    <w:rsid w:val="000A5E18"/>
    <w:rsid w:val="000A65C9"/>
    <w:rsid w:val="000A69F7"/>
    <w:rsid w:val="000A6B50"/>
    <w:rsid w:val="000B0295"/>
    <w:rsid w:val="000B0852"/>
    <w:rsid w:val="000B094E"/>
    <w:rsid w:val="000B09C8"/>
    <w:rsid w:val="000B2641"/>
    <w:rsid w:val="000B3851"/>
    <w:rsid w:val="000B3999"/>
    <w:rsid w:val="000B58C3"/>
    <w:rsid w:val="000B5D62"/>
    <w:rsid w:val="000B70DD"/>
    <w:rsid w:val="000C0A47"/>
    <w:rsid w:val="000C132A"/>
    <w:rsid w:val="000C1F14"/>
    <w:rsid w:val="000C285F"/>
    <w:rsid w:val="000C44B1"/>
    <w:rsid w:val="000C51C2"/>
    <w:rsid w:val="000C5919"/>
    <w:rsid w:val="000C619C"/>
    <w:rsid w:val="000C6D0F"/>
    <w:rsid w:val="000C7912"/>
    <w:rsid w:val="000D11BC"/>
    <w:rsid w:val="000D1673"/>
    <w:rsid w:val="000D194D"/>
    <w:rsid w:val="000D2195"/>
    <w:rsid w:val="000D4684"/>
    <w:rsid w:val="000D47A9"/>
    <w:rsid w:val="000D7EF9"/>
    <w:rsid w:val="000E13CF"/>
    <w:rsid w:val="000E1EBE"/>
    <w:rsid w:val="000E2E84"/>
    <w:rsid w:val="000E3F01"/>
    <w:rsid w:val="000E451B"/>
    <w:rsid w:val="000E526C"/>
    <w:rsid w:val="000E5540"/>
    <w:rsid w:val="000E576B"/>
    <w:rsid w:val="000E6748"/>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274F"/>
    <w:rsid w:val="00103143"/>
    <w:rsid w:val="00105229"/>
    <w:rsid w:val="0010581E"/>
    <w:rsid w:val="001107D3"/>
    <w:rsid w:val="00110F08"/>
    <w:rsid w:val="001111BB"/>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1F9"/>
    <w:rsid w:val="00126574"/>
    <w:rsid w:val="00130C39"/>
    <w:rsid w:val="001313E9"/>
    <w:rsid w:val="00131640"/>
    <w:rsid w:val="00132652"/>
    <w:rsid w:val="0013354D"/>
    <w:rsid w:val="00134607"/>
    <w:rsid w:val="001352C9"/>
    <w:rsid w:val="001359CC"/>
    <w:rsid w:val="00136849"/>
    <w:rsid w:val="00140307"/>
    <w:rsid w:val="001408F9"/>
    <w:rsid w:val="0014099F"/>
    <w:rsid w:val="00140C6E"/>
    <w:rsid w:val="001425F9"/>
    <w:rsid w:val="00143AB2"/>
    <w:rsid w:val="0014412E"/>
    <w:rsid w:val="00144DE3"/>
    <w:rsid w:val="00145C4E"/>
    <w:rsid w:val="001470A0"/>
    <w:rsid w:val="00147EB9"/>
    <w:rsid w:val="00147F1A"/>
    <w:rsid w:val="00150710"/>
    <w:rsid w:val="00150A45"/>
    <w:rsid w:val="0015138F"/>
    <w:rsid w:val="00151981"/>
    <w:rsid w:val="001531DE"/>
    <w:rsid w:val="00153475"/>
    <w:rsid w:val="001538D4"/>
    <w:rsid w:val="0015439F"/>
    <w:rsid w:val="00155038"/>
    <w:rsid w:val="0015668B"/>
    <w:rsid w:val="0015783D"/>
    <w:rsid w:val="00157AAE"/>
    <w:rsid w:val="001616EB"/>
    <w:rsid w:val="00161974"/>
    <w:rsid w:val="00162473"/>
    <w:rsid w:val="00164C6F"/>
    <w:rsid w:val="001657F2"/>
    <w:rsid w:val="00165862"/>
    <w:rsid w:val="00165ECD"/>
    <w:rsid w:val="001671C5"/>
    <w:rsid w:val="001673E8"/>
    <w:rsid w:val="00170E23"/>
    <w:rsid w:val="0017104A"/>
    <w:rsid w:val="001724E5"/>
    <w:rsid w:val="00173254"/>
    <w:rsid w:val="001738AE"/>
    <w:rsid w:val="00174127"/>
    <w:rsid w:val="00174511"/>
    <w:rsid w:val="00175229"/>
    <w:rsid w:val="00175487"/>
    <w:rsid w:val="0017605A"/>
    <w:rsid w:val="00176F65"/>
    <w:rsid w:val="00177623"/>
    <w:rsid w:val="00180BEC"/>
    <w:rsid w:val="00180FCF"/>
    <w:rsid w:val="0018105A"/>
    <w:rsid w:val="001813F6"/>
    <w:rsid w:val="001821D9"/>
    <w:rsid w:val="00182BDA"/>
    <w:rsid w:val="00182CFE"/>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ACD"/>
    <w:rsid w:val="001A1CD0"/>
    <w:rsid w:val="001A1FA4"/>
    <w:rsid w:val="001A27EB"/>
    <w:rsid w:val="001A2BBF"/>
    <w:rsid w:val="001A4B39"/>
    <w:rsid w:val="001A4C40"/>
    <w:rsid w:val="001A5DAC"/>
    <w:rsid w:val="001A63F1"/>
    <w:rsid w:val="001A68E9"/>
    <w:rsid w:val="001A7079"/>
    <w:rsid w:val="001A7149"/>
    <w:rsid w:val="001A7AA6"/>
    <w:rsid w:val="001B005D"/>
    <w:rsid w:val="001B0389"/>
    <w:rsid w:val="001B133D"/>
    <w:rsid w:val="001B1AA5"/>
    <w:rsid w:val="001B2987"/>
    <w:rsid w:val="001B2B26"/>
    <w:rsid w:val="001B2C45"/>
    <w:rsid w:val="001B2F80"/>
    <w:rsid w:val="001B3A9A"/>
    <w:rsid w:val="001B4405"/>
    <w:rsid w:val="001B4AAE"/>
    <w:rsid w:val="001B5844"/>
    <w:rsid w:val="001B6897"/>
    <w:rsid w:val="001B6AD7"/>
    <w:rsid w:val="001B6FBB"/>
    <w:rsid w:val="001B79DA"/>
    <w:rsid w:val="001C1DDB"/>
    <w:rsid w:val="001C1E51"/>
    <w:rsid w:val="001C2004"/>
    <w:rsid w:val="001C3B28"/>
    <w:rsid w:val="001C555B"/>
    <w:rsid w:val="001C5962"/>
    <w:rsid w:val="001C62E4"/>
    <w:rsid w:val="001C6A40"/>
    <w:rsid w:val="001C77B5"/>
    <w:rsid w:val="001C7A1A"/>
    <w:rsid w:val="001D00B3"/>
    <w:rsid w:val="001D04E0"/>
    <w:rsid w:val="001D0592"/>
    <w:rsid w:val="001D1790"/>
    <w:rsid w:val="001D1A2C"/>
    <w:rsid w:val="001D209E"/>
    <w:rsid w:val="001D248B"/>
    <w:rsid w:val="001D2B91"/>
    <w:rsid w:val="001D2ED8"/>
    <w:rsid w:val="001D30C6"/>
    <w:rsid w:val="001D499E"/>
    <w:rsid w:val="001D4A3E"/>
    <w:rsid w:val="001D6FC8"/>
    <w:rsid w:val="001E043A"/>
    <w:rsid w:val="001E0844"/>
    <w:rsid w:val="001E1CFC"/>
    <w:rsid w:val="001E228B"/>
    <w:rsid w:val="001E6905"/>
    <w:rsid w:val="001E6ECA"/>
    <w:rsid w:val="001E701A"/>
    <w:rsid w:val="001F0488"/>
    <w:rsid w:val="001F0EC4"/>
    <w:rsid w:val="001F1214"/>
    <w:rsid w:val="001F1EEB"/>
    <w:rsid w:val="001F2EF5"/>
    <w:rsid w:val="001F33BD"/>
    <w:rsid w:val="001F360D"/>
    <w:rsid w:val="001F376D"/>
    <w:rsid w:val="001F480C"/>
    <w:rsid w:val="001F4DA7"/>
    <w:rsid w:val="001F597E"/>
    <w:rsid w:val="001F5EF6"/>
    <w:rsid w:val="00200AE9"/>
    <w:rsid w:val="00201A49"/>
    <w:rsid w:val="0020465C"/>
    <w:rsid w:val="002056A0"/>
    <w:rsid w:val="00206CE3"/>
    <w:rsid w:val="0020707A"/>
    <w:rsid w:val="00207A38"/>
    <w:rsid w:val="00207B4E"/>
    <w:rsid w:val="002114F2"/>
    <w:rsid w:val="00212799"/>
    <w:rsid w:val="00213ADD"/>
    <w:rsid w:val="00217EEA"/>
    <w:rsid w:val="002231AE"/>
    <w:rsid w:val="0022490F"/>
    <w:rsid w:val="002279EB"/>
    <w:rsid w:val="002301FE"/>
    <w:rsid w:val="002319A0"/>
    <w:rsid w:val="00232AB4"/>
    <w:rsid w:val="00233784"/>
    <w:rsid w:val="002337E9"/>
    <w:rsid w:val="002348A3"/>
    <w:rsid w:val="00235238"/>
    <w:rsid w:val="00235357"/>
    <w:rsid w:val="0023775C"/>
    <w:rsid w:val="00242200"/>
    <w:rsid w:val="00242371"/>
    <w:rsid w:val="00243A54"/>
    <w:rsid w:val="00243F50"/>
    <w:rsid w:val="00243F8F"/>
    <w:rsid w:val="002446F7"/>
    <w:rsid w:val="00245E33"/>
    <w:rsid w:val="002472C8"/>
    <w:rsid w:val="00247D67"/>
    <w:rsid w:val="00251480"/>
    <w:rsid w:val="002518C9"/>
    <w:rsid w:val="002527E9"/>
    <w:rsid w:val="0025332B"/>
    <w:rsid w:val="00253630"/>
    <w:rsid w:val="00253F2A"/>
    <w:rsid w:val="0025458C"/>
    <w:rsid w:val="00254BD2"/>
    <w:rsid w:val="00255804"/>
    <w:rsid w:val="00256501"/>
    <w:rsid w:val="00256A23"/>
    <w:rsid w:val="00257423"/>
    <w:rsid w:val="00261380"/>
    <w:rsid w:val="002616D0"/>
    <w:rsid w:val="00262BB5"/>
    <w:rsid w:val="00262C62"/>
    <w:rsid w:val="00262F82"/>
    <w:rsid w:val="00263966"/>
    <w:rsid w:val="002640DA"/>
    <w:rsid w:val="00267E63"/>
    <w:rsid w:val="00270A99"/>
    <w:rsid w:val="002717C0"/>
    <w:rsid w:val="0027486C"/>
    <w:rsid w:val="002751C6"/>
    <w:rsid w:val="0027592C"/>
    <w:rsid w:val="002759B6"/>
    <w:rsid w:val="00276CCB"/>
    <w:rsid w:val="002775E1"/>
    <w:rsid w:val="00277689"/>
    <w:rsid w:val="002811F8"/>
    <w:rsid w:val="002815D9"/>
    <w:rsid w:val="00283710"/>
    <w:rsid w:val="0028430A"/>
    <w:rsid w:val="00284424"/>
    <w:rsid w:val="002848A3"/>
    <w:rsid w:val="00286F22"/>
    <w:rsid w:val="00286F85"/>
    <w:rsid w:val="00290C22"/>
    <w:rsid w:val="002928D1"/>
    <w:rsid w:val="00292CB3"/>
    <w:rsid w:val="00292DA5"/>
    <w:rsid w:val="002953D1"/>
    <w:rsid w:val="00295E14"/>
    <w:rsid w:val="00296953"/>
    <w:rsid w:val="002A175A"/>
    <w:rsid w:val="002A17E0"/>
    <w:rsid w:val="002A27C7"/>
    <w:rsid w:val="002A2D46"/>
    <w:rsid w:val="002A3595"/>
    <w:rsid w:val="002A49BA"/>
    <w:rsid w:val="002A6CEE"/>
    <w:rsid w:val="002B0FAD"/>
    <w:rsid w:val="002B1439"/>
    <w:rsid w:val="002B17C2"/>
    <w:rsid w:val="002B1A07"/>
    <w:rsid w:val="002B21B1"/>
    <w:rsid w:val="002B4C23"/>
    <w:rsid w:val="002B550C"/>
    <w:rsid w:val="002B6DAD"/>
    <w:rsid w:val="002B7EE8"/>
    <w:rsid w:val="002C06B0"/>
    <w:rsid w:val="002C078D"/>
    <w:rsid w:val="002C0D73"/>
    <w:rsid w:val="002C209D"/>
    <w:rsid w:val="002C28C9"/>
    <w:rsid w:val="002C4CE2"/>
    <w:rsid w:val="002C4F0E"/>
    <w:rsid w:val="002C535D"/>
    <w:rsid w:val="002C7AA6"/>
    <w:rsid w:val="002D1885"/>
    <w:rsid w:val="002D229F"/>
    <w:rsid w:val="002D376A"/>
    <w:rsid w:val="002D4783"/>
    <w:rsid w:val="002D4792"/>
    <w:rsid w:val="002D4E3F"/>
    <w:rsid w:val="002D57D1"/>
    <w:rsid w:val="002D6547"/>
    <w:rsid w:val="002D7412"/>
    <w:rsid w:val="002D7CA9"/>
    <w:rsid w:val="002E23A6"/>
    <w:rsid w:val="002E2846"/>
    <w:rsid w:val="002E4608"/>
    <w:rsid w:val="002E4650"/>
    <w:rsid w:val="002E6805"/>
    <w:rsid w:val="002E7947"/>
    <w:rsid w:val="002E7982"/>
    <w:rsid w:val="002E7DB4"/>
    <w:rsid w:val="002F1D85"/>
    <w:rsid w:val="002F2447"/>
    <w:rsid w:val="00300142"/>
    <w:rsid w:val="00300CEC"/>
    <w:rsid w:val="00301312"/>
    <w:rsid w:val="00301626"/>
    <w:rsid w:val="00301725"/>
    <w:rsid w:val="00301898"/>
    <w:rsid w:val="00302530"/>
    <w:rsid w:val="00304671"/>
    <w:rsid w:val="003053B5"/>
    <w:rsid w:val="00306010"/>
    <w:rsid w:val="003065A4"/>
    <w:rsid w:val="00307367"/>
    <w:rsid w:val="00307495"/>
    <w:rsid w:val="00310F15"/>
    <w:rsid w:val="00311476"/>
    <w:rsid w:val="00312C9A"/>
    <w:rsid w:val="00313B45"/>
    <w:rsid w:val="00313F63"/>
    <w:rsid w:val="0031613B"/>
    <w:rsid w:val="00316168"/>
    <w:rsid w:val="003161A1"/>
    <w:rsid w:val="00317DB7"/>
    <w:rsid w:val="00320835"/>
    <w:rsid w:val="00320905"/>
    <w:rsid w:val="0032106F"/>
    <w:rsid w:val="00321CAE"/>
    <w:rsid w:val="00321F49"/>
    <w:rsid w:val="00322521"/>
    <w:rsid w:val="00322EBA"/>
    <w:rsid w:val="003235EF"/>
    <w:rsid w:val="00325295"/>
    <w:rsid w:val="0032572C"/>
    <w:rsid w:val="00325DF6"/>
    <w:rsid w:val="00325F15"/>
    <w:rsid w:val="00326F66"/>
    <w:rsid w:val="0032763D"/>
    <w:rsid w:val="00327BAB"/>
    <w:rsid w:val="00327E3E"/>
    <w:rsid w:val="00331769"/>
    <w:rsid w:val="00333B64"/>
    <w:rsid w:val="00333D9C"/>
    <w:rsid w:val="00334187"/>
    <w:rsid w:val="00334D22"/>
    <w:rsid w:val="003350B4"/>
    <w:rsid w:val="003351A7"/>
    <w:rsid w:val="00335F87"/>
    <w:rsid w:val="003366D9"/>
    <w:rsid w:val="00336B28"/>
    <w:rsid w:val="0033790F"/>
    <w:rsid w:val="0034061F"/>
    <w:rsid w:val="00340723"/>
    <w:rsid w:val="00340881"/>
    <w:rsid w:val="00341165"/>
    <w:rsid w:val="003436CA"/>
    <w:rsid w:val="00343AB7"/>
    <w:rsid w:val="00344185"/>
    <w:rsid w:val="003441DD"/>
    <w:rsid w:val="00344701"/>
    <w:rsid w:val="00345100"/>
    <w:rsid w:val="003466A2"/>
    <w:rsid w:val="00346DFB"/>
    <w:rsid w:val="0034714E"/>
    <w:rsid w:val="003472E6"/>
    <w:rsid w:val="00347663"/>
    <w:rsid w:val="0034797C"/>
    <w:rsid w:val="00347B64"/>
    <w:rsid w:val="00347D20"/>
    <w:rsid w:val="0035065E"/>
    <w:rsid w:val="00350ADE"/>
    <w:rsid w:val="00351000"/>
    <w:rsid w:val="00351E79"/>
    <w:rsid w:val="00352574"/>
    <w:rsid w:val="00353484"/>
    <w:rsid w:val="00354CCB"/>
    <w:rsid w:val="0035505A"/>
    <w:rsid w:val="00355865"/>
    <w:rsid w:val="00356A43"/>
    <w:rsid w:val="003572FC"/>
    <w:rsid w:val="003602B7"/>
    <w:rsid w:val="00360DA1"/>
    <w:rsid w:val="00361013"/>
    <w:rsid w:val="00361985"/>
    <w:rsid w:val="00361E36"/>
    <w:rsid w:val="003635DF"/>
    <w:rsid w:val="00363770"/>
    <w:rsid w:val="00363C73"/>
    <w:rsid w:val="0036467C"/>
    <w:rsid w:val="00364798"/>
    <w:rsid w:val="00364CCE"/>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C51"/>
    <w:rsid w:val="00382D3D"/>
    <w:rsid w:val="00383011"/>
    <w:rsid w:val="00383590"/>
    <w:rsid w:val="00383F6C"/>
    <w:rsid w:val="00385744"/>
    <w:rsid w:val="0038577C"/>
    <w:rsid w:val="00386051"/>
    <w:rsid w:val="0038690C"/>
    <w:rsid w:val="00386C4E"/>
    <w:rsid w:val="00387A30"/>
    <w:rsid w:val="00391186"/>
    <w:rsid w:val="00391AE3"/>
    <w:rsid w:val="003924F9"/>
    <w:rsid w:val="00392AB1"/>
    <w:rsid w:val="003930F8"/>
    <w:rsid w:val="00394A6F"/>
    <w:rsid w:val="0039586A"/>
    <w:rsid w:val="0039597F"/>
    <w:rsid w:val="00396342"/>
    <w:rsid w:val="003963B5"/>
    <w:rsid w:val="0039739C"/>
    <w:rsid w:val="0039797B"/>
    <w:rsid w:val="00397C80"/>
    <w:rsid w:val="003A08BD"/>
    <w:rsid w:val="003A1A78"/>
    <w:rsid w:val="003A1E5E"/>
    <w:rsid w:val="003A3EFA"/>
    <w:rsid w:val="003A463D"/>
    <w:rsid w:val="003A4D3B"/>
    <w:rsid w:val="003B0DA8"/>
    <w:rsid w:val="003B1A10"/>
    <w:rsid w:val="003B1BF5"/>
    <w:rsid w:val="003B2D46"/>
    <w:rsid w:val="003B3C0D"/>
    <w:rsid w:val="003B607A"/>
    <w:rsid w:val="003B6AAC"/>
    <w:rsid w:val="003C0E51"/>
    <w:rsid w:val="003C1B31"/>
    <w:rsid w:val="003C1B60"/>
    <w:rsid w:val="003C1D3A"/>
    <w:rsid w:val="003C1F88"/>
    <w:rsid w:val="003C276A"/>
    <w:rsid w:val="003C2CEC"/>
    <w:rsid w:val="003C2D8A"/>
    <w:rsid w:val="003C3A75"/>
    <w:rsid w:val="003C3F78"/>
    <w:rsid w:val="003C4408"/>
    <w:rsid w:val="003C49EF"/>
    <w:rsid w:val="003C52D0"/>
    <w:rsid w:val="003C52E7"/>
    <w:rsid w:val="003C54A8"/>
    <w:rsid w:val="003C5845"/>
    <w:rsid w:val="003C7103"/>
    <w:rsid w:val="003C7DA8"/>
    <w:rsid w:val="003C7FFA"/>
    <w:rsid w:val="003D002F"/>
    <w:rsid w:val="003D212B"/>
    <w:rsid w:val="003D49E5"/>
    <w:rsid w:val="003D4DB6"/>
    <w:rsid w:val="003D5BDC"/>
    <w:rsid w:val="003D5D00"/>
    <w:rsid w:val="003D6C5D"/>
    <w:rsid w:val="003D7006"/>
    <w:rsid w:val="003D71A3"/>
    <w:rsid w:val="003D7B02"/>
    <w:rsid w:val="003E1C69"/>
    <w:rsid w:val="003E1D37"/>
    <w:rsid w:val="003E2EF8"/>
    <w:rsid w:val="003E4003"/>
    <w:rsid w:val="003E4334"/>
    <w:rsid w:val="003E4731"/>
    <w:rsid w:val="003E5A17"/>
    <w:rsid w:val="003E6D9C"/>
    <w:rsid w:val="003E7199"/>
    <w:rsid w:val="003F02E5"/>
    <w:rsid w:val="003F06AB"/>
    <w:rsid w:val="003F0857"/>
    <w:rsid w:val="003F0AFE"/>
    <w:rsid w:val="003F168A"/>
    <w:rsid w:val="003F22AF"/>
    <w:rsid w:val="003F22D7"/>
    <w:rsid w:val="003F2AE3"/>
    <w:rsid w:val="003F2F29"/>
    <w:rsid w:val="003F3496"/>
    <w:rsid w:val="003F35FA"/>
    <w:rsid w:val="003F37D0"/>
    <w:rsid w:val="003F5987"/>
    <w:rsid w:val="003F5C4E"/>
    <w:rsid w:val="003F74D5"/>
    <w:rsid w:val="00400DB3"/>
    <w:rsid w:val="00403421"/>
    <w:rsid w:val="00403D6E"/>
    <w:rsid w:val="00406357"/>
    <w:rsid w:val="0040756C"/>
    <w:rsid w:val="004103A2"/>
    <w:rsid w:val="004115EE"/>
    <w:rsid w:val="00412F96"/>
    <w:rsid w:val="00416413"/>
    <w:rsid w:val="0041655E"/>
    <w:rsid w:val="004201F7"/>
    <w:rsid w:val="004220F8"/>
    <w:rsid w:val="004225DA"/>
    <w:rsid w:val="0042260D"/>
    <w:rsid w:val="00423C9A"/>
    <w:rsid w:val="00424010"/>
    <w:rsid w:val="00424A1E"/>
    <w:rsid w:val="00424C3D"/>
    <w:rsid w:val="00425600"/>
    <w:rsid w:val="0042620F"/>
    <w:rsid w:val="00426C96"/>
    <w:rsid w:val="00426CD8"/>
    <w:rsid w:val="00426D57"/>
    <w:rsid w:val="00427790"/>
    <w:rsid w:val="00427E22"/>
    <w:rsid w:val="00427F6F"/>
    <w:rsid w:val="00430724"/>
    <w:rsid w:val="004309BB"/>
    <w:rsid w:val="004315A8"/>
    <w:rsid w:val="004330A4"/>
    <w:rsid w:val="004335AA"/>
    <w:rsid w:val="004335BE"/>
    <w:rsid w:val="00434F30"/>
    <w:rsid w:val="004350F7"/>
    <w:rsid w:val="00435FFF"/>
    <w:rsid w:val="0043663A"/>
    <w:rsid w:val="00437694"/>
    <w:rsid w:val="00440589"/>
    <w:rsid w:val="0044133C"/>
    <w:rsid w:val="00444D6D"/>
    <w:rsid w:val="00445781"/>
    <w:rsid w:val="0045043E"/>
    <w:rsid w:val="004506E7"/>
    <w:rsid w:val="0045102E"/>
    <w:rsid w:val="00451496"/>
    <w:rsid w:val="00451AF1"/>
    <w:rsid w:val="00451EAF"/>
    <w:rsid w:val="00452332"/>
    <w:rsid w:val="00452535"/>
    <w:rsid w:val="00452B5A"/>
    <w:rsid w:val="00452D93"/>
    <w:rsid w:val="00452F2E"/>
    <w:rsid w:val="0045375E"/>
    <w:rsid w:val="00453DC6"/>
    <w:rsid w:val="00455D86"/>
    <w:rsid w:val="00456C8E"/>
    <w:rsid w:val="0045770B"/>
    <w:rsid w:val="00460BAE"/>
    <w:rsid w:val="00462041"/>
    <w:rsid w:val="00462DB7"/>
    <w:rsid w:val="00463D95"/>
    <w:rsid w:val="00465519"/>
    <w:rsid w:val="00465615"/>
    <w:rsid w:val="00465D0A"/>
    <w:rsid w:val="00466835"/>
    <w:rsid w:val="004673F1"/>
    <w:rsid w:val="00467A41"/>
    <w:rsid w:val="004703F2"/>
    <w:rsid w:val="004705F0"/>
    <w:rsid w:val="0047173A"/>
    <w:rsid w:val="00472A41"/>
    <w:rsid w:val="004737F1"/>
    <w:rsid w:val="00474382"/>
    <w:rsid w:val="00474C19"/>
    <w:rsid w:val="00475326"/>
    <w:rsid w:val="0047540C"/>
    <w:rsid w:val="004754DE"/>
    <w:rsid w:val="00475659"/>
    <w:rsid w:val="0047616C"/>
    <w:rsid w:val="00476FD7"/>
    <w:rsid w:val="00477D3F"/>
    <w:rsid w:val="00477E45"/>
    <w:rsid w:val="004809FC"/>
    <w:rsid w:val="004815A8"/>
    <w:rsid w:val="00482490"/>
    <w:rsid w:val="00485E66"/>
    <w:rsid w:val="00485FE8"/>
    <w:rsid w:val="0048677E"/>
    <w:rsid w:val="004902E1"/>
    <w:rsid w:val="00490900"/>
    <w:rsid w:val="00490BDB"/>
    <w:rsid w:val="00491AC5"/>
    <w:rsid w:val="00492376"/>
    <w:rsid w:val="00492C06"/>
    <w:rsid w:val="00494576"/>
    <w:rsid w:val="00494A9D"/>
    <w:rsid w:val="004952AF"/>
    <w:rsid w:val="00495599"/>
    <w:rsid w:val="00495E4F"/>
    <w:rsid w:val="00496003"/>
    <w:rsid w:val="004967F3"/>
    <w:rsid w:val="00496EBD"/>
    <w:rsid w:val="00497B6A"/>
    <w:rsid w:val="004A2291"/>
    <w:rsid w:val="004A2A37"/>
    <w:rsid w:val="004A3677"/>
    <w:rsid w:val="004A4045"/>
    <w:rsid w:val="004A484D"/>
    <w:rsid w:val="004A5144"/>
    <w:rsid w:val="004A581E"/>
    <w:rsid w:val="004A7CC5"/>
    <w:rsid w:val="004A7D6D"/>
    <w:rsid w:val="004B06EB"/>
    <w:rsid w:val="004B126A"/>
    <w:rsid w:val="004B1B4C"/>
    <w:rsid w:val="004B20AE"/>
    <w:rsid w:val="004B27A4"/>
    <w:rsid w:val="004B387A"/>
    <w:rsid w:val="004B3A39"/>
    <w:rsid w:val="004B3B6B"/>
    <w:rsid w:val="004B4A98"/>
    <w:rsid w:val="004B4C91"/>
    <w:rsid w:val="004B5D36"/>
    <w:rsid w:val="004B5F61"/>
    <w:rsid w:val="004C075C"/>
    <w:rsid w:val="004C0F10"/>
    <w:rsid w:val="004C2E97"/>
    <w:rsid w:val="004C322E"/>
    <w:rsid w:val="004C36E8"/>
    <w:rsid w:val="004C396B"/>
    <w:rsid w:val="004C6013"/>
    <w:rsid w:val="004C6383"/>
    <w:rsid w:val="004C76E1"/>
    <w:rsid w:val="004D07EB"/>
    <w:rsid w:val="004D0ECC"/>
    <w:rsid w:val="004D164E"/>
    <w:rsid w:val="004D1A3D"/>
    <w:rsid w:val="004D2605"/>
    <w:rsid w:val="004D4ECD"/>
    <w:rsid w:val="004D6D1D"/>
    <w:rsid w:val="004E0A58"/>
    <w:rsid w:val="004E14BD"/>
    <w:rsid w:val="004E1EEE"/>
    <w:rsid w:val="004E214F"/>
    <w:rsid w:val="004E2DDF"/>
    <w:rsid w:val="004E3504"/>
    <w:rsid w:val="004E3B22"/>
    <w:rsid w:val="004E3D1E"/>
    <w:rsid w:val="004E48CA"/>
    <w:rsid w:val="004E5EBF"/>
    <w:rsid w:val="004E7A19"/>
    <w:rsid w:val="004F0345"/>
    <w:rsid w:val="004F0587"/>
    <w:rsid w:val="004F07B5"/>
    <w:rsid w:val="004F28CA"/>
    <w:rsid w:val="004F361D"/>
    <w:rsid w:val="004F44A9"/>
    <w:rsid w:val="004F51D9"/>
    <w:rsid w:val="004F6931"/>
    <w:rsid w:val="00501096"/>
    <w:rsid w:val="00501761"/>
    <w:rsid w:val="00501B49"/>
    <w:rsid w:val="00501CE6"/>
    <w:rsid w:val="0050258A"/>
    <w:rsid w:val="00502878"/>
    <w:rsid w:val="00502B83"/>
    <w:rsid w:val="00502F80"/>
    <w:rsid w:val="00502FF7"/>
    <w:rsid w:val="00504809"/>
    <w:rsid w:val="00504B70"/>
    <w:rsid w:val="00504DC3"/>
    <w:rsid w:val="00505368"/>
    <w:rsid w:val="005054C6"/>
    <w:rsid w:val="00505ADB"/>
    <w:rsid w:val="00506AEB"/>
    <w:rsid w:val="00506F5B"/>
    <w:rsid w:val="00507E20"/>
    <w:rsid w:val="005100B4"/>
    <w:rsid w:val="00510394"/>
    <w:rsid w:val="0051264D"/>
    <w:rsid w:val="00512B2C"/>
    <w:rsid w:val="005132CE"/>
    <w:rsid w:val="00513319"/>
    <w:rsid w:val="00514AF7"/>
    <w:rsid w:val="00514FAD"/>
    <w:rsid w:val="00515847"/>
    <w:rsid w:val="005162E0"/>
    <w:rsid w:val="005163DB"/>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E03"/>
    <w:rsid w:val="005464DB"/>
    <w:rsid w:val="005512D2"/>
    <w:rsid w:val="00552D1A"/>
    <w:rsid w:val="00553DF1"/>
    <w:rsid w:val="00554067"/>
    <w:rsid w:val="005554CD"/>
    <w:rsid w:val="0056050D"/>
    <w:rsid w:val="00560BEB"/>
    <w:rsid w:val="00561280"/>
    <w:rsid w:val="005614B5"/>
    <w:rsid w:val="00561540"/>
    <w:rsid w:val="00562F89"/>
    <w:rsid w:val="0056314D"/>
    <w:rsid w:val="005634CF"/>
    <w:rsid w:val="00563FF7"/>
    <w:rsid w:val="00564ADE"/>
    <w:rsid w:val="00564AEA"/>
    <w:rsid w:val="005653A6"/>
    <w:rsid w:val="005655BB"/>
    <w:rsid w:val="005679DE"/>
    <w:rsid w:val="00570BEF"/>
    <w:rsid w:val="005725A0"/>
    <w:rsid w:val="00572F44"/>
    <w:rsid w:val="0057301E"/>
    <w:rsid w:val="00573099"/>
    <w:rsid w:val="00573C0B"/>
    <w:rsid w:val="00574182"/>
    <w:rsid w:val="00574470"/>
    <w:rsid w:val="00575122"/>
    <w:rsid w:val="00575FAA"/>
    <w:rsid w:val="005764B6"/>
    <w:rsid w:val="005768CD"/>
    <w:rsid w:val="00577B78"/>
    <w:rsid w:val="00582034"/>
    <w:rsid w:val="00582B40"/>
    <w:rsid w:val="00584E83"/>
    <w:rsid w:val="005850CC"/>
    <w:rsid w:val="00586723"/>
    <w:rsid w:val="005867E3"/>
    <w:rsid w:val="00586FB1"/>
    <w:rsid w:val="00587482"/>
    <w:rsid w:val="00587E22"/>
    <w:rsid w:val="00590B93"/>
    <w:rsid w:val="0059143A"/>
    <w:rsid w:val="00591548"/>
    <w:rsid w:val="00591DA0"/>
    <w:rsid w:val="00591F48"/>
    <w:rsid w:val="0059213B"/>
    <w:rsid w:val="00592E26"/>
    <w:rsid w:val="00592EE0"/>
    <w:rsid w:val="00592FCD"/>
    <w:rsid w:val="0059395A"/>
    <w:rsid w:val="00593A47"/>
    <w:rsid w:val="00595229"/>
    <w:rsid w:val="00595396"/>
    <w:rsid w:val="005954B3"/>
    <w:rsid w:val="0059571E"/>
    <w:rsid w:val="00595B87"/>
    <w:rsid w:val="0059635F"/>
    <w:rsid w:val="00596DAE"/>
    <w:rsid w:val="0059774C"/>
    <w:rsid w:val="005A0B7E"/>
    <w:rsid w:val="005A1524"/>
    <w:rsid w:val="005A16FD"/>
    <w:rsid w:val="005A238A"/>
    <w:rsid w:val="005A2529"/>
    <w:rsid w:val="005A459E"/>
    <w:rsid w:val="005B02FD"/>
    <w:rsid w:val="005B0735"/>
    <w:rsid w:val="005B0824"/>
    <w:rsid w:val="005B0A71"/>
    <w:rsid w:val="005B153F"/>
    <w:rsid w:val="005B204D"/>
    <w:rsid w:val="005B2CEB"/>
    <w:rsid w:val="005B37B1"/>
    <w:rsid w:val="005B3C44"/>
    <w:rsid w:val="005B4C3E"/>
    <w:rsid w:val="005B557A"/>
    <w:rsid w:val="005B5846"/>
    <w:rsid w:val="005B6E0D"/>
    <w:rsid w:val="005B7342"/>
    <w:rsid w:val="005C113F"/>
    <w:rsid w:val="005C2265"/>
    <w:rsid w:val="005C2BC2"/>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B32"/>
    <w:rsid w:val="005D74C5"/>
    <w:rsid w:val="005D76B6"/>
    <w:rsid w:val="005E092E"/>
    <w:rsid w:val="005E15B3"/>
    <w:rsid w:val="005E1760"/>
    <w:rsid w:val="005E2EB1"/>
    <w:rsid w:val="005E3B2F"/>
    <w:rsid w:val="005E3B44"/>
    <w:rsid w:val="005E4360"/>
    <w:rsid w:val="005E46C6"/>
    <w:rsid w:val="005E53D4"/>
    <w:rsid w:val="005E5A6F"/>
    <w:rsid w:val="005E5D77"/>
    <w:rsid w:val="005E5EB3"/>
    <w:rsid w:val="005E67DC"/>
    <w:rsid w:val="005E71D9"/>
    <w:rsid w:val="005E72D3"/>
    <w:rsid w:val="005F0118"/>
    <w:rsid w:val="005F100C"/>
    <w:rsid w:val="005F2271"/>
    <w:rsid w:val="005F42B2"/>
    <w:rsid w:val="005F59E3"/>
    <w:rsid w:val="005F6A3C"/>
    <w:rsid w:val="005F7AA0"/>
    <w:rsid w:val="00600721"/>
    <w:rsid w:val="00600CE2"/>
    <w:rsid w:val="00601A7C"/>
    <w:rsid w:val="00602338"/>
    <w:rsid w:val="00602496"/>
    <w:rsid w:val="006061AD"/>
    <w:rsid w:val="00607423"/>
    <w:rsid w:val="00607A3C"/>
    <w:rsid w:val="00607F5E"/>
    <w:rsid w:val="006113BF"/>
    <w:rsid w:val="00611BE9"/>
    <w:rsid w:val="00611F0E"/>
    <w:rsid w:val="00612457"/>
    <w:rsid w:val="00612564"/>
    <w:rsid w:val="00612C88"/>
    <w:rsid w:val="00612D94"/>
    <w:rsid w:val="00616165"/>
    <w:rsid w:val="0061738C"/>
    <w:rsid w:val="00617C01"/>
    <w:rsid w:val="00621035"/>
    <w:rsid w:val="006229F4"/>
    <w:rsid w:val="00622A90"/>
    <w:rsid w:val="00622D0A"/>
    <w:rsid w:val="00622DB6"/>
    <w:rsid w:val="00623673"/>
    <w:rsid w:val="00623B89"/>
    <w:rsid w:val="0062414D"/>
    <w:rsid w:val="006244AE"/>
    <w:rsid w:val="00625969"/>
    <w:rsid w:val="0062710E"/>
    <w:rsid w:val="0063115C"/>
    <w:rsid w:val="006321AE"/>
    <w:rsid w:val="0063273E"/>
    <w:rsid w:val="00633256"/>
    <w:rsid w:val="00633D93"/>
    <w:rsid w:val="00634520"/>
    <w:rsid w:val="00634F7E"/>
    <w:rsid w:val="00635321"/>
    <w:rsid w:val="00635DFC"/>
    <w:rsid w:val="0063657F"/>
    <w:rsid w:val="00636837"/>
    <w:rsid w:val="00637791"/>
    <w:rsid w:val="006378CD"/>
    <w:rsid w:val="00640B2F"/>
    <w:rsid w:val="00641327"/>
    <w:rsid w:val="006424E2"/>
    <w:rsid w:val="0064336E"/>
    <w:rsid w:val="00643C52"/>
    <w:rsid w:val="006467B3"/>
    <w:rsid w:val="0064724F"/>
    <w:rsid w:val="006472C6"/>
    <w:rsid w:val="00647BCE"/>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23EE"/>
    <w:rsid w:val="00672889"/>
    <w:rsid w:val="00672B9C"/>
    <w:rsid w:val="0067390D"/>
    <w:rsid w:val="00674C79"/>
    <w:rsid w:val="00676065"/>
    <w:rsid w:val="00681915"/>
    <w:rsid w:val="006819F5"/>
    <w:rsid w:val="00681EDB"/>
    <w:rsid w:val="00682C5B"/>
    <w:rsid w:val="00684213"/>
    <w:rsid w:val="00684904"/>
    <w:rsid w:val="00684B49"/>
    <w:rsid w:val="006857CD"/>
    <w:rsid w:val="00685F1D"/>
    <w:rsid w:val="00685F63"/>
    <w:rsid w:val="0068621C"/>
    <w:rsid w:val="00692260"/>
    <w:rsid w:val="006925DC"/>
    <w:rsid w:val="00693EF9"/>
    <w:rsid w:val="006940B9"/>
    <w:rsid w:val="0069422D"/>
    <w:rsid w:val="00695CC2"/>
    <w:rsid w:val="00696914"/>
    <w:rsid w:val="00697826"/>
    <w:rsid w:val="00697D4B"/>
    <w:rsid w:val="006A00FC"/>
    <w:rsid w:val="006A126A"/>
    <w:rsid w:val="006A1435"/>
    <w:rsid w:val="006A35D1"/>
    <w:rsid w:val="006A56DD"/>
    <w:rsid w:val="006A5F6A"/>
    <w:rsid w:val="006A642F"/>
    <w:rsid w:val="006B01C8"/>
    <w:rsid w:val="006B0943"/>
    <w:rsid w:val="006B13F1"/>
    <w:rsid w:val="006B18AF"/>
    <w:rsid w:val="006B37A5"/>
    <w:rsid w:val="006B3DAD"/>
    <w:rsid w:val="006B4D41"/>
    <w:rsid w:val="006B53EA"/>
    <w:rsid w:val="006B550E"/>
    <w:rsid w:val="006B5B13"/>
    <w:rsid w:val="006B6C77"/>
    <w:rsid w:val="006B6E33"/>
    <w:rsid w:val="006C0831"/>
    <w:rsid w:val="006C198F"/>
    <w:rsid w:val="006C1B41"/>
    <w:rsid w:val="006C4150"/>
    <w:rsid w:val="006C55A1"/>
    <w:rsid w:val="006C6884"/>
    <w:rsid w:val="006C68C7"/>
    <w:rsid w:val="006C7CF4"/>
    <w:rsid w:val="006D0630"/>
    <w:rsid w:val="006D07A7"/>
    <w:rsid w:val="006D2398"/>
    <w:rsid w:val="006D2E8D"/>
    <w:rsid w:val="006D32AC"/>
    <w:rsid w:val="006D4CEA"/>
    <w:rsid w:val="006D5195"/>
    <w:rsid w:val="006D546F"/>
    <w:rsid w:val="006D5856"/>
    <w:rsid w:val="006D6E38"/>
    <w:rsid w:val="006D74AB"/>
    <w:rsid w:val="006E37A1"/>
    <w:rsid w:val="006E3A24"/>
    <w:rsid w:val="006E3AC5"/>
    <w:rsid w:val="006E4357"/>
    <w:rsid w:val="006E6105"/>
    <w:rsid w:val="006E69B1"/>
    <w:rsid w:val="006E6EBA"/>
    <w:rsid w:val="006E731C"/>
    <w:rsid w:val="006F1D28"/>
    <w:rsid w:val="006F604B"/>
    <w:rsid w:val="006F686D"/>
    <w:rsid w:val="006F688B"/>
    <w:rsid w:val="006F7071"/>
    <w:rsid w:val="007016C1"/>
    <w:rsid w:val="00703126"/>
    <w:rsid w:val="00705BCE"/>
    <w:rsid w:val="007061DA"/>
    <w:rsid w:val="0070677F"/>
    <w:rsid w:val="00706B50"/>
    <w:rsid w:val="00707077"/>
    <w:rsid w:val="007071BA"/>
    <w:rsid w:val="00710B4E"/>
    <w:rsid w:val="0071145F"/>
    <w:rsid w:val="0071174E"/>
    <w:rsid w:val="00711C11"/>
    <w:rsid w:val="00712916"/>
    <w:rsid w:val="00712FA6"/>
    <w:rsid w:val="00713566"/>
    <w:rsid w:val="007135AC"/>
    <w:rsid w:val="00714F29"/>
    <w:rsid w:val="00716890"/>
    <w:rsid w:val="00717306"/>
    <w:rsid w:val="00720AF9"/>
    <w:rsid w:val="0072103B"/>
    <w:rsid w:val="00721BBA"/>
    <w:rsid w:val="00722941"/>
    <w:rsid w:val="00722F58"/>
    <w:rsid w:val="00722FA7"/>
    <w:rsid w:val="007237DE"/>
    <w:rsid w:val="00724937"/>
    <w:rsid w:val="00724B74"/>
    <w:rsid w:val="0072685A"/>
    <w:rsid w:val="00727BC4"/>
    <w:rsid w:val="007300ED"/>
    <w:rsid w:val="00730482"/>
    <w:rsid w:val="00730F6D"/>
    <w:rsid w:val="00731DF5"/>
    <w:rsid w:val="0073296F"/>
    <w:rsid w:val="00735B20"/>
    <w:rsid w:val="00735B99"/>
    <w:rsid w:val="00735DAE"/>
    <w:rsid w:val="00736929"/>
    <w:rsid w:val="007406D7"/>
    <w:rsid w:val="0074219E"/>
    <w:rsid w:val="00744977"/>
    <w:rsid w:val="007468F1"/>
    <w:rsid w:val="007476E4"/>
    <w:rsid w:val="00747C9C"/>
    <w:rsid w:val="00747DB9"/>
    <w:rsid w:val="007509C0"/>
    <w:rsid w:val="00750E46"/>
    <w:rsid w:val="00750F88"/>
    <w:rsid w:val="0075192E"/>
    <w:rsid w:val="00751B6C"/>
    <w:rsid w:val="007527C3"/>
    <w:rsid w:val="00752F94"/>
    <w:rsid w:val="007537C3"/>
    <w:rsid w:val="00754514"/>
    <w:rsid w:val="0075459E"/>
    <w:rsid w:val="007553BA"/>
    <w:rsid w:val="007555D4"/>
    <w:rsid w:val="007558F8"/>
    <w:rsid w:val="0075647F"/>
    <w:rsid w:val="0075687C"/>
    <w:rsid w:val="00756ECB"/>
    <w:rsid w:val="00757AEA"/>
    <w:rsid w:val="00760AD9"/>
    <w:rsid w:val="00760FB0"/>
    <w:rsid w:val="0076225F"/>
    <w:rsid w:val="007624A1"/>
    <w:rsid w:val="0076406E"/>
    <w:rsid w:val="00764437"/>
    <w:rsid w:val="00766652"/>
    <w:rsid w:val="00767B70"/>
    <w:rsid w:val="007701B4"/>
    <w:rsid w:val="00770D9A"/>
    <w:rsid w:val="0077178B"/>
    <w:rsid w:val="00773E5E"/>
    <w:rsid w:val="00773FA8"/>
    <w:rsid w:val="00774FA8"/>
    <w:rsid w:val="00775E85"/>
    <w:rsid w:val="007762FE"/>
    <w:rsid w:val="00776C81"/>
    <w:rsid w:val="00776E81"/>
    <w:rsid w:val="0078038C"/>
    <w:rsid w:val="007805AF"/>
    <w:rsid w:val="007806AB"/>
    <w:rsid w:val="00780913"/>
    <w:rsid w:val="00780959"/>
    <w:rsid w:val="00782079"/>
    <w:rsid w:val="007822B1"/>
    <w:rsid w:val="007847C7"/>
    <w:rsid w:val="00786BA0"/>
    <w:rsid w:val="00786D0F"/>
    <w:rsid w:val="0078739A"/>
    <w:rsid w:val="00790761"/>
    <w:rsid w:val="00792615"/>
    <w:rsid w:val="00793474"/>
    <w:rsid w:val="00796A1D"/>
    <w:rsid w:val="00796C01"/>
    <w:rsid w:val="007A04B1"/>
    <w:rsid w:val="007A080B"/>
    <w:rsid w:val="007A0D5D"/>
    <w:rsid w:val="007A1CA9"/>
    <w:rsid w:val="007A2EEF"/>
    <w:rsid w:val="007A38DD"/>
    <w:rsid w:val="007A4696"/>
    <w:rsid w:val="007A47A5"/>
    <w:rsid w:val="007A5E51"/>
    <w:rsid w:val="007A7B78"/>
    <w:rsid w:val="007B0192"/>
    <w:rsid w:val="007B2A9E"/>
    <w:rsid w:val="007B3A18"/>
    <w:rsid w:val="007B3EE6"/>
    <w:rsid w:val="007B49C8"/>
    <w:rsid w:val="007B70F8"/>
    <w:rsid w:val="007B72E9"/>
    <w:rsid w:val="007B7D41"/>
    <w:rsid w:val="007B7FCF"/>
    <w:rsid w:val="007C3A7E"/>
    <w:rsid w:val="007C46FF"/>
    <w:rsid w:val="007C49FE"/>
    <w:rsid w:val="007C4FBD"/>
    <w:rsid w:val="007C525F"/>
    <w:rsid w:val="007C67B0"/>
    <w:rsid w:val="007C6B4B"/>
    <w:rsid w:val="007C788F"/>
    <w:rsid w:val="007D0251"/>
    <w:rsid w:val="007D036F"/>
    <w:rsid w:val="007D0BF5"/>
    <w:rsid w:val="007D0E3B"/>
    <w:rsid w:val="007D16F4"/>
    <w:rsid w:val="007D1F64"/>
    <w:rsid w:val="007D206B"/>
    <w:rsid w:val="007D27DD"/>
    <w:rsid w:val="007D48CC"/>
    <w:rsid w:val="007D53E9"/>
    <w:rsid w:val="007D73F9"/>
    <w:rsid w:val="007D757D"/>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3C1B"/>
    <w:rsid w:val="007F4B24"/>
    <w:rsid w:val="007F5BA4"/>
    <w:rsid w:val="007F6B67"/>
    <w:rsid w:val="00801358"/>
    <w:rsid w:val="00802F1E"/>
    <w:rsid w:val="00803CD8"/>
    <w:rsid w:val="008056F5"/>
    <w:rsid w:val="00807208"/>
    <w:rsid w:val="00815D0A"/>
    <w:rsid w:val="00816E98"/>
    <w:rsid w:val="008177B7"/>
    <w:rsid w:val="00817EB8"/>
    <w:rsid w:val="00820AA6"/>
    <w:rsid w:val="00820B53"/>
    <w:rsid w:val="00821B6A"/>
    <w:rsid w:val="00821FBD"/>
    <w:rsid w:val="00822EBE"/>
    <w:rsid w:val="00823609"/>
    <w:rsid w:val="0082381F"/>
    <w:rsid w:val="00825471"/>
    <w:rsid w:val="00825A18"/>
    <w:rsid w:val="00825A4A"/>
    <w:rsid w:val="00825AEE"/>
    <w:rsid w:val="0082642C"/>
    <w:rsid w:val="00826750"/>
    <w:rsid w:val="00827409"/>
    <w:rsid w:val="00827CC1"/>
    <w:rsid w:val="008303B6"/>
    <w:rsid w:val="00830EFB"/>
    <w:rsid w:val="00831A73"/>
    <w:rsid w:val="00834033"/>
    <w:rsid w:val="0083538A"/>
    <w:rsid w:val="008354A1"/>
    <w:rsid w:val="008355E3"/>
    <w:rsid w:val="008361C5"/>
    <w:rsid w:val="008371FF"/>
    <w:rsid w:val="008373BE"/>
    <w:rsid w:val="008378C6"/>
    <w:rsid w:val="008407C2"/>
    <w:rsid w:val="00843E42"/>
    <w:rsid w:val="0084413F"/>
    <w:rsid w:val="00844E9D"/>
    <w:rsid w:val="008453BF"/>
    <w:rsid w:val="00845FE8"/>
    <w:rsid w:val="00846071"/>
    <w:rsid w:val="008470F1"/>
    <w:rsid w:val="00847225"/>
    <w:rsid w:val="00850F2F"/>
    <w:rsid w:val="008514BD"/>
    <w:rsid w:val="00851C9A"/>
    <w:rsid w:val="008524B8"/>
    <w:rsid w:val="00854DBF"/>
    <w:rsid w:val="00855B3D"/>
    <w:rsid w:val="00856493"/>
    <w:rsid w:val="00856B88"/>
    <w:rsid w:val="008577D9"/>
    <w:rsid w:val="0085795B"/>
    <w:rsid w:val="00860C54"/>
    <w:rsid w:val="0086466C"/>
    <w:rsid w:val="00864BCB"/>
    <w:rsid w:val="00865500"/>
    <w:rsid w:val="00866BB0"/>
    <w:rsid w:val="00867885"/>
    <w:rsid w:val="00867A1D"/>
    <w:rsid w:val="00870573"/>
    <w:rsid w:val="008705A9"/>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3B6E"/>
    <w:rsid w:val="00884292"/>
    <w:rsid w:val="00884744"/>
    <w:rsid w:val="00884994"/>
    <w:rsid w:val="00886066"/>
    <w:rsid w:val="00890D87"/>
    <w:rsid w:val="0089115B"/>
    <w:rsid w:val="00891BF9"/>
    <w:rsid w:val="008925CF"/>
    <w:rsid w:val="00893C46"/>
    <w:rsid w:val="008949F9"/>
    <w:rsid w:val="00896C58"/>
    <w:rsid w:val="00896E6F"/>
    <w:rsid w:val="008977C3"/>
    <w:rsid w:val="00897835"/>
    <w:rsid w:val="008A34AB"/>
    <w:rsid w:val="008A3961"/>
    <w:rsid w:val="008A39B6"/>
    <w:rsid w:val="008A3B13"/>
    <w:rsid w:val="008A3B5F"/>
    <w:rsid w:val="008A46F0"/>
    <w:rsid w:val="008A5D7E"/>
    <w:rsid w:val="008A63EF"/>
    <w:rsid w:val="008B041C"/>
    <w:rsid w:val="008B097D"/>
    <w:rsid w:val="008B0BE3"/>
    <w:rsid w:val="008B0D7B"/>
    <w:rsid w:val="008B0DBE"/>
    <w:rsid w:val="008B1F32"/>
    <w:rsid w:val="008B1F6E"/>
    <w:rsid w:val="008B2955"/>
    <w:rsid w:val="008B2FE1"/>
    <w:rsid w:val="008B32FB"/>
    <w:rsid w:val="008B3B5F"/>
    <w:rsid w:val="008B3BC0"/>
    <w:rsid w:val="008B43E0"/>
    <w:rsid w:val="008B5133"/>
    <w:rsid w:val="008B57DA"/>
    <w:rsid w:val="008B5959"/>
    <w:rsid w:val="008B5E1B"/>
    <w:rsid w:val="008B6220"/>
    <w:rsid w:val="008B7F29"/>
    <w:rsid w:val="008C10DD"/>
    <w:rsid w:val="008C184E"/>
    <w:rsid w:val="008C1998"/>
    <w:rsid w:val="008C28FA"/>
    <w:rsid w:val="008C39DE"/>
    <w:rsid w:val="008C4930"/>
    <w:rsid w:val="008C609A"/>
    <w:rsid w:val="008C6192"/>
    <w:rsid w:val="008C64CB"/>
    <w:rsid w:val="008C7279"/>
    <w:rsid w:val="008C7ADF"/>
    <w:rsid w:val="008C7FB7"/>
    <w:rsid w:val="008D0264"/>
    <w:rsid w:val="008D0701"/>
    <w:rsid w:val="008D076B"/>
    <w:rsid w:val="008D17CA"/>
    <w:rsid w:val="008D1F05"/>
    <w:rsid w:val="008D4146"/>
    <w:rsid w:val="008D4692"/>
    <w:rsid w:val="008D5160"/>
    <w:rsid w:val="008D6FC7"/>
    <w:rsid w:val="008D73D7"/>
    <w:rsid w:val="008D7726"/>
    <w:rsid w:val="008E003E"/>
    <w:rsid w:val="008E07BB"/>
    <w:rsid w:val="008E1E9F"/>
    <w:rsid w:val="008E3549"/>
    <w:rsid w:val="008E3A68"/>
    <w:rsid w:val="008E4F5E"/>
    <w:rsid w:val="008E5120"/>
    <w:rsid w:val="008E5C8F"/>
    <w:rsid w:val="008E6115"/>
    <w:rsid w:val="008E6300"/>
    <w:rsid w:val="008E6585"/>
    <w:rsid w:val="008E66A2"/>
    <w:rsid w:val="008E6877"/>
    <w:rsid w:val="008F06FD"/>
    <w:rsid w:val="008F09C7"/>
    <w:rsid w:val="008F0D19"/>
    <w:rsid w:val="008F2012"/>
    <w:rsid w:val="008F2484"/>
    <w:rsid w:val="008F2AB5"/>
    <w:rsid w:val="008F573D"/>
    <w:rsid w:val="008F5A3B"/>
    <w:rsid w:val="008F5F4B"/>
    <w:rsid w:val="008F62AD"/>
    <w:rsid w:val="008F6F62"/>
    <w:rsid w:val="00900907"/>
    <w:rsid w:val="009016BA"/>
    <w:rsid w:val="00901816"/>
    <w:rsid w:val="00901A46"/>
    <w:rsid w:val="00901B44"/>
    <w:rsid w:val="00901CFF"/>
    <w:rsid w:val="009031F2"/>
    <w:rsid w:val="00903F21"/>
    <w:rsid w:val="009062F1"/>
    <w:rsid w:val="00906AF9"/>
    <w:rsid w:val="00907049"/>
    <w:rsid w:val="0090718A"/>
    <w:rsid w:val="00907C3A"/>
    <w:rsid w:val="00912AB1"/>
    <w:rsid w:val="00913070"/>
    <w:rsid w:val="0091339C"/>
    <w:rsid w:val="00914AE5"/>
    <w:rsid w:val="00914DDD"/>
    <w:rsid w:val="009152E4"/>
    <w:rsid w:val="00915A7C"/>
    <w:rsid w:val="00917A76"/>
    <w:rsid w:val="00920032"/>
    <w:rsid w:val="009209AB"/>
    <w:rsid w:val="0092271D"/>
    <w:rsid w:val="009247E6"/>
    <w:rsid w:val="009252F3"/>
    <w:rsid w:val="0092533F"/>
    <w:rsid w:val="00926231"/>
    <w:rsid w:val="009273DE"/>
    <w:rsid w:val="00927E21"/>
    <w:rsid w:val="00927FD3"/>
    <w:rsid w:val="00931BA1"/>
    <w:rsid w:val="0093303D"/>
    <w:rsid w:val="00937DD4"/>
    <w:rsid w:val="00942FF6"/>
    <w:rsid w:val="009431F8"/>
    <w:rsid w:val="00943394"/>
    <w:rsid w:val="009433D0"/>
    <w:rsid w:val="00943596"/>
    <w:rsid w:val="00943731"/>
    <w:rsid w:val="00943F38"/>
    <w:rsid w:val="009449AD"/>
    <w:rsid w:val="00944A4E"/>
    <w:rsid w:val="00945272"/>
    <w:rsid w:val="00945DC8"/>
    <w:rsid w:val="00946805"/>
    <w:rsid w:val="00947197"/>
    <w:rsid w:val="00947B45"/>
    <w:rsid w:val="0095039E"/>
    <w:rsid w:val="00950A85"/>
    <w:rsid w:val="00951FC4"/>
    <w:rsid w:val="00953C77"/>
    <w:rsid w:val="009543A4"/>
    <w:rsid w:val="00954807"/>
    <w:rsid w:val="009549FE"/>
    <w:rsid w:val="00955CBF"/>
    <w:rsid w:val="009562FB"/>
    <w:rsid w:val="00957BD6"/>
    <w:rsid w:val="00957FBB"/>
    <w:rsid w:val="009612E6"/>
    <w:rsid w:val="00961682"/>
    <w:rsid w:val="00961AB3"/>
    <w:rsid w:val="009621D8"/>
    <w:rsid w:val="00962979"/>
    <w:rsid w:val="009629FE"/>
    <w:rsid w:val="009631A6"/>
    <w:rsid w:val="009636B0"/>
    <w:rsid w:val="009639AB"/>
    <w:rsid w:val="00964EA3"/>
    <w:rsid w:val="00965078"/>
    <w:rsid w:val="0096597B"/>
    <w:rsid w:val="009660F6"/>
    <w:rsid w:val="00966BE5"/>
    <w:rsid w:val="00966D3C"/>
    <w:rsid w:val="009709D7"/>
    <w:rsid w:val="0097101F"/>
    <w:rsid w:val="00972DDD"/>
    <w:rsid w:val="009740A0"/>
    <w:rsid w:val="0097423E"/>
    <w:rsid w:val="00974539"/>
    <w:rsid w:val="009751C9"/>
    <w:rsid w:val="00975360"/>
    <w:rsid w:val="0097577D"/>
    <w:rsid w:val="00975E5B"/>
    <w:rsid w:val="009764B2"/>
    <w:rsid w:val="009775E8"/>
    <w:rsid w:val="009815E1"/>
    <w:rsid w:val="00982BAC"/>
    <w:rsid w:val="00983A51"/>
    <w:rsid w:val="009843A6"/>
    <w:rsid w:val="00984576"/>
    <w:rsid w:val="00984D89"/>
    <w:rsid w:val="00986D21"/>
    <w:rsid w:val="00987BAB"/>
    <w:rsid w:val="00990CEE"/>
    <w:rsid w:val="009915DC"/>
    <w:rsid w:val="00991FF9"/>
    <w:rsid w:val="0099295F"/>
    <w:rsid w:val="00992B70"/>
    <w:rsid w:val="009933A8"/>
    <w:rsid w:val="00993896"/>
    <w:rsid w:val="00995866"/>
    <w:rsid w:val="00995ED7"/>
    <w:rsid w:val="00997FED"/>
    <w:rsid w:val="009A155C"/>
    <w:rsid w:val="009A1CD1"/>
    <w:rsid w:val="009A20D0"/>
    <w:rsid w:val="009A3838"/>
    <w:rsid w:val="009A473B"/>
    <w:rsid w:val="009A47DD"/>
    <w:rsid w:val="009A537E"/>
    <w:rsid w:val="009A58AD"/>
    <w:rsid w:val="009A64D9"/>
    <w:rsid w:val="009A7A03"/>
    <w:rsid w:val="009B0578"/>
    <w:rsid w:val="009B269B"/>
    <w:rsid w:val="009B409A"/>
    <w:rsid w:val="009B41C8"/>
    <w:rsid w:val="009B45D5"/>
    <w:rsid w:val="009B4CBC"/>
    <w:rsid w:val="009B7C3F"/>
    <w:rsid w:val="009B7F75"/>
    <w:rsid w:val="009C00DD"/>
    <w:rsid w:val="009C09FA"/>
    <w:rsid w:val="009C0EB2"/>
    <w:rsid w:val="009C14C4"/>
    <w:rsid w:val="009C22FF"/>
    <w:rsid w:val="009C24FE"/>
    <w:rsid w:val="009C3263"/>
    <w:rsid w:val="009C3361"/>
    <w:rsid w:val="009C4FC4"/>
    <w:rsid w:val="009C65E2"/>
    <w:rsid w:val="009C68E5"/>
    <w:rsid w:val="009C74E6"/>
    <w:rsid w:val="009C75E1"/>
    <w:rsid w:val="009D01D0"/>
    <w:rsid w:val="009D1026"/>
    <w:rsid w:val="009D2828"/>
    <w:rsid w:val="009D363B"/>
    <w:rsid w:val="009D5A11"/>
    <w:rsid w:val="009D5E19"/>
    <w:rsid w:val="009D6781"/>
    <w:rsid w:val="009E13CC"/>
    <w:rsid w:val="009E1554"/>
    <w:rsid w:val="009E503F"/>
    <w:rsid w:val="009E58FA"/>
    <w:rsid w:val="009E6B84"/>
    <w:rsid w:val="009E781C"/>
    <w:rsid w:val="009F120B"/>
    <w:rsid w:val="009F1C1B"/>
    <w:rsid w:val="009F285F"/>
    <w:rsid w:val="009F2E8A"/>
    <w:rsid w:val="009F3D81"/>
    <w:rsid w:val="009F450A"/>
    <w:rsid w:val="009F6568"/>
    <w:rsid w:val="009F7006"/>
    <w:rsid w:val="00A00715"/>
    <w:rsid w:val="00A00965"/>
    <w:rsid w:val="00A0324A"/>
    <w:rsid w:val="00A03297"/>
    <w:rsid w:val="00A04D24"/>
    <w:rsid w:val="00A05425"/>
    <w:rsid w:val="00A06525"/>
    <w:rsid w:val="00A0692D"/>
    <w:rsid w:val="00A06EB8"/>
    <w:rsid w:val="00A0712B"/>
    <w:rsid w:val="00A073F0"/>
    <w:rsid w:val="00A1278A"/>
    <w:rsid w:val="00A129AA"/>
    <w:rsid w:val="00A12B6B"/>
    <w:rsid w:val="00A12DEC"/>
    <w:rsid w:val="00A13123"/>
    <w:rsid w:val="00A137AD"/>
    <w:rsid w:val="00A1400C"/>
    <w:rsid w:val="00A14A78"/>
    <w:rsid w:val="00A16C50"/>
    <w:rsid w:val="00A17040"/>
    <w:rsid w:val="00A20379"/>
    <w:rsid w:val="00A2136E"/>
    <w:rsid w:val="00A21CCD"/>
    <w:rsid w:val="00A2270C"/>
    <w:rsid w:val="00A22740"/>
    <w:rsid w:val="00A23FC2"/>
    <w:rsid w:val="00A246E3"/>
    <w:rsid w:val="00A24AA0"/>
    <w:rsid w:val="00A24BF6"/>
    <w:rsid w:val="00A25BD3"/>
    <w:rsid w:val="00A27B7E"/>
    <w:rsid w:val="00A27F5B"/>
    <w:rsid w:val="00A303DB"/>
    <w:rsid w:val="00A31000"/>
    <w:rsid w:val="00A31680"/>
    <w:rsid w:val="00A3241D"/>
    <w:rsid w:val="00A3310C"/>
    <w:rsid w:val="00A335E6"/>
    <w:rsid w:val="00A34405"/>
    <w:rsid w:val="00A3620B"/>
    <w:rsid w:val="00A36875"/>
    <w:rsid w:val="00A37A48"/>
    <w:rsid w:val="00A41772"/>
    <w:rsid w:val="00A41E87"/>
    <w:rsid w:val="00A427B3"/>
    <w:rsid w:val="00A445CC"/>
    <w:rsid w:val="00A47DE7"/>
    <w:rsid w:val="00A50883"/>
    <w:rsid w:val="00A50B4F"/>
    <w:rsid w:val="00A5196D"/>
    <w:rsid w:val="00A51DEF"/>
    <w:rsid w:val="00A526E9"/>
    <w:rsid w:val="00A531B6"/>
    <w:rsid w:val="00A533F8"/>
    <w:rsid w:val="00A55602"/>
    <w:rsid w:val="00A565DC"/>
    <w:rsid w:val="00A5763A"/>
    <w:rsid w:val="00A57A4F"/>
    <w:rsid w:val="00A61B46"/>
    <w:rsid w:val="00A61C78"/>
    <w:rsid w:val="00A62DC3"/>
    <w:rsid w:val="00A6438A"/>
    <w:rsid w:val="00A64CF2"/>
    <w:rsid w:val="00A65EA2"/>
    <w:rsid w:val="00A6667E"/>
    <w:rsid w:val="00A666C4"/>
    <w:rsid w:val="00A66ADC"/>
    <w:rsid w:val="00A70059"/>
    <w:rsid w:val="00A70AAA"/>
    <w:rsid w:val="00A7120A"/>
    <w:rsid w:val="00A714C6"/>
    <w:rsid w:val="00A726DE"/>
    <w:rsid w:val="00A72991"/>
    <w:rsid w:val="00A73F79"/>
    <w:rsid w:val="00A73FC8"/>
    <w:rsid w:val="00A763C7"/>
    <w:rsid w:val="00A76D0A"/>
    <w:rsid w:val="00A80261"/>
    <w:rsid w:val="00A817FF"/>
    <w:rsid w:val="00A81969"/>
    <w:rsid w:val="00A820A1"/>
    <w:rsid w:val="00A82353"/>
    <w:rsid w:val="00A836CA"/>
    <w:rsid w:val="00A838B9"/>
    <w:rsid w:val="00A83BDE"/>
    <w:rsid w:val="00A8475D"/>
    <w:rsid w:val="00A84D5D"/>
    <w:rsid w:val="00A85426"/>
    <w:rsid w:val="00A86370"/>
    <w:rsid w:val="00A872D2"/>
    <w:rsid w:val="00A87C8F"/>
    <w:rsid w:val="00A9066F"/>
    <w:rsid w:val="00A90827"/>
    <w:rsid w:val="00A9175D"/>
    <w:rsid w:val="00A94585"/>
    <w:rsid w:val="00A952B4"/>
    <w:rsid w:val="00A9536A"/>
    <w:rsid w:val="00A95ADC"/>
    <w:rsid w:val="00A97D8B"/>
    <w:rsid w:val="00AA0079"/>
    <w:rsid w:val="00AA0A2D"/>
    <w:rsid w:val="00AA0AB7"/>
    <w:rsid w:val="00AA1F44"/>
    <w:rsid w:val="00AA20E7"/>
    <w:rsid w:val="00AA7DB9"/>
    <w:rsid w:val="00AB0D37"/>
    <w:rsid w:val="00AB3750"/>
    <w:rsid w:val="00AB3CD2"/>
    <w:rsid w:val="00AB4404"/>
    <w:rsid w:val="00AB4F23"/>
    <w:rsid w:val="00AB5D7A"/>
    <w:rsid w:val="00AB5F5A"/>
    <w:rsid w:val="00AB6717"/>
    <w:rsid w:val="00AB690E"/>
    <w:rsid w:val="00AB76A8"/>
    <w:rsid w:val="00AB7AA6"/>
    <w:rsid w:val="00AB7E66"/>
    <w:rsid w:val="00AC26F2"/>
    <w:rsid w:val="00AC4BD3"/>
    <w:rsid w:val="00AC5433"/>
    <w:rsid w:val="00AC6049"/>
    <w:rsid w:val="00AD1647"/>
    <w:rsid w:val="00AD1E0B"/>
    <w:rsid w:val="00AD2969"/>
    <w:rsid w:val="00AD2FF5"/>
    <w:rsid w:val="00AD3B18"/>
    <w:rsid w:val="00AD43BA"/>
    <w:rsid w:val="00AD645D"/>
    <w:rsid w:val="00AE002E"/>
    <w:rsid w:val="00AE077B"/>
    <w:rsid w:val="00AE1B71"/>
    <w:rsid w:val="00AE2B27"/>
    <w:rsid w:val="00AE33A2"/>
    <w:rsid w:val="00AE5495"/>
    <w:rsid w:val="00AE573E"/>
    <w:rsid w:val="00AE59FB"/>
    <w:rsid w:val="00AE5A86"/>
    <w:rsid w:val="00AE5F27"/>
    <w:rsid w:val="00AE6315"/>
    <w:rsid w:val="00AE7360"/>
    <w:rsid w:val="00AF10E3"/>
    <w:rsid w:val="00AF2A28"/>
    <w:rsid w:val="00AF2DDA"/>
    <w:rsid w:val="00AF351E"/>
    <w:rsid w:val="00AF3705"/>
    <w:rsid w:val="00AF5140"/>
    <w:rsid w:val="00AF5D3F"/>
    <w:rsid w:val="00AF6059"/>
    <w:rsid w:val="00AF61D7"/>
    <w:rsid w:val="00AF6787"/>
    <w:rsid w:val="00AF7655"/>
    <w:rsid w:val="00B00C14"/>
    <w:rsid w:val="00B021C0"/>
    <w:rsid w:val="00B02A1C"/>
    <w:rsid w:val="00B03118"/>
    <w:rsid w:val="00B038AA"/>
    <w:rsid w:val="00B03901"/>
    <w:rsid w:val="00B04573"/>
    <w:rsid w:val="00B04DC4"/>
    <w:rsid w:val="00B056D8"/>
    <w:rsid w:val="00B05B18"/>
    <w:rsid w:val="00B06E47"/>
    <w:rsid w:val="00B1004B"/>
    <w:rsid w:val="00B128BB"/>
    <w:rsid w:val="00B13C31"/>
    <w:rsid w:val="00B151CD"/>
    <w:rsid w:val="00B16189"/>
    <w:rsid w:val="00B16C6C"/>
    <w:rsid w:val="00B175DB"/>
    <w:rsid w:val="00B177AE"/>
    <w:rsid w:val="00B17C48"/>
    <w:rsid w:val="00B20D2B"/>
    <w:rsid w:val="00B21351"/>
    <w:rsid w:val="00B21A16"/>
    <w:rsid w:val="00B227B3"/>
    <w:rsid w:val="00B248CD"/>
    <w:rsid w:val="00B24C44"/>
    <w:rsid w:val="00B260EE"/>
    <w:rsid w:val="00B261E3"/>
    <w:rsid w:val="00B266BB"/>
    <w:rsid w:val="00B2746B"/>
    <w:rsid w:val="00B27A40"/>
    <w:rsid w:val="00B31A72"/>
    <w:rsid w:val="00B31BE5"/>
    <w:rsid w:val="00B321E2"/>
    <w:rsid w:val="00B3225A"/>
    <w:rsid w:val="00B334B2"/>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47F38"/>
    <w:rsid w:val="00B506CA"/>
    <w:rsid w:val="00B5071E"/>
    <w:rsid w:val="00B50D3C"/>
    <w:rsid w:val="00B514A8"/>
    <w:rsid w:val="00B531FB"/>
    <w:rsid w:val="00B53D9F"/>
    <w:rsid w:val="00B55975"/>
    <w:rsid w:val="00B55B9F"/>
    <w:rsid w:val="00B55F22"/>
    <w:rsid w:val="00B562DA"/>
    <w:rsid w:val="00B56D8D"/>
    <w:rsid w:val="00B57F24"/>
    <w:rsid w:val="00B60B9D"/>
    <w:rsid w:val="00B61D3F"/>
    <w:rsid w:val="00B61D65"/>
    <w:rsid w:val="00B61E98"/>
    <w:rsid w:val="00B62712"/>
    <w:rsid w:val="00B62DD2"/>
    <w:rsid w:val="00B62E81"/>
    <w:rsid w:val="00B633B7"/>
    <w:rsid w:val="00B657C3"/>
    <w:rsid w:val="00B669C7"/>
    <w:rsid w:val="00B66F74"/>
    <w:rsid w:val="00B6744D"/>
    <w:rsid w:val="00B71957"/>
    <w:rsid w:val="00B72565"/>
    <w:rsid w:val="00B72D44"/>
    <w:rsid w:val="00B732ED"/>
    <w:rsid w:val="00B73E97"/>
    <w:rsid w:val="00B74732"/>
    <w:rsid w:val="00B748B2"/>
    <w:rsid w:val="00B748B5"/>
    <w:rsid w:val="00B7675B"/>
    <w:rsid w:val="00B77CE5"/>
    <w:rsid w:val="00B800B3"/>
    <w:rsid w:val="00B849FB"/>
    <w:rsid w:val="00B854BD"/>
    <w:rsid w:val="00B86187"/>
    <w:rsid w:val="00B87069"/>
    <w:rsid w:val="00B87F6A"/>
    <w:rsid w:val="00B9082C"/>
    <w:rsid w:val="00B910FC"/>
    <w:rsid w:val="00B9424D"/>
    <w:rsid w:val="00B94C2E"/>
    <w:rsid w:val="00B94CA9"/>
    <w:rsid w:val="00B96181"/>
    <w:rsid w:val="00B963A0"/>
    <w:rsid w:val="00B97D14"/>
    <w:rsid w:val="00BA0288"/>
    <w:rsid w:val="00BA03B1"/>
    <w:rsid w:val="00BA37C9"/>
    <w:rsid w:val="00BA3839"/>
    <w:rsid w:val="00BA4F9C"/>
    <w:rsid w:val="00BA5032"/>
    <w:rsid w:val="00BA640A"/>
    <w:rsid w:val="00BA6914"/>
    <w:rsid w:val="00BA7953"/>
    <w:rsid w:val="00BA79D7"/>
    <w:rsid w:val="00BA79E4"/>
    <w:rsid w:val="00BB0626"/>
    <w:rsid w:val="00BB0B39"/>
    <w:rsid w:val="00BB0C46"/>
    <w:rsid w:val="00BB4C31"/>
    <w:rsid w:val="00BB523B"/>
    <w:rsid w:val="00BB6941"/>
    <w:rsid w:val="00BB6B41"/>
    <w:rsid w:val="00BB7E82"/>
    <w:rsid w:val="00BC000F"/>
    <w:rsid w:val="00BC0D69"/>
    <w:rsid w:val="00BC2936"/>
    <w:rsid w:val="00BC2B47"/>
    <w:rsid w:val="00BC2FEB"/>
    <w:rsid w:val="00BC3288"/>
    <w:rsid w:val="00BC3A00"/>
    <w:rsid w:val="00BC3DA1"/>
    <w:rsid w:val="00BC4603"/>
    <w:rsid w:val="00BC4652"/>
    <w:rsid w:val="00BC50A2"/>
    <w:rsid w:val="00BC5804"/>
    <w:rsid w:val="00BC5BA0"/>
    <w:rsid w:val="00BC6F2E"/>
    <w:rsid w:val="00BC75DC"/>
    <w:rsid w:val="00BD0575"/>
    <w:rsid w:val="00BD1396"/>
    <w:rsid w:val="00BD2762"/>
    <w:rsid w:val="00BD4B47"/>
    <w:rsid w:val="00BD4E10"/>
    <w:rsid w:val="00BD5005"/>
    <w:rsid w:val="00BD6B3D"/>
    <w:rsid w:val="00BD6BD1"/>
    <w:rsid w:val="00BD798B"/>
    <w:rsid w:val="00BE05A3"/>
    <w:rsid w:val="00BE07F7"/>
    <w:rsid w:val="00BE0E0A"/>
    <w:rsid w:val="00BE19F8"/>
    <w:rsid w:val="00BE3138"/>
    <w:rsid w:val="00BE4CB2"/>
    <w:rsid w:val="00BE5BFC"/>
    <w:rsid w:val="00BE6334"/>
    <w:rsid w:val="00BE6789"/>
    <w:rsid w:val="00BE6C91"/>
    <w:rsid w:val="00BE6F91"/>
    <w:rsid w:val="00BE761E"/>
    <w:rsid w:val="00BF0AD1"/>
    <w:rsid w:val="00BF1919"/>
    <w:rsid w:val="00BF1DD4"/>
    <w:rsid w:val="00BF297D"/>
    <w:rsid w:val="00BF2F75"/>
    <w:rsid w:val="00BF3763"/>
    <w:rsid w:val="00BF499E"/>
    <w:rsid w:val="00BF4D86"/>
    <w:rsid w:val="00BF4DA0"/>
    <w:rsid w:val="00BF6AD3"/>
    <w:rsid w:val="00BF7B02"/>
    <w:rsid w:val="00C0083E"/>
    <w:rsid w:val="00C016AE"/>
    <w:rsid w:val="00C019F6"/>
    <w:rsid w:val="00C01D9B"/>
    <w:rsid w:val="00C01DB7"/>
    <w:rsid w:val="00C02FEC"/>
    <w:rsid w:val="00C0330D"/>
    <w:rsid w:val="00C03B20"/>
    <w:rsid w:val="00C0547C"/>
    <w:rsid w:val="00C05A1A"/>
    <w:rsid w:val="00C06A0E"/>
    <w:rsid w:val="00C07D3B"/>
    <w:rsid w:val="00C117AA"/>
    <w:rsid w:val="00C1201A"/>
    <w:rsid w:val="00C1203E"/>
    <w:rsid w:val="00C126D1"/>
    <w:rsid w:val="00C1431E"/>
    <w:rsid w:val="00C145CB"/>
    <w:rsid w:val="00C151A1"/>
    <w:rsid w:val="00C1624F"/>
    <w:rsid w:val="00C16C9F"/>
    <w:rsid w:val="00C16E57"/>
    <w:rsid w:val="00C20D93"/>
    <w:rsid w:val="00C21955"/>
    <w:rsid w:val="00C22ED8"/>
    <w:rsid w:val="00C23360"/>
    <w:rsid w:val="00C23A87"/>
    <w:rsid w:val="00C23DCB"/>
    <w:rsid w:val="00C25CF7"/>
    <w:rsid w:val="00C269C3"/>
    <w:rsid w:val="00C27E8D"/>
    <w:rsid w:val="00C30143"/>
    <w:rsid w:val="00C30B5E"/>
    <w:rsid w:val="00C30E8F"/>
    <w:rsid w:val="00C31CBD"/>
    <w:rsid w:val="00C323A3"/>
    <w:rsid w:val="00C3295A"/>
    <w:rsid w:val="00C32ABD"/>
    <w:rsid w:val="00C32F19"/>
    <w:rsid w:val="00C33F15"/>
    <w:rsid w:val="00C34A53"/>
    <w:rsid w:val="00C35B0F"/>
    <w:rsid w:val="00C37734"/>
    <w:rsid w:val="00C37969"/>
    <w:rsid w:val="00C37E58"/>
    <w:rsid w:val="00C37EBE"/>
    <w:rsid w:val="00C40B5D"/>
    <w:rsid w:val="00C41179"/>
    <w:rsid w:val="00C41CBA"/>
    <w:rsid w:val="00C42256"/>
    <w:rsid w:val="00C42859"/>
    <w:rsid w:val="00C437B7"/>
    <w:rsid w:val="00C44DD8"/>
    <w:rsid w:val="00C45DB4"/>
    <w:rsid w:val="00C477AC"/>
    <w:rsid w:val="00C47F88"/>
    <w:rsid w:val="00C50C79"/>
    <w:rsid w:val="00C51130"/>
    <w:rsid w:val="00C512C3"/>
    <w:rsid w:val="00C51F59"/>
    <w:rsid w:val="00C5274F"/>
    <w:rsid w:val="00C53BAC"/>
    <w:rsid w:val="00C54922"/>
    <w:rsid w:val="00C555A4"/>
    <w:rsid w:val="00C565F6"/>
    <w:rsid w:val="00C575DC"/>
    <w:rsid w:val="00C57A7E"/>
    <w:rsid w:val="00C57F77"/>
    <w:rsid w:val="00C604BC"/>
    <w:rsid w:val="00C60BFF"/>
    <w:rsid w:val="00C617EE"/>
    <w:rsid w:val="00C6195E"/>
    <w:rsid w:val="00C629EB"/>
    <w:rsid w:val="00C62C1B"/>
    <w:rsid w:val="00C6313E"/>
    <w:rsid w:val="00C64DC0"/>
    <w:rsid w:val="00C66005"/>
    <w:rsid w:val="00C66A69"/>
    <w:rsid w:val="00C67732"/>
    <w:rsid w:val="00C7071D"/>
    <w:rsid w:val="00C709BA"/>
    <w:rsid w:val="00C70E8A"/>
    <w:rsid w:val="00C71598"/>
    <w:rsid w:val="00C71E80"/>
    <w:rsid w:val="00C73109"/>
    <w:rsid w:val="00C74FBE"/>
    <w:rsid w:val="00C75D4D"/>
    <w:rsid w:val="00C76676"/>
    <w:rsid w:val="00C76A49"/>
    <w:rsid w:val="00C76FD3"/>
    <w:rsid w:val="00C776CA"/>
    <w:rsid w:val="00C77BAA"/>
    <w:rsid w:val="00C77BE8"/>
    <w:rsid w:val="00C80BD9"/>
    <w:rsid w:val="00C80C55"/>
    <w:rsid w:val="00C81522"/>
    <w:rsid w:val="00C83623"/>
    <w:rsid w:val="00C83853"/>
    <w:rsid w:val="00C85169"/>
    <w:rsid w:val="00C8701D"/>
    <w:rsid w:val="00C91D3B"/>
    <w:rsid w:val="00C92A0E"/>
    <w:rsid w:val="00C92B9E"/>
    <w:rsid w:val="00C9330B"/>
    <w:rsid w:val="00C93A71"/>
    <w:rsid w:val="00C93E67"/>
    <w:rsid w:val="00C94248"/>
    <w:rsid w:val="00C9464A"/>
    <w:rsid w:val="00C95C05"/>
    <w:rsid w:val="00C95C53"/>
    <w:rsid w:val="00C9744B"/>
    <w:rsid w:val="00C974BE"/>
    <w:rsid w:val="00C978E3"/>
    <w:rsid w:val="00CA0161"/>
    <w:rsid w:val="00CA0A80"/>
    <w:rsid w:val="00CA0AE7"/>
    <w:rsid w:val="00CA1EC6"/>
    <w:rsid w:val="00CA1F73"/>
    <w:rsid w:val="00CA248E"/>
    <w:rsid w:val="00CA468C"/>
    <w:rsid w:val="00CA4C6C"/>
    <w:rsid w:val="00CA6AE7"/>
    <w:rsid w:val="00CB1018"/>
    <w:rsid w:val="00CB1CCB"/>
    <w:rsid w:val="00CB20E7"/>
    <w:rsid w:val="00CB249A"/>
    <w:rsid w:val="00CB2678"/>
    <w:rsid w:val="00CB2928"/>
    <w:rsid w:val="00CB3420"/>
    <w:rsid w:val="00CB3B34"/>
    <w:rsid w:val="00CB44B9"/>
    <w:rsid w:val="00CB4C2F"/>
    <w:rsid w:val="00CB4EF2"/>
    <w:rsid w:val="00CB5ED5"/>
    <w:rsid w:val="00CB6852"/>
    <w:rsid w:val="00CB70B0"/>
    <w:rsid w:val="00CB7200"/>
    <w:rsid w:val="00CB7687"/>
    <w:rsid w:val="00CB7766"/>
    <w:rsid w:val="00CC0B1F"/>
    <w:rsid w:val="00CC19BC"/>
    <w:rsid w:val="00CC1D9B"/>
    <w:rsid w:val="00CC320E"/>
    <w:rsid w:val="00CC7AB1"/>
    <w:rsid w:val="00CD046E"/>
    <w:rsid w:val="00CD0DB4"/>
    <w:rsid w:val="00CD1E56"/>
    <w:rsid w:val="00CD2CA9"/>
    <w:rsid w:val="00CD324E"/>
    <w:rsid w:val="00CD4C5C"/>
    <w:rsid w:val="00CD508F"/>
    <w:rsid w:val="00CD6F75"/>
    <w:rsid w:val="00CD7711"/>
    <w:rsid w:val="00CE03C4"/>
    <w:rsid w:val="00CE050B"/>
    <w:rsid w:val="00CE0B31"/>
    <w:rsid w:val="00CE0F15"/>
    <w:rsid w:val="00CE1018"/>
    <w:rsid w:val="00CE2371"/>
    <w:rsid w:val="00CE3A3C"/>
    <w:rsid w:val="00CE44C0"/>
    <w:rsid w:val="00CE4744"/>
    <w:rsid w:val="00CE77B9"/>
    <w:rsid w:val="00CF0258"/>
    <w:rsid w:val="00CF056B"/>
    <w:rsid w:val="00CF05FA"/>
    <w:rsid w:val="00CF088C"/>
    <w:rsid w:val="00CF0E3E"/>
    <w:rsid w:val="00CF1BCE"/>
    <w:rsid w:val="00CF2BB5"/>
    <w:rsid w:val="00CF33EE"/>
    <w:rsid w:val="00CF3B90"/>
    <w:rsid w:val="00CF3C2C"/>
    <w:rsid w:val="00CF5CA5"/>
    <w:rsid w:val="00CF72A2"/>
    <w:rsid w:val="00CF7FB3"/>
    <w:rsid w:val="00D009E1"/>
    <w:rsid w:val="00D0209F"/>
    <w:rsid w:val="00D02AA3"/>
    <w:rsid w:val="00D034BD"/>
    <w:rsid w:val="00D03EFC"/>
    <w:rsid w:val="00D0513B"/>
    <w:rsid w:val="00D06755"/>
    <w:rsid w:val="00D068D3"/>
    <w:rsid w:val="00D06E44"/>
    <w:rsid w:val="00D07712"/>
    <w:rsid w:val="00D10723"/>
    <w:rsid w:val="00D108DF"/>
    <w:rsid w:val="00D11205"/>
    <w:rsid w:val="00D1142F"/>
    <w:rsid w:val="00D11D2A"/>
    <w:rsid w:val="00D11E5E"/>
    <w:rsid w:val="00D129CF"/>
    <w:rsid w:val="00D13732"/>
    <w:rsid w:val="00D14FE6"/>
    <w:rsid w:val="00D17330"/>
    <w:rsid w:val="00D17C87"/>
    <w:rsid w:val="00D20396"/>
    <w:rsid w:val="00D21B69"/>
    <w:rsid w:val="00D224CC"/>
    <w:rsid w:val="00D227FC"/>
    <w:rsid w:val="00D22831"/>
    <w:rsid w:val="00D22B58"/>
    <w:rsid w:val="00D22C91"/>
    <w:rsid w:val="00D2386A"/>
    <w:rsid w:val="00D2468C"/>
    <w:rsid w:val="00D249D0"/>
    <w:rsid w:val="00D24A41"/>
    <w:rsid w:val="00D24BAA"/>
    <w:rsid w:val="00D25E6A"/>
    <w:rsid w:val="00D26517"/>
    <w:rsid w:val="00D265F0"/>
    <w:rsid w:val="00D27EE6"/>
    <w:rsid w:val="00D30CB1"/>
    <w:rsid w:val="00D3306D"/>
    <w:rsid w:val="00D3313B"/>
    <w:rsid w:val="00D34401"/>
    <w:rsid w:val="00D34A89"/>
    <w:rsid w:val="00D35CFB"/>
    <w:rsid w:val="00D35E4E"/>
    <w:rsid w:val="00D37408"/>
    <w:rsid w:val="00D375F2"/>
    <w:rsid w:val="00D413D3"/>
    <w:rsid w:val="00D42C85"/>
    <w:rsid w:val="00D42D2F"/>
    <w:rsid w:val="00D42FBD"/>
    <w:rsid w:val="00D43110"/>
    <w:rsid w:val="00D4355A"/>
    <w:rsid w:val="00D4394C"/>
    <w:rsid w:val="00D45D0E"/>
    <w:rsid w:val="00D46DA6"/>
    <w:rsid w:val="00D50ABE"/>
    <w:rsid w:val="00D511E0"/>
    <w:rsid w:val="00D51496"/>
    <w:rsid w:val="00D523D4"/>
    <w:rsid w:val="00D52F89"/>
    <w:rsid w:val="00D5343F"/>
    <w:rsid w:val="00D54351"/>
    <w:rsid w:val="00D57BC8"/>
    <w:rsid w:val="00D60798"/>
    <w:rsid w:val="00D610BD"/>
    <w:rsid w:val="00D611F6"/>
    <w:rsid w:val="00D63668"/>
    <w:rsid w:val="00D63E7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1F4C"/>
    <w:rsid w:val="00D825B8"/>
    <w:rsid w:val="00D825DD"/>
    <w:rsid w:val="00D84445"/>
    <w:rsid w:val="00D8560D"/>
    <w:rsid w:val="00D90600"/>
    <w:rsid w:val="00D90C75"/>
    <w:rsid w:val="00D91B20"/>
    <w:rsid w:val="00D91C33"/>
    <w:rsid w:val="00D93442"/>
    <w:rsid w:val="00D97265"/>
    <w:rsid w:val="00DA0159"/>
    <w:rsid w:val="00DA05E4"/>
    <w:rsid w:val="00DA0F22"/>
    <w:rsid w:val="00DA10CD"/>
    <w:rsid w:val="00DA1523"/>
    <w:rsid w:val="00DA23AB"/>
    <w:rsid w:val="00DA389C"/>
    <w:rsid w:val="00DA3E24"/>
    <w:rsid w:val="00DA5007"/>
    <w:rsid w:val="00DB08AA"/>
    <w:rsid w:val="00DB219F"/>
    <w:rsid w:val="00DB434A"/>
    <w:rsid w:val="00DB4380"/>
    <w:rsid w:val="00DB4F16"/>
    <w:rsid w:val="00DB7D72"/>
    <w:rsid w:val="00DC5D72"/>
    <w:rsid w:val="00DC5F3F"/>
    <w:rsid w:val="00DD00DF"/>
    <w:rsid w:val="00DD0198"/>
    <w:rsid w:val="00DD1DB3"/>
    <w:rsid w:val="00DD1E33"/>
    <w:rsid w:val="00DD1E39"/>
    <w:rsid w:val="00DD3083"/>
    <w:rsid w:val="00DD3AA5"/>
    <w:rsid w:val="00DD3EA7"/>
    <w:rsid w:val="00DD4A7A"/>
    <w:rsid w:val="00DD4FE7"/>
    <w:rsid w:val="00DD54F0"/>
    <w:rsid w:val="00DD5FCC"/>
    <w:rsid w:val="00DD7826"/>
    <w:rsid w:val="00DD7F48"/>
    <w:rsid w:val="00DE0052"/>
    <w:rsid w:val="00DE0A8A"/>
    <w:rsid w:val="00DE0AF9"/>
    <w:rsid w:val="00DE1899"/>
    <w:rsid w:val="00DE2B1A"/>
    <w:rsid w:val="00DE3671"/>
    <w:rsid w:val="00DE58B3"/>
    <w:rsid w:val="00DE5E74"/>
    <w:rsid w:val="00DE6D24"/>
    <w:rsid w:val="00DE76D4"/>
    <w:rsid w:val="00DE7C4A"/>
    <w:rsid w:val="00DF0546"/>
    <w:rsid w:val="00DF0DC9"/>
    <w:rsid w:val="00DF1A06"/>
    <w:rsid w:val="00DF1C11"/>
    <w:rsid w:val="00DF364B"/>
    <w:rsid w:val="00DF4F01"/>
    <w:rsid w:val="00DF5025"/>
    <w:rsid w:val="00DF52FF"/>
    <w:rsid w:val="00DF55A7"/>
    <w:rsid w:val="00DF7D24"/>
    <w:rsid w:val="00E001D4"/>
    <w:rsid w:val="00E002E0"/>
    <w:rsid w:val="00E007CB"/>
    <w:rsid w:val="00E0110A"/>
    <w:rsid w:val="00E0145A"/>
    <w:rsid w:val="00E01DFA"/>
    <w:rsid w:val="00E02497"/>
    <w:rsid w:val="00E02500"/>
    <w:rsid w:val="00E038F8"/>
    <w:rsid w:val="00E03BF1"/>
    <w:rsid w:val="00E0449E"/>
    <w:rsid w:val="00E05268"/>
    <w:rsid w:val="00E05BB0"/>
    <w:rsid w:val="00E060D7"/>
    <w:rsid w:val="00E06C4D"/>
    <w:rsid w:val="00E06EDE"/>
    <w:rsid w:val="00E07CBC"/>
    <w:rsid w:val="00E108ED"/>
    <w:rsid w:val="00E10F38"/>
    <w:rsid w:val="00E118FB"/>
    <w:rsid w:val="00E136E1"/>
    <w:rsid w:val="00E13F61"/>
    <w:rsid w:val="00E1464A"/>
    <w:rsid w:val="00E1579B"/>
    <w:rsid w:val="00E16E2D"/>
    <w:rsid w:val="00E172DB"/>
    <w:rsid w:val="00E2042C"/>
    <w:rsid w:val="00E21A13"/>
    <w:rsid w:val="00E232B1"/>
    <w:rsid w:val="00E23C89"/>
    <w:rsid w:val="00E23D21"/>
    <w:rsid w:val="00E256E8"/>
    <w:rsid w:val="00E302A1"/>
    <w:rsid w:val="00E309ED"/>
    <w:rsid w:val="00E312D4"/>
    <w:rsid w:val="00E3166F"/>
    <w:rsid w:val="00E31992"/>
    <w:rsid w:val="00E33000"/>
    <w:rsid w:val="00E33195"/>
    <w:rsid w:val="00E340A8"/>
    <w:rsid w:val="00E35CE2"/>
    <w:rsid w:val="00E35D22"/>
    <w:rsid w:val="00E35D50"/>
    <w:rsid w:val="00E363C4"/>
    <w:rsid w:val="00E379AE"/>
    <w:rsid w:val="00E41A19"/>
    <w:rsid w:val="00E42262"/>
    <w:rsid w:val="00E425ED"/>
    <w:rsid w:val="00E435C8"/>
    <w:rsid w:val="00E45CB1"/>
    <w:rsid w:val="00E46894"/>
    <w:rsid w:val="00E47070"/>
    <w:rsid w:val="00E51061"/>
    <w:rsid w:val="00E51679"/>
    <w:rsid w:val="00E51DFF"/>
    <w:rsid w:val="00E51ECD"/>
    <w:rsid w:val="00E520A6"/>
    <w:rsid w:val="00E5285A"/>
    <w:rsid w:val="00E5303E"/>
    <w:rsid w:val="00E54420"/>
    <w:rsid w:val="00E54448"/>
    <w:rsid w:val="00E546D2"/>
    <w:rsid w:val="00E554E0"/>
    <w:rsid w:val="00E564F3"/>
    <w:rsid w:val="00E57B55"/>
    <w:rsid w:val="00E60814"/>
    <w:rsid w:val="00E61326"/>
    <w:rsid w:val="00E61DCE"/>
    <w:rsid w:val="00E62327"/>
    <w:rsid w:val="00E633E6"/>
    <w:rsid w:val="00E63510"/>
    <w:rsid w:val="00E63A5D"/>
    <w:rsid w:val="00E65195"/>
    <w:rsid w:val="00E653A7"/>
    <w:rsid w:val="00E661C0"/>
    <w:rsid w:val="00E6651A"/>
    <w:rsid w:val="00E702B3"/>
    <w:rsid w:val="00E70622"/>
    <w:rsid w:val="00E709E7"/>
    <w:rsid w:val="00E71323"/>
    <w:rsid w:val="00E71AC4"/>
    <w:rsid w:val="00E724CE"/>
    <w:rsid w:val="00E74EAF"/>
    <w:rsid w:val="00E7522C"/>
    <w:rsid w:val="00E76277"/>
    <w:rsid w:val="00E77508"/>
    <w:rsid w:val="00E77EB0"/>
    <w:rsid w:val="00E80965"/>
    <w:rsid w:val="00E80A9E"/>
    <w:rsid w:val="00E81349"/>
    <w:rsid w:val="00E8221D"/>
    <w:rsid w:val="00E84AD7"/>
    <w:rsid w:val="00E853BF"/>
    <w:rsid w:val="00E8551A"/>
    <w:rsid w:val="00E879DD"/>
    <w:rsid w:val="00E90192"/>
    <w:rsid w:val="00E907D4"/>
    <w:rsid w:val="00E90F0A"/>
    <w:rsid w:val="00E91A9E"/>
    <w:rsid w:val="00E91AA5"/>
    <w:rsid w:val="00E91CBD"/>
    <w:rsid w:val="00E91F00"/>
    <w:rsid w:val="00E9259E"/>
    <w:rsid w:val="00E94A3B"/>
    <w:rsid w:val="00E9500B"/>
    <w:rsid w:val="00E96358"/>
    <w:rsid w:val="00E97956"/>
    <w:rsid w:val="00E97A21"/>
    <w:rsid w:val="00EA03F5"/>
    <w:rsid w:val="00EA04FB"/>
    <w:rsid w:val="00EA06B0"/>
    <w:rsid w:val="00EA2324"/>
    <w:rsid w:val="00EA24A8"/>
    <w:rsid w:val="00EA381C"/>
    <w:rsid w:val="00EA3B32"/>
    <w:rsid w:val="00EA3DB3"/>
    <w:rsid w:val="00EA3F4E"/>
    <w:rsid w:val="00EA4DF0"/>
    <w:rsid w:val="00EA5630"/>
    <w:rsid w:val="00EA58D1"/>
    <w:rsid w:val="00EA5B16"/>
    <w:rsid w:val="00EA6029"/>
    <w:rsid w:val="00EA6F2A"/>
    <w:rsid w:val="00EA7338"/>
    <w:rsid w:val="00EB1B18"/>
    <w:rsid w:val="00EB1CA9"/>
    <w:rsid w:val="00EB205C"/>
    <w:rsid w:val="00EB23C8"/>
    <w:rsid w:val="00EB2505"/>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865"/>
    <w:rsid w:val="00EC6ACD"/>
    <w:rsid w:val="00EC6F93"/>
    <w:rsid w:val="00ED1BDF"/>
    <w:rsid w:val="00ED2505"/>
    <w:rsid w:val="00ED468C"/>
    <w:rsid w:val="00ED4EDE"/>
    <w:rsid w:val="00ED5808"/>
    <w:rsid w:val="00ED5A8E"/>
    <w:rsid w:val="00ED70A7"/>
    <w:rsid w:val="00ED773E"/>
    <w:rsid w:val="00EE10C7"/>
    <w:rsid w:val="00EE437B"/>
    <w:rsid w:val="00EE4621"/>
    <w:rsid w:val="00EE4E9E"/>
    <w:rsid w:val="00EE7598"/>
    <w:rsid w:val="00EF012B"/>
    <w:rsid w:val="00EF0279"/>
    <w:rsid w:val="00EF02FB"/>
    <w:rsid w:val="00EF0446"/>
    <w:rsid w:val="00EF4889"/>
    <w:rsid w:val="00EF6B07"/>
    <w:rsid w:val="00EF7BC9"/>
    <w:rsid w:val="00EF7CA2"/>
    <w:rsid w:val="00EF7F81"/>
    <w:rsid w:val="00F02181"/>
    <w:rsid w:val="00F036E7"/>
    <w:rsid w:val="00F038D3"/>
    <w:rsid w:val="00F04011"/>
    <w:rsid w:val="00F06743"/>
    <w:rsid w:val="00F0683D"/>
    <w:rsid w:val="00F06B97"/>
    <w:rsid w:val="00F06F9F"/>
    <w:rsid w:val="00F06FDC"/>
    <w:rsid w:val="00F072A4"/>
    <w:rsid w:val="00F1268F"/>
    <w:rsid w:val="00F13FDF"/>
    <w:rsid w:val="00F14F22"/>
    <w:rsid w:val="00F15BED"/>
    <w:rsid w:val="00F15C44"/>
    <w:rsid w:val="00F15DEA"/>
    <w:rsid w:val="00F16183"/>
    <w:rsid w:val="00F16567"/>
    <w:rsid w:val="00F168A8"/>
    <w:rsid w:val="00F16A22"/>
    <w:rsid w:val="00F177B1"/>
    <w:rsid w:val="00F17F01"/>
    <w:rsid w:val="00F21960"/>
    <w:rsid w:val="00F22931"/>
    <w:rsid w:val="00F24411"/>
    <w:rsid w:val="00F24E9E"/>
    <w:rsid w:val="00F251B5"/>
    <w:rsid w:val="00F25A1A"/>
    <w:rsid w:val="00F261D5"/>
    <w:rsid w:val="00F2743F"/>
    <w:rsid w:val="00F27CE9"/>
    <w:rsid w:val="00F3003F"/>
    <w:rsid w:val="00F3051B"/>
    <w:rsid w:val="00F30BB9"/>
    <w:rsid w:val="00F30E41"/>
    <w:rsid w:val="00F31832"/>
    <w:rsid w:val="00F3206C"/>
    <w:rsid w:val="00F3241A"/>
    <w:rsid w:val="00F32AC1"/>
    <w:rsid w:val="00F33B2D"/>
    <w:rsid w:val="00F344EE"/>
    <w:rsid w:val="00F347B6"/>
    <w:rsid w:val="00F34DFD"/>
    <w:rsid w:val="00F3577B"/>
    <w:rsid w:val="00F35B18"/>
    <w:rsid w:val="00F3627E"/>
    <w:rsid w:val="00F36613"/>
    <w:rsid w:val="00F369F2"/>
    <w:rsid w:val="00F37CA9"/>
    <w:rsid w:val="00F37CD4"/>
    <w:rsid w:val="00F402A7"/>
    <w:rsid w:val="00F409D5"/>
    <w:rsid w:val="00F40C80"/>
    <w:rsid w:val="00F41FCA"/>
    <w:rsid w:val="00F41FE6"/>
    <w:rsid w:val="00F421B3"/>
    <w:rsid w:val="00F42917"/>
    <w:rsid w:val="00F42C6F"/>
    <w:rsid w:val="00F43032"/>
    <w:rsid w:val="00F43091"/>
    <w:rsid w:val="00F4388B"/>
    <w:rsid w:val="00F441FC"/>
    <w:rsid w:val="00F44CD7"/>
    <w:rsid w:val="00F466F2"/>
    <w:rsid w:val="00F46819"/>
    <w:rsid w:val="00F46C1E"/>
    <w:rsid w:val="00F47246"/>
    <w:rsid w:val="00F472F2"/>
    <w:rsid w:val="00F513A3"/>
    <w:rsid w:val="00F52704"/>
    <w:rsid w:val="00F52FC6"/>
    <w:rsid w:val="00F5324B"/>
    <w:rsid w:val="00F54385"/>
    <w:rsid w:val="00F54B40"/>
    <w:rsid w:val="00F55849"/>
    <w:rsid w:val="00F5598D"/>
    <w:rsid w:val="00F5613A"/>
    <w:rsid w:val="00F56225"/>
    <w:rsid w:val="00F566D3"/>
    <w:rsid w:val="00F567F6"/>
    <w:rsid w:val="00F56CA5"/>
    <w:rsid w:val="00F5786D"/>
    <w:rsid w:val="00F6081C"/>
    <w:rsid w:val="00F61785"/>
    <w:rsid w:val="00F61B74"/>
    <w:rsid w:val="00F61BCF"/>
    <w:rsid w:val="00F61BFB"/>
    <w:rsid w:val="00F63449"/>
    <w:rsid w:val="00F637CF"/>
    <w:rsid w:val="00F63A66"/>
    <w:rsid w:val="00F63F61"/>
    <w:rsid w:val="00F64CD4"/>
    <w:rsid w:val="00F64F9E"/>
    <w:rsid w:val="00F66316"/>
    <w:rsid w:val="00F66664"/>
    <w:rsid w:val="00F668CE"/>
    <w:rsid w:val="00F6692C"/>
    <w:rsid w:val="00F7020C"/>
    <w:rsid w:val="00F7076C"/>
    <w:rsid w:val="00F70DA6"/>
    <w:rsid w:val="00F712C2"/>
    <w:rsid w:val="00F71CCB"/>
    <w:rsid w:val="00F72254"/>
    <w:rsid w:val="00F73666"/>
    <w:rsid w:val="00F74F09"/>
    <w:rsid w:val="00F75C2C"/>
    <w:rsid w:val="00F7631D"/>
    <w:rsid w:val="00F76640"/>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873"/>
    <w:rsid w:val="00F92EEA"/>
    <w:rsid w:val="00F93349"/>
    <w:rsid w:val="00F9444F"/>
    <w:rsid w:val="00F96D9F"/>
    <w:rsid w:val="00F9719E"/>
    <w:rsid w:val="00FA002B"/>
    <w:rsid w:val="00FA1544"/>
    <w:rsid w:val="00FA1D1D"/>
    <w:rsid w:val="00FA28EC"/>
    <w:rsid w:val="00FA2984"/>
    <w:rsid w:val="00FA2E47"/>
    <w:rsid w:val="00FA395C"/>
    <w:rsid w:val="00FA39AD"/>
    <w:rsid w:val="00FA3B52"/>
    <w:rsid w:val="00FA3FBF"/>
    <w:rsid w:val="00FA4367"/>
    <w:rsid w:val="00FA4B93"/>
    <w:rsid w:val="00FA4C5D"/>
    <w:rsid w:val="00FA4E21"/>
    <w:rsid w:val="00FA540B"/>
    <w:rsid w:val="00FA59C4"/>
    <w:rsid w:val="00FA643A"/>
    <w:rsid w:val="00FA64BA"/>
    <w:rsid w:val="00FA6B49"/>
    <w:rsid w:val="00FA71CD"/>
    <w:rsid w:val="00FB1406"/>
    <w:rsid w:val="00FB267C"/>
    <w:rsid w:val="00FB296B"/>
    <w:rsid w:val="00FB4401"/>
    <w:rsid w:val="00FB69B5"/>
    <w:rsid w:val="00FB7634"/>
    <w:rsid w:val="00FB766F"/>
    <w:rsid w:val="00FC06B2"/>
    <w:rsid w:val="00FC0FB4"/>
    <w:rsid w:val="00FC1887"/>
    <w:rsid w:val="00FC198E"/>
    <w:rsid w:val="00FC30F6"/>
    <w:rsid w:val="00FC4BF0"/>
    <w:rsid w:val="00FC59E1"/>
    <w:rsid w:val="00FD0003"/>
    <w:rsid w:val="00FD0DF4"/>
    <w:rsid w:val="00FD14BA"/>
    <w:rsid w:val="00FD17B1"/>
    <w:rsid w:val="00FD1843"/>
    <w:rsid w:val="00FD1DC3"/>
    <w:rsid w:val="00FD277F"/>
    <w:rsid w:val="00FD292E"/>
    <w:rsid w:val="00FD3293"/>
    <w:rsid w:val="00FD3389"/>
    <w:rsid w:val="00FD3683"/>
    <w:rsid w:val="00FD3A9D"/>
    <w:rsid w:val="00FD4746"/>
    <w:rsid w:val="00FD5EC6"/>
    <w:rsid w:val="00FD764C"/>
    <w:rsid w:val="00FE2131"/>
    <w:rsid w:val="00FE263A"/>
    <w:rsid w:val="00FE2E0A"/>
    <w:rsid w:val="00FE2F5E"/>
    <w:rsid w:val="00FE5BD1"/>
    <w:rsid w:val="00FE5E35"/>
    <w:rsid w:val="00FE6D96"/>
    <w:rsid w:val="00FE704B"/>
    <w:rsid w:val="00FE71BE"/>
    <w:rsid w:val="00FE742E"/>
    <w:rsid w:val="00FF06A2"/>
    <w:rsid w:val="00FF1C8C"/>
    <w:rsid w:val="00FF3299"/>
    <w:rsid w:val="00FF3972"/>
    <w:rsid w:val="00FF5057"/>
    <w:rsid w:val="00FF5540"/>
    <w:rsid w:val="00FF5EC0"/>
    <w:rsid w:val="00FF68AC"/>
    <w:rsid w:val="00FF71A5"/>
    <w:rsid w:val="00FF7842"/>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1057C1"/>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AF61D7"/>
    <w:pPr>
      <w:tabs>
        <w:tab w:val="left" w:pos="270"/>
        <w:tab w:val="right" w:leader="dot" w:pos="9350"/>
      </w:tabs>
    </w:pPr>
    <w:rPr>
      <w:rFonts w:ascii="Arial Nova" w:hAnsi="Arial Nova"/>
      <w:noProof/>
    </w:rPr>
  </w:style>
  <w:style w:type="paragraph" w:styleId="TOC2">
    <w:name w:val="toc 2"/>
    <w:basedOn w:val="Normal"/>
    <w:next w:val="Normal"/>
    <w:autoRedefine/>
    <w:uiPriority w:val="39"/>
    <w:qFormat/>
    <w:rsid w:val="00A5763A"/>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styleId="FootnoteText">
    <w:name w:val="footnote text"/>
    <w:basedOn w:val="Normal"/>
    <w:link w:val="FootnoteTextChar"/>
    <w:semiHidden/>
    <w:unhideWhenUsed/>
    <w:rsid w:val="00B60B9D"/>
    <w:rPr>
      <w:sz w:val="20"/>
      <w:szCs w:val="20"/>
    </w:rPr>
  </w:style>
  <w:style w:type="character" w:customStyle="1" w:styleId="FootnoteTextChar">
    <w:name w:val="Footnote Text Char"/>
    <w:basedOn w:val="DefaultParagraphFont"/>
    <w:link w:val="FootnoteText"/>
    <w:semiHidden/>
    <w:rsid w:val="00B60B9D"/>
  </w:style>
  <w:style w:type="character" w:styleId="FootnoteReference">
    <w:name w:val="footnote reference"/>
    <w:basedOn w:val="DefaultParagraphFont"/>
    <w:semiHidden/>
    <w:unhideWhenUsed/>
    <w:rsid w:val="00B60B9D"/>
    <w:rPr>
      <w:vertAlign w:val="superscript"/>
    </w:rPr>
  </w:style>
  <w:style w:type="character" w:styleId="UnresolvedMention">
    <w:name w:val="Unresolved Mention"/>
    <w:basedOn w:val="DefaultParagraphFont"/>
    <w:uiPriority w:val="99"/>
    <w:semiHidden/>
    <w:unhideWhenUsed/>
    <w:rsid w:val="00E8551A"/>
    <w:rPr>
      <w:color w:val="605E5C"/>
      <w:shd w:val="clear" w:color="auto" w:fill="E1DFDD"/>
    </w:rPr>
  </w:style>
  <w:style w:type="table" w:customStyle="1" w:styleId="TableGrid1">
    <w:name w:val="Table Grid1"/>
    <w:basedOn w:val="TableNormal"/>
    <w:next w:val="TableGrid"/>
    <w:uiPriority w:val="59"/>
    <w:rsid w:val="003447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8F2AB5"/>
    <w:pPr>
      <w:spacing w:after="160" w:line="280" w:lineRule="exact"/>
      <w:ind w:firstLine="720"/>
    </w:pPr>
    <w:rPr>
      <w:szCs w:val="20"/>
    </w:rPr>
  </w:style>
  <w:style w:type="character" w:customStyle="1" w:styleId="bodytextpsgCharChar">
    <w:name w:val="body text_psg Char Char"/>
    <w:link w:val="bodytextpsg"/>
    <w:locked/>
    <w:rsid w:val="008F2AB5"/>
    <w:rPr>
      <w:sz w:val="24"/>
    </w:rPr>
  </w:style>
  <w:style w:type="table" w:customStyle="1" w:styleId="TableGrid2">
    <w:name w:val="Table Grid2"/>
    <w:basedOn w:val="TableNormal"/>
    <w:next w:val="TableGrid"/>
    <w:uiPriority w:val="59"/>
    <w:locked/>
    <w:rsid w:val="008F2A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95E14"/>
    <w:rPr>
      <w:rFonts w:ascii="Segoe UI" w:hAnsi="Segoe UI" w:cs="Segoe UI" w:hint="default"/>
      <w:sz w:val="18"/>
      <w:szCs w:val="18"/>
    </w:rPr>
  </w:style>
  <w:style w:type="paragraph" w:customStyle="1" w:styleId="pf0">
    <w:name w:val="pf0"/>
    <w:basedOn w:val="Normal"/>
    <w:rsid w:val="00C30B5E"/>
    <w:pPr>
      <w:spacing w:before="100" w:beforeAutospacing="1" w:after="100" w:afterAutospacing="1"/>
      <w:ind w:left="720"/>
    </w:pPr>
  </w:style>
  <w:style w:type="character" w:customStyle="1" w:styleId="cf11">
    <w:name w:val="cf11"/>
    <w:basedOn w:val="DefaultParagraphFont"/>
    <w:rsid w:val="00C30B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jpeg" /><Relationship Id="rId14" Type="http://schemas.openxmlformats.org/officeDocument/2006/relationships/hyperlink" Target="mailto:Maria.Benoza@fda" TargetMode="External" /><Relationship Id="rId15" Type="http://schemas.openxmlformats.org/officeDocument/2006/relationships/hyperlink" Target="mailto:Chaunetta.Jones@fda" TargetMode="External" /><Relationship Id="rId16" Type="http://schemas.openxmlformats.org/officeDocument/2006/relationships/hyperlink" Target="mailto:Alison.Kulas@fda" TargetMode="External" /><Relationship Id="rId17" Type="http://schemas.openxmlformats.org/officeDocument/2006/relationships/hyperlink" Target="mailto:anh.zarndt@fda"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pPr>
            <w:pStyle w:val="42A4B6D111B74DE5B010E6D835C4613959"/>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w:t>
          </w:r>
          <w:r w:rsidRPr="00F06B97">
            <w:rPr>
              <w:rStyle w:val="PlaceholderText"/>
              <w:rFonts w:ascii="Arial Nova" w:hAnsi="Arial Nova"/>
            </w:rPr>
            <w:t xml:space="preserve">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2318">
      <w:pPr>
        <w:spacing w:after="0" w:line="240" w:lineRule="auto"/>
      </w:pPr>
      <w:r>
        <w:separator/>
      </w:r>
    </w:p>
  </w:footnote>
  <w:footnote w:type="continuationSeparator" w:id="1">
    <w:p w:rsidR="0087231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B2E57"/>
    <w:rsid w:val="000D6F02"/>
    <w:rsid w:val="000F733B"/>
    <w:rsid w:val="00135B80"/>
    <w:rsid w:val="00151D86"/>
    <w:rsid w:val="00155FB5"/>
    <w:rsid w:val="00191188"/>
    <w:rsid w:val="001D1790"/>
    <w:rsid w:val="00217AB3"/>
    <w:rsid w:val="0022226A"/>
    <w:rsid w:val="00257423"/>
    <w:rsid w:val="00263C56"/>
    <w:rsid w:val="002D0E8C"/>
    <w:rsid w:val="002D1E91"/>
    <w:rsid w:val="00315FC9"/>
    <w:rsid w:val="00324879"/>
    <w:rsid w:val="0037100E"/>
    <w:rsid w:val="0037103D"/>
    <w:rsid w:val="003813D6"/>
    <w:rsid w:val="003B4347"/>
    <w:rsid w:val="003C78CB"/>
    <w:rsid w:val="00411D41"/>
    <w:rsid w:val="0043344D"/>
    <w:rsid w:val="004B227E"/>
    <w:rsid w:val="004B647E"/>
    <w:rsid w:val="004E1C28"/>
    <w:rsid w:val="00500D4F"/>
    <w:rsid w:val="0050293A"/>
    <w:rsid w:val="005054C6"/>
    <w:rsid w:val="005116F6"/>
    <w:rsid w:val="00513319"/>
    <w:rsid w:val="005231A7"/>
    <w:rsid w:val="00530D61"/>
    <w:rsid w:val="0053321C"/>
    <w:rsid w:val="00595960"/>
    <w:rsid w:val="005A402E"/>
    <w:rsid w:val="005D76E4"/>
    <w:rsid w:val="00601B8F"/>
    <w:rsid w:val="006149BC"/>
    <w:rsid w:val="00620205"/>
    <w:rsid w:val="0066301C"/>
    <w:rsid w:val="00682EE3"/>
    <w:rsid w:val="006B31F1"/>
    <w:rsid w:val="006C30FB"/>
    <w:rsid w:val="006C3D35"/>
    <w:rsid w:val="006D4FB7"/>
    <w:rsid w:val="00700199"/>
    <w:rsid w:val="007222FC"/>
    <w:rsid w:val="00752722"/>
    <w:rsid w:val="00780251"/>
    <w:rsid w:val="007D5417"/>
    <w:rsid w:val="007E2871"/>
    <w:rsid w:val="00872318"/>
    <w:rsid w:val="00892F4F"/>
    <w:rsid w:val="008B4CFF"/>
    <w:rsid w:val="0090160A"/>
    <w:rsid w:val="00937A73"/>
    <w:rsid w:val="00974D4D"/>
    <w:rsid w:val="00986284"/>
    <w:rsid w:val="009A0273"/>
    <w:rsid w:val="009B59D3"/>
    <w:rsid w:val="009C3B97"/>
    <w:rsid w:val="009F0FE7"/>
    <w:rsid w:val="00A03DAD"/>
    <w:rsid w:val="00A04CE0"/>
    <w:rsid w:val="00A230D7"/>
    <w:rsid w:val="00A3057E"/>
    <w:rsid w:val="00A939C8"/>
    <w:rsid w:val="00A974EA"/>
    <w:rsid w:val="00AB6625"/>
    <w:rsid w:val="00AC7B55"/>
    <w:rsid w:val="00AF5AAC"/>
    <w:rsid w:val="00B403AF"/>
    <w:rsid w:val="00B65677"/>
    <w:rsid w:val="00BB543C"/>
    <w:rsid w:val="00C502B6"/>
    <w:rsid w:val="00C51F59"/>
    <w:rsid w:val="00C551AB"/>
    <w:rsid w:val="00C75514"/>
    <w:rsid w:val="00CB13D2"/>
    <w:rsid w:val="00CB73B4"/>
    <w:rsid w:val="00CD0587"/>
    <w:rsid w:val="00D0710E"/>
    <w:rsid w:val="00D3185D"/>
    <w:rsid w:val="00D65AB2"/>
    <w:rsid w:val="00D8283B"/>
    <w:rsid w:val="00DA4192"/>
    <w:rsid w:val="00DE2CB1"/>
    <w:rsid w:val="00E0038E"/>
    <w:rsid w:val="00E172DB"/>
    <w:rsid w:val="00E25474"/>
    <w:rsid w:val="00E323EE"/>
    <w:rsid w:val="00E429AB"/>
    <w:rsid w:val="00E97B9D"/>
    <w:rsid w:val="00EC77DA"/>
    <w:rsid w:val="00EF2352"/>
    <w:rsid w:val="00EF24E2"/>
    <w:rsid w:val="00F66164"/>
    <w:rsid w:val="00F710D6"/>
    <w:rsid w:val="00FA05D9"/>
    <w:rsid w:val="00FB0D39"/>
    <w:rsid w:val="00FC1887"/>
    <w:rsid w:val="00FD1DC3"/>
    <w:rsid w:val="00FF7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65C5ED2CDB0B4D4EA0DE940B637B1092">
    <w:name w:val="65C5ED2CDB0B4D4EA0DE940B637B1092"/>
    <w:rsid w:val="00E172DB"/>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2023-05-22T00:00:00</PublishDate>
  <Abstract/>
  <CompanyAddress/>
  <CompanyPhone>770-488-5582</CompanyPhone>
  <CompanyFax/>
  <CompanyEmail>mohegarty@cdc.gov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8116</Words>
  <Characters>46265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Centers for Disease Control and Prevention</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Supporting Statement A template</dc:subject>
  <dc:creator>Centers for Disease Control and Prevention</dc:creator>
  <cp:keywords>Supporting Statement A template</cp:keywords>
  <cp:lastModifiedBy>Feltz, Kelsi L. EOP/OMB</cp:lastModifiedBy>
  <cp:revision>2</cp:revision>
  <cp:lastPrinted>2018-04-12T17:17:00Z</cp:lastPrinted>
  <dcterms:created xsi:type="dcterms:W3CDTF">2025-03-31T12:36:00Z</dcterms:created>
  <dcterms:modified xsi:type="dcterms:W3CDTF">2025-03-31T12:36:00Z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72c2080d-c50e-40d3-a81d-6f38d675e4ef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2023-02-01T13:34:24Z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