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042B7" w:rsidRPr="00C042B7" w:rsidP="00C042B7" w14:paraId="4D4B6699" w14:textId="4701539E">
      <w:pPr>
        <w:jc w:val="center"/>
        <w:rPr>
          <w:b/>
          <w:bCs/>
        </w:rPr>
      </w:pPr>
      <w:r w:rsidRPr="00C042B7">
        <w:rPr>
          <w:b/>
          <w:bCs/>
        </w:rPr>
        <w:t>Non-Substantive Change Request</w:t>
      </w:r>
    </w:p>
    <w:p w:rsidR="00C042B7" w:rsidRPr="00C042B7" w:rsidP="00C042B7" w14:paraId="60ABEAB3" w14:textId="18F1C04C">
      <w:pPr>
        <w:jc w:val="center"/>
        <w:rPr>
          <w:b/>
          <w:bCs/>
        </w:rPr>
      </w:pPr>
      <w:r w:rsidRPr="00C042B7">
        <w:rPr>
          <w:b/>
          <w:bCs/>
        </w:rPr>
        <w:t>National Tobacco Education Campaign: Rough-Cut Testing of Television Advertisements</w:t>
      </w:r>
    </w:p>
    <w:p w:rsidR="00D34633" w:rsidP="00C042B7" w14:paraId="2A12329A" w14:textId="3E57BD2E">
      <w:pPr>
        <w:jc w:val="center"/>
      </w:pPr>
      <w:r>
        <w:t>(OMB No. 0920-0910, Exp. Date 9/30/2026)</w:t>
      </w:r>
    </w:p>
    <w:p w:rsidR="00C042B7" w:rsidP="00C042B7" w14:paraId="5A06136B" w14:textId="77777777">
      <w:pPr>
        <w:jc w:val="center"/>
      </w:pPr>
    </w:p>
    <w:p w:rsidR="00C042B7" w:rsidP="00C042B7" w14:paraId="1648D96E" w14:textId="53BFD6D5">
      <w:pPr>
        <w:rPr>
          <w:b/>
          <w:bCs/>
        </w:rPr>
      </w:pPr>
      <w:r w:rsidRPr="00C042B7">
        <w:rPr>
          <w:b/>
          <w:bCs/>
        </w:rPr>
        <w:t>Summary</w:t>
      </w:r>
    </w:p>
    <w:p w:rsidR="00C042B7" w:rsidP="00C042B7" w14:paraId="2B76158D" w14:textId="03367C5F">
      <w:r w:rsidRPr="00C042B7">
        <w:t>In 2022, CDC's Office on Smoking and Health</w:t>
      </w:r>
      <w:r w:rsidR="00A81C2D">
        <w:t xml:space="preserve"> (OSH)</w:t>
      </w:r>
      <w:r w:rsidRPr="00C042B7">
        <w:t xml:space="preserve"> received OMB approval to conduct two cycles of rough-cut testing of 33 television ads for the</w:t>
      </w:r>
      <w:r w:rsidRPr="002301F6">
        <w:rPr>
          <w:i/>
          <w:iCs/>
        </w:rPr>
        <w:t xml:space="preserve"> Tips </w:t>
      </w:r>
      <w:r w:rsidRPr="002301F6">
        <w:rPr>
          <w:i/>
          <w:iCs/>
        </w:rPr>
        <w:t>From</w:t>
      </w:r>
      <w:r w:rsidRPr="002301F6">
        <w:rPr>
          <w:i/>
          <w:iCs/>
        </w:rPr>
        <w:t xml:space="preserve"> Former Smokers</w:t>
      </w:r>
      <w:r w:rsidRPr="006F360F">
        <w:t>®</w:t>
      </w:r>
      <w:r w:rsidR="006F360F">
        <w:t xml:space="preserve"> </w:t>
      </w:r>
      <w:r w:rsidRPr="00C042B7">
        <w:t>campaign (</w:t>
      </w:r>
      <w:r w:rsidR="00EE348B">
        <w:t>GenIC</w:t>
      </w:r>
      <w:r w:rsidR="00EE348B">
        <w:t xml:space="preserve"> through </w:t>
      </w:r>
      <w:r w:rsidR="00581315">
        <w:t>OMB</w:t>
      </w:r>
      <w:r w:rsidRPr="00C042B7">
        <w:t xml:space="preserve"> Number: 0920-0910). The first cycle of testing of 16 television ads was completed in 2023 and the ads aired as part of the 2024 </w:t>
      </w:r>
      <w:r w:rsidRPr="002301F6">
        <w:rPr>
          <w:i/>
          <w:iCs/>
        </w:rPr>
        <w:t>Tips</w:t>
      </w:r>
      <w:r w:rsidRPr="00C042B7">
        <w:t xml:space="preserve"> campaign. The second cycle of rough-cut testing of </w:t>
      </w:r>
      <w:r w:rsidR="006F360F">
        <w:t>9</w:t>
      </w:r>
      <w:r w:rsidRPr="00C042B7">
        <w:t xml:space="preserve"> television ads </w:t>
      </w:r>
      <w:r w:rsidR="006F360F">
        <w:t>was completed on July 16,</w:t>
      </w:r>
      <w:r w:rsidRPr="00C042B7">
        <w:t xml:space="preserve"> </w:t>
      </w:r>
      <w:r w:rsidRPr="00C042B7" w:rsidR="006F360F">
        <w:t>2024,</w:t>
      </w:r>
      <w:r w:rsidR="00925FCA">
        <w:t xml:space="preserve"> and will air as part of the 2025 </w:t>
      </w:r>
      <w:r w:rsidRPr="00925FCA" w:rsidR="00925FCA">
        <w:rPr>
          <w:i/>
          <w:iCs/>
        </w:rPr>
        <w:t xml:space="preserve">Tips </w:t>
      </w:r>
      <w:r w:rsidR="00925FCA">
        <w:t>campaign</w:t>
      </w:r>
      <w:r w:rsidRPr="00C042B7">
        <w:t xml:space="preserve">. </w:t>
      </w:r>
      <w:r w:rsidR="00A81C2D">
        <w:t>OSH is requesting OMB approval to test two television ads in Spanish (i.e., Felicita R.</w:t>
      </w:r>
      <w:r w:rsidRPr="002056B4" w:rsidR="002056B4">
        <w:t xml:space="preserve"> </w:t>
      </w:r>
      <w:r w:rsidR="002056B4">
        <w:t>D</w:t>
      </w:r>
      <w:r w:rsidRPr="00342ED7" w:rsidR="002056B4">
        <w:t>é</w:t>
      </w:r>
      <w:r w:rsidR="002056B4">
        <w:t>jelo</w:t>
      </w:r>
      <w:r w:rsidR="002056B4">
        <w:t xml:space="preserve"> </w:t>
      </w:r>
      <w:r w:rsidR="00A81C2D">
        <w:t>Tip :</w:t>
      </w:r>
      <w:r w:rsidR="00EB53C0">
        <w:t>15</w:t>
      </w:r>
      <w:r w:rsidR="00A81C2D">
        <w:t xml:space="preserve">, Rose </w:t>
      </w:r>
      <w:r w:rsidR="00875FD8">
        <w:t xml:space="preserve">H. </w:t>
      </w:r>
      <w:r w:rsidR="00A81C2D">
        <w:t xml:space="preserve">Memorial :30) and one dual language television ad (i.e., Brett </w:t>
      </w:r>
      <w:r w:rsidR="00875FD8">
        <w:t xml:space="preserve">P. </w:t>
      </w:r>
      <w:r w:rsidR="00A81C2D">
        <w:t>and Felicita</w:t>
      </w:r>
      <w:r w:rsidR="00875FD8">
        <w:t xml:space="preserve"> R.</w:t>
      </w:r>
      <w:r w:rsidR="00A81C2D">
        <w:t xml:space="preserve">’s Tip :30) as part of the second cycle of rough-cut testing. </w:t>
      </w:r>
      <w:r w:rsidRPr="00A81C2D">
        <w:t xml:space="preserve">The screener, questionnaire, and email invitation to potential Spanish-speaking Hispanic or Latino adults who smoke </w:t>
      </w:r>
      <w:r w:rsidR="00A81C2D">
        <w:t>was</w:t>
      </w:r>
      <w:r w:rsidRPr="00A81C2D">
        <w:t xml:space="preserve"> translated</w:t>
      </w:r>
      <w:r w:rsidR="00A81C2D">
        <w:t xml:space="preserve"> from English</w:t>
      </w:r>
      <w:r w:rsidRPr="00A81C2D">
        <w:t xml:space="preserve"> to Spanish</w:t>
      </w:r>
      <w:r w:rsidR="00A81C2D">
        <w:t xml:space="preserve"> (see attachments)</w:t>
      </w:r>
      <w:r w:rsidRPr="00A81C2D">
        <w:t>. There is no change to burden as the content being tested and the questionnaire used will be identical content.</w:t>
      </w:r>
      <w:r w:rsidR="00A81C2D">
        <w:t xml:space="preserve"> A secure link to the two Spanish television ads and one dual language television ad is as follows: </w:t>
      </w:r>
      <w:hyperlink r:id="rId4" w:history="1">
        <w:r w:rsidR="00A81C2D">
          <w:rPr>
            <w:rStyle w:val="Hyperlink"/>
          </w:rPr>
          <w:t>https://lion.box.com/s/mo6uqdy41y61z8scwcu3y1jqgfardlkt</w:t>
        </w:r>
      </w:hyperlink>
    </w:p>
    <w:p w:rsidR="00C042B7" w:rsidP="00C042B7" w14:paraId="30785032" w14:textId="36D37C1F">
      <w:pPr>
        <w:rPr>
          <w:b/>
          <w:bCs/>
        </w:rPr>
      </w:pPr>
      <w:r w:rsidRPr="00C042B7">
        <w:rPr>
          <w:b/>
          <w:bCs/>
        </w:rPr>
        <w:t>Attachments</w:t>
      </w:r>
    </w:p>
    <w:p w:rsidR="00C042B7" w:rsidP="009F5739" w14:paraId="0394C6A6" w14:textId="3B869635">
      <w:pPr>
        <w:spacing w:line="240" w:lineRule="auto"/>
      </w:pPr>
      <w:r>
        <w:t>1a.</w:t>
      </w:r>
      <w:r w:rsidR="00D34163">
        <w:t xml:space="preserve"> </w:t>
      </w:r>
      <w:r w:rsidRPr="00C042B7">
        <w:t>Rough-Cut Testing Screener (</w:t>
      </w:r>
      <w:r>
        <w:t>English</w:t>
      </w:r>
      <w:r w:rsidRPr="00C042B7">
        <w:t>)</w:t>
      </w:r>
    </w:p>
    <w:p w:rsidR="005649CF" w:rsidRPr="00C042B7" w:rsidP="009F5739" w14:paraId="7925D677" w14:textId="07277379">
      <w:pPr>
        <w:pStyle w:val="ListParagraph"/>
        <w:spacing w:line="240" w:lineRule="auto"/>
        <w:ind w:left="0"/>
      </w:pPr>
      <w:r w:rsidRPr="00C042B7">
        <w:t>1</w:t>
      </w:r>
      <w:r>
        <w:t>b.</w:t>
      </w:r>
      <w:r w:rsidRPr="00C042B7">
        <w:t xml:space="preserve"> Rough-Cut Testing Screener (Spanish)</w:t>
      </w:r>
    </w:p>
    <w:p w:rsidR="00C042B7" w:rsidP="009F5739" w14:paraId="2E58363F" w14:textId="72626551">
      <w:pPr>
        <w:spacing w:line="240" w:lineRule="auto"/>
      </w:pPr>
      <w:r w:rsidRPr="00C042B7">
        <w:t>2</w:t>
      </w:r>
      <w:r w:rsidR="005649CF">
        <w:t>a</w:t>
      </w:r>
      <w:r w:rsidRPr="00C042B7">
        <w:t>. Rough-Cut Testing Questionnaire (</w:t>
      </w:r>
      <w:r w:rsidR="005649CF">
        <w:t>English</w:t>
      </w:r>
      <w:r w:rsidRPr="00C042B7">
        <w:t>)</w:t>
      </w:r>
    </w:p>
    <w:p w:rsidR="005649CF" w:rsidP="009F5739" w14:paraId="21D76F7D" w14:textId="0F858F53">
      <w:pPr>
        <w:spacing w:line="240" w:lineRule="auto"/>
      </w:pPr>
      <w:r>
        <w:t xml:space="preserve">2b. </w:t>
      </w:r>
      <w:r w:rsidRPr="00C042B7">
        <w:t>Rough-Cut Testing Questionnaire (Spanish)</w:t>
      </w:r>
    </w:p>
    <w:p w:rsidR="005649CF" w:rsidP="009F5739" w14:paraId="0F3AA0E2" w14:textId="099F5C02">
      <w:pPr>
        <w:spacing w:line="240" w:lineRule="auto"/>
      </w:pPr>
      <w:r>
        <w:t>3a.</w:t>
      </w:r>
      <w:r w:rsidR="008E5F16">
        <w:t xml:space="preserve"> </w:t>
      </w:r>
      <w:r w:rsidRPr="00C042B7" w:rsidR="00C042B7">
        <w:t>Email invitation to potential respondents (</w:t>
      </w:r>
      <w:r>
        <w:t>English</w:t>
      </w:r>
      <w:r w:rsidRPr="00C042B7" w:rsidR="00C042B7">
        <w:t>)</w:t>
      </w:r>
    </w:p>
    <w:p w:rsidR="005649CF" w:rsidP="009F5739" w14:paraId="573ABE77" w14:textId="0E92CA26">
      <w:pPr>
        <w:pStyle w:val="ListParagraph"/>
        <w:spacing w:line="240" w:lineRule="auto"/>
        <w:ind w:left="0"/>
      </w:pPr>
      <w:r w:rsidRPr="00C042B7">
        <w:t>3</w:t>
      </w:r>
      <w:r>
        <w:t>b</w:t>
      </w:r>
      <w:r w:rsidRPr="00C042B7">
        <w:t>. Email invitation to potential respondents (Spanish)</w:t>
      </w:r>
    </w:p>
    <w:p w:rsidR="005649CF" w:rsidP="009F5739" w14:paraId="764221B2" w14:textId="77777777">
      <w:pPr>
        <w:pStyle w:val="ListParagraph"/>
        <w:spacing w:line="240" w:lineRule="auto"/>
        <w:ind w:left="360"/>
      </w:pPr>
    </w:p>
    <w:p w:rsidR="00ED14D8" w:rsidP="009F5739" w14:paraId="1ACC335B" w14:textId="77777777">
      <w:pPr>
        <w:spacing w:line="240" w:lineRule="auto"/>
      </w:pPr>
    </w:p>
    <w:p w:rsidR="00C042B7" w:rsidP="00C042B7" w14:paraId="0F6725CC" w14:textId="743DFD92">
      <w:pPr>
        <w:rPr>
          <w:b/>
          <w:bCs/>
        </w:rPr>
      </w:pPr>
      <w:r w:rsidRPr="00C042B7">
        <w:rPr>
          <w:b/>
          <w:bCs/>
        </w:rPr>
        <w:t>Background and Justification</w:t>
      </w:r>
    </w:p>
    <w:p w:rsidR="00C042B7" w:rsidP="00C042B7" w14:paraId="6BBFAAC2" w14:textId="44DB833C">
      <w:r>
        <w:t xml:space="preserve">This is a non-substantive change request to test </w:t>
      </w:r>
      <w:r w:rsidR="00EE7358">
        <w:t>two</w:t>
      </w:r>
      <w:r>
        <w:t xml:space="preserve"> </w:t>
      </w:r>
      <w:r w:rsidR="00EE7358">
        <w:t xml:space="preserve">Spanish </w:t>
      </w:r>
      <w:r>
        <w:t>television ad</w:t>
      </w:r>
      <w:r w:rsidR="00EE7358">
        <w:t>s and one dual language (Spanish and English) television ad</w:t>
      </w:r>
      <w:r>
        <w:t xml:space="preserve"> with Spanish-speaking Hispanic or Latino </w:t>
      </w:r>
      <w:r w:rsidR="002629F9">
        <w:t>people</w:t>
      </w:r>
      <w:r>
        <w:t xml:space="preserve"> who smoke aged 18-54. </w:t>
      </w:r>
      <w:r w:rsidR="00BD01CC">
        <w:t xml:space="preserve">The information will allow </w:t>
      </w:r>
      <w:r w:rsidR="001E59CD">
        <w:t xml:space="preserve">the </w:t>
      </w:r>
      <w:r w:rsidR="00BD01CC">
        <w:t xml:space="preserve">CDC to assess whether the ad under test </w:t>
      </w:r>
      <w:r w:rsidR="002301F6">
        <w:t xml:space="preserve">is </w:t>
      </w:r>
      <w:r w:rsidR="00BD01CC">
        <w:t xml:space="preserve">likely to be perceived as credible, comprehensible, and persuasive among Spanish-speaking Hispanic or Latino </w:t>
      </w:r>
      <w:r w:rsidR="002629F9">
        <w:t>people who smoke</w:t>
      </w:r>
      <w:r w:rsidR="00BD01CC">
        <w:t xml:space="preserve">. </w:t>
      </w:r>
      <w:r w:rsidR="00875FD8">
        <w:t>The three</w:t>
      </w:r>
      <w:r w:rsidR="00761E6B">
        <w:t xml:space="preserve"> in-language</w:t>
      </w:r>
      <w:r w:rsidR="00BD01CC">
        <w:t xml:space="preserve"> television ad</w:t>
      </w:r>
      <w:r w:rsidR="00875FD8">
        <w:t>s</w:t>
      </w:r>
      <w:r w:rsidR="002301F6">
        <w:t xml:space="preserve"> designed to encourage people who smoke to quit will enhance the reach of the </w:t>
      </w:r>
      <w:r w:rsidRPr="002301F6" w:rsidR="002301F6">
        <w:rPr>
          <w:i/>
          <w:iCs/>
        </w:rPr>
        <w:t xml:space="preserve">Tips </w:t>
      </w:r>
      <w:r w:rsidR="002301F6">
        <w:t xml:space="preserve">campaign to Spanish-speaking audiences. </w:t>
      </w:r>
      <w:r w:rsidR="00910989">
        <w:t>Panels used for data collection are anticipated to include Sago</w:t>
      </w:r>
      <w:r w:rsidR="00CB2B52">
        <w:t xml:space="preserve">, </w:t>
      </w:r>
      <w:r w:rsidR="008A7705">
        <w:t>Toluna</w:t>
      </w:r>
      <w:r w:rsidR="008A7705">
        <w:t xml:space="preserve">, </w:t>
      </w:r>
      <w:r w:rsidR="008A7705">
        <w:t>Prodege</w:t>
      </w:r>
      <w:r w:rsidR="008A7705">
        <w:t xml:space="preserve">, Quest Mindshare, RFG, </w:t>
      </w:r>
      <w:r w:rsidR="008A7705">
        <w:t>Torfac</w:t>
      </w:r>
      <w:r w:rsidR="008A7705">
        <w:t xml:space="preserve">, </w:t>
      </w:r>
      <w:r w:rsidR="008A7705">
        <w:t>Solugo</w:t>
      </w:r>
      <w:r w:rsidR="008A7705">
        <w:t xml:space="preserve">, </w:t>
      </w:r>
      <w:r w:rsidR="008A7705">
        <w:t>Savanta</w:t>
      </w:r>
      <w:r w:rsidR="008A7705">
        <w:t xml:space="preserve">, </w:t>
      </w:r>
      <w:r w:rsidR="008A7705">
        <w:t>MFour</w:t>
      </w:r>
      <w:r w:rsidR="008A7705">
        <w:t xml:space="preserve">, </w:t>
      </w:r>
      <w:r w:rsidR="00CB2B52">
        <w:t>Offerwise</w:t>
      </w:r>
      <w:r w:rsidRPr="00CB2B52" w:rsidR="00CB2B52">
        <w:t>,</w:t>
      </w:r>
      <w:r w:rsidRPr="00CB2B52" w:rsidR="00910989">
        <w:t xml:space="preserve"> and </w:t>
      </w:r>
      <w:r w:rsidRPr="00CB2B52" w:rsidR="00CB2B52">
        <w:t>ThinkNow</w:t>
      </w:r>
      <w:r w:rsidRPr="00CB2B52" w:rsidR="00910989">
        <w:t>.</w:t>
      </w:r>
      <w:r w:rsidR="00910989">
        <w:t xml:space="preserve"> </w:t>
      </w:r>
      <w:r w:rsidR="002056B4">
        <w:t xml:space="preserve">Four hundred </w:t>
      </w:r>
      <w:r w:rsidR="00910989">
        <w:t>Spanish-speaking Hispanic</w:t>
      </w:r>
      <w:r w:rsidR="00A20AE2">
        <w:t xml:space="preserve"> adults</w:t>
      </w:r>
      <w:r w:rsidR="00910989">
        <w:t xml:space="preserve"> will view each television ad, for total of 1,200 people in the sample. </w:t>
      </w:r>
    </w:p>
    <w:p w:rsidR="00012D4C" w:rsidP="00C042B7" w14:paraId="7DD0AE19" w14:textId="77777777">
      <w:pPr>
        <w:rPr>
          <w:b/>
          <w:bCs/>
        </w:rPr>
      </w:pPr>
    </w:p>
    <w:p w:rsidR="00012D4C" w:rsidP="00C042B7" w14:paraId="1FF07E0F" w14:textId="77777777">
      <w:pPr>
        <w:rPr>
          <w:b/>
          <w:bCs/>
        </w:rPr>
      </w:pPr>
    </w:p>
    <w:p w:rsidR="00012D4C" w:rsidP="00C042B7" w14:paraId="1DCE6A62" w14:textId="77777777">
      <w:pPr>
        <w:rPr>
          <w:b/>
          <w:bCs/>
        </w:rPr>
      </w:pPr>
    </w:p>
    <w:p w:rsidR="002301F6" w:rsidP="00C042B7" w14:paraId="16B8D461" w14:textId="7026DBE2">
      <w:pPr>
        <w:rPr>
          <w:b/>
          <w:bCs/>
        </w:rPr>
      </w:pPr>
      <w:r w:rsidRPr="002301F6">
        <w:rPr>
          <w:b/>
          <w:bCs/>
        </w:rPr>
        <w:t xml:space="preserve">Effect of Proposed Changes on Currently Approved </w:t>
      </w:r>
      <w:r>
        <w:rPr>
          <w:b/>
          <w:bCs/>
        </w:rPr>
        <w:t>Instruments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14:paraId="7A4A55ED" w14:textId="77777777" w:rsidTr="002301F6">
        <w:tblPrEx>
          <w:tblW w:w="0" w:type="auto"/>
          <w:tblLook w:val="04A0"/>
        </w:tblPrEx>
        <w:tc>
          <w:tcPr>
            <w:tcW w:w="3116" w:type="dxa"/>
          </w:tcPr>
          <w:p w:rsidR="002301F6" w:rsidP="00C042B7" w14:paraId="2E5ACC1B" w14:textId="619C164A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3117" w:type="dxa"/>
          </w:tcPr>
          <w:p w:rsidR="002301F6" w:rsidP="00C042B7" w14:paraId="6C54FF19" w14:textId="59273CDA">
            <w:pPr>
              <w:rPr>
                <w:b/>
                <w:bCs/>
              </w:rPr>
            </w:pPr>
            <w:r>
              <w:rPr>
                <w:b/>
                <w:bCs/>
              </w:rPr>
              <w:t>Current Question/</w:t>
            </w:r>
            <w:r w:rsidR="00254556">
              <w:rPr>
                <w:b/>
                <w:bCs/>
              </w:rPr>
              <w:t>Content</w:t>
            </w:r>
          </w:p>
        </w:tc>
        <w:tc>
          <w:tcPr>
            <w:tcW w:w="3117" w:type="dxa"/>
          </w:tcPr>
          <w:p w:rsidR="002301F6" w:rsidP="00C042B7" w14:paraId="13CB5360" w14:textId="78FFBE6E">
            <w:pPr>
              <w:rPr>
                <w:b/>
                <w:bCs/>
              </w:rPr>
            </w:pPr>
            <w:r>
              <w:rPr>
                <w:b/>
                <w:bCs/>
              </w:rPr>
              <w:t>Request</w:t>
            </w:r>
            <w:r w:rsidR="00254556">
              <w:rPr>
                <w:b/>
                <w:bCs/>
              </w:rPr>
              <w:t>ed</w:t>
            </w:r>
            <w:r>
              <w:rPr>
                <w:b/>
                <w:bCs/>
              </w:rPr>
              <w:t xml:space="preserve"> Change</w:t>
            </w:r>
          </w:p>
        </w:tc>
      </w:tr>
      <w:tr w14:paraId="78806022" w14:textId="77777777" w:rsidTr="002301F6">
        <w:tblPrEx>
          <w:tblW w:w="0" w:type="auto"/>
          <w:tblLook w:val="04A0"/>
        </w:tblPrEx>
        <w:tc>
          <w:tcPr>
            <w:tcW w:w="3116" w:type="dxa"/>
          </w:tcPr>
          <w:p w:rsidR="002301F6" w:rsidRPr="00875FD8" w:rsidP="002301F6" w14:paraId="10CF4CF4" w14:textId="2DE60C56">
            <w:pPr>
              <w:pStyle w:val="ListParagraph"/>
              <w:numPr>
                <w:ilvl w:val="0"/>
                <w:numId w:val="1"/>
              </w:numPr>
            </w:pPr>
            <w:r w:rsidRPr="00875FD8">
              <w:t>Rough-Cut Testing Screener</w:t>
            </w:r>
          </w:p>
        </w:tc>
        <w:tc>
          <w:tcPr>
            <w:tcW w:w="3117" w:type="dxa"/>
          </w:tcPr>
          <w:p w:rsidR="002301F6" w:rsidRPr="00875FD8" w:rsidP="00C042B7" w14:paraId="7BC7D6D2" w14:textId="74B81206">
            <w:r w:rsidRPr="00875FD8">
              <w:t>All questions</w:t>
            </w:r>
          </w:p>
        </w:tc>
        <w:tc>
          <w:tcPr>
            <w:tcW w:w="3117" w:type="dxa"/>
          </w:tcPr>
          <w:p w:rsidR="002301F6" w:rsidRPr="00875FD8" w:rsidP="00C042B7" w14:paraId="3C89409B" w14:textId="018BAEE7">
            <w:r w:rsidRPr="00875FD8">
              <w:t>Spanish Translation</w:t>
            </w:r>
          </w:p>
        </w:tc>
      </w:tr>
      <w:tr w14:paraId="4BCA9A6A" w14:textId="77777777" w:rsidTr="002301F6">
        <w:tblPrEx>
          <w:tblW w:w="0" w:type="auto"/>
          <w:tblLook w:val="04A0"/>
        </w:tblPrEx>
        <w:tc>
          <w:tcPr>
            <w:tcW w:w="3116" w:type="dxa"/>
          </w:tcPr>
          <w:p w:rsidR="002301F6" w:rsidRPr="00875FD8" w:rsidP="002301F6" w14:paraId="6FF4F2C8" w14:textId="052266ED">
            <w:pPr>
              <w:pStyle w:val="ListParagraph"/>
              <w:numPr>
                <w:ilvl w:val="0"/>
                <w:numId w:val="1"/>
              </w:numPr>
            </w:pPr>
            <w:r w:rsidRPr="00875FD8">
              <w:t>Rough-Cut Testing Questionnaire</w:t>
            </w:r>
          </w:p>
        </w:tc>
        <w:tc>
          <w:tcPr>
            <w:tcW w:w="3117" w:type="dxa"/>
          </w:tcPr>
          <w:p w:rsidR="002301F6" w:rsidRPr="00875FD8" w:rsidP="00C042B7" w14:paraId="2312DB5E" w14:textId="7EBA9CCC">
            <w:r w:rsidRPr="00875FD8">
              <w:t>All questions</w:t>
            </w:r>
          </w:p>
        </w:tc>
        <w:tc>
          <w:tcPr>
            <w:tcW w:w="3117" w:type="dxa"/>
          </w:tcPr>
          <w:p w:rsidR="002301F6" w:rsidRPr="00875FD8" w:rsidP="00C042B7" w14:paraId="2576709A" w14:textId="6F45EC0E">
            <w:r w:rsidRPr="00875FD8">
              <w:t>Spanish Translation</w:t>
            </w:r>
          </w:p>
        </w:tc>
      </w:tr>
      <w:tr w14:paraId="51952331" w14:textId="77777777" w:rsidTr="002301F6">
        <w:tblPrEx>
          <w:tblW w:w="0" w:type="auto"/>
          <w:tblLook w:val="04A0"/>
        </w:tblPrEx>
        <w:tc>
          <w:tcPr>
            <w:tcW w:w="3116" w:type="dxa"/>
          </w:tcPr>
          <w:p w:rsidR="002301F6" w:rsidRPr="00875FD8" w:rsidP="002301F6" w14:paraId="36929F83" w14:textId="15F367E0">
            <w:pPr>
              <w:pStyle w:val="ListParagraph"/>
              <w:numPr>
                <w:ilvl w:val="0"/>
                <w:numId w:val="1"/>
              </w:numPr>
            </w:pPr>
            <w:r w:rsidRPr="00875FD8">
              <w:t xml:space="preserve">Email Invitation to Potential Respondents </w:t>
            </w:r>
          </w:p>
        </w:tc>
        <w:tc>
          <w:tcPr>
            <w:tcW w:w="3117" w:type="dxa"/>
          </w:tcPr>
          <w:p w:rsidR="002301F6" w:rsidRPr="00875FD8" w:rsidP="00C042B7" w14:paraId="31FE379D" w14:textId="26A5CFA9">
            <w:r w:rsidRPr="00875FD8">
              <w:t>All questions</w:t>
            </w:r>
          </w:p>
        </w:tc>
        <w:tc>
          <w:tcPr>
            <w:tcW w:w="3117" w:type="dxa"/>
          </w:tcPr>
          <w:p w:rsidR="002301F6" w:rsidRPr="00875FD8" w:rsidP="00C042B7" w14:paraId="00A83F68" w14:textId="61D1247F">
            <w:r w:rsidRPr="00875FD8">
              <w:t>Spanish Translation</w:t>
            </w:r>
          </w:p>
        </w:tc>
      </w:tr>
      <w:tr w14:paraId="21F048B7" w14:textId="77777777" w:rsidTr="002301F6">
        <w:tblPrEx>
          <w:tblW w:w="0" w:type="auto"/>
          <w:tblLook w:val="04A0"/>
        </w:tblPrEx>
        <w:tc>
          <w:tcPr>
            <w:tcW w:w="3116" w:type="dxa"/>
          </w:tcPr>
          <w:p w:rsidR="002301F6" w:rsidRPr="00875FD8" w:rsidP="002301F6" w14:paraId="6A907142" w14:textId="09875FB8">
            <w:pPr>
              <w:pStyle w:val="ListParagraph"/>
              <w:numPr>
                <w:ilvl w:val="0"/>
                <w:numId w:val="1"/>
              </w:numPr>
            </w:pPr>
            <w:r w:rsidRPr="00875FD8">
              <w:t xml:space="preserve">Felicita R. </w:t>
            </w:r>
            <w:r w:rsidR="002378DE">
              <w:t>D</w:t>
            </w:r>
            <w:r w:rsidRPr="00342ED7" w:rsidR="00EB53C0">
              <w:t>é</w:t>
            </w:r>
            <w:r w:rsidR="002378DE">
              <w:t>jelo</w:t>
            </w:r>
            <w:r w:rsidR="002378DE">
              <w:t xml:space="preserve"> Tip (Spanish) :15</w:t>
            </w:r>
          </w:p>
        </w:tc>
        <w:tc>
          <w:tcPr>
            <w:tcW w:w="3117" w:type="dxa"/>
          </w:tcPr>
          <w:p w:rsidR="002301F6" w:rsidRPr="00875FD8" w:rsidP="00C042B7" w14:paraId="4255F36D" w14:textId="2A487AD6">
            <w:r w:rsidRPr="00875FD8">
              <w:t>Television ad content</w:t>
            </w:r>
          </w:p>
        </w:tc>
        <w:tc>
          <w:tcPr>
            <w:tcW w:w="3117" w:type="dxa"/>
          </w:tcPr>
          <w:p w:rsidR="002301F6" w:rsidRPr="00875FD8" w:rsidP="00C042B7" w14:paraId="76687F80" w14:textId="28309781">
            <w:r w:rsidRPr="00875FD8">
              <w:t>Additional television ad included in testing</w:t>
            </w:r>
          </w:p>
        </w:tc>
      </w:tr>
      <w:tr w14:paraId="49862E05" w14:textId="77777777" w:rsidTr="002301F6">
        <w:tblPrEx>
          <w:tblW w:w="0" w:type="auto"/>
          <w:tblLook w:val="04A0"/>
        </w:tblPrEx>
        <w:tc>
          <w:tcPr>
            <w:tcW w:w="3116" w:type="dxa"/>
          </w:tcPr>
          <w:p w:rsidR="00EE7358" w:rsidRPr="00875FD8" w:rsidP="002301F6" w14:paraId="3996C18A" w14:textId="5E4685BD">
            <w:pPr>
              <w:pStyle w:val="ListParagraph"/>
              <w:numPr>
                <w:ilvl w:val="0"/>
                <w:numId w:val="1"/>
              </w:numPr>
            </w:pPr>
            <w:r w:rsidRPr="00875FD8">
              <w:t xml:space="preserve">Rose H. Memorial :30 </w:t>
            </w:r>
          </w:p>
        </w:tc>
        <w:tc>
          <w:tcPr>
            <w:tcW w:w="3117" w:type="dxa"/>
          </w:tcPr>
          <w:p w:rsidR="00EE7358" w:rsidRPr="00875FD8" w:rsidP="00C042B7" w14:paraId="678BA8A4" w14:textId="116E8D47">
            <w:r w:rsidRPr="00875FD8">
              <w:t>Television ad content</w:t>
            </w:r>
          </w:p>
        </w:tc>
        <w:tc>
          <w:tcPr>
            <w:tcW w:w="3117" w:type="dxa"/>
          </w:tcPr>
          <w:p w:rsidR="00EE7358" w:rsidRPr="00875FD8" w:rsidP="00C042B7" w14:paraId="73D18FCA" w14:textId="4746298D">
            <w:r w:rsidRPr="00875FD8">
              <w:t>Additional television ad included in testing</w:t>
            </w:r>
          </w:p>
        </w:tc>
      </w:tr>
      <w:tr w14:paraId="3CF33DBC" w14:textId="77777777" w:rsidTr="002301F6">
        <w:tblPrEx>
          <w:tblW w:w="0" w:type="auto"/>
          <w:tblLook w:val="04A0"/>
        </w:tblPrEx>
        <w:tc>
          <w:tcPr>
            <w:tcW w:w="3116" w:type="dxa"/>
          </w:tcPr>
          <w:p w:rsidR="00EE7358" w:rsidRPr="00875FD8" w:rsidP="00EE7358" w14:paraId="756EDC88" w14:textId="12AABE99">
            <w:pPr>
              <w:pStyle w:val="ListParagraph"/>
              <w:numPr>
                <w:ilvl w:val="0"/>
                <w:numId w:val="1"/>
              </w:numPr>
            </w:pPr>
            <w:r w:rsidRPr="00875FD8">
              <w:t>Brett P. and Felicita R.</w:t>
            </w:r>
            <w:r w:rsidRPr="00875FD8" w:rsidR="00875FD8">
              <w:t>’s Tip Dual Language</w:t>
            </w:r>
            <w:r w:rsidRPr="00875FD8">
              <w:t xml:space="preserve"> </w:t>
            </w:r>
            <w:r w:rsidRPr="00875FD8" w:rsidR="00875FD8">
              <w:t>:30</w:t>
            </w:r>
          </w:p>
        </w:tc>
        <w:tc>
          <w:tcPr>
            <w:tcW w:w="3117" w:type="dxa"/>
          </w:tcPr>
          <w:p w:rsidR="00EE7358" w:rsidRPr="00875FD8" w:rsidP="00EE7358" w14:paraId="390F54CD" w14:textId="3FBE885E">
            <w:r w:rsidRPr="00875FD8">
              <w:t>Television ad content</w:t>
            </w:r>
          </w:p>
        </w:tc>
        <w:tc>
          <w:tcPr>
            <w:tcW w:w="3117" w:type="dxa"/>
          </w:tcPr>
          <w:p w:rsidR="00EE7358" w:rsidRPr="00875FD8" w:rsidP="00EE7358" w14:paraId="1C351F02" w14:textId="1B8B3212">
            <w:r w:rsidRPr="00875FD8">
              <w:t>Additional television ad included in testing</w:t>
            </w:r>
          </w:p>
        </w:tc>
      </w:tr>
    </w:tbl>
    <w:p w:rsidR="002301F6" w:rsidP="00C042B7" w14:paraId="1C0B4AAD" w14:textId="77777777">
      <w:pPr>
        <w:rPr>
          <w:b/>
          <w:bCs/>
        </w:rPr>
      </w:pPr>
    </w:p>
    <w:p w:rsidR="002301F6" w:rsidP="00C042B7" w14:paraId="00BAF69B" w14:textId="537DCC16">
      <w:pPr>
        <w:rPr>
          <w:b/>
          <w:bCs/>
        </w:rPr>
      </w:pPr>
      <w:r>
        <w:rPr>
          <w:b/>
          <w:bCs/>
        </w:rPr>
        <w:t>Effect on Burden Estimate</w:t>
      </w:r>
    </w:p>
    <w:p w:rsidR="002301F6" w:rsidP="002301F6" w14:paraId="78D50CD6" w14:textId="39047EDF">
      <w:r>
        <w:t xml:space="preserve">We are requesting </w:t>
      </w:r>
      <w:r w:rsidR="00875FD8">
        <w:t xml:space="preserve">OMB approval </w:t>
      </w:r>
      <w:r>
        <w:t xml:space="preserve">to </w:t>
      </w:r>
      <w:r w:rsidR="00875FD8">
        <w:t>test two Spanish television</w:t>
      </w:r>
      <w:r>
        <w:t xml:space="preserve"> </w:t>
      </w:r>
      <w:r w:rsidR="00875FD8">
        <w:t>ads and one dual language television ad</w:t>
      </w:r>
      <w:r>
        <w:t>. The burden for this activity is captured within the burden estimates included in the original submission. We are not requesting any additional burden</w:t>
      </w:r>
      <w:r w:rsidR="00254556">
        <w:t>, therefor the burden will remain unchanged</w:t>
      </w:r>
      <w:r>
        <w:t xml:space="preserve">. </w:t>
      </w:r>
      <w:r w:rsidR="00DD397C">
        <w:t>For reference, the approved burden is included below in the table.</w:t>
      </w:r>
    </w:p>
    <w:tbl>
      <w:tblPr>
        <w:tblStyle w:val="TableGrid"/>
        <w:tblW w:w="0" w:type="auto"/>
        <w:tblLook w:val="04A0"/>
      </w:tblPr>
      <w:tblGrid>
        <w:gridCol w:w="4675"/>
        <w:gridCol w:w="4422"/>
      </w:tblGrid>
      <w:tr w14:paraId="3F48EB5F" w14:textId="6FBF5EBD" w:rsidTr="00E8462D">
        <w:tblPrEx>
          <w:tblW w:w="0" w:type="auto"/>
          <w:tblLook w:val="04A0"/>
        </w:tblPrEx>
        <w:trPr>
          <w:trHeight w:val="305"/>
        </w:trPr>
        <w:tc>
          <w:tcPr>
            <w:tcW w:w="4675" w:type="dxa"/>
          </w:tcPr>
          <w:p w:rsidR="00E8462D" w:rsidRPr="002301F6" w:rsidP="002301F6" w14:paraId="50A528EE" w14:textId="115C0F14">
            <w:pPr>
              <w:rPr>
                <w:b/>
                <w:bCs/>
              </w:rPr>
            </w:pPr>
            <w:r w:rsidRPr="002301F6">
              <w:rPr>
                <w:b/>
                <w:bCs/>
              </w:rPr>
              <w:t>Form</w:t>
            </w:r>
          </w:p>
        </w:tc>
        <w:tc>
          <w:tcPr>
            <w:tcW w:w="4422" w:type="dxa"/>
          </w:tcPr>
          <w:p w:rsidR="00E8462D" w:rsidRPr="002301F6" w:rsidP="002301F6" w14:paraId="6B201C08" w14:textId="397EC658">
            <w:pPr>
              <w:rPr>
                <w:b/>
                <w:bCs/>
              </w:rPr>
            </w:pPr>
            <w:r w:rsidRPr="002301F6">
              <w:rPr>
                <w:b/>
                <w:bCs/>
              </w:rPr>
              <w:t>Approved Burden</w:t>
            </w:r>
          </w:p>
        </w:tc>
      </w:tr>
      <w:tr w14:paraId="62FC4C12" w14:textId="5D9C1D66" w:rsidTr="00E8462D">
        <w:tblPrEx>
          <w:tblW w:w="0" w:type="auto"/>
          <w:tblLook w:val="04A0"/>
        </w:tblPrEx>
        <w:trPr>
          <w:trHeight w:val="594"/>
        </w:trPr>
        <w:tc>
          <w:tcPr>
            <w:tcW w:w="4675" w:type="dxa"/>
          </w:tcPr>
          <w:p w:rsidR="00E8462D" w:rsidP="002301F6" w14:paraId="6B7A6BAF" w14:textId="6BC9C8E1">
            <w:r>
              <w:t>Online Recruitment Screener (Attachment 2)</w:t>
            </w:r>
          </w:p>
        </w:tc>
        <w:tc>
          <w:tcPr>
            <w:tcW w:w="4422" w:type="dxa"/>
          </w:tcPr>
          <w:p w:rsidR="00E8462D" w:rsidP="002301F6" w14:paraId="5282000D" w14:textId="2FAC9DC5">
            <w:r>
              <w:t>2,213 hours</w:t>
            </w:r>
          </w:p>
        </w:tc>
      </w:tr>
      <w:tr w14:paraId="01B2B3B2" w14:textId="77B16AD9" w:rsidTr="00E8462D">
        <w:tblPrEx>
          <w:tblW w:w="0" w:type="auto"/>
          <w:tblLook w:val="04A0"/>
        </w:tblPrEx>
        <w:trPr>
          <w:trHeight w:val="1206"/>
        </w:trPr>
        <w:tc>
          <w:tcPr>
            <w:tcW w:w="4675" w:type="dxa"/>
          </w:tcPr>
          <w:p w:rsidR="00E8462D" w:rsidP="002301F6" w14:paraId="03FF3678" w14:textId="01899747">
            <w:r>
              <w:t>Online Questionnaire (Attachment 3)</w:t>
            </w:r>
          </w:p>
        </w:tc>
        <w:tc>
          <w:tcPr>
            <w:tcW w:w="4422" w:type="dxa"/>
          </w:tcPr>
          <w:p w:rsidR="00E8462D" w:rsidP="002301F6" w14:paraId="70D94A98" w14:textId="57F37B53">
            <w:r>
              <w:t>11,440 hours for complete surveys + 191 hours for incomplete surveys</w:t>
            </w:r>
          </w:p>
        </w:tc>
      </w:tr>
      <w:tr w14:paraId="4E6AB992" w14:textId="39905C87" w:rsidTr="00E8462D">
        <w:tblPrEx>
          <w:tblW w:w="0" w:type="auto"/>
          <w:tblLook w:val="04A0"/>
        </w:tblPrEx>
        <w:trPr>
          <w:trHeight w:val="375"/>
        </w:trPr>
        <w:tc>
          <w:tcPr>
            <w:tcW w:w="4675" w:type="dxa"/>
          </w:tcPr>
          <w:p w:rsidR="00E8462D" w:rsidRPr="002301F6" w:rsidP="002301F6" w14:paraId="3FA45622" w14:textId="28BBC1CC">
            <w:pPr>
              <w:rPr>
                <w:b/>
                <w:bCs/>
              </w:rPr>
            </w:pPr>
            <w:r w:rsidRPr="002301F6">
              <w:rPr>
                <w:b/>
                <w:bCs/>
              </w:rPr>
              <w:t>Total</w:t>
            </w:r>
          </w:p>
        </w:tc>
        <w:tc>
          <w:tcPr>
            <w:tcW w:w="4422" w:type="dxa"/>
          </w:tcPr>
          <w:p w:rsidR="00E8462D" w:rsidP="002301F6" w14:paraId="1E891F1D" w14:textId="1FBDF478">
            <w:r>
              <w:t>13,844 hours</w:t>
            </w:r>
          </w:p>
        </w:tc>
      </w:tr>
    </w:tbl>
    <w:p w:rsidR="002301F6" w:rsidP="002301F6" w14:paraId="5BB6B92F" w14:textId="4FD9FD3E"/>
    <w:p w:rsidR="002301F6" w:rsidRPr="002301F6" w:rsidP="002301F6" w14:paraId="4CE9B226" w14:textId="77777777">
      <w:pPr>
        <w:rPr>
          <w:b/>
          <w:bCs/>
        </w:rPr>
      </w:pPr>
    </w:p>
    <w:sectPr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741018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01F6" w14:paraId="16DA4D3D" w14:textId="6F569F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01F6" w14:paraId="4CCF39E9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A717969"/>
    <w:multiLevelType w:val="hybridMultilevel"/>
    <w:tmpl w:val="F654A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63ED4"/>
    <w:multiLevelType w:val="hybridMultilevel"/>
    <w:tmpl w:val="FA24C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21327">
    <w:abstractNumId w:val="1"/>
  </w:num>
  <w:num w:numId="2" w16cid:durableId="188817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B7"/>
    <w:rsid w:val="00012D4C"/>
    <w:rsid w:val="00017A13"/>
    <w:rsid w:val="000B60DE"/>
    <w:rsid w:val="001041A9"/>
    <w:rsid w:val="001E59CD"/>
    <w:rsid w:val="002056B4"/>
    <w:rsid w:val="0020712B"/>
    <w:rsid w:val="002301F6"/>
    <w:rsid w:val="002378DE"/>
    <w:rsid w:val="002419E2"/>
    <w:rsid w:val="00254556"/>
    <w:rsid w:val="002629F9"/>
    <w:rsid w:val="00342ED7"/>
    <w:rsid w:val="0037203A"/>
    <w:rsid w:val="00454F3F"/>
    <w:rsid w:val="004D38C5"/>
    <w:rsid w:val="00531F96"/>
    <w:rsid w:val="005649CF"/>
    <w:rsid w:val="00581315"/>
    <w:rsid w:val="0061112F"/>
    <w:rsid w:val="006F360F"/>
    <w:rsid w:val="007279DE"/>
    <w:rsid w:val="007343A3"/>
    <w:rsid w:val="00761E6B"/>
    <w:rsid w:val="0077163F"/>
    <w:rsid w:val="007938AD"/>
    <w:rsid w:val="00875FD8"/>
    <w:rsid w:val="008829F3"/>
    <w:rsid w:val="008A0D65"/>
    <w:rsid w:val="008A7705"/>
    <w:rsid w:val="008E5F16"/>
    <w:rsid w:val="00910989"/>
    <w:rsid w:val="00925FCA"/>
    <w:rsid w:val="00936877"/>
    <w:rsid w:val="009F5739"/>
    <w:rsid w:val="00A003E0"/>
    <w:rsid w:val="00A15932"/>
    <w:rsid w:val="00A20AE2"/>
    <w:rsid w:val="00A81C2D"/>
    <w:rsid w:val="00B91F8B"/>
    <w:rsid w:val="00B946C6"/>
    <w:rsid w:val="00BD01CC"/>
    <w:rsid w:val="00C042B7"/>
    <w:rsid w:val="00CB2B52"/>
    <w:rsid w:val="00CD28EB"/>
    <w:rsid w:val="00CF77E9"/>
    <w:rsid w:val="00D34163"/>
    <w:rsid w:val="00D34633"/>
    <w:rsid w:val="00D71EC5"/>
    <w:rsid w:val="00DD397C"/>
    <w:rsid w:val="00E36A7F"/>
    <w:rsid w:val="00E8462D"/>
    <w:rsid w:val="00EB53C0"/>
    <w:rsid w:val="00ED14D8"/>
    <w:rsid w:val="00ED1B7B"/>
    <w:rsid w:val="00EE348B"/>
    <w:rsid w:val="00EE7358"/>
    <w:rsid w:val="00F05F2C"/>
    <w:rsid w:val="00F41C92"/>
    <w:rsid w:val="00F95B9D"/>
    <w:rsid w:val="00FA3F7A"/>
    <w:rsid w:val="00FD4B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B3AD10"/>
  <w15:chartTrackingRefBased/>
  <w15:docId w15:val="{EBA9C8D2-4E5D-4DF3-8680-D18566EA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1F6"/>
    <w:pPr>
      <w:ind w:left="720"/>
      <w:contextualSpacing/>
    </w:pPr>
  </w:style>
  <w:style w:type="paragraph" w:customStyle="1" w:styleId="Default">
    <w:name w:val="Default"/>
    <w:rsid w:val="002301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0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1F6"/>
  </w:style>
  <w:style w:type="paragraph" w:styleId="Footer">
    <w:name w:val="footer"/>
    <w:basedOn w:val="Normal"/>
    <w:link w:val="FooterChar"/>
    <w:uiPriority w:val="99"/>
    <w:unhideWhenUsed/>
    <w:rsid w:val="00230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1F6"/>
  </w:style>
  <w:style w:type="character" w:styleId="Hyperlink">
    <w:name w:val="Hyperlink"/>
    <w:basedOn w:val="DefaultParagraphFont"/>
    <w:uiPriority w:val="99"/>
    <w:semiHidden/>
    <w:unhideWhenUsed/>
    <w:rsid w:val="00A81C2D"/>
    <w:rPr>
      <w:color w:val="0563C1"/>
      <w:u w:val="single"/>
    </w:rPr>
  </w:style>
  <w:style w:type="character" w:customStyle="1" w:styleId="ui-provider">
    <w:name w:val="ui-provider"/>
    <w:basedOn w:val="DefaultParagraphFont"/>
    <w:rsid w:val="00A81C2D"/>
  </w:style>
  <w:style w:type="character" w:styleId="FollowedHyperlink">
    <w:name w:val="FollowedHyperlink"/>
    <w:basedOn w:val="DefaultParagraphFont"/>
    <w:uiPriority w:val="99"/>
    <w:semiHidden/>
    <w:unhideWhenUsed/>
    <w:rsid w:val="00EE735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109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1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16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16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6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ion.box.com/s/mo6uqdy41y61z8scwcu3y1jqgfardlkt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O'Hegarty, Michelle (CDC/NCCDPHP/OSH)</dc:creator>
  <cp:lastModifiedBy>Courtney-Long, Elizabeth A. (CDC/NCCDPHP/OSH)</cp:lastModifiedBy>
  <cp:revision>2</cp:revision>
  <dcterms:created xsi:type="dcterms:W3CDTF">2024-08-15T18:19:00Z</dcterms:created>
  <dcterms:modified xsi:type="dcterms:W3CDTF">2024-08-15T18:19:00Z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7d16da16-73c5-4cc6-86b9-9ea572a0ead9</vt:lpwstr>
  </property>
  <property fmtid="{D5CDD505-2E9C-101B-9397-08002B2CF9AE}" pid="3" name="MSIP_Label_8af03ff0-41c5-4c41-b55e-fabb8fae94be_ActionId">
    <vt:lpwstr>6e60985c-5943-4e49-bc84-7a429daa5526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2024-05-20T14:54:49Z</vt:lpwstr>
  </property>
  <property fmtid="{D5CDD505-2E9C-101B-9397-08002B2CF9AE}" pid="9" name="MSIP_Label_8af03ff0-41c5-4c41-b55e-fabb8fae94be_SiteId">
    <vt:lpwstr>9ce70869-60db-44fd-abe8-d2767077fc8f</vt:lpwstr>
  </property>
</Properties>
</file>