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0B058289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E83C9E">
        <w:rPr>
          <w:b/>
          <w:bCs/>
        </w:rPr>
        <w:t>0920-0607</w:t>
      </w:r>
    </w:p>
    <w:p w:rsidR="008E6BC9" w:rsidRPr="008E6BC9" w:rsidP="00C43311" w14:paraId="1ACB935B" w14:textId="425B13F8">
      <w:pPr>
        <w:pStyle w:val="Default"/>
        <w:jc w:val="center"/>
      </w:pPr>
      <w:r>
        <w:rPr>
          <w:b/>
          <w:bCs/>
        </w:rPr>
        <w:t>State Unintentional Drug Overdose Reporting System (SUDORS)</w:t>
      </w:r>
    </w:p>
    <w:p w:rsidR="008E6BC9" w:rsidRPr="008E6BC9" w:rsidP="00C43311" w14:paraId="0EE0D2AB" w14:textId="5C8DE7BC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E83C9E">
        <w:rPr>
          <w:b/>
          <w:bCs/>
        </w:rPr>
        <w:t>03/04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2A6D711E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231E4A">
        <w:t>CDC/</w:t>
      </w:r>
      <w:r w:rsidRPr="00231E4A" w:rsidR="00E83C9E">
        <w:t>NCIPC</w:t>
      </w:r>
      <w:r w:rsidR="00231E4A">
        <w:t xml:space="preserve"> </w:t>
      </w:r>
      <w:r w:rsidRPr="008E6BC9">
        <w:t xml:space="preserve">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6FF3FD0D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E83C9E">
        <w:t>the State Unintentional Drug Overdose Reporting System (SUDORS)</w:t>
      </w:r>
      <w:r w:rsidRPr="008E6BC9">
        <w:t xml:space="preserve"> 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7E3FC6B7">
      <w:pPr>
        <w:pStyle w:val="Default"/>
      </w:pPr>
      <w:r>
        <w:t>x</w:t>
      </w:r>
      <w:r w:rsidRPr="008E6BC9">
        <w:t xml:space="preserve"> Revision of an existing question(s) </w:t>
      </w:r>
    </w:p>
    <w:p w:rsidR="002C01B4" w:rsidP="008E6BC9" w14:paraId="0FA7A6D1" w14:textId="6FB7695E">
      <w:pPr>
        <w:pStyle w:val="Default"/>
      </w:pPr>
      <w:r>
        <w:t>x</w:t>
      </w:r>
      <w:r w:rsidRPr="008E6BC9" w:rsidR="008E6BC9">
        <w:t xml:space="preserve">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7F5272B3">
      <w:pPr>
        <w:pStyle w:val="Default"/>
      </w:pPr>
      <w:r>
        <w:t xml:space="preserve">CDC will be changing the current </w:t>
      </w:r>
      <w:r w:rsidR="00F44BA7">
        <w:t>Gender/Sex question to:</w:t>
      </w:r>
      <w:r>
        <w:t xml:space="preserve"> </w:t>
      </w:r>
    </w:p>
    <w:p w:rsidR="006C09AE" w:rsidP="00926942" w14:paraId="70622F39" w14:textId="77777777">
      <w:pPr>
        <w:pStyle w:val="Default"/>
      </w:pPr>
    </w:p>
    <w:p w:rsidR="00926942" w:rsidRPr="00231E4A" w:rsidP="00926942" w14:paraId="7025AEBD" w14:textId="5E8D5E29">
      <w:pPr>
        <w:pStyle w:val="Default"/>
        <w:rPr>
          <w:b/>
          <w:bCs/>
        </w:rPr>
      </w:pPr>
      <w:r w:rsidRPr="00231E4A">
        <w:rPr>
          <w:b/>
          <w:bCs/>
        </w:rPr>
        <w:t>What is your Sex?</w:t>
      </w:r>
    </w:p>
    <w:p w:rsidR="00926942" w:rsidRPr="00231E4A" w:rsidP="00926942" w14:paraId="70AD729B" w14:textId="77777777">
      <w:pPr>
        <w:pStyle w:val="Default"/>
        <w:rPr>
          <w:b/>
          <w:bCs/>
        </w:rPr>
      </w:pPr>
      <w:r w:rsidRPr="00231E4A">
        <w:rPr>
          <w:b/>
          <w:bCs/>
        </w:rPr>
        <w:t>-             Male</w:t>
      </w:r>
    </w:p>
    <w:p w:rsidR="00926942" w:rsidRPr="00231E4A" w:rsidP="00926942" w14:paraId="49129E84" w14:textId="77777777">
      <w:pPr>
        <w:pStyle w:val="Default"/>
        <w:rPr>
          <w:b/>
          <w:bCs/>
        </w:rPr>
      </w:pPr>
      <w:r w:rsidRPr="00231E4A">
        <w:rPr>
          <w:b/>
          <w:bCs/>
        </w:rPr>
        <w:t>-             Female</w:t>
      </w:r>
    </w:p>
    <w:p w:rsidR="00926942" w:rsidRPr="00231E4A" w:rsidP="00926942" w14:paraId="6A5811AE" w14:textId="0BF4D26F">
      <w:pPr>
        <w:pStyle w:val="Default"/>
        <w:rPr>
          <w:b/>
          <w:bCs/>
        </w:rPr>
      </w:pPr>
      <w:r w:rsidRPr="00231E4A">
        <w:rPr>
          <w:b/>
          <w:bCs/>
        </w:rPr>
        <w:t xml:space="preserve">-             </w:t>
      </w:r>
      <w:r w:rsidRPr="00231E4A" w:rsidR="00231E4A">
        <w:rPr>
          <w:b/>
          <w:bCs/>
        </w:rPr>
        <w:t>Unknown</w:t>
      </w:r>
    </w:p>
    <w:p w:rsidR="004D1796" w:rsidRPr="00231E4A" w:rsidP="00926942" w14:paraId="1ED662D3" w14:textId="4FAB3759">
      <w:pPr>
        <w:pStyle w:val="Default"/>
        <w:rPr>
          <w:b/>
          <w:bCs/>
        </w:rPr>
      </w:pPr>
      <w:r w:rsidRPr="00231E4A">
        <w:rPr>
          <w:b/>
          <w:bCs/>
        </w:rPr>
        <w:t>-             Missing Value [Null]</w:t>
      </w:r>
    </w:p>
    <w:p w:rsidR="004D1796" w:rsidP="008E6BC9" w14:paraId="2D4BAE63" w14:textId="77777777">
      <w:pPr>
        <w:pStyle w:val="Default"/>
      </w:pPr>
    </w:p>
    <w:p w:rsidR="00F30F93" w:rsidP="008E6BC9" w14:paraId="468289A5" w14:textId="77777777">
      <w:pPr>
        <w:pStyle w:val="Default"/>
      </w:pPr>
    </w:p>
    <w:p w:rsidR="00E83C9E" w:rsidP="008E6BC9" w14:paraId="7AE38DFD" w14:textId="1ECDD4F3">
      <w:pPr>
        <w:pStyle w:val="Default"/>
      </w:pPr>
      <w:r>
        <w:t>CDC will be</w:t>
      </w:r>
      <w:r w:rsidR="00445D96">
        <w:t xml:space="preserve"> removing </w:t>
      </w:r>
      <w:r>
        <w:t>the c</w:t>
      </w:r>
      <w:r>
        <w:t>heckbox to indicate that a person who died of drug overdose identified as transgender:</w:t>
      </w:r>
    </w:p>
    <w:p w:rsidR="00F30F93" w:rsidP="008E6BC9" w14:paraId="198E0258" w14:textId="77777777">
      <w:pPr>
        <w:pStyle w:val="Default"/>
      </w:pPr>
    </w:p>
    <w:p w:rsidR="00E83C9E" w:rsidP="00E83C9E" w14:paraId="618D78EE" w14:textId="5B56B5C3">
      <w:pPr>
        <w:pStyle w:val="Default"/>
        <w:ind w:firstLine="720"/>
      </w:pPr>
      <w:r w:rsidRPr="008E6BC9">
        <w:t></w:t>
      </w:r>
      <w:r>
        <w:t>Transgender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117DF1" w:rsidP="008E6BC9" w14:paraId="2BB780B9" w14:textId="77777777">
      <w:pPr>
        <w:pStyle w:val="Default"/>
      </w:pPr>
    </w:p>
    <w:p w:rsidR="00117DF1" w:rsidP="008E6BC9" w14:paraId="4751D1A6" w14:textId="77777777">
      <w:pPr>
        <w:pStyle w:val="Default"/>
      </w:pPr>
    </w:p>
    <w:p w:rsidR="00117DF1" w:rsidP="008E6BC9" w14:paraId="6734E4E1" w14:textId="77777777">
      <w:pPr>
        <w:pStyle w:val="Default"/>
      </w:pPr>
    </w:p>
    <w:p w:rsidR="00117DF1" w:rsidP="008E6BC9" w14:paraId="172C3C65" w14:textId="77777777">
      <w:pPr>
        <w:pStyle w:val="Default"/>
      </w:pPr>
    </w:p>
    <w:p w:rsidR="00117DF1" w:rsidP="008E6BC9" w14:paraId="35EF46CB" w14:textId="77777777">
      <w:pPr>
        <w:pStyle w:val="Default"/>
      </w:pPr>
    </w:p>
    <w:p w:rsidR="00117DF1" w:rsidP="008E6BC9" w14:paraId="1B9A81B9" w14:textId="77777777">
      <w:pPr>
        <w:pStyle w:val="Default"/>
      </w:pPr>
    </w:p>
    <w:p w:rsidR="00117DF1" w:rsidP="008E6BC9" w14:paraId="79362488" w14:textId="77777777">
      <w:pPr>
        <w:pStyle w:val="Default"/>
      </w:pPr>
    </w:p>
    <w:p w:rsidR="00117DF1" w:rsidP="008E6BC9" w14:paraId="68E948A0" w14:textId="77777777">
      <w:pPr>
        <w:pStyle w:val="Default"/>
      </w:pPr>
    </w:p>
    <w:p w:rsidR="00117DF1" w:rsidP="008E6BC9" w14:paraId="44BC7049" w14:textId="77777777">
      <w:pPr>
        <w:pStyle w:val="Default"/>
      </w:pPr>
    </w:p>
    <w:p w:rsidR="00117DF1" w:rsidP="008E6BC9" w14:paraId="1FA16124" w14:textId="77777777">
      <w:pPr>
        <w:pStyle w:val="Default"/>
      </w:pPr>
    </w:p>
    <w:p w:rsidR="00117DF1" w:rsidP="008E6BC9" w14:paraId="7D42EFF7" w14:textId="77777777">
      <w:pPr>
        <w:pStyle w:val="Default"/>
      </w:pPr>
    </w:p>
    <w:p w:rsidR="00117DF1" w:rsidP="008E6BC9" w14:paraId="7D0249AD" w14:textId="77777777">
      <w:pPr>
        <w:pStyle w:val="Default"/>
      </w:pPr>
    </w:p>
    <w:p w:rsidR="00117DF1" w:rsidP="008E6BC9" w14:paraId="0ADAE806" w14:textId="77777777">
      <w:pPr>
        <w:pStyle w:val="Default"/>
      </w:pPr>
    </w:p>
    <w:p w:rsidR="00117DF1" w:rsidP="008E6BC9" w14:paraId="31E8B9B1" w14:textId="77777777">
      <w:pPr>
        <w:pStyle w:val="Default"/>
      </w:pPr>
    </w:p>
    <w:p w:rsidR="00117DF1" w:rsidP="008E6BC9" w14:paraId="566A4935" w14:textId="77777777">
      <w:pPr>
        <w:pStyle w:val="Default"/>
      </w:pPr>
    </w:p>
    <w:p w:rsidR="00117DF1" w:rsidP="008E6BC9" w14:paraId="52E9F9EE" w14:textId="77777777">
      <w:pPr>
        <w:pStyle w:val="Default"/>
      </w:pPr>
    </w:p>
    <w:p w:rsidR="00117DF1" w:rsidP="008E6BC9" w14:paraId="4CFF2EF6" w14:textId="77777777">
      <w:pPr>
        <w:pStyle w:val="Default"/>
      </w:pPr>
    </w:p>
    <w:p w:rsidR="00117DF1" w:rsidP="008E6BC9" w14:paraId="6471C304" w14:textId="3788C1E9">
      <w:pPr>
        <w:pStyle w:val="Default"/>
      </w:pPr>
      <w:r>
        <w:t xml:space="preserve">Before deletion of question: </w:t>
      </w:r>
    </w:p>
    <w:p w:rsidR="002F2F36" w:rsidP="008E6BC9" w14:paraId="560181F0" w14:textId="089C5C50">
      <w:pPr>
        <w:pStyle w:val="Default"/>
      </w:pPr>
      <w:r w:rsidRPr="002F2F36">
        <w:rPr>
          <w:noProof/>
        </w:rPr>
        <w:drawing>
          <wp:inline distT="0" distB="0" distL="0" distR="0">
            <wp:extent cx="5943600" cy="3075940"/>
            <wp:effectExtent l="0" t="0" r="0" b="0"/>
            <wp:docPr id="5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2D02E9B-A7F6-CD97-8FE7-71831BB03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C2D02E9B-A7F6-CD97-8FE7-71831BB03C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03" w:rsidP="008E6BC9" w14:paraId="2A339CB5" w14:textId="77777777">
      <w:pPr>
        <w:pStyle w:val="Default"/>
      </w:pPr>
    </w:p>
    <w:p w:rsidR="002F2F36" w:rsidP="008E6BC9" w14:paraId="26D6D43A" w14:textId="5113F8D5">
      <w:pPr>
        <w:pStyle w:val="Default"/>
      </w:pPr>
      <w:r>
        <w:t>After deletion of question</w:t>
      </w:r>
      <w:r w:rsidR="00A53D03">
        <w:t>, with updated response options for revision of question</w:t>
      </w:r>
      <w:r>
        <w:t>:</w:t>
      </w:r>
    </w:p>
    <w:p w:rsidR="00A53D03" w:rsidP="008E6BC9" w14:paraId="6164A18E" w14:textId="59518CC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2958860</wp:posOffset>
                </wp:positionH>
                <wp:positionV relativeFrom="paragraph">
                  <wp:posOffset>590718</wp:posOffset>
                </wp:positionV>
                <wp:extent cx="1061049" cy="940279"/>
                <wp:effectExtent l="0" t="0" r="63500" b="50800"/>
                <wp:wrapNone/>
                <wp:docPr id="20364044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61049" cy="940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style="width:83.55pt;height:74.05pt;margin-top:46.5pt;margin-left:233pt;mso-height-percent:0;mso-height-relative:margin;mso-width-percent:0;mso-width-relative:margin;mso-wrap-distance-bottom:0;mso-wrap-distance-left:9pt;mso-wrap-distance-right:9pt;mso-wrap-distance-top:0;mso-wrap-style:square;position:absolute;visibility:visible;z-index:251660288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3286340</wp:posOffset>
                </wp:positionH>
                <wp:positionV relativeFrom="paragraph">
                  <wp:posOffset>1548166</wp:posOffset>
                </wp:positionV>
                <wp:extent cx="1604514" cy="276045"/>
                <wp:effectExtent l="0" t="0" r="15240" b="10160"/>
                <wp:wrapNone/>
                <wp:docPr id="18174179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4514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2E8" w:rsidRPr="004442E8" w14:textId="24D8DE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42E8">
                              <w:rPr>
                                <w:b/>
                                <w:bCs/>
                              </w:rPr>
                              <w:t>Sex drop-down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26.35pt;height:21.75pt;margin-top:121.9pt;margin-left:25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fillcolor="white" strokeweight="0.5pt">
                <v:textbox>
                  <w:txbxContent>
                    <w:p w:rsidR="004442E8" w:rsidRPr="004442E8" w14:paraId="18222A9E" w14:textId="24D8DE20">
                      <w:pPr>
                        <w:rPr>
                          <w:b/>
                          <w:bCs/>
                        </w:rPr>
                      </w:pPr>
                      <w:r w:rsidRPr="004442E8">
                        <w:rPr>
                          <w:b/>
                          <w:bCs/>
                        </w:rPr>
                        <w:t>Sex drop-down menu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3260784</wp:posOffset>
            </wp:positionH>
            <wp:positionV relativeFrom="paragraph">
              <wp:posOffset>1740966</wp:posOffset>
            </wp:positionV>
            <wp:extent cx="1876593" cy="1002030"/>
            <wp:effectExtent l="19050" t="19050" r="28575" b="26670"/>
            <wp:wrapNone/>
            <wp:docPr id="78571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1424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593" cy="1002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D03">
        <w:rPr>
          <w:noProof/>
        </w:rPr>
        <w:drawing>
          <wp:inline distT="0" distB="0" distL="0" distR="0">
            <wp:extent cx="5943600" cy="2594411"/>
            <wp:effectExtent l="0" t="0" r="0" b="0"/>
            <wp:docPr id="205440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013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F36" w:rsidP="008E6BC9" w14:paraId="2F347BC7" w14:textId="77777777">
      <w:pPr>
        <w:pStyle w:val="Default"/>
      </w:pPr>
    </w:p>
    <w:p w:rsidR="002F2F36" w:rsidP="008E6BC9" w14:paraId="621B44A9" w14:textId="77777777">
      <w:pPr>
        <w:pStyle w:val="Default"/>
      </w:pPr>
    </w:p>
    <w:p w:rsidR="0027059A" w:rsidP="008E6BC9" w14:paraId="53460299" w14:textId="7835DCA3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117DF1" w:rsidP="008E6BC9" w14:paraId="1F8E44D4" w14:textId="77777777">
      <w:pPr>
        <w:pStyle w:val="Default"/>
        <w:rPr>
          <w:b/>
          <w:bCs/>
        </w:rPr>
      </w:pPr>
    </w:p>
    <w:p w:rsidR="00117DF1" w:rsidP="008E6BC9" w14:paraId="21CD4F1E" w14:textId="77777777">
      <w:pPr>
        <w:pStyle w:val="Default"/>
        <w:rPr>
          <w:b/>
          <w:bCs/>
        </w:rPr>
      </w:pPr>
    </w:p>
    <w:p w:rsidR="00117DF1" w:rsidP="008E6BC9" w14:paraId="0D0FDCC2" w14:textId="77777777">
      <w:pPr>
        <w:pStyle w:val="Default"/>
        <w:rPr>
          <w:b/>
          <w:bCs/>
        </w:rPr>
      </w:pPr>
    </w:p>
    <w:p w:rsidR="00117DF1" w:rsidP="008E6BC9" w14:paraId="45AA0443" w14:textId="77777777">
      <w:pPr>
        <w:pStyle w:val="Default"/>
        <w:rPr>
          <w:b/>
          <w:bCs/>
        </w:rPr>
      </w:pPr>
    </w:p>
    <w:p w:rsidR="00117DF1" w:rsidP="008E6BC9" w14:paraId="0DEC9485" w14:textId="77777777">
      <w:pPr>
        <w:pStyle w:val="Default"/>
        <w:rPr>
          <w:b/>
          <w:bCs/>
        </w:rPr>
      </w:pPr>
    </w:p>
    <w:p w:rsidR="00CB5109" w:rsidRPr="00CB5109" w:rsidP="008E6BC9" w14:paraId="26BD2D71" w14:textId="2672672B">
      <w:pPr>
        <w:pStyle w:val="Default"/>
      </w:pPr>
      <w:r w:rsidRPr="00CB5109">
        <w:rPr>
          <w:b/>
          <w:bCs/>
        </w:rPr>
        <w:t>Description of Changes to Burden (if applicable):</w:t>
      </w:r>
      <w:r w:rsidR="00E83C9E">
        <w:rPr>
          <w:b/>
          <w:bCs/>
        </w:rPr>
        <w:t xml:space="preserve"> </w:t>
      </w:r>
      <w:r w:rsidRPr="00E83C9E" w:rsidR="00E83C9E">
        <w:t>N/A</w:t>
      </w:r>
      <w:r w:rsidR="00777ECA">
        <w:t>. There is no change in Burden Hours associated with the modifications made to comply with EO 14168.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D05D2E" w:rsidRPr="00CE5292" w14:paraId="76F6AF12" w14:textId="68B50A05">
            <w:pPr>
              <w:pStyle w:val="Default"/>
            </w:pPr>
            <w:r>
              <w:t>Sex</w:t>
            </w:r>
          </w:p>
        </w:tc>
        <w:tc>
          <w:tcPr>
            <w:tcW w:w="2185" w:type="dxa"/>
          </w:tcPr>
          <w:p w:rsidR="00D05D2E" w:rsidRPr="00CE5292" w14:paraId="70A74AFC" w14:textId="0CE67DC6">
            <w:pPr>
              <w:pStyle w:val="Default"/>
            </w:pPr>
            <w:r>
              <w:t>Drop option of “X” to leave response options of “Male,” “Female,” “Unknown,” or blank/missing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47E405EF">
            <w:pPr>
              <w:pStyle w:val="Default"/>
            </w:pPr>
            <w:r>
              <w:t xml:space="preserve">Question </w:t>
            </w:r>
            <w:r w:rsidR="0029411F">
              <w:t>Deletion</w:t>
            </w:r>
          </w:p>
        </w:tc>
        <w:tc>
          <w:tcPr>
            <w:tcW w:w="1855" w:type="dxa"/>
          </w:tcPr>
          <w:p w:rsidR="00D05D2E" w:rsidRPr="00CE5292" w14:paraId="2AF4F3E3" w14:textId="572E807C">
            <w:pPr>
              <w:pStyle w:val="Default"/>
            </w:pPr>
            <w:r>
              <w:t>Transgender</w:t>
            </w:r>
          </w:p>
        </w:tc>
        <w:tc>
          <w:tcPr>
            <w:tcW w:w="2185" w:type="dxa"/>
          </w:tcPr>
          <w:p w:rsidR="00D05D2E" w:rsidRPr="00CE5292" w14:paraId="123D0EFA" w14:textId="68590243">
            <w:pPr>
              <w:pStyle w:val="Default"/>
            </w:pPr>
            <w:r>
              <w:t>Remove checkbox to indicate transgender identification of decedents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3E45"/>
    <w:rsid w:val="000B0D24"/>
    <w:rsid w:val="00117DF1"/>
    <w:rsid w:val="001849E9"/>
    <w:rsid w:val="00220FFF"/>
    <w:rsid w:val="00222C6E"/>
    <w:rsid w:val="00231E4A"/>
    <w:rsid w:val="00264A0C"/>
    <w:rsid w:val="0027059A"/>
    <w:rsid w:val="00285485"/>
    <w:rsid w:val="0029411F"/>
    <w:rsid w:val="002C01B4"/>
    <w:rsid w:val="002D250E"/>
    <w:rsid w:val="002E07F4"/>
    <w:rsid w:val="002F2F36"/>
    <w:rsid w:val="003C3B11"/>
    <w:rsid w:val="003D0951"/>
    <w:rsid w:val="003D50F3"/>
    <w:rsid w:val="003E2C29"/>
    <w:rsid w:val="004245EC"/>
    <w:rsid w:val="00443415"/>
    <w:rsid w:val="004442E8"/>
    <w:rsid w:val="00445D96"/>
    <w:rsid w:val="0048542E"/>
    <w:rsid w:val="004A0407"/>
    <w:rsid w:val="004D1796"/>
    <w:rsid w:val="00547D18"/>
    <w:rsid w:val="00566578"/>
    <w:rsid w:val="005942EE"/>
    <w:rsid w:val="006829E3"/>
    <w:rsid w:val="006C09AE"/>
    <w:rsid w:val="00777ECA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07B70"/>
    <w:rsid w:val="00A2502D"/>
    <w:rsid w:val="00A53D03"/>
    <w:rsid w:val="00A7377C"/>
    <w:rsid w:val="00B37B38"/>
    <w:rsid w:val="00C43311"/>
    <w:rsid w:val="00CB5109"/>
    <w:rsid w:val="00CD7816"/>
    <w:rsid w:val="00CE5292"/>
    <w:rsid w:val="00D05D2E"/>
    <w:rsid w:val="00E55BCC"/>
    <w:rsid w:val="00E83C9E"/>
    <w:rsid w:val="00F30F93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Halstead, Mary (CDC/NCIPC/OD)</cp:lastModifiedBy>
  <cp:revision>2</cp:revision>
  <dcterms:created xsi:type="dcterms:W3CDTF">2025-03-21T17:43:00Z</dcterms:created>
  <dcterms:modified xsi:type="dcterms:W3CDTF">2025-03-21T17:43:00Z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