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B04" w:rsidP="007C3B04" w14:paraId="4BF6231A" w14:textId="52F30732">
      <w:pPr>
        <w:pStyle w:val="Heading7"/>
        <w:tabs>
          <w:tab w:val="left" w:pos="1890"/>
        </w:tabs>
        <w:jc w:val="center"/>
        <w:rPr>
          <w:rStyle w:val="Heading11"/>
          <w:sz w:val="28"/>
          <w:szCs w:val="28"/>
        </w:rPr>
      </w:pPr>
    </w:p>
    <w:p w:rsidR="007C3B04" w:rsidP="007C3B04" w14:paraId="3CAD6F17" w14:textId="77777777">
      <w:pPr>
        <w:pStyle w:val="Heading7"/>
        <w:tabs>
          <w:tab w:val="left" w:pos="1890"/>
        </w:tabs>
        <w:jc w:val="center"/>
        <w:rPr>
          <w:rStyle w:val="Heading11"/>
          <w:sz w:val="28"/>
          <w:szCs w:val="28"/>
        </w:rPr>
      </w:pPr>
    </w:p>
    <w:p w:rsidR="007C3B04" w:rsidP="007C3B04" w14:paraId="648BAC9B" w14:textId="77777777">
      <w:pPr>
        <w:pStyle w:val="Heading7"/>
        <w:tabs>
          <w:tab w:val="left" w:pos="1890"/>
        </w:tabs>
        <w:jc w:val="center"/>
        <w:rPr>
          <w:rStyle w:val="Heading11"/>
          <w:sz w:val="28"/>
          <w:szCs w:val="28"/>
        </w:rPr>
      </w:pPr>
    </w:p>
    <w:p w:rsidR="007C3B04" w:rsidP="007C3B04" w14:paraId="5D699BAF" w14:textId="77777777">
      <w:pPr>
        <w:pStyle w:val="Heading7"/>
        <w:tabs>
          <w:tab w:val="left" w:pos="1890"/>
        </w:tabs>
        <w:jc w:val="center"/>
        <w:rPr>
          <w:rStyle w:val="Heading11"/>
          <w:sz w:val="28"/>
          <w:szCs w:val="28"/>
        </w:rPr>
      </w:pPr>
    </w:p>
    <w:p w:rsidR="007C3B04" w:rsidP="007C3B04" w14:paraId="3DD87BDF" w14:textId="77777777">
      <w:pPr>
        <w:pStyle w:val="Heading7"/>
        <w:tabs>
          <w:tab w:val="left" w:pos="1890"/>
        </w:tabs>
        <w:jc w:val="center"/>
        <w:rPr>
          <w:rStyle w:val="Heading11"/>
          <w:sz w:val="28"/>
          <w:szCs w:val="28"/>
        </w:rPr>
      </w:pPr>
    </w:p>
    <w:p w:rsidR="007C3B04" w:rsidRPr="007C3B04" w:rsidP="007C3B04" w14:paraId="3514FB92" w14:textId="77777777">
      <w:pPr>
        <w:pStyle w:val="Heading7"/>
        <w:tabs>
          <w:tab w:val="left" w:pos="1890"/>
        </w:tabs>
        <w:jc w:val="center"/>
        <w:rPr>
          <w:sz w:val="28"/>
          <w:szCs w:val="28"/>
        </w:rPr>
      </w:pPr>
      <w:r w:rsidRPr="007C3B04">
        <w:rPr>
          <w:sz w:val="28"/>
          <w:szCs w:val="28"/>
        </w:rPr>
        <w:t xml:space="preserve">NATIONAL </w:t>
      </w:r>
      <w:r w:rsidRPr="005354BD" w:rsidR="005354BD">
        <w:rPr>
          <w:sz w:val="28"/>
          <w:szCs w:val="28"/>
        </w:rPr>
        <w:t>QUITLINE DATA WAREHOUSE</w:t>
      </w:r>
      <w:r w:rsidR="00BC47F1">
        <w:rPr>
          <w:sz w:val="28"/>
          <w:szCs w:val="28"/>
        </w:rPr>
        <w:t xml:space="preserve"> (NQDW)</w:t>
      </w:r>
    </w:p>
    <w:p w:rsidR="00057C6C" w:rsidRPr="00617FD3" w:rsidP="00BC47F1" w14:paraId="0103D68D" w14:textId="424D2F1C">
      <w:pPr>
        <w:jc w:val="center"/>
        <w:rPr>
          <w:sz w:val="28"/>
          <w:szCs w:val="28"/>
        </w:rPr>
      </w:pPr>
      <w:r w:rsidRPr="00617FD3">
        <w:rPr>
          <w:sz w:val="28"/>
          <w:szCs w:val="28"/>
        </w:rPr>
        <w:t xml:space="preserve">(OMB No. </w:t>
      </w:r>
      <w:r w:rsidRPr="00617FD3" w:rsidR="00161296">
        <w:rPr>
          <w:sz w:val="28"/>
          <w:szCs w:val="28"/>
        </w:rPr>
        <w:t>0920-0856</w:t>
      </w:r>
      <w:r w:rsidRPr="00617FD3" w:rsidR="00BC47F1">
        <w:rPr>
          <w:sz w:val="28"/>
          <w:szCs w:val="28"/>
        </w:rPr>
        <w:t xml:space="preserve">, exp. </w:t>
      </w:r>
      <w:r w:rsidRPr="00617FD3" w:rsidR="003339DD">
        <w:rPr>
          <w:sz w:val="28"/>
          <w:szCs w:val="28"/>
        </w:rPr>
        <w:t>10</w:t>
      </w:r>
      <w:r w:rsidRPr="00617FD3" w:rsidR="00BC47F1">
        <w:rPr>
          <w:sz w:val="28"/>
          <w:szCs w:val="28"/>
        </w:rPr>
        <w:t>/31/20</w:t>
      </w:r>
      <w:r w:rsidRPr="00617FD3" w:rsidR="003339DD">
        <w:rPr>
          <w:sz w:val="28"/>
          <w:szCs w:val="28"/>
        </w:rPr>
        <w:t>22</w:t>
      </w:r>
      <w:r w:rsidRPr="00617FD3">
        <w:rPr>
          <w:sz w:val="28"/>
          <w:szCs w:val="28"/>
        </w:rPr>
        <w:t>)</w:t>
      </w:r>
    </w:p>
    <w:p w:rsidR="007C3B04" w:rsidP="007C3B04" w14:paraId="0B4A8FC8" w14:textId="77777777">
      <w:pPr>
        <w:pStyle w:val="Heading7"/>
        <w:jc w:val="center"/>
        <w:rPr>
          <w:sz w:val="28"/>
          <w:szCs w:val="28"/>
        </w:rPr>
      </w:pPr>
    </w:p>
    <w:p w:rsidR="007C3B04" w:rsidP="007C3B04" w14:paraId="467A93BE" w14:textId="77777777"/>
    <w:p w:rsidR="007C3B04" w:rsidRPr="008427CE" w:rsidP="007A5DFA" w14:paraId="6782CC2E" w14:textId="0AF2E2D4">
      <w:pPr>
        <w:pStyle w:val="Heading7"/>
        <w:ind w:left="0" w:firstLine="0"/>
        <w:jc w:val="center"/>
        <w:rPr>
          <w:b w:val="0"/>
        </w:rPr>
      </w:pPr>
      <w:r>
        <w:rPr>
          <w:sz w:val="28"/>
          <w:szCs w:val="28"/>
        </w:rPr>
        <w:t>Supporting Statement A</w:t>
      </w:r>
      <w:r w:rsidRPr="007C3B04">
        <w:rPr>
          <w:sz w:val="28"/>
          <w:szCs w:val="28"/>
        </w:rPr>
        <w:cr/>
      </w:r>
      <w:r w:rsidRPr="008427CE">
        <w:rPr>
          <w:b w:val="0"/>
        </w:rPr>
        <w:cr/>
      </w:r>
      <w:r w:rsidR="006E44A9">
        <w:rPr>
          <w:b w:val="0"/>
        </w:rPr>
        <w:t>Revision</w:t>
      </w:r>
    </w:p>
    <w:p w:rsidR="007C3B04" w:rsidP="007C3B04" w14:paraId="1FDFF54D" w14:textId="77777777">
      <w:pPr>
        <w:pStyle w:val="Heading7"/>
        <w:jc w:val="center"/>
      </w:pPr>
    </w:p>
    <w:p w:rsidR="007C3B04" w:rsidP="007C3B04" w14:paraId="6DD256B9" w14:textId="77777777">
      <w:pPr>
        <w:pStyle w:val="Heading7"/>
        <w:jc w:val="center"/>
      </w:pPr>
    </w:p>
    <w:p w:rsidR="003332D2" w:rsidRPr="00EA7BF8" w:rsidP="003332D2" w14:paraId="3955E98C" w14:textId="483BB41F">
      <w:pPr>
        <w:jc w:val="center"/>
      </w:pPr>
      <w:r>
        <w:t>July 13, 2022</w:t>
      </w:r>
    </w:p>
    <w:p w:rsidR="003332D2" w:rsidP="003332D2" w14:paraId="2FED80E5" w14:textId="77777777"/>
    <w:p w:rsidR="003332D2" w:rsidP="003332D2" w14:paraId="45768D49" w14:textId="77777777"/>
    <w:p w:rsidR="00D81E7F" w:rsidP="00D81E7F" w14:paraId="1E7B0727" w14:textId="77777777">
      <w:pPr>
        <w:tabs>
          <w:tab w:val="center" w:pos="4680"/>
        </w:tabs>
      </w:pPr>
    </w:p>
    <w:p w:rsidR="00D81E7F" w:rsidP="00D81E7F" w14:paraId="3080847F" w14:textId="77777777">
      <w:pPr>
        <w:tabs>
          <w:tab w:val="center" w:pos="4680"/>
        </w:tabs>
      </w:pPr>
    </w:p>
    <w:p w:rsidR="003332D2" w:rsidP="00D81E7F" w14:paraId="7016F6EB" w14:textId="70CE2C25">
      <w:pPr>
        <w:tabs>
          <w:tab w:val="center" w:pos="4680"/>
        </w:tabs>
      </w:pPr>
      <w:r>
        <w:t>Submitted by:</w:t>
      </w:r>
    </w:p>
    <w:p w:rsidR="003332D2" w:rsidP="00D81E7F" w14:paraId="3C0B8790" w14:textId="77777777"/>
    <w:p w:rsidR="003332D2" w:rsidP="00D81E7F" w14:paraId="215C7243" w14:textId="3AF06E54">
      <w:pPr>
        <w:tabs>
          <w:tab w:val="center" w:pos="4680"/>
        </w:tabs>
      </w:pPr>
      <w:r>
        <w:t xml:space="preserve">Epidemiology </w:t>
      </w:r>
      <w:r w:rsidR="00927DDF">
        <w:t>Branch</w:t>
      </w:r>
    </w:p>
    <w:p w:rsidR="003332D2" w:rsidP="00D81E7F" w14:paraId="72982ABC" w14:textId="77777777">
      <w:pPr>
        <w:tabs>
          <w:tab w:val="center" w:pos="4680"/>
        </w:tabs>
      </w:pPr>
      <w:r>
        <w:t>Office on Smoking and Health</w:t>
      </w:r>
    </w:p>
    <w:p w:rsidR="003332D2" w:rsidP="00D81E7F" w14:paraId="52AC698E" w14:textId="77777777">
      <w:pPr>
        <w:tabs>
          <w:tab w:val="center" w:pos="4680"/>
        </w:tabs>
      </w:pPr>
      <w:r>
        <w:t>National Center for Chronic Disease Prevention and Health Promotion</w:t>
      </w:r>
    </w:p>
    <w:p w:rsidR="003332D2" w:rsidP="00D81E7F" w14:paraId="3B5A3EC8" w14:textId="77777777">
      <w:pPr>
        <w:tabs>
          <w:tab w:val="center" w:pos="4680"/>
        </w:tabs>
      </w:pPr>
      <w:r>
        <w:t>Centers for Disease Control and Prevention</w:t>
      </w:r>
    </w:p>
    <w:p w:rsidR="003332D2" w:rsidP="00D81E7F" w14:paraId="10276277" w14:textId="77777777">
      <w:pPr>
        <w:tabs>
          <w:tab w:val="center" w:pos="4680"/>
        </w:tabs>
      </w:pPr>
      <w:r>
        <w:t>Department of Health and Human Services</w:t>
      </w:r>
    </w:p>
    <w:p w:rsidR="003332D2" w:rsidP="00D81E7F" w14:paraId="51F9209C" w14:textId="77777777"/>
    <w:p w:rsidR="003332D2" w:rsidP="00D81E7F" w14:paraId="5D64CF0C" w14:textId="77777777"/>
    <w:p w:rsidR="003332D2" w:rsidP="00D81E7F" w14:paraId="7F67D90C" w14:textId="77777777"/>
    <w:p w:rsidR="00CD6857" w:rsidRPr="00D77B8E" w:rsidP="005777FE" w14:paraId="7A994C90" w14:textId="77777777">
      <w:pPr>
        <w:autoSpaceDE w:val="0"/>
        <w:autoSpaceDN w:val="0"/>
        <w:adjustRightInd w:val="0"/>
        <w:spacing w:after="240"/>
        <w:rPr>
          <w:b/>
          <w:u w:val="single"/>
        </w:rPr>
      </w:pPr>
      <w:r w:rsidRPr="00D77B8E">
        <w:rPr>
          <w:b/>
          <w:u w:val="single"/>
        </w:rPr>
        <w:t>Program Official/Contact</w:t>
      </w:r>
    </w:p>
    <w:p w:rsidR="003332D2" w:rsidP="00D81E7F" w14:paraId="5754B131" w14:textId="1822B7E5">
      <w:pPr>
        <w:tabs>
          <w:tab w:val="center" w:pos="4680"/>
        </w:tabs>
      </w:pPr>
      <w:r>
        <w:t>Samantha Puvanesarajah</w:t>
      </w:r>
    </w:p>
    <w:p w:rsidR="003332D2" w:rsidP="00D81E7F" w14:paraId="671E7798" w14:textId="77777777">
      <w:pPr>
        <w:tabs>
          <w:tab w:val="center" w:pos="4680"/>
        </w:tabs>
      </w:pPr>
      <w:r>
        <w:t>Epidemiology Branch</w:t>
      </w:r>
    </w:p>
    <w:p w:rsidR="003332D2" w:rsidP="00D81E7F" w14:paraId="16DEF769" w14:textId="77777777">
      <w:pPr>
        <w:tabs>
          <w:tab w:val="center" w:pos="4680"/>
        </w:tabs>
      </w:pPr>
      <w:r>
        <w:t>Office on Smoking and Health</w:t>
      </w:r>
    </w:p>
    <w:p w:rsidR="003332D2" w:rsidP="00D81E7F" w14:paraId="02C62DEC" w14:textId="77777777">
      <w:pPr>
        <w:tabs>
          <w:tab w:val="center" w:pos="4680"/>
        </w:tabs>
      </w:pPr>
      <w:r>
        <w:t>National Center for Chronic Disease Prevention and Health Promotion</w:t>
      </w:r>
    </w:p>
    <w:p w:rsidR="003332D2" w:rsidP="00D81E7F" w14:paraId="07DC61BF" w14:textId="77777777">
      <w:pPr>
        <w:tabs>
          <w:tab w:val="center" w:pos="4680"/>
        </w:tabs>
      </w:pPr>
      <w:r>
        <w:t>Centers for Disease Control and Prevention</w:t>
      </w:r>
    </w:p>
    <w:p w:rsidR="003332D2" w:rsidP="00D81E7F" w14:paraId="2C9E99E8" w14:textId="77777777">
      <w:pPr>
        <w:tabs>
          <w:tab w:val="center" w:pos="4680"/>
        </w:tabs>
      </w:pPr>
      <w:r>
        <w:t xml:space="preserve">4770 Buford Highway, NE </w:t>
      </w:r>
      <w:r w:rsidRPr="00327BBE" w:rsidR="00327BBE">
        <w:t>S107-7</w:t>
      </w:r>
    </w:p>
    <w:p w:rsidR="003332D2" w:rsidP="00D81E7F" w14:paraId="5B83289F" w14:textId="77777777">
      <w:pPr>
        <w:tabs>
          <w:tab w:val="center" w:pos="4680"/>
        </w:tabs>
      </w:pPr>
      <w:r>
        <w:t>Atlanta, Georgia 30341</w:t>
      </w:r>
    </w:p>
    <w:p w:rsidR="003332D2" w:rsidRPr="00C9432A" w:rsidP="00D81E7F" w14:paraId="51BA3410" w14:textId="6F57C15E">
      <w:pPr>
        <w:tabs>
          <w:tab w:val="center" w:pos="4680"/>
        </w:tabs>
        <w:rPr>
          <w:lang w:val="pt-BR"/>
        </w:rPr>
      </w:pPr>
      <w:r w:rsidRPr="00C9432A">
        <w:rPr>
          <w:lang w:val="pt-BR"/>
        </w:rPr>
        <w:t>(</w:t>
      </w:r>
      <w:r w:rsidR="00F73201">
        <w:rPr>
          <w:lang w:val="pt-BR"/>
        </w:rPr>
        <w:t>404</w:t>
      </w:r>
      <w:r w:rsidRPr="00C9432A">
        <w:rPr>
          <w:lang w:val="pt-BR"/>
        </w:rPr>
        <w:t xml:space="preserve">) </w:t>
      </w:r>
      <w:r w:rsidR="00B7683E">
        <w:rPr>
          <w:lang w:val="pt-BR"/>
        </w:rPr>
        <w:t>4</w:t>
      </w:r>
      <w:r w:rsidR="00483A7D">
        <w:rPr>
          <w:lang w:val="pt-BR"/>
        </w:rPr>
        <w:t>9</w:t>
      </w:r>
      <w:r w:rsidR="00B7683E">
        <w:rPr>
          <w:lang w:val="pt-BR"/>
        </w:rPr>
        <w:t>8-</w:t>
      </w:r>
      <w:r w:rsidR="00F73201">
        <w:rPr>
          <w:lang w:val="pt-BR"/>
        </w:rPr>
        <w:t>2074</w:t>
      </w:r>
    </w:p>
    <w:p w:rsidR="003332D2" w:rsidRPr="00C9432A" w:rsidP="00D81E7F" w14:paraId="6F6C394E" w14:textId="2C659C84">
      <w:pPr>
        <w:tabs>
          <w:tab w:val="center" w:pos="4680"/>
        </w:tabs>
        <w:rPr>
          <w:lang w:val="pt-BR"/>
        </w:rPr>
      </w:pPr>
    </w:p>
    <w:p w:rsidR="003332D2" w:rsidP="00D81E7F" w14:paraId="25DF49F7" w14:textId="678A11AE">
      <w:pPr>
        <w:tabs>
          <w:tab w:val="center" w:pos="4680"/>
        </w:tabs>
        <w:rPr>
          <w:lang w:val="pt-BR"/>
        </w:rPr>
      </w:pPr>
      <w:r w:rsidRPr="00C9432A">
        <w:rPr>
          <w:lang w:val="pt-BR"/>
        </w:rPr>
        <w:t xml:space="preserve">E-mail: </w:t>
      </w:r>
      <w:r w:rsidR="00F73201">
        <w:rPr>
          <w:rStyle w:val="Hyperlink"/>
          <w:lang w:val="pt-BR"/>
        </w:rPr>
        <w:t>wdi8</w:t>
      </w:r>
      <w:r w:rsidR="00B7683E">
        <w:rPr>
          <w:rStyle w:val="Hyperlink"/>
          <w:lang w:val="pt-BR"/>
        </w:rPr>
        <w:t>@cdc.gov</w:t>
      </w:r>
    </w:p>
    <w:p w:rsidR="00E00728" w:rsidP="003332D2" w14:paraId="0225607A" w14:textId="77777777">
      <w:pPr>
        <w:tabs>
          <w:tab w:val="center" w:pos="4680"/>
        </w:tabs>
        <w:jc w:val="center"/>
        <w:rPr>
          <w:lang w:val="pt-BR"/>
        </w:rPr>
      </w:pPr>
    </w:p>
    <w:p w:rsidR="00E00728" w14:paraId="6EF2D054" w14:textId="77777777">
      <w:pPr>
        <w:rPr>
          <w:lang w:val="pt-BR"/>
        </w:rPr>
      </w:pPr>
      <w:r>
        <w:rPr>
          <w:lang w:val="pt-BR"/>
        </w:rPr>
        <w:br w:type="page"/>
      </w:r>
    </w:p>
    <w:p w:rsidR="000622A7" w:rsidP="001F48DB" w14:paraId="4FE789C7" w14:textId="0C7911AB">
      <w:pPr>
        <w:tabs>
          <w:tab w:val="center" w:pos="4680"/>
        </w:tabs>
        <w:jc w:val="center"/>
        <w:rPr>
          <w:b/>
        </w:rPr>
      </w:pPr>
      <w:r w:rsidRPr="00D00578">
        <w:rPr>
          <w:b/>
        </w:rPr>
        <w:t>TABLE OF CONTENT</w:t>
      </w:r>
      <w:r>
        <w:rPr>
          <w:b/>
        </w:rPr>
        <w:t>S</w:t>
      </w:r>
    </w:p>
    <w:p w:rsidR="002D4022" w:rsidP="005B192E" w14:paraId="009D6FF0" w14:textId="77777777">
      <w:pPr>
        <w:rPr>
          <w:b/>
          <w:bCs/>
          <w:color w:val="000000"/>
        </w:rPr>
      </w:pPr>
    </w:p>
    <w:p w:rsidR="005B192E" w:rsidRPr="00885CC3" w:rsidP="005B192E" w14:paraId="32DBF918" w14:textId="77777777">
      <w:pPr>
        <w:rPr>
          <w:rStyle w:val="Heading31"/>
          <w:color w:val="000000"/>
        </w:rPr>
      </w:pPr>
      <w:r w:rsidRPr="000A1B69">
        <w:rPr>
          <w:b/>
          <w:bCs/>
          <w:color w:val="000000"/>
        </w:rPr>
        <w:t>ABSTRACT</w:t>
      </w:r>
      <w:r w:rsidRPr="00885CC3">
        <w:rPr>
          <w:rStyle w:val="Heading31"/>
          <w:color w:val="000000"/>
        </w:rPr>
        <w:t xml:space="preserve"> </w:t>
      </w:r>
    </w:p>
    <w:p w:rsidR="005B192E" w:rsidP="005B192E" w14:paraId="3BEFDC52" w14:textId="77777777">
      <w:pPr>
        <w:rPr>
          <w:rStyle w:val="Heading31"/>
          <w:color w:val="000000"/>
        </w:rPr>
      </w:pPr>
    </w:p>
    <w:p w:rsidR="006C5FBA" w:rsidP="000622A7" w14:paraId="7BE40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rStyle w:val="Heading31"/>
          <w:color w:val="000000"/>
        </w:rPr>
        <w:t>A.</w:t>
      </w:r>
      <w:r>
        <w:rPr>
          <w:rStyle w:val="Heading31"/>
          <w:color w:val="000000"/>
        </w:rPr>
        <w:tab/>
        <w:t>JUSTIFICATION</w:t>
      </w:r>
    </w:p>
    <w:p w:rsidR="000622A7" w:rsidP="00B35BF2" w14:paraId="2E218969" w14:textId="64FD9F56">
      <w:pPr>
        <w:spacing w:before="120" w:after="120"/>
      </w:pPr>
      <w:r w:rsidRPr="00B35BF2">
        <w:t>1</w:t>
      </w:r>
      <w:r w:rsidRPr="00B35BF2">
        <w:t xml:space="preserve">. </w:t>
      </w:r>
      <w:r w:rsidRPr="00B35BF2">
        <w:tab/>
        <w:t>Circumstances Making the Coll</w:t>
      </w:r>
      <w:r w:rsidRPr="00B35BF2" w:rsidR="00376DE8">
        <w:t>ection of Information Necessary</w:t>
      </w:r>
      <w:r w:rsidRPr="00B35BF2">
        <w:tab/>
      </w:r>
      <w:r w:rsidRPr="00B35BF2">
        <w:tab/>
      </w:r>
      <w:r w:rsidRPr="00B35BF2">
        <w:tab/>
      </w:r>
    </w:p>
    <w:p w:rsidR="000622A7" w:rsidRPr="00B35BF2" w:rsidP="00B35BF2" w14:paraId="6323D31D" w14:textId="7027955C">
      <w:pPr>
        <w:spacing w:before="120" w:after="120"/>
      </w:pPr>
      <w:r w:rsidRPr="00B35BF2">
        <w:t>2</w:t>
      </w:r>
      <w:r w:rsidRPr="00B35BF2">
        <w:t>.</w:t>
      </w:r>
      <w:r w:rsidRPr="00B35BF2">
        <w:tab/>
        <w:t>Purpose and Use of Information Collection</w:t>
      </w:r>
      <w:r w:rsidRPr="00B35BF2">
        <w:tab/>
      </w:r>
      <w:r w:rsidRPr="00B35BF2" w:rsidR="00376DE8">
        <w:tab/>
      </w:r>
      <w:r w:rsidRPr="00B35BF2" w:rsidR="00376DE8">
        <w:tab/>
      </w:r>
      <w:r w:rsidRPr="00B35BF2">
        <w:tab/>
      </w:r>
      <w:r w:rsidRPr="00B35BF2">
        <w:tab/>
      </w:r>
      <w:r w:rsidRPr="00B35BF2">
        <w:tab/>
      </w:r>
      <w:r w:rsidRPr="00B35BF2">
        <w:tab/>
      </w:r>
    </w:p>
    <w:p w:rsidR="000622A7" w:rsidRPr="00B35BF2" w:rsidP="00B35BF2" w14:paraId="39B00FDE" w14:textId="3999D2CC">
      <w:pPr>
        <w:spacing w:before="120" w:after="120"/>
      </w:pPr>
      <w:r w:rsidRPr="00B35BF2">
        <w:t>3</w:t>
      </w:r>
      <w:r w:rsidRPr="00B35BF2">
        <w:t>.</w:t>
      </w:r>
      <w:r w:rsidRPr="00B35BF2">
        <w:tab/>
        <w:t>Use of Improved Information Technology and Burden Reduction</w:t>
      </w:r>
      <w:r w:rsidRPr="00B35BF2">
        <w:tab/>
      </w:r>
      <w:r w:rsidRPr="00B35BF2">
        <w:tab/>
      </w:r>
      <w:r w:rsidRPr="00B35BF2">
        <w:tab/>
      </w:r>
      <w:r w:rsidRPr="00B35BF2">
        <w:tab/>
      </w:r>
    </w:p>
    <w:p w:rsidR="000622A7" w:rsidRPr="00B35BF2" w:rsidP="00B35BF2" w14:paraId="4B1634E9" w14:textId="63D13B23">
      <w:pPr>
        <w:spacing w:before="120" w:after="120"/>
      </w:pPr>
      <w:r w:rsidRPr="00B35BF2">
        <w:t>4</w:t>
      </w:r>
      <w:r w:rsidRPr="00B35BF2">
        <w:t>.</w:t>
      </w:r>
      <w:r w:rsidRPr="00B35BF2">
        <w:tab/>
        <w:t>Efforts to Identify Duplication and Use of Similar Information</w:t>
      </w:r>
      <w:r w:rsidRPr="00B35BF2">
        <w:tab/>
      </w:r>
      <w:r w:rsidRPr="00B35BF2">
        <w:tab/>
      </w:r>
      <w:r w:rsidRPr="00B35BF2">
        <w:tab/>
      </w:r>
    </w:p>
    <w:p w:rsidR="000622A7" w:rsidRPr="00B35BF2" w:rsidP="00B35BF2" w14:paraId="359E4327" w14:textId="6CD69A22">
      <w:pPr>
        <w:spacing w:before="120" w:after="120"/>
      </w:pPr>
      <w:r w:rsidRPr="00B35BF2">
        <w:t>5</w:t>
      </w:r>
      <w:r w:rsidRPr="00B35BF2">
        <w:t>.</w:t>
      </w:r>
      <w:r w:rsidRPr="00B35BF2">
        <w:tab/>
        <w:t>Impact on Small Businesses or Other Small Entities</w:t>
      </w:r>
      <w:r w:rsidRPr="00B35BF2">
        <w:tab/>
      </w:r>
      <w:r w:rsidRPr="00B35BF2">
        <w:tab/>
      </w:r>
      <w:r w:rsidRPr="00B35BF2">
        <w:tab/>
      </w:r>
      <w:r w:rsidRPr="00B35BF2">
        <w:tab/>
      </w:r>
      <w:r w:rsidRPr="00B35BF2">
        <w:tab/>
      </w:r>
      <w:r w:rsidRPr="00B35BF2">
        <w:tab/>
      </w:r>
    </w:p>
    <w:p w:rsidR="000622A7" w:rsidRPr="00B35BF2" w:rsidP="00B35BF2" w14:paraId="24C3E5FD" w14:textId="7FE4042E">
      <w:pPr>
        <w:spacing w:before="120" w:after="120"/>
      </w:pPr>
      <w:r w:rsidRPr="00B35BF2">
        <w:t>6</w:t>
      </w:r>
      <w:r w:rsidRPr="00B35BF2">
        <w:t>.</w:t>
      </w:r>
      <w:r w:rsidRPr="00B35BF2">
        <w:tab/>
        <w:t>Consequences of Collecting the Information Less Frequently</w:t>
      </w:r>
      <w:r w:rsidRPr="00B35BF2">
        <w:tab/>
      </w:r>
      <w:r w:rsidRPr="00B35BF2">
        <w:tab/>
      </w:r>
      <w:r w:rsidRPr="00B35BF2">
        <w:tab/>
      </w:r>
      <w:r w:rsidRPr="00B35BF2">
        <w:tab/>
      </w:r>
    </w:p>
    <w:p w:rsidR="000622A7" w:rsidRPr="00B35BF2" w:rsidP="00B35BF2" w14:paraId="5975B495" w14:textId="69816666">
      <w:pPr>
        <w:spacing w:before="120" w:after="120"/>
      </w:pPr>
      <w:r w:rsidRPr="00B35BF2">
        <w:t>7</w:t>
      </w:r>
      <w:r w:rsidRPr="00B35BF2">
        <w:t>.</w:t>
      </w:r>
      <w:r w:rsidRPr="00B35BF2">
        <w:tab/>
        <w:t>Special Circumstances Relating to the Guidelines of 5 CFR 1320.5</w:t>
      </w:r>
      <w:r w:rsidRPr="00B35BF2">
        <w:tab/>
      </w:r>
      <w:r w:rsidRPr="00B35BF2">
        <w:tab/>
      </w:r>
      <w:r w:rsidRPr="00B35BF2">
        <w:tab/>
      </w:r>
      <w:r w:rsidRPr="00B35BF2">
        <w:tab/>
      </w:r>
    </w:p>
    <w:p w:rsidR="00D20576" w:rsidP="00B35BF2" w14:paraId="666363A0" w14:textId="77777777">
      <w:pPr>
        <w:spacing w:before="120" w:after="120"/>
        <w:ind w:left="720" w:hanging="720"/>
      </w:pPr>
      <w:r w:rsidRPr="00B35BF2">
        <w:t>8</w:t>
      </w:r>
      <w:r w:rsidRPr="00B35BF2" w:rsidR="000622A7">
        <w:t>.</w:t>
      </w:r>
      <w:r w:rsidRPr="00B35BF2" w:rsidR="000622A7">
        <w:tab/>
        <w:t>Comments in Response to the Federal Register Notice and Efforts to Consult Outside the Agency</w:t>
      </w:r>
    </w:p>
    <w:p w:rsidR="00D20576" w:rsidRPr="00B35BF2" w:rsidP="00B35BF2" w14:paraId="47478100" w14:textId="73F7968E">
      <w:pPr>
        <w:spacing w:before="120" w:after="120"/>
        <w:ind w:left="720" w:hanging="720"/>
      </w:pPr>
      <w:r>
        <w:tab/>
      </w:r>
      <w:r>
        <w:tab/>
        <w:t>a.</w:t>
      </w:r>
      <w:r>
        <w:tab/>
      </w:r>
      <w:r w:rsidRPr="00B35BF2" w:rsidR="002426B8">
        <w:t>Federal Register Announcement</w:t>
      </w:r>
    </w:p>
    <w:p w:rsidR="000622A7" w:rsidRPr="00B35BF2" w:rsidP="00B35BF2" w14:paraId="593E061B" w14:textId="4EFB002A">
      <w:pPr>
        <w:spacing w:before="120" w:after="120"/>
        <w:ind w:left="720" w:hanging="720"/>
      </w:pPr>
      <w:r>
        <w:tab/>
      </w:r>
      <w:r>
        <w:tab/>
        <w:t>b.</w:t>
      </w:r>
      <w:r>
        <w:tab/>
      </w:r>
      <w:r w:rsidRPr="00B35BF2" w:rsidR="002426B8">
        <w:t>Consultations</w:t>
      </w:r>
      <w:r w:rsidRPr="00B35BF2">
        <w:tab/>
      </w:r>
      <w:r w:rsidRPr="00B35BF2">
        <w:tab/>
      </w:r>
      <w:r w:rsidRPr="00B35BF2">
        <w:tab/>
      </w:r>
      <w:r w:rsidRPr="00B35BF2">
        <w:tab/>
      </w:r>
      <w:r w:rsidRPr="00B35BF2">
        <w:tab/>
      </w:r>
      <w:r w:rsidRPr="00B35BF2">
        <w:tab/>
      </w:r>
      <w:r w:rsidRPr="00B35BF2">
        <w:tab/>
      </w:r>
    </w:p>
    <w:p w:rsidR="000622A7" w:rsidRPr="00B35BF2" w:rsidP="00B35BF2" w14:paraId="4BDCF125" w14:textId="0E4235E2">
      <w:pPr>
        <w:spacing w:before="120" w:after="120"/>
      </w:pPr>
      <w:r w:rsidRPr="00B35BF2">
        <w:t>9</w:t>
      </w:r>
      <w:r w:rsidRPr="00B35BF2">
        <w:t>.</w:t>
      </w:r>
      <w:r w:rsidRPr="00B35BF2">
        <w:tab/>
        <w:t>Explanation of Any Payment or Gift to Respondents</w:t>
      </w:r>
      <w:r w:rsidRPr="00B35BF2">
        <w:tab/>
      </w:r>
      <w:r w:rsidRPr="00B35BF2">
        <w:tab/>
      </w:r>
      <w:r w:rsidRPr="00B35BF2">
        <w:tab/>
      </w:r>
      <w:r w:rsidRPr="00B35BF2">
        <w:tab/>
      </w:r>
      <w:r w:rsidRPr="00B35BF2">
        <w:tab/>
      </w:r>
      <w:r w:rsidRPr="00B35BF2">
        <w:tab/>
      </w:r>
    </w:p>
    <w:p w:rsidR="000622A7" w:rsidRPr="00B35BF2" w:rsidP="00B35BF2" w14:paraId="289ACC4C" w14:textId="056ACA04">
      <w:pPr>
        <w:spacing w:before="120" w:after="120"/>
      </w:pPr>
      <w:r w:rsidRPr="00B35BF2">
        <w:t>1</w:t>
      </w:r>
      <w:r w:rsidRPr="00B35BF2" w:rsidR="00A56AF4">
        <w:t>0</w:t>
      </w:r>
      <w:r w:rsidRPr="00B35BF2">
        <w:t>.</w:t>
      </w:r>
      <w:r w:rsidRPr="00B35BF2">
        <w:tab/>
      </w:r>
      <w:r w:rsidRPr="00B35BF2" w:rsidR="00C175E3">
        <w:t>Protection of the Privacy and Confidentiality of Information Provided by Respondents</w:t>
      </w:r>
      <w:r w:rsidRPr="00B35BF2">
        <w:tab/>
      </w:r>
    </w:p>
    <w:p w:rsidR="000622A7" w:rsidRPr="00B35BF2" w:rsidP="00B35BF2" w14:paraId="66718CDE" w14:textId="359E19C4">
      <w:pPr>
        <w:spacing w:before="120" w:after="120"/>
      </w:pPr>
      <w:r w:rsidRPr="00B35BF2">
        <w:t>1</w:t>
      </w:r>
      <w:r w:rsidRPr="00B35BF2" w:rsidR="00A56AF4">
        <w:t>1</w:t>
      </w:r>
      <w:r w:rsidRPr="00B35BF2">
        <w:t>.</w:t>
      </w:r>
      <w:r w:rsidRPr="00B35BF2">
        <w:tab/>
      </w:r>
      <w:r w:rsidRPr="00B35BF2" w:rsidR="00C175E3">
        <w:t>Institutional Review Board (IRB) and Justification for Sensitive Questions</w:t>
      </w:r>
      <w:r w:rsidRPr="00B35BF2">
        <w:tab/>
      </w:r>
      <w:r w:rsidRPr="00B35BF2">
        <w:tab/>
      </w:r>
      <w:r w:rsidRPr="00B35BF2">
        <w:tab/>
      </w:r>
    </w:p>
    <w:p w:rsidR="000622A7" w:rsidRPr="00B35BF2" w:rsidP="00B35BF2" w14:paraId="0C1F1058" w14:textId="0D4F3445">
      <w:pPr>
        <w:spacing w:before="120" w:after="120"/>
      </w:pPr>
      <w:r w:rsidRPr="00B35BF2">
        <w:t>1</w:t>
      </w:r>
      <w:r w:rsidRPr="00B35BF2" w:rsidR="00A56AF4">
        <w:t>2</w:t>
      </w:r>
      <w:r w:rsidRPr="00B35BF2">
        <w:t>.</w:t>
      </w:r>
      <w:r w:rsidRPr="00B35BF2">
        <w:tab/>
        <w:t>Estimates of Annualized Burden Hours and Costs</w:t>
      </w:r>
    </w:p>
    <w:p w:rsidR="000622A7" w:rsidRPr="00B35BF2" w:rsidP="00B35BF2" w14:paraId="2CEF7F29" w14:textId="3294FA28">
      <w:pPr>
        <w:spacing w:before="120" w:after="120"/>
      </w:pPr>
      <w:r w:rsidRPr="00B35BF2">
        <w:t>1</w:t>
      </w:r>
      <w:r w:rsidRPr="00B35BF2" w:rsidR="00A56AF4">
        <w:t>3</w:t>
      </w:r>
      <w:r w:rsidRPr="00B35BF2">
        <w:t>.</w:t>
      </w:r>
      <w:r w:rsidRPr="00B35BF2">
        <w:tab/>
        <w:t>Estimates of Other Total Annual Cost Burden to Respondents or Record Keepers</w:t>
      </w:r>
      <w:r w:rsidRPr="00B35BF2">
        <w:tab/>
      </w:r>
      <w:r w:rsidRPr="00B35BF2">
        <w:tab/>
      </w:r>
    </w:p>
    <w:p w:rsidR="000622A7" w:rsidRPr="00B35BF2" w:rsidP="00B35BF2" w14:paraId="17C87210" w14:textId="7A276172">
      <w:pPr>
        <w:spacing w:before="120" w:after="120"/>
      </w:pPr>
      <w:r w:rsidRPr="00B35BF2">
        <w:t>1</w:t>
      </w:r>
      <w:r w:rsidRPr="00B35BF2" w:rsidR="00A56AF4">
        <w:t>4</w:t>
      </w:r>
      <w:r w:rsidRPr="00B35BF2">
        <w:t>.</w:t>
      </w:r>
      <w:r w:rsidRPr="00B35BF2">
        <w:tab/>
        <w:t xml:space="preserve">Annualized Cost to the </w:t>
      </w:r>
      <w:r w:rsidRPr="00B35BF2" w:rsidR="007F690E">
        <w:t>Federal</w:t>
      </w:r>
      <w:r w:rsidRPr="00B35BF2" w:rsidR="00D20576">
        <w:t xml:space="preserve"> G</w:t>
      </w:r>
      <w:r w:rsidRPr="00B35BF2">
        <w:t>overnment</w:t>
      </w:r>
      <w:r w:rsidRPr="00B35BF2">
        <w:tab/>
      </w:r>
      <w:r w:rsidRPr="00B35BF2">
        <w:tab/>
      </w:r>
      <w:r w:rsidRPr="00B35BF2">
        <w:tab/>
      </w:r>
      <w:r w:rsidRPr="00B35BF2">
        <w:tab/>
      </w:r>
      <w:r w:rsidRPr="00B35BF2">
        <w:tab/>
      </w:r>
      <w:r w:rsidRPr="00B35BF2">
        <w:tab/>
      </w:r>
      <w:r w:rsidRPr="00B35BF2">
        <w:tab/>
      </w:r>
    </w:p>
    <w:p w:rsidR="000622A7" w:rsidRPr="00B35BF2" w:rsidP="00B35BF2" w14:paraId="68254DE4" w14:textId="53D2420E">
      <w:pPr>
        <w:spacing w:before="120" w:after="120"/>
      </w:pPr>
      <w:r w:rsidRPr="00B35BF2">
        <w:t>1</w:t>
      </w:r>
      <w:r w:rsidRPr="00B35BF2" w:rsidR="00A56AF4">
        <w:t>5</w:t>
      </w:r>
      <w:r w:rsidRPr="00B35BF2">
        <w:t>.</w:t>
      </w:r>
      <w:r w:rsidRPr="00B35BF2">
        <w:tab/>
        <w:t>Explanation for Program Changes or Adjustments</w:t>
      </w:r>
      <w:r w:rsidRPr="00B35BF2">
        <w:tab/>
      </w:r>
      <w:r w:rsidRPr="00B35BF2">
        <w:tab/>
      </w:r>
      <w:r w:rsidRPr="00B35BF2">
        <w:tab/>
      </w:r>
      <w:r w:rsidRPr="00B35BF2">
        <w:tab/>
      </w:r>
      <w:r w:rsidRPr="00B35BF2">
        <w:tab/>
      </w:r>
      <w:r w:rsidRPr="00B35BF2">
        <w:tab/>
      </w:r>
    </w:p>
    <w:p w:rsidR="000622A7" w:rsidRPr="00B35BF2" w:rsidP="00B35BF2" w14:paraId="7A2A1A23" w14:textId="77777777">
      <w:pPr>
        <w:spacing w:before="120" w:after="120"/>
      </w:pPr>
      <w:r w:rsidRPr="00B35BF2">
        <w:t>1</w:t>
      </w:r>
      <w:r w:rsidRPr="00B35BF2" w:rsidR="00A56AF4">
        <w:t>6</w:t>
      </w:r>
      <w:r w:rsidRPr="00B35BF2">
        <w:t>.</w:t>
      </w:r>
      <w:r w:rsidRPr="00B35BF2">
        <w:tab/>
        <w:t>Plans for Tabulation and Publication and Project Time Schedule</w:t>
      </w:r>
    </w:p>
    <w:p w:rsidR="000622A7" w:rsidRPr="00B35BF2" w:rsidP="00B35BF2" w14:paraId="3C39A9A6" w14:textId="443D05CD">
      <w:pPr>
        <w:spacing w:before="120" w:after="120"/>
        <w:ind w:left="720"/>
      </w:pPr>
      <w:r w:rsidRPr="00B35BF2">
        <w:tab/>
        <w:t>a.</w:t>
      </w:r>
      <w:r w:rsidRPr="00B35BF2">
        <w:tab/>
        <w:t>Tabulation Plans</w:t>
      </w:r>
    </w:p>
    <w:p w:rsidR="000622A7" w:rsidRPr="00B35BF2" w:rsidP="00B35BF2" w14:paraId="0B2E25BE" w14:textId="741466D5">
      <w:pPr>
        <w:spacing w:before="120" w:after="120"/>
        <w:ind w:left="720"/>
      </w:pPr>
      <w:r w:rsidRPr="00B35BF2">
        <w:tab/>
        <w:t>b.</w:t>
      </w:r>
      <w:r w:rsidRPr="00B35BF2">
        <w:tab/>
        <w:t>Publication Plans</w:t>
      </w:r>
      <w:r w:rsidRPr="00B35BF2">
        <w:tab/>
      </w:r>
    </w:p>
    <w:p w:rsidR="000622A7" w:rsidRPr="00B35BF2" w:rsidP="00B35BF2" w14:paraId="07D8B84F" w14:textId="6EC6079F">
      <w:pPr>
        <w:spacing w:before="120" w:after="120"/>
        <w:ind w:left="720"/>
      </w:pPr>
      <w:r w:rsidRPr="00B35BF2">
        <w:tab/>
        <w:t>c.</w:t>
      </w:r>
      <w:r w:rsidRPr="00B35BF2">
        <w:tab/>
        <w:t>Time Schedule for the Project</w:t>
      </w:r>
    </w:p>
    <w:p w:rsidR="000622A7" w:rsidRPr="00B35BF2" w:rsidP="00B35BF2" w14:paraId="05EDA761" w14:textId="3E1F4590">
      <w:pPr>
        <w:spacing w:before="120" w:after="120"/>
      </w:pPr>
      <w:r w:rsidRPr="00B35BF2">
        <w:t>1</w:t>
      </w:r>
      <w:r w:rsidRPr="00B35BF2" w:rsidR="00A56AF4">
        <w:t>7</w:t>
      </w:r>
      <w:r w:rsidRPr="00B35BF2">
        <w:t>.</w:t>
      </w:r>
      <w:r w:rsidRPr="00B35BF2">
        <w:tab/>
        <w:t>Reason(s) Display of OMB Expiration Date is Appropriate</w:t>
      </w:r>
    </w:p>
    <w:p w:rsidR="000622A7" w:rsidRPr="00B35BF2" w:rsidP="00B35BF2" w14:paraId="093AF607" w14:textId="77777777">
      <w:pPr>
        <w:spacing w:before="120" w:after="120"/>
      </w:pPr>
      <w:r w:rsidRPr="00B35BF2">
        <w:t>1</w:t>
      </w:r>
      <w:r w:rsidRPr="00B35BF2" w:rsidR="00A56AF4">
        <w:t>8</w:t>
      </w:r>
      <w:r w:rsidRPr="00B35BF2">
        <w:t>.</w:t>
      </w:r>
      <w:r w:rsidRPr="00B35BF2">
        <w:tab/>
        <w:t>Exceptions to Certification for Paperwork Reduction Act Submissions</w:t>
      </w:r>
    </w:p>
    <w:p w:rsidR="000622A7" w:rsidRPr="007D0DDB" w:rsidP="000622A7" w14:paraId="35FD307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CF62A5" w:rsidP="000622A7" w14:paraId="0F1F90E8" w14:textId="77777777">
      <w:pPr>
        <w:rPr>
          <w:b/>
        </w:rPr>
      </w:pPr>
      <w:r>
        <w:rPr>
          <w:b/>
          <w:color w:val="000000"/>
        </w:rPr>
        <w:t>REFERENCES</w:t>
      </w:r>
    </w:p>
    <w:p w:rsidR="00E00728" w14:paraId="4906CB94" w14:textId="77777777">
      <w:pPr>
        <w:rPr>
          <w:rStyle w:val="Footer11"/>
          <w:bCs/>
        </w:rPr>
      </w:pPr>
      <w:r>
        <w:rPr>
          <w:rStyle w:val="Footer11"/>
          <w:bCs/>
        </w:rPr>
        <w:br w:type="page"/>
      </w:r>
    </w:p>
    <w:p w:rsidR="0055273A" w:rsidP="0047342B" w14:paraId="24BCC88E" w14:textId="77777777">
      <w:pPr>
        <w:spacing w:line="232" w:lineRule="auto"/>
        <w:rPr>
          <w:rStyle w:val="Footer11"/>
          <w:bCs/>
        </w:rPr>
      </w:pPr>
    </w:p>
    <w:p w:rsidR="00E00728" w:rsidP="00E00728" w14:paraId="7966B69D" w14:textId="607105A1">
      <w:pPr>
        <w:pStyle w:val="Level9"/>
        <w:widowControl/>
        <w:ind w:right="-270"/>
        <w:jc w:val="center"/>
        <w:rPr>
          <w:rStyle w:val="Footer11"/>
          <w:bCs/>
        </w:rPr>
      </w:pPr>
      <w:r>
        <w:rPr>
          <w:rStyle w:val="Footer11"/>
          <w:bCs/>
        </w:rPr>
        <w:t>ATTACHMENTS</w:t>
      </w:r>
    </w:p>
    <w:p w:rsidR="00B853AC" w:rsidP="00E00728" w14:paraId="7478ACBA" w14:textId="77777777">
      <w:pPr>
        <w:tabs>
          <w:tab w:val="left" w:pos="2240"/>
        </w:tabs>
        <w:spacing w:line="232" w:lineRule="auto"/>
        <w:rPr>
          <w:color w:val="000000"/>
        </w:rPr>
      </w:pPr>
    </w:p>
    <w:p w:rsidR="00286823" w:rsidP="00B853AC" w14:paraId="548759F9" w14:textId="77777777"/>
    <w:p w:rsidR="003D69C9" w:rsidP="003D69C9" w14:paraId="67938FC7" w14:textId="6AF1CEB2">
      <w:pPr>
        <w:rPr>
          <w:sz w:val="22"/>
          <w:szCs w:val="22"/>
        </w:rPr>
      </w:pPr>
      <w:r>
        <w:t>A-1</w:t>
      </w:r>
      <w:r w:rsidR="007B0DC4">
        <w:tab/>
      </w:r>
      <w:r>
        <w:t>Public Health Service Act</w:t>
      </w:r>
    </w:p>
    <w:p w:rsidR="009F1014" w:rsidP="00C500C1" w14:paraId="6237ACB2" w14:textId="4D33EFFC">
      <w:r>
        <w:t>A-</w:t>
      </w:r>
      <w:r w:rsidR="006B3E3A">
        <w:t>2</w:t>
      </w:r>
      <w:r>
        <w:t>.</w:t>
      </w:r>
      <w:r>
        <w:tab/>
        <w:t>F</w:t>
      </w:r>
      <w:r w:rsidR="00505D9E">
        <w:t>ederal Register Notice</w:t>
      </w:r>
    </w:p>
    <w:p w:rsidR="00505D9E" w:rsidP="00505D9E" w14:paraId="29520BF4" w14:textId="706C77A2">
      <w:r>
        <w:t>A-</w:t>
      </w:r>
      <w:r w:rsidR="006B3E3A">
        <w:t>3</w:t>
      </w:r>
      <w:r>
        <w:tab/>
      </w:r>
      <w:r>
        <w:t xml:space="preserve">Federal Register Notice Comments and Agency Responses </w:t>
      </w:r>
    </w:p>
    <w:p w:rsidR="0054163D" w:rsidP="00F92F92" w14:paraId="138E6E2D" w14:textId="77777777">
      <w:pPr>
        <w:rPr>
          <w:bCs/>
        </w:rPr>
      </w:pPr>
    </w:p>
    <w:p w:rsidR="003D69C9" w:rsidP="00B35BF2" w14:paraId="7338225B" w14:textId="0DFD1E69">
      <w:pPr>
        <w:ind w:left="720" w:hanging="720"/>
      </w:pPr>
      <w:r>
        <w:rPr>
          <w:bCs/>
        </w:rPr>
        <w:t>B</w:t>
      </w:r>
      <w:r w:rsidR="0054163D">
        <w:rPr>
          <w:bCs/>
        </w:rPr>
        <w:t>.</w:t>
      </w:r>
      <w:r w:rsidR="0054163D">
        <w:rPr>
          <w:bCs/>
        </w:rPr>
        <w:tab/>
      </w:r>
      <w:r w:rsidR="0054163D">
        <w:t>Consultants on NQDW</w:t>
      </w:r>
    </w:p>
    <w:p w:rsidR="003D69C9" w:rsidP="003D69C9" w14:paraId="4B8AFF23" w14:textId="77777777">
      <w:r>
        <w:t> </w:t>
      </w:r>
    </w:p>
    <w:p w:rsidR="0054163D" w:rsidP="0054163D" w14:paraId="1545FCD6" w14:textId="42846701">
      <w:r>
        <w:t>C</w:t>
      </w:r>
      <w:r w:rsidR="001420F0">
        <w:t>-1</w:t>
      </w:r>
      <w:r>
        <w:t>.</w:t>
      </w:r>
      <w:r>
        <w:tab/>
        <w:t>NQDW Intake Questionnaire</w:t>
      </w:r>
    </w:p>
    <w:p w:rsidR="003D69C9" w:rsidP="003D69C9" w14:paraId="68188E12" w14:textId="0179F62A">
      <w:r>
        <w:t>C</w:t>
      </w:r>
      <w:r w:rsidR="00F028EB">
        <w:t>-</w:t>
      </w:r>
      <w:r>
        <w:t>2</w:t>
      </w:r>
      <w:r w:rsidR="00F028EB">
        <w:t>.</w:t>
      </w:r>
      <w:r>
        <w:t xml:space="preserve"> </w:t>
      </w:r>
      <w:r w:rsidR="0089325B">
        <w:tab/>
      </w:r>
      <w:r w:rsidR="004F4A42">
        <w:t>NQDW_</w:t>
      </w:r>
      <w:r>
        <w:t>ASQ Intake Questionnaire</w:t>
      </w:r>
      <w:r w:rsidR="004F4A42">
        <w:t>_Chinese</w:t>
      </w:r>
    </w:p>
    <w:p w:rsidR="003D69C9" w:rsidP="003D69C9" w14:paraId="110F4659" w14:textId="00E6F82D">
      <w:r>
        <w:t>C</w:t>
      </w:r>
      <w:r w:rsidR="00F028EB">
        <w:t>-</w:t>
      </w:r>
      <w:r>
        <w:t>3</w:t>
      </w:r>
      <w:r w:rsidR="00F028EB">
        <w:t>.</w:t>
      </w:r>
      <w:r>
        <w:t xml:space="preserve"> </w:t>
      </w:r>
      <w:r w:rsidR="0089325B">
        <w:tab/>
      </w:r>
      <w:r w:rsidR="004F4A42">
        <w:t>NQDW_</w:t>
      </w:r>
      <w:r>
        <w:t>ASQ Intake Questionnaire</w:t>
      </w:r>
      <w:r w:rsidR="004F4A42">
        <w:t>_Korean</w:t>
      </w:r>
    </w:p>
    <w:p w:rsidR="003D69C9" w:rsidP="003D69C9" w14:paraId="120A76D6" w14:textId="162878B1">
      <w:r>
        <w:t>C</w:t>
      </w:r>
      <w:r w:rsidR="00F028EB">
        <w:t>-</w:t>
      </w:r>
      <w:r>
        <w:t>4</w:t>
      </w:r>
      <w:r w:rsidR="00F028EB">
        <w:t>.</w:t>
      </w:r>
      <w:r>
        <w:t xml:space="preserve"> </w:t>
      </w:r>
      <w:r w:rsidR="0089325B">
        <w:tab/>
      </w:r>
      <w:r w:rsidR="004F4A42">
        <w:t>NQDW_</w:t>
      </w:r>
      <w:r>
        <w:t>ASQ Intake Questionnaire</w:t>
      </w:r>
      <w:r w:rsidR="004F4A42">
        <w:t>_Vietnamese</w:t>
      </w:r>
    </w:p>
    <w:p w:rsidR="002A0E58" w:rsidP="003D69C9" w14:paraId="0B294EBF" w14:textId="77777777"/>
    <w:p w:rsidR="002A0E58" w:rsidP="003D69C9" w14:paraId="538E762E" w14:textId="5CA4A4CD">
      <w:r>
        <w:t>D-</w:t>
      </w:r>
      <w:r w:rsidR="007646BD">
        <w:t>1</w:t>
      </w:r>
      <w:r>
        <w:t xml:space="preserve">. </w:t>
      </w:r>
      <w:r>
        <w:tab/>
        <w:t>NQDW Intake Questionnaire Subset</w:t>
      </w:r>
    </w:p>
    <w:p w:rsidR="002426B8" w:rsidP="002426B8" w14:paraId="367DB38E" w14:textId="4EA8FB03">
      <w:r>
        <w:t>D</w:t>
      </w:r>
      <w:r>
        <w:t>-</w:t>
      </w:r>
      <w:r>
        <w:t>2</w:t>
      </w:r>
      <w:r>
        <w:tab/>
        <w:t>NQDW</w:t>
      </w:r>
      <w:r>
        <w:t>_ASQ</w:t>
      </w:r>
      <w:r>
        <w:t xml:space="preserve"> Intake Questionnaire_subset_Chinese</w:t>
      </w:r>
    </w:p>
    <w:p w:rsidR="002426B8" w:rsidP="002426B8" w14:paraId="0F5E10D3" w14:textId="3188684A">
      <w:r>
        <w:t>D</w:t>
      </w:r>
      <w:r>
        <w:t>-</w:t>
      </w:r>
      <w:r>
        <w:t>3</w:t>
      </w:r>
      <w:r>
        <w:t>.</w:t>
      </w:r>
      <w:r>
        <w:tab/>
        <w:t>NQDW</w:t>
      </w:r>
      <w:r>
        <w:t>_ASQ</w:t>
      </w:r>
      <w:r>
        <w:t xml:space="preserve"> Intake Questionnaire_subset_Korean</w:t>
      </w:r>
    </w:p>
    <w:p w:rsidR="002426B8" w:rsidP="002426B8" w14:paraId="26B83802" w14:textId="2F347BB6">
      <w:r>
        <w:t>D</w:t>
      </w:r>
      <w:r>
        <w:t>-</w:t>
      </w:r>
      <w:r>
        <w:t>4</w:t>
      </w:r>
      <w:r>
        <w:t>.</w:t>
      </w:r>
      <w:r>
        <w:tab/>
        <w:t>NQDW</w:t>
      </w:r>
      <w:r>
        <w:t>_ASQ</w:t>
      </w:r>
      <w:r>
        <w:t xml:space="preserve"> Intake Questionnaire_subset_Vietnamese</w:t>
      </w:r>
    </w:p>
    <w:p w:rsidR="003D69C9" w:rsidP="003D69C9" w14:paraId="044977E7" w14:textId="77777777"/>
    <w:p w:rsidR="003D69C9" w:rsidP="003D69C9" w14:paraId="62AE2973" w14:textId="042BA651">
      <w:r>
        <w:t>E</w:t>
      </w:r>
      <w:r w:rsidR="00F028EB">
        <w:t>-</w:t>
      </w:r>
      <w:r>
        <w:t>1</w:t>
      </w:r>
      <w:r w:rsidR="00F028EB">
        <w:t>.</w:t>
      </w:r>
      <w:r>
        <w:t xml:space="preserve"> </w:t>
      </w:r>
      <w:r w:rsidR="0089325B">
        <w:tab/>
      </w:r>
      <w:r w:rsidR="004F4A42">
        <w:t>NQDW_</w:t>
      </w:r>
      <w:r>
        <w:t>ASQ 7-Month Follow-up Questionnaire</w:t>
      </w:r>
      <w:r w:rsidR="004F4A42">
        <w:t>_Chinese</w:t>
      </w:r>
    </w:p>
    <w:p w:rsidR="003D69C9" w:rsidP="003D69C9" w14:paraId="4E791A63" w14:textId="7CC1041B">
      <w:r>
        <w:t>E</w:t>
      </w:r>
      <w:r w:rsidR="00F028EB">
        <w:t>-</w:t>
      </w:r>
      <w:r>
        <w:t>2</w:t>
      </w:r>
      <w:r w:rsidR="00F028EB">
        <w:t>.</w:t>
      </w:r>
      <w:r>
        <w:t xml:space="preserve"> </w:t>
      </w:r>
      <w:r w:rsidR="0089325B">
        <w:tab/>
      </w:r>
      <w:r w:rsidR="004F4A42">
        <w:t>NQDW_</w:t>
      </w:r>
      <w:r>
        <w:t xml:space="preserve"> ASQ 7-Month Follow-up Questionnaire</w:t>
      </w:r>
      <w:r w:rsidR="004F4A42">
        <w:t>_Korean</w:t>
      </w:r>
    </w:p>
    <w:p w:rsidR="003D69C9" w:rsidP="003D69C9" w14:paraId="16F61A3D" w14:textId="642E2B60">
      <w:r>
        <w:t>E</w:t>
      </w:r>
      <w:r w:rsidR="00F028EB">
        <w:t>-</w:t>
      </w:r>
      <w:r>
        <w:t>3</w:t>
      </w:r>
      <w:r w:rsidR="00F028EB">
        <w:t>.</w:t>
      </w:r>
      <w:r>
        <w:t xml:space="preserve"> </w:t>
      </w:r>
      <w:r w:rsidR="0089325B">
        <w:tab/>
      </w:r>
      <w:r w:rsidR="004F4A42">
        <w:t>NQDW_</w:t>
      </w:r>
      <w:r>
        <w:t>ASQ 7-Month Follow-up Questionnaire</w:t>
      </w:r>
      <w:r w:rsidR="004F4A42">
        <w:t>_Vietnamese</w:t>
      </w:r>
    </w:p>
    <w:p w:rsidR="007646BD" w:rsidP="003D69C9" w14:paraId="739B3F20" w14:textId="1A1E8D6B">
      <w:r>
        <w:t xml:space="preserve">E-4. </w:t>
      </w:r>
      <w:r>
        <w:tab/>
        <w:t>NQDW_ASQ 7-Month Follow-up Questionnaire_English</w:t>
      </w:r>
    </w:p>
    <w:p w:rsidR="002A0E58" w:rsidP="003D69C9" w14:paraId="37AEDCCC" w14:textId="4A595015"/>
    <w:p w:rsidR="002A0E58" w:rsidP="003D69C9" w14:paraId="5F620487" w14:textId="00D7D5CB">
      <w:r>
        <w:t>F</w:t>
      </w:r>
      <w:r>
        <w:t>.</w:t>
      </w:r>
      <w:r>
        <w:tab/>
        <w:t>NQDW Quitline Services Survey</w:t>
      </w:r>
    </w:p>
    <w:p w:rsidR="003D69C9" w:rsidP="003D69C9" w14:paraId="7A595A91" w14:textId="77777777"/>
    <w:p w:rsidR="00DF070D" w:rsidP="00DF070D" w14:paraId="50F466A9" w14:textId="73316D1D">
      <w:r>
        <w:t>G</w:t>
      </w:r>
      <w:r w:rsidRPr="00D31186">
        <w:t>-1.</w:t>
      </w:r>
      <w:r w:rsidRPr="00D31186">
        <w:tab/>
      </w:r>
      <w:r w:rsidR="0054163D">
        <w:t>Data Collection Calendar</w:t>
      </w:r>
    </w:p>
    <w:p w:rsidR="002A0E58" w:rsidP="00756667" w14:paraId="65AD841A" w14:textId="3C608231">
      <w:pPr>
        <w:ind w:left="720" w:hanging="720"/>
      </w:pPr>
      <w:r>
        <w:t>G-2</w:t>
      </w:r>
      <w:r>
        <w:t xml:space="preserve">. </w:t>
      </w:r>
      <w:r>
        <w:tab/>
      </w:r>
      <w:r w:rsidRPr="00354BBE">
        <w:rPr>
          <w:bCs/>
        </w:rPr>
        <w:t xml:space="preserve">Instructions for Submitting </w:t>
      </w:r>
      <w:r>
        <w:rPr>
          <w:bCs/>
        </w:rPr>
        <w:t>NQDW</w:t>
      </w:r>
      <w:r w:rsidRPr="00354BBE">
        <w:rPr>
          <w:bCs/>
        </w:rPr>
        <w:t xml:space="preserve"> Data to CDC</w:t>
      </w:r>
    </w:p>
    <w:p w:rsidR="0054163D" w:rsidP="00B35BF2" w14:paraId="1BC540DA" w14:textId="593294D7">
      <w:pPr>
        <w:ind w:left="720" w:hanging="720"/>
      </w:pPr>
      <w:r>
        <w:t>G</w:t>
      </w:r>
      <w:r>
        <w:t>-</w:t>
      </w:r>
      <w:r w:rsidR="006B3E3A">
        <w:t>3</w:t>
      </w:r>
      <w:r w:rsidR="00C87E42">
        <w:t>.</w:t>
      </w:r>
      <w:r w:rsidR="00C87E42">
        <w:tab/>
      </w:r>
      <w:r w:rsidRPr="00D31186">
        <w:t xml:space="preserve">Request Email for Submitting </w:t>
      </w:r>
      <w:r>
        <w:t>NQDW Individual-Level Intake data</w:t>
      </w:r>
      <w:r w:rsidR="006F6A39">
        <w:t xml:space="preserve"> (for quitlines without outstanding data)</w:t>
      </w:r>
    </w:p>
    <w:p w:rsidR="0054163D" w:rsidP="006F6A39" w14:paraId="66196E1E" w14:textId="373ACA61">
      <w:pPr>
        <w:ind w:left="720" w:hanging="720"/>
      </w:pPr>
      <w:r>
        <w:t>G</w:t>
      </w:r>
      <w:r>
        <w:t>-</w:t>
      </w:r>
      <w:r w:rsidR="006B3E3A">
        <w:t>4</w:t>
      </w:r>
      <w:r w:rsidR="00C87E42">
        <w:t>.</w:t>
      </w:r>
      <w:r w:rsidR="00C87E42">
        <w:tab/>
      </w:r>
      <w:r w:rsidRPr="00D31186" w:rsidR="006F6A39">
        <w:t xml:space="preserve">Request Email for Submitting </w:t>
      </w:r>
      <w:r w:rsidR="006F6A39">
        <w:t>NQDW Individual-Level Intake data (for quitlines with outstanding data)</w:t>
      </w:r>
    </w:p>
    <w:p w:rsidR="006F6A39" w:rsidP="006F6A39" w14:paraId="7517FA6F" w14:textId="723E8C80">
      <w:pPr>
        <w:ind w:left="720" w:hanging="720"/>
      </w:pPr>
      <w:r>
        <w:t>G</w:t>
      </w:r>
      <w:r>
        <w:t>-</w:t>
      </w:r>
      <w:r w:rsidR="006B3E3A">
        <w:t>5</w:t>
      </w:r>
      <w:r>
        <w:t>.</w:t>
      </w:r>
      <w:r w:rsidR="00C87E42">
        <w:tab/>
      </w:r>
      <w:r w:rsidRPr="00D31186">
        <w:t xml:space="preserve">Request Email for Submitting </w:t>
      </w:r>
      <w:r>
        <w:t>NQDW Individual-Level Intake data and Services Survey data (for quitlines without outstanding data)</w:t>
      </w:r>
    </w:p>
    <w:p w:rsidR="006F6A39" w:rsidRPr="00D31186" w:rsidP="0097760B" w14:paraId="799F7352" w14:textId="288DCEAF">
      <w:pPr>
        <w:ind w:left="720" w:hanging="720"/>
      </w:pPr>
      <w:r>
        <w:t>G</w:t>
      </w:r>
      <w:r>
        <w:t>-</w:t>
      </w:r>
      <w:r w:rsidR="006B3E3A">
        <w:t>6</w:t>
      </w:r>
      <w:r>
        <w:t>.</w:t>
      </w:r>
      <w:r w:rsidR="00C87E42">
        <w:tab/>
      </w:r>
      <w:r w:rsidRPr="00D31186">
        <w:t xml:space="preserve">Request Email for Submitting </w:t>
      </w:r>
      <w:r>
        <w:t>NQDW Individual-Level Intake data</w:t>
      </w:r>
      <w:r w:rsidRPr="006F6A39">
        <w:t xml:space="preserve"> </w:t>
      </w:r>
      <w:r>
        <w:t>and Services Survey data (for quitlines with outstanding data)</w:t>
      </w:r>
    </w:p>
    <w:p w:rsidR="00DF070D" w:rsidRPr="00D31186" w:rsidP="00FF4474" w14:paraId="3A2AD19C" w14:textId="56476CE1">
      <w:pPr>
        <w:ind w:left="720" w:hanging="720"/>
      </w:pPr>
      <w:r>
        <w:t>G</w:t>
      </w:r>
      <w:r w:rsidRPr="00D31186">
        <w:t>-</w:t>
      </w:r>
      <w:r w:rsidR="006B3E3A">
        <w:t>7</w:t>
      </w:r>
      <w:r w:rsidRPr="00D31186">
        <w:t>.</w:t>
      </w:r>
      <w:r w:rsidR="00C87E42">
        <w:tab/>
      </w:r>
      <w:r w:rsidRPr="00D31186">
        <w:t>Request Email for Submitting NQDW ASQ 7-month Follow-up data</w:t>
      </w:r>
    </w:p>
    <w:p w:rsidR="006F6A39" w:rsidP="00B35BF2" w14:paraId="30500080" w14:textId="6E9AF4C6">
      <w:pPr>
        <w:ind w:left="720" w:hanging="720"/>
      </w:pPr>
      <w:r>
        <w:t>G</w:t>
      </w:r>
      <w:r w:rsidRPr="00563B80" w:rsidR="00DF070D">
        <w:t>-</w:t>
      </w:r>
      <w:r w:rsidR="006B3E3A">
        <w:t>8</w:t>
      </w:r>
      <w:r w:rsidRPr="00563B80" w:rsidR="00DF070D">
        <w:t>.</w:t>
      </w:r>
      <w:r w:rsidR="00C87E42">
        <w:tab/>
      </w:r>
      <w:r w:rsidRPr="00563B80" w:rsidR="00DF070D">
        <w:t xml:space="preserve">Reminder Email </w:t>
      </w:r>
      <w:r>
        <w:t xml:space="preserve">Prompt </w:t>
      </w:r>
      <w:r w:rsidRPr="00563B80" w:rsidR="00DF070D">
        <w:t xml:space="preserve">for Non-Respondents for </w:t>
      </w:r>
      <w:r w:rsidRPr="006F6A39">
        <w:t>Individual-Level Intake data</w:t>
      </w:r>
      <w:r>
        <w:t xml:space="preserve">, </w:t>
      </w:r>
      <w:r w:rsidRPr="006F6A39">
        <w:t>Services Survey data</w:t>
      </w:r>
      <w:r>
        <w:t>, and/or</w:t>
      </w:r>
      <w:r w:rsidRPr="006F6A39">
        <w:t xml:space="preserve"> </w:t>
      </w:r>
      <w:r w:rsidRPr="00563B80" w:rsidR="00DF070D">
        <w:t>ASQ 7-month Follow-up data</w:t>
      </w:r>
    </w:p>
    <w:p w:rsidR="00D20576" w:rsidP="00DF070D" w14:paraId="1068A610" w14:textId="47A54011">
      <w:r>
        <w:t>G</w:t>
      </w:r>
      <w:r w:rsidRPr="00563B80" w:rsidR="00DF070D">
        <w:t>-</w:t>
      </w:r>
      <w:r w:rsidR="006B3E3A">
        <w:t>9</w:t>
      </w:r>
      <w:r w:rsidRPr="00563B80" w:rsidR="00DF070D">
        <w:t>.</w:t>
      </w:r>
      <w:r w:rsidRPr="00563B80" w:rsidR="00DF070D">
        <w:tab/>
        <w:t xml:space="preserve">Reminder Email for </w:t>
      </w:r>
      <w:r w:rsidR="006F6A39">
        <w:t xml:space="preserve">Follow-up with </w:t>
      </w:r>
      <w:r w:rsidRPr="00563B80" w:rsidR="00DF070D">
        <w:t xml:space="preserve">Non-Respondents </w:t>
      </w:r>
      <w:r w:rsidR="006F6A39">
        <w:t>to Repeated Data Requests</w:t>
      </w:r>
    </w:p>
    <w:p w:rsidR="00015D0D" w:rsidP="0054163D" w14:paraId="6298126C" w14:textId="77777777"/>
    <w:p w:rsidR="002A0E58" w:rsidP="0054163D" w14:paraId="28642DCD" w14:textId="2EA90564">
      <w:r>
        <w:t>H</w:t>
      </w:r>
      <w:r w:rsidRPr="00563B80">
        <w:t>.</w:t>
      </w:r>
      <w:r w:rsidRPr="00563B80">
        <w:tab/>
        <w:t>Sample Table shells</w:t>
      </w:r>
    </w:p>
    <w:p w:rsidR="00284AED" w14:paraId="61C84B04" w14:textId="61450BC4">
      <w:r>
        <w:br w:type="page"/>
      </w:r>
    </w:p>
    <w:p w:rsidR="00E00728" w:rsidRPr="00563B80" w:rsidP="00E00728" w14:paraId="30E1514B" w14:textId="77777777"/>
    <w:p w:rsidR="0055273A" w:rsidP="007F17E7" w14:paraId="0B60B0E3" w14:textId="77777777">
      <w:pPr>
        <w:spacing w:after="120"/>
        <w:ind w:left="-360"/>
      </w:pPr>
      <w:r>
        <w:rPr>
          <w:noProof/>
        </w:rPr>
        <mc:AlternateContent>
          <mc:Choice Requires="wps">
            <w:drawing>
              <wp:inline distT="0" distB="0" distL="0" distR="0">
                <wp:extent cx="6083300" cy="5031740"/>
                <wp:effectExtent l="0" t="0" r="38100" b="2286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3300" cy="5031740"/>
                        </a:xfrm>
                        <a:prstGeom prst="rect">
                          <a:avLst/>
                        </a:prstGeom>
                        <a:solidFill>
                          <a:srgbClr val="FFFFFF"/>
                        </a:solidFill>
                        <a:ln w="9525">
                          <a:solidFill>
                            <a:srgbClr val="000000"/>
                          </a:solidFill>
                          <a:miter lim="800000"/>
                          <a:headEnd/>
                          <a:tailEnd/>
                        </a:ln>
                      </wps:spPr>
                      <wps:txbx>
                        <w:txbxContent>
                          <w:p w:rsidR="00B23322" w:rsidRPr="0055273A" w:rsidP="00A558A7" w14:textId="36729F11">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w:t>
                            </w:r>
                            <w:r w:rsidR="004C40B1">
                              <w:rPr>
                                <w:sz w:val="20"/>
                                <w:szCs w:val="20"/>
                              </w:rPr>
                              <w:t xml:space="preserve"> </w:t>
                            </w:r>
                            <w:r w:rsidRPr="0055273A">
                              <w:rPr>
                                <w:sz w:val="20"/>
                                <w:szCs w:val="20"/>
                              </w:rPr>
                              <w:t>telephone quitlines offer to tobacco users</w:t>
                            </w:r>
                            <w:r>
                              <w:rPr>
                                <w:sz w:val="20"/>
                                <w:szCs w:val="20"/>
                              </w:rPr>
                              <w:t xml:space="preserve"> as well as the number and type of tobacco users who receive services from</w:t>
                            </w:r>
                            <w:r w:rsidR="004C40B1">
                              <w:rPr>
                                <w:sz w:val="20"/>
                                <w:szCs w:val="20"/>
                              </w:rPr>
                              <w:t xml:space="preserve"> </w:t>
                            </w:r>
                            <w:r>
                              <w:rPr>
                                <w:sz w:val="20"/>
                                <w:szCs w:val="20"/>
                              </w:rPr>
                              <w:t>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00B23322" w:rsidRPr="00A558A7" w:rsidP="009F465C" w14:textId="724FCB96">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w:t>
                            </w:r>
                            <w:r w:rsidR="004C40B1">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00B23322" w:rsidRPr="00FA2EC3" w:rsidP="00FA2EC3" w14:textId="4362C41A">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participants who received cessation service from state tobacco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participants who received services from the ASQ </w:t>
                            </w:r>
                            <w:r w:rsidRPr="003339DD">
                              <w:rPr>
                                <w:sz w:val="20"/>
                                <w:szCs w:val="20"/>
                              </w:rPr>
                              <w:t>only</w:t>
                            </w:r>
                            <w:r w:rsidRPr="003D7CE8">
                              <w:rPr>
                                <w:sz w:val="20"/>
                                <w:szCs w:val="20"/>
                              </w:rPr>
                              <w:t xml:space="preserve">. </w:t>
                            </w:r>
                            <w:r w:rsidRPr="000E60FE">
                              <w:rPr>
                                <w:rFonts w:cs="Calibri"/>
                                <w:sz w:val="20"/>
                                <w:szCs w:val="20"/>
                              </w:rPr>
                              <w:t>Seven</w:t>
                            </w:r>
                            <w:r w:rsidRPr="00D72034">
                              <w:rPr>
                                <w:rFonts w:cs="Calibri"/>
                                <w:sz w:val="20"/>
                                <w:szCs w:val="20"/>
                              </w:rPr>
                              <w:t>-month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00B23322" w:rsidRPr="00FA2EC3" w:rsidP="00FA2EC3" w14:textId="07286C10">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population</w:t>
                            </w:r>
                            <w:r>
                              <w:rPr>
                                <w:sz w:val="20"/>
                                <w:szCs w:val="20"/>
                              </w:rPr>
                              <w:t xml:space="preserve"> of peo</w:t>
                            </w:r>
                            <w:r w:rsidR="00F73201">
                              <w:rPr>
                                <w:sz w:val="20"/>
                                <w:szCs w:val="20"/>
                              </w:rPr>
                              <w:t>p</w:t>
                            </w:r>
                            <w:r>
                              <w:rPr>
                                <w:sz w:val="20"/>
                                <w:szCs w:val="20"/>
                              </w:rPr>
                              <w:t xml:space="preserve">le who use tobacco products and contact their state quitlines. Additionally, it also allows for collection of information about key subpopulations who experience tobacco-related disparities, such as pregnant women, uninsured people, and people with behavioral health conditions, who contact state quitlines to better support cessation services. </w:t>
                            </w:r>
                          </w:p>
                          <w:p w:rsidR="00B23322" w:rsidRPr="0047342B" w:rsidP="009F465C" w14:textId="3B9343DB">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people who use tobacco products receiving services from state quitlines.</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6" type="#_x0000_t202" style="width:479pt;height:396.2pt;mso-left-percent:-10001;mso-position-horizontal-relative:char;mso-position-vertical-relative:line;mso-top-percent:-10001;mso-wrap-style:square;visibility:visible;v-text-anchor:top">
                <v:textbox>
                  <w:txbxContent>
                    <w:p w:rsidR="00B23322" w:rsidRPr="0055273A" w:rsidP="00A558A7" w14:paraId="02E4AAC8" w14:textId="36729F11">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w:t>
                      </w:r>
                      <w:r w:rsidR="004C40B1">
                        <w:rPr>
                          <w:sz w:val="20"/>
                          <w:szCs w:val="20"/>
                        </w:rPr>
                        <w:t xml:space="preserve"> </w:t>
                      </w:r>
                      <w:r w:rsidRPr="0055273A">
                        <w:rPr>
                          <w:sz w:val="20"/>
                          <w:szCs w:val="20"/>
                        </w:rPr>
                        <w:t>telephone quitlines offer to tobacco users</w:t>
                      </w:r>
                      <w:r>
                        <w:rPr>
                          <w:sz w:val="20"/>
                          <w:szCs w:val="20"/>
                        </w:rPr>
                        <w:t xml:space="preserve"> as well as the number and type of tobacco users who receive services from</w:t>
                      </w:r>
                      <w:r w:rsidR="004C40B1">
                        <w:rPr>
                          <w:sz w:val="20"/>
                          <w:szCs w:val="20"/>
                        </w:rPr>
                        <w:t xml:space="preserve"> </w:t>
                      </w:r>
                      <w:r>
                        <w:rPr>
                          <w:sz w:val="20"/>
                          <w:szCs w:val="20"/>
                        </w:rPr>
                        <w:t>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00B23322" w:rsidRPr="00A558A7" w:rsidP="009F465C" w14:paraId="197871BB" w14:textId="724FCB96">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w:t>
                      </w:r>
                      <w:r w:rsidR="004C40B1">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00B23322" w:rsidRPr="00FA2EC3" w:rsidP="00FA2EC3" w14:paraId="3CAFD9D2" w14:textId="4362C41A">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participants who received cessation service from state tobacco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participants who received services from the ASQ </w:t>
                      </w:r>
                      <w:r w:rsidRPr="003339DD">
                        <w:rPr>
                          <w:sz w:val="20"/>
                          <w:szCs w:val="20"/>
                        </w:rPr>
                        <w:t>only</w:t>
                      </w:r>
                      <w:r w:rsidRPr="003D7CE8">
                        <w:rPr>
                          <w:sz w:val="20"/>
                          <w:szCs w:val="20"/>
                        </w:rPr>
                        <w:t xml:space="preserve">. </w:t>
                      </w:r>
                      <w:r w:rsidRPr="000E60FE">
                        <w:rPr>
                          <w:rFonts w:cs="Calibri"/>
                          <w:sz w:val="20"/>
                          <w:szCs w:val="20"/>
                        </w:rPr>
                        <w:t>Seven</w:t>
                      </w:r>
                      <w:r w:rsidRPr="00D72034">
                        <w:rPr>
                          <w:rFonts w:cs="Calibri"/>
                          <w:sz w:val="20"/>
                          <w:szCs w:val="20"/>
                        </w:rPr>
                        <w:t>-month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00B23322" w:rsidRPr="00FA2EC3" w:rsidP="00FA2EC3" w14:paraId="41441153" w14:textId="07286C10">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population</w:t>
                      </w:r>
                      <w:r>
                        <w:rPr>
                          <w:sz w:val="20"/>
                          <w:szCs w:val="20"/>
                        </w:rPr>
                        <w:t xml:space="preserve"> of peo</w:t>
                      </w:r>
                      <w:r w:rsidR="00F73201">
                        <w:rPr>
                          <w:sz w:val="20"/>
                          <w:szCs w:val="20"/>
                        </w:rPr>
                        <w:t>p</w:t>
                      </w:r>
                      <w:r>
                        <w:rPr>
                          <w:sz w:val="20"/>
                          <w:szCs w:val="20"/>
                        </w:rPr>
                        <w:t xml:space="preserve">le who use tobacco products and contact their state quitlines. Additionally, it also allows for collection of information about key subpopulations who experience tobacco-related disparities, such as pregnant women, uninsured people, and people with behavioral health conditions, who contact state quitlines to better support cessation services. </w:t>
                      </w:r>
                    </w:p>
                    <w:p w:rsidR="00B23322" w:rsidRPr="0047342B" w:rsidP="009F465C" w14:paraId="6B59744B" w14:textId="3B9343DB">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people who use tobacco products receiving services from state quitlines.</w:t>
                      </w:r>
                    </w:p>
                  </w:txbxContent>
                </v:textbox>
                <w10:wrap type="none"/>
                <w10:anchorlock/>
              </v:shape>
            </w:pict>
          </mc:Fallback>
        </mc:AlternateContent>
      </w:r>
    </w:p>
    <w:p w:rsidR="007F17E7" w:rsidP="009F465C" w14:paraId="176EA6D2" w14:textId="77777777">
      <w:pPr>
        <w:spacing w:after="120"/>
        <w:rPr>
          <w:b/>
          <w:bCs/>
          <w:caps/>
          <w:u w:val="single"/>
        </w:rPr>
      </w:pPr>
    </w:p>
    <w:p w:rsidR="0031112A" w14:paraId="0B027C2B" w14:textId="77777777">
      <w:pPr>
        <w:rPr>
          <w:b/>
          <w:bCs/>
          <w:caps/>
          <w:u w:val="single"/>
        </w:rPr>
      </w:pPr>
      <w:r>
        <w:rPr>
          <w:b/>
          <w:bCs/>
          <w:caps/>
          <w:u w:val="single"/>
        </w:rPr>
        <w:br w:type="page"/>
      </w:r>
    </w:p>
    <w:p w:rsidR="0049662B" w:rsidP="0031753C" w14:paraId="796221BC" w14:textId="77777777">
      <w:pPr>
        <w:pStyle w:val="Heading2"/>
        <w:spacing w:after="120"/>
      </w:pPr>
    </w:p>
    <w:p w:rsidR="004E048D" w:rsidP="0031753C" w14:paraId="44B51844" w14:textId="77777777">
      <w:pPr>
        <w:pStyle w:val="Heading2"/>
        <w:spacing w:after="120"/>
        <w:rPr>
          <w:u w:val="single"/>
        </w:rPr>
      </w:pPr>
      <w:r>
        <w:t>A.</w:t>
      </w:r>
      <w:r w:rsidR="00D57581">
        <w:t>1</w:t>
      </w:r>
      <w:r>
        <w:t>.</w:t>
      </w:r>
      <w:r>
        <w:tab/>
      </w:r>
      <w:r>
        <w:rPr>
          <w:u w:val="single"/>
        </w:rPr>
        <w:t>CIRCUMSTANCES MAKING THE COLLECTION OF INFORMATION NECESSARY</w:t>
      </w:r>
    </w:p>
    <w:p w:rsidR="00D2144E" w:rsidP="00735497" w14:paraId="7270C2FD" w14:textId="77777777">
      <w:pPr>
        <w:pStyle w:val="Heading3"/>
        <w:spacing w:after="120"/>
        <w:ind w:left="0"/>
      </w:pPr>
    </w:p>
    <w:p w:rsidR="00D2144E" w:rsidRPr="009D7788" w:rsidP="00F84E2E" w14:paraId="6AF55F64" w14:textId="6E3EEE91">
      <w:pPr>
        <w:pStyle w:val="Heading3"/>
        <w:ind w:left="0" w:firstLine="720"/>
        <w:rPr>
          <w:b w:val="0"/>
          <w:bCs/>
          <w:iCs/>
          <w:szCs w:val="24"/>
        </w:rPr>
      </w:pPr>
      <w:r w:rsidRPr="009D7788">
        <w:rPr>
          <w:b w:val="0"/>
          <w:szCs w:val="24"/>
        </w:rPr>
        <w:t xml:space="preserve">CDC requests OMB approval to </w:t>
      </w:r>
      <w:r w:rsidRPr="009D7788" w:rsidR="008B67C5">
        <w:rPr>
          <w:b w:val="0"/>
          <w:szCs w:val="24"/>
        </w:rPr>
        <w:t>continue information collection</w:t>
      </w:r>
      <w:r w:rsidRPr="009D7788">
        <w:rPr>
          <w:b w:val="0"/>
          <w:szCs w:val="24"/>
        </w:rPr>
        <w:t xml:space="preserve"> for the National Quitline Data Warehouse (NQDW)</w:t>
      </w:r>
      <w:r w:rsidRPr="009D7788" w:rsidR="00C23766">
        <w:rPr>
          <w:b w:val="0"/>
          <w:szCs w:val="24"/>
        </w:rPr>
        <w:t xml:space="preserve"> (OMB No. 0920-0856, exp. </w:t>
      </w:r>
      <w:r w:rsidRPr="009D7788" w:rsidR="003339DD">
        <w:rPr>
          <w:b w:val="0"/>
          <w:szCs w:val="24"/>
        </w:rPr>
        <w:t>10</w:t>
      </w:r>
      <w:r w:rsidRPr="009D7788" w:rsidR="00C23766">
        <w:rPr>
          <w:b w:val="0"/>
          <w:szCs w:val="24"/>
        </w:rPr>
        <w:t>/31/20</w:t>
      </w:r>
      <w:r w:rsidRPr="009D7788" w:rsidR="003339DD">
        <w:rPr>
          <w:b w:val="0"/>
          <w:szCs w:val="24"/>
        </w:rPr>
        <w:t>2</w:t>
      </w:r>
      <w:r w:rsidRPr="009D7788" w:rsidR="009F43E8">
        <w:rPr>
          <w:b w:val="0"/>
          <w:szCs w:val="24"/>
        </w:rPr>
        <w:t>2</w:t>
      </w:r>
      <w:r w:rsidRPr="009D7788" w:rsidR="00C23766">
        <w:rPr>
          <w:b w:val="0"/>
          <w:szCs w:val="24"/>
        </w:rPr>
        <w:t>)</w:t>
      </w:r>
      <w:r w:rsidRPr="009D7788" w:rsidR="008B67C5">
        <w:rPr>
          <w:b w:val="0"/>
          <w:szCs w:val="24"/>
        </w:rPr>
        <w:t xml:space="preserve">. </w:t>
      </w:r>
      <w:r w:rsidRPr="009D7788" w:rsidR="00C23766">
        <w:rPr>
          <w:b w:val="0"/>
          <w:szCs w:val="24"/>
        </w:rPr>
        <w:t xml:space="preserve">OMB approval is requested for three years. </w:t>
      </w:r>
      <w:r w:rsidRPr="009D7788" w:rsidR="00981804">
        <w:rPr>
          <w:b w:val="0"/>
          <w:szCs w:val="24"/>
        </w:rPr>
        <w:t xml:space="preserve">CDC’s authority to collect information for the NQDW is provided by the Public </w:t>
      </w:r>
      <w:r w:rsidRPr="009D7788" w:rsidR="00286823">
        <w:rPr>
          <w:b w:val="0"/>
          <w:szCs w:val="24"/>
        </w:rPr>
        <w:t>Health Service Act (</w:t>
      </w:r>
      <w:r w:rsidRPr="009D7788" w:rsidR="00C66F8E">
        <w:rPr>
          <w:b w:val="0"/>
          <w:szCs w:val="24"/>
        </w:rPr>
        <w:t>Attachment</w:t>
      </w:r>
      <w:r w:rsidRPr="009D7788" w:rsidR="00D30187">
        <w:rPr>
          <w:b w:val="0"/>
          <w:szCs w:val="24"/>
        </w:rPr>
        <w:t xml:space="preserve"> A</w:t>
      </w:r>
      <w:r w:rsidRPr="009D7788" w:rsidR="00286823">
        <w:rPr>
          <w:b w:val="0"/>
          <w:szCs w:val="24"/>
        </w:rPr>
        <w:t>-1</w:t>
      </w:r>
      <w:bookmarkStart w:id="0" w:name="_Hlk94600606"/>
      <w:r w:rsidRPr="009D7788" w:rsidR="00981804">
        <w:rPr>
          <w:b w:val="0"/>
          <w:szCs w:val="24"/>
        </w:rPr>
        <w:t>)</w:t>
      </w:r>
      <w:r w:rsidR="00B30840">
        <w:rPr>
          <w:b w:val="0"/>
          <w:szCs w:val="24"/>
        </w:rPr>
        <w:t xml:space="preserve">. </w:t>
      </w:r>
      <w:r w:rsidRPr="009D7788" w:rsidR="00BC0E8E">
        <w:rPr>
          <w:b w:val="0"/>
          <w:szCs w:val="24"/>
        </w:rPr>
        <w:t xml:space="preserve">Activities to improve quitline capacity are supported </w:t>
      </w:r>
      <w:r w:rsidRPr="009D7788" w:rsidR="00352B02">
        <w:rPr>
          <w:b w:val="0"/>
          <w:szCs w:val="24"/>
        </w:rPr>
        <w:t>by funding through the Prevention and Public Health Fund.</w:t>
      </w:r>
      <w:r w:rsidR="00D544A2">
        <w:rPr>
          <w:b w:val="0"/>
          <w:szCs w:val="24"/>
        </w:rPr>
        <w:t xml:space="preserve"> </w:t>
      </w:r>
    </w:p>
    <w:bookmarkEnd w:id="0"/>
    <w:p w:rsidR="007D2E07" w:rsidRPr="009D7788" w:rsidP="00F84E2E" w14:paraId="6259665A" w14:textId="220F96D7">
      <w:pPr>
        <w:pStyle w:val="Heading3"/>
        <w:ind w:left="0" w:firstLine="720"/>
        <w:rPr>
          <w:b w:val="0"/>
          <w:szCs w:val="24"/>
        </w:rPr>
      </w:pPr>
      <w:r w:rsidRPr="009D7788">
        <w:rPr>
          <w:b w:val="0"/>
          <w:szCs w:val="24"/>
        </w:rPr>
        <w:t xml:space="preserve">The U.S. Surgeon General has concluded that the burden of death and disease from tobacco use in the United States is overwhelmingly caused by cigarettes and other combusted tobacco products (USDHHS, 2014). Cigarettes are the most commonly used tobacco product among U.S. adults, and about 480,000 U.S. deaths per year are caused by cigarette smoking and secondhand smoke exposure </w:t>
      </w:r>
      <w:r w:rsidRPr="009D7788" w:rsidR="004E048D">
        <w:rPr>
          <w:b w:val="0"/>
          <w:szCs w:val="24"/>
        </w:rPr>
        <w:t>(</w:t>
      </w:r>
      <w:r w:rsidRPr="009D7788" w:rsidR="0023152B">
        <w:rPr>
          <w:b w:val="0"/>
          <w:szCs w:val="24"/>
        </w:rPr>
        <w:t xml:space="preserve">CDC, 2018; </w:t>
      </w:r>
      <w:r w:rsidRPr="009D7788" w:rsidR="004E048D">
        <w:rPr>
          <w:b w:val="0"/>
          <w:szCs w:val="24"/>
        </w:rPr>
        <w:t xml:space="preserve">USDHHS, </w:t>
      </w:r>
      <w:r w:rsidRPr="009D7788" w:rsidR="001F5D95">
        <w:rPr>
          <w:b w:val="0"/>
          <w:szCs w:val="24"/>
        </w:rPr>
        <w:t>20</w:t>
      </w:r>
      <w:r w:rsidRPr="009D7788" w:rsidR="0023152B">
        <w:rPr>
          <w:b w:val="0"/>
          <w:szCs w:val="24"/>
        </w:rPr>
        <w:t>14</w:t>
      </w:r>
      <w:r w:rsidRPr="009D7788" w:rsidR="004E048D">
        <w:rPr>
          <w:b w:val="0"/>
          <w:szCs w:val="24"/>
        </w:rPr>
        <w:t xml:space="preserve">). </w:t>
      </w:r>
      <w:r w:rsidRPr="009D7788" w:rsidR="0076783C">
        <w:rPr>
          <w:b w:val="0"/>
          <w:szCs w:val="24"/>
        </w:rPr>
        <w:t>In addition,</w:t>
      </w:r>
      <w:r w:rsidRPr="009D7788" w:rsidR="004D0925">
        <w:rPr>
          <w:b w:val="0"/>
          <w:szCs w:val="24"/>
        </w:rPr>
        <w:t xml:space="preserve"> </w:t>
      </w:r>
      <w:r w:rsidRPr="009D7788" w:rsidR="00BC0E8E">
        <w:rPr>
          <w:b w:val="0"/>
          <w:szCs w:val="24"/>
        </w:rPr>
        <w:t>f</w:t>
      </w:r>
      <w:r w:rsidRPr="009D7788" w:rsidR="0081096E">
        <w:rPr>
          <w:b w:val="0"/>
          <w:szCs w:val="24"/>
        </w:rPr>
        <w:t>or every person who dies from smoking, 3</w:t>
      </w:r>
      <w:r w:rsidRPr="009D7788" w:rsidR="00F76426">
        <w:rPr>
          <w:b w:val="0"/>
          <w:szCs w:val="24"/>
        </w:rPr>
        <w:t>0</w:t>
      </w:r>
      <w:r w:rsidRPr="009D7788" w:rsidR="0081096E">
        <w:rPr>
          <w:b w:val="0"/>
          <w:szCs w:val="24"/>
        </w:rPr>
        <w:t xml:space="preserve"> additional people suffer from at least one serious smoking-related illness (USDHHS, 2014). </w:t>
      </w:r>
      <w:r w:rsidRPr="009D7788">
        <w:rPr>
          <w:b w:val="0"/>
          <w:szCs w:val="24"/>
        </w:rPr>
        <w:t xml:space="preserve">Despite these harmful effects, </w:t>
      </w:r>
      <w:r w:rsidRPr="009D7788" w:rsidR="009004D4">
        <w:rPr>
          <w:b w:val="0"/>
          <w:szCs w:val="24"/>
        </w:rPr>
        <w:t>in 201</w:t>
      </w:r>
      <w:r w:rsidRPr="009D7788" w:rsidR="001971B8">
        <w:rPr>
          <w:b w:val="0"/>
          <w:szCs w:val="24"/>
        </w:rPr>
        <w:t>9</w:t>
      </w:r>
      <w:r w:rsidRPr="009D7788" w:rsidR="009004D4">
        <w:rPr>
          <w:b w:val="0"/>
          <w:szCs w:val="24"/>
        </w:rPr>
        <w:t xml:space="preserve"> an estimated </w:t>
      </w:r>
      <w:r w:rsidRPr="009D7788" w:rsidR="001971B8">
        <w:rPr>
          <w:b w:val="0"/>
          <w:szCs w:val="24"/>
        </w:rPr>
        <w:t>50.6</w:t>
      </w:r>
      <w:r w:rsidRPr="009D7788" w:rsidR="009004D4">
        <w:rPr>
          <w:b w:val="0"/>
          <w:szCs w:val="24"/>
        </w:rPr>
        <w:t xml:space="preserve"> million (</w:t>
      </w:r>
      <w:r w:rsidRPr="009D7788" w:rsidR="00353173">
        <w:rPr>
          <w:b w:val="0"/>
          <w:szCs w:val="24"/>
        </w:rPr>
        <w:t>20.8</w:t>
      </w:r>
      <w:r w:rsidRPr="009D7788" w:rsidR="009004D4">
        <w:rPr>
          <w:b w:val="0"/>
          <w:szCs w:val="24"/>
        </w:rPr>
        <w:t xml:space="preserve">%) </w:t>
      </w:r>
      <w:r w:rsidRPr="009D7788" w:rsidR="00243EE9">
        <w:rPr>
          <w:b w:val="0"/>
          <w:szCs w:val="24"/>
        </w:rPr>
        <w:t xml:space="preserve">of U.S. adults </w:t>
      </w:r>
      <w:r w:rsidRPr="009D7788" w:rsidR="00B06299">
        <w:rPr>
          <w:b w:val="0"/>
          <w:szCs w:val="24"/>
        </w:rPr>
        <w:t>current</w:t>
      </w:r>
      <w:r w:rsidRPr="009D7788" w:rsidR="009004D4">
        <w:rPr>
          <w:b w:val="0"/>
          <w:szCs w:val="24"/>
        </w:rPr>
        <w:t>ly used</w:t>
      </w:r>
      <w:r w:rsidRPr="009D7788" w:rsidR="00243EE9">
        <w:rPr>
          <w:b w:val="0"/>
          <w:szCs w:val="24"/>
        </w:rPr>
        <w:t xml:space="preserve"> a tobacco product, including</w:t>
      </w:r>
      <w:r w:rsidRPr="009D7788" w:rsidR="00B06299">
        <w:rPr>
          <w:b w:val="0"/>
          <w:szCs w:val="24"/>
        </w:rPr>
        <w:t xml:space="preserve"> cigarettes</w:t>
      </w:r>
      <w:r w:rsidRPr="009D7788" w:rsidR="00243EE9">
        <w:rPr>
          <w:b w:val="0"/>
          <w:szCs w:val="24"/>
        </w:rPr>
        <w:t xml:space="preserve"> </w:t>
      </w:r>
      <w:r w:rsidRPr="009D7788" w:rsidR="00B06299">
        <w:rPr>
          <w:b w:val="0"/>
          <w:szCs w:val="24"/>
        </w:rPr>
        <w:t>(</w:t>
      </w:r>
      <w:r w:rsidRPr="009D7788" w:rsidR="00995026">
        <w:rPr>
          <w:b w:val="0"/>
          <w:szCs w:val="24"/>
        </w:rPr>
        <w:t>34.</w:t>
      </w:r>
      <w:r w:rsidRPr="009D7788" w:rsidR="00353173">
        <w:rPr>
          <w:b w:val="0"/>
          <w:szCs w:val="24"/>
        </w:rPr>
        <w:t>1</w:t>
      </w:r>
      <w:r w:rsidRPr="009D7788" w:rsidR="00995026">
        <w:rPr>
          <w:b w:val="0"/>
          <w:szCs w:val="24"/>
        </w:rPr>
        <w:t xml:space="preserve"> million</w:t>
      </w:r>
      <w:r w:rsidRPr="009D7788" w:rsidR="00B06299">
        <w:rPr>
          <w:b w:val="0"/>
          <w:szCs w:val="24"/>
        </w:rPr>
        <w:t>),</w:t>
      </w:r>
      <w:r w:rsidRPr="009D7788" w:rsidR="00671034">
        <w:rPr>
          <w:b w:val="0"/>
          <w:szCs w:val="24"/>
        </w:rPr>
        <w:t xml:space="preserve"> </w:t>
      </w:r>
      <w:r w:rsidRPr="009D7788" w:rsidR="00912C37">
        <w:rPr>
          <w:b w:val="0"/>
          <w:szCs w:val="24"/>
        </w:rPr>
        <w:t>e-cigarettes (10.</w:t>
      </w:r>
      <w:r w:rsidRPr="009D7788" w:rsidR="00D6616E">
        <w:rPr>
          <w:b w:val="0"/>
          <w:szCs w:val="24"/>
        </w:rPr>
        <w:t>9</w:t>
      </w:r>
      <w:r w:rsidRPr="009D7788" w:rsidR="00912C37">
        <w:rPr>
          <w:b w:val="0"/>
          <w:szCs w:val="24"/>
        </w:rPr>
        <w:t xml:space="preserve"> million), </w:t>
      </w:r>
      <w:r w:rsidRPr="009D7788" w:rsidR="00671034">
        <w:rPr>
          <w:b w:val="0"/>
          <w:szCs w:val="24"/>
        </w:rPr>
        <w:t>cigars (</w:t>
      </w:r>
      <w:r w:rsidRPr="009D7788" w:rsidR="00E86396">
        <w:rPr>
          <w:b w:val="0"/>
          <w:szCs w:val="24"/>
        </w:rPr>
        <w:t>8.7</w:t>
      </w:r>
      <w:r w:rsidRPr="009D7788" w:rsidR="00CE188E">
        <w:rPr>
          <w:b w:val="0"/>
          <w:szCs w:val="24"/>
        </w:rPr>
        <w:t xml:space="preserve"> </w:t>
      </w:r>
      <w:r w:rsidRPr="009D7788" w:rsidR="00602D74">
        <w:rPr>
          <w:b w:val="0"/>
          <w:szCs w:val="24"/>
        </w:rPr>
        <w:t>million),</w:t>
      </w:r>
      <w:r w:rsidRPr="009D7788" w:rsidR="00A27B02">
        <w:rPr>
          <w:b w:val="0"/>
          <w:szCs w:val="24"/>
        </w:rPr>
        <w:t xml:space="preserve"> </w:t>
      </w:r>
      <w:r w:rsidRPr="009D7788" w:rsidR="00F0664B">
        <w:rPr>
          <w:b w:val="0"/>
          <w:szCs w:val="24"/>
        </w:rPr>
        <w:t>and smokeless tobacco</w:t>
      </w:r>
      <w:r w:rsidRPr="009D7788" w:rsidR="009004D4">
        <w:rPr>
          <w:b w:val="0"/>
          <w:szCs w:val="24"/>
        </w:rPr>
        <w:t xml:space="preserve"> (</w:t>
      </w:r>
      <w:r w:rsidRPr="009D7788" w:rsidR="00671034">
        <w:rPr>
          <w:b w:val="0"/>
          <w:szCs w:val="24"/>
        </w:rPr>
        <w:t>5.9 million)</w:t>
      </w:r>
      <w:r w:rsidRPr="009D7788" w:rsidR="00602D74">
        <w:rPr>
          <w:b w:val="0"/>
          <w:szCs w:val="24"/>
        </w:rPr>
        <w:t xml:space="preserve"> (C</w:t>
      </w:r>
      <w:r w:rsidRPr="009D7788" w:rsidR="00E86396">
        <w:rPr>
          <w:b w:val="0"/>
          <w:szCs w:val="24"/>
        </w:rPr>
        <w:t>ornelius</w:t>
      </w:r>
      <w:r w:rsidRPr="009D7788" w:rsidR="00602D74">
        <w:rPr>
          <w:b w:val="0"/>
          <w:szCs w:val="24"/>
        </w:rPr>
        <w:t xml:space="preserve"> et al, </w:t>
      </w:r>
      <w:r w:rsidRPr="009D7788" w:rsidR="00E86396">
        <w:rPr>
          <w:b w:val="0"/>
          <w:szCs w:val="24"/>
        </w:rPr>
        <w:t>2020</w:t>
      </w:r>
      <w:r w:rsidRPr="009D7788" w:rsidR="00602D74">
        <w:rPr>
          <w:b w:val="0"/>
          <w:szCs w:val="24"/>
        </w:rPr>
        <w:t>)</w:t>
      </w:r>
      <w:r w:rsidR="00B30840">
        <w:rPr>
          <w:b w:val="0"/>
          <w:szCs w:val="24"/>
        </w:rPr>
        <w:t xml:space="preserve">. </w:t>
      </w:r>
      <w:r w:rsidRPr="009D7788" w:rsidR="00602D74">
        <w:rPr>
          <w:b w:val="0"/>
          <w:szCs w:val="24"/>
        </w:rPr>
        <w:t>M</w:t>
      </w:r>
      <w:r w:rsidRPr="009D7788" w:rsidR="00F0664B">
        <w:rPr>
          <w:b w:val="0"/>
          <w:szCs w:val="24"/>
        </w:rPr>
        <w:t>oreover</w:t>
      </w:r>
      <w:r w:rsidRPr="009D7788" w:rsidR="00602D74">
        <w:rPr>
          <w:b w:val="0"/>
          <w:szCs w:val="24"/>
        </w:rPr>
        <w:t>,</w:t>
      </w:r>
      <w:r w:rsidRPr="009D7788">
        <w:rPr>
          <w:b w:val="0"/>
          <w:szCs w:val="24"/>
        </w:rPr>
        <w:t xml:space="preserve"> marked sociodemographic differences in smoking prevalence persist</w:t>
      </w:r>
      <w:r w:rsidRPr="009D7788" w:rsidR="0076783C">
        <w:rPr>
          <w:b w:val="0"/>
          <w:szCs w:val="24"/>
        </w:rPr>
        <w:t>.</w:t>
      </w:r>
      <w:r w:rsidRPr="009D7788" w:rsidR="00602D74">
        <w:rPr>
          <w:b w:val="0"/>
          <w:szCs w:val="24"/>
        </w:rPr>
        <w:t xml:space="preserve"> </w:t>
      </w:r>
      <w:r w:rsidRPr="009D7788" w:rsidR="0076783C">
        <w:rPr>
          <w:b w:val="0"/>
          <w:szCs w:val="24"/>
        </w:rPr>
        <w:t>F</w:t>
      </w:r>
      <w:r w:rsidRPr="009D7788" w:rsidR="00602D74">
        <w:rPr>
          <w:b w:val="0"/>
          <w:szCs w:val="24"/>
        </w:rPr>
        <w:t>or example,</w:t>
      </w:r>
      <w:r w:rsidRPr="009D7788" w:rsidR="00602D74">
        <w:rPr>
          <w:b w:val="0"/>
          <w:szCs w:val="24"/>
        </w:rPr>
        <w:t xml:space="preserve"> </w:t>
      </w:r>
      <w:r w:rsidRPr="009D7788" w:rsidR="00780542">
        <w:rPr>
          <w:b w:val="0"/>
          <w:szCs w:val="24"/>
        </w:rPr>
        <w:t>i</w:t>
      </w:r>
      <w:r w:rsidRPr="009D7788" w:rsidR="00720308">
        <w:rPr>
          <w:b w:val="0"/>
          <w:szCs w:val="24"/>
        </w:rPr>
        <w:t>n 201</w:t>
      </w:r>
      <w:r w:rsidRPr="009D7788" w:rsidR="00E60789">
        <w:rPr>
          <w:b w:val="0"/>
          <w:szCs w:val="24"/>
        </w:rPr>
        <w:t>9</w:t>
      </w:r>
      <w:r w:rsidRPr="009D7788" w:rsidR="0076783C">
        <w:rPr>
          <w:b w:val="0"/>
          <w:szCs w:val="24"/>
        </w:rPr>
        <w:t>,</w:t>
      </w:r>
      <w:r w:rsidRPr="009D7788" w:rsidR="00720308">
        <w:rPr>
          <w:b w:val="0"/>
          <w:szCs w:val="24"/>
        </w:rPr>
        <w:t xml:space="preserve"> </w:t>
      </w:r>
      <w:r w:rsidRPr="009D7788" w:rsidR="00460AD5">
        <w:rPr>
          <w:b w:val="0"/>
          <w:szCs w:val="24"/>
        </w:rPr>
        <w:t>20.9</w:t>
      </w:r>
      <w:r w:rsidRPr="009D7788" w:rsidR="00780542">
        <w:rPr>
          <w:b w:val="0"/>
          <w:szCs w:val="24"/>
        </w:rPr>
        <w:t xml:space="preserve"> % of </w:t>
      </w:r>
      <w:r w:rsidRPr="009D7788" w:rsidR="00393323">
        <w:rPr>
          <w:b w:val="0"/>
          <w:szCs w:val="24"/>
        </w:rPr>
        <w:t>American Indian/Alaska Native</w:t>
      </w:r>
      <w:r w:rsidRPr="009D7788" w:rsidR="00780542">
        <w:rPr>
          <w:b w:val="0"/>
          <w:szCs w:val="24"/>
        </w:rPr>
        <w:t xml:space="preserve"> adults </w:t>
      </w:r>
      <w:r w:rsidRPr="009D7788" w:rsidR="002342BF">
        <w:rPr>
          <w:b w:val="0"/>
          <w:szCs w:val="24"/>
        </w:rPr>
        <w:t>reported smoking</w:t>
      </w:r>
      <w:r w:rsidRPr="009D7788" w:rsidR="00780542">
        <w:rPr>
          <w:b w:val="0"/>
          <w:szCs w:val="24"/>
        </w:rPr>
        <w:t xml:space="preserve"> cigarettes</w:t>
      </w:r>
      <w:r w:rsidRPr="009D7788" w:rsidR="00F1044A">
        <w:rPr>
          <w:b w:val="0"/>
          <w:szCs w:val="24"/>
        </w:rPr>
        <w:t xml:space="preserve"> compared to 15.5% of White, non-</w:t>
      </w:r>
      <w:r w:rsidRPr="009D7788" w:rsidR="005A18A7">
        <w:rPr>
          <w:b w:val="0"/>
          <w:szCs w:val="24"/>
        </w:rPr>
        <w:t>Hispanic adults,</w:t>
      </w:r>
      <w:r w:rsidRPr="009D7788" w:rsidR="00780542">
        <w:rPr>
          <w:b w:val="0"/>
          <w:szCs w:val="24"/>
        </w:rPr>
        <w:t xml:space="preserve"> and</w:t>
      </w:r>
      <w:r w:rsidRPr="009D7788" w:rsidR="00991352">
        <w:rPr>
          <w:b w:val="0"/>
          <w:szCs w:val="24"/>
        </w:rPr>
        <w:t xml:space="preserve"> 3</w:t>
      </w:r>
      <w:r w:rsidRPr="009D7788" w:rsidR="00460AD5">
        <w:rPr>
          <w:b w:val="0"/>
          <w:szCs w:val="24"/>
        </w:rPr>
        <w:t>5.3</w:t>
      </w:r>
      <w:r w:rsidRPr="009D7788" w:rsidR="00991352">
        <w:rPr>
          <w:b w:val="0"/>
          <w:szCs w:val="24"/>
        </w:rPr>
        <w:t xml:space="preserve">% </w:t>
      </w:r>
      <w:r w:rsidRPr="009D7788" w:rsidR="00780542">
        <w:rPr>
          <w:b w:val="0"/>
          <w:szCs w:val="24"/>
        </w:rPr>
        <w:t xml:space="preserve">of </w:t>
      </w:r>
      <w:r w:rsidRPr="009D7788" w:rsidR="00183A9F">
        <w:rPr>
          <w:b w:val="0"/>
          <w:szCs w:val="24"/>
        </w:rPr>
        <w:t xml:space="preserve">adults who </w:t>
      </w:r>
      <w:r w:rsidRPr="009D7788" w:rsidR="00780542">
        <w:rPr>
          <w:b w:val="0"/>
          <w:szCs w:val="24"/>
        </w:rPr>
        <w:t xml:space="preserve">had </w:t>
      </w:r>
      <w:r w:rsidRPr="009D7788" w:rsidR="00183A9F">
        <w:rPr>
          <w:b w:val="0"/>
          <w:szCs w:val="24"/>
        </w:rPr>
        <w:t>earned a GED</w:t>
      </w:r>
      <w:r w:rsidRPr="009D7788" w:rsidR="002342BF">
        <w:rPr>
          <w:b w:val="0"/>
          <w:szCs w:val="24"/>
        </w:rPr>
        <w:t xml:space="preserve"> reported smoking cigarettes</w:t>
      </w:r>
      <w:r w:rsidRPr="009D7788" w:rsidR="005A18A7">
        <w:rPr>
          <w:b w:val="0"/>
          <w:szCs w:val="24"/>
        </w:rPr>
        <w:t xml:space="preserve"> compared to </w:t>
      </w:r>
      <w:r w:rsidRPr="009D7788" w:rsidR="004961EA">
        <w:rPr>
          <w:b w:val="0"/>
          <w:szCs w:val="24"/>
        </w:rPr>
        <w:t>6.9</w:t>
      </w:r>
      <w:r w:rsidRPr="009D7788" w:rsidR="005A18A7">
        <w:rPr>
          <w:b w:val="0"/>
          <w:szCs w:val="24"/>
        </w:rPr>
        <w:t xml:space="preserve">% of </w:t>
      </w:r>
      <w:r w:rsidRPr="009D7788" w:rsidR="004961EA">
        <w:rPr>
          <w:b w:val="0"/>
          <w:szCs w:val="24"/>
        </w:rPr>
        <w:t xml:space="preserve">adults </w:t>
      </w:r>
      <w:r w:rsidRPr="009D7788" w:rsidR="00F73FBB">
        <w:rPr>
          <w:b w:val="0"/>
          <w:szCs w:val="24"/>
        </w:rPr>
        <w:t>with an undergraduate degree</w:t>
      </w:r>
      <w:r w:rsidRPr="009D7788" w:rsidR="00181EF1">
        <w:rPr>
          <w:b w:val="0"/>
          <w:szCs w:val="24"/>
        </w:rPr>
        <w:t xml:space="preserve"> (</w:t>
      </w:r>
      <w:r w:rsidRPr="009D7788" w:rsidR="00460AD5">
        <w:rPr>
          <w:b w:val="0"/>
          <w:szCs w:val="24"/>
        </w:rPr>
        <w:t>Cornelius</w:t>
      </w:r>
      <w:r w:rsidRPr="009D7788" w:rsidR="00CE188E">
        <w:rPr>
          <w:b w:val="0"/>
          <w:szCs w:val="24"/>
        </w:rPr>
        <w:t xml:space="preserve"> </w:t>
      </w:r>
      <w:r w:rsidRPr="009D7788" w:rsidR="004A0B61">
        <w:rPr>
          <w:b w:val="0"/>
          <w:szCs w:val="24"/>
        </w:rPr>
        <w:t>et al</w:t>
      </w:r>
      <w:r w:rsidRPr="009D7788" w:rsidR="00181EF1">
        <w:rPr>
          <w:b w:val="0"/>
          <w:szCs w:val="24"/>
        </w:rPr>
        <w:t>, 20</w:t>
      </w:r>
      <w:r w:rsidRPr="009D7788" w:rsidR="00460AD5">
        <w:rPr>
          <w:b w:val="0"/>
          <w:szCs w:val="24"/>
        </w:rPr>
        <w:t>20</w:t>
      </w:r>
      <w:r w:rsidRPr="009D7788" w:rsidR="00181EF1">
        <w:rPr>
          <w:b w:val="0"/>
          <w:szCs w:val="24"/>
        </w:rPr>
        <w:t>)</w:t>
      </w:r>
      <w:r w:rsidRPr="009D7788" w:rsidR="00991352">
        <w:rPr>
          <w:b w:val="0"/>
          <w:szCs w:val="24"/>
        </w:rPr>
        <w:t xml:space="preserve">. </w:t>
      </w:r>
      <w:r w:rsidRPr="009D7788" w:rsidR="0023152B">
        <w:rPr>
          <w:b w:val="0"/>
          <w:szCs w:val="24"/>
        </w:rPr>
        <w:t>A</w:t>
      </w:r>
      <w:r w:rsidRPr="009D7788" w:rsidR="00181EF1">
        <w:rPr>
          <w:b w:val="0"/>
          <w:szCs w:val="24"/>
        </w:rPr>
        <w:t xml:space="preserve">dditionally, </w:t>
      </w:r>
      <w:r w:rsidRPr="009D7788" w:rsidR="00D6284E">
        <w:rPr>
          <w:b w:val="0"/>
          <w:szCs w:val="24"/>
        </w:rPr>
        <w:t xml:space="preserve">in 2019, </w:t>
      </w:r>
      <w:r w:rsidRPr="009D7788" w:rsidR="00E66DAC">
        <w:rPr>
          <w:b w:val="0"/>
          <w:szCs w:val="24"/>
        </w:rPr>
        <w:t>31.2% of high school students reported current use of any tobacco product</w:t>
      </w:r>
      <w:r w:rsidRPr="009D7788" w:rsidR="00911727">
        <w:rPr>
          <w:b w:val="0"/>
          <w:szCs w:val="24"/>
        </w:rPr>
        <w:t xml:space="preserve"> (Wang et al., 2019)</w:t>
      </w:r>
      <w:r w:rsidRPr="009D7788" w:rsidR="00E66DAC">
        <w:rPr>
          <w:b w:val="0"/>
          <w:szCs w:val="24"/>
        </w:rPr>
        <w:t xml:space="preserve">. </w:t>
      </w:r>
      <w:r w:rsidRPr="009D7788" w:rsidR="000F0A8A">
        <w:rPr>
          <w:b w:val="0"/>
          <w:szCs w:val="24"/>
        </w:rPr>
        <w:t xml:space="preserve">This was driven primarily by </w:t>
      </w:r>
      <w:r w:rsidRPr="009D7788" w:rsidR="007953DB">
        <w:rPr>
          <w:b w:val="0"/>
          <w:szCs w:val="24"/>
        </w:rPr>
        <w:t xml:space="preserve">current </w:t>
      </w:r>
      <w:r w:rsidRPr="009D7788" w:rsidR="000F0A8A">
        <w:rPr>
          <w:b w:val="0"/>
          <w:szCs w:val="24"/>
        </w:rPr>
        <w:t xml:space="preserve">e-cigarette use, which increased from </w:t>
      </w:r>
      <w:r w:rsidRPr="009D7788" w:rsidR="00D837C8">
        <w:rPr>
          <w:b w:val="0"/>
          <w:szCs w:val="24"/>
        </w:rPr>
        <w:t>1.5%</w:t>
      </w:r>
      <w:r w:rsidRPr="009D7788" w:rsidR="00015103">
        <w:rPr>
          <w:b w:val="0"/>
          <w:szCs w:val="24"/>
        </w:rPr>
        <w:t xml:space="preserve"> in 201</w:t>
      </w:r>
      <w:r w:rsidRPr="009D7788" w:rsidR="00D837C8">
        <w:rPr>
          <w:b w:val="0"/>
          <w:szCs w:val="24"/>
        </w:rPr>
        <w:t>1</w:t>
      </w:r>
      <w:r w:rsidRPr="009D7788" w:rsidR="00181EF1">
        <w:rPr>
          <w:b w:val="0"/>
          <w:szCs w:val="24"/>
        </w:rPr>
        <w:t xml:space="preserve"> to </w:t>
      </w:r>
      <w:r w:rsidRPr="009D7788" w:rsidR="00F9598F">
        <w:rPr>
          <w:b w:val="0"/>
          <w:szCs w:val="24"/>
        </w:rPr>
        <w:t>27.5% in 2019</w:t>
      </w:r>
      <w:r w:rsidRPr="009D7788" w:rsidR="00B5234C">
        <w:rPr>
          <w:b w:val="0"/>
          <w:szCs w:val="24"/>
        </w:rPr>
        <w:t xml:space="preserve"> </w:t>
      </w:r>
      <w:r w:rsidRPr="009D7788" w:rsidR="0023152B">
        <w:rPr>
          <w:b w:val="0"/>
          <w:szCs w:val="24"/>
        </w:rPr>
        <w:t>(</w:t>
      </w:r>
      <w:r w:rsidRPr="009D7788" w:rsidR="004A0B61">
        <w:rPr>
          <w:b w:val="0"/>
          <w:szCs w:val="24"/>
        </w:rPr>
        <w:t>Cullen</w:t>
      </w:r>
      <w:r w:rsidRPr="009D7788" w:rsidR="0023152B">
        <w:rPr>
          <w:b w:val="0"/>
          <w:szCs w:val="24"/>
        </w:rPr>
        <w:t xml:space="preserve"> et al., 2018</w:t>
      </w:r>
      <w:r w:rsidRPr="009D7788" w:rsidR="00F9598F">
        <w:rPr>
          <w:b w:val="0"/>
          <w:szCs w:val="24"/>
        </w:rPr>
        <w:t>; Cullen et al., 2019</w:t>
      </w:r>
      <w:r w:rsidRPr="009D7788" w:rsidR="0023152B">
        <w:rPr>
          <w:b w:val="0"/>
          <w:szCs w:val="24"/>
        </w:rPr>
        <w:t>).</w:t>
      </w:r>
      <w:r w:rsidRPr="009D7788" w:rsidR="007953DB">
        <w:rPr>
          <w:b w:val="0"/>
          <w:szCs w:val="24"/>
        </w:rPr>
        <w:t xml:space="preserve">Though </w:t>
      </w:r>
      <w:r w:rsidRPr="009D7788" w:rsidR="00603D58">
        <w:rPr>
          <w:b w:val="0"/>
          <w:szCs w:val="24"/>
        </w:rPr>
        <w:t xml:space="preserve">current e-cigarette use among </w:t>
      </w:r>
      <w:r w:rsidRPr="009D7788" w:rsidR="009161F3">
        <w:rPr>
          <w:b w:val="0"/>
          <w:szCs w:val="24"/>
        </w:rPr>
        <w:t xml:space="preserve">youth </w:t>
      </w:r>
      <w:r w:rsidRPr="009D7788" w:rsidR="00603D58">
        <w:rPr>
          <w:b w:val="0"/>
          <w:szCs w:val="24"/>
        </w:rPr>
        <w:t>dec</w:t>
      </w:r>
      <w:r w:rsidRPr="009D7788" w:rsidR="00AC0820">
        <w:rPr>
          <w:b w:val="0"/>
          <w:szCs w:val="24"/>
        </w:rPr>
        <w:t xml:space="preserve">reased </w:t>
      </w:r>
      <w:r w:rsidRPr="009D7788" w:rsidR="00603D58">
        <w:rPr>
          <w:b w:val="0"/>
          <w:szCs w:val="24"/>
        </w:rPr>
        <w:t>in 2020</w:t>
      </w:r>
      <w:r w:rsidRPr="009D7788" w:rsidR="00BB724A">
        <w:rPr>
          <w:b w:val="0"/>
          <w:szCs w:val="24"/>
        </w:rPr>
        <w:t xml:space="preserve">, 3.6 million U.S. </w:t>
      </w:r>
      <w:r w:rsidRPr="009D7788" w:rsidR="007658E9">
        <w:rPr>
          <w:b w:val="0"/>
          <w:szCs w:val="24"/>
        </w:rPr>
        <w:t xml:space="preserve">high school and middle school students </w:t>
      </w:r>
      <w:r w:rsidRPr="009D7788" w:rsidR="00BC4A10">
        <w:rPr>
          <w:b w:val="0"/>
          <w:szCs w:val="24"/>
        </w:rPr>
        <w:t xml:space="preserve">(19.6% and 4.7% respectively) </w:t>
      </w:r>
      <w:r w:rsidRPr="009D7788" w:rsidR="00BB724A">
        <w:rPr>
          <w:b w:val="0"/>
          <w:szCs w:val="24"/>
        </w:rPr>
        <w:t>still currently used e-cigarettes in 2020</w:t>
      </w:r>
      <w:r w:rsidRPr="009D7788" w:rsidR="00BC4A10">
        <w:rPr>
          <w:b w:val="0"/>
          <w:szCs w:val="24"/>
        </w:rPr>
        <w:t xml:space="preserve"> (</w:t>
      </w:r>
      <w:r w:rsidRPr="00CE5797" w:rsidR="00CE5797">
        <w:rPr>
          <w:b w:val="0"/>
          <w:szCs w:val="24"/>
        </w:rPr>
        <w:t>Gentzke</w:t>
      </w:r>
      <w:r w:rsidRPr="009D7788" w:rsidR="00BC4A10">
        <w:rPr>
          <w:b w:val="0"/>
          <w:szCs w:val="24"/>
        </w:rPr>
        <w:t xml:space="preserve"> et a</w:t>
      </w:r>
      <w:r w:rsidR="007219DA">
        <w:rPr>
          <w:b w:val="0"/>
          <w:szCs w:val="24"/>
        </w:rPr>
        <w:t>l</w:t>
      </w:r>
      <w:r w:rsidRPr="009D7788" w:rsidR="00BC4A10">
        <w:rPr>
          <w:b w:val="0"/>
          <w:szCs w:val="24"/>
        </w:rPr>
        <w:t>., 2020)</w:t>
      </w:r>
      <w:r w:rsidRPr="009D7788" w:rsidR="00BB724A">
        <w:rPr>
          <w:b w:val="0"/>
          <w:szCs w:val="24"/>
        </w:rPr>
        <w:t>.</w:t>
      </w:r>
      <w:r w:rsidRPr="009D7788" w:rsidR="00603D58">
        <w:rPr>
          <w:b w:val="0"/>
          <w:szCs w:val="24"/>
        </w:rPr>
        <w:t xml:space="preserve"> </w:t>
      </w:r>
    </w:p>
    <w:p w:rsidR="005C10DC" w:rsidRPr="009D7788" w:rsidP="00F84E2E" w14:paraId="1AB8819C" w14:textId="4B406233">
      <w:pPr>
        <w:pStyle w:val="Heading3"/>
        <w:ind w:left="0" w:firstLine="720"/>
        <w:rPr>
          <w:b w:val="0"/>
          <w:szCs w:val="24"/>
        </w:rPr>
      </w:pPr>
      <w:r w:rsidRPr="009D7788">
        <w:rPr>
          <w:b w:val="0"/>
          <w:szCs w:val="24"/>
        </w:rPr>
        <w:t xml:space="preserve">Tobacco dependence is a chronic disease that often requires treatment and multiple attempts to quit (Fiore, et </w:t>
      </w:r>
      <w:r w:rsidRPr="009D7788" w:rsidR="00C518D1">
        <w:rPr>
          <w:b w:val="0"/>
          <w:szCs w:val="24"/>
        </w:rPr>
        <w:t>a</w:t>
      </w:r>
      <w:r w:rsidRPr="009D7788">
        <w:rPr>
          <w:b w:val="0"/>
          <w:szCs w:val="24"/>
        </w:rPr>
        <w:t>l</w:t>
      </w:r>
      <w:r w:rsidRPr="009D7788" w:rsidR="00C518D1">
        <w:rPr>
          <w:b w:val="0"/>
          <w:szCs w:val="24"/>
        </w:rPr>
        <w:t>.</w:t>
      </w:r>
      <w:r w:rsidRPr="009D7788">
        <w:rPr>
          <w:b w:val="0"/>
          <w:szCs w:val="24"/>
        </w:rPr>
        <w:t>, 2008).</w:t>
      </w:r>
      <w:r w:rsidRPr="009D7788" w:rsidR="00AA3805">
        <w:rPr>
          <w:b w:val="0"/>
          <w:szCs w:val="24"/>
        </w:rPr>
        <w:t xml:space="preserve"> </w:t>
      </w:r>
      <w:r w:rsidRPr="009D7788" w:rsidR="001F5D95">
        <w:rPr>
          <w:b w:val="0"/>
          <w:szCs w:val="24"/>
        </w:rPr>
        <w:t>As of 2017</w:t>
      </w:r>
      <w:r w:rsidRPr="009D7788" w:rsidR="00B5664A">
        <w:rPr>
          <w:b w:val="0"/>
          <w:szCs w:val="24"/>
        </w:rPr>
        <w:t xml:space="preserve">, a majority of adult smokers tried to quit in almost all states </w:t>
      </w:r>
      <w:r w:rsidRPr="009D7788" w:rsidR="00AA3805">
        <w:rPr>
          <w:b w:val="0"/>
          <w:szCs w:val="24"/>
        </w:rPr>
        <w:t>(</w:t>
      </w:r>
      <w:r w:rsidRPr="009D7788" w:rsidR="001F5D95">
        <w:rPr>
          <w:b w:val="0"/>
          <w:szCs w:val="24"/>
        </w:rPr>
        <w:t>USDHHS</w:t>
      </w:r>
      <w:r w:rsidRPr="009D7788" w:rsidR="00AA3805">
        <w:rPr>
          <w:b w:val="0"/>
          <w:szCs w:val="24"/>
        </w:rPr>
        <w:t xml:space="preserve">, </w:t>
      </w:r>
      <w:r w:rsidRPr="009D7788" w:rsidR="001F5D95">
        <w:rPr>
          <w:b w:val="0"/>
          <w:szCs w:val="24"/>
        </w:rPr>
        <w:t>2020</w:t>
      </w:r>
      <w:r w:rsidRPr="009D7788" w:rsidR="00AA3805">
        <w:rPr>
          <w:b w:val="0"/>
          <w:szCs w:val="24"/>
        </w:rPr>
        <w:t>).</w:t>
      </w:r>
      <w:r w:rsidRPr="009D7788" w:rsidR="00A60168">
        <w:rPr>
          <w:b w:val="0"/>
          <w:szCs w:val="24"/>
        </w:rPr>
        <w:t xml:space="preserve"> </w:t>
      </w:r>
      <w:r w:rsidRPr="009D7788" w:rsidR="00F44803">
        <w:rPr>
          <w:b w:val="0"/>
          <w:szCs w:val="24"/>
        </w:rPr>
        <w:t>Nationally, 55.1% of adult cigarette smokers</w:t>
      </w:r>
      <w:r w:rsidRPr="009D7788" w:rsidR="00E74212">
        <w:rPr>
          <w:b w:val="0"/>
          <w:szCs w:val="24"/>
        </w:rPr>
        <w:t xml:space="preserve"> in 2018</w:t>
      </w:r>
      <w:r w:rsidRPr="009D7788" w:rsidR="00F44803">
        <w:rPr>
          <w:b w:val="0"/>
          <w:szCs w:val="24"/>
        </w:rPr>
        <w:t xml:space="preserve"> </w:t>
      </w:r>
      <w:r w:rsidRPr="009D7788" w:rsidR="00D73FCA">
        <w:rPr>
          <w:b w:val="0"/>
          <w:szCs w:val="24"/>
        </w:rPr>
        <w:t xml:space="preserve">reported making a quit attempt during the past 12 months (Creamer et al., </w:t>
      </w:r>
      <w:r w:rsidRPr="009D7788" w:rsidR="00E74212">
        <w:rPr>
          <w:b w:val="0"/>
          <w:szCs w:val="24"/>
        </w:rPr>
        <w:t xml:space="preserve">2019). </w:t>
      </w:r>
      <w:r w:rsidRPr="009D7788" w:rsidR="00D4077E">
        <w:rPr>
          <w:b w:val="0"/>
          <w:szCs w:val="24"/>
        </w:rPr>
        <w:t>Q</w:t>
      </w:r>
      <w:r w:rsidRPr="009D7788" w:rsidR="00A60168">
        <w:rPr>
          <w:b w:val="0"/>
          <w:szCs w:val="24"/>
        </w:rPr>
        <w:t xml:space="preserve">uitlines are </w:t>
      </w:r>
      <w:r w:rsidRPr="009D7788" w:rsidR="00987865">
        <w:rPr>
          <w:b w:val="0"/>
          <w:szCs w:val="24"/>
        </w:rPr>
        <w:t>free</w:t>
      </w:r>
      <w:r w:rsidRPr="009D7788" w:rsidR="00A60168">
        <w:rPr>
          <w:b w:val="0"/>
          <w:szCs w:val="24"/>
        </w:rPr>
        <w:t xml:space="preserve"> services that </w:t>
      </w:r>
      <w:r w:rsidRPr="009D7788" w:rsidR="00D4077E">
        <w:rPr>
          <w:b w:val="0"/>
          <w:szCs w:val="24"/>
        </w:rPr>
        <w:t xml:space="preserve">support quit attempts by </w:t>
      </w:r>
      <w:r w:rsidRPr="009D7788" w:rsidR="00EE6D37">
        <w:rPr>
          <w:b w:val="0"/>
          <w:szCs w:val="24"/>
        </w:rPr>
        <w:t>provid</w:t>
      </w:r>
      <w:r w:rsidRPr="009D7788" w:rsidR="00D4077E">
        <w:rPr>
          <w:b w:val="0"/>
          <w:szCs w:val="24"/>
        </w:rPr>
        <w:t>ing</w:t>
      </w:r>
      <w:r w:rsidRPr="009D7788" w:rsidR="00A60168">
        <w:rPr>
          <w:b w:val="0"/>
          <w:szCs w:val="24"/>
        </w:rPr>
        <w:t xml:space="preserve"> </w:t>
      </w:r>
      <w:r w:rsidRPr="009D7788" w:rsidR="00EE6D37">
        <w:rPr>
          <w:b w:val="0"/>
          <w:szCs w:val="24"/>
        </w:rPr>
        <w:t xml:space="preserve">callers with information, </w:t>
      </w:r>
      <w:r w:rsidRPr="009D7788" w:rsidR="00A60168">
        <w:rPr>
          <w:b w:val="0"/>
          <w:szCs w:val="24"/>
        </w:rPr>
        <w:t>counseling,</w:t>
      </w:r>
      <w:r w:rsidRPr="009D7788" w:rsidR="00F14042">
        <w:rPr>
          <w:b w:val="0"/>
          <w:szCs w:val="24"/>
        </w:rPr>
        <w:t xml:space="preserve"> </w:t>
      </w:r>
      <w:r w:rsidRPr="009D7788" w:rsidR="00A60168">
        <w:rPr>
          <w:b w:val="0"/>
          <w:szCs w:val="24"/>
        </w:rPr>
        <w:t>and referrals</w:t>
      </w:r>
      <w:r w:rsidRPr="009D7788" w:rsidR="007A60C8">
        <w:rPr>
          <w:b w:val="0"/>
          <w:szCs w:val="24"/>
        </w:rPr>
        <w:t xml:space="preserve">. </w:t>
      </w:r>
      <w:r w:rsidRPr="009D7788" w:rsidR="00987865">
        <w:rPr>
          <w:b w:val="0"/>
          <w:szCs w:val="24"/>
        </w:rPr>
        <w:t xml:space="preserve">Though quitlines began as telephone-based services, they have evolved over time to </w:t>
      </w:r>
      <w:r w:rsidRPr="009D7788" w:rsidR="00367D62">
        <w:rPr>
          <w:b w:val="0"/>
          <w:szCs w:val="24"/>
        </w:rPr>
        <w:t xml:space="preserve">incorporate new technologies and now provide services through </w:t>
      </w:r>
      <w:r w:rsidRPr="009D7788" w:rsidR="00C663C0">
        <w:rPr>
          <w:b w:val="0"/>
          <w:szCs w:val="24"/>
        </w:rPr>
        <w:t xml:space="preserve">additional modalities, such as web and texting services. </w:t>
      </w:r>
      <w:r w:rsidRPr="009D7788" w:rsidR="00735497">
        <w:rPr>
          <w:b w:val="0"/>
          <w:szCs w:val="24"/>
        </w:rPr>
        <w:t xml:space="preserve">Quitlines </w:t>
      </w:r>
      <w:r w:rsidRPr="009D7788" w:rsidR="000247B3">
        <w:rPr>
          <w:b w:val="0"/>
          <w:szCs w:val="24"/>
        </w:rPr>
        <w:t>have been shown to be</w:t>
      </w:r>
      <w:r w:rsidRPr="009D7788" w:rsidR="00735497">
        <w:rPr>
          <w:b w:val="0"/>
          <w:szCs w:val="24"/>
        </w:rPr>
        <w:t xml:space="preserve"> an effective</w:t>
      </w:r>
      <w:r w:rsidRPr="009D7788" w:rsidR="00A60168">
        <w:rPr>
          <w:b w:val="0"/>
          <w:szCs w:val="24"/>
        </w:rPr>
        <w:t>,</w:t>
      </w:r>
      <w:r w:rsidRPr="009D7788" w:rsidR="00735497">
        <w:rPr>
          <w:b w:val="0"/>
          <w:szCs w:val="24"/>
        </w:rPr>
        <w:t xml:space="preserve"> population-based intervention that increases successful quitting (Task Force on Community Preventive Services, 2011). The U.S. Public Health Services’</w:t>
      </w:r>
      <w:r w:rsidRPr="009D7788" w:rsidR="00735497">
        <w:rPr>
          <w:b w:val="0"/>
          <w:i/>
          <w:szCs w:val="24"/>
        </w:rPr>
        <w:t xml:space="preserve"> Clinical Practice Guideline: Treating Tobacco Use and Dependence – 2008 Update</w:t>
      </w:r>
      <w:r w:rsidRPr="009D7788" w:rsidR="00735497">
        <w:rPr>
          <w:b w:val="0"/>
          <w:szCs w:val="24"/>
        </w:rPr>
        <w:t>,</w:t>
      </w:r>
      <w:r w:rsidRPr="009D7788" w:rsidR="00735497">
        <w:rPr>
          <w:b w:val="0"/>
          <w:i/>
          <w:szCs w:val="24"/>
        </w:rPr>
        <w:t xml:space="preserve"> </w:t>
      </w:r>
      <w:r w:rsidRPr="009D7788" w:rsidR="00735497">
        <w:rPr>
          <w:b w:val="0"/>
          <w:szCs w:val="24"/>
        </w:rPr>
        <w:t>identified quitline counseling (telephone counseling that includes counselor-initiated calls or proactive counseling) as an evidence-based treatment that increased the odds of abstinence by approximately 60% (Fiore, 2008). State</w:t>
      </w:r>
      <w:r w:rsidRPr="009D7788" w:rsidR="000247B3">
        <w:rPr>
          <w:b w:val="0"/>
          <w:szCs w:val="24"/>
        </w:rPr>
        <w:t>-based</w:t>
      </w:r>
      <w:r w:rsidRPr="009D7788" w:rsidR="00735497">
        <w:rPr>
          <w:b w:val="0"/>
          <w:szCs w:val="24"/>
        </w:rPr>
        <w:t xml:space="preserve"> tobacco cessation quitlines have been shown to be cost-effective (CDC, 2004; Zhu, 2000) and overcome many of </w:t>
      </w:r>
      <w:r w:rsidRPr="009D7788" w:rsidR="00735497">
        <w:rPr>
          <w:b w:val="0"/>
          <w:szCs w:val="24"/>
        </w:rPr>
        <w:t xml:space="preserve">the barriers to tobacco cessation classes and traditional clinics because they are free and available at the caller’s convenience. </w:t>
      </w:r>
    </w:p>
    <w:p w:rsidR="00C500C1" w:rsidRPr="009D7788" w:rsidP="00F84E2E" w14:paraId="44C41F04" w14:textId="121A1AB1">
      <w:pPr>
        <w:spacing w:after="240"/>
      </w:pPr>
      <w:r w:rsidRPr="009D7788">
        <w:tab/>
      </w:r>
      <w:r w:rsidRPr="009D7788">
        <w:rPr>
          <w:rFonts w:cstheme="minorHAnsi"/>
        </w:rPr>
        <w:t xml:space="preserve">Publicly funded state quitlines operate in every state, the District of Columbia, Guam, and Puerto Rico. As a result of a collaboration with NCI, callers can be automatically routed to their state </w:t>
      </w:r>
      <w:r w:rsidRPr="009D7788" w:rsidR="002F002F">
        <w:rPr>
          <w:rFonts w:cstheme="minorHAnsi"/>
        </w:rPr>
        <w:t>qui</w:t>
      </w:r>
      <w:r w:rsidR="002F002F">
        <w:rPr>
          <w:rFonts w:cstheme="minorHAnsi"/>
        </w:rPr>
        <w:t>tl</w:t>
      </w:r>
      <w:r w:rsidRPr="009D7788" w:rsidR="002F002F">
        <w:rPr>
          <w:rFonts w:cstheme="minorHAnsi"/>
        </w:rPr>
        <w:t xml:space="preserve">ine </w:t>
      </w:r>
      <w:r w:rsidRPr="009D7788">
        <w:rPr>
          <w:rFonts w:cstheme="minorHAnsi"/>
        </w:rPr>
        <w:t xml:space="preserve">by calling 1-800-QUIT-NOW </w:t>
      </w:r>
      <w:r w:rsidRPr="009D7788" w:rsidR="00D4077E">
        <w:rPr>
          <w:rFonts w:cstheme="minorHAnsi"/>
        </w:rPr>
        <w:t xml:space="preserve">and </w:t>
      </w:r>
      <w:r w:rsidRPr="009D7788">
        <w:rPr>
          <w:rFonts w:cstheme="minorHAnsi"/>
        </w:rPr>
        <w:t>Spanish-speaking callers can be automatically routed to Spanish-language services through 1-855-DEJELO</w:t>
      </w:r>
      <w:r w:rsidRPr="009D7788" w:rsidR="0084358E">
        <w:rPr>
          <w:rFonts w:cstheme="minorHAnsi"/>
        </w:rPr>
        <w:t xml:space="preserve"> </w:t>
      </w:r>
      <w:r w:rsidRPr="009D7788">
        <w:rPr>
          <w:rFonts w:cstheme="minorHAnsi"/>
        </w:rPr>
        <w:t xml:space="preserve">YA. A national </w:t>
      </w:r>
      <w:r w:rsidRPr="009D7788" w:rsidR="00D4077E">
        <w:t>Asian Smoker’s Quitline (ASQ) provides services in</w:t>
      </w:r>
      <w:r w:rsidRPr="009D7788">
        <w:rPr>
          <w:rFonts w:cstheme="minorHAnsi"/>
        </w:rPr>
        <w:t xml:space="preserve"> Korean, Mand</w:t>
      </w:r>
      <w:r w:rsidRPr="009D7788" w:rsidR="00D4077E">
        <w:rPr>
          <w:rFonts w:cstheme="minorHAnsi"/>
        </w:rPr>
        <w:t>a</w:t>
      </w:r>
      <w:r w:rsidRPr="009D7788">
        <w:rPr>
          <w:rFonts w:cstheme="minorHAnsi"/>
        </w:rPr>
        <w:t xml:space="preserve">rin, and Vietnamese </w:t>
      </w:r>
      <w:r w:rsidRPr="009D7788" w:rsidR="00D4077E">
        <w:rPr>
          <w:rFonts w:cstheme="minorHAnsi"/>
        </w:rPr>
        <w:t>and conducts direct outreach to</w:t>
      </w:r>
      <w:r w:rsidRPr="009D7788">
        <w:rPr>
          <w:rFonts w:cstheme="minorHAnsi"/>
        </w:rPr>
        <w:t xml:space="preserve"> </w:t>
      </w:r>
      <w:r w:rsidRPr="009D7788" w:rsidR="00D4077E">
        <w:rPr>
          <w:rFonts w:cstheme="minorHAnsi"/>
        </w:rPr>
        <w:t>speakers of these languages</w:t>
      </w:r>
      <w:r w:rsidRPr="009D7788">
        <w:rPr>
          <w:rFonts w:cstheme="minorHAnsi"/>
        </w:rPr>
        <w:t xml:space="preserve">.  </w:t>
      </w:r>
    </w:p>
    <w:p w:rsidR="007B0DC4" w:rsidRPr="009D7788" w:rsidP="00F84E2E" w14:paraId="1A824DCE" w14:textId="0E7EB705">
      <w:pPr>
        <w:spacing w:after="240"/>
        <w:ind w:firstLine="720"/>
      </w:pPr>
      <w:r w:rsidRPr="009D7788">
        <w:t>The Centers for Disease Control and Prevention</w:t>
      </w:r>
      <w:r w:rsidRPr="009D7788" w:rsidR="00EE6D37">
        <w:t xml:space="preserve"> (CDC), </w:t>
      </w:r>
      <w:r w:rsidRPr="009D7788">
        <w:t xml:space="preserve">Office on Smoking and Health (OSH) </w:t>
      </w:r>
      <w:r w:rsidRPr="009D7788" w:rsidR="00FC4F06">
        <w:t>provides funding and</w:t>
      </w:r>
      <w:r w:rsidRPr="009D7788" w:rsidR="00062631">
        <w:t>/ or</w:t>
      </w:r>
      <w:r w:rsidRPr="009D7788" w:rsidR="00FC4F06">
        <w:t xml:space="preserve"> technical assistance to</w:t>
      </w:r>
      <w:r w:rsidRPr="009D7788" w:rsidR="00EE6D37">
        <w:t xml:space="preserve"> </w:t>
      </w:r>
      <w:r w:rsidRPr="009D7788" w:rsidR="00D4077E">
        <w:t>q</w:t>
      </w:r>
      <w:r w:rsidRPr="009D7788" w:rsidR="00EE6D37">
        <w:t xml:space="preserve">uitlines </w:t>
      </w:r>
      <w:r w:rsidRPr="009D7788" w:rsidR="007C6FD0">
        <w:t xml:space="preserve">in </w:t>
      </w:r>
      <w:r w:rsidRPr="009D7788" w:rsidR="00B65866">
        <w:t>50</w:t>
      </w:r>
      <w:r w:rsidRPr="009D7788" w:rsidR="00EE6D37">
        <w:t xml:space="preserve"> states, the District of Columbia, Guam, </w:t>
      </w:r>
      <w:r w:rsidRPr="009D7788" w:rsidR="00D4077E">
        <w:t xml:space="preserve">and </w:t>
      </w:r>
      <w:r w:rsidRPr="009D7788" w:rsidR="00EE6D37">
        <w:t>Puerto Rico</w:t>
      </w:r>
      <w:r w:rsidRPr="009D7788" w:rsidR="00161296">
        <w:t>,</w:t>
      </w:r>
      <w:r w:rsidRPr="009D7788" w:rsidR="00D4077E">
        <w:t xml:space="preserve"> in addition to</w:t>
      </w:r>
      <w:r w:rsidRPr="009D7788" w:rsidR="00161296">
        <w:t xml:space="preserve"> the ASQ</w:t>
      </w:r>
      <w:r w:rsidRPr="009D7788" w:rsidR="00EE6D37">
        <w:t>.</w:t>
      </w:r>
      <w:r w:rsidRPr="009D7788" w:rsidR="00F91F84">
        <w:t xml:space="preserve"> </w:t>
      </w:r>
      <w:r w:rsidRPr="009D7788" w:rsidR="00006E2A">
        <w:t>Although</w:t>
      </w:r>
      <w:r w:rsidRPr="009D7788" w:rsidR="00E249D6">
        <w:t xml:space="preserve"> </w:t>
      </w:r>
      <w:r w:rsidRPr="009D7788" w:rsidR="00D4077E">
        <w:t>q</w:t>
      </w:r>
      <w:r w:rsidRPr="009D7788" w:rsidR="007C6FD0">
        <w:t xml:space="preserve">uitline </w:t>
      </w:r>
      <w:r w:rsidRPr="009D7788" w:rsidR="00B55948">
        <w:t xml:space="preserve">services and </w:t>
      </w:r>
      <w:r w:rsidRPr="009D7788" w:rsidR="000247B3">
        <w:t>operations vary across states and territories</w:t>
      </w:r>
      <w:r w:rsidRPr="009D7788" w:rsidR="00DE02EA">
        <w:t xml:space="preserve">, </w:t>
      </w:r>
      <w:r w:rsidRPr="009D7788" w:rsidR="00064F2D">
        <w:t xml:space="preserve">some activities </w:t>
      </w:r>
      <w:r w:rsidRPr="009D7788" w:rsidR="00FC6FA2">
        <w:t>are based on</w:t>
      </w:r>
      <w:r w:rsidRPr="009D7788" w:rsidR="000005B7">
        <w:t xml:space="preserve"> common protocols </w:t>
      </w:r>
      <w:r w:rsidRPr="009D7788" w:rsidR="00F64994">
        <w:t>that provide a framework for program monitoring and evaluation</w:t>
      </w:r>
      <w:r w:rsidRPr="009D7788" w:rsidR="00170D35">
        <w:t>. A minimum data set (MDS) was</w:t>
      </w:r>
      <w:r w:rsidRPr="009D7788" w:rsidR="00F64994">
        <w:t xml:space="preserve"> </w:t>
      </w:r>
      <w:r w:rsidRPr="009D7788" w:rsidR="000005B7">
        <w:t xml:space="preserve">developed collaboratively by the </w:t>
      </w:r>
      <w:r w:rsidRPr="009D7788" w:rsidR="00D4077E">
        <w:t>q</w:t>
      </w:r>
      <w:r w:rsidRPr="009D7788" w:rsidR="000005B7">
        <w:t>uitlines and stakeholders</w:t>
      </w:r>
      <w:r w:rsidRPr="009D7788" w:rsidR="00D4077E">
        <w:t>,</w:t>
      </w:r>
      <w:r w:rsidRPr="009D7788" w:rsidR="000005B7">
        <w:t xml:space="preserve"> including professional organizations and CDC</w:t>
      </w:r>
      <w:r w:rsidRPr="009D7788" w:rsidR="00D4077E">
        <w:t>,</w:t>
      </w:r>
      <w:r w:rsidRPr="009D7788" w:rsidR="001A67B8">
        <w:t xml:space="preserve"> t</w:t>
      </w:r>
      <w:r w:rsidRPr="009D7788" w:rsidR="00D4077E">
        <w:t>o</w:t>
      </w:r>
      <w:r w:rsidRPr="009D7788" w:rsidR="001A67B8">
        <w:t xml:space="preserve"> serve as a core </w:t>
      </w:r>
      <w:r w:rsidRPr="009D7788" w:rsidR="00F028EB">
        <w:t xml:space="preserve">set of information reported by </w:t>
      </w:r>
      <w:r w:rsidRPr="009D7788" w:rsidR="00F0664B">
        <w:t>quitlines</w:t>
      </w:r>
      <w:r w:rsidRPr="009D7788" w:rsidR="00F028EB">
        <w:t>.</w:t>
      </w:r>
      <w:r w:rsidRPr="009D7788" w:rsidR="00F0664B">
        <w:t xml:space="preserve"> </w:t>
      </w:r>
      <w:r w:rsidRPr="009D7788" w:rsidR="00F028EB">
        <w:t>A</w:t>
      </w:r>
      <w:r w:rsidRPr="009D7788" w:rsidR="001A67B8">
        <w:t>d</w:t>
      </w:r>
      <w:r w:rsidRPr="009D7788" w:rsidR="00E048B8">
        <w:t xml:space="preserve">ditionally, </w:t>
      </w:r>
      <w:r w:rsidRPr="009D7788" w:rsidR="00F0664B">
        <w:t xml:space="preserve">quitlines </w:t>
      </w:r>
      <w:r w:rsidRPr="009D7788" w:rsidR="00E048B8">
        <w:t xml:space="preserve">have the option of adding state-specific questions </w:t>
      </w:r>
      <w:r w:rsidRPr="009D7788" w:rsidR="00BA3AFF">
        <w:t xml:space="preserve">and services </w:t>
      </w:r>
      <w:r w:rsidRPr="009D7788" w:rsidR="00E048B8">
        <w:t>to their intake or follow-up surveys that CDC does not require to be submitted.</w:t>
      </w:r>
    </w:p>
    <w:p w:rsidR="007A60C8" w:rsidP="00265FDB" w14:paraId="5AB7ECB7" w14:textId="16E4F278">
      <w:pPr>
        <w:spacing w:after="240"/>
        <w:ind w:firstLine="720"/>
      </w:pPr>
      <w:r w:rsidRPr="009D7788">
        <w:t>During the most recent OMB approval period, 5</w:t>
      </w:r>
      <w:r w:rsidRPr="009D7788" w:rsidR="00161296">
        <w:t>4</w:t>
      </w:r>
      <w:r w:rsidRPr="009D7788" w:rsidR="00F64994">
        <w:t xml:space="preserve"> </w:t>
      </w:r>
      <w:r w:rsidRPr="009D7788" w:rsidR="00D4077E">
        <w:t>q</w:t>
      </w:r>
      <w:r w:rsidRPr="009D7788" w:rsidR="00F64994">
        <w:t xml:space="preserve">uitlines </w:t>
      </w:r>
      <w:r w:rsidRPr="009D7788">
        <w:t>r</w:t>
      </w:r>
      <w:r w:rsidRPr="009D7788" w:rsidR="00F64994">
        <w:t>eport</w:t>
      </w:r>
      <w:r w:rsidRPr="009D7788">
        <w:t xml:space="preserve">ed caller intake </w:t>
      </w:r>
      <w:r w:rsidRPr="009D7788" w:rsidR="00F64994">
        <w:t xml:space="preserve">to CDC through the NQDW. </w:t>
      </w:r>
      <w:r w:rsidRPr="009D7788" w:rsidR="00D4077E">
        <w:t>T</w:t>
      </w:r>
      <w:r w:rsidRPr="009D7788" w:rsidR="00161296">
        <w:t xml:space="preserve">he ASQ </w:t>
      </w:r>
      <w:r w:rsidRPr="009D7788" w:rsidR="00D4077E">
        <w:t xml:space="preserve">also </w:t>
      </w:r>
      <w:r w:rsidRPr="009D7788" w:rsidR="00153498">
        <w:t xml:space="preserve">submitted </w:t>
      </w:r>
      <w:r w:rsidRPr="009D7788" w:rsidR="00161296">
        <w:t xml:space="preserve">follow-up data to CDC. </w:t>
      </w:r>
      <w:r w:rsidRPr="009D7788" w:rsidR="00F64994">
        <w:t>In addition,</w:t>
      </w:r>
      <w:r w:rsidRPr="009D7788" w:rsidR="00FC6FA2">
        <w:t xml:space="preserve"> each </w:t>
      </w:r>
      <w:r w:rsidRPr="009D7788" w:rsidR="00FC4F06">
        <w:t xml:space="preserve">state- or territory-based </w:t>
      </w:r>
      <w:r w:rsidRPr="009D7788" w:rsidR="00D4077E">
        <w:t>q</w:t>
      </w:r>
      <w:r w:rsidRPr="009D7788" w:rsidR="00FC4F06">
        <w:t>uitline</w:t>
      </w:r>
      <w:r w:rsidRPr="009D7788">
        <w:t xml:space="preserve"> submitted a </w:t>
      </w:r>
      <w:r w:rsidRPr="009D7788" w:rsidR="00640B68">
        <w:t>semi</w:t>
      </w:r>
      <w:r w:rsidRPr="009D7788" w:rsidR="003339DD">
        <w:t xml:space="preserve">annual </w:t>
      </w:r>
      <w:r w:rsidRPr="009D7788" w:rsidR="00FC6FA2">
        <w:t xml:space="preserve">services report </w:t>
      </w:r>
      <w:r w:rsidRPr="009D7788" w:rsidR="00B55948">
        <w:t>which</w:t>
      </w:r>
      <w:r w:rsidRPr="009D7788" w:rsidR="00F14042">
        <w:t xml:space="preserve"> summarize</w:t>
      </w:r>
      <w:r w:rsidRPr="009D7788">
        <w:t>d</w:t>
      </w:r>
      <w:r w:rsidRPr="009D7788" w:rsidR="00D64074">
        <w:t xml:space="preserve"> its services, </w:t>
      </w:r>
      <w:r w:rsidRPr="009D7788" w:rsidR="00F14042">
        <w:t>call volume</w:t>
      </w:r>
      <w:r w:rsidRPr="009D7788" w:rsidR="00D64074">
        <w:t>, and caller characteristics</w:t>
      </w:r>
      <w:r w:rsidRPr="009D7788" w:rsidR="00735497">
        <w:t>.</w:t>
      </w:r>
    </w:p>
    <w:p w:rsidR="00F360A4" w:rsidRPr="00084C90" w:rsidP="00F360A4" w14:paraId="5D010B89" w14:textId="77777777">
      <w:pPr>
        <w:pStyle w:val="ListParagraph"/>
        <w:spacing w:after="60"/>
        <w:rPr>
          <w:rFonts w:cs="Calibri"/>
        </w:rPr>
      </w:pPr>
    </w:p>
    <w:p w:rsidR="004C1C7D" w:rsidRPr="009E3DC1" w:rsidP="00062631" w14:paraId="0C24658F" w14:textId="77777777">
      <w:pPr>
        <w:pStyle w:val="BodyText"/>
        <w:spacing w:after="0"/>
        <w:ind w:firstLine="0"/>
        <w:jc w:val="both"/>
        <w:rPr>
          <w:b/>
          <w:u w:val="single"/>
        </w:rPr>
      </w:pPr>
      <w:r w:rsidRPr="009E3DC1">
        <w:rPr>
          <w:b/>
        </w:rPr>
        <w:t>A.</w:t>
      </w:r>
      <w:r w:rsidRPr="009E3DC1" w:rsidR="002D7990">
        <w:rPr>
          <w:b/>
        </w:rPr>
        <w:t>2</w:t>
      </w:r>
      <w:r w:rsidRPr="009E3DC1" w:rsidR="008469A3">
        <w:rPr>
          <w:b/>
        </w:rPr>
        <w:tab/>
      </w:r>
      <w:r w:rsidRPr="009E3DC1" w:rsidR="008469A3">
        <w:rPr>
          <w:b/>
          <w:u w:val="single"/>
        </w:rPr>
        <w:t>PURPOSE AND USE OF INFORMATION COLLECT</w:t>
      </w:r>
      <w:r w:rsidRPr="009E3DC1" w:rsidR="00766722">
        <w:rPr>
          <w:b/>
          <w:u w:val="single"/>
        </w:rPr>
        <w:t>ION</w:t>
      </w:r>
      <w:bookmarkStart w:id="1" w:name="OLE_LINK3"/>
    </w:p>
    <w:p w:rsidR="004C1C7D" w:rsidP="00332BE6" w14:paraId="6B58C9CE" w14:textId="77777777">
      <w:pPr>
        <w:pStyle w:val="BodyText"/>
        <w:spacing w:after="0"/>
        <w:rPr>
          <w:u w:val="single"/>
        </w:rPr>
      </w:pPr>
    </w:p>
    <w:p w:rsidR="00332BE6" w:rsidP="00D544A2" w14:paraId="489DAC1B" w14:textId="0470D0A7">
      <w:pPr>
        <w:pStyle w:val="BodyText"/>
      </w:pPr>
      <w:r>
        <w:t xml:space="preserve">The specific aims of the planned data collection are to: </w:t>
      </w:r>
    </w:p>
    <w:p w:rsidR="00332BE6" w:rsidP="00C250B3" w14:paraId="63E05848" w14:textId="77777777">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Nationally and by state, determine the population reach of quitlines.    </w:t>
      </w:r>
    </w:p>
    <w:p w:rsidR="00332BE6" w:rsidP="00C250B3" w14:paraId="30A79F25" w14:textId="2498AA37">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Nationally and by state or territory, describe the characteristics of </w:t>
      </w:r>
      <w:r w:rsidR="003F7835">
        <w:t xml:space="preserve">participants </w:t>
      </w:r>
      <w:r>
        <w:t xml:space="preserve">who are served by quitlines and determine whether high-risk populations (e.g., pregnant women, </w:t>
      </w:r>
      <w:r w:rsidRPr="009470D9">
        <w:t>racial and ethnic minorities</w:t>
      </w:r>
      <w:r>
        <w:t xml:space="preserve">, low socioeconomic status, uninsured or medically underserved, and </w:t>
      </w:r>
      <w:r w:rsidR="00A627C0">
        <w:t>people</w:t>
      </w:r>
      <w:r>
        <w:t xml:space="preserve"> with </w:t>
      </w:r>
      <w:r w:rsidR="005969D5">
        <w:t>behavioral health</w:t>
      </w:r>
      <w:r w:rsidR="00A627C0">
        <w:t xml:space="preserve"> conditions</w:t>
      </w:r>
      <w:r>
        <w:t xml:space="preserve">) utilize quitline services. </w:t>
      </w:r>
    </w:p>
    <w:p w:rsidR="00332BE6" w:rsidP="00C250B3" w14:paraId="299111E1" w14:textId="0FC6D062">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Estimate the number and proportion of </w:t>
      </w:r>
      <w:r w:rsidR="003F7835">
        <w:t xml:space="preserve">participants </w:t>
      </w:r>
      <w:r>
        <w:t xml:space="preserve">who received treatment from the Asian Smokers’ Quitline who successfully quit (7 month quit rate).  </w:t>
      </w:r>
    </w:p>
    <w:p w:rsidR="00332BE6" w:rsidP="00C250B3" w14:paraId="4D04A819" w14:textId="79EAEBDE">
      <w:pPr>
        <w:widowControl w:val="0"/>
        <w:numPr>
          <w:ilvl w:val="0"/>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Nationally and by state, monitor and assess the services offered by state quitlines</w:t>
      </w:r>
      <w:r w:rsidR="00F02D73">
        <w:t>.</w:t>
      </w:r>
      <w:r>
        <w:t xml:space="preserve"> </w:t>
      </w:r>
    </w:p>
    <w:p w:rsidR="00332BE6" w:rsidRPr="00EF4381" w:rsidP="00C250B3" w14:paraId="262F9E27" w14:textId="6A6FDD8A">
      <w:pPr>
        <w:spacing w:after="240"/>
        <w:ind w:firstLine="720"/>
      </w:pPr>
      <w:r w:rsidRPr="00A70650">
        <w:t xml:space="preserve">CDC will continue to use the information collected by the NQDW for ongoing monitoring and evaluation related to state quitlines, including routine tracking of quitline service metrics such as call volume and </w:t>
      </w:r>
      <w:r w:rsidR="005743C2">
        <w:t>participants</w:t>
      </w:r>
      <w:r w:rsidRPr="00A70650">
        <w:t xml:space="preserve"> receiving services from quitlines. </w:t>
      </w:r>
      <w:r>
        <w:t>CDC uses NQDW data to s</w:t>
      </w:r>
      <w:r w:rsidRPr="00EF4381">
        <w:t>upport provision of technical assistance and help</w:t>
      </w:r>
      <w:r>
        <w:t xml:space="preserve"> </w:t>
      </w:r>
      <w:r w:rsidRPr="00A70650">
        <w:t>identify best practices in quitline operations</w:t>
      </w:r>
      <w:r w:rsidR="0015132B">
        <w:t>,</w:t>
      </w:r>
      <w:r w:rsidRPr="00A70650">
        <w:t xml:space="preserve"> which can be used for program improvement</w:t>
      </w:r>
      <w:r w:rsidR="00EF4381">
        <w:t>. This data helps p</w:t>
      </w:r>
      <w:r w:rsidRPr="00A70650">
        <w:t xml:space="preserve">rovide public health </w:t>
      </w:r>
      <w:r w:rsidRPr="00A70650">
        <w:t>and education officials and the general public with accurate information about quit rate trends</w:t>
      </w:r>
      <w:r w:rsidRPr="00EF4381">
        <w:t xml:space="preserve"> and use of quitlines</w:t>
      </w:r>
      <w:r w:rsidR="006160FF">
        <w:t>. It also is used</w:t>
      </w:r>
      <w:r w:rsidR="00EF4381">
        <w:t xml:space="preserve"> </w:t>
      </w:r>
      <w:r w:rsidR="006160FF">
        <w:t>to</w:t>
      </w:r>
      <w:r w:rsidR="00F0563D">
        <w:t xml:space="preserve"> </w:t>
      </w:r>
      <w:r w:rsidR="00EF4381">
        <w:t>i</w:t>
      </w:r>
      <w:r w:rsidRPr="00EF4381">
        <w:t xml:space="preserve">nform program development </w:t>
      </w:r>
      <w:r w:rsidR="004C1C7D">
        <w:t xml:space="preserve">and </w:t>
      </w:r>
      <w:r w:rsidRPr="00EF4381">
        <w:t xml:space="preserve">provide </w:t>
      </w:r>
      <w:r w:rsidR="004C1C7D">
        <w:t xml:space="preserve">federal and </w:t>
      </w:r>
      <w:r w:rsidRPr="00EF4381">
        <w:t>state legislatures with information about the use and effectiveness of quitlines</w:t>
      </w:r>
      <w:r w:rsidRPr="00EF4381">
        <w:t xml:space="preserve"> </w:t>
      </w:r>
      <w:r w:rsidRPr="00EF4381">
        <w:t>to inform resource allocation for cessation interventions.</w:t>
      </w:r>
    </w:p>
    <w:p w:rsidR="005212E6" w:rsidP="00C250B3" w14:paraId="0BD2FAA3" w14:textId="616E49AA">
      <w:pPr>
        <w:spacing w:after="240"/>
        <w:ind w:firstLine="720"/>
      </w:pPr>
      <w:r w:rsidRPr="00C833F0">
        <w:rPr>
          <w:bCs/>
          <w:iCs/>
        </w:rPr>
        <w:t xml:space="preserve">In 2012, </w:t>
      </w:r>
      <w:r w:rsidR="00D4077E">
        <w:rPr>
          <w:bCs/>
          <w:iCs/>
        </w:rPr>
        <w:t xml:space="preserve">the </w:t>
      </w:r>
      <w:r w:rsidRPr="00C833F0">
        <w:rPr>
          <w:bCs/>
          <w:iCs/>
        </w:rPr>
        <w:t>U</w:t>
      </w:r>
      <w:r w:rsidR="00D4077E">
        <w:rPr>
          <w:bCs/>
          <w:iCs/>
        </w:rPr>
        <w:t>.</w:t>
      </w:r>
      <w:r w:rsidRPr="00C833F0">
        <w:rPr>
          <w:bCs/>
          <w:iCs/>
        </w:rPr>
        <w:t>S</w:t>
      </w:r>
      <w:r w:rsidR="00D4077E">
        <w:rPr>
          <w:bCs/>
          <w:iCs/>
        </w:rPr>
        <w:t xml:space="preserve">. </w:t>
      </w:r>
      <w:r w:rsidRPr="00C833F0">
        <w:rPr>
          <w:bCs/>
          <w:iCs/>
        </w:rPr>
        <w:t>D</w:t>
      </w:r>
      <w:r w:rsidR="00D4077E">
        <w:rPr>
          <w:bCs/>
          <w:iCs/>
        </w:rPr>
        <w:t xml:space="preserve">epartment of </w:t>
      </w:r>
      <w:r w:rsidRPr="00C833F0">
        <w:rPr>
          <w:bCs/>
          <w:iCs/>
        </w:rPr>
        <w:t>H</w:t>
      </w:r>
      <w:r w:rsidR="00D4077E">
        <w:rPr>
          <w:bCs/>
          <w:iCs/>
        </w:rPr>
        <w:t xml:space="preserve">ealth and </w:t>
      </w:r>
      <w:r w:rsidRPr="00C833F0">
        <w:rPr>
          <w:bCs/>
          <w:iCs/>
        </w:rPr>
        <w:t>H</w:t>
      </w:r>
      <w:r w:rsidR="00D4077E">
        <w:rPr>
          <w:bCs/>
          <w:iCs/>
        </w:rPr>
        <w:t xml:space="preserve">uman </w:t>
      </w:r>
      <w:r w:rsidRPr="00C833F0">
        <w:rPr>
          <w:bCs/>
          <w:iCs/>
        </w:rPr>
        <w:t>S</w:t>
      </w:r>
      <w:r w:rsidR="00D4077E">
        <w:rPr>
          <w:bCs/>
          <w:iCs/>
        </w:rPr>
        <w:t>ervices (USDHHS)</w:t>
      </w:r>
      <w:r w:rsidRPr="00C833F0">
        <w:rPr>
          <w:bCs/>
          <w:iCs/>
        </w:rPr>
        <w:t xml:space="preserve"> initiated the </w:t>
      </w:r>
      <w:r w:rsidR="00D4077E">
        <w:rPr>
          <w:rFonts w:cstheme="minorHAnsi"/>
        </w:rPr>
        <w:t>CDC’s</w:t>
      </w:r>
      <w:r w:rsidRPr="00E93B4D" w:rsidR="001938EF">
        <w:rPr>
          <w:rFonts w:cstheme="minorHAnsi"/>
        </w:rPr>
        <w:t xml:space="preserve"> Tips From Former Smokers® (Tips®)</w:t>
      </w:r>
      <w:r w:rsidR="00E64F2E">
        <w:rPr>
          <w:rFonts w:cstheme="minorHAnsi"/>
        </w:rPr>
        <w:t xml:space="preserve"> </w:t>
      </w:r>
      <w:r w:rsidRPr="00C833F0">
        <w:rPr>
          <w:bCs/>
          <w:iCs/>
        </w:rPr>
        <w:t xml:space="preserve">campaign, the first-ever </w:t>
      </w:r>
      <w:r>
        <w:rPr>
          <w:bCs/>
          <w:iCs/>
        </w:rPr>
        <w:t xml:space="preserve">federally funded </w:t>
      </w:r>
      <w:r w:rsidRPr="00C833F0">
        <w:rPr>
          <w:bCs/>
          <w:iCs/>
        </w:rPr>
        <w:t xml:space="preserve">national tobacco education media campaign, </w:t>
      </w:r>
      <w:r w:rsidRPr="00C833F0">
        <w:t xml:space="preserve">to increase </w:t>
      </w:r>
      <w:r>
        <w:t>public</w:t>
      </w:r>
      <w:r w:rsidRPr="00C833F0">
        <w:t xml:space="preserve"> awareness of </w:t>
      </w:r>
      <w:r>
        <w:t xml:space="preserve">immediate health damage caused by smoking and to </w:t>
      </w:r>
      <w:r w:rsidRPr="00C833F0">
        <w:t xml:space="preserve">encourage </w:t>
      </w:r>
      <w:r>
        <w:t xml:space="preserve">adult smokers </w:t>
      </w:r>
      <w:r w:rsidRPr="00C833F0">
        <w:t xml:space="preserve">to quit </w:t>
      </w:r>
      <w:r>
        <w:t>(www.cdc.gov/tips)</w:t>
      </w:r>
      <w:r w:rsidRPr="00C833F0">
        <w:t xml:space="preserve">. </w:t>
      </w:r>
      <w:r w:rsidRPr="00C833F0">
        <w:rPr>
          <w:bCs/>
          <w:iCs/>
        </w:rPr>
        <w:t>Data collected by the NQDW serves an important role in helping CDC</w:t>
      </w:r>
      <w:r>
        <w:rPr>
          <w:bCs/>
          <w:iCs/>
        </w:rPr>
        <w:t xml:space="preserve"> assess the effectiveness of the </w:t>
      </w:r>
      <w:r w:rsidRPr="00E93B4D" w:rsidR="001B49EC">
        <w:rPr>
          <w:rFonts w:cstheme="minorHAnsi"/>
        </w:rPr>
        <w:t>Tips®</w:t>
      </w:r>
      <w:r>
        <w:rPr>
          <w:bCs/>
          <w:iCs/>
        </w:rPr>
        <w:t xml:space="preserve"> campaign </w:t>
      </w:r>
      <w:r>
        <w:rPr>
          <w:bCs/>
          <w:iCs/>
        </w:rPr>
        <w:t>i</w:t>
      </w:r>
      <w:r>
        <w:rPr>
          <w:bCs/>
          <w:iCs/>
        </w:rPr>
        <w:t xml:space="preserve">n promoting the use of quitlines. </w:t>
      </w:r>
      <w:r w:rsidRPr="00B14568" w:rsidR="00A70650">
        <w:t>In 2014, CDC provided approximately $</w:t>
      </w:r>
      <w:r w:rsidR="00A70650">
        <w:t>17</w:t>
      </w:r>
      <w:r w:rsidR="00977280">
        <w:t xml:space="preserve"> million through an Notice of Funding Opportunity</w:t>
      </w:r>
      <w:r w:rsidRPr="00B14568" w:rsidR="00A70650">
        <w:t xml:space="preserve"> (CDC-RFA-DP14-1410PPHF14) to </w:t>
      </w:r>
      <w:r w:rsidR="00FA08A3">
        <w:t>46</w:t>
      </w:r>
      <w:r w:rsidRPr="00B14568" w:rsidR="00A70650">
        <w:t xml:space="preserve"> states, DC Guam, and Puerto Rico for a period of 48 months to support state quitline capacity, in order to respond to federal initiatives such as the CDC’s </w:t>
      </w:r>
      <w:r w:rsidR="001938EF">
        <w:t>Tips®</w:t>
      </w:r>
      <w:r w:rsidRPr="00B14568" w:rsidR="00A70650">
        <w:t xml:space="preserve"> campaign.</w:t>
      </w:r>
      <w:r w:rsidR="00FA08A3">
        <w:t xml:space="preserve">  </w:t>
      </w:r>
    </w:p>
    <w:p w:rsidR="00A70650" w:rsidP="00C250B3" w14:paraId="37E60918" w14:textId="7251F5B7">
      <w:pPr>
        <w:spacing w:after="240"/>
        <w:ind w:firstLine="720"/>
      </w:pPr>
      <w:r>
        <w:t>In</w:t>
      </w:r>
      <w:r w:rsidRPr="00B14568">
        <w:t xml:space="preserve"> 2015, CDC </w:t>
      </w:r>
      <w:r w:rsidR="0009442B">
        <w:t xml:space="preserve">also </w:t>
      </w:r>
      <w:r w:rsidRPr="00B14568">
        <w:t>provid</w:t>
      </w:r>
      <w:r>
        <w:t>ed</w:t>
      </w:r>
      <w:r w:rsidRPr="00B14568">
        <w:t xml:space="preserve"> funding through the National State-based Tobacco Control Programs (CDC-RFA-DP15-1509) to continue </w:t>
      </w:r>
      <w:r w:rsidRPr="009900C8">
        <w:t>submitting quitline data to the NQDW for a period of 5 years.</w:t>
      </w:r>
      <w:r>
        <w:t xml:space="preserve"> </w:t>
      </w:r>
      <w:r w:rsidRPr="00281569" w:rsidR="00281569">
        <w:t xml:space="preserve">In 2020, CDC provided approximately $16 million </w:t>
      </w:r>
      <w:r w:rsidR="00F54AD2">
        <w:t xml:space="preserve">of annual funding </w:t>
      </w:r>
      <w:r w:rsidRPr="00281569" w:rsidR="00281569">
        <w:t>through a</w:t>
      </w:r>
      <w:r w:rsidR="007715BC">
        <w:t xml:space="preserve"> </w:t>
      </w:r>
      <w:r w:rsidRPr="00281569" w:rsidR="00281569">
        <w:t xml:space="preserve">Notice of Funding Opportunity (CDC-RFA-DP20-2001) to </w:t>
      </w:r>
      <w:r w:rsidR="00563377">
        <w:t>50</w:t>
      </w:r>
      <w:r w:rsidRPr="00281569" w:rsidR="00281569">
        <w:t xml:space="preserve"> states, DC, Guam, and Puerto Rico for a period of 5 years to </w:t>
      </w:r>
      <w:r w:rsidR="00901934">
        <w:t xml:space="preserve">continue to </w:t>
      </w:r>
      <w:r w:rsidRPr="00281569" w:rsidR="00281569">
        <w:t xml:space="preserve">ensure and support state quitline capacity, in order to respond to federal initiatives such as the CDC’s Tips® campaign. </w:t>
      </w:r>
      <w:r>
        <w:t xml:space="preserve">An </w:t>
      </w:r>
      <w:r>
        <w:rPr>
          <w:color w:val="000000"/>
        </w:rPr>
        <w:t>e</w:t>
      </w:r>
      <w:r w:rsidRPr="00345AD1">
        <w:rPr>
          <w:color w:val="000000"/>
        </w:rPr>
        <w:t xml:space="preserve">ssential element of this </w:t>
      </w:r>
      <w:r>
        <w:rPr>
          <w:color w:val="000000"/>
        </w:rPr>
        <w:t>program includes</w:t>
      </w:r>
      <w:r w:rsidRPr="00345AD1">
        <w:rPr>
          <w:color w:val="000000"/>
        </w:rPr>
        <w:t xml:space="preserve"> cessation services</w:t>
      </w:r>
      <w:r>
        <w:rPr>
          <w:color w:val="000000"/>
        </w:rPr>
        <w:t xml:space="preserve"> provided through quitlines.</w:t>
      </w:r>
      <w:r w:rsidRPr="00345AD1">
        <w:rPr>
          <w:color w:val="000000"/>
        </w:rPr>
        <w:t xml:space="preserve"> </w:t>
      </w:r>
      <w:r w:rsidRPr="007C7C2B">
        <w:rPr>
          <w:i/>
        </w:rPr>
        <w:t>CDC’s Best Practices for Comprehensive Tobacco Control Programs-2014</w:t>
      </w:r>
      <w:r>
        <w:rPr>
          <w:i/>
        </w:rPr>
        <w:t xml:space="preserve"> </w:t>
      </w:r>
      <w:r>
        <w:t xml:space="preserve">is </w:t>
      </w:r>
      <w:r w:rsidRPr="003A71D4">
        <w:t>an evidence-based guide</w:t>
      </w:r>
      <w:r>
        <w:t xml:space="preserve"> designed</w:t>
      </w:r>
      <w:r w:rsidRPr="003A71D4">
        <w:t xml:space="preserve"> to help states plan and establish effective tobacco control programs to prevent and reduce tobacco use</w:t>
      </w:r>
      <w:r>
        <w:t xml:space="preserve"> (CDC, 2014). The Guide’s recommendations for state quitlines include increasing the level of quitline reach within each state to 6%-8%, providing a focus on populations experiencing tobacco-related disparities, providing nicotine replacement therapy through the quitline, and collaborating with health care systems to increase quitline referrals. </w:t>
      </w:r>
      <w:r w:rsidR="00EF4381">
        <w:rPr>
          <w:rStyle w:val="Emphasis"/>
          <w:bCs/>
          <w:i w:val="0"/>
        </w:rPr>
        <w:t>The Affordable Care Act contains several provisions</w:t>
      </w:r>
      <w:r w:rsidR="0009442B">
        <w:rPr>
          <w:rStyle w:val="Emphasis"/>
          <w:bCs/>
          <w:i w:val="0"/>
        </w:rPr>
        <w:t xml:space="preserve"> to</w:t>
      </w:r>
      <w:r w:rsidR="00EF4381">
        <w:rPr>
          <w:rStyle w:val="Emphasis"/>
          <w:bCs/>
          <w:i w:val="0"/>
        </w:rPr>
        <w:t xml:space="preserve"> improv</w:t>
      </w:r>
      <w:r w:rsidR="0009442B">
        <w:rPr>
          <w:rStyle w:val="Emphasis"/>
          <w:bCs/>
          <w:i w:val="0"/>
        </w:rPr>
        <w:t>e</w:t>
      </w:r>
      <w:r w:rsidR="00EF4381">
        <w:rPr>
          <w:rStyle w:val="Emphasis"/>
          <w:bCs/>
          <w:i w:val="0"/>
        </w:rPr>
        <w:t xml:space="preserve"> insurance coverage of evidence-based preventive services, including tobacco cessation. Health insurers and employers use state quitlines to provide evidence-based counseling services.</w:t>
      </w:r>
    </w:p>
    <w:bookmarkEnd w:id="1"/>
    <w:p w:rsidR="001A67B8" w:rsidRPr="002D3CC6" w:rsidP="00C3707D" w14:paraId="50D97427" w14:textId="0D553735">
      <w:pPr>
        <w:spacing w:after="240"/>
        <w:ind w:firstLine="720"/>
      </w:pPr>
      <w:r w:rsidRPr="009900C8">
        <w:t>CDC</w:t>
      </w:r>
      <w:r w:rsidRPr="00B14568">
        <w:t xml:space="preserve"> will continue to make information collected by the NQDW available to federal and state governments, state tobacco control program managers, researchers, and the general public online through the CDC’s State Tobacco Activities Tracking and Evaluate (STATE) System website (</w:t>
      </w:r>
      <w:r>
        <w:fldChar w:fldCharType="begin"/>
      </w:r>
      <w:r w:rsidRPr="00AD67D2">
        <w:rPr>
          <w:rStyle w:val="Hyperlink"/>
        </w:rPr>
        <w:instrText xml:space="preserve"> HYPERLINK "http://www.cdc.gov/statesystem" </w:instrText>
      </w:r>
      <w:r>
        <w:fldChar w:fldCharType="separate"/>
      </w:r>
      <w:r w:rsidRPr="00AD67D2">
        <w:rPr>
          <w:rStyle w:val="Hyperlink"/>
        </w:rPr>
        <w:t>http://www.cdc.gov/statesystem</w:t>
      </w:r>
      <w:r>
        <w:fldChar w:fldCharType="end"/>
      </w:r>
      <w:r w:rsidRPr="00B14568">
        <w:t>).</w:t>
      </w:r>
    </w:p>
    <w:p w:rsidR="008469A3" w:rsidRPr="00C3707D" w:rsidP="006E3E10" w14:paraId="4149EDAF" w14:textId="77777777">
      <w:pPr>
        <w:rPr>
          <w:b/>
          <w:bCs/>
          <w:u w:val="single"/>
        </w:rPr>
      </w:pPr>
      <w:r w:rsidRPr="00C3707D">
        <w:rPr>
          <w:b/>
          <w:bCs/>
          <w:u w:val="single"/>
        </w:rPr>
        <w:t xml:space="preserve">Uses of </w:t>
      </w:r>
      <w:r w:rsidRPr="00C3707D" w:rsidR="006952E6">
        <w:rPr>
          <w:b/>
          <w:bCs/>
          <w:u w:val="single"/>
        </w:rPr>
        <w:t>Information Collection</w:t>
      </w:r>
      <w:r w:rsidRPr="00C3707D">
        <w:rPr>
          <w:b/>
          <w:bCs/>
          <w:u w:val="single"/>
        </w:rPr>
        <w:t xml:space="preserve"> by Other Federal Agencies and Departments</w:t>
      </w:r>
    </w:p>
    <w:p w:rsidR="006D47EE" w:rsidRPr="0011638C" w:rsidP="006D47EE" w14:paraId="4C303388" w14:textId="77777777">
      <w:pPr>
        <w:ind w:firstLine="360"/>
        <w:rPr>
          <w:b/>
          <w:bCs/>
          <w:u w:val="single"/>
        </w:rPr>
      </w:pPr>
    </w:p>
    <w:p w:rsidR="00E675E5" w:rsidRPr="00053F78" w:rsidP="00C3707D" w14:paraId="59A8F9B6" w14:textId="423CC65C">
      <w:pPr>
        <w:spacing w:after="240"/>
        <w:ind w:firstLine="720"/>
      </w:pPr>
      <w:r>
        <w:t>The</w:t>
      </w:r>
      <w:r w:rsidR="00A30023">
        <w:t xml:space="preserve"> data collected as part of the </w:t>
      </w:r>
      <w:r w:rsidR="007F0239">
        <w:t>NQDW</w:t>
      </w:r>
      <w:r>
        <w:t xml:space="preserve"> </w:t>
      </w:r>
      <w:r w:rsidRPr="007B705F" w:rsidR="008469A3">
        <w:t xml:space="preserve">are of interest not only to CDC, but also to other Federal agencies and departments. </w:t>
      </w:r>
      <w:r w:rsidR="00132765">
        <w:t xml:space="preserve">The </w:t>
      </w:r>
      <w:r w:rsidR="0009442B">
        <w:t xml:space="preserve">U.S. </w:t>
      </w:r>
      <w:r w:rsidRPr="00053F78" w:rsidR="008469A3">
        <w:t>Department of Health and Human Services</w:t>
      </w:r>
      <w:r w:rsidR="00053F78">
        <w:t xml:space="preserve">, </w:t>
      </w:r>
      <w:r w:rsidRPr="00053F78" w:rsidR="00D32DC8">
        <w:t>Center for Medicare and Medicaid Services</w:t>
      </w:r>
      <w:r w:rsidR="00053F78">
        <w:t xml:space="preserve">, </w:t>
      </w:r>
      <w:r w:rsidRPr="00053F78" w:rsidR="00073632">
        <w:t>Food and Drug Administration</w:t>
      </w:r>
      <w:r w:rsidR="00053F78">
        <w:t xml:space="preserve">, </w:t>
      </w:r>
      <w:r w:rsidRPr="00053F78" w:rsidR="00053F78">
        <w:t>National Cancer Institute</w:t>
      </w:r>
      <w:r w:rsidR="00053F78">
        <w:t>,</w:t>
      </w:r>
      <w:r w:rsidR="00E64F2E">
        <w:t xml:space="preserve"> </w:t>
      </w:r>
      <w:r w:rsidRPr="00053F78" w:rsidR="00053F78">
        <w:t xml:space="preserve">Office of National Drug Control Policy </w:t>
      </w:r>
      <w:r w:rsidR="00053F78">
        <w:t xml:space="preserve">and </w:t>
      </w:r>
      <w:r w:rsidRPr="00053F78" w:rsidR="00053F78">
        <w:t xml:space="preserve">Substance Abuse and Mental Health Services Administration </w:t>
      </w:r>
      <w:r w:rsidRPr="00053F78" w:rsidR="008469A3">
        <w:t xml:space="preserve">can use </w:t>
      </w:r>
      <w:r w:rsidRPr="00053F78" w:rsidR="000D1132">
        <w:t xml:space="preserve">NQDW </w:t>
      </w:r>
      <w:r w:rsidR="001C1108">
        <w:t xml:space="preserve">data </w:t>
      </w:r>
      <w:r w:rsidRPr="00053F78" w:rsidR="008469A3">
        <w:t xml:space="preserve">to help inform </w:t>
      </w:r>
      <w:r w:rsidR="00053F78">
        <w:t xml:space="preserve">regulatory, </w:t>
      </w:r>
      <w:r w:rsidRPr="00053F78" w:rsidR="008469A3">
        <w:t xml:space="preserve">research, educational efforts, and demonstration projects focused on </w:t>
      </w:r>
      <w:r w:rsidRPr="00053F78" w:rsidR="00872AAD">
        <w:t xml:space="preserve">adult </w:t>
      </w:r>
      <w:r w:rsidRPr="00053F78" w:rsidR="008469A3">
        <w:t>tobacco use cessation</w:t>
      </w:r>
      <w:r w:rsidRPr="00053F78" w:rsidR="00AC5020">
        <w:t xml:space="preserve">, especially related to </w:t>
      </w:r>
      <w:r w:rsidRPr="00053F78" w:rsidR="00A173C0">
        <w:t xml:space="preserve">addressing </w:t>
      </w:r>
      <w:r w:rsidRPr="00053F78" w:rsidR="00AC5020">
        <w:t xml:space="preserve">disparities in access to and use of </w:t>
      </w:r>
      <w:r w:rsidRPr="00053F78" w:rsidR="00A173C0">
        <w:t>cessation</w:t>
      </w:r>
      <w:r w:rsidRPr="00053F78" w:rsidR="00AC5020">
        <w:t xml:space="preserve"> services</w:t>
      </w:r>
      <w:r w:rsidRPr="00053F78" w:rsidR="0085022F">
        <w:t xml:space="preserve">.  </w:t>
      </w:r>
    </w:p>
    <w:p w:rsidR="008469A3" w:rsidRPr="0011638C" w:rsidP="00C3707D" w14:paraId="4280ACEF" w14:textId="77777777">
      <w:pPr>
        <w:pStyle w:val="Heading3"/>
        <w:ind w:left="0"/>
        <w:rPr>
          <w:bCs/>
          <w:u w:val="single"/>
        </w:rPr>
      </w:pPr>
      <w:r w:rsidRPr="0011638C">
        <w:rPr>
          <w:bCs/>
          <w:u w:val="single"/>
        </w:rPr>
        <w:t>Use</w:t>
      </w:r>
      <w:r w:rsidRPr="0011638C" w:rsidR="006952E6">
        <w:rPr>
          <w:bCs/>
          <w:u w:val="single"/>
        </w:rPr>
        <w:t xml:space="preserve">s </w:t>
      </w:r>
      <w:r w:rsidRPr="0011638C">
        <w:rPr>
          <w:bCs/>
          <w:u w:val="single"/>
        </w:rPr>
        <w:t xml:space="preserve">of </w:t>
      </w:r>
      <w:r w:rsidRPr="0011638C" w:rsidR="006952E6">
        <w:rPr>
          <w:bCs/>
          <w:u w:val="single"/>
        </w:rPr>
        <w:t>Information Collection</w:t>
      </w:r>
      <w:r w:rsidRPr="0011638C">
        <w:rPr>
          <w:bCs/>
          <w:u w:val="single"/>
        </w:rPr>
        <w:t xml:space="preserve"> by Those Outside Federal Agencies</w:t>
      </w:r>
    </w:p>
    <w:p w:rsidR="00920A54" w:rsidRPr="00407B40" w:rsidP="00C3707D" w14:paraId="530018A6" w14:textId="6151548A">
      <w:pPr>
        <w:spacing w:after="240"/>
        <w:ind w:firstLine="720"/>
      </w:pPr>
      <w:r>
        <w:t xml:space="preserve">Data collected as part of the </w:t>
      </w:r>
      <w:r w:rsidR="007F0239">
        <w:t>NQDW</w:t>
      </w:r>
      <w:r w:rsidR="00350EBA">
        <w:t xml:space="preserve"> </w:t>
      </w:r>
      <w:r w:rsidR="00C500C1">
        <w:t>can</w:t>
      </w:r>
      <w:r w:rsidR="00F12F95">
        <w:t xml:space="preserve"> be </w:t>
      </w:r>
      <w:r w:rsidRPr="00407B40" w:rsidR="005636FC">
        <w:t xml:space="preserve">used in a variety of ways by state and local governments, researchers, voluntary health organizations, physicians, health educators, </w:t>
      </w:r>
      <w:r w:rsidR="005636FC">
        <w:t>workplace wellness programs, and community outreach organizations:</w:t>
      </w:r>
    </w:p>
    <w:p w:rsidR="008469A3" w:rsidRPr="00407B40" w:rsidP="00C3707D" w14:paraId="3E91BF40" w14:textId="6951BEC9">
      <w:pPr>
        <w:pStyle w:val="Bullet"/>
        <w:numPr>
          <w:ilvl w:val="0"/>
          <w:numId w:val="10"/>
        </w:numPr>
      </w:pPr>
      <w:r>
        <w:t>T</w:t>
      </w:r>
      <w:r w:rsidRPr="00407B40">
        <w:t>he legislative and executive br</w:t>
      </w:r>
      <w:r w:rsidR="00ED4A0C">
        <w:t xml:space="preserve">anches of government </w:t>
      </w:r>
      <w:r w:rsidR="00C500C1">
        <w:t>can</w:t>
      </w:r>
      <w:r w:rsidR="007E6290">
        <w:t xml:space="preserve"> </w:t>
      </w:r>
      <w:r w:rsidR="00ED4A0C">
        <w:t xml:space="preserve">use </w:t>
      </w:r>
      <w:r w:rsidR="006E079C">
        <w:t xml:space="preserve">NQDW </w:t>
      </w:r>
      <w:r w:rsidRPr="00407B40" w:rsidR="00407B40">
        <w:t>data</w:t>
      </w:r>
      <w:r w:rsidRPr="00407B40">
        <w:t xml:space="preserve"> to evaluate existing </w:t>
      </w:r>
      <w:r w:rsidR="00350EBA">
        <w:t xml:space="preserve">quitline </w:t>
      </w:r>
      <w:r w:rsidR="005636FC">
        <w:t>programs</w:t>
      </w:r>
      <w:r w:rsidRPr="00407B40">
        <w:t xml:space="preserve"> and </w:t>
      </w:r>
      <w:r>
        <w:t>use the information to guide program investments</w:t>
      </w:r>
      <w:r w:rsidRPr="00407B40">
        <w:t>.</w:t>
      </w:r>
      <w:r w:rsidR="0043516F">
        <w:t xml:space="preserve">  </w:t>
      </w:r>
    </w:p>
    <w:p w:rsidR="008469A3" w:rsidRPr="00407B40" w:rsidP="00C3707D" w14:paraId="7862CD44" w14:textId="77777777">
      <w:pPr>
        <w:pStyle w:val="Bullet"/>
        <w:numPr>
          <w:ilvl w:val="0"/>
          <w:numId w:val="10"/>
        </w:numPr>
      </w:pPr>
      <w:r>
        <w:t>National d</w:t>
      </w:r>
      <w:r w:rsidR="00C4719E">
        <w:t xml:space="preserve">ata collected as part of the </w:t>
      </w:r>
      <w:r w:rsidR="007F0239">
        <w:t>NQDW</w:t>
      </w:r>
      <w:r w:rsidR="00C4719E">
        <w:t xml:space="preserve"> </w:t>
      </w:r>
      <w:r w:rsidRPr="00407B40">
        <w:t xml:space="preserve">will provide an index against which state and local health agencies can compare their </w:t>
      </w:r>
      <w:r w:rsidR="00ED4A0C">
        <w:t xml:space="preserve">state </w:t>
      </w:r>
      <w:r w:rsidR="00350EBA">
        <w:t>quitline</w:t>
      </w:r>
      <w:r w:rsidRPr="00407B40" w:rsidR="00775DB7">
        <w:t xml:space="preserve"> </w:t>
      </w:r>
      <w:r w:rsidRPr="00407B40">
        <w:t>re</w:t>
      </w:r>
      <w:r w:rsidRPr="00407B40" w:rsidR="00775DB7">
        <w:t>sults</w:t>
      </w:r>
      <w:r w:rsidR="00ED4A0C">
        <w:t>.</w:t>
      </w:r>
    </w:p>
    <w:p w:rsidR="008469A3" w:rsidRPr="00407B40" w:rsidP="00C3707D" w14:paraId="0169B3CD" w14:textId="77777777">
      <w:pPr>
        <w:pStyle w:val="Bullet"/>
        <w:numPr>
          <w:ilvl w:val="0"/>
          <w:numId w:val="10"/>
        </w:numPr>
      </w:pPr>
      <w:r w:rsidRPr="00407B40">
        <w:t>State and local h</w:t>
      </w:r>
      <w:r w:rsidR="00350EBA">
        <w:t xml:space="preserve">ealth departments will use </w:t>
      </w:r>
      <w:r w:rsidR="00C4719E">
        <w:t xml:space="preserve">data collected as part of the </w:t>
      </w:r>
      <w:r w:rsidR="007F0239">
        <w:t>NQDW</w:t>
      </w:r>
      <w:r w:rsidR="00C4719E">
        <w:t xml:space="preserve"> </w:t>
      </w:r>
      <w:r w:rsidRPr="00407B40">
        <w:t xml:space="preserve">as a guide in developing </w:t>
      </w:r>
      <w:r w:rsidR="00022776">
        <w:t>and monitoring state-based indicators for tobacco prevention and control</w:t>
      </w:r>
      <w:r w:rsidRPr="00407B40">
        <w:t>.</w:t>
      </w:r>
    </w:p>
    <w:p w:rsidR="00350EBA" w:rsidP="00C3707D" w14:paraId="4F2369F5" w14:textId="77777777">
      <w:pPr>
        <w:pStyle w:val="Bullet"/>
        <w:numPr>
          <w:ilvl w:val="0"/>
          <w:numId w:val="10"/>
        </w:numPr>
      </w:pPr>
      <w:r w:rsidRPr="00407B40">
        <w:t>Family physicians, pediatricians, psychologists</w:t>
      </w:r>
      <w:r w:rsidR="00ED4A0C">
        <w:t xml:space="preserve">, and counselors </w:t>
      </w:r>
      <w:r w:rsidR="00DA232E">
        <w:t xml:space="preserve">may </w:t>
      </w:r>
      <w:r w:rsidR="00ED4A0C">
        <w:t xml:space="preserve">use </w:t>
      </w:r>
      <w:r w:rsidR="00C4719E">
        <w:t xml:space="preserve">data collected as part of the </w:t>
      </w:r>
      <w:r w:rsidR="007F0239">
        <w:t>NQDW</w:t>
      </w:r>
      <w:r w:rsidRPr="00407B40">
        <w:t xml:space="preserve"> to provide up-to-date information on </w:t>
      </w:r>
      <w:r>
        <w:t>quit services and information.</w:t>
      </w:r>
    </w:p>
    <w:p w:rsidR="00ED4A0C" w:rsidRPr="00407B40" w:rsidP="00C3707D" w14:paraId="1CA4B579" w14:textId="77777777">
      <w:pPr>
        <w:pStyle w:val="Bullet"/>
        <w:numPr>
          <w:ilvl w:val="0"/>
          <w:numId w:val="10"/>
        </w:numPr>
      </w:pPr>
      <w:r w:rsidRPr="00407B40">
        <w:t xml:space="preserve">Health educators </w:t>
      </w:r>
      <w:r w:rsidR="00050F03">
        <w:t xml:space="preserve">and workplace wellness programs </w:t>
      </w:r>
      <w:r w:rsidR="00DA232E">
        <w:t>may</w:t>
      </w:r>
      <w:r w:rsidRPr="00407B40" w:rsidR="00DA232E">
        <w:t xml:space="preserve"> </w:t>
      </w:r>
      <w:r w:rsidRPr="00407B40">
        <w:t xml:space="preserve">use </w:t>
      </w:r>
      <w:r w:rsidR="00C4719E">
        <w:t xml:space="preserve">data collected as part of the </w:t>
      </w:r>
      <w:r w:rsidR="007F0239">
        <w:t>NQDW</w:t>
      </w:r>
      <w:r w:rsidR="00C4719E">
        <w:t xml:space="preserve"> </w:t>
      </w:r>
      <w:r w:rsidR="00050F03">
        <w:t xml:space="preserve">in their curriculum development to provide information on quitline services. </w:t>
      </w:r>
    </w:p>
    <w:p w:rsidR="00DA232E" w:rsidP="00C3707D" w14:paraId="75D29D40" w14:textId="77777777">
      <w:pPr>
        <w:pStyle w:val="Bullet"/>
        <w:numPr>
          <w:ilvl w:val="0"/>
          <w:numId w:val="10"/>
        </w:numPr>
      </w:pPr>
      <w:r>
        <w:t xml:space="preserve">Health plans/health care systems/insurers can use data collected as part of the NQDW to monitor the utilization and effectiveness of quitlines and compare the cost-effectiveness of quitlines with other </w:t>
      </w:r>
      <w:r w:rsidR="00356F83">
        <w:t xml:space="preserve">covered </w:t>
      </w:r>
      <w:r>
        <w:t xml:space="preserve">quit services.  </w:t>
      </w:r>
    </w:p>
    <w:p w:rsidR="00ED4A0C" w:rsidP="00C3707D" w14:paraId="2BE7863B" w14:textId="77777777">
      <w:pPr>
        <w:pStyle w:val="Bullet"/>
        <w:numPr>
          <w:ilvl w:val="0"/>
          <w:numId w:val="10"/>
        </w:numPr>
      </w:pPr>
      <w:r>
        <w:t xml:space="preserve">Professional organizations </w:t>
      </w:r>
      <w:r w:rsidR="00455268">
        <w:t xml:space="preserve">can </w:t>
      </w:r>
      <w:r w:rsidR="007E6290">
        <w:t xml:space="preserve">use </w:t>
      </w:r>
      <w:r w:rsidR="00C4719E">
        <w:t xml:space="preserve">data collected as part of the </w:t>
      </w:r>
      <w:r w:rsidR="007F0239">
        <w:t>NQDW</w:t>
      </w:r>
      <w:r w:rsidR="00C4719E">
        <w:t xml:space="preserve"> </w:t>
      </w:r>
      <w:r>
        <w:t xml:space="preserve">to </w:t>
      </w:r>
      <w:r w:rsidR="000469D6">
        <w:t xml:space="preserve">make the case for </w:t>
      </w:r>
      <w:r>
        <w:t xml:space="preserve">the importance of tobacco </w:t>
      </w:r>
      <w:r w:rsidR="00350EBA">
        <w:t>cessation</w:t>
      </w:r>
      <w:r>
        <w:t xml:space="preserve"> efforts and </w:t>
      </w:r>
      <w:r w:rsidR="000469D6">
        <w:t xml:space="preserve">to </w:t>
      </w:r>
      <w:r>
        <w:t xml:space="preserve">monitor </w:t>
      </w:r>
      <w:r w:rsidR="000469D6">
        <w:t xml:space="preserve">the </w:t>
      </w:r>
      <w:r>
        <w:t xml:space="preserve">progress </w:t>
      </w:r>
      <w:r w:rsidR="000469D6">
        <w:t>of these</w:t>
      </w:r>
      <w:r>
        <w:t xml:space="preserve"> efforts.  </w:t>
      </w:r>
    </w:p>
    <w:p w:rsidR="006931AD" w:rsidRPr="00D571E3" w:rsidP="00FA0C92" w14:paraId="6C154126" w14:textId="77777777">
      <w:pPr>
        <w:autoSpaceDE w:val="0"/>
        <w:autoSpaceDN w:val="0"/>
        <w:adjustRightInd w:val="0"/>
        <w:ind w:firstLine="720"/>
        <w:rPr>
          <w:iCs/>
        </w:rPr>
      </w:pPr>
    </w:p>
    <w:p w:rsidR="00BC67DD" w:rsidRPr="00ED6E42" w:rsidP="00813C1D" w14:paraId="06714618" w14:textId="77777777">
      <w:pPr>
        <w:pStyle w:val="Heading2"/>
      </w:pPr>
      <w:r>
        <w:t>A.</w:t>
      </w:r>
      <w:r w:rsidR="002D7990">
        <w:t>3</w:t>
      </w:r>
      <w:r w:rsidR="008469A3">
        <w:tab/>
      </w:r>
      <w:r w:rsidR="008469A3">
        <w:rPr>
          <w:u w:val="single"/>
        </w:rPr>
        <w:t>USE OF IMPROVED INFORMATION TECHNOLOGY AND BURDEN REDUCTION</w:t>
      </w:r>
    </w:p>
    <w:p w:rsidR="00EA6A8A" w:rsidP="00CF3CCC" w14:paraId="429AC0CA" w14:textId="275AC552">
      <w:pPr>
        <w:autoSpaceDE w:val="0"/>
        <w:autoSpaceDN w:val="0"/>
        <w:adjustRightInd w:val="0"/>
        <w:spacing w:after="120"/>
        <w:ind w:firstLine="720"/>
      </w:pPr>
      <w:r>
        <w:t xml:space="preserve">Each state will determine the types of technology used </w:t>
      </w:r>
      <w:r w:rsidR="00B45735">
        <w:t xml:space="preserve">to </w:t>
      </w:r>
      <w:r>
        <w:t xml:space="preserve">conduct intake interviews. The majority of states will use </w:t>
      </w:r>
      <w:r w:rsidR="00BC67DD">
        <w:t xml:space="preserve">computer assisted telephone interviewing (CATI). </w:t>
      </w:r>
      <w:r>
        <w:t>A</w:t>
      </w:r>
      <w:r w:rsidR="00442214">
        <w:t>dditionally, as</w:t>
      </w:r>
      <w:r w:rsidR="00D35F0C">
        <w:t xml:space="preserve"> new technologies continue to evolve, some states</w:t>
      </w:r>
      <w:r w:rsidR="00B13D14">
        <w:t xml:space="preserve"> </w:t>
      </w:r>
      <w:r w:rsidR="003E4B8B">
        <w:t>will allow</w:t>
      </w:r>
      <w:r>
        <w:t xml:space="preserve"> callers to conduct the initial intake interview online </w:t>
      </w:r>
      <w:r w:rsidR="004A7B1B">
        <w:t xml:space="preserve">and/or </w:t>
      </w:r>
      <w:r w:rsidR="00A229B9">
        <w:t xml:space="preserve">via text messaging apps </w:t>
      </w:r>
      <w:r>
        <w:t>before they are referred to a live counselor</w:t>
      </w:r>
      <w:r w:rsidR="004A7B1B">
        <w:t>.</w:t>
      </w:r>
      <w:r w:rsidR="00545233">
        <w:t xml:space="preserve"> </w:t>
      </w:r>
      <w:r>
        <w:t>States will be encouraged to use information technology to reduce burden</w:t>
      </w:r>
      <w:r w:rsidR="00CB5250">
        <w:t xml:space="preserve">. </w:t>
      </w:r>
    </w:p>
    <w:p w:rsidR="00CB5250" w:rsidP="002E5635" w14:paraId="45E2D675" w14:textId="382FE403">
      <w:pPr>
        <w:autoSpaceDE w:val="0"/>
        <w:autoSpaceDN w:val="0"/>
        <w:adjustRightInd w:val="0"/>
        <w:spacing w:after="120"/>
        <w:ind w:firstLine="720"/>
      </w:pPr>
      <w:r>
        <w:t>S</w:t>
      </w:r>
      <w:r w:rsidRPr="00701AB9">
        <w:t xml:space="preserve">tates </w:t>
      </w:r>
      <w:r>
        <w:t xml:space="preserve">currently </w:t>
      </w:r>
      <w:r w:rsidR="00B13D14">
        <w:t>submit</w:t>
      </w:r>
      <w:r>
        <w:t xml:space="preserve"> their individual-level data to </w:t>
      </w:r>
      <w:r w:rsidR="00704AE6">
        <w:t>CDC’s</w:t>
      </w:r>
      <w:r w:rsidR="00E14442">
        <w:t xml:space="preserve"> contractor</w:t>
      </w:r>
      <w:r w:rsidR="00C66819">
        <w:t xml:space="preserve"> for NQDW</w:t>
      </w:r>
      <w:r w:rsidR="00BB455E">
        <w:t xml:space="preserve"> </w:t>
      </w:r>
      <w:r w:rsidRPr="00701AB9">
        <w:t xml:space="preserve">through </w:t>
      </w:r>
      <w:r w:rsidR="006D40F7">
        <w:t>a</w:t>
      </w:r>
      <w:r w:rsidRPr="00701AB9" w:rsidR="00F17D9B">
        <w:t xml:space="preserve"> </w:t>
      </w:r>
      <w:r w:rsidRPr="00701AB9">
        <w:t>secure FTP server site.</w:t>
      </w:r>
      <w:r>
        <w:t xml:space="preserve"> CDC</w:t>
      </w:r>
      <w:r w:rsidRPr="00701AB9">
        <w:t xml:space="preserve"> instituted online data submissions through a secure FTP server as a way to </w:t>
      </w:r>
      <w:r w:rsidR="008E6A67">
        <w:t>simplify and expedite</w:t>
      </w:r>
      <w:r w:rsidRPr="00701AB9">
        <w:t xml:space="preserve"> data submission</w:t>
      </w:r>
      <w:r w:rsidR="00B30840">
        <w:t xml:space="preserve">. </w:t>
      </w:r>
      <w:r w:rsidRPr="00701AB9">
        <w:t xml:space="preserve">Each state </w:t>
      </w:r>
      <w:r w:rsidR="00F17D9B">
        <w:t xml:space="preserve">is able to approve one or more staff members or designees to use the site, each of whom </w:t>
      </w:r>
      <w:r w:rsidRPr="00701AB9">
        <w:t>has</w:t>
      </w:r>
      <w:r>
        <w:t xml:space="preserve"> </w:t>
      </w:r>
      <w:r w:rsidR="00F17D9B">
        <w:t xml:space="preserve">their </w:t>
      </w:r>
      <w:r w:rsidRPr="00701AB9">
        <w:t xml:space="preserve">own user </w:t>
      </w:r>
      <w:r w:rsidR="004D1721">
        <w:t>ID</w:t>
      </w:r>
      <w:r w:rsidRPr="00701AB9">
        <w:t xml:space="preserve"> and unique password. The server is checked </w:t>
      </w:r>
      <w:r w:rsidR="006E079C">
        <w:t xml:space="preserve">several times a week </w:t>
      </w:r>
      <w:r w:rsidRPr="00701AB9">
        <w:t>for files and the files are quickly removed</w:t>
      </w:r>
      <w:r>
        <w:t xml:space="preserve"> after being downloaded. </w:t>
      </w:r>
      <w:r w:rsidRPr="009C3E5F" w:rsidR="004D1721">
        <w:t>Technical assistance is provided to states to aid in the submission o</w:t>
      </w:r>
      <w:r w:rsidR="008E6A67">
        <w:t>f</w:t>
      </w:r>
      <w:r w:rsidRPr="009C3E5F" w:rsidR="004D1721">
        <w:t xml:space="preserve"> data to the NQDW.</w:t>
      </w:r>
    </w:p>
    <w:p w:rsidR="00EA6A8A" w:rsidP="004F7B18" w14:paraId="2A4A0E83" w14:textId="1C1A2E23">
      <w:pPr>
        <w:spacing w:after="120"/>
        <w:ind w:right="-187" w:firstLine="720"/>
      </w:pPr>
      <w:r w:rsidRPr="009A73F8">
        <w:t>The NQDW Qui</w:t>
      </w:r>
      <w:r w:rsidR="00994469">
        <w:t xml:space="preserve">tline Services Survey </w:t>
      </w:r>
      <w:r w:rsidR="003538EE">
        <w:t xml:space="preserve">is based on a </w:t>
      </w:r>
      <w:r w:rsidRPr="009A73F8">
        <w:t>fillable form-style Microsoft Word document</w:t>
      </w:r>
      <w:r w:rsidR="003538EE">
        <w:t xml:space="preserve">. </w:t>
      </w:r>
      <w:r w:rsidRPr="009A73F8">
        <w:t xml:space="preserve">The survey consists of </w:t>
      </w:r>
      <w:r w:rsidR="00B13D14">
        <w:t>22</w:t>
      </w:r>
      <w:r w:rsidRPr="009A73F8">
        <w:t xml:space="preserve"> questions, and the electronic form for the survey includes </w:t>
      </w:r>
      <w:r w:rsidRPr="009A73F8">
        <w:t xml:space="preserve">drop-down boxes, data entry fields, and checkboxes to help reduce data entry errors. </w:t>
      </w:r>
      <w:r w:rsidR="006F03F1">
        <w:t>Pending approval of this revision request,</w:t>
      </w:r>
      <w:r w:rsidR="003538EE">
        <w:t xml:space="preserve"> </w:t>
      </w:r>
      <w:r w:rsidRPr="009A73F8" w:rsidR="003538EE">
        <w:t xml:space="preserve">CDC </w:t>
      </w:r>
      <w:r w:rsidR="00FA75E2">
        <w:t xml:space="preserve">will request that states complete the new survey in its entirety once, and thereafter will </w:t>
      </w:r>
      <w:r w:rsidRPr="009A73F8" w:rsidR="003538EE">
        <w:t xml:space="preserve">pre-populate the responses to questions </w:t>
      </w:r>
      <w:r w:rsidR="009C20D9">
        <w:t>2</w:t>
      </w:r>
      <w:r w:rsidRPr="009A73F8" w:rsidR="003538EE">
        <w:t>-1</w:t>
      </w:r>
      <w:r w:rsidR="009C20D9">
        <w:t>5</w:t>
      </w:r>
      <w:r w:rsidRPr="009A73F8" w:rsidR="003538EE">
        <w:t xml:space="preserve"> with the information the state reported for the previous </w:t>
      </w:r>
      <w:r w:rsidR="009C20D9">
        <w:t>time period</w:t>
      </w:r>
      <w:r w:rsidRPr="009A73F8" w:rsidR="003538EE">
        <w:t xml:space="preserve">. </w:t>
      </w:r>
      <w:r w:rsidR="003538EE">
        <w:t>This minimizes</w:t>
      </w:r>
      <w:r w:rsidRPr="009A73F8">
        <w:t xml:space="preserve"> burden on survey respondents</w:t>
      </w:r>
      <w:r w:rsidR="003538EE">
        <w:t xml:space="preserve"> since s</w:t>
      </w:r>
      <w:r w:rsidRPr="009A73F8">
        <w:t xml:space="preserve">tates </w:t>
      </w:r>
      <w:r w:rsidR="003538EE">
        <w:t xml:space="preserve">only need to make </w:t>
      </w:r>
      <w:r w:rsidRPr="009A73F8">
        <w:t xml:space="preserve">edits if changes </w:t>
      </w:r>
      <w:r w:rsidR="008E6A67">
        <w:t xml:space="preserve">occurred </w:t>
      </w:r>
      <w:r w:rsidRPr="009A73F8">
        <w:t xml:space="preserve">in the services being offered by the quitline since the last time the state responded to the survey. </w:t>
      </w:r>
    </w:p>
    <w:p w:rsidR="00CB5250" w:rsidP="00CB5250" w14:paraId="761B806B" w14:textId="77777777">
      <w:pPr>
        <w:autoSpaceDE w:val="0"/>
        <w:autoSpaceDN w:val="0"/>
        <w:adjustRightInd w:val="0"/>
        <w:ind w:firstLine="720"/>
        <w:jc w:val="both"/>
      </w:pPr>
    </w:p>
    <w:p w:rsidR="008469A3" w14:paraId="181A77FE" w14:textId="77777777">
      <w:pPr>
        <w:pStyle w:val="Heading2"/>
      </w:pPr>
      <w:r>
        <w:t>A.</w:t>
      </w:r>
      <w:r w:rsidR="002D7990">
        <w:t>4</w:t>
      </w:r>
      <w:r>
        <w:tab/>
      </w:r>
      <w:r>
        <w:rPr>
          <w:u w:val="single"/>
        </w:rPr>
        <w:t>EFFORTS TO IDENTIFY DUPLICATION AND USE OF SIMILAR INFORMATION</w:t>
      </w:r>
    </w:p>
    <w:p w:rsidR="00153432" w:rsidRPr="00493D58" w:rsidP="00493D58" w14:paraId="4A7A0D23" w14:textId="76C17241">
      <w:pPr>
        <w:widowControl w:val="0"/>
        <w:tabs>
          <w:tab w:val="center" w:pos="4680"/>
        </w:tabs>
        <w:spacing w:after="240"/>
        <w:ind w:firstLine="720"/>
      </w:pPr>
      <w:r w:rsidRPr="00493D58">
        <w:t>The North American Quitline Consortium (NAQC) is an international, non-profit</w:t>
      </w:r>
      <w:r w:rsidR="00E64F2E">
        <w:t xml:space="preserve"> </w:t>
      </w:r>
      <w:r w:rsidRPr="00493D58">
        <w:t xml:space="preserve">organization. </w:t>
      </w:r>
      <w:r w:rsidRPr="00493D58" w:rsidR="000E1BEA">
        <w:t>NAQC conducts an Annual Survey of Quitlines that CDC initially thought might serve some of the agency’s data needs</w:t>
      </w:r>
      <w:r w:rsidR="00B30840">
        <w:t xml:space="preserve">. </w:t>
      </w:r>
      <w:r w:rsidRPr="00493D58" w:rsidR="009B1444">
        <w:t>However</w:t>
      </w:r>
      <w:r w:rsidRPr="00493D58" w:rsidR="003B4448">
        <w:t xml:space="preserve">, NAQC’s data is collected annually and based on states’ fiscal years. CDC needs to have </w:t>
      </w:r>
      <w:r w:rsidRPr="00493D58" w:rsidR="00970919">
        <w:t xml:space="preserve">individual-level intake </w:t>
      </w:r>
      <w:r w:rsidRPr="00493D58" w:rsidR="003B4448">
        <w:t xml:space="preserve">data </w:t>
      </w:r>
      <w:r w:rsidRPr="00493D58" w:rsidR="00356F83">
        <w:t>quarterly</w:t>
      </w:r>
      <w:r w:rsidRPr="00493D58" w:rsidR="00550462">
        <w:t xml:space="preserve"> and services data semiannually</w:t>
      </w:r>
      <w:r w:rsidRPr="00493D58" w:rsidR="00356F83">
        <w:t xml:space="preserve"> </w:t>
      </w:r>
      <w:r w:rsidRPr="00493D58" w:rsidR="003B4448">
        <w:t>based on standard calendar periods</w:t>
      </w:r>
      <w:r w:rsidRPr="00493D58" w:rsidR="00356F83">
        <w:t xml:space="preserve"> to evaluate interventions (e.g. CDC </w:t>
      </w:r>
      <w:r w:rsidRPr="00493D58" w:rsidR="001938EF">
        <w:t>Tips®</w:t>
      </w:r>
      <w:r w:rsidRPr="00493D58" w:rsidR="00356F83">
        <w:t>) that may impact quitline utilization</w:t>
      </w:r>
      <w:r w:rsidRPr="00493D58" w:rsidR="003B4448">
        <w:t>. I</w:t>
      </w:r>
      <w:r w:rsidRPr="00493D58">
        <w:t>n addition the data submitted to NQDW undergo a quality assurance process to maintain accuracy.</w:t>
      </w:r>
    </w:p>
    <w:p w:rsidR="00C9047E" w:rsidRPr="00493D58" w:rsidP="00493D58" w14:paraId="4756C497" w14:textId="07B33520">
      <w:pPr>
        <w:widowControl w:val="0"/>
        <w:tabs>
          <w:tab w:val="center" w:pos="4680"/>
        </w:tabs>
        <w:spacing w:after="240"/>
        <w:ind w:firstLine="720"/>
      </w:pPr>
      <w:r w:rsidRPr="00493D58">
        <w:t xml:space="preserve"> </w:t>
      </w:r>
      <w:r w:rsidRPr="00493D58" w:rsidR="00CF3CCC">
        <w:t>T</w:t>
      </w:r>
      <w:r w:rsidRPr="00493D58" w:rsidR="001070F8">
        <w:t xml:space="preserve">o </w:t>
      </w:r>
      <w:r w:rsidRPr="00493D58" w:rsidR="005E2C06">
        <w:t xml:space="preserve">minimize </w:t>
      </w:r>
      <w:r w:rsidRPr="00493D58" w:rsidR="001070F8">
        <w:t xml:space="preserve">duplication of </w:t>
      </w:r>
      <w:r w:rsidRPr="00493D58" w:rsidR="005E2C06">
        <w:t xml:space="preserve">effort </w:t>
      </w:r>
      <w:r w:rsidRPr="00493D58" w:rsidR="001070F8">
        <w:t>by CDC and NAQC, i</w:t>
      </w:r>
      <w:r w:rsidRPr="00493D58" w:rsidR="00FD4596">
        <w:t xml:space="preserve">n 2011 CDC asked each state/territory for permission to share their quarterly </w:t>
      </w:r>
      <w:r w:rsidRPr="00493D58" w:rsidR="00B94F9D">
        <w:t xml:space="preserve">NQDW </w:t>
      </w:r>
      <w:r w:rsidRPr="00493D58" w:rsidR="00C15FE1">
        <w:t>Quitline Services Online Survey</w:t>
      </w:r>
      <w:r w:rsidRPr="00493D58" w:rsidR="005B0F26">
        <w:t xml:space="preserve"> </w:t>
      </w:r>
      <w:r w:rsidRPr="00493D58" w:rsidR="00FD4596">
        <w:t xml:space="preserve">data </w:t>
      </w:r>
      <w:r w:rsidRPr="00493D58" w:rsidR="005D2242">
        <w:t xml:space="preserve">for </w:t>
      </w:r>
      <w:r w:rsidRPr="00493D58" w:rsidR="00FD4596">
        <w:t>2010 and 2011 with NAQC. Over 95% of the states agreed to this</w:t>
      </w:r>
      <w:r w:rsidRPr="00493D58" w:rsidR="00A94DFE">
        <w:t>.</w:t>
      </w:r>
      <w:r w:rsidRPr="00493D58" w:rsidR="00FD4596">
        <w:t xml:space="preserve"> NAQC can be assured that these data are </w:t>
      </w:r>
      <w:r w:rsidRPr="00493D58" w:rsidR="00634BE1">
        <w:t>“</w:t>
      </w:r>
      <w:r w:rsidRPr="00493D58" w:rsidR="00FD4596">
        <w:t xml:space="preserve">clean” when they come from </w:t>
      </w:r>
      <w:r w:rsidRPr="00493D58" w:rsidR="00A94DFE">
        <w:t xml:space="preserve">CDC </w:t>
      </w:r>
      <w:r w:rsidRPr="00493D58" w:rsidR="00FD4596">
        <w:t xml:space="preserve">because </w:t>
      </w:r>
      <w:r w:rsidRPr="00493D58" w:rsidR="00A94DFE">
        <w:t>CDC has</w:t>
      </w:r>
      <w:r w:rsidRPr="00493D58" w:rsidR="00FD4596">
        <w:t xml:space="preserve"> verified the various data points at various times with each state/territory. CDC views this as </w:t>
      </w:r>
      <w:r w:rsidRPr="00493D58" w:rsidR="005D2242">
        <w:t xml:space="preserve">an opportunity to </w:t>
      </w:r>
      <w:r w:rsidRPr="00493D58" w:rsidR="00FD4596">
        <w:t>reduc</w:t>
      </w:r>
      <w:r w:rsidRPr="00493D58" w:rsidR="005D2242">
        <w:t>e</w:t>
      </w:r>
      <w:r w:rsidRPr="00493D58" w:rsidR="00FD4596">
        <w:t xml:space="preserve"> the burden on states (as they will not need to complete similar surveys for CDC and for NAQC) as well as an opportunity to decrease duplication of </w:t>
      </w:r>
      <w:r w:rsidRPr="00493D58" w:rsidR="005D2242">
        <w:t xml:space="preserve">similar data collection efforts </w:t>
      </w:r>
      <w:r w:rsidRPr="00493D58" w:rsidR="00FD4596">
        <w:t>by CDC and NAQC.</w:t>
      </w:r>
      <w:r w:rsidRPr="00493D58" w:rsidR="006C3F9C">
        <w:t xml:space="preserve"> CDC spent many person-hours on this effort and is willing to make a special effort in the </w:t>
      </w:r>
      <w:r w:rsidRPr="00493D58" w:rsidR="00B65C90">
        <w:t>coming years</w:t>
      </w:r>
      <w:r w:rsidRPr="00493D58" w:rsidR="006C3F9C">
        <w:t xml:space="preserve"> to share data </w:t>
      </w:r>
      <w:r w:rsidRPr="00493D58" w:rsidR="00A94DFE">
        <w:t xml:space="preserve">again </w:t>
      </w:r>
      <w:r w:rsidRPr="00493D58" w:rsidR="006C3F9C">
        <w:t>with NAQC.</w:t>
      </w:r>
      <w:r w:rsidRPr="00493D58" w:rsidR="00FD4596">
        <w:t xml:space="preserve"> </w:t>
      </w:r>
      <w:r w:rsidRPr="00493D58">
        <w:t>More recently, in 201</w:t>
      </w:r>
      <w:r w:rsidRPr="00493D58" w:rsidR="00C21B86">
        <w:t>9</w:t>
      </w:r>
      <w:r w:rsidRPr="00493D58">
        <w:t xml:space="preserve">, CDC and NAQC </w:t>
      </w:r>
      <w:r w:rsidRPr="00493D58" w:rsidR="00B65C90">
        <w:t>were in</w:t>
      </w:r>
      <w:r w:rsidRPr="00493D58">
        <w:t xml:space="preserve"> close communication</w:t>
      </w:r>
      <w:r w:rsidR="00E64F2E">
        <w:t xml:space="preserve"> </w:t>
      </w:r>
      <w:r w:rsidRPr="00493D58" w:rsidR="005E6C18">
        <w:t xml:space="preserve">about </w:t>
      </w:r>
      <w:r w:rsidRPr="00493D58">
        <w:t xml:space="preserve">NAQC’s planned changes to the MDS. </w:t>
      </w:r>
      <w:r w:rsidRPr="00493D58" w:rsidR="005E6C18">
        <w:t xml:space="preserve">CDC referenced those changes and the MDS more broadly to ensure that CDC’s </w:t>
      </w:r>
      <w:r w:rsidRPr="00493D58" w:rsidR="00706BAA">
        <w:t xml:space="preserve">proposed </w:t>
      </w:r>
      <w:r w:rsidRPr="00493D58" w:rsidR="005E6C18">
        <w:t xml:space="preserve">changes to the NQDW </w:t>
      </w:r>
      <w:r w:rsidRPr="00493D58" w:rsidR="004B410C">
        <w:t xml:space="preserve">outlined in this OMB request </w:t>
      </w:r>
      <w:r w:rsidRPr="00493D58" w:rsidR="005E6C18">
        <w:t>align.</w:t>
      </w:r>
      <w:r w:rsidRPr="00493D58" w:rsidR="00637A41">
        <w:t xml:space="preserve"> </w:t>
      </w:r>
      <w:r w:rsidRPr="00493D58" w:rsidR="00A94DFE">
        <w:t xml:space="preserve">CDC </w:t>
      </w:r>
      <w:r w:rsidRPr="00493D58">
        <w:t>plan</w:t>
      </w:r>
      <w:r w:rsidRPr="00493D58" w:rsidR="00A94DFE">
        <w:t>s</w:t>
      </w:r>
      <w:r w:rsidRPr="00493D58">
        <w:t xml:space="preserve"> to continue this communication on a regular basis in order to ensure the coordination of CDC’s and NAQC’s efforts in this area and to avoid duplication and minimize burden on states.</w:t>
      </w:r>
    </w:p>
    <w:p w:rsidR="009C20D9" w:rsidRPr="00493D58" w:rsidP="00493D58" w14:paraId="66C0BCA1" w14:textId="075428A9">
      <w:pPr>
        <w:widowControl w:val="0"/>
        <w:tabs>
          <w:tab w:val="center" w:pos="4680"/>
        </w:tabs>
        <w:spacing w:after="240"/>
        <w:ind w:firstLine="720"/>
      </w:pPr>
      <w:r w:rsidRPr="00493D58">
        <w:t xml:space="preserve">To further reduce burden on states and to account for the expansion of service </w:t>
      </w:r>
      <w:r w:rsidRPr="00493D58" w:rsidR="00433717">
        <w:t xml:space="preserve">provision </w:t>
      </w:r>
      <w:r w:rsidRPr="00493D58">
        <w:t>and data collection modalities in recent years (i.e. from solely phone</w:t>
      </w:r>
      <w:r w:rsidRPr="00493D58" w:rsidR="004F35E2">
        <w:t>-based</w:t>
      </w:r>
      <w:r w:rsidRPr="00493D58" w:rsidR="00B13D14">
        <w:t xml:space="preserve"> </w:t>
      </w:r>
      <w:r w:rsidRPr="00493D58">
        <w:t xml:space="preserve">to </w:t>
      </w:r>
      <w:r w:rsidRPr="00493D58" w:rsidR="00FA751C">
        <w:t>online</w:t>
      </w:r>
      <w:r w:rsidRPr="00493D58">
        <w:t xml:space="preserve"> and text </w:t>
      </w:r>
      <w:r w:rsidRPr="00493D58" w:rsidR="005F0C9A">
        <w:t>application capabilities</w:t>
      </w:r>
      <w:r w:rsidRPr="00493D58">
        <w:t xml:space="preserve">), CDC convened several meetings in 2020 with </w:t>
      </w:r>
      <w:r w:rsidRPr="00493D58" w:rsidR="001304DA">
        <w:t xml:space="preserve">state </w:t>
      </w:r>
      <w:r w:rsidRPr="00493D58" w:rsidR="00F360DC">
        <w:t xml:space="preserve">quitline </w:t>
      </w:r>
      <w:r w:rsidRPr="00493D58" w:rsidR="001304DA">
        <w:t>representatives from</w:t>
      </w:r>
      <w:r w:rsidRPr="00493D58" w:rsidR="00E5314C">
        <w:t xml:space="preserve"> </w:t>
      </w:r>
      <w:r w:rsidRPr="00493D58" w:rsidR="00694906">
        <w:t xml:space="preserve">the </w:t>
      </w:r>
      <w:r w:rsidRPr="00493D58" w:rsidR="00E5314C">
        <w:t>National Tobacco Control Program</w:t>
      </w:r>
      <w:r w:rsidRPr="00493D58">
        <w:t xml:space="preserve">. These discussions ensured that </w:t>
      </w:r>
      <w:r w:rsidRPr="00493D58" w:rsidR="00E5314C">
        <w:t>CDC’s proposed changes</w:t>
      </w:r>
      <w:r w:rsidRPr="00493D58">
        <w:t xml:space="preserve"> to the NQDW questionnaire and the services survey reflect quitline services as accurately as possible while remaining a minimal collection and reporting burden to states.</w:t>
      </w:r>
    </w:p>
    <w:p w:rsidR="00FD4596" w:rsidRPr="00493D58" w:rsidP="00493D58" w14:paraId="0B115C49" w14:textId="3D31E5D9">
      <w:pPr>
        <w:widowControl w:val="0"/>
        <w:tabs>
          <w:tab w:val="center" w:pos="4680"/>
        </w:tabs>
        <w:spacing w:after="240"/>
        <w:ind w:firstLine="720"/>
      </w:pPr>
      <w:r w:rsidRPr="00493D58">
        <w:t>It is essential for CDC to have direct control and ready access to these data because CDC provides substantial funding to support state quitline activities and is accountable for the</w:t>
      </w:r>
      <w:r w:rsidRPr="00493D58" w:rsidR="00E57D31">
        <w:t xml:space="preserve"> outcomes of these activities. CDC currently uses NQDW data for accountability of CDC funding, to track state quitline program performance, to answer questions posed by members of the U.S. Congress, and to respond to time-sensitive internal and external inquiries regarding the number of tobacco users served by quitlines</w:t>
      </w:r>
      <w:r w:rsidR="00B30840">
        <w:t xml:space="preserve">. </w:t>
      </w:r>
      <w:r w:rsidRPr="00493D58" w:rsidR="00E57D31">
        <w:t xml:space="preserve">NQDW data can also be used to evaluate the </w:t>
      </w:r>
      <w:r w:rsidRPr="00493D58" w:rsidR="00E57D31">
        <w:t xml:space="preserve">effectiveness of CDC’s </w:t>
      </w:r>
      <w:r w:rsidRPr="00493D58" w:rsidR="00E57D31">
        <w:rPr>
          <w:bCs/>
          <w:iCs/>
        </w:rPr>
        <w:t>Tips® national tobacco education media campaigns on promoting calls to, and use of, state quitlines.</w:t>
      </w:r>
    </w:p>
    <w:p w:rsidR="007C0998" w:rsidRPr="007C0998" w:rsidP="007C0998" w14:paraId="340E104C" w14:textId="77777777">
      <w:pPr>
        <w:widowControl w:val="0"/>
        <w:tabs>
          <w:tab w:val="center" w:pos="4680"/>
        </w:tabs>
      </w:pPr>
    </w:p>
    <w:p w:rsidR="008469A3" w14:paraId="1A93FACB" w14:textId="77777777">
      <w:pPr>
        <w:pStyle w:val="Heading2"/>
      </w:pPr>
      <w:r>
        <w:t>A.</w:t>
      </w:r>
      <w:r w:rsidR="002D7990">
        <w:t>5</w:t>
      </w:r>
      <w:r>
        <w:tab/>
      </w:r>
      <w:r>
        <w:rPr>
          <w:u w:val="single"/>
        </w:rPr>
        <w:t>IMPACT ON SMALL BUSINESSES OR OTHER SMALL ENTITIES</w:t>
      </w:r>
    </w:p>
    <w:p w:rsidR="008469A3" w14:paraId="3A0906A7" w14:textId="77777777">
      <w:pPr>
        <w:pStyle w:val="BodyText"/>
      </w:pPr>
      <w:r>
        <w:t>The planned data collection does not involve small businesses or other small entities.</w:t>
      </w:r>
    </w:p>
    <w:p w:rsidR="008469A3" w14:paraId="07510465" w14:textId="77777777">
      <w:pPr>
        <w:pStyle w:val="Heading2"/>
      </w:pPr>
      <w:r>
        <w:t>A.</w:t>
      </w:r>
      <w:r w:rsidR="002D7990">
        <w:t>6</w:t>
      </w:r>
      <w:r>
        <w:tab/>
      </w:r>
      <w:r>
        <w:rPr>
          <w:u w:val="single"/>
        </w:rPr>
        <w:t xml:space="preserve">CONSEQUENCES </w:t>
      </w:r>
      <w:r w:rsidR="00576B5E">
        <w:rPr>
          <w:u w:val="single"/>
        </w:rPr>
        <w:t>O</w:t>
      </w:r>
      <w:r>
        <w:rPr>
          <w:u w:val="single"/>
        </w:rPr>
        <w:t>F COLLECTING THE INFORMATION LESS FREQUENTLY</w:t>
      </w:r>
    </w:p>
    <w:p w:rsidR="00576B5E" w:rsidRPr="00BB455E" w:rsidP="00BB455E" w14:paraId="4A22545B" w14:textId="54EE6938">
      <w:pPr>
        <w:pStyle w:val="NormalWeb"/>
        <w:spacing w:before="0" w:beforeAutospacing="0" w:after="240" w:afterAutospacing="0"/>
        <w:ind w:firstLine="720"/>
        <w:rPr>
          <w:color w:val="000000"/>
        </w:rPr>
      </w:pPr>
      <w:r w:rsidRPr="00FF7A5D">
        <w:t xml:space="preserve">The NQDW collects </w:t>
      </w:r>
      <w:r w:rsidR="00D7210B">
        <w:t xml:space="preserve">NQDW Quitline Services Survey </w:t>
      </w:r>
      <w:r w:rsidRPr="00FF7A5D">
        <w:t xml:space="preserve">data from states on a </w:t>
      </w:r>
      <w:r w:rsidR="0087489E">
        <w:t>semi</w:t>
      </w:r>
      <w:r w:rsidR="009C20D9">
        <w:t>annual</w:t>
      </w:r>
      <w:r w:rsidRPr="00FF7A5D" w:rsidR="009C20D9">
        <w:t xml:space="preserve"> </w:t>
      </w:r>
      <w:r w:rsidRPr="00FF7A5D">
        <w:t xml:space="preserve">basis based on the calendar year. As such, CDC is </w:t>
      </w:r>
      <w:r w:rsidR="00C322BF">
        <w:t xml:space="preserve">obtaining </w:t>
      </w:r>
      <w:r w:rsidRPr="00FF7A5D">
        <w:t xml:space="preserve">data on call volume and </w:t>
      </w:r>
      <w:r w:rsidR="00C322BF">
        <w:t xml:space="preserve">the number of </w:t>
      </w:r>
      <w:r w:rsidRPr="00FF7A5D">
        <w:t xml:space="preserve">tobacco users receiving services </w:t>
      </w:r>
      <w:r w:rsidR="009C20D9">
        <w:t>every six months</w:t>
      </w:r>
      <w:r w:rsidRPr="00FF7A5D">
        <w:t xml:space="preserve">. </w:t>
      </w:r>
      <w:r w:rsidR="00496AA9">
        <w:t xml:space="preserve">While CDC previously obtained data on services offered by quarter, </w:t>
      </w:r>
      <w:r w:rsidR="00211E20">
        <w:t xml:space="preserve">beginning in 2019 </w:t>
      </w:r>
      <w:r w:rsidR="00496AA9">
        <w:t>CDC</w:t>
      </w:r>
      <w:r w:rsidR="00E64F2E">
        <w:t xml:space="preserve"> </w:t>
      </w:r>
      <w:r w:rsidR="00496AA9">
        <w:t>obtain</w:t>
      </w:r>
      <w:r w:rsidR="00D4198E">
        <w:t>s</w:t>
      </w:r>
      <w:r w:rsidR="00496AA9">
        <w:t xml:space="preserve"> these data semiannually and publish</w:t>
      </w:r>
      <w:r w:rsidR="00D4198E">
        <w:t>es</w:t>
      </w:r>
      <w:r w:rsidR="00496AA9">
        <w:t xml:space="preserve"> </w:t>
      </w:r>
      <w:r w:rsidR="00823F98">
        <w:t>NQDW</w:t>
      </w:r>
      <w:r w:rsidR="00496AA9">
        <w:t xml:space="preserve"> data </w:t>
      </w:r>
      <w:r w:rsidR="00823F98">
        <w:t xml:space="preserve">in the STATE System </w:t>
      </w:r>
      <w:r w:rsidR="00496AA9">
        <w:t xml:space="preserve">twice per year. </w:t>
      </w:r>
      <w:r w:rsidR="00266AE1">
        <w:t>Collecting th</w:t>
      </w:r>
      <w:r w:rsidR="00AB3B9D">
        <w:t>ese</w:t>
      </w:r>
      <w:r w:rsidR="00266AE1">
        <w:t xml:space="preserve"> data less frequently would adversely affect CDC’s ability to release </w:t>
      </w:r>
      <w:r w:rsidR="00A44E9E">
        <w:t>semiannual</w:t>
      </w:r>
      <w:r w:rsidR="00266AE1">
        <w:t xml:space="preserve"> data from the NQDW on the STATE System in an ongoing, and timely, manner. Additionally, there is a</w:t>
      </w:r>
      <w:r w:rsidRPr="00FF7A5D">
        <w:t xml:space="preserve"> large seasonality effect with respect to quitline utilization</w:t>
      </w:r>
      <w:r w:rsidR="00FF294A">
        <w:t xml:space="preserve">. </w:t>
      </w:r>
      <w:r w:rsidR="00266AE1">
        <w:t xml:space="preserve">Because of </w:t>
      </w:r>
      <w:r w:rsidR="00FF294A">
        <w:t>the seasonality of quitline utilization</w:t>
      </w:r>
      <w:r w:rsidR="00C9047E">
        <w:t xml:space="preserve"> as well as the need to monitor the impact of the </w:t>
      </w:r>
      <w:r w:rsidRPr="001B49EC" w:rsidR="001938EF">
        <w:t>Tips</w:t>
      </w:r>
      <w:r w:rsidR="001938EF">
        <w:rPr>
          <w:i/>
        </w:rPr>
        <w:t>®</w:t>
      </w:r>
      <w:r w:rsidRPr="00BF707D" w:rsidR="00C9047E">
        <w:rPr>
          <w:i/>
        </w:rPr>
        <w:t xml:space="preserve"> </w:t>
      </w:r>
      <w:r w:rsidR="00C9047E">
        <w:t xml:space="preserve">media campaigns on </w:t>
      </w:r>
      <w:r w:rsidR="00BF707D">
        <w:t xml:space="preserve">state </w:t>
      </w:r>
      <w:r w:rsidR="00C9047E">
        <w:t>quitline call volume</w:t>
      </w:r>
      <w:r w:rsidR="00BF707D">
        <w:t xml:space="preserve"> and tobacco users registering for services from state quitlines</w:t>
      </w:r>
      <w:r w:rsidR="00266AE1">
        <w:t xml:space="preserve">, </w:t>
      </w:r>
      <w:r w:rsidRPr="00FF7A5D">
        <w:t xml:space="preserve">CDC believes it is important to collect information on call volume on a more frequent basis than annual data collection. Finally, during the past </w:t>
      </w:r>
      <w:r w:rsidR="00F22FEC">
        <w:t xml:space="preserve">several </w:t>
      </w:r>
      <w:r w:rsidRPr="00FF7A5D">
        <w:t>year</w:t>
      </w:r>
      <w:r w:rsidR="00F22FEC">
        <w:t>s</w:t>
      </w:r>
      <w:r w:rsidRPr="00FF7A5D">
        <w:t xml:space="preserve"> states have been changing their service mix </w:t>
      </w:r>
      <w:r w:rsidR="00C322BF">
        <w:t xml:space="preserve">(e.g., providing medication in some quarters and not others) </w:t>
      </w:r>
      <w:r w:rsidRPr="00FF7A5D">
        <w:t>during the course of the year</w:t>
      </w:r>
      <w:r w:rsidR="00F22FEC">
        <w:t>,</w:t>
      </w:r>
      <w:r w:rsidRPr="00FF7A5D">
        <w:t xml:space="preserve"> which confirms the need for data collection more frequently than annually. The NQDW data collection is intended as continuous data collection</w:t>
      </w:r>
      <w:r w:rsidR="00B30840">
        <w:t xml:space="preserve">. </w:t>
      </w:r>
      <w:r w:rsidRPr="00FF7A5D">
        <w:t>As noted above, t</w:t>
      </w:r>
      <w:r w:rsidRPr="00FF7A5D">
        <w:rPr>
          <w:color w:val="000000"/>
        </w:rPr>
        <w:t xml:space="preserve">he resulting information will provide critical information at the state and national levels for </w:t>
      </w:r>
      <w:r w:rsidR="00121351">
        <w:rPr>
          <w:color w:val="000000"/>
        </w:rPr>
        <w:t xml:space="preserve">ongoing </w:t>
      </w:r>
      <w:r w:rsidRPr="00FF7A5D">
        <w:rPr>
          <w:color w:val="000000"/>
        </w:rPr>
        <w:t>evaluation and monitoring purposes.</w:t>
      </w:r>
      <w:r w:rsidR="000D7B9E">
        <w:rPr>
          <w:color w:val="000000"/>
        </w:rPr>
        <w:t xml:space="preserve"> The CDC and </w:t>
      </w:r>
      <w:r w:rsidR="00D76347">
        <w:rPr>
          <w:color w:val="000000"/>
        </w:rPr>
        <w:t>quitline</w:t>
      </w:r>
      <w:r w:rsidR="000D7B9E">
        <w:rPr>
          <w:color w:val="000000"/>
        </w:rPr>
        <w:t xml:space="preserve"> stakeholders use the NQDW data to demonstrate the role quitlines play in promoting tobacco use cessation, to measure the number of tobacco users being served by state quitlines, and to improve quitline operations, service quality, and access; </w:t>
      </w:r>
      <w:r w:rsidR="00E961B2">
        <w:rPr>
          <w:color w:val="000000"/>
        </w:rPr>
        <w:t xml:space="preserve">more </w:t>
      </w:r>
      <w:r w:rsidR="000D7B9E">
        <w:rPr>
          <w:color w:val="000000"/>
        </w:rPr>
        <w:t xml:space="preserve">granular (quarterly/semiannual) data is necessary </w:t>
      </w:r>
      <w:r w:rsidR="00D76347">
        <w:rPr>
          <w:color w:val="000000"/>
        </w:rPr>
        <w:t>to inform</w:t>
      </w:r>
      <w:r w:rsidR="008F114E">
        <w:rPr>
          <w:color w:val="000000"/>
        </w:rPr>
        <w:t xml:space="preserve"> the future of quitlines</w:t>
      </w:r>
      <w:r w:rsidR="00E961B2">
        <w:rPr>
          <w:color w:val="000000"/>
        </w:rPr>
        <w:t xml:space="preserve"> as well as future federal investments</w:t>
      </w:r>
      <w:r w:rsidR="008F114E">
        <w:rPr>
          <w:color w:val="000000"/>
        </w:rPr>
        <w:t>.</w:t>
      </w:r>
      <w:r>
        <w:rPr>
          <w:color w:val="000000"/>
        </w:rPr>
        <w:t xml:space="preserve">  </w:t>
      </w:r>
    </w:p>
    <w:p w:rsidR="008469A3" w14:paraId="220B13B5" w14:textId="77777777">
      <w:pPr>
        <w:pStyle w:val="Heading2"/>
      </w:pPr>
      <w:r>
        <w:t>A.</w:t>
      </w:r>
      <w:r w:rsidR="002D7990">
        <w:t>7</w:t>
      </w:r>
      <w:r>
        <w:tab/>
      </w:r>
      <w:r>
        <w:rPr>
          <w:u w:val="single"/>
        </w:rPr>
        <w:t>SPECIAL CIRCUMSTANCES RELATING TO THE GUIDELINE OF 5 CFR 1320.5</w:t>
      </w:r>
    </w:p>
    <w:p w:rsidR="008469A3" w14:paraId="1DFFC8C5" w14:textId="616A157A">
      <w:pPr>
        <w:pStyle w:val="BodyText"/>
      </w:pPr>
      <w:bookmarkStart w:id="2" w:name="_Hlk204157450"/>
      <w:r>
        <w:t xml:space="preserve">CDC is unable to update the race and ethnicity questions to comply with the current SPD-15 guidelines in this change request.  </w:t>
      </w:r>
      <w:r>
        <w:t>However</w:t>
      </w:r>
      <w:r>
        <w:t xml:space="preserve"> we will address the changes in a future submission.  </w:t>
      </w:r>
      <w:bookmarkEnd w:id="2"/>
      <w:r w:rsidR="00A75E67">
        <w:t>This</w:t>
      </w:r>
      <w:r w:rsidR="00A75E67">
        <w:t xml:space="preserve"> request fully complies</w:t>
      </w:r>
      <w:r>
        <w:t xml:space="preserve"> with</w:t>
      </w:r>
      <w:r w:rsidR="00A75E67">
        <w:t xml:space="preserve"> the regulation</w:t>
      </w:r>
      <w:r>
        <w:t xml:space="preserve"> 5 CFR 1320.</w:t>
      </w:r>
      <w:r w:rsidR="006972E7">
        <w:t>5</w:t>
      </w:r>
      <w:r>
        <w:t>.</w:t>
      </w:r>
    </w:p>
    <w:p w:rsidR="008469A3" w14:paraId="78C5E203" w14:textId="77777777">
      <w:pPr>
        <w:pStyle w:val="Heading2"/>
      </w:pPr>
      <w:r>
        <w:t>A.</w:t>
      </w:r>
      <w:r w:rsidR="002D7990">
        <w:t>8</w:t>
      </w:r>
      <w:r>
        <w:tab/>
      </w:r>
      <w:r>
        <w:rPr>
          <w:u w:val="single"/>
        </w:rPr>
        <w:t>COMMENTS IN RESPONSE TO THE FEDERAL REGISTER NOTICE AND EFFORTS TO CONSULT OUTSIDE THE AGENCY</w:t>
      </w:r>
    </w:p>
    <w:p w:rsidR="008469A3" w14:paraId="5A7C92FC" w14:textId="26CA53F6">
      <w:pPr>
        <w:pStyle w:val="Heading3"/>
      </w:pPr>
      <w:r>
        <w:t>A.</w:t>
      </w:r>
      <w:r w:rsidR="002D7990">
        <w:t>8</w:t>
      </w:r>
      <w:r>
        <w:t>.a</w:t>
      </w:r>
      <w:r>
        <w:tab/>
      </w:r>
      <w:r>
        <w:rPr>
          <w:u w:val="single"/>
        </w:rPr>
        <w:t xml:space="preserve">Federal Register </w:t>
      </w:r>
      <w:r w:rsidR="00E64F2E">
        <w:rPr>
          <w:u w:val="single"/>
        </w:rPr>
        <w:t>Notice</w:t>
      </w:r>
    </w:p>
    <w:p w:rsidR="006A2860" w:rsidP="00D76251" w14:paraId="781FBE29" w14:textId="7777777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5D9E" w:rsidRPr="00185D69" w:rsidP="00505D9E" w14:paraId="42CCB238" w14:textId="33A89456">
      <w:pPr>
        <w:pStyle w:val="BodyText"/>
        <w:ind w:firstLine="0"/>
      </w:pPr>
      <w:r>
        <w:t xml:space="preserve">A 60-day Federal Register Notice was published in the </w:t>
      </w:r>
      <w:r w:rsidRPr="00505D9E">
        <w:rPr>
          <w:i/>
          <w:iCs/>
        </w:rPr>
        <w:t>Federal Register</w:t>
      </w:r>
      <w:r>
        <w:t xml:space="preserve"> on </w:t>
      </w:r>
      <w:r w:rsidR="00E31850">
        <w:t>07</w:t>
      </w:r>
      <w:r>
        <w:t>/</w:t>
      </w:r>
      <w:r w:rsidR="00E31850">
        <w:t>07</w:t>
      </w:r>
      <w:r>
        <w:t>/</w:t>
      </w:r>
      <w:r w:rsidR="00E31850">
        <w:t>21</w:t>
      </w:r>
      <w:r>
        <w:t xml:space="preserve">, volume </w:t>
      </w:r>
      <w:r w:rsidR="00E31850">
        <w:t>86</w:t>
      </w:r>
      <w:r>
        <w:t xml:space="preserve">, no </w:t>
      </w:r>
      <w:r w:rsidR="00E31850">
        <w:t>127</w:t>
      </w:r>
      <w:r>
        <w:t xml:space="preserve">, pages </w:t>
      </w:r>
      <w:r w:rsidR="00E31850">
        <w:t>35797-35798</w:t>
      </w:r>
      <w:r>
        <w:t xml:space="preserve"> (Attachment A-</w:t>
      </w:r>
      <w:r w:rsidR="00D544A2">
        <w:t>2</w:t>
      </w:r>
      <w:r>
        <w:t>).</w:t>
      </w:r>
    </w:p>
    <w:p w:rsidR="009F1014" w:rsidP="00FD0F1A" w14:paraId="0AD105E1" w14:textId="41DDE99B">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014" w:rsidP="00FD0F1A" w14:paraId="6AC12335" w14:textId="7777777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FC3" w:rsidP="00843418" w14:paraId="6ECED5FD" w14:textId="2D392A86">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received </w:t>
      </w:r>
      <w:r w:rsidR="00007474">
        <w:t>3</w:t>
      </w:r>
      <w:r w:rsidR="00D90DEC">
        <w:t xml:space="preserve"> </w:t>
      </w:r>
      <w:r>
        <w:t>substantive comment</w:t>
      </w:r>
      <w:r w:rsidR="00007474">
        <w:t>s</w:t>
      </w:r>
      <w:r w:rsidR="00D90DEC">
        <w:t xml:space="preserve">. </w:t>
      </w:r>
      <w:r>
        <w:t>CDC response</w:t>
      </w:r>
      <w:r w:rsidR="00007474">
        <w:t>s</w:t>
      </w:r>
      <w:r>
        <w:t xml:space="preserve"> </w:t>
      </w:r>
      <w:r w:rsidR="00D90DEC">
        <w:t>to th</w:t>
      </w:r>
      <w:r w:rsidR="00007474">
        <w:t xml:space="preserve">ese </w:t>
      </w:r>
      <w:r w:rsidR="00D90DEC">
        <w:t>comment</w:t>
      </w:r>
      <w:r w:rsidR="00007474">
        <w:t>s</w:t>
      </w:r>
      <w:r w:rsidR="00D90DEC">
        <w:t xml:space="preserve"> </w:t>
      </w:r>
      <w:r w:rsidR="00007474">
        <w:t xml:space="preserve">are </w:t>
      </w:r>
      <w:r>
        <w:t xml:space="preserve">provided </w:t>
      </w:r>
      <w:r w:rsidR="00D90DEC">
        <w:t xml:space="preserve">in </w:t>
      </w:r>
      <w:r w:rsidR="00C66F8E">
        <w:t>Attachment</w:t>
      </w:r>
      <w:r w:rsidR="00C816F6">
        <w:t xml:space="preserve"> A-</w:t>
      </w:r>
      <w:r w:rsidR="00D544A2">
        <w:t>3</w:t>
      </w:r>
      <w:r w:rsidR="00687CA8">
        <w:t>.</w:t>
      </w:r>
      <w:r w:rsidR="00332C96">
        <w:t xml:space="preserve"> </w:t>
      </w:r>
    </w:p>
    <w:p w:rsidR="001E1276" w:rsidP="00786B13" w14:paraId="6D4C7634" w14:textId="77777777">
      <w:pPr>
        <w:pStyle w:val="BodyText"/>
        <w:rPr>
          <w:b/>
        </w:rPr>
      </w:pPr>
    </w:p>
    <w:p w:rsidR="00B15555" w:rsidRPr="003B4448" w:rsidP="00786B13" w14:paraId="0FF43F5A" w14:textId="77777777">
      <w:pPr>
        <w:pStyle w:val="BodyText"/>
        <w:rPr>
          <w:b/>
        </w:rPr>
      </w:pPr>
      <w:r w:rsidRPr="003B4448">
        <w:rPr>
          <w:b/>
        </w:rPr>
        <w:t>A.</w:t>
      </w:r>
      <w:r w:rsidRPr="003B4448" w:rsidR="002D7990">
        <w:rPr>
          <w:b/>
        </w:rPr>
        <w:t>8</w:t>
      </w:r>
      <w:r w:rsidRPr="003B4448" w:rsidR="008469A3">
        <w:rPr>
          <w:b/>
        </w:rPr>
        <w:t>.b</w:t>
      </w:r>
      <w:r w:rsidRPr="003B4448" w:rsidR="008469A3">
        <w:rPr>
          <w:b/>
        </w:rPr>
        <w:tab/>
      </w:r>
      <w:r w:rsidRPr="003B4448" w:rsidR="008469A3">
        <w:rPr>
          <w:b/>
          <w:u w:val="single"/>
        </w:rPr>
        <w:t>Consultations</w:t>
      </w:r>
      <w:r w:rsidRPr="003B4448">
        <w:rPr>
          <w:b/>
          <w:u w:val="single"/>
        </w:rPr>
        <w:t xml:space="preserve"> </w:t>
      </w:r>
    </w:p>
    <w:p w:rsidR="003055F7" w:rsidP="003055F7" w14:paraId="282F1DAA" w14:textId="53FA720D">
      <w:pPr>
        <w:pStyle w:val="BodyText"/>
      </w:pPr>
      <w:r>
        <w:t xml:space="preserve">CDC continues to consult with partner organizations including the North American Quitline Consortium (NAQC) to explore ways to increase </w:t>
      </w:r>
      <w:r w:rsidR="002F002F">
        <w:t>utility</w:t>
      </w:r>
      <w:r>
        <w:t xml:space="preserve"> of NQDW and reduce reporting burden. CDC has had ongoing conversations with NAQC regarding alignment of the data collection instruments as well as data sharing. CDC leaders also engaged quitline stakeholders including service providers to gain a better understanding of the evolving quitline service provision. </w:t>
      </w:r>
    </w:p>
    <w:p w:rsidR="003055F7" w:rsidP="002D7CCB" w14:paraId="3291BE8D" w14:textId="53C6E1E1">
      <w:pPr>
        <w:ind w:firstLine="720"/>
        <w:rPr>
          <w:sz w:val="22"/>
          <w:szCs w:val="22"/>
        </w:rPr>
      </w:pPr>
      <w:r>
        <w:t xml:space="preserve">During 2017-2018, as part of a strategic planning process to inform OSH’s future tobacco cessation priorities and activities, OSH solicited input on challenges and needs in this area from a wide range of stakeholders, including state tobacco control programs, national partners (including </w:t>
      </w:r>
      <w:r w:rsidR="00704AE6">
        <w:t>NAQC</w:t>
      </w:r>
      <w:r>
        <w:t>), and quitline providers</w:t>
      </w:r>
      <w:r w:rsidR="00401441">
        <w:t xml:space="preserve"> (Attachment B)</w:t>
      </w:r>
      <w:r>
        <w:t xml:space="preserve">. This was done through a variety of methods, including calls, meetings, visits, and a federal register notice. This included seeking input on OSH’s quitline activities, including the NQDW. </w:t>
      </w:r>
    </w:p>
    <w:p w:rsidR="003055F7" w:rsidP="003055F7" w14:paraId="1C47FF1E" w14:textId="77777777"/>
    <w:p w:rsidR="003055F7" w:rsidP="003055F7" w14:paraId="1112D7DA" w14:textId="77777777">
      <w:pPr>
        <w:pStyle w:val="BodyText"/>
      </w:pPr>
      <w:r>
        <w:t>The information collected through this process was used to develop a strategic plan for OSH’s future cessation activities and an operational plan for implementing these activities. The feedback gathered from stakeholders on the NQDW was used to identify several priorities for improving NQDW, including improving the quality of NQDW data, increasing the utility of this data, modernizing NQDW, and drawing on NQDW data to demonstrate the value of state quitlines.</w:t>
      </w:r>
    </w:p>
    <w:p w:rsidR="00975C0B" w:rsidP="00975C0B" w14:paraId="2707D9EE" w14:textId="69441B83">
      <w:pPr>
        <w:ind w:firstLine="720"/>
        <w:rPr>
          <w:sz w:val="22"/>
          <w:szCs w:val="22"/>
        </w:rPr>
      </w:pPr>
      <w:r>
        <w:t xml:space="preserve">As part of its efforts to increase the utility of NQDW data and modernize the NQDW in order to better demonstrate the value of state quitlines, </w:t>
      </w:r>
      <w:r w:rsidR="002F4913">
        <w:t>d</w:t>
      </w:r>
      <w:r>
        <w:t xml:space="preserve">uring 2020-2021, </w:t>
      </w:r>
      <w:r w:rsidR="002F4913">
        <w:t>OSH conducted a th</w:t>
      </w:r>
      <w:r w:rsidR="006612AF">
        <w:t xml:space="preserve">orough review of the existing NQDW survey instruments and </w:t>
      </w:r>
      <w:r w:rsidR="00897549">
        <w:t xml:space="preserve">identified </w:t>
      </w:r>
      <w:r w:rsidR="00AC2DF7">
        <w:t>opportunities for improvement. A</w:t>
      </w:r>
      <w:r>
        <w:t xml:space="preserve">s part of an inclusive planning process to inform </w:t>
      </w:r>
      <w:r w:rsidR="00AF24C1">
        <w:t>proposed changes</w:t>
      </w:r>
      <w:r>
        <w:t xml:space="preserve"> to the NQDW survey instruments, OSH solicited input </w:t>
      </w:r>
      <w:r w:rsidR="00637A41">
        <w:t xml:space="preserve">from </w:t>
      </w:r>
      <w:bookmarkStart w:id="3" w:name="_Hlk96532905"/>
      <w:r w:rsidR="00BB455E">
        <w:t xml:space="preserve">CDC subject matter experts and </w:t>
      </w:r>
      <w:bookmarkEnd w:id="3"/>
      <w:r w:rsidR="00637A41">
        <w:t xml:space="preserve">stakeholders </w:t>
      </w:r>
      <w:r>
        <w:t xml:space="preserve">on how best to refine the survey instruments to address data gaps, such as </w:t>
      </w:r>
      <w:r w:rsidR="00AF24C1">
        <w:t xml:space="preserve">the </w:t>
      </w:r>
      <w:r>
        <w:t>use of e-cigarettes, and to capture information on quitline services provided through new technologies</w:t>
      </w:r>
      <w:r w:rsidR="00637A41">
        <w:t>. Stakeholders</w:t>
      </w:r>
      <w:r>
        <w:t xml:space="preserve"> includ</w:t>
      </w:r>
      <w:r w:rsidR="00637A41">
        <w:t>ed</w:t>
      </w:r>
      <w:r>
        <w:t xml:space="preserve"> state tobacco control programs, quitline and cessation subject matter experts, national partners (including </w:t>
      </w:r>
      <w:r w:rsidR="00637A41">
        <w:t>NACQ</w:t>
      </w:r>
      <w:r>
        <w:t>), and quitline providers</w:t>
      </w:r>
      <w:r w:rsidR="00C72F24">
        <w:t xml:space="preserve"> (Attachment B)</w:t>
      </w:r>
      <w:r>
        <w:t xml:space="preserve">. This was done through a variety of methods, including calls, meetings, and a federal register notice. </w:t>
      </w:r>
    </w:p>
    <w:p w:rsidR="00975C0B" w:rsidP="00975C0B" w14:paraId="73404165" w14:textId="77777777"/>
    <w:p w:rsidR="0018695A" w:rsidP="003B4448" w14:paraId="2D34BD2B" w14:textId="2BD4DFC2">
      <w:pPr>
        <w:pStyle w:val="BodyText"/>
        <w:ind w:firstLine="0"/>
      </w:pPr>
      <w:r>
        <w:t>The information collected through this process was used to inform the modifications to the NQDW intake questionnaire and Services Survey put forth</w:t>
      </w:r>
      <w:r w:rsidR="00C54ABB">
        <w:t xml:space="preserve"> in this</w:t>
      </w:r>
      <w:r w:rsidR="003F6501">
        <w:t xml:space="preserve"> change request</w:t>
      </w:r>
      <w:r>
        <w:t xml:space="preserve">. </w:t>
      </w:r>
      <w:r w:rsidR="00EA7C9E">
        <w:tab/>
      </w:r>
      <w:r w:rsidR="00316CAF">
        <w:t xml:space="preserve"> </w:t>
      </w:r>
    </w:p>
    <w:p w:rsidR="006A7D63" w:rsidP="00266AE1" w14:paraId="5B49E5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69A3" w14:paraId="3CEF7EAA" w14:textId="77777777">
      <w:pPr>
        <w:pStyle w:val="Heading2"/>
      </w:pPr>
      <w:r>
        <w:t>A.</w:t>
      </w:r>
      <w:r w:rsidR="002D7990">
        <w:t>9</w:t>
      </w:r>
      <w:r>
        <w:tab/>
      </w:r>
      <w:r w:rsidRPr="000A1B69">
        <w:rPr>
          <w:u w:val="single"/>
        </w:rPr>
        <w:t>EXPLANATION OF ANY PAYMENT OR GIFT TO RESPONDENTS</w:t>
      </w:r>
    </w:p>
    <w:p w:rsidR="00D32DC8" w:rsidP="00694A45" w14:paraId="4ADB0D9C" w14:textId="77777777">
      <w:pPr>
        <w:ind w:firstLine="720"/>
      </w:pPr>
      <w:r>
        <w:t xml:space="preserve">No payment or gifts are provided to respondents. </w:t>
      </w:r>
    </w:p>
    <w:p w:rsidR="00D4198E" w:rsidP="00694A45" w14:paraId="50A5E8F2" w14:textId="77777777">
      <w:pPr>
        <w:ind w:firstLine="720"/>
      </w:pPr>
    </w:p>
    <w:p w:rsidR="008469A3" w14:paraId="07E66C80" w14:textId="77777777">
      <w:pPr>
        <w:pStyle w:val="Heading2"/>
        <w:rPr>
          <w:u w:val="single"/>
        </w:rPr>
      </w:pPr>
      <w:r>
        <w:t>A.1</w:t>
      </w:r>
      <w:r w:rsidR="002D7990">
        <w:t>0</w:t>
      </w:r>
      <w:r>
        <w:tab/>
      </w:r>
      <w:r w:rsidR="00CD654A">
        <w:rPr>
          <w:u w:val="single"/>
        </w:rPr>
        <w:t>PROTECTION OF THE PRI</w:t>
      </w:r>
      <w:r w:rsidR="008369C9">
        <w:rPr>
          <w:u w:val="single"/>
        </w:rPr>
        <w:t>VACY AND CONFIDENTIALITY OF INFORMATION PROVIDED BY RESPONDENTS</w:t>
      </w:r>
    </w:p>
    <w:p w:rsidR="001115F5" w:rsidRPr="00D520F9" w:rsidP="00D520F9" w14:paraId="2DDD2326" w14:textId="069D9838">
      <w:pPr>
        <w:keepNext/>
        <w:autoSpaceDE w:val="0"/>
        <w:autoSpaceDN w:val="0"/>
        <w:spacing w:after="240"/>
        <w:ind w:firstLine="720"/>
        <w:rPr>
          <w:color w:val="000000" w:themeColor="text1"/>
        </w:rPr>
      </w:pPr>
      <w:r w:rsidRPr="00D520F9">
        <w:rPr>
          <w:iCs/>
          <w:color w:val="000000" w:themeColor="text1"/>
        </w:rPr>
        <w:t>The Privacy Act does not apply to this information collection</w:t>
      </w:r>
      <w:r w:rsidR="00B30840">
        <w:rPr>
          <w:iCs/>
          <w:color w:val="000000" w:themeColor="text1"/>
        </w:rPr>
        <w:t xml:space="preserve">. </w:t>
      </w:r>
      <w:r w:rsidRPr="00D520F9" w:rsidR="00E01768">
        <w:rPr>
          <w:rFonts w:cs="ITC Franklin Gothic Std Book"/>
          <w:color w:val="000000" w:themeColor="text1"/>
        </w:rPr>
        <w:t>CDC does not collect or receive information in identifiable form (IIF)</w:t>
      </w:r>
      <w:r w:rsidRPr="00D520F9" w:rsidR="0008723E">
        <w:rPr>
          <w:rFonts w:cs="ITC Franklin Gothic Std Book"/>
          <w:color w:val="000000" w:themeColor="text1"/>
        </w:rPr>
        <w:t>, nor can CDC retrieve the data by IIF data elements</w:t>
      </w:r>
      <w:r w:rsidRPr="00D520F9" w:rsidR="00E01768">
        <w:rPr>
          <w:rFonts w:cs="ITC Franklin Gothic Std Book"/>
          <w:color w:val="000000" w:themeColor="text1"/>
        </w:rPr>
        <w:t xml:space="preserve">. </w:t>
      </w:r>
      <w:r w:rsidRPr="00D520F9" w:rsidR="00E01768">
        <w:rPr>
          <w:color w:val="000000" w:themeColor="text1"/>
        </w:rPr>
        <w:t>CDC requests only a subset of de-identified client-level information, including some demographic data</w:t>
      </w:r>
      <w:r w:rsidR="00B30840">
        <w:rPr>
          <w:color w:val="000000" w:themeColor="text1"/>
        </w:rPr>
        <w:t xml:space="preserve">. </w:t>
      </w:r>
      <w:r w:rsidRPr="00D520F9" w:rsidR="00E01768">
        <w:rPr>
          <w:color w:val="000000" w:themeColor="text1"/>
        </w:rPr>
        <w:t>The de-identified information is adequate for CDC/NQDW objectives</w:t>
      </w:r>
      <w:r w:rsidRPr="00D520F9" w:rsidR="0008723E">
        <w:rPr>
          <w:color w:val="000000" w:themeColor="text1"/>
        </w:rPr>
        <w:t xml:space="preserve">. </w:t>
      </w:r>
    </w:p>
    <w:p w:rsidR="00BC4981" w:rsidRPr="00D520F9" w:rsidP="00D520F9" w14:paraId="179A2892" w14:textId="077758D8">
      <w:pPr>
        <w:spacing w:after="240"/>
        <w:ind w:firstLine="720"/>
        <w:rPr>
          <w:iCs/>
        </w:rPr>
      </w:pPr>
      <w:r w:rsidRPr="00D520F9">
        <w:rPr>
          <w:rStyle w:val="Footer11"/>
          <w:bCs/>
          <w:i/>
          <w:color w:val="000000"/>
          <w:u w:val="single"/>
        </w:rPr>
        <w:t>Overview of the Data Collection System</w:t>
      </w:r>
      <w:r w:rsidR="00B30840">
        <w:rPr>
          <w:rStyle w:val="Footer11"/>
          <w:bCs/>
          <w:color w:val="000000"/>
        </w:rPr>
        <w:t xml:space="preserve">. </w:t>
      </w:r>
      <w:r w:rsidRPr="00D520F9">
        <w:rPr>
          <w:iCs/>
        </w:rPr>
        <w:t xml:space="preserve">The NQDW Intake questionnaire will collect data on tobacco use, intention to quit, </w:t>
      </w:r>
      <w:r w:rsidRPr="00D520F9" w:rsidR="00AF6BDC">
        <w:rPr>
          <w:iCs/>
        </w:rPr>
        <w:t xml:space="preserve">previous </w:t>
      </w:r>
      <w:r w:rsidRPr="00D520F9">
        <w:rPr>
          <w:iCs/>
        </w:rPr>
        <w:t>success with quitting, and use of counseling and/or medications to facilitate or maintain quit</w:t>
      </w:r>
      <w:r w:rsidR="00B30840">
        <w:rPr>
          <w:iCs/>
        </w:rPr>
        <w:t xml:space="preserve">. </w:t>
      </w:r>
      <w:r w:rsidRPr="00D520F9" w:rsidR="009740B8">
        <w:rPr>
          <w:iCs/>
        </w:rPr>
        <w:t xml:space="preserve">The </w:t>
      </w:r>
      <w:r w:rsidRPr="00D520F9" w:rsidR="0095414C">
        <w:rPr>
          <w:iCs/>
        </w:rPr>
        <w:t>Seven</w:t>
      </w:r>
      <w:r w:rsidRPr="00D520F9" w:rsidR="009740B8">
        <w:rPr>
          <w:iCs/>
        </w:rPr>
        <w:t>-</w:t>
      </w:r>
      <w:r w:rsidRPr="00D520F9" w:rsidR="0095414C">
        <w:rPr>
          <w:iCs/>
        </w:rPr>
        <w:t>M</w:t>
      </w:r>
      <w:r w:rsidRPr="00D520F9" w:rsidR="009740B8">
        <w:rPr>
          <w:iCs/>
        </w:rPr>
        <w:t>onth Follow-</w:t>
      </w:r>
      <w:r w:rsidRPr="00D520F9" w:rsidR="0095414C">
        <w:rPr>
          <w:iCs/>
        </w:rPr>
        <w:t>u</w:t>
      </w:r>
      <w:r w:rsidRPr="00D520F9" w:rsidR="009740B8">
        <w:rPr>
          <w:iCs/>
        </w:rPr>
        <w:t xml:space="preserve">p Questionnaire will also collect similar data but only for those who </w:t>
      </w:r>
      <w:r w:rsidRPr="00D520F9" w:rsidR="0095414C">
        <w:rPr>
          <w:iCs/>
        </w:rPr>
        <w:t xml:space="preserve">received services from </w:t>
      </w:r>
      <w:r w:rsidRPr="00D520F9" w:rsidR="009740B8">
        <w:rPr>
          <w:iCs/>
        </w:rPr>
        <w:t xml:space="preserve">the Asian </w:t>
      </w:r>
      <w:r w:rsidRPr="00D520F9" w:rsidR="0095414C">
        <w:rPr>
          <w:iCs/>
        </w:rPr>
        <w:t xml:space="preserve">Smokers’ </w:t>
      </w:r>
      <w:r w:rsidRPr="00D520F9" w:rsidR="009740B8">
        <w:rPr>
          <w:iCs/>
        </w:rPr>
        <w:t>Quitline</w:t>
      </w:r>
      <w:r w:rsidRPr="00D520F9" w:rsidR="00AF6BDC">
        <w:rPr>
          <w:iCs/>
        </w:rPr>
        <w:t xml:space="preserve"> (ASQ)</w:t>
      </w:r>
      <w:r w:rsidRPr="00D520F9" w:rsidR="009740B8">
        <w:rPr>
          <w:iCs/>
        </w:rPr>
        <w:t xml:space="preserve">. </w:t>
      </w:r>
      <w:r w:rsidRPr="00D520F9">
        <w:rPr>
          <w:iCs/>
        </w:rPr>
        <w:t xml:space="preserve">These topics are generally regarded as being no greater than minimally sensitive. </w:t>
      </w:r>
      <w:r w:rsidRPr="00D520F9" w:rsidR="000C25BF">
        <w:t>Participation in the intake interview is voluntary but an intrinsic part of seeking services</w:t>
      </w:r>
      <w:r w:rsidR="00B30840">
        <w:t xml:space="preserve">. </w:t>
      </w:r>
      <w:r w:rsidRPr="00D520F9" w:rsidR="000C25BF">
        <w:t xml:space="preserve">Participation in the 7-month follow-up interview is completely voluntary. </w:t>
      </w:r>
      <w:r w:rsidRPr="00D520F9">
        <w:rPr>
          <w:iCs/>
        </w:rPr>
        <w:t xml:space="preserve">Through the NQDW, CDC receives only de-identified common data elements. </w:t>
      </w:r>
      <w:r w:rsidRPr="00D520F9" w:rsidR="0035346C">
        <w:rPr>
          <w:iCs/>
        </w:rPr>
        <w:t xml:space="preserve">Intake data is only reported in aggregate in the CDC STATE System to prevent any inadvertent identification of </w:t>
      </w:r>
      <w:r w:rsidRPr="00D520F9" w:rsidR="003F7835">
        <w:rPr>
          <w:iCs/>
        </w:rPr>
        <w:t xml:space="preserve">participants </w:t>
      </w:r>
      <w:r w:rsidRPr="00D520F9" w:rsidR="0035346C">
        <w:rPr>
          <w:iCs/>
        </w:rPr>
        <w:t xml:space="preserve">due to small cell sizes. </w:t>
      </w:r>
      <w:r w:rsidRPr="00D520F9" w:rsidR="00BF707D">
        <w:rPr>
          <w:iCs/>
        </w:rPr>
        <w:t xml:space="preserve">The NQDW Quitline Services Survey gathers the types of information </w:t>
      </w:r>
      <w:r w:rsidRPr="00D520F9" w:rsidR="00E50B73">
        <w:rPr>
          <w:iCs/>
        </w:rPr>
        <w:t>regarding services from state-based quitlines in tobacco control programs</w:t>
      </w:r>
      <w:r w:rsidRPr="00D520F9" w:rsidR="00BF707D">
        <w:rPr>
          <w:iCs/>
        </w:rPr>
        <w:t>; therefore, this information is not considered sensitive.</w:t>
      </w:r>
      <w:r w:rsidRPr="00D520F9" w:rsidR="00704974">
        <w:rPr>
          <w:iCs/>
        </w:rPr>
        <w:t xml:space="preserve"> Therefore, all three data collections will have little or no effect on respondent’s privacy.</w:t>
      </w:r>
    </w:p>
    <w:p w:rsidR="00BC4981" w:rsidRPr="00D520F9" w:rsidP="00D520F9" w14:paraId="1013329F" w14:textId="4880F138">
      <w:pPr>
        <w:spacing w:after="240"/>
        <w:ind w:firstLine="720"/>
        <w:rPr>
          <w:iCs/>
        </w:rPr>
      </w:pPr>
      <w:r w:rsidRPr="00D520F9">
        <w:rPr>
          <w:iCs/>
        </w:rPr>
        <w:t xml:space="preserve">Although </w:t>
      </w:r>
      <w:r w:rsidRPr="00D520F9" w:rsidR="00117F82">
        <w:rPr>
          <w:iCs/>
        </w:rPr>
        <w:t xml:space="preserve">the ASQ will collect </w:t>
      </w:r>
      <w:r w:rsidRPr="00D520F9">
        <w:rPr>
          <w:iCs/>
        </w:rPr>
        <w:t xml:space="preserve">information in IIF, such as name and telephone number, </w:t>
      </w:r>
      <w:r w:rsidRPr="00D520F9" w:rsidR="00117F82">
        <w:rPr>
          <w:iCs/>
        </w:rPr>
        <w:t xml:space="preserve">these data are for their operational purposes independent of what is requested to be reported to the NQDW and </w:t>
      </w:r>
      <w:r w:rsidRPr="00D520F9">
        <w:rPr>
          <w:iCs/>
        </w:rPr>
        <w:t xml:space="preserve">will be used to generate advance letters to </w:t>
      </w:r>
      <w:r w:rsidRPr="00D520F9" w:rsidR="00704974">
        <w:rPr>
          <w:iCs/>
        </w:rPr>
        <w:t xml:space="preserve">ASQ </w:t>
      </w:r>
      <w:r w:rsidRPr="00D520F9">
        <w:rPr>
          <w:iCs/>
        </w:rPr>
        <w:t xml:space="preserve">quitline </w:t>
      </w:r>
      <w:r w:rsidRPr="00D520F9" w:rsidR="003F7835">
        <w:rPr>
          <w:iCs/>
        </w:rPr>
        <w:t xml:space="preserve">participants </w:t>
      </w:r>
      <w:r w:rsidRPr="00D520F9">
        <w:rPr>
          <w:iCs/>
        </w:rPr>
        <w:t>selected for the 7-month follow-up</w:t>
      </w:r>
      <w:r w:rsidRPr="00D520F9" w:rsidR="00117F82">
        <w:rPr>
          <w:iCs/>
        </w:rPr>
        <w:t>. T</w:t>
      </w:r>
      <w:r w:rsidRPr="00D520F9">
        <w:rPr>
          <w:iCs/>
        </w:rPr>
        <w:t>he IIF will not be transmitted to CDC, and IIF will not be linked to response data.</w:t>
      </w:r>
    </w:p>
    <w:p w:rsidR="007A3C61" w:rsidRPr="00D520F9" w:rsidP="00D520F9" w14:paraId="4B89BF79" w14:textId="48B56733">
      <w:pPr>
        <w:spacing w:after="240"/>
        <w:ind w:firstLine="720"/>
        <w:rPr>
          <w:iCs/>
        </w:rPr>
      </w:pPr>
      <w:r w:rsidRPr="00D520F9">
        <w:rPr>
          <w:iCs/>
        </w:rPr>
        <w:t xml:space="preserve">Quitlines are state-based services. CDC provides cooperative agreement funding and technical assistance to help states/territories strengthen those services and to facilitate the collection of common data elements. States/territories devise their own strategies for delivering </w:t>
      </w:r>
      <w:r w:rsidRPr="00D520F9" w:rsidR="00AF6BDC">
        <w:rPr>
          <w:iCs/>
        </w:rPr>
        <w:t xml:space="preserve">quitline </w:t>
      </w:r>
      <w:r w:rsidRPr="00D520F9">
        <w:rPr>
          <w:iCs/>
        </w:rPr>
        <w:t>services</w:t>
      </w:r>
      <w:r w:rsidRPr="00D520F9" w:rsidR="00AF6BDC">
        <w:rPr>
          <w:iCs/>
        </w:rPr>
        <w:t>,</w:t>
      </w:r>
      <w:r w:rsidRPr="00D520F9">
        <w:rPr>
          <w:iCs/>
        </w:rPr>
        <w:t xml:space="preserve"> and </w:t>
      </w:r>
      <w:r w:rsidRPr="00D520F9" w:rsidR="00AF6BDC">
        <w:rPr>
          <w:iCs/>
        </w:rPr>
        <w:t xml:space="preserve">the ASQ devises its own strategies </w:t>
      </w:r>
      <w:r w:rsidRPr="00D520F9">
        <w:rPr>
          <w:iCs/>
        </w:rPr>
        <w:t xml:space="preserve">for contacting quitline </w:t>
      </w:r>
      <w:r w:rsidRPr="00D520F9" w:rsidR="003F7835">
        <w:rPr>
          <w:iCs/>
        </w:rPr>
        <w:t xml:space="preserve">participants </w:t>
      </w:r>
      <w:r w:rsidRPr="00D520F9">
        <w:rPr>
          <w:iCs/>
        </w:rPr>
        <w:t xml:space="preserve">for the </w:t>
      </w:r>
      <w:r w:rsidRPr="00D520F9" w:rsidR="00AF6BDC">
        <w:rPr>
          <w:iCs/>
        </w:rPr>
        <w:t>NQDW Seven</w:t>
      </w:r>
      <w:r w:rsidRPr="00D520F9">
        <w:rPr>
          <w:iCs/>
        </w:rPr>
        <w:t>-Month Follow-</w:t>
      </w:r>
      <w:r w:rsidRPr="00D520F9" w:rsidR="00AF6BDC">
        <w:rPr>
          <w:iCs/>
        </w:rPr>
        <w:t>u</w:t>
      </w:r>
      <w:r w:rsidRPr="00D520F9">
        <w:rPr>
          <w:iCs/>
        </w:rPr>
        <w:t xml:space="preserve">p </w:t>
      </w:r>
      <w:r w:rsidRPr="00D520F9" w:rsidR="00AF6BDC">
        <w:rPr>
          <w:iCs/>
        </w:rPr>
        <w:t>Q</w:t>
      </w:r>
      <w:r w:rsidRPr="00D520F9">
        <w:rPr>
          <w:iCs/>
        </w:rPr>
        <w:t xml:space="preserve">uestionnaire. </w:t>
      </w:r>
      <w:r w:rsidRPr="00D520F9" w:rsidR="00AF6BDC">
        <w:rPr>
          <w:iCs/>
        </w:rPr>
        <w:t>Information on s</w:t>
      </w:r>
      <w:r w:rsidRPr="00D520F9">
        <w:rPr>
          <w:iCs/>
        </w:rPr>
        <w:t xml:space="preserve">tate-specific operating procedures </w:t>
      </w:r>
      <w:r w:rsidRPr="00D520F9" w:rsidR="00AF6BDC">
        <w:rPr>
          <w:iCs/>
        </w:rPr>
        <w:t>is</w:t>
      </w:r>
      <w:r w:rsidRPr="00D520F9">
        <w:rPr>
          <w:iCs/>
        </w:rPr>
        <w:t xml:space="preserve"> not requested as part of the NQDW. </w:t>
      </w:r>
      <w:r w:rsidRPr="00D520F9">
        <w:rPr>
          <w:iCs/>
        </w:rPr>
        <w:t xml:space="preserve">Nevertheless, safeguards will be put in place to ensure that all collected data remain secure (e.g., following protocols for minimum cell sizes for reporting on findings) (http://www.cdc.gov/nchs/).    </w:t>
      </w:r>
    </w:p>
    <w:p w:rsidR="00BC4981" w:rsidRPr="00D520F9" w:rsidP="00D520F9" w14:paraId="7E836A42" w14:textId="1B40FB77">
      <w:pPr>
        <w:spacing w:after="240"/>
        <w:ind w:firstLine="720"/>
      </w:pPr>
      <w:r w:rsidRPr="00D520F9">
        <w:t xml:space="preserve">Data for the </w:t>
      </w:r>
      <w:r w:rsidRPr="00D520F9" w:rsidR="00AF6BDC">
        <w:t xml:space="preserve">NQDW Intake Questionnaire </w:t>
      </w:r>
      <w:r w:rsidRPr="00D520F9">
        <w:t xml:space="preserve">and </w:t>
      </w:r>
      <w:r w:rsidRPr="00D520F9" w:rsidR="00AF6BDC">
        <w:t>Seven</w:t>
      </w:r>
      <w:r w:rsidRPr="00D520F9">
        <w:t>-</w:t>
      </w:r>
      <w:r w:rsidRPr="00D520F9" w:rsidR="00AF6BDC">
        <w:t>M</w:t>
      </w:r>
      <w:r w:rsidRPr="00D520F9">
        <w:t xml:space="preserve">onth </w:t>
      </w:r>
      <w:r w:rsidRPr="00D520F9" w:rsidR="00AF6BDC">
        <w:t>F</w:t>
      </w:r>
      <w:r w:rsidRPr="00D520F9">
        <w:t xml:space="preserve">ollow-up </w:t>
      </w:r>
      <w:r w:rsidRPr="00D520F9" w:rsidR="00AF6BDC">
        <w:t>Questionnaire</w:t>
      </w:r>
      <w:r w:rsidRPr="00D520F9">
        <w:t xml:space="preserve"> will be collected from </w:t>
      </w:r>
      <w:r w:rsidRPr="00D520F9" w:rsidR="003F7835">
        <w:t xml:space="preserve">participants </w:t>
      </w:r>
      <w:r w:rsidRPr="00D520F9">
        <w:t>primarily by telephone, including but not limited to CATI. Some intake data will also be collected via the web</w:t>
      </w:r>
      <w:r w:rsidRPr="00D520F9" w:rsidR="00754409">
        <w:t xml:space="preserve"> and potentially via text</w:t>
      </w:r>
      <w:r w:rsidRPr="00D520F9">
        <w:t xml:space="preserve">. </w:t>
      </w:r>
      <w:r w:rsidR="006273CE">
        <w:t>CDC is</w:t>
      </w:r>
      <w:r w:rsidRPr="00D520F9">
        <w:t xml:space="preserve"> recommending that states continue collecting the intake data using the same media that they are currently using. This is because the states have determined that these methods are the best to collect the data without disrupting the provision of services (the primary goal of the quitlines). </w:t>
      </w:r>
      <w:r w:rsidRPr="00D520F9" w:rsidR="00CD64A8">
        <w:t>Data from the NQDW Intake</w:t>
      </w:r>
      <w:r w:rsidRPr="00D520F9" w:rsidR="00AF6BDC">
        <w:t xml:space="preserve"> Questionnaire</w:t>
      </w:r>
      <w:r w:rsidRPr="00D520F9" w:rsidR="00CD64A8">
        <w:t xml:space="preserve"> and </w:t>
      </w:r>
      <w:r w:rsidRPr="00D520F9" w:rsidR="00AF6BDC">
        <w:t>Seven</w:t>
      </w:r>
      <w:r w:rsidRPr="00D520F9" w:rsidR="00CD64A8">
        <w:t>-</w:t>
      </w:r>
      <w:r w:rsidRPr="00D520F9" w:rsidR="00AF6BDC">
        <w:t>M</w:t>
      </w:r>
      <w:r w:rsidRPr="00D520F9" w:rsidR="00CD64A8">
        <w:t xml:space="preserve">onth </w:t>
      </w:r>
      <w:r w:rsidRPr="00D520F9" w:rsidR="00AF6BDC">
        <w:t>F</w:t>
      </w:r>
      <w:r w:rsidRPr="00D520F9" w:rsidR="00CD64A8">
        <w:t xml:space="preserve">ollow-up </w:t>
      </w:r>
      <w:r w:rsidRPr="00D520F9" w:rsidR="00AF6BDC">
        <w:t>Q</w:t>
      </w:r>
      <w:r w:rsidRPr="00D520F9" w:rsidR="00CD64A8">
        <w:t xml:space="preserve">uestionnaire are submitted </w:t>
      </w:r>
      <w:r w:rsidRPr="00D520F9" w:rsidR="00AF6BDC">
        <w:t>to CDC</w:t>
      </w:r>
      <w:r w:rsidR="00704AE6">
        <w:t>’s contractor</w:t>
      </w:r>
      <w:r w:rsidRPr="00D520F9" w:rsidR="00CD64A8">
        <w:t xml:space="preserve"> via </w:t>
      </w:r>
      <w:r w:rsidRPr="00D520F9" w:rsidR="00EC72CF">
        <w:t>a</w:t>
      </w:r>
      <w:r w:rsidRPr="00D520F9" w:rsidR="00D4198E">
        <w:t xml:space="preserve"> </w:t>
      </w:r>
      <w:r w:rsidRPr="00D520F9" w:rsidR="00CD64A8">
        <w:t xml:space="preserve">secure </w:t>
      </w:r>
      <w:r w:rsidRPr="00D520F9" w:rsidR="00AF6BDC">
        <w:t xml:space="preserve">NQDW </w:t>
      </w:r>
      <w:r w:rsidRPr="00D520F9" w:rsidR="00CD64A8">
        <w:t xml:space="preserve">FTP server. </w:t>
      </w:r>
      <w:r w:rsidRPr="00D520F9">
        <w:t xml:space="preserve">The </w:t>
      </w:r>
      <w:r w:rsidRPr="00D520F9" w:rsidR="0095414C">
        <w:t xml:space="preserve">NQDW Quitline Services Survey will be completed electronically using a form-style Microsoft Word document. </w:t>
      </w:r>
      <w:r w:rsidRPr="00D520F9" w:rsidR="0095414C">
        <w:t>Completed surveys will be returned to CDC</w:t>
      </w:r>
      <w:r w:rsidR="00704AE6">
        <w:t>’s contractor</w:t>
      </w:r>
      <w:r w:rsidRPr="00D520F9" w:rsidR="0095414C">
        <w:t xml:space="preserve"> via email</w:t>
      </w:r>
      <w:r w:rsidRPr="00D520F9" w:rsidR="004663D0">
        <w:t xml:space="preserve"> or submitted through the secure FTP site</w:t>
      </w:r>
      <w:r w:rsidRPr="00D520F9" w:rsidR="00CD64A8">
        <w:t xml:space="preserve">. </w:t>
      </w:r>
    </w:p>
    <w:p w:rsidR="00CD64A8" w:rsidRPr="00D520F9" w:rsidP="00D520F9" w14:paraId="129055FF" w14:textId="262EF5B4">
      <w:pPr>
        <w:spacing w:after="240"/>
        <w:ind w:firstLine="720"/>
      </w:pPr>
      <w:r w:rsidRPr="00D520F9">
        <w:rPr>
          <w:i/>
          <w:u w:val="single"/>
        </w:rPr>
        <w:t>Items of Information to be Collected</w:t>
      </w:r>
      <w:r w:rsidRPr="00D520F9">
        <w:t>.</w:t>
      </w:r>
      <w:r w:rsidRPr="00D520F9">
        <w:rPr>
          <w:b/>
        </w:rPr>
        <w:t xml:space="preserve"> </w:t>
      </w:r>
      <w:r w:rsidRPr="00D520F9" w:rsidR="00704974">
        <w:t xml:space="preserve">The NQDW utilizes </w:t>
      </w:r>
      <w:r w:rsidRPr="00D520F9" w:rsidR="0035346C">
        <w:t>four</w:t>
      </w:r>
      <w:r w:rsidRPr="00D520F9">
        <w:t xml:space="preserve"> instruments: the NQDW Intake </w:t>
      </w:r>
      <w:r w:rsidRPr="00D520F9">
        <w:t>Q</w:t>
      </w:r>
      <w:r w:rsidRPr="00D520F9" w:rsidR="0035346C">
        <w:t>uestionnaire (</w:t>
      </w:r>
      <w:r w:rsidRPr="00D520F9" w:rsidR="00DD1D83">
        <w:t>Attachments</w:t>
      </w:r>
      <w:r w:rsidRPr="00D520F9" w:rsidR="009E1076">
        <w:t xml:space="preserve"> </w:t>
      </w:r>
      <w:r w:rsidRPr="00D520F9" w:rsidR="00D8554B">
        <w:t>C-1 to C-4</w:t>
      </w:r>
      <w:r w:rsidRPr="00D520F9">
        <w:t xml:space="preserve">); </w:t>
      </w:r>
      <w:r w:rsidRPr="00D520F9" w:rsidR="0035346C">
        <w:t>the NQDW Intake Questionnaire for the subset of pa</w:t>
      </w:r>
      <w:r w:rsidRPr="00D520F9" w:rsidR="00263632">
        <w:t>rticipants who are calling for s</w:t>
      </w:r>
      <w:r w:rsidRPr="00D520F9" w:rsidR="0035346C">
        <w:t>omeone else</w:t>
      </w:r>
      <w:r w:rsidRPr="00D520F9" w:rsidR="0049662B">
        <w:t xml:space="preserve"> (</w:t>
      </w:r>
      <w:r w:rsidRPr="00D520F9" w:rsidR="00DD1D83">
        <w:t>Attachments</w:t>
      </w:r>
      <w:r w:rsidRPr="00D520F9" w:rsidR="000770FC">
        <w:t xml:space="preserve"> D</w:t>
      </w:r>
      <w:r w:rsidRPr="00D520F9" w:rsidR="00122374">
        <w:t>-</w:t>
      </w:r>
      <w:r w:rsidRPr="00D520F9" w:rsidR="00D8554B">
        <w:t>1 to D-4</w:t>
      </w:r>
      <w:r w:rsidRPr="00D520F9" w:rsidR="00263632">
        <w:t>)</w:t>
      </w:r>
      <w:r w:rsidRPr="00D520F9" w:rsidR="00D4198E">
        <w:t>;</w:t>
      </w:r>
      <w:r w:rsidRPr="00D520F9" w:rsidR="00263632">
        <w:t xml:space="preserve"> </w:t>
      </w:r>
      <w:r w:rsidRPr="00D520F9">
        <w:t xml:space="preserve">the NQDW </w:t>
      </w:r>
      <w:r w:rsidRPr="00D520F9">
        <w:t>Seven</w:t>
      </w:r>
      <w:r w:rsidRPr="00D520F9">
        <w:t>-</w:t>
      </w:r>
      <w:r w:rsidRPr="00D520F9">
        <w:t>M</w:t>
      </w:r>
      <w:r w:rsidRPr="00D520F9">
        <w:t xml:space="preserve">onth </w:t>
      </w:r>
      <w:r w:rsidRPr="00D520F9">
        <w:t>F</w:t>
      </w:r>
      <w:r w:rsidRPr="00D520F9">
        <w:t xml:space="preserve">ollow-up </w:t>
      </w:r>
      <w:r w:rsidRPr="00D520F9">
        <w:t>Q</w:t>
      </w:r>
      <w:r w:rsidRPr="00D520F9">
        <w:t>uestionnaire</w:t>
      </w:r>
      <w:r w:rsidRPr="00D520F9" w:rsidR="009740B8">
        <w:t xml:space="preserve"> for </w:t>
      </w:r>
      <w:r w:rsidRPr="00D520F9" w:rsidR="00AF6BDC">
        <w:t xml:space="preserve">tobacco users who received services from </w:t>
      </w:r>
      <w:r w:rsidRPr="00D520F9" w:rsidR="009740B8">
        <w:t xml:space="preserve">the Asian </w:t>
      </w:r>
      <w:r w:rsidRPr="00D520F9">
        <w:t xml:space="preserve">Smokers’ </w:t>
      </w:r>
      <w:r w:rsidRPr="00D520F9" w:rsidR="009740B8">
        <w:t>Quitline</w:t>
      </w:r>
      <w:r w:rsidRPr="00D520F9">
        <w:t xml:space="preserve"> (</w:t>
      </w:r>
      <w:r w:rsidRPr="00D520F9" w:rsidR="00DD1D83">
        <w:t>Attachments</w:t>
      </w:r>
      <w:r w:rsidRPr="00D520F9">
        <w:t xml:space="preserve"> </w:t>
      </w:r>
      <w:r w:rsidRPr="00D520F9" w:rsidR="002626A4">
        <w:t>E</w:t>
      </w:r>
      <w:r w:rsidRPr="00D520F9" w:rsidR="00573B02">
        <w:t>-1</w:t>
      </w:r>
      <w:r w:rsidRPr="00D520F9" w:rsidR="0049662B">
        <w:t xml:space="preserve"> to </w:t>
      </w:r>
      <w:r w:rsidRPr="00D520F9" w:rsidR="002626A4">
        <w:t>E</w:t>
      </w:r>
      <w:r w:rsidRPr="00D520F9" w:rsidR="00263632">
        <w:t>-4)</w:t>
      </w:r>
      <w:r w:rsidRPr="00D520F9" w:rsidR="00D4198E">
        <w:t>;</w:t>
      </w:r>
      <w:r w:rsidRPr="00D520F9">
        <w:t xml:space="preserve"> and the NQDW Quit</w:t>
      </w:r>
      <w:r w:rsidRPr="00D520F9" w:rsidR="00C500C1">
        <w:t>line Services Survey (</w:t>
      </w:r>
      <w:r w:rsidRPr="00D520F9" w:rsidR="00C66F8E">
        <w:t>Attachment</w:t>
      </w:r>
      <w:r w:rsidRPr="00D520F9" w:rsidR="00C500C1">
        <w:t xml:space="preserve"> </w:t>
      </w:r>
      <w:r w:rsidRPr="00D520F9" w:rsidR="002626A4">
        <w:t>F</w:t>
      </w:r>
      <w:r w:rsidRPr="00D520F9">
        <w:t xml:space="preserve">). </w:t>
      </w:r>
      <w:r w:rsidRPr="00D520F9" w:rsidR="00D32DC8">
        <w:rPr>
          <w:i/>
        </w:rPr>
        <w:t>CDC Best Practices for Comprehensive Tobacco Control Programs – 2014</w:t>
      </w:r>
      <w:r w:rsidRPr="00D520F9">
        <w:t xml:space="preserve"> recommends that quitlines should place specific focus on populations with disproportionate tobacco use</w:t>
      </w:r>
      <w:r w:rsidRPr="00D520F9" w:rsidR="00D32DC8">
        <w:t xml:space="preserve"> (CDC, 2014)</w:t>
      </w:r>
      <w:r w:rsidRPr="00D520F9">
        <w:t>, and many state quitlines are either specifically targeting populations with disproportionate</w:t>
      </w:r>
      <w:r w:rsidRPr="00D520F9" w:rsidR="003637EC">
        <w:t>ly high</w:t>
      </w:r>
      <w:r w:rsidRPr="00D520F9">
        <w:t xml:space="preserve"> tobacco use or provide additional quitline services to those populations (such as additional counseling or free quitting medications). </w:t>
      </w:r>
      <w:r w:rsidRPr="00D520F9" w:rsidR="001F48F0">
        <w:t>T</w:t>
      </w:r>
      <w:r w:rsidRPr="00D520F9" w:rsidR="00E769E7">
        <w:t xml:space="preserve">wo questions have been added to the NQDW intake questionnaire to </w:t>
      </w:r>
      <w:r w:rsidRPr="00D520F9" w:rsidR="00860185">
        <w:t>capture information on participants of two such populations (LGBT and military), and one</w:t>
      </w:r>
      <w:r w:rsidRPr="00D520F9" w:rsidR="00914362">
        <w:t xml:space="preserve"> question has been added to the Services Survey to allow states to report </w:t>
      </w:r>
      <w:r w:rsidRPr="00D520F9" w:rsidR="000D3A67">
        <w:t xml:space="preserve">on </w:t>
      </w:r>
      <w:r w:rsidRPr="00D520F9" w:rsidR="008D111D">
        <w:t>the provision of</w:t>
      </w:r>
      <w:r w:rsidRPr="00D520F9" w:rsidR="00914362">
        <w:t xml:space="preserve"> cessation protocols tailored for sp</w:t>
      </w:r>
      <w:r w:rsidRPr="00D520F9" w:rsidR="000D3A67">
        <w:t>ecific populations with disproportionately high tobacco use.</w:t>
      </w:r>
    </w:p>
    <w:p w:rsidR="007A3C61" w:rsidRPr="00D520F9" w:rsidP="00D520F9" w14:paraId="463FE064" w14:textId="32219C4A">
      <w:pPr>
        <w:spacing w:after="240"/>
        <w:ind w:firstLine="720"/>
      </w:pPr>
      <w:r w:rsidRPr="00D520F9">
        <w:t xml:space="preserve"> The NQDW </w:t>
      </w:r>
      <w:r w:rsidRPr="00D520F9" w:rsidR="00AF6BDC">
        <w:t>Seven</w:t>
      </w:r>
      <w:r w:rsidRPr="00D520F9">
        <w:t>-</w:t>
      </w:r>
      <w:r w:rsidRPr="00D520F9" w:rsidR="00AF6BDC">
        <w:t>M</w:t>
      </w:r>
      <w:r w:rsidRPr="00D520F9">
        <w:t xml:space="preserve">onth </w:t>
      </w:r>
      <w:r w:rsidRPr="00D520F9" w:rsidR="00AF6BDC">
        <w:t>F</w:t>
      </w:r>
      <w:r w:rsidRPr="00D520F9">
        <w:t xml:space="preserve">ollow-up </w:t>
      </w:r>
      <w:r w:rsidRPr="00D520F9" w:rsidR="00AF6BDC">
        <w:t>Questionnaire</w:t>
      </w:r>
      <w:r w:rsidRPr="00D520F9">
        <w:t xml:space="preserve"> will be completed for </w:t>
      </w:r>
      <w:r w:rsidRPr="00D520F9" w:rsidR="00AF6BDC">
        <w:t xml:space="preserve">tobacco users </w:t>
      </w:r>
      <w:r w:rsidRPr="00D520F9">
        <w:t xml:space="preserve">who completed </w:t>
      </w:r>
      <w:r w:rsidRPr="00D520F9" w:rsidR="00AF6BDC">
        <w:t xml:space="preserve">an NQDW Intake Questionnaire </w:t>
      </w:r>
      <w:r w:rsidRPr="00D520F9">
        <w:t>and received a service</w:t>
      </w:r>
      <w:r w:rsidRPr="00D520F9" w:rsidR="009740B8">
        <w:t xml:space="preserve"> f</w:t>
      </w:r>
      <w:r w:rsidRPr="00D520F9" w:rsidR="00CD64A8">
        <w:t>rom</w:t>
      </w:r>
      <w:r w:rsidRPr="00D520F9" w:rsidR="009740B8">
        <w:t xml:space="preserve"> </w:t>
      </w:r>
      <w:r w:rsidRPr="00D520F9" w:rsidR="00CD64A8">
        <w:t xml:space="preserve">the </w:t>
      </w:r>
      <w:r w:rsidRPr="00D520F9" w:rsidR="009740B8">
        <w:t xml:space="preserve">Asian </w:t>
      </w:r>
      <w:r w:rsidRPr="00D520F9" w:rsidR="00CD64A8">
        <w:t xml:space="preserve">Smokers’ </w:t>
      </w:r>
      <w:r w:rsidRPr="00D520F9" w:rsidR="009740B8">
        <w:t>Quitline</w:t>
      </w:r>
      <w:r w:rsidRPr="00D520F9" w:rsidR="00AF6BDC">
        <w:t xml:space="preserve"> (ASQ)</w:t>
      </w:r>
      <w:r w:rsidRPr="00D520F9">
        <w:t xml:space="preserve">. The survey asks questions about quitline service satisfaction, whether or not the </w:t>
      </w:r>
      <w:r w:rsidRPr="00D520F9" w:rsidR="003F7835">
        <w:t xml:space="preserve">participant </w:t>
      </w:r>
      <w:r w:rsidRPr="00D520F9">
        <w:t xml:space="preserve">has quit using tobacco, duration of quitting if applicable, use of products and/or medication to help quit, and use of non-quitline assistance to quit.  </w:t>
      </w:r>
    </w:p>
    <w:p w:rsidR="007A3C61" w:rsidRPr="00D520F9" w:rsidP="00D520F9" w14:paraId="1B90447B" w14:textId="7294C697">
      <w:pPr>
        <w:spacing w:after="240"/>
        <w:ind w:firstLine="720"/>
      </w:pPr>
      <w:r w:rsidRPr="00D520F9">
        <w:t xml:space="preserve">Respondents for the NQDW Quitline Services Survey are state health department personnel (e.g., </w:t>
      </w:r>
      <w:r w:rsidRPr="00D520F9" w:rsidR="000C42A4">
        <w:t xml:space="preserve">state </w:t>
      </w:r>
      <w:r w:rsidRPr="00D520F9">
        <w:t xml:space="preserve">tobacco control managers, </w:t>
      </w:r>
      <w:r w:rsidRPr="00D520F9" w:rsidR="000C42A4">
        <w:t xml:space="preserve">state cessation coordinators, state </w:t>
      </w:r>
      <w:r w:rsidRPr="00D520F9">
        <w:t xml:space="preserve">quitline managers – not private quitline service providers) </w:t>
      </w:r>
      <w:r w:rsidRPr="00D520F9" w:rsidR="00F8548C">
        <w:t>or their designee, which might include quitline service providers</w:t>
      </w:r>
      <w:r w:rsidR="00FF4474">
        <w:t>,</w:t>
      </w:r>
      <w:r w:rsidRPr="00D520F9" w:rsidR="00F8548C">
        <w:t xml:space="preserve"> such as </w:t>
      </w:r>
      <w:r w:rsidRPr="00D520F9" w:rsidR="00661E16">
        <w:t>Optum</w:t>
      </w:r>
      <w:r w:rsidRPr="00D520F9" w:rsidR="00B40749">
        <w:t xml:space="preserve"> or National Jewish Health</w:t>
      </w:r>
      <w:r w:rsidRPr="00D520F9" w:rsidR="00F8548C">
        <w:t xml:space="preserve">, </w:t>
      </w:r>
      <w:r w:rsidRPr="00D520F9">
        <w:t xml:space="preserve">in </w:t>
      </w:r>
      <w:r w:rsidRPr="00D520F9" w:rsidR="00B40749">
        <w:t>50</w:t>
      </w:r>
      <w:r w:rsidRPr="00D520F9">
        <w:t xml:space="preserve"> states, </w:t>
      </w:r>
      <w:r w:rsidRPr="00D520F9" w:rsidR="00F8548C">
        <w:t xml:space="preserve">the </w:t>
      </w:r>
      <w:r w:rsidRPr="00D520F9">
        <w:t>District of Columbia, Guam</w:t>
      </w:r>
      <w:r w:rsidRPr="00D520F9" w:rsidR="00F8548C">
        <w:t xml:space="preserve">, Puerto Rico, and for </w:t>
      </w:r>
      <w:r w:rsidRPr="00D520F9" w:rsidR="00637A41">
        <w:t>ASQ</w:t>
      </w:r>
      <w:r w:rsidRPr="00D520F9">
        <w:t>.</w:t>
      </w:r>
      <w:r w:rsidRPr="00D520F9" w:rsidR="00F8548C">
        <w:t xml:space="preserve"> </w:t>
      </w:r>
      <w:r w:rsidRPr="00D520F9">
        <w:t>The survey asks questions about</w:t>
      </w:r>
      <w:r w:rsidRPr="00D520F9" w:rsidR="00D4198E">
        <w:t>: (</w:t>
      </w:r>
      <w:r w:rsidRPr="00D520F9" w:rsidR="004663D0">
        <w:t xml:space="preserve">a) the name of the state’s quitline; (b) the phone numbers used by the state’s quitline; (c) the quitline’s hours of operation; (d) available counseling languages offered by the quitline; (e) eligibility criteria for receiving counseling from the quitline; (f) the amount of counseling offered by the quitline; (g) free quitting medications that are offered by the quitline; (h) eligibility criteria to receive free quitting medications from the quitline; (i) the amount of free quitting medications offered by the quitline; (j) </w:t>
      </w:r>
      <w:r w:rsidRPr="00D520F9" w:rsidR="001E1276">
        <w:t>how participants heard about the quitline</w:t>
      </w:r>
      <w:r w:rsidRPr="00D520F9" w:rsidR="004663D0">
        <w:t>; (k) service modalities; (l) population-specific cessation protocols</w:t>
      </w:r>
      <w:r w:rsidRPr="00D520F9" w:rsidR="00D4198E">
        <w:t xml:space="preserve">; </w:t>
      </w:r>
      <w:r w:rsidRPr="00D520F9" w:rsidR="004663D0">
        <w:t xml:space="preserve">(m) call volume, (n) number of unique callers, (o) number of web visits, (p) referral sources, (q) number of referrals received by the </w:t>
      </w:r>
      <w:r w:rsidRPr="00D520F9" w:rsidR="00DF4F4C">
        <w:t>quitline</w:t>
      </w:r>
      <w:r w:rsidRPr="00D520F9" w:rsidR="004663D0">
        <w:t>, (r) service utilization, and (s) number of completed registrations.</w:t>
      </w:r>
    </w:p>
    <w:p w:rsidR="00552523" w:rsidRPr="00D520F9" w:rsidP="00D520F9" w14:paraId="089FE898" w14:textId="509384A4">
      <w:pPr>
        <w:autoSpaceDE w:val="0"/>
        <w:autoSpaceDN w:val="0"/>
        <w:adjustRightInd w:val="0"/>
        <w:spacing w:after="240"/>
        <w:ind w:firstLine="720"/>
        <w:rPr>
          <w:color w:val="1F497D"/>
        </w:rPr>
      </w:pPr>
      <w:r w:rsidRPr="00D520F9">
        <w:rPr>
          <w:i/>
          <w:u w:val="single"/>
        </w:rPr>
        <w:t>Data Security</w:t>
      </w:r>
      <w:r w:rsidRPr="00D520F9" w:rsidR="00F8548C">
        <w:t>.</w:t>
      </w:r>
      <w:r w:rsidRPr="00D520F9">
        <w:t xml:space="preserve"> Precautions will be taken in how the data are handled to prevent a breach of privacy. Survey data and all identifying information about respondents will be handled in ways that prevent unauthorized access at any point during the </w:t>
      </w:r>
      <w:r w:rsidRPr="00D520F9" w:rsidR="00487D04">
        <w:t>data collection and management process</w:t>
      </w:r>
      <w:r w:rsidRPr="00D520F9">
        <w:t>. </w:t>
      </w:r>
      <w:r w:rsidRPr="00D520F9" w:rsidR="00F81370">
        <w:t>OSH does not request any Personally identifiable information (PII) from the states or territories, and data collection requests to states and territories specify that all data submitted to the NQDW should be de-identified data</w:t>
      </w:r>
      <w:r w:rsidR="00B30840">
        <w:t xml:space="preserve">. </w:t>
      </w:r>
      <w:r w:rsidRPr="00D520F9" w:rsidR="00F81370">
        <w:t xml:space="preserve">No </w:t>
      </w:r>
      <w:r w:rsidRPr="00D520F9" w:rsidR="003F7835">
        <w:t>individual-</w:t>
      </w:r>
      <w:r w:rsidRPr="00D520F9" w:rsidR="00F81370">
        <w:t xml:space="preserve">level data are made available to the public and no identifiable data are included in CDC studies, reports, </w:t>
      </w:r>
      <w:r w:rsidRPr="00D520F9" w:rsidR="00E2700C">
        <w:t xml:space="preserve">or </w:t>
      </w:r>
      <w:r w:rsidRPr="00D520F9" w:rsidR="00F81370">
        <w:t>publications</w:t>
      </w:r>
      <w:r w:rsidRPr="00D520F9">
        <w:t xml:space="preserve">. Respondents will be told during the </w:t>
      </w:r>
      <w:r w:rsidRPr="00D520F9" w:rsidR="002A67AA">
        <w:t xml:space="preserve">quitline registration </w:t>
      </w:r>
      <w:r w:rsidRPr="00D520F9">
        <w:t xml:space="preserve">that the information they provide will be </w:t>
      </w:r>
      <w:r w:rsidRPr="00D520F9">
        <w:t>kept secure.</w:t>
      </w:r>
      <w:r w:rsidRPr="00D520F9" w:rsidR="00F8548C">
        <w:t xml:space="preserve"> </w:t>
      </w:r>
      <w:r w:rsidRPr="00D520F9">
        <w:t>All interviewers will be required to sign a non-disclosure agreement on the date of hire, which will be reinforced at training.</w:t>
      </w:r>
    </w:p>
    <w:p w:rsidR="00813C1D" w:rsidRPr="00D520F9" w:rsidP="00D520F9" w14:paraId="79AAD4C0" w14:textId="314373DA">
      <w:pPr>
        <w:spacing w:after="240"/>
        <w:ind w:firstLine="720"/>
        <w:rPr>
          <w:iCs/>
        </w:rPr>
      </w:pPr>
      <w:r w:rsidRPr="00D520F9">
        <w:rPr>
          <w:i/>
          <w:iCs/>
          <w:u w:val="single"/>
        </w:rPr>
        <w:t>Consent</w:t>
      </w:r>
      <w:r w:rsidR="00B30840">
        <w:rPr>
          <w:iCs/>
        </w:rPr>
        <w:t xml:space="preserve">. </w:t>
      </w:r>
      <w:r w:rsidRPr="00D520F9" w:rsidR="008B2F22">
        <w:t>Verbal consent will be elicited from participants</w:t>
      </w:r>
      <w:r w:rsidRPr="00D520F9" w:rsidR="009D5E83">
        <w:t xml:space="preserve"> in the NQDW Seven-Month Follow-up</w:t>
      </w:r>
      <w:r w:rsidRPr="00D520F9" w:rsidR="000A348C">
        <w:t xml:space="preserve"> with ASQ</w:t>
      </w:r>
      <w:r w:rsidR="00B30840">
        <w:t xml:space="preserve">. </w:t>
      </w:r>
      <w:r w:rsidRPr="00D520F9">
        <w:t xml:space="preserve">Before each </w:t>
      </w:r>
      <w:r w:rsidRPr="00D520F9" w:rsidR="004D2AE9">
        <w:t>follow</w:t>
      </w:r>
      <w:r w:rsidRPr="00D520F9" w:rsidR="002C375A">
        <w:t>-</w:t>
      </w:r>
      <w:r w:rsidRPr="00D520F9" w:rsidR="004D2AE9">
        <w:t xml:space="preserve">up </w:t>
      </w:r>
      <w:r w:rsidRPr="00D520F9">
        <w:t xml:space="preserve">interview, the interviewer will read the informed consent </w:t>
      </w:r>
      <w:r w:rsidRPr="00D520F9" w:rsidR="00AF6CCD">
        <w:t>script</w:t>
      </w:r>
      <w:r w:rsidRPr="00D520F9">
        <w:t xml:space="preserve"> to each participan</w:t>
      </w:r>
      <w:r w:rsidRPr="00D520F9" w:rsidR="00AF6CCD">
        <w:t>t. The consent script</w:t>
      </w:r>
      <w:r w:rsidRPr="00D520F9">
        <w:t xml:space="preserve"> describes the interview</w:t>
      </w:r>
      <w:r w:rsidRPr="00D520F9" w:rsidR="00803197">
        <w:t xml:space="preserve"> and</w:t>
      </w:r>
      <w:r w:rsidRPr="00D520F9">
        <w:t xml:space="preserve"> the types of questions that wil</w:t>
      </w:r>
      <w:r w:rsidRPr="00D520F9" w:rsidR="00803197">
        <w:t>l be asked on the actual survey</w:t>
      </w:r>
      <w:r w:rsidRPr="00D520F9" w:rsidR="00AF6CCD">
        <w:t>. The consent script</w:t>
      </w:r>
      <w:r w:rsidRPr="00D520F9">
        <w:t xml:space="preserve"> also indicates that participation is completely voluntary and that participants can refuse to answer any question or discontinue the interview at any time without penalty or loss of benefits. The interviewer will enter a code via the keyboard to signify that the participant was read the informed consent script and agreed to participate.</w:t>
      </w:r>
    </w:p>
    <w:p w:rsidR="00773862" w:rsidRPr="00583B0E" w:rsidP="00773862" w14:paraId="29B0B92C" w14:textId="77777777">
      <w:pPr>
        <w:autoSpaceDE w:val="0"/>
        <w:autoSpaceDN w:val="0"/>
        <w:adjustRightInd w:val="0"/>
        <w:rPr>
          <w:color w:val="000000"/>
          <w:sz w:val="22"/>
          <w:szCs w:val="22"/>
          <w:highlight w:val="yellow"/>
        </w:rPr>
      </w:pPr>
    </w:p>
    <w:p w:rsidR="008469A3" w:rsidRPr="00407B40" w:rsidP="00175EB0" w14:paraId="7BBC845A" w14:textId="77777777">
      <w:pPr>
        <w:pStyle w:val="BodyText"/>
        <w:ind w:left="720" w:hanging="720"/>
        <w:rPr>
          <w:b/>
        </w:rPr>
      </w:pPr>
      <w:r>
        <w:rPr>
          <w:b/>
        </w:rPr>
        <w:t>A.1</w:t>
      </w:r>
      <w:r w:rsidR="002D7990">
        <w:rPr>
          <w:b/>
        </w:rPr>
        <w:t>1</w:t>
      </w:r>
      <w:r w:rsidRPr="00407B40">
        <w:rPr>
          <w:b/>
        </w:rPr>
        <w:tab/>
      </w:r>
      <w:r w:rsidR="008369C9">
        <w:rPr>
          <w:b/>
          <w:u w:val="single"/>
        </w:rPr>
        <w:t>INSTITUTIONAL REVIEW BOARD (IRB) AND JUSTIFICATION FOR SENSITIVE QUESTIONS</w:t>
      </w:r>
    </w:p>
    <w:p w:rsidR="00AE6A94" w:rsidRPr="00E00DCA" w:rsidP="0068681B" w14:paraId="0A2E79D1" w14:textId="77777777">
      <w:pPr>
        <w:pStyle w:val="BodyTextIndent"/>
        <w:spacing w:after="120"/>
        <w:ind w:left="0" w:right="90" w:firstLine="720"/>
        <w:rPr>
          <w:u w:val="single"/>
        </w:rPr>
      </w:pPr>
      <w:r w:rsidRPr="00E00DCA">
        <w:rPr>
          <w:u w:val="single"/>
        </w:rPr>
        <w:t>IRB Approval</w:t>
      </w:r>
    </w:p>
    <w:p w:rsidR="00AE6A94" w:rsidRPr="00F65178" w:rsidP="0068681B" w14:paraId="340409FD" w14:textId="3E59538D">
      <w:pPr>
        <w:pStyle w:val="BodyTextIndent"/>
        <w:spacing w:after="120"/>
        <w:ind w:left="0" w:right="90" w:firstLine="720"/>
        <w:rPr>
          <w:b w:val="0"/>
        </w:rPr>
      </w:pPr>
      <w:r w:rsidRPr="00802292">
        <w:rPr>
          <w:b w:val="0"/>
        </w:rPr>
        <w:t>This information collection is a program evaluation activity, not research. IRB approval is not required.</w:t>
      </w:r>
    </w:p>
    <w:p w:rsidR="00AE6A94" w:rsidRPr="00802292" w:rsidP="00D520F9" w14:paraId="19FFF831" w14:textId="77777777">
      <w:pPr>
        <w:autoSpaceDE w:val="0"/>
        <w:autoSpaceDN w:val="0"/>
        <w:adjustRightInd w:val="0"/>
        <w:spacing w:after="240"/>
        <w:ind w:firstLine="720"/>
        <w:rPr>
          <w:b/>
          <w:u w:val="single"/>
        </w:rPr>
      </w:pPr>
      <w:r w:rsidRPr="00802292">
        <w:rPr>
          <w:b/>
          <w:u w:val="single"/>
        </w:rPr>
        <w:t>Sensitive Questions</w:t>
      </w:r>
    </w:p>
    <w:p w:rsidR="000C3BFE" w:rsidP="00D520F9" w14:paraId="0BE13C02" w14:textId="6B0DDA0B">
      <w:pPr>
        <w:pStyle w:val="BodyTextIndent"/>
        <w:spacing w:after="240"/>
        <w:ind w:left="0" w:right="90" w:firstLine="720"/>
        <w:rPr>
          <w:b w:val="0"/>
          <w:iCs/>
        </w:rPr>
      </w:pPr>
      <w:r>
        <w:rPr>
          <w:b w:val="0"/>
        </w:rPr>
        <w:t xml:space="preserve">On the </w:t>
      </w:r>
      <w:r w:rsidR="00D8766C">
        <w:rPr>
          <w:b w:val="0"/>
        </w:rPr>
        <w:t xml:space="preserve">NQDW </w:t>
      </w:r>
      <w:r>
        <w:rPr>
          <w:b w:val="0"/>
        </w:rPr>
        <w:t xml:space="preserve">intake questionnaire, </w:t>
      </w:r>
      <w:r w:rsidR="00665A82">
        <w:rPr>
          <w:b w:val="0"/>
        </w:rPr>
        <w:t xml:space="preserve">35 </w:t>
      </w:r>
      <w:r w:rsidR="00FC4005">
        <w:rPr>
          <w:b w:val="0"/>
        </w:rPr>
        <w:t xml:space="preserve">of </w:t>
      </w:r>
      <w:r w:rsidR="00665A82">
        <w:rPr>
          <w:b w:val="0"/>
        </w:rPr>
        <w:t xml:space="preserve">50 </w:t>
      </w:r>
      <w:r w:rsidR="00993372">
        <w:rPr>
          <w:b w:val="0"/>
        </w:rPr>
        <w:t>questions are tobacco-</w:t>
      </w:r>
      <w:r>
        <w:rPr>
          <w:b w:val="0"/>
        </w:rPr>
        <w:t>related</w:t>
      </w:r>
      <w:r w:rsidR="00316605">
        <w:rPr>
          <w:b w:val="0"/>
        </w:rPr>
        <w:t>.</w:t>
      </w:r>
      <w:r w:rsidR="00557EAE">
        <w:rPr>
          <w:b w:val="0"/>
        </w:rPr>
        <w:t xml:space="preserve"> </w:t>
      </w:r>
      <w:r w:rsidRPr="009740B8">
        <w:rPr>
          <w:b w:val="0"/>
        </w:rPr>
        <w:t xml:space="preserve">Similarly, on the </w:t>
      </w:r>
      <w:r w:rsidRPr="009740B8" w:rsidR="00D8766C">
        <w:rPr>
          <w:b w:val="0"/>
        </w:rPr>
        <w:t xml:space="preserve">NQDW 7-month </w:t>
      </w:r>
      <w:r w:rsidRPr="009740B8">
        <w:rPr>
          <w:b w:val="0"/>
        </w:rPr>
        <w:t xml:space="preserve">follow-up questionnaire, </w:t>
      </w:r>
      <w:r w:rsidRPr="009740B8">
        <w:rPr>
          <w:b w:val="0"/>
        </w:rPr>
        <w:t>2</w:t>
      </w:r>
      <w:r w:rsidRPr="009740B8" w:rsidR="00821A02">
        <w:rPr>
          <w:b w:val="0"/>
        </w:rPr>
        <w:t>6</w:t>
      </w:r>
      <w:r w:rsidRPr="009740B8" w:rsidR="001576EC">
        <w:rPr>
          <w:b w:val="0"/>
        </w:rPr>
        <w:t xml:space="preserve"> of </w:t>
      </w:r>
      <w:r w:rsidRPr="009740B8">
        <w:rPr>
          <w:b w:val="0"/>
        </w:rPr>
        <w:t>2</w:t>
      </w:r>
      <w:r w:rsidRPr="009740B8" w:rsidR="00BB59DF">
        <w:rPr>
          <w:b w:val="0"/>
        </w:rPr>
        <w:t>8</w:t>
      </w:r>
      <w:r w:rsidRPr="009740B8" w:rsidR="001576EC">
        <w:rPr>
          <w:b w:val="0"/>
        </w:rPr>
        <w:t xml:space="preserve"> </w:t>
      </w:r>
      <w:r w:rsidRPr="009740B8">
        <w:rPr>
          <w:b w:val="0"/>
        </w:rPr>
        <w:t xml:space="preserve">questions are </w:t>
      </w:r>
      <w:r w:rsidRPr="009740B8" w:rsidR="008469A3">
        <w:rPr>
          <w:b w:val="0"/>
        </w:rPr>
        <w:t>tobacco-related</w:t>
      </w:r>
      <w:r w:rsidRPr="009740B8" w:rsidR="00B363B4">
        <w:rPr>
          <w:b w:val="0"/>
        </w:rPr>
        <w:t>.</w:t>
      </w:r>
      <w:r w:rsidR="001D209F">
        <w:rPr>
          <w:b w:val="0"/>
        </w:rPr>
        <w:t xml:space="preserve"> </w:t>
      </w:r>
      <w:r w:rsidR="000C42A4">
        <w:rPr>
          <w:b w:val="0"/>
        </w:rPr>
        <w:t xml:space="preserve">The items are </w:t>
      </w:r>
      <w:r w:rsidR="00A427D2">
        <w:rPr>
          <w:b w:val="0"/>
        </w:rPr>
        <w:t xml:space="preserve">typically </w:t>
      </w:r>
      <w:r w:rsidR="000C42A4">
        <w:rPr>
          <w:b w:val="0"/>
        </w:rPr>
        <w:t>not of a sensitive nature and are commonly found in surveys on tobacco use</w:t>
      </w:r>
      <w:r w:rsidR="00B30840">
        <w:rPr>
          <w:b w:val="0"/>
        </w:rPr>
        <w:t xml:space="preserve">. </w:t>
      </w:r>
      <w:r w:rsidRPr="00041535" w:rsidR="000C42A4">
        <w:rPr>
          <w:b w:val="0"/>
          <w:iCs/>
        </w:rPr>
        <w:t xml:space="preserve">Data on tobacco use are generally regarded as being no greater than minimally sensitive. </w:t>
      </w:r>
      <w:r w:rsidR="000C42A4">
        <w:rPr>
          <w:b w:val="0"/>
          <w:iCs/>
        </w:rPr>
        <w:t xml:space="preserve">Most importantly, each individual who completes the NQDW intake questionnaire is seeking assistance with tobacco cessation and providing intake data is part of service provision. The intake process and counseling protocols cannot be completed without asking about tobacco use history. </w:t>
      </w:r>
      <w:r w:rsidRPr="009740B8" w:rsidR="000C42A4">
        <w:rPr>
          <w:b w:val="0"/>
          <w:iCs/>
        </w:rPr>
        <w:t xml:space="preserve">Similarly, the NQDW </w:t>
      </w:r>
      <w:r w:rsidR="000C42A4">
        <w:rPr>
          <w:b w:val="0"/>
          <w:iCs/>
        </w:rPr>
        <w:t>Seven</w:t>
      </w:r>
      <w:r w:rsidRPr="009740B8" w:rsidR="000C42A4">
        <w:rPr>
          <w:b w:val="0"/>
          <w:iCs/>
        </w:rPr>
        <w:t>-</w:t>
      </w:r>
      <w:r w:rsidR="000C42A4">
        <w:rPr>
          <w:b w:val="0"/>
          <w:iCs/>
        </w:rPr>
        <w:t>M</w:t>
      </w:r>
      <w:r w:rsidRPr="009740B8" w:rsidR="000C42A4">
        <w:rPr>
          <w:b w:val="0"/>
          <w:iCs/>
        </w:rPr>
        <w:t xml:space="preserve">onth </w:t>
      </w:r>
      <w:r w:rsidR="000C42A4">
        <w:rPr>
          <w:b w:val="0"/>
          <w:iCs/>
        </w:rPr>
        <w:t>Follow-up Q</w:t>
      </w:r>
      <w:r w:rsidRPr="009740B8" w:rsidR="000C42A4">
        <w:rPr>
          <w:b w:val="0"/>
          <w:iCs/>
        </w:rPr>
        <w:t xml:space="preserve">uestionnaire </w:t>
      </w:r>
      <w:r w:rsidR="000C42A4">
        <w:rPr>
          <w:b w:val="0"/>
          <w:iCs/>
        </w:rPr>
        <w:t>will be</w:t>
      </w:r>
      <w:r w:rsidRPr="009740B8" w:rsidR="000C42A4">
        <w:rPr>
          <w:b w:val="0"/>
          <w:iCs/>
        </w:rPr>
        <w:t xml:space="preserve"> conducted among </w:t>
      </w:r>
      <w:r w:rsidR="003F7835">
        <w:rPr>
          <w:b w:val="0"/>
          <w:iCs/>
        </w:rPr>
        <w:t xml:space="preserve">participants </w:t>
      </w:r>
      <w:r w:rsidR="000C42A4">
        <w:rPr>
          <w:b w:val="0"/>
          <w:iCs/>
        </w:rPr>
        <w:t xml:space="preserve">seeking services from the </w:t>
      </w:r>
      <w:r w:rsidR="00637A41">
        <w:rPr>
          <w:b w:val="0"/>
          <w:iCs/>
        </w:rPr>
        <w:t>ASQ</w:t>
      </w:r>
      <w:r w:rsidRPr="009740B8" w:rsidR="000C42A4">
        <w:rPr>
          <w:b w:val="0"/>
          <w:iCs/>
        </w:rPr>
        <w:t xml:space="preserve"> </w:t>
      </w:r>
      <w:r w:rsidR="000C42A4">
        <w:rPr>
          <w:b w:val="0"/>
          <w:iCs/>
        </w:rPr>
        <w:t>in order to assess the effectiveness of its services</w:t>
      </w:r>
      <w:r w:rsidRPr="009740B8" w:rsidR="000C42A4">
        <w:rPr>
          <w:b w:val="0"/>
          <w:iCs/>
        </w:rPr>
        <w:t xml:space="preserve">. Although follow-up data are </w:t>
      </w:r>
      <w:r w:rsidR="000C42A4">
        <w:rPr>
          <w:b w:val="0"/>
          <w:iCs/>
        </w:rPr>
        <w:t>used</w:t>
      </w:r>
      <w:r w:rsidRPr="009740B8" w:rsidR="000C42A4">
        <w:rPr>
          <w:b w:val="0"/>
          <w:iCs/>
        </w:rPr>
        <w:t xml:space="preserve"> to calculate a quit rate and determine what factors contribute to variability in quit rates, participation in the follow-up interview can identify needs for additional services</w:t>
      </w:r>
      <w:r w:rsidR="00F23621">
        <w:rPr>
          <w:b w:val="0"/>
          <w:iCs/>
        </w:rPr>
        <w:t>;</w:t>
      </w:r>
      <w:r w:rsidR="00B24A21">
        <w:rPr>
          <w:b w:val="0"/>
          <w:iCs/>
        </w:rPr>
        <w:t xml:space="preserve"> however, in </w:t>
      </w:r>
      <w:r w:rsidRPr="009740B8" w:rsidR="000C42A4">
        <w:rPr>
          <w:b w:val="0"/>
          <w:iCs/>
        </w:rPr>
        <w:t>the clinical context of the follow-up interview, these data are minimally or not at all sensitive.</w:t>
      </w:r>
    </w:p>
    <w:p w:rsidR="00A06E72" w:rsidRPr="000E60FE" w:rsidP="00D520F9" w14:paraId="5AC7C1C9" w14:textId="2219E362">
      <w:pPr>
        <w:autoSpaceDE w:val="0"/>
        <w:autoSpaceDN w:val="0"/>
        <w:adjustRightInd w:val="0"/>
        <w:spacing w:after="240"/>
        <w:ind w:firstLine="720"/>
      </w:pPr>
      <w:r w:rsidRPr="00407B40">
        <w:t>The</w:t>
      </w:r>
      <w:r>
        <w:t xml:space="preserve"> </w:t>
      </w:r>
      <w:r w:rsidR="00B24A21">
        <w:t xml:space="preserve">proposed </w:t>
      </w:r>
      <w:r w:rsidR="00D8766C">
        <w:t xml:space="preserve">NQDW </w:t>
      </w:r>
      <w:r>
        <w:t xml:space="preserve">intake questionnaire also </w:t>
      </w:r>
      <w:r w:rsidRPr="007A49C3">
        <w:t xml:space="preserve">includes </w:t>
      </w:r>
      <w:r>
        <w:t xml:space="preserve">demographic </w:t>
      </w:r>
      <w:r w:rsidRPr="00D14AF5">
        <w:t>questions</w:t>
      </w:r>
      <w:r>
        <w:t xml:space="preserve">, one question about each of the following: </w:t>
      </w:r>
      <w:r>
        <w:t xml:space="preserve">sexual orientation, </w:t>
      </w:r>
      <w:r>
        <w:t>year respondent was born, zip code</w:t>
      </w:r>
      <w:r w:rsidRPr="00D14AF5">
        <w:t>,</w:t>
      </w:r>
      <w:r>
        <w:t xml:space="preserve"> level of education, </w:t>
      </w:r>
      <w:r w:rsidR="002377A7">
        <w:t xml:space="preserve">insurance </w:t>
      </w:r>
      <w:r w:rsidR="009D5E83">
        <w:t>status</w:t>
      </w:r>
      <w:r>
        <w:t>, ethnicity, race,</w:t>
      </w:r>
      <w:r w:rsidRPr="00A06E72">
        <w:t xml:space="preserve"> </w:t>
      </w:r>
      <w:r>
        <w:t xml:space="preserve">pregnancy status (for females), behavioral </w:t>
      </w:r>
      <w:r w:rsidR="009D5E83">
        <w:t>health</w:t>
      </w:r>
      <w:r>
        <w:t xml:space="preserve"> conditions, and military status</w:t>
      </w:r>
      <w:r w:rsidRPr="00D14AF5">
        <w:t>.</w:t>
      </w:r>
      <w:r w:rsidRPr="00407B40">
        <w:t xml:space="preserve"> OMB considers questions about race</w:t>
      </w:r>
      <w:r w:rsidR="0013781B">
        <w:t>,</w:t>
      </w:r>
      <w:r w:rsidRPr="00407B40">
        <w:t xml:space="preserve"> ethnicity</w:t>
      </w:r>
      <w:r w:rsidR="00244B28">
        <w:t xml:space="preserve">, </w:t>
      </w:r>
      <w:r w:rsidRPr="00407B40" w:rsidR="0013781B">
        <w:t xml:space="preserve">and </w:t>
      </w:r>
      <w:r w:rsidR="00244B28">
        <w:t>sexual orientation</w:t>
      </w:r>
      <w:r w:rsidRPr="00407B40">
        <w:t xml:space="preserve"> to be sensitive</w:t>
      </w:r>
      <w:r w:rsidR="00BB7D15">
        <w:t>, but not highly sensitive</w:t>
      </w:r>
      <w:r w:rsidRPr="00407B40">
        <w:t xml:space="preserve">. </w:t>
      </w:r>
      <w:r w:rsidRPr="00B64F28" w:rsidR="000C3BFE">
        <w:rPr>
          <w:iCs/>
        </w:rPr>
        <w:t xml:space="preserve">None of the data reported on the </w:t>
      </w:r>
      <w:r w:rsidRPr="00B64F28" w:rsidR="00D8766C">
        <w:rPr>
          <w:iCs/>
        </w:rPr>
        <w:t xml:space="preserve">NQDW Quitline Services Survey </w:t>
      </w:r>
      <w:r w:rsidRPr="00B64F28" w:rsidR="000C3BFE">
        <w:rPr>
          <w:iCs/>
        </w:rPr>
        <w:t xml:space="preserve">by </w:t>
      </w:r>
      <w:r w:rsidRPr="00B64F28" w:rsidR="00956E5D">
        <w:rPr>
          <w:iCs/>
        </w:rPr>
        <w:t xml:space="preserve">CDC </w:t>
      </w:r>
      <w:r w:rsidRPr="00B64F28" w:rsidR="000C3BFE">
        <w:rPr>
          <w:iCs/>
        </w:rPr>
        <w:t>grantees is sensitive because these kinds of data are normally reported by grantees to maintain accountability in use of government resources.</w:t>
      </w:r>
      <w:r w:rsidRPr="00B64F28">
        <w:rPr>
          <w:iCs/>
        </w:rPr>
        <w:t xml:space="preserve"> </w:t>
      </w:r>
      <w:r w:rsidRPr="00B64F28" w:rsidR="00C60168">
        <w:rPr>
          <w:iCs/>
        </w:rPr>
        <w:t xml:space="preserve">Therefore, the data collection will have little or no effect on </w:t>
      </w:r>
      <w:r w:rsidRPr="00B64F28" w:rsidR="0031412C">
        <w:rPr>
          <w:iCs/>
        </w:rPr>
        <w:t>a</w:t>
      </w:r>
      <w:r w:rsidRPr="00B64F28" w:rsidR="00C60168">
        <w:rPr>
          <w:iCs/>
        </w:rPr>
        <w:t xml:space="preserve"> respondent’s privacy. Nevertheless, safeguards will be put in place to ensure that all collected data remain </w:t>
      </w:r>
      <w:r w:rsidRPr="00B64F28" w:rsidR="000366D7">
        <w:rPr>
          <w:iCs/>
        </w:rPr>
        <w:t>secure</w:t>
      </w:r>
      <w:r w:rsidRPr="00B64F28" w:rsidR="00C60168">
        <w:rPr>
          <w:iCs/>
        </w:rPr>
        <w:t xml:space="preserve">.  </w:t>
      </w:r>
    </w:p>
    <w:p w:rsidR="00BD125C" w:rsidP="00E3534D" w14:paraId="1D06C6E7" w14:textId="77777777">
      <w:pPr>
        <w:pStyle w:val="BodyTextIndent"/>
        <w:ind w:left="0" w:right="90" w:firstLine="720"/>
        <w:rPr>
          <w:b w:val="0"/>
        </w:rPr>
      </w:pPr>
    </w:p>
    <w:p w:rsidR="009265A7" w:rsidRPr="00EE3B48" w:rsidP="009265A7" w14:paraId="2F40A380" w14:textId="77777777">
      <w:pPr>
        <w:spacing w:after="240"/>
        <w:rPr>
          <w:b/>
          <w:bCs/>
        </w:rPr>
      </w:pPr>
      <w:r w:rsidRPr="00EE3B48">
        <w:rPr>
          <w:b/>
          <w:bCs/>
        </w:rPr>
        <w:t>A.12</w:t>
      </w:r>
      <w:r w:rsidRPr="00EE3B48">
        <w:rPr>
          <w:b/>
          <w:bCs/>
        </w:rPr>
        <w:tab/>
      </w:r>
      <w:r w:rsidRPr="00EE3B48">
        <w:rPr>
          <w:b/>
          <w:bCs/>
          <w:u w:val="single"/>
        </w:rPr>
        <w:t>ESTIMATES OF ANNUALIZED BURDEN HOURS AND COSTS</w:t>
      </w:r>
    </w:p>
    <w:p w:rsidR="009265A7" w:rsidRPr="00EE3B48" w:rsidP="009265A7" w14:paraId="5DCD23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b/>
          <w:u w:val="single"/>
        </w:rPr>
      </w:pPr>
      <w:r w:rsidRPr="00EE3B48">
        <w:rPr>
          <w:b/>
          <w:bCs/>
          <w:color w:val="000000"/>
          <w:u w:val="single"/>
        </w:rPr>
        <w:t>Estimated Burden Hours</w:t>
      </w:r>
      <w:r w:rsidRPr="00EE3B48">
        <w:rPr>
          <w:b/>
          <w:u w:val="single"/>
        </w:rPr>
        <w:t xml:space="preserve"> </w:t>
      </w:r>
    </w:p>
    <w:p w:rsidR="009265A7" w:rsidRPr="00EE3B48" w:rsidP="009265A7" w14:paraId="21D0A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009265A7" w:rsidRPr="00D520F9" w:rsidP="00D520F9" w14:paraId="5DC8D013" w14:textId="7A919843">
      <w:pPr>
        <w:spacing w:after="240"/>
        <w:ind w:firstLine="720"/>
        <w:rPr>
          <w:rFonts w:eastAsia="Calibri"/>
          <w:color w:val="000000"/>
        </w:rPr>
      </w:pPr>
      <w:r w:rsidRPr="00D520F9">
        <w:rPr>
          <w:rFonts w:eastAsia="Calibri"/>
          <w:color w:val="000000"/>
        </w:rPr>
        <w:t>OMB approval is requested for three years. The annualized estimates for the number of respondents and burden hours for this proposed OMB revision are sum</w:t>
      </w:r>
      <w:r w:rsidRPr="00D520F9" w:rsidR="00F23621">
        <w:rPr>
          <w:rFonts w:eastAsia="Calibri"/>
          <w:color w:val="000000"/>
        </w:rPr>
        <w:t xml:space="preserve">marized in Table A.12.a below. </w:t>
      </w:r>
      <w:r w:rsidRPr="00D520F9" w:rsidR="006845F4">
        <w:rPr>
          <w:rFonts w:eastAsia="Calibri"/>
          <w:color w:val="000000"/>
        </w:rPr>
        <w:t>T</w:t>
      </w:r>
      <w:r w:rsidRPr="00D520F9" w:rsidR="00D46157">
        <w:rPr>
          <w:rFonts w:eastAsia="Calibri"/>
          <w:color w:val="000000"/>
        </w:rPr>
        <w:t xml:space="preserve">he expected number of </w:t>
      </w:r>
      <w:r w:rsidRPr="00D520F9" w:rsidR="00DF4F4C">
        <w:rPr>
          <w:rFonts w:eastAsia="Calibri"/>
          <w:color w:val="000000"/>
        </w:rPr>
        <w:t>quitline</w:t>
      </w:r>
      <w:r w:rsidRPr="00D520F9" w:rsidR="00D46157">
        <w:rPr>
          <w:rFonts w:eastAsia="Calibri"/>
          <w:color w:val="000000"/>
        </w:rPr>
        <w:t xml:space="preserve">s reporting data to the NQDW in future OMB approval periods </w:t>
      </w:r>
      <w:r w:rsidRPr="00D520F9" w:rsidR="006845F4">
        <w:rPr>
          <w:rFonts w:eastAsia="Calibri"/>
          <w:color w:val="000000"/>
        </w:rPr>
        <w:t>will be</w:t>
      </w:r>
      <w:r w:rsidRPr="00D520F9" w:rsidR="00D46157">
        <w:rPr>
          <w:rFonts w:eastAsia="Calibri"/>
          <w:color w:val="000000"/>
        </w:rPr>
        <w:t xml:space="preserve"> 5</w:t>
      </w:r>
      <w:r w:rsidRPr="00D520F9" w:rsidR="006845F4">
        <w:rPr>
          <w:rFonts w:eastAsia="Calibri"/>
          <w:color w:val="000000"/>
        </w:rPr>
        <w:t>4</w:t>
      </w:r>
      <w:r w:rsidRPr="00D520F9" w:rsidR="00D46157">
        <w:rPr>
          <w:rFonts w:eastAsia="Calibri"/>
          <w:color w:val="000000"/>
        </w:rPr>
        <w:t xml:space="preserve"> (</w:t>
      </w:r>
      <w:r w:rsidRPr="00D520F9" w:rsidR="006845F4">
        <w:rPr>
          <w:rFonts w:eastAsia="Calibri"/>
          <w:color w:val="000000"/>
        </w:rPr>
        <w:t>50</w:t>
      </w:r>
      <w:r w:rsidRPr="00D520F9" w:rsidR="00D46157">
        <w:rPr>
          <w:rFonts w:eastAsia="Calibri"/>
          <w:color w:val="000000"/>
        </w:rPr>
        <w:t xml:space="preserve"> states, the District of Columbia, Guam, Puerto Rico, and the ASQ). </w:t>
      </w:r>
      <w:r w:rsidRPr="00D520F9">
        <w:rPr>
          <w:rFonts w:eastAsia="Calibri"/>
          <w:color w:val="000000"/>
        </w:rPr>
        <w:t>The burden table includes allo</w:t>
      </w:r>
      <w:r w:rsidRPr="00D520F9" w:rsidR="00F23621">
        <w:rPr>
          <w:rFonts w:eastAsia="Calibri"/>
          <w:color w:val="000000"/>
        </w:rPr>
        <w:t xml:space="preserve">cations for the time that the </w:t>
      </w:r>
      <w:r w:rsidRPr="00D520F9" w:rsidR="006845F4">
        <w:rPr>
          <w:rFonts w:eastAsia="Calibri"/>
          <w:color w:val="000000"/>
        </w:rPr>
        <w:t>50</w:t>
      </w:r>
      <w:r w:rsidRPr="00D520F9">
        <w:rPr>
          <w:rFonts w:eastAsia="Calibri"/>
          <w:color w:val="000000"/>
        </w:rPr>
        <w:t xml:space="preserve"> states, DC, Guam, Puerto Rico, and the ASQ spend administering intake and follow-up interviews (</w:t>
      </w:r>
      <w:r w:rsidRPr="00D520F9" w:rsidR="00F23621">
        <w:rPr>
          <w:rFonts w:eastAsia="Calibri"/>
          <w:color w:val="000000"/>
        </w:rPr>
        <w:t xml:space="preserve">ASQ only) to </w:t>
      </w:r>
      <w:r w:rsidRPr="00D520F9" w:rsidR="00DF4F4C">
        <w:rPr>
          <w:rFonts w:eastAsia="Calibri"/>
          <w:color w:val="000000"/>
        </w:rPr>
        <w:t>quitline</w:t>
      </w:r>
      <w:r w:rsidRPr="00D520F9" w:rsidR="00F23621">
        <w:rPr>
          <w:rFonts w:eastAsia="Calibri"/>
          <w:color w:val="000000"/>
        </w:rPr>
        <w:t xml:space="preserve"> callers. </w:t>
      </w:r>
      <w:r w:rsidRPr="00D520F9">
        <w:rPr>
          <w:rFonts w:eastAsia="Calibri"/>
          <w:color w:val="000000"/>
        </w:rPr>
        <w:t>The burden table also</w:t>
      </w:r>
      <w:r w:rsidRPr="00D520F9" w:rsidR="00F23621">
        <w:rPr>
          <w:rFonts w:eastAsia="Calibri"/>
          <w:color w:val="000000"/>
        </w:rPr>
        <w:t xml:space="preserve"> includes allocations for the </w:t>
      </w:r>
      <w:r w:rsidRPr="00D520F9" w:rsidR="006845F4">
        <w:rPr>
          <w:rFonts w:eastAsia="Calibri"/>
          <w:color w:val="000000"/>
        </w:rPr>
        <w:t>50</w:t>
      </w:r>
      <w:r w:rsidRPr="00D520F9">
        <w:rPr>
          <w:rFonts w:eastAsia="Calibri"/>
          <w:color w:val="000000"/>
        </w:rPr>
        <w:t xml:space="preserve"> states, DC, Guam, Puerto Rico, and the ASQ to compile and submit aggregate files and service summaries to CDC.</w:t>
      </w:r>
      <w:r w:rsidRPr="00D520F9" w:rsidR="00A1543F">
        <w:rPr>
          <w:rFonts w:eastAsia="Calibri"/>
          <w:color w:val="000000"/>
        </w:rPr>
        <w:t xml:space="preserve"> </w:t>
      </w:r>
    </w:p>
    <w:p w:rsidR="005946C9" w:rsidRPr="00D520F9" w:rsidP="00D520F9" w14:paraId="27349C6C" w14:textId="0783B96C">
      <w:pPr>
        <w:spacing w:after="240"/>
        <w:ind w:firstLine="720"/>
        <w:rPr>
          <w:rFonts w:eastAsia="Calibri"/>
        </w:rPr>
      </w:pPr>
      <w:r w:rsidRPr="00D520F9">
        <w:rPr>
          <w:rFonts w:eastAsia="Calibri"/>
        </w:rPr>
        <w:t xml:space="preserve">Two versions of the NQDW Intake Questionnaire will be administered to </w:t>
      </w:r>
      <w:r w:rsidRPr="00D520F9" w:rsidR="00F23621">
        <w:rPr>
          <w:rFonts w:eastAsia="Calibri"/>
        </w:rPr>
        <w:t>participants</w:t>
      </w:r>
      <w:r w:rsidRPr="00D520F9">
        <w:rPr>
          <w:rFonts w:eastAsia="Calibri"/>
        </w:rPr>
        <w:t xml:space="preserve"> through Computer-Assist</w:t>
      </w:r>
      <w:r w:rsidRPr="00D520F9" w:rsidR="00F23621">
        <w:rPr>
          <w:rFonts w:eastAsia="Calibri"/>
        </w:rPr>
        <w:t>ed Telephone Interview (CATI)</w:t>
      </w:r>
      <w:r w:rsidRPr="00D520F9">
        <w:rPr>
          <w:rFonts w:eastAsia="Calibri"/>
        </w:rPr>
        <w:t xml:space="preserve"> or via online methods</w:t>
      </w:r>
      <w:r w:rsidRPr="00D520F9" w:rsidR="00F23621">
        <w:rPr>
          <w:rFonts w:eastAsia="Calibri"/>
        </w:rPr>
        <w:t xml:space="preserve">. </w:t>
      </w:r>
      <w:r w:rsidRPr="00D520F9">
        <w:rPr>
          <w:rFonts w:eastAsia="Calibri"/>
        </w:rPr>
        <w:t xml:space="preserve">The complete questionnaire will be administered to </w:t>
      </w:r>
      <w:r w:rsidRPr="00D520F9" w:rsidR="00F23621">
        <w:rPr>
          <w:rFonts w:eastAsia="Calibri"/>
        </w:rPr>
        <w:t>participants</w:t>
      </w:r>
      <w:r w:rsidRPr="00D520F9">
        <w:rPr>
          <w:rFonts w:eastAsia="Calibri"/>
        </w:rPr>
        <w:t xml:space="preserve"> who contact a quitline on their own behalf</w:t>
      </w:r>
      <w:r w:rsidR="00B30840">
        <w:rPr>
          <w:rFonts w:eastAsia="Calibri"/>
        </w:rPr>
        <w:t xml:space="preserve">. </w:t>
      </w:r>
      <w:r w:rsidRPr="00D520F9">
        <w:rPr>
          <w:rFonts w:eastAsia="Calibri"/>
        </w:rPr>
        <w:t xml:space="preserve">The complete intake questionnaire will be administered by the </w:t>
      </w:r>
      <w:r w:rsidRPr="00D520F9" w:rsidR="006845F4">
        <w:rPr>
          <w:rFonts w:eastAsia="Calibri"/>
        </w:rPr>
        <w:t>50</w:t>
      </w:r>
      <w:r w:rsidRPr="00D520F9">
        <w:rPr>
          <w:rFonts w:eastAsia="Calibri"/>
        </w:rPr>
        <w:t xml:space="preserve"> states, DC, Guam, and Puerto Rico (see </w:t>
      </w:r>
      <w:r w:rsidRPr="00D520F9" w:rsidR="00C66F8E">
        <w:rPr>
          <w:rFonts w:eastAsia="Calibri"/>
        </w:rPr>
        <w:t>Attachment</w:t>
      </w:r>
      <w:r w:rsidRPr="00D520F9">
        <w:rPr>
          <w:rFonts w:eastAsia="Calibri"/>
        </w:rPr>
        <w:t xml:space="preserve"> </w:t>
      </w:r>
      <w:r w:rsidRPr="00D520F9" w:rsidR="00CB739A">
        <w:rPr>
          <w:rFonts w:eastAsia="Calibri"/>
        </w:rPr>
        <w:t>C</w:t>
      </w:r>
      <w:r w:rsidRPr="00D520F9" w:rsidR="00CB2A17">
        <w:rPr>
          <w:rFonts w:eastAsia="Calibri"/>
        </w:rPr>
        <w:t>-1</w:t>
      </w:r>
      <w:r w:rsidRPr="00D520F9">
        <w:rPr>
          <w:rFonts w:eastAsia="Calibri"/>
        </w:rPr>
        <w:t xml:space="preserve">, in English). The estimated number of respondents is </w:t>
      </w:r>
      <w:r w:rsidRPr="00D520F9">
        <w:rPr>
          <w:rFonts w:eastAsia="Calibri"/>
        </w:rPr>
        <w:t>40</w:t>
      </w:r>
      <w:r w:rsidRPr="00D520F9" w:rsidR="00002B16">
        <w:rPr>
          <w:rFonts w:eastAsia="Calibri"/>
        </w:rPr>
        <w:t>5,053</w:t>
      </w:r>
      <w:r w:rsidRPr="00D520F9" w:rsidR="00F23621">
        <w:rPr>
          <w:rFonts w:eastAsia="Calibri"/>
        </w:rPr>
        <w:t xml:space="preserve"> </w:t>
      </w:r>
      <w:r w:rsidRPr="00D520F9">
        <w:rPr>
          <w:rFonts w:eastAsia="Calibri"/>
        </w:rPr>
        <w:t>based on</w:t>
      </w:r>
      <w:r w:rsidRPr="00D520F9" w:rsidR="00F23621">
        <w:rPr>
          <w:rFonts w:eastAsia="Calibri"/>
        </w:rPr>
        <w:t xml:space="preserve"> 2019</w:t>
      </w:r>
      <w:r w:rsidRPr="00D520F9">
        <w:rPr>
          <w:rFonts w:eastAsia="Calibri"/>
        </w:rPr>
        <w:t xml:space="preserve"> caller data and feedback from a key vendor indicating that 72% of respondents complete the intake </w:t>
      </w:r>
      <w:r w:rsidRPr="00D520F9" w:rsidR="008623D7">
        <w:rPr>
          <w:rFonts w:eastAsia="Calibri"/>
        </w:rPr>
        <w:t xml:space="preserve">questionnaire </w:t>
      </w:r>
      <w:r w:rsidRPr="00D520F9">
        <w:rPr>
          <w:rFonts w:eastAsia="Calibri"/>
        </w:rPr>
        <w:t>over the phone versus 28% who complete it online; approximately 2</w:t>
      </w:r>
      <w:r w:rsidRPr="00D520F9" w:rsidR="00185295">
        <w:rPr>
          <w:rFonts w:eastAsia="Calibri"/>
        </w:rPr>
        <w:t>91</w:t>
      </w:r>
      <w:r w:rsidRPr="00D520F9" w:rsidR="00B340A4">
        <w:rPr>
          <w:rFonts w:eastAsia="Calibri"/>
        </w:rPr>
        <w:t>,638</w:t>
      </w:r>
      <w:r w:rsidRPr="00D520F9">
        <w:rPr>
          <w:rFonts w:eastAsia="Calibri"/>
        </w:rPr>
        <w:t xml:space="preserve"> partic</w:t>
      </w:r>
      <w:r w:rsidRPr="00D520F9" w:rsidR="008623D7">
        <w:rPr>
          <w:rFonts w:eastAsia="Calibri"/>
        </w:rPr>
        <w:t>i</w:t>
      </w:r>
      <w:r w:rsidRPr="00D520F9">
        <w:rPr>
          <w:rFonts w:eastAsia="Calibri"/>
        </w:rPr>
        <w:t xml:space="preserve">pants called into a quitline in 2019, indicating that </w:t>
      </w:r>
      <w:r w:rsidRPr="00D520F9" w:rsidR="00333796">
        <w:rPr>
          <w:rFonts w:eastAsia="Calibri"/>
        </w:rPr>
        <w:t xml:space="preserve">an estimated </w:t>
      </w:r>
      <w:r w:rsidRPr="00D520F9">
        <w:rPr>
          <w:rFonts w:eastAsia="Calibri"/>
        </w:rPr>
        <w:t>40</w:t>
      </w:r>
      <w:r w:rsidRPr="00D520F9" w:rsidR="00220C9B">
        <w:rPr>
          <w:rFonts w:eastAsia="Calibri"/>
        </w:rPr>
        <w:t>5,053</w:t>
      </w:r>
      <w:r w:rsidRPr="00D520F9">
        <w:rPr>
          <w:rFonts w:eastAsia="Calibri"/>
        </w:rPr>
        <w:t xml:space="preserve"> total participants complete</w:t>
      </w:r>
      <w:r w:rsidRPr="00D520F9" w:rsidR="008623D7">
        <w:rPr>
          <w:rFonts w:eastAsia="Calibri"/>
        </w:rPr>
        <w:t>d</w:t>
      </w:r>
      <w:r w:rsidRPr="00D520F9">
        <w:rPr>
          <w:rFonts w:eastAsia="Calibri"/>
        </w:rPr>
        <w:t xml:space="preserve"> the </w:t>
      </w:r>
      <w:r w:rsidRPr="00D520F9" w:rsidR="008623D7">
        <w:rPr>
          <w:rFonts w:eastAsia="Calibri"/>
        </w:rPr>
        <w:t>questionnaire</w:t>
      </w:r>
      <w:r w:rsidRPr="00D520F9">
        <w:rPr>
          <w:rFonts w:eastAsia="Calibri"/>
        </w:rPr>
        <w:t xml:space="preserve"> (</w:t>
      </w:r>
      <w:r w:rsidRPr="00D520F9" w:rsidR="008623D7">
        <w:rPr>
          <w:rFonts w:eastAsia="Calibri"/>
        </w:rPr>
        <w:t>2</w:t>
      </w:r>
      <w:r w:rsidRPr="00D520F9" w:rsidR="006E1E13">
        <w:rPr>
          <w:rFonts w:eastAsia="Calibri"/>
        </w:rPr>
        <w:t>91,638</w:t>
      </w:r>
      <w:r w:rsidRPr="00D520F9" w:rsidR="008623D7">
        <w:rPr>
          <w:rFonts w:eastAsia="Calibri"/>
        </w:rPr>
        <w:t>*100/72 = 40</w:t>
      </w:r>
      <w:r w:rsidRPr="00D520F9" w:rsidR="006E1E13">
        <w:rPr>
          <w:rFonts w:eastAsia="Calibri"/>
        </w:rPr>
        <w:t>5,053</w:t>
      </w:r>
      <w:r w:rsidRPr="00D520F9" w:rsidR="008623D7">
        <w:rPr>
          <w:rFonts w:eastAsia="Calibri"/>
        </w:rPr>
        <w:t>)</w:t>
      </w:r>
      <w:r w:rsidRPr="00D520F9" w:rsidR="000677E1">
        <w:rPr>
          <w:rFonts w:eastAsia="Calibri"/>
        </w:rPr>
        <w:t>.</w:t>
      </w:r>
      <w:r w:rsidRPr="00D520F9" w:rsidR="00283C1F">
        <w:rPr>
          <w:rFonts w:eastAsia="Calibri"/>
        </w:rPr>
        <w:t xml:space="preserve"> </w:t>
      </w:r>
      <w:r w:rsidRPr="00D520F9" w:rsidR="00260E2F">
        <w:rPr>
          <w:rFonts w:eastAsia="Calibri"/>
        </w:rPr>
        <w:t xml:space="preserve">Pending approval of this revision request, quitlines will </w:t>
      </w:r>
      <w:r w:rsidRPr="00D520F9" w:rsidR="009B11D8">
        <w:rPr>
          <w:rFonts w:eastAsia="Calibri"/>
        </w:rPr>
        <w:t>be able to begin reporting on</w:t>
      </w:r>
      <w:r w:rsidRPr="00D520F9" w:rsidR="00260E2F">
        <w:rPr>
          <w:rFonts w:eastAsia="Calibri"/>
        </w:rPr>
        <w:t xml:space="preserve"> </w:t>
      </w:r>
      <w:r w:rsidRPr="00D520F9" w:rsidR="00283C1F">
        <w:rPr>
          <w:rFonts w:eastAsia="Calibri"/>
        </w:rPr>
        <w:t>the</w:t>
      </w:r>
      <w:r w:rsidRPr="00D520F9" w:rsidR="007F1A4F">
        <w:rPr>
          <w:rFonts w:eastAsia="Calibri"/>
        </w:rPr>
        <w:t xml:space="preserve"> estimated </w:t>
      </w:r>
      <w:r w:rsidRPr="00D520F9" w:rsidR="008623D7">
        <w:rPr>
          <w:rFonts w:eastAsia="Calibri"/>
        </w:rPr>
        <w:t>11</w:t>
      </w:r>
      <w:r w:rsidRPr="00D520F9" w:rsidR="00BF4720">
        <w:rPr>
          <w:rFonts w:eastAsia="Calibri"/>
        </w:rPr>
        <w:t>3,41</w:t>
      </w:r>
      <w:r w:rsidR="00814349">
        <w:rPr>
          <w:rFonts w:eastAsia="Calibri"/>
        </w:rPr>
        <w:t>5</w:t>
      </w:r>
      <w:r w:rsidRPr="00D520F9" w:rsidR="008623D7">
        <w:rPr>
          <w:rFonts w:eastAsia="Calibri"/>
        </w:rPr>
        <w:t xml:space="preserve"> </w:t>
      </w:r>
      <w:r w:rsidRPr="00D520F9" w:rsidR="009B11D8">
        <w:rPr>
          <w:rFonts w:eastAsia="Calibri"/>
        </w:rPr>
        <w:t xml:space="preserve">participants that </w:t>
      </w:r>
      <w:r w:rsidRPr="00D520F9" w:rsidR="008623D7">
        <w:rPr>
          <w:rFonts w:eastAsia="Calibri"/>
        </w:rPr>
        <w:t>completed the questionnaire online (</w:t>
      </w:r>
      <w:r w:rsidRPr="00D520F9" w:rsidR="00BF4720">
        <w:rPr>
          <w:rFonts w:eastAsia="Calibri"/>
        </w:rPr>
        <w:t>405,053</w:t>
      </w:r>
      <w:r w:rsidRPr="00D520F9" w:rsidR="005F2717">
        <w:rPr>
          <w:rFonts w:eastAsia="Calibri"/>
        </w:rPr>
        <w:t>-291,638=113,415</w:t>
      </w:r>
      <w:r w:rsidRPr="00D520F9" w:rsidR="008623D7">
        <w:rPr>
          <w:rFonts w:eastAsia="Calibri"/>
        </w:rPr>
        <w:t>).</w:t>
      </w:r>
    </w:p>
    <w:p w:rsidR="009265A7" w:rsidRPr="00D520F9" w:rsidP="00D520F9" w14:paraId="7BE34476" w14:textId="21B6A094">
      <w:pPr>
        <w:spacing w:after="240"/>
        <w:ind w:firstLine="720"/>
        <w:rPr>
          <w:rFonts w:eastAsia="Calibri"/>
        </w:rPr>
      </w:pPr>
      <w:r w:rsidRPr="00D520F9">
        <w:rPr>
          <w:rFonts w:eastAsia="Calibri"/>
        </w:rPr>
        <w:t>P</w:t>
      </w:r>
      <w:r w:rsidRPr="00D520F9" w:rsidR="00F23621">
        <w:rPr>
          <w:rFonts w:eastAsia="Calibri"/>
        </w:rPr>
        <w:t>articipants</w:t>
      </w:r>
      <w:r w:rsidRPr="00D520F9">
        <w:rPr>
          <w:rFonts w:eastAsia="Calibri"/>
        </w:rPr>
        <w:t xml:space="preserve"> who prefer to receive quitline services in Chinese, Korean, or Vietnames</w:t>
      </w:r>
      <w:r w:rsidRPr="00D520F9" w:rsidR="00F23621">
        <w:rPr>
          <w:rFonts w:eastAsia="Calibri"/>
        </w:rPr>
        <w:t>e</w:t>
      </w:r>
      <w:r w:rsidRPr="00D520F9">
        <w:rPr>
          <w:rFonts w:eastAsia="Calibri"/>
        </w:rPr>
        <w:t xml:space="preserve"> will be referred to the Asian Smokers Quitlin</w:t>
      </w:r>
      <w:r w:rsidRPr="00D520F9" w:rsidR="00F23621">
        <w:rPr>
          <w:rFonts w:eastAsia="Calibri"/>
        </w:rPr>
        <w:t xml:space="preserve">e (see </w:t>
      </w:r>
      <w:r w:rsidRPr="00D520F9" w:rsidR="00DD1D83">
        <w:rPr>
          <w:rFonts w:eastAsia="Calibri"/>
        </w:rPr>
        <w:t>Attachments</w:t>
      </w:r>
      <w:r w:rsidRPr="00D520F9" w:rsidR="00F23621">
        <w:rPr>
          <w:rFonts w:eastAsia="Calibri"/>
        </w:rPr>
        <w:t xml:space="preserve"> </w:t>
      </w:r>
      <w:r w:rsidRPr="00D520F9" w:rsidR="00CB739A">
        <w:rPr>
          <w:rFonts w:eastAsia="Calibri"/>
        </w:rPr>
        <w:t>C-2 to C-4</w:t>
      </w:r>
      <w:r w:rsidRPr="00D520F9" w:rsidR="00F23621">
        <w:rPr>
          <w:rFonts w:eastAsia="Calibri"/>
        </w:rPr>
        <w:t xml:space="preserve">). </w:t>
      </w:r>
      <w:r w:rsidRPr="00D520F9">
        <w:rPr>
          <w:rFonts w:eastAsia="Calibri"/>
        </w:rPr>
        <w:t xml:space="preserve">The estimated number of </w:t>
      </w:r>
      <w:r w:rsidRPr="00D520F9" w:rsidR="008623D7">
        <w:rPr>
          <w:rFonts w:eastAsia="Calibri"/>
        </w:rPr>
        <w:t>respondents</w:t>
      </w:r>
      <w:r w:rsidRPr="00D520F9">
        <w:rPr>
          <w:rFonts w:eastAsia="Calibri"/>
        </w:rPr>
        <w:t xml:space="preserve"> for the ASQ is </w:t>
      </w:r>
      <w:r w:rsidRPr="00D520F9" w:rsidR="00F23621">
        <w:rPr>
          <w:rFonts w:eastAsia="Calibri"/>
        </w:rPr>
        <w:t>1,</w:t>
      </w:r>
      <w:r w:rsidRPr="00D520F9" w:rsidR="008623D7">
        <w:rPr>
          <w:rFonts w:eastAsia="Calibri"/>
        </w:rPr>
        <w:t>686</w:t>
      </w:r>
      <w:r w:rsidRPr="00D520F9" w:rsidR="00F23621">
        <w:rPr>
          <w:rFonts w:eastAsia="Calibri"/>
        </w:rPr>
        <w:t>, based on data from 2019</w:t>
      </w:r>
      <w:r w:rsidRPr="00D520F9" w:rsidR="008623D7">
        <w:rPr>
          <w:rFonts w:eastAsia="Calibri"/>
        </w:rPr>
        <w:t xml:space="preserve"> and web-use expectations</w:t>
      </w:r>
      <w:r w:rsidRPr="00D520F9" w:rsidR="00F23621">
        <w:rPr>
          <w:rFonts w:eastAsia="Calibri"/>
        </w:rPr>
        <w:t>.</w:t>
      </w:r>
      <w:r w:rsidRPr="00D520F9">
        <w:rPr>
          <w:rFonts w:eastAsia="Calibri"/>
        </w:rPr>
        <w:t xml:space="preserve"> For all </w:t>
      </w:r>
      <w:r w:rsidRPr="00D520F9" w:rsidR="003F7835">
        <w:rPr>
          <w:rFonts w:eastAsia="Calibri"/>
        </w:rPr>
        <w:t>participant</w:t>
      </w:r>
      <w:r w:rsidRPr="00D520F9">
        <w:rPr>
          <w:rFonts w:eastAsia="Calibri"/>
        </w:rPr>
        <w:t xml:space="preserve">s, the estimated burden per response for a complete intake call is 10 minutes.  </w:t>
      </w:r>
    </w:p>
    <w:p w:rsidR="009265A7" w:rsidRPr="00D520F9" w:rsidP="00D520F9" w14:paraId="58C661B8" w14:textId="6B49F37B">
      <w:pPr>
        <w:spacing w:after="240"/>
        <w:ind w:firstLine="720"/>
        <w:rPr>
          <w:rFonts w:eastAsia="Calibri"/>
        </w:rPr>
      </w:pPr>
      <w:r w:rsidRPr="00D520F9">
        <w:rPr>
          <w:rFonts w:eastAsia="Calibri"/>
        </w:rPr>
        <w:t xml:space="preserve">An abbreviated version of the Intake Questionnaire will be administered to </w:t>
      </w:r>
      <w:r w:rsidRPr="00D520F9" w:rsidR="003F7835">
        <w:rPr>
          <w:rFonts w:eastAsia="Calibri"/>
        </w:rPr>
        <w:t>participant</w:t>
      </w:r>
      <w:r w:rsidRPr="00D520F9">
        <w:rPr>
          <w:rFonts w:eastAsia="Calibri"/>
        </w:rPr>
        <w:t xml:space="preserve">s who contact the </w:t>
      </w:r>
      <w:r w:rsidRPr="00D520F9" w:rsidR="00DF4F4C">
        <w:rPr>
          <w:rFonts w:eastAsia="Calibri"/>
        </w:rPr>
        <w:t>quitline</w:t>
      </w:r>
      <w:r w:rsidRPr="00D520F9">
        <w:rPr>
          <w:rFonts w:eastAsia="Calibri"/>
        </w:rPr>
        <w:t xml:space="preserve"> on behalf of another person (approximately </w:t>
      </w:r>
      <w:r w:rsidRPr="00D520F9" w:rsidR="005E41BE">
        <w:rPr>
          <w:rFonts w:eastAsia="Calibri"/>
        </w:rPr>
        <w:t>0.3</w:t>
      </w:r>
      <w:r w:rsidRPr="00D520F9">
        <w:rPr>
          <w:rFonts w:eastAsia="Calibri"/>
        </w:rPr>
        <w:t xml:space="preserve">%, which is an estimated </w:t>
      </w:r>
      <w:r w:rsidRPr="00D520F9" w:rsidR="005E41BE">
        <w:rPr>
          <w:rFonts w:eastAsia="Calibri"/>
        </w:rPr>
        <w:t>1,068</w:t>
      </w:r>
      <w:r w:rsidRPr="00D520F9">
        <w:rPr>
          <w:rFonts w:eastAsia="Calibri"/>
        </w:rPr>
        <w:t xml:space="preserve"> per year)</w:t>
      </w:r>
      <w:r w:rsidRPr="00D520F9" w:rsidR="005946C9">
        <w:rPr>
          <w:rFonts w:eastAsia="Calibri"/>
        </w:rPr>
        <w:t xml:space="preserve">. </w:t>
      </w:r>
      <w:r w:rsidRPr="00D520F9">
        <w:rPr>
          <w:rFonts w:eastAsia="Calibri"/>
        </w:rPr>
        <w:t xml:space="preserve">Of these </w:t>
      </w:r>
      <w:r w:rsidRPr="00D520F9" w:rsidR="003F7835">
        <w:rPr>
          <w:rFonts w:eastAsia="Calibri"/>
        </w:rPr>
        <w:t>participant</w:t>
      </w:r>
      <w:r w:rsidRPr="00D520F9">
        <w:rPr>
          <w:rFonts w:eastAsia="Calibri"/>
        </w:rPr>
        <w:t xml:space="preserve">s, </w:t>
      </w:r>
      <w:r w:rsidRPr="00D520F9" w:rsidR="008623D7">
        <w:rPr>
          <w:rFonts w:eastAsia="Calibri"/>
        </w:rPr>
        <w:t>819</w:t>
      </w:r>
      <w:r w:rsidRPr="00D520F9">
        <w:rPr>
          <w:rFonts w:eastAsia="Calibri"/>
        </w:rPr>
        <w:t xml:space="preserve"> will be served through </w:t>
      </w:r>
      <w:r w:rsidRPr="00D520F9" w:rsidR="00AA48A5">
        <w:rPr>
          <w:rFonts w:eastAsia="Calibri"/>
        </w:rPr>
        <w:t>50</w:t>
      </w:r>
      <w:r w:rsidRPr="00D520F9">
        <w:rPr>
          <w:rFonts w:eastAsia="Calibri"/>
        </w:rPr>
        <w:t xml:space="preserve"> states, DC, Guam, or Puerto Rico (see </w:t>
      </w:r>
      <w:r w:rsidRPr="00D520F9" w:rsidR="00C66F8E">
        <w:rPr>
          <w:rFonts w:eastAsia="Calibri"/>
        </w:rPr>
        <w:t>Attachment</w:t>
      </w:r>
      <w:r w:rsidRPr="00D520F9">
        <w:rPr>
          <w:rFonts w:eastAsia="Calibri"/>
        </w:rPr>
        <w:t xml:space="preserve"> </w:t>
      </w:r>
      <w:r w:rsidRPr="00D520F9" w:rsidR="000770FC">
        <w:rPr>
          <w:rFonts w:eastAsia="Calibri"/>
        </w:rPr>
        <w:t>D</w:t>
      </w:r>
      <w:r w:rsidRPr="00D520F9" w:rsidR="00F114EC">
        <w:rPr>
          <w:rFonts w:eastAsia="Calibri"/>
        </w:rPr>
        <w:t>-</w:t>
      </w:r>
      <w:r w:rsidRPr="00D520F9" w:rsidR="00955504">
        <w:rPr>
          <w:rFonts w:eastAsia="Calibri"/>
        </w:rPr>
        <w:t>1</w:t>
      </w:r>
      <w:r w:rsidRPr="00D520F9" w:rsidR="000770FC">
        <w:rPr>
          <w:rFonts w:eastAsia="Calibri"/>
        </w:rPr>
        <w:t>,</w:t>
      </w:r>
      <w:r w:rsidRPr="00D520F9">
        <w:rPr>
          <w:rFonts w:eastAsia="Calibri"/>
        </w:rPr>
        <w:t xml:space="preserve"> in English) and </w:t>
      </w:r>
      <w:r w:rsidRPr="00D520F9" w:rsidR="008623D7">
        <w:rPr>
          <w:rFonts w:eastAsia="Calibri"/>
        </w:rPr>
        <w:t>249</w:t>
      </w:r>
      <w:r w:rsidRPr="00D520F9">
        <w:rPr>
          <w:rFonts w:eastAsia="Calibri"/>
        </w:rPr>
        <w:t xml:space="preserve"> will be served through the ASQ (see </w:t>
      </w:r>
      <w:r w:rsidRPr="00D520F9" w:rsidR="00C66F8E">
        <w:rPr>
          <w:rFonts w:eastAsia="Calibri"/>
        </w:rPr>
        <w:t>Attachment</w:t>
      </w:r>
      <w:r w:rsidRPr="00D520F9">
        <w:rPr>
          <w:rFonts w:eastAsia="Calibri"/>
        </w:rPr>
        <w:t xml:space="preserve"> </w:t>
      </w:r>
      <w:r w:rsidRPr="00D520F9" w:rsidR="00955504">
        <w:rPr>
          <w:rFonts w:eastAsia="Calibri"/>
        </w:rPr>
        <w:t>D-2</w:t>
      </w:r>
      <w:r w:rsidRPr="00D520F9">
        <w:rPr>
          <w:rFonts w:eastAsia="Calibri"/>
        </w:rPr>
        <w:t xml:space="preserve">, </w:t>
      </w:r>
      <w:r w:rsidRPr="00D520F9" w:rsidR="00955504">
        <w:rPr>
          <w:rFonts w:eastAsia="Calibri"/>
        </w:rPr>
        <w:t>D-3</w:t>
      </w:r>
      <w:r w:rsidRPr="00D520F9">
        <w:rPr>
          <w:rFonts w:eastAsia="Calibri"/>
        </w:rPr>
        <w:t xml:space="preserve">, and </w:t>
      </w:r>
      <w:r w:rsidRPr="00D520F9" w:rsidR="00955504">
        <w:rPr>
          <w:rFonts w:eastAsia="Calibri"/>
        </w:rPr>
        <w:t>D-4</w:t>
      </w:r>
      <w:r w:rsidRPr="00D520F9">
        <w:rPr>
          <w:rFonts w:eastAsia="Calibri"/>
        </w:rPr>
        <w:t xml:space="preserve"> in Chinese, Korean, and Vietn</w:t>
      </w:r>
      <w:r w:rsidRPr="00D520F9" w:rsidR="005946C9">
        <w:rPr>
          <w:rFonts w:eastAsia="Calibri"/>
        </w:rPr>
        <w:t xml:space="preserve">amese, respectively). </w:t>
      </w:r>
      <w:r w:rsidRPr="00D520F9">
        <w:rPr>
          <w:rFonts w:eastAsia="Calibri"/>
        </w:rPr>
        <w:t>The abbreviated</w:t>
      </w:r>
      <w:r w:rsidRPr="00D520F9" w:rsidR="0004079A">
        <w:rPr>
          <w:rFonts w:eastAsia="Calibri"/>
        </w:rPr>
        <w:t xml:space="preserve"> version consists of the first three</w:t>
      </w:r>
      <w:r w:rsidRPr="00D520F9">
        <w:rPr>
          <w:rFonts w:eastAsia="Calibri"/>
        </w:rPr>
        <w:t xml:space="preserve"> questions of the intake interview. The estimated burden per response for these </w:t>
      </w:r>
      <w:r w:rsidRPr="00D520F9" w:rsidR="003F7835">
        <w:rPr>
          <w:rFonts w:eastAsia="Calibri"/>
        </w:rPr>
        <w:t>participant</w:t>
      </w:r>
      <w:r w:rsidRPr="00D520F9">
        <w:rPr>
          <w:rFonts w:eastAsia="Calibri"/>
        </w:rPr>
        <w:t>s is 1 minute.</w:t>
      </w:r>
    </w:p>
    <w:p w:rsidR="009265A7" w:rsidRPr="00D520F9" w:rsidP="00D520F9" w14:paraId="4D9FBD9D" w14:textId="7FD917ED">
      <w:pPr>
        <w:spacing w:after="240"/>
        <w:ind w:firstLine="720"/>
        <w:rPr>
          <w:rFonts w:eastAsia="Calibri"/>
        </w:rPr>
      </w:pPr>
      <w:r w:rsidRPr="00D520F9">
        <w:rPr>
          <w:rFonts w:eastAsia="Calibri"/>
        </w:rPr>
        <w:t xml:space="preserve">The Asian Smokers Quitline will administer a 7-Month Follow-up Questionnaire to </w:t>
      </w:r>
      <w:r w:rsidRPr="00D520F9" w:rsidR="003F7835">
        <w:rPr>
          <w:rFonts w:eastAsia="Calibri"/>
        </w:rPr>
        <w:t>participant</w:t>
      </w:r>
      <w:r w:rsidRPr="00D520F9">
        <w:rPr>
          <w:rFonts w:eastAsia="Calibri"/>
        </w:rPr>
        <w:t>s who complete their intake call through the</w:t>
      </w:r>
      <w:r w:rsidRPr="00D520F9" w:rsidR="002B1C77">
        <w:rPr>
          <w:rFonts w:eastAsia="Calibri"/>
        </w:rPr>
        <w:t xml:space="preserve"> ASQ (see </w:t>
      </w:r>
      <w:r w:rsidRPr="00D520F9" w:rsidR="00C66F8E">
        <w:rPr>
          <w:rFonts w:eastAsia="Calibri"/>
        </w:rPr>
        <w:t>Attachment</w:t>
      </w:r>
      <w:r w:rsidRPr="00D520F9" w:rsidR="002B1C77">
        <w:rPr>
          <w:rFonts w:eastAsia="Calibri"/>
        </w:rPr>
        <w:t xml:space="preserve"> </w:t>
      </w:r>
      <w:r w:rsidRPr="00D520F9" w:rsidR="00666F94">
        <w:rPr>
          <w:rFonts w:eastAsia="Calibri"/>
        </w:rPr>
        <w:t>E</w:t>
      </w:r>
      <w:r w:rsidRPr="00D520F9" w:rsidR="002B1C77">
        <w:rPr>
          <w:rFonts w:eastAsia="Calibri"/>
        </w:rPr>
        <w:t>-</w:t>
      </w:r>
      <w:r w:rsidRPr="00D520F9" w:rsidR="008C051E">
        <w:rPr>
          <w:rFonts w:eastAsia="Calibri"/>
        </w:rPr>
        <w:t>1</w:t>
      </w:r>
      <w:r w:rsidRPr="00D520F9" w:rsidR="002B1C77">
        <w:rPr>
          <w:rFonts w:eastAsia="Calibri"/>
        </w:rPr>
        <w:t xml:space="preserve"> to </w:t>
      </w:r>
      <w:r w:rsidRPr="00D520F9" w:rsidR="00666F94">
        <w:rPr>
          <w:rFonts w:eastAsia="Calibri"/>
        </w:rPr>
        <w:t>E</w:t>
      </w:r>
      <w:r w:rsidRPr="00D520F9" w:rsidR="002B1C77">
        <w:rPr>
          <w:rFonts w:eastAsia="Calibri"/>
        </w:rPr>
        <w:t>-</w:t>
      </w:r>
      <w:r w:rsidRPr="00D520F9" w:rsidR="008C051E">
        <w:rPr>
          <w:rFonts w:eastAsia="Calibri"/>
        </w:rPr>
        <w:t>3</w:t>
      </w:r>
      <w:r w:rsidRPr="00D520F9" w:rsidR="002B1C77">
        <w:rPr>
          <w:rFonts w:eastAsia="Calibri"/>
        </w:rPr>
        <w:t>).</w:t>
      </w:r>
      <w:r w:rsidRPr="00D520F9">
        <w:rPr>
          <w:rFonts w:eastAsia="Calibri"/>
        </w:rPr>
        <w:t xml:space="preserve"> An English language version of the 7-Month Follow-up Questionnaire is included for reference but will not be administered </w:t>
      </w:r>
      <w:r w:rsidRPr="00D520F9" w:rsidR="002B1C77">
        <w:rPr>
          <w:rFonts w:eastAsia="Calibri"/>
        </w:rPr>
        <w:t xml:space="preserve">by the ASQ (see </w:t>
      </w:r>
      <w:r w:rsidRPr="00D520F9" w:rsidR="00C66F8E">
        <w:rPr>
          <w:rFonts w:eastAsia="Calibri"/>
        </w:rPr>
        <w:t>Attachment</w:t>
      </w:r>
      <w:r w:rsidRPr="00D520F9" w:rsidR="002B1C77">
        <w:rPr>
          <w:rFonts w:eastAsia="Calibri"/>
        </w:rPr>
        <w:t xml:space="preserve"> </w:t>
      </w:r>
      <w:r w:rsidRPr="00D520F9" w:rsidR="00666F94">
        <w:rPr>
          <w:rFonts w:eastAsia="Calibri"/>
        </w:rPr>
        <w:t>E</w:t>
      </w:r>
      <w:r w:rsidRPr="00D520F9" w:rsidR="002B1C77">
        <w:rPr>
          <w:rFonts w:eastAsia="Calibri"/>
        </w:rPr>
        <w:t>-</w:t>
      </w:r>
      <w:r w:rsidRPr="00D520F9" w:rsidR="008C051E">
        <w:rPr>
          <w:rFonts w:eastAsia="Calibri"/>
        </w:rPr>
        <w:t>4</w:t>
      </w:r>
      <w:r w:rsidRPr="00D520F9" w:rsidR="002B1C77">
        <w:rPr>
          <w:rFonts w:eastAsia="Calibri"/>
        </w:rPr>
        <w:t xml:space="preserve">). Similarly, although this revision request includes changes to the Intake Questionnaire and the Services Survey, it does not include any revisions to the ASQ’s materials, nor does it include changes to burden hours related to ASQ materials. </w:t>
      </w:r>
      <w:r w:rsidRPr="00D520F9">
        <w:rPr>
          <w:rFonts w:eastAsia="Calibri"/>
        </w:rPr>
        <w:t>The estimated burden pe</w:t>
      </w:r>
      <w:r w:rsidRPr="00D520F9" w:rsidR="002B1C77">
        <w:rPr>
          <w:rFonts w:eastAsia="Calibri"/>
        </w:rPr>
        <w:t>r response is 7 minutes.</w:t>
      </w:r>
      <w:r w:rsidRPr="00D520F9">
        <w:rPr>
          <w:rFonts w:eastAsia="Calibri"/>
        </w:rPr>
        <w:t xml:space="preserve"> </w:t>
      </w:r>
      <w:r w:rsidR="006273CE">
        <w:rPr>
          <w:rFonts w:eastAsia="Calibri"/>
        </w:rPr>
        <w:t>CDC</w:t>
      </w:r>
      <w:r w:rsidRPr="00D520F9" w:rsidR="006273CE">
        <w:rPr>
          <w:rFonts w:eastAsia="Calibri"/>
        </w:rPr>
        <w:t xml:space="preserve"> </w:t>
      </w:r>
      <w:r w:rsidRPr="00D520F9">
        <w:rPr>
          <w:rFonts w:eastAsia="Calibri"/>
        </w:rPr>
        <w:t>estimate</w:t>
      </w:r>
      <w:r w:rsidR="006273CE">
        <w:rPr>
          <w:rFonts w:eastAsia="Calibri"/>
        </w:rPr>
        <w:t>s</w:t>
      </w:r>
      <w:r w:rsidRPr="00D520F9">
        <w:rPr>
          <w:rFonts w:eastAsia="Calibri"/>
        </w:rPr>
        <w:t xml:space="preserve"> the burden of seven minutes should remain consistent with the English language survey since the same questionnaire</w:t>
      </w:r>
      <w:r w:rsidR="006273CE">
        <w:rPr>
          <w:rFonts w:eastAsia="Calibri"/>
        </w:rPr>
        <w:t xml:space="preserve"> is being used</w:t>
      </w:r>
      <w:r w:rsidR="00B30840">
        <w:rPr>
          <w:rFonts w:eastAsia="Calibri"/>
        </w:rPr>
        <w:t xml:space="preserve">. </w:t>
      </w:r>
      <w:r w:rsidRPr="00D520F9">
        <w:rPr>
          <w:rFonts w:eastAsia="Calibri"/>
        </w:rPr>
        <w:t>NQDW ASQ Seven-Month Follow-up Questionnaire interviews are collected primarily by telephone, including but not limited to Computer Assisted Telephone Interviews (CATI)</w:t>
      </w:r>
      <w:r w:rsidR="00B30840">
        <w:rPr>
          <w:rFonts w:eastAsia="Calibri"/>
        </w:rPr>
        <w:t xml:space="preserve">. </w:t>
      </w:r>
      <w:r w:rsidRPr="00D520F9">
        <w:rPr>
          <w:rFonts w:eastAsia="Calibri"/>
        </w:rPr>
        <w:t>The ASQ is the only service provider that will submit 7-Month Follow-up informa</w:t>
      </w:r>
      <w:r w:rsidRPr="00D520F9" w:rsidR="00B64483">
        <w:rPr>
          <w:rFonts w:eastAsia="Calibri"/>
        </w:rPr>
        <w:t xml:space="preserve">tion </w:t>
      </w:r>
      <w:r w:rsidRPr="00D520F9" w:rsidR="00B64483">
        <w:rPr>
          <w:rFonts w:eastAsia="Calibri"/>
        </w:rPr>
        <w:t>to CDC</w:t>
      </w:r>
      <w:r w:rsidR="00B30840">
        <w:rPr>
          <w:rFonts w:eastAsia="Calibri"/>
        </w:rPr>
        <w:t xml:space="preserve">. </w:t>
      </w:r>
      <w:r w:rsidRPr="00D520F9" w:rsidR="00B64483">
        <w:rPr>
          <w:rFonts w:eastAsia="Calibri"/>
        </w:rPr>
        <w:t xml:space="preserve">An estimated </w:t>
      </w:r>
      <w:r w:rsidRPr="00D520F9" w:rsidR="000F3160">
        <w:rPr>
          <w:rFonts w:eastAsia="Calibri"/>
        </w:rPr>
        <w:t>236</w:t>
      </w:r>
      <w:r w:rsidRPr="00D520F9">
        <w:rPr>
          <w:rFonts w:eastAsia="Calibri"/>
        </w:rPr>
        <w:t xml:space="preserve"> tobacco users who called the ASQ for themselves and received services will complete the NQDW Seven-Month Follow-up Questionnaire. </w:t>
      </w:r>
      <w:r w:rsidRPr="00D520F9" w:rsidR="004D2EF8">
        <w:rPr>
          <w:rFonts w:eastAsia="Calibri"/>
        </w:rPr>
        <w:t>The ASQ issues the 7-</w:t>
      </w:r>
      <w:r w:rsidRPr="00D520F9" w:rsidR="00A54B76">
        <w:rPr>
          <w:rFonts w:eastAsia="Calibri"/>
        </w:rPr>
        <w:t xml:space="preserve">Month Follow-Up questionnaire randomly to 20% of </w:t>
      </w:r>
      <w:r w:rsidRPr="00D520F9">
        <w:rPr>
          <w:rFonts w:eastAsia="Calibri"/>
        </w:rPr>
        <w:t>tobacco users annually who call the ASQ for themselves and receive services from the ASQ</w:t>
      </w:r>
      <w:r w:rsidRPr="00D520F9" w:rsidR="00A54B76">
        <w:rPr>
          <w:rFonts w:eastAsia="Calibri"/>
        </w:rPr>
        <w:t xml:space="preserve"> and has a 70% completion rate (</w:t>
      </w:r>
      <w:r w:rsidRPr="00D520F9" w:rsidR="006F1D44">
        <w:rPr>
          <w:rFonts w:eastAsia="Calibri"/>
        </w:rPr>
        <w:t>1,686*.20*.70=236).</w:t>
      </w:r>
    </w:p>
    <w:p w:rsidR="009265A7" w:rsidRPr="00D520F9" w:rsidP="00D520F9" w14:paraId="043A0DD9" w14:textId="570F14B3">
      <w:pPr>
        <w:spacing w:after="240"/>
        <w:ind w:firstLine="720"/>
        <w:rPr>
          <w:rFonts w:eastAsia="Calibri"/>
        </w:rPr>
      </w:pPr>
      <w:r w:rsidRPr="00D520F9">
        <w:rPr>
          <w:rFonts w:eastAsia="Calibri"/>
        </w:rPr>
        <w:t xml:space="preserve">The </w:t>
      </w:r>
      <w:r w:rsidRPr="00D520F9">
        <w:t>NQDW Quit</w:t>
      </w:r>
      <w:r w:rsidRPr="00D520F9" w:rsidR="000770FC">
        <w:t>line Services Survey (</w:t>
      </w:r>
      <w:r w:rsidRPr="00D520F9" w:rsidR="00C66F8E">
        <w:t>Attachment</w:t>
      </w:r>
      <w:r w:rsidRPr="00D520F9" w:rsidR="000770FC">
        <w:t xml:space="preserve"> </w:t>
      </w:r>
      <w:r w:rsidRPr="00D520F9" w:rsidR="00666F94">
        <w:t>F</w:t>
      </w:r>
      <w:r w:rsidRPr="00D520F9">
        <w:t xml:space="preserve">) will be administered 2 times per year </w:t>
      </w:r>
      <w:r w:rsidRPr="00D520F9" w:rsidR="000770FC">
        <w:t>(</w:t>
      </w:r>
      <w:r w:rsidRPr="00D520F9" w:rsidR="00C66F8E">
        <w:t>Attachment</w:t>
      </w:r>
      <w:r w:rsidRPr="00D520F9" w:rsidR="000770FC">
        <w:t xml:space="preserve"> </w:t>
      </w:r>
      <w:r w:rsidRPr="00D520F9" w:rsidR="00B774AD">
        <w:t>G</w:t>
      </w:r>
      <w:r w:rsidRPr="00D520F9" w:rsidR="000770FC">
        <w:t xml:space="preserve">-1) </w:t>
      </w:r>
      <w:r w:rsidRPr="00D520F9">
        <w:t xml:space="preserve">to state health department personnel (e.g., state tobacco control managers, state cessation coordinators, state quitline managers – not private quitline service providers) or their designee, which might include quitline service providers such as the ASQ, in </w:t>
      </w:r>
      <w:r w:rsidRPr="00D520F9" w:rsidR="000561FD">
        <w:t>50</w:t>
      </w:r>
      <w:r w:rsidRPr="00D520F9">
        <w:t xml:space="preserve"> states, the District of Columbia, Guam, Puerto Rico, and for the Asian Smokers’ Quitline. </w:t>
      </w:r>
    </w:p>
    <w:p w:rsidR="0004079A" w:rsidRPr="00D520F9" w:rsidP="00D520F9" w14:paraId="30CB7CEE" w14:textId="3D6325A2">
      <w:pPr>
        <w:spacing w:after="240"/>
        <w:ind w:firstLine="720"/>
        <w:rPr>
          <w:rFonts w:eastAsia="Calibri"/>
        </w:rPr>
      </w:pPr>
      <w:r w:rsidRPr="00D520F9">
        <w:rPr>
          <w:rFonts w:eastAsia="Calibri"/>
        </w:rPr>
        <w:t>On a quarterly basis</w:t>
      </w:r>
      <w:r w:rsidRPr="00D520F9" w:rsidR="000770FC">
        <w:rPr>
          <w:rFonts w:eastAsia="Calibri"/>
        </w:rPr>
        <w:t xml:space="preserve"> (</w:t>
      </w:r>
      <w:r w:rsidRPr="00D520F9" w:rsidR="00C66F8E">
        <w:rPr>
          <w:rFonts w:eastAsia="Calibri"/>
        </w:rPr>
        <w:t>Attachment</w:t>
      </w:r>
      <w:r w:rsidRPr="00D520F9" w:rsidR="000770FC">
        <w:rPr>
          <w:rFonts w:eastAsia="Calibri"/>
        </w:rPr>
        <w:t xml:space="preserve"> </w:t>
      </w:r>
      <w:r w:rsidRPr="00D520F9" w:rsidR="00B774AD">
        <w:rPr>
          <w:rFonts w:eastAsia="Calibri"/>
        </w:rPr>
        <w:t>G</w:t>
      </w:r>
      <w:r w:rsidRPr="00D520F9" w:rsidR="000770FC">
        <w:rPr>
          <w:rFonts w:eastAsia="Calibri"/>
        </w:rPr>
        <w:t>-1)</w:t>
      </w:r>
      <w:r w:rsidRPr="00D520F9">
        <w:rPr>
          <w:rFonts w:eastAsia="Calibri"/>
        </w:rPr>
        <w:t>, the state tobacco control program manager or their designee</w:t>
      </w:r>
      <w:r w:rsidR="00245255">
        <w:rPr>
          <w:rFonts w:eastAsia="Calibri"/>
        </w:rPr>
        <w:t>,</w:t>
      </w:r>
      <w:r w:rsidRPr="00D520F9">
        <w:rPr>
          <w:rFonts w:eastAsia="Calibri"/>
        </w:rPr>
        <w:t xml:space="preserve"> such as </w:t>
      </w:r>
      <w:r w:rsidR="00245255">
        <w:rPr>
          <w:rFonts w:eastAsia="Calibri"/>
        </w:rPr>
        <w:t xml:space="preserve">a </w:t>
      </w:r>
      <w:r w:rsidRPr="00D520F9">
        <w:rPr>
          <w:rFonts w:eastAsia="Calibri"/>
        </w:rPr>
        <w:t>quitline service provider, is responsible for providing CDC with a de-identified electronic data file containing data records for individuals who completed the NQDW Intake Questionnaire</w:t>
      </w:r>
      <w:r w:rsidRPr="00D520F9">
        <w:rPr>
          <w:rFonts w:eastAsia="Calibri"/>
        </w:rPr>
        <w:t xml:space="preserve"> (</w:t>
      </w:r>
      <w:r w:rsidRPr="00D520F9" w:rsidR="00C66F8E">
        <w:rPr>
          <w:rFonts w:eastAsia="Calibri"/>
        </w:rPr>
        <w:t>Attachment</w:t>
      </w:r>
      <w:r w:rsidRPr="00D520F9">
        <w:rPr>
          <w:rFonts w:eastAsia="Calibri"/>
        </w:rPr>
        <w:t xml:space="preserve"> </w:t>
      </w:r>
      <w:r w:rsidRPr="00D520F9" w:rsidR="00B774AD">
        <w:rPr>
          <w:rFonts w:eastAsia="Calibri"/>
        </w:rPr>
        <w:t>C</w:t>
      </w:r>
      <w:r w:rsidRPr="00D520F9" w:rsidR="000570EF">
        <w:rPr>
          <w:rFonts w:eastAsia="Calibri"/>
        </w:rPr>
        <w:t>-1</w:t>
      </w:r>
      <w:r w:rsidRPr="00D520F9" w:rsidR="000770FC">
        <w:rPr>
          <w:rFonts w:eastAsia="Calibri"/>
        </w:rPr>
        <w:t>)</w:t>
      </w:r>
      <w:r w:rsidRPr="00D520F9">
        <w:rPr>
          <w:rFonts w:eastAsia="Calibri"/>
        </w:rPr>
        <w:t xml:space="preserve">. </w:t>
      </w:r>
      <w:r w:rsidRPr="00D520F9">
        <w:rPr>
          <w:rFonts w:eastAsia="Calibri"/>
        </w:rPr>
        <w:t xml:space="preserve">The </w:t>
      </w:r>
      <w:r w:rsidR="00665A82">
        <w:rPr>
          <w:rFonts w:eastAsia="Calibri"/>
        </w:rPr>
        <w:t xml:space="preserve">proposed </w:t>
      </w:r>
      <w:r w:rsidRPr="00D520F9">
        <w:rPr>
          <w:rFonts w:eastAsia="Calibri"/>
        </w:rPr>
        <w:t xml:space="preserve">questionnaire </w:t>
      </w:r>
      <w:r w:rsidR="00665A82">
        <w:rPr>
          <w:rFonts w:eastAsia="Calibri"/>
        </w:rPr>
        <w:t xml:space="preserve">(see Section A.15) </w:t>
      </w:r>
      <w:r w:rsidRPr="00D520F9">
        <w:rPr>
          <w:rFonts w:eastAsia="Calibri"/>
        </w:rPr>
        <w:t xml:space="preserve">consists of </w:t>
      </w:r>
      <w:r w:rsidR="00665A82">
        <w:rPr>
          <w:rFonts w:eastAsia="Calibri"/>
        </w:rPr>
        <w:t>50</w:t>
      </w:r>
      <w:r w:rsidRPr="00D520F9" w:rsidR="00665A82">
        <w:rPr>
          <w:rFonts w:eastAsia="Calibri"/>
        </w:rPr>
        <w:t xml:space="preserve"> </w:t>
      </w:r>
      <w:r w:rsidRPr="00D520F9">
        <w:rPr>
          <w:rFonts w:eastAsia="Calibri"/>
        </w:rPr>
        <w:t xml:space="preserve">questions, </w:t>
      </w:r>
      <w:r w:rsidRPr="00D520F9" w:rsidR="00665A82">
        <w:rPr>
          <w:rFonts w:eastAsia="Calibri"/>
        </w:rPr>
        <w:t>3</w:t>
      </w:r>
      <w:r w:rsidR="00665A82">
        <w:rPr>
          <w:rFonts w:eastAsia="Calibri"/>
        </w:rPr>
        <w:t>5</w:t>
      </w:r>
      <w:r w:rsidRPr="00D520F9" w:rsidR="00665A82">
        <w:rPr>
          <w:rFonts w:eastAsia="Calibri"/>
        </w:rPr>
        <w:t xml:space="preserve"> </w:t>
      </w:r>
      <w:r w:rsidRPr="00D520F9">
        <w:rPr>
          <w:rFonts w:eastAsia="Calibri"/>
        </w:rPr>
        <w:t>of which are related to tobacco and nicotine products. The first pa</w:t>
      </w:r>
      <w:r w:rsidRPr="00D520F9" w:rsidR="00C640A4">
        <w:rPr>
          <w:rFonts w:eastAsia="Calibri"/>
        </w:rPr>
        <w:t>rt of the survey (questions 1-3</w:t>
      </w:r>
      <w:r w:rsidRPr="00D520F9">
        <w:rPr>
          <w:rFonts w:eastAsia="Calibri"/>
        </w:rPr>
        <w:t xml:space="preserve">) </w:t>
      </w:r>
      <w:r w:rsidRPr="00D520F9" w:rsidR="00C640A4">
        <w:rPr>
          <w:rFonts w:eastAsia="Calibri"/>
        </w:rPr>
        <w:t xml:space="preserve">asks about the purpose of the contact and how the respondent was referred to the </w:t>
      </w:r>
      <w:r w:rsidRPr="00D520F9" w:rsidR="00DF4F4C">
        <w:rPr>
          <w:rFonts w:eastAsia="Calibri"/>
        </w:rPr>
        <w:t>quitline</w:t>
      </w:r>
      <w:r w:rsidRPr="00D520F9" w:rsidR="00C640A4">
        <w:rPr>
          <w:rFonts w:eastAsia="Calibri"/>
        </w:rPr>
        <w:t>. Q</w:t>
      </w:r>
      <w:r w:rsidRPr="00D520F9" w:rsidR="006C616B">
        <w:rPr>
          <w:rFonts w:eastAsia="Calibri"/>
        </w:rPr>
        <w:t>uestions 4</w:t>
      </w:r>
      <w:r w:rsidRPr="00D520F9" w:rsidR="00C640A4">
        <w:rPr>
          <w:rFonts w:eastAsia="Calibri"/>
        </w:rPr>
        <w:t>-</w:t>
      </w:r>
      <w:r w:rsidRPr="00D520F9" w:rsidR="00665A82">
        <w:rPr>
          <w:rFonts w:eastAsia="Calibri"/>
        </w:rPr>
        <w:t>3</w:t>
      </w:r>
      <w:r w:rsidR="00665A82">
        <w:rPr>
          <w:rFonts w:eastAsia="Calibri"/>
        </w:rPr>
        <w:t>8</w:t>
      </w:r>
      <w:r w:rsidRPr="00D520F9" w:rsidR="00665A82">
        <w:rPr>
          <w:rFonts w:eastAsia="Calibri"/>
        </w:rPr>
        <w:t xml:space="preserve"> </w:t>
      </w:r>
      <w:r w:rsidRPr="00D520F9" w:rsidR="00C640A4">
        <w:rPr>
          <w:rFonts w:eastAsia="Calibri"/>
        </w:rPr>
        <w:t xml:space="preserve">consist of </w:t>
      </w:r>
      <w:r w:rsidRPr="00D520F9" w:rsidR="006C616B">
        <w:rPr>
          <w:rFonts w:eastAsia="Calibri"/>
        </w:rPr>
        <w:t>items</w:t>
      </w:r>
      <w:r w:rsidRPr="00D520F9" w:rsidR="00C640A4">
        <w:rPr>
          <w:rFonts w:eastAsia="Calibri"/>
        </w:rPr>
        <w:t xml:space="preserve"> regarding: (a) recent tobacco product use; (b) frequency of tobacco product use; (c) quantity of tobacco products used; (d) date of last use; (e) timing of the first cigarette use of the day; and (f) intention to quit.</w:t>
      </w:r>
      <w:r w:rsidRPr="00D520F9" w:rsidR="006C616B">
        <w:rPr>
          <w:rFonts w:eastAsia="Calibri"/>
        </w:rPr>
        <w:t xml:space="preserve"> </w:t>
      </w:r>
      <w:r w:rsidRPr="00D520F9" w:rsidR="00C640A4">
        <w:rPr>
          <w:rFonts w:eastAsia="Calibri"/>
        </w:rPr>
        <w:t xml:space="preserve">The final </w:t>
      </w:r>
      <w:r w:rsidR="00FE71A4">
        <w:rPr>
          <w:rFonts w:eastAsia="Calibri"/>
        </w:rPr>
        <w:t>11</w:t>
      </w:r>
      <w:r w:rsidRPr="00D520F9" w:rsidR="00FE71A4">
        <w:rPr>
          <w:rFonts w:eastAsia="Calibri"/>
        </w:rPr>
        <w:t xml:space="preserve"> </w:t>
      </w:r>
      <w:r w:rsidRPr="00D520F9" w:rsidR="006C616B">
        <w:rPr>
          <w:rFonts w:eastAsia="Calibri"/>
        </w:rPr>
        <w:t>questions (</w:t>
      </w:r>
      <w:r w:rsidR="00665A82">
        <w:rPr>
          <w:rFonts w:eastAsia="Calibri"/>
        </w:rPr>
        <w:t>39</w:t>
      </w:r>
      <w:r w:rsidRPr="00D520F9" w:rsidR="006C616B">
        <w:rPr>
          <w:rFonts w:eastAsia="Calibri"/>
        </w:rPr>
        <w:t>-</w:t>
      </w:r>
      <w:r w:rsidR="0001258B">
        <w:rPr>
          <w:rFonts w:eastAsia="Calibri"/>
        </w:rPr>
        <w:t>49</w:t>
      </w:r>
      <w:r w:rsidRPr="00D520F9" w:rsidR="006C616B">
        <w:rPr>
          <w:rFonts w:eastAsia="Calibri"/>
        </w:rPr>
        <w:t>) consist</w:t>
      </w:r>
      <w:r w:rsidRPr="00D520F9">
        <w:rPr>
          <w:rFonts w:eastAsia="Calibri"/>
        </w:rPr>
        <w:t xml:space="preserve"> of </w:t>
      </w:r>
      <w:r w:rsidRPr="00D520F9" w:rsidR="006C616B">
        <w:rPr>
          <w:rFonts w:eastAsia="Calibri"/>
        </w:rPr>
        <w:t>participant characteristics, such as:</w:t>
      </w:r>
      <w:r w:rsidRPr="00D520F9" w:rsidR="006C616B">
        <w:t xml:space="preserve"> (g) </w:t>
      </w:r>
      <w:r w:rsidRPr="00D520F9" w:rsidR="006C616B">
        <w:rPr>
          <w:rFonts w:eastAsia="Calibri"/>
        </w:rPr>
        <w:t xml:space="preserve">sexual orientation; (h) </w:t>
      </w:r>
      <w:r w:rsidR="00FE71A4">
        <w:rPr>
          <w:rFonts w:eastAsia="Calibri"/>
        </w:rPr>
        <w:t>sex</w:t>
      </w:r>
      <w:r w:rsidRPr="00D520F9" w:rsidR="006C616B">
        <w:rPr>
          <w:rFonts w:eastAsia="Calibri"/>
        </w:rPr>
        <w:t>; (i) year respondent was born; (j) zip code; (k) level of education; (l) insurance status; (m) ethnicity; (n) race; (o) pregnancy status (for females); (p) behavioral health conditions; and (q) military status.</w:t>
      </w:r>
      <w:r w:rsidRPr="00D520F9" w:rsidR="00B06739">
        <w:rPr>
          <w:rFonts w:eastAsia="Calibri"/>
        </w:rPr>
        <w:t xml:space="preserve"> </w:t>
      </w:r>
      <w:r w:rsidRPr="00D520F9" w:rsidR="006C616B">
        <w:rPr>
          <w:rFonts w:eastAsia="Calibri"/>
        </w:rPr>
        <w:t xml:space="preserve">The questionnaire instructions also include skip patterns and branch logic to reduce the number of questions asked and lower respondent burden. </w:t>
      </w:r>
      <w:r w:rsidRPr="00D520F9" w:rsidR="00910ADB">
        <w:rPr>
          <w:rFonts w:eastAsia="Calibri"/>
          <w:lang w:val="en-CA"/>
        </w:rPr>
        <w:t xml:space="preserve">Thus, the </w:t>
      </w:r>
      <w:r w:rsidRPr="00D520F9" w:rsidR="006C616B">
        <w:rPr>
          <w:rFonts w:eastAsia="Calibri"/>
          <w:lang w:val="en-CA"/>
        </w:rPr>
        <w:t xml:space="preserve">estimated burden per response </w:t>
      </w:r>
      <w:r w:rsidRPr="00D520F9" w:rsidR="001F36F8">
        <w:rPr>
          <w:rFonts w:eastAsia="Calibri"/>
          <w:lang w:val="en-CA"/>
        </w:rPr>
        <w:t>remains</w:t>
      </w:r>
      <w:r w:rsidRPr="00D520F9" w:rsidR="006C616B">
        <w:rPr>
          <w:rFonts w:eastAsia="Calibri"/>
          <w:lang w:val="en-CA"/>
        </w:rPr>
        <w:t xml:space="preserve"> 10 minutes, consistent with the estimate from </w:t>
      </w:r>
      <w:r w:rsidRPr="00D520F9" w:rsidR="00B06739">
        <w:rPr>
          <w:rFonts w:eastAsia="Calibri"/>
          <w:lang w:val="en-CA"/>
        </w:rPr>
        <w:t xml:space="preserve">the </w:t>
      </w:r>
      <w:r w:rsidRPr="00D520F9" w:rsidR="006C616B">
        <w:rPr>
          <w:rFonts w:eastAsia="Calibri"/>
          <w:lang w:val="en-CA"/>
        </w:rPr>
        <w:t>prior OMB</w:t>
      </w:r>
      <w:r w:rsidRPr="00D520F9" w:rsidR="00B06739">
        <w:rPr>
          <w:rFonts w:eastAsia="Calibri"/>
          <w:lang w:val="en-CA"/>
        </w:rPr>
        <w:t xml:space="preserve"> approval period.</w:t>
      </w:r>
      <w:r w:rsidRPr="00D520F9" w:rsidR="00B06739">
        <w:rPr>
          <w:rFonts w:eastAsia="Calibri"/>
        </w:rPr>
        <w:t xml:space="preserve"> </w:t>
      </w:r>
      <w:r w:rsidRPr="00D520F9">
        <w:rPr>
          <w:rFonts w:eastAsia="Calibri"/>
        </w:rPr>
        <w:t xml:space="preserve">The total estimated annualized burden to respondents is </w:t>
      </w:r>
      <w:r w:rsidRPr="00704AE6" w:rsidR="00347D2C">
        <w:rPr>
          <w:rFonts w:eastAsia="Calibri"/>
        </w:rPr>
        <w:t>67,509</w:t>
      </w:r>
      <w:r w:rsidRPr="00704AE6">
        <w:rPr>
          <w:rFonts w:eastAsia="Calibri"/>
        </w:rPr>
        <w:t xml:space="preserve"> hours</w:t>
      </w:r>
      <w:r w:rsidRPr="00D520F9">
        <w:rPr>
          <w:rFonts w:eastAsia="Calibri"/>
        </w:rPr>
        <w:t xml:space="preserve">.  </w:t>
      </w:r>
    </w:p>
    <w:p w:rsidR="009265A7" w:rsidRPr="00D520F9" w:rsidP="00D520F9" w14:paraId="42320131" w14:textId="1BFDC9C7">
      <w:pPr>
        <w:spacing w:after="240"/>
        <w:ind w:firstLine="720"/>
        <w:rPr>
          <w:rFonts w:eastAsia="Calibri"/>
        </w:rPr>
      </w:pPr>
      <w:r w:rsidRPr="00D520F9">
        <w:rPr>
          <w:rFonts w:eastAsia="Calibri"/>
        </w:rPr>
        <w:t xml:space="preserve">In addition to the burden per respondent for completing the NQDW Intake Questionnaire, </w:t>
      </w:r>
      <w:r w:rsidR="006273CE">
        <w:rPr>
          <w:rFonts w:eastAsia="Calibri"/>
        </w:rPr>
        <w:t>CDC</w:t>
      </w:r>
      <w:r w:rsidRPr="00D520F9" w:rsidR="006273CE">
        <w:rPr>
          <w:rFonts w:eastAsia="Calibri"/>
        </w:rPr>
        <w:t xml:space="preserve"> </w:t>
      </w:r>
      <w:r w:rsidRPr="00D520F9">
        <w:rPr>
          <w:rFonts w:eastAsia="Calibri"/>
        </w:rPr>
        <w:t>also report</w:t>
      </w:r>
      <w:r w:rsidR="006273CE">
        <w:rPr>
          <w:rFonts w:eastAsia="Calibri"/>
        </w:rPr>
        <w:t>s</w:t>
      </w:r>
      <w:r w:rsidRPr="00D520F9">
        <w:rPr>
          <w:rFonts w:eastAsia="Calibri"/>
        </w:rPr>
        <w:t xml:space="preserve"> the</w:t>
      </w:r>
      <w:r w:rsidRPr="00D520F9" w:rsidR="00A60AC9">
        <w:rPr>
          <w:rFonts w:eastAsia="Calibri"/>
        </w:rPr>
        <w:t xml:space="preserve"> estimated</w:t>
      </w:r>
      <w:r w:rsidRPr="00D520F9">
        <w:rPr>
          <w:rFonts w:eastAsia="Calibri"/>
        </w:rPr>
        <w:t xml:space="preserve"> burden for creating electronic data files and submitting those to the NQDW. The burden for preparing and submitting the electronic data file for the NQDW Intake Questionnaire, by uploading the electronic data file to CDC’s</w:t>
      </w:r>
      <w:r w:rsidR="00704AE6">
        <w:rPr>
          <w:rFonts w:eastAsia="Calibri"/>
        </w:rPr>
        <w:t xml:space="preserve"> contractor’s</w:t>
      </w:r>
      <w:r w:rsidRPr="00D520F9">
        <w:rPr>
          <w:rFonts w:eastAsia="Calibri"/>
        </w:rPr>
        <w:t xml:space="preserve"> secure NQDW FTP server</w:t>
      </w:r>
      <w:r w:rsidRPr="00D520F9" w:rsidR="0089718A">
        <w:rPr>
          <w:rFonts w:eastAsia="Calibri"/>
        </w:rPr>
        <w:t xml:space="preserve"> (Attachment </w:t>
      </w:r>
      <w:r w:rsidRPr="00D520F9" w:rsidR="00B774AD">
        <w:rPr>
          <w:rFonts w:eastAsia="Calibri"/>
        </w:rPr>
        <w:t>G</w:t>
      </w:r>
      <w:r w:rsidRPr="00D520F9" w:rsidR="0089718A">
        <w:rPr>
          <w:rFonts w:eastAsia="Calibri"/>
        </w:rPr>
        <w:t>-2)</w:t>
      </w:r>
      <w:r w:rsidRPr="00D520F9">
        <w:rPr>
          <w:rFonts w:eastAsia="Calibri"/>
        </w:rPr>
        <w:t>, has been estimated as 1 hour per electronic data file submitted (4 times per year).</w:t>
      </w:r>
    </w:p>
    <w:p w:rsidR="009265A7" w:rsidRPr="00D520F9" w:rsidP="00D520F9" w14:paraId="136499F5" w14:textId="0F5EC795">
      <w:pPr>
        <w:spacing w:after="240"/>
        <w:ind w:firstLine="720"/>
        <w:rPr>
          <w:rFonts w:eastAsia="Calibri"/>
        </w:rPr>
      </w:pPr>
      <w:r w:rsidRPr="00D520F9">
        <w:rPr>
          <w:rFonts w:eastAsia="Calibri"/>
        </w:rPr>
        <w:t>On an annual basis</w:t>
      </w:r>
      <w:r w:rsidRPr="00D520F9" w:rsidR="000770FC">
        <w:rPr>
          <w:rFonts w:eastAsia="Calibri"/>
        </w:rPr>
        <w:t xml:space="preserve"> (</w:t>
      </w:r>
      <w:r w:rsidRPr="00D520F9" w:rsidR="00C66F8E">
        <w:rPr>
          <w:rFonts w:eastAsia="Calibri"/>
        </w:rPr>
        <w:t>Attachment</w:t>
      </w:r>
      <w:r w:rsidRPr="00D520F9" w:rsidR="000770FC">
        <w:rPr>
          <w:rFonts w:eastAsia="Calibri"/>
        </w:rPr>
        <w:t xml:space="preserve"> </w:t>
      </w:r>
      <w:r w:rsidRPr="00D520F9" w:rsidR="00B774AD">
        <w:rPr>
          <w:rFonts w:eastAsia="Calibri"/>
        </w:rPr>
        <w:t>G</w:t>
      </w:r>
      <w:r w:rsidRPr="00D520F9" w:rsidR="000770FC">
        <w:rPr>
          <w:rFonts w:eastAsia="Calibri"/>
        </w:rPr>
        <w:t>-1)</w:t>
      </w:r>
      <w:r w:rsidRPr="00D520F9">
        <w:rPr>
          <w:rFonts w:eastAsia="Calibri"/>
        </w:rPr>
        <w:t xml:space="preserve">, a representative from the ASQ is responsible for providing CDC with an electronic data file containing de-identified data records for individuals who completed the NQDW ASQ Seven-Month Follow-up Questionnaire. </w:t>
      </w:r>
      <w:r w:rsidRPr="00D520F9">
        <w:rPr>
          <w:rFonts w:eastAsia="Calibri"/>
          <w:color w:val="000000"/>
        </w:rPr>
        <w:t xml:space="preserve">These electronic data files are compiled from the ASQ’s quitline data system, which is supported by state funding sources supplemented by cooperative agreement assistance from CDC. </w:t>
      </w:r>
      <w:r w:rsidRPr="00D520F9">
        <w:rPr>
          <w:rFonts w:eastAsia="Calibri"/>
        </w:rPr>
        <w:t xml:space="preserve">In addition to the burden per respondent for completing the NQDW ASQ Seven-Month Follow-up Questionnaire, </w:t>
      </w:r>
      <w:r w:rsidR="006273CE">
        <w:rPr>
          <w:rFonts w:eastAsia="Calibri"/>
        </w:rPr>
        <w:t>CDC</w:t>
      </w:r>
      <w:r w:rsidRPr="00D520F9" w:rsidR="006273CE">
        <w:rPr>
          <w:rFonts w:eastAsia="Calibri"/>
        </w:rPr>
        <w:t xml:space="preserve"> </w:t>
      </w:r>
      <w:r w:rsidRPr="00D520F9">
        <w:rPr>
          <w:rFonts w:eastAsia="Calibri"/>
        </w:rPr>
        <w:t>also estimated and report</w:t>
      </w:r>
      <w:r w:rsidR="006273CE">
        <w:rPr>
          <w:rFonts w:eastAsia="Calibri"/>
        </w:rPr>
        <w:t>s</w:t>
      </w:r>
      <w:r w:rsidRPr="00D520F9">
        <w:rPr>
          <w:rFonts w:eastAsia="Calibri"/>
        </w:rPr>
        <w:t xml:space="preserve"> the burden for creating electronic data files and submitting those to the NQDW. The burden for preparing and submitting the electronic data file for the NQDW ASQ Seven-Month Follow-up Questionnaire, by uploading the electronic data file to CDC’s</w:t>
      </w:r>
      <w:r w:rsidR="00704AE6">
        <w:rPr>
          <w:rFonts w:eastAsia="Calibri"/>
        </w:rPr>
        <w:t xml:space="preserve"> contractor’s</w:t>
      </w:r>
      <w:r w:rsidRPr="00D520F9">
        <w:rPr>
          <w:rFonts w:eastAsia="Calibri"/>
        </w:rPr>
        <w:t xml:space="preserve"> secure NQDW FTP server, has been estimated as 1 hour per electronic data file submitted (1 hour per year).</w:t>
      </w:r>
    </w:p>
    <w:p w:rsidR="00B06739" w:rsidRPr="00D520F9" w:rsidP="00D520F9" w14:paraId="33437E0C" w14:textId="34879A28">
      <w:pPr>
        <w:spacing w:after="240"/>
        <w:ind w:right="-187" w:firstLine="720"/>
      </w:pPr>
      <w:r w:rsidRPr="00D520F9">
        <w:rPr>
          <w:rFonts w:eastAsia="Calibri"/>
          <w:color w:val="000000"/>
        </w:rPr>
        <w:t>The NQDW Quit</w:t>
      </w:r>
      <w:r w:rsidRPr="00D520F9" w:rsidR="000770FC">
        <w:rPr>
          <w:rFonts w:eastAsia="Calibri"/>
          <w:color w:val="000000"/>
        </w:rPr>
        <w:t>line Services Survey (</w:t>
      </w:r>
      <w:r w:rsidRPr="00D520F9" w:rsidR="00C66F8E">
        <w:rPr>
          <w:rFonts w:eastAsia="Calibri"/>
          <w:color w:val="000000"/>
        </w:rPr>
        <w:t>Attachment</w:t>
      </w:r>
      <w:r w:rsidRPr="00D520F9" w:rsidR="000770FC">
        <w:rPr>
          <w:rFonts w:eastAsia="Calibri"/>
          <w:color w:val="000000"/>
        </w:rPr>
        <w:t xml:space="preserve"> </w:t>
      </w:r>
      <w:r w:rsidRPr="00D520F9" w:rsidR="00B774AD">
        <w:rPr>
          <w:rFonts w:eastAsia="Calibri"/>
          <w:color w:val="000000"/>
        </w:rPr>
        <w:t>F</w:t>
      </w:r>
      <w:r w:rsidRPr="00D520F9">
        <w:rPr>
          <w:rFonts w:eastAsia="Calibri"/>
          <w:color w:val="000000"/>
        </w:rPr>
        <w:t xml:space="preserve">) collects aggregate information, on a twice-yearly schedule, about the services offered by the state quitline, rather than individual-level information from tobacco users receiving services from quitlines. CDC will request that </w:t>
      </w:r>
      <w:r w:rsidRPr="00D520F9" w:rsidR="00AA48A5">
        <w:rPr>
          <w:rFonts w:eastAsia="Calibri"/>
          <w:color w:val="000000"/>
        </w:rPr>
        <w:t>50</w:t>
      </w:r>
      <w:r w:rsidRPr="00D520F9">
        <w:rPr>
          <w:rFonts w:eastAsia="Calibri"/>
          <w:color w:val="000000"/>
        </w:rPr>
        <w:t xml:space="preserve"> U.S. states, the District of Columbia, Guam, Puerto Rico, and the Asian Smokers’ Quitline (ASQ) complete the survey </w:t>
      </w:r>
      <w:r w:rsidRPr="00D520F9">
        <w:rPr>
          <w:rFonts w:eastAsia="Calibri"/>
          <w:color w:val="000000"/>
        </w:rPr>
        <w:t>every six months</w:t>
      </w:r>
      <w:r w:rsidRPr="00D520F9">
        <w:rPr>
          <w:rFonts w:eastAsia="Calibri"/>
          <w:color w:val="000000"/>
        </w:rPr>
        <w:t>, for a total number</w:t>
      </w:r>
      <w:r w:rsidRPr="00D520F9" w:rsidR="0004079A">
        <w:rPr>
          <w:rFonts w:eastAsia="Calibri"/>
          <w:color w:val="000000"/>
        </w:rPr>
        <w:t xml:space="preserve"> of </w:t>
      </w:r>
      <w:r w:rsidRPr="00D520F9">
        <w:rPr>
          <w:rFonts w:eastAsia="Calibri"/>
          <w:color w:val="000000"/>
        </w:rPr>
        <w:t>5</w:t>
      </w:r>
      <w:r w:rsidRPr="00D520F9" w:rsidR="000561FD">
        <w:rPr>
          <w:rFonts w:eastAsia="Calibri"/>
          <w:color w:val="000000"/>
        </w:rPr>
        <w:t>4</w:t>
      </w:r>
      <w:r w:rsidRPr="00D520F9">
        <w:rPr>
          <w:rFonts w:eastAsia="Calibri"/>
          <w:color w:val="000000"/>
        </w:rPr>
        <w:t xml:space="preserve"> respondents per </w:t>
      </w:r>
      <w:r w:rsidRPr="00D520F9">
        <w:rPr>
          <w:rFonts w:eastAsia="Calibri"/>
          <w:color w:val="000000"/>
        </w:rPr>
        <w:t>semiannual period</w:t>
      </w:r>
      <w:r w:rsidRPr="00D520F9">
        <w:rPr>
          <w:rFonts w:eastAsia="Calibri"/>
          <w:color w:val="000000"/>
        </w:rPr>
        <w:t xml:space="preserve">. </w:t>
      </w:r>
      <w:r w:rsidRPr="00D520F9">
        <w:t xml:space="preserve">The NQDW Quitline Services Survey instruments are state-specific fillable form-style Microsoft Word documents that CDC prepares every six months for states to complete. The survey consists of 22 questions, and the electronic form for the survey includes drop-down boxes, data entry fields, and checkboxes to help reduce data entry errors. The first part of the survey (questions 1-15) consists of collecting respondent contact information and survey questions regarding the services offered by the state’s quitline: (a) the name of the state’s quitline; (b) the phone numbers used by the state’s quitline; (c) the quitline’s hours of operation; (d) available counseling languages offered by the quitline; (e) eligibility criteria for receiving counseling from the quitline; (f) the amount of counseling offered by the quitline; (g) free quitting medications that are offered by the quitline; (h) eligibility criteria to receive free quitting medications from the quitline; (i) the amount of free quitting medications offered by the quitline; (j) </w:t>
      </w:r>
      <w:r w:rsidRPr="00D520F9" w:rsidR="001E1276">
        <w:t>how participants heard about the quitline</w:t>
      </w:r>
      <w:r w:rsidRPr="00D520F9">
        <w:t xml:space="preserve">; (k) service modalities; and, (l) population-specific cessation protocols. Quitline services offered do not typically change much within a year for a given state, and consequently, responses to these questions tend to remain the same. To reduce burden on survey respondents, CDC will pre-populate the responses to questions 2-15 with the information the state reported for the previous semiannual period. As this revision request includes an updated NQDW Quitline Services Survey, the first implementation of the new form will include no pre-populated responses; pre-population will resume after this first data collection. States are asked to review their previous responses to those questions and make edits if there were any changes in the services being offered by the </w:t>
      </w:r>
      <w:r w:rsidRPr="00D520F9" w:rsidR="00DF4F4C">
        <w:t>quitline</w:t>
      </w:r>
      <w:r w:rsidRPr="00D520F9">
        <w:t xml:space="preserve"> since the last time the state responded to the survey. </w:t>
      </w:r>
    </w:p>
    <w:p w:rsidR="00B06739" w:rsidRPr="00D520F9" w:rsidP="00D520F9" w14:paraId="5E266561" w14:textId="37478212">
      <w:pPr>
        <w:spacing w:after="240"/>
        <w:ind w:right="-187" w:firstLine="720"/>
      </w:pPr>
      <w:r w:rsidRPr="00D520F9">
        <w:t xml:space="preserve">The second part of the survey (questions 16-22) consists of questions regarding the state’s </w:t>
      </w:r>
      <w:r w:rsidRPr="00D520F9" w:rsidR="00DF4F4C">
        <w:t>quitline</w:t>
      </w:r>
      <w:r w:rsidRPr="00D520F9">
        <w:t xml:space="preserve"> (a) call volume, (b) number of unique callers, (c) number of web visits, (d) referral sources, (e) number of referrals received by the </w:t>
      </w:r>
      <w:r w:rsidRPr="00D520F9" w:rsidR="00DF4F4C">
        <w:t>quitline</w:t>
      </w:r>
      <w:r w:rsidRPr="00D520F9">
        <w:t xml:space="preserve">, (f) service utilization, and (g) number of completed registrations. The estimated burden per response is 20 minutes and is based on states’ experiences completing these survey forms over the past ten years. Although the revised survey contains five more questions in sum (17 to 22), the number of questions that are not pre-populated only increased by one (from 6 to 7). As the changes to the survey also reflect stakeholders’ perceptions of appropriate burden, </w:t>
      </w:r>
      <w:r w:rsidRPr="00D520F9" w:rsidR="00CA1117">
        <w:t>desire to capture information on quitline services provided through different modalities</w:t>
      </w:r>
      <w:r w:rsidRPr="00D520F9">
        <w:t xml:space="preserve">, and improved guidance for responses, the estimated burden is expected to remain consistent with prior years. </w:t>
      </w:r>
    </w:p>
    <w:p w:rsidR="006416FD" w:rsidRPr="00D520F9" w:rsidP="00D520F9" w14:paraId="6881F16C" w14:textId="3C66B7D0">
      <w:pPr>
        <w:spacing w:after="240"/>
        <w:ind w:right="-187" w:firstLine="720"/>
        <w:rPr>
          <w:rFonts w:eastAsia="Calibri"/>
          <w:color w:val="000000"/>
        </w:rPr>
      </w:pPr>
      <w:r w:rsidRPr="00D520F9">
        <w:rPr>
          <w:rFonts w:eastAsia="Calibri"/>
          <w:color w:val="000000"/>
        </w:rPr>
        <w:t xml:space="preserve">Requests for data are emailed to </w:t>
      </w:r>
      <w:r w:rsidRPr="00D520F9">
        <w:rPr>
          <w:rFonts w:eastAsia="Calibri"/>
        </w:rPr>
        <w:t>the state tobacco control program manager or their designee</w:t>
      </w:r>
      <w:r w:rsidR="00245255">
        <w:rPr>
          <w:rFonts w:eastAsia="Calibri"/>
        </w:rPr>
        <w:t>,</w:t>
      </w:r>
      <w:r w:rsidRPr="00D520F9">
        <w:rPr>
          <w:rFonts w:eastAsia="Calibri"/>
        </w:rPr>
        <w:t xml:space="preserve"> such as </w:t>
      </w:r>
      <w:r w:rsidR="00245255">
        <w:rPr>
          <w:rFonts w:eastAsia="Calibri"/>
        </w:rPr>
        <w:t xml:space="preserve">a </w:t>
      </w:r>
      <w:r w:rsidRPr="00D520F9">
        <w:rPr>
          <w:rFonts w:eastAsia="Calibri"/>
        </w:rPr>
        <w:t>quitline service provider</w:t>
      </w:r>
      <w:r w:rsidR="00FD6F70">
        <w:rPr>
          <w:rFonts w:eastAsia="Calibri"/>
        </w:rPr>
        <w:t>,</w:t>
      </w:r>
      <w:r w:rsidRPr="00D520F9" w:rsidR="00EC0B07">
        <w:rPr>
          <w:rFonts w:eastAsia="Calibri"/>
        </w:rPr>
        <w:t xml:space="preserve"> and the ASQ representative</w:t>
      </w:r>
      <w:r w:rsidRPr="00D520F9" w:rsidR="00955C22">
        <w:rPr>
          <w:rFonts w:eastAsia="Calibri"/>
        </w:rPr>
        <w:t xml:space="preserve"> </w:t>
      </w:r>
      <w:r w:rsidRPr="00D520F9" w:rsidR="00A8251D">
        <w:rPr>
          <w:rFonts w:eastAsia="Calibri"/>
        </w:rPr>
        <w:t xml:space="preserve">in advance of the </w:t>
      </w:r>
      <w:r w:rsidRPr="00D520F9" w:rsidR="002F002F">
        <w:rPr>
          <w:rFonts w:eastAsia="Calibri"/>
        </w:rPr>
        <w:t>submission</w:t>
      </w:r>
      <w:r w:rsidRPr="00D520F9" w:rsidR="00A8251D">
        <w:rPr>
          <w:rFonts w:eastAsia="Calibri"/>
        </w:rPr>
        <w:t xml:space="preserve"> deadlines (Attachment</w:t>
      </w:r>
      <w:r w:rsidR="006B667C">
        <w:rPr>
          <w:rFonts w:eastAsia="Calibri"/>
        </w:rPr>
        <w:t>s</w:t>
      </w:r>
      <w:r w:rsidRPr="00D520F9" w:rsidR="00A8251D">
        <w:rPr>
          <w:rFonts w:eastAsia="Calibri"/>
        </w:rPr>
        <w:t xml:space="preserve"> G-1</w:t>
      </w:r>
      <w:r w:rsidRPr="00D520F9" w:rsidR="00273581">
        <w:rPr>
          <w:rFonts w:eastAsia="Calibri"/>
        </w:rPr>
        <w:t xml:space="preserve"> and G-</w:t>
      </w:r>
      <w:r w:rsidR="006B3E3A">
        <w:rPr>
          <w:rFonts w:eastAsia="Calibri"/>
        </w:rPr>
        <w:t>3</w:t>
      </w:r>
      <w:r w:rsidRPr="00D520F9" w:rsidR="006B3E3A">
        <w:rPr>
          <w:rFonts w:eastAsia="Calibri"/>
        </w:rPr>
        <w:t xml:space="preserve"> </w:t>
      </w:r>
      <w:r w:rsidRPr="00D520F9" w:rsidR="00903C9C">
        <w:rPr>
          <w:rFonts w:eastAsia="Calibri"/>
        </w:rPr>
        <w:t>to G-</w:t>
      </w:r>
      <w:r w:rsidR="006B3E3A">
        <w:rPr>
          <w:rFonts w:eastAsia="Calibri"/>
        </w:rPr>
        <w:t>7</w:t>
      </w:r>
      <w:r w:rsidRPr="00D520F9" w:rsidR="00A8251D">
        <w:rPr>
          <w:rFonts w:eastAsia="Calibri"/>
        </w:rPr>
        <w:t>).</w:t>
      </w:r>
      <w:r w:rsidRPr="00D520F9" w:rsidR="00C3368E">
        <w:rPr>
          <w:rFonts w:eastAsia="Calibri"/>
        </w:rPr>
        <w:t xml:space="preserve"> </w:t>
      </w:r>
      <w:r w:rsidRPr="00D520F9" w:rsidR="005D319E">
        <w:rPr>
          <w:rFonts w:eastAsia="Calibri"/>
        </w:rPr>
        <w:t>Follow-up emails reminding respondents of outstanding data</w:t>
      </w:r>
      <w:r w:rsidRPr="00D520F9" w:rsidR="00501480">
        <w:rPr>
          <w:rFonts w:eastAsia="Calibri"/>
        </w:rPr>
        <w:t xml:space="preserve"> are sent according to the NQDW Data Request Follow-up Schedule (Attachment</w:t>
      </w:r>
      <w:r w:rsidR="006B667C">
        <w:rPr>
          <w:rFonts w:eastAsia="Calibri"/>
        </w:rPr>
        <w:t>s</w:t>
      </w:r>
      <w:r w:rsidRPr="00D520F9" w:rsidR="00501480">
        <w:rPr>
          <w:rFonts w:eastAsia="Calibri"/>
        </w:rPr>
        <w:t xml:space="preserve"> G-1 and G-</w:t>
      </w:r>
      <w:r w:rsidR="006B3E3A">
        <w:rPr>
          <w:rFonts w:eastAsia="Calibri"/>
        </w:rPr>
        <w:t>8</w:t>
      </w:r>
      <w:r w:rsidRPr="00D520F9" w:rsidR="006B3E3A">
        <w:rPr>
          <w:rFonts w:eastAsia="Calibri"/>
        </w:rPr>
        <w:t xml:space="preserve"> </w:t>
      </w:r>
      <w:r w:rsidRPr="00D520F9" w:rsidR="00501480">
        <w:rPr>
          <w:rFonts w:eastAsia="Calibri"/>
        </w:rPr>
        <w:t>to G-</w:t>
      </w:r>
      <w:r w:rsidR="006B3E3A">
        <w:rPr>
          <w:rFonts w:eastAsia="Calibri"/>
        </w:rPr>
        <w:t>9</w:t>
      </w:r>
      <w:r w:rsidRPr="00D520F9" w:rsidR="00501480">
        <w:rPr>
          <w:rFonts w:eastAsia="Calibri"/>
        </w:rPr>
        <w:t>).</w:t>
      </w:r>
    </w:p>
    <w:p w:rsidR="009265A7" w:rsidRPr="00D520F9" w:rsidP="00D520F9" w14:paraId="157307BA" w14:textId="53115F9B">
      <w:pPr>
        <w:spacing w:after="240"/>
        <w:ind w:right="-187" w:firstLine="720"/>
      </w:pPr>
      <w:r w:rsidRPr="00D520F9">
        <w:rPr>
          <w:rFonts w:eastAsia="Calibri"/>
          <w:color w:val="000000"/>
        </w:rPr>
        <w:t xml:space="preserve">The </w:t>
      </w:r>
      <w:r w:rsidRPr="00D520F9">
        <w:rPr>
          <w:rFonts w:eastAsia="Calibri"/>
        </w:rPr>
        <w:t xml:space="preserve">total estimated annualized burden </w:t>
      </w:r>
      <w:r w:rsidRPr="00D520F9" w:rsidR="00B06739">
        <w:rPr>
          <w:rFonts w:eastAsia="Calibri"/>
        </w:rPr>
        <w:t>acro</w:t>
      </w:r>
      <w:r w:rsidRPr="00D520F9" w:rsidR="003E7025">
        <w:rPr>
          <w:rFonts w:eastAsia="Calibri"/>
        </w:rPr>
        <w:t xml:space="preserve">ss all types of respondents and forms </w:t>
      </w:r>
      <w:r w:rsidRPr="00D520F9">
        <w:rPr>
          <w:rFonts w:eastAsia="Calibri"/>
        </w:rPr>
        <w:t xml:space="preserve">is </w:t>
      </w:r>
      <w:r w:rsidR="008F3616">
        <w:rPr>
          <w:rFonts w:eastAsia="Calibri"/>
        </w:rPr>
        <w:t>68,089</w:t>
      </w:r>
      <w:r w:rsidRPr="00D520F9" w:rsidR="003E7025">
        <w:rPr>
          <w:rFonts w:eastAsia="Calibri"/>
        </w:rPr>
        <w:t xml:space="preserve"> </w:t>
      </w:r>
      <w:r w:rsidRPr="00D520F9">
        <w:rPr>
          <w:rFonts w:eastAsia="Calibri"/>
        </w:rPr>
        <w:t xml:space="preserve">hours.  </w:t>
      </w:r>
    </w:p>
    <w:p w:rsidR="009265A7" w:rsidRPr="00B35BF2" w:rsidP="00B35BF2" w14:paraId="5A2FC761" w14:textId="60D62D8E">
      <w:pPr>
        <w:rPr>
          <w:b/>
          <w:color w:val="000000"/>
        </w:rPr>
      </w:pPr>
      <w:r w:rsidRPr="00FB4823">
        <w:rPr>
          <w:b/>
        </w:rPr>
        <w:t>Table A.12.a.</w:t>
      </w:r>
      <w:r w:rsidRPr="00FB4823">
        <w:rPr>
          <w:b/>
          <w:color w:val="000000"/>
        </w:rPr>
        <w:t xml:space="preserve"> Es</w:t>
      </w:r>
      <w:r w:rsidR="003E7025">
        <w:rPr>
          <w:b/>
          <w:color w:val="000000"/>
        </w:rPr>
        <w:t>timated Annualized Burden Hours</w:t>
      </w:r>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1998"/>
        <w:gridCol w:w="2312"/>
        <w:gridCol w:w="1412"/>
        <w:gridCol w:w="1260"/>
        <w:gridCol w:w="1350"/>
        <w:gridCol w:w="1018"/>
      </w:tblGrid>
      <w:tr w14:paraId="1ACE2FC8" w14:textId="77777777" w:rsidTr="00B35BF2">
        <w:tblPrEx>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Ex>
        <w:tc>
          <w:tcPr>
            <w:tcW w:w="19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rsidR="009265A7" w:rsidRPr="00FB4823" w:rsidP="00B35BF2" w14:paraId="7600C9A6"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Type of respondent</w:t>
            </w:r>
          </w:p>
        </w:tc>
        <w:tc>
          <w:tcPr>
            <w:tcW w:w="231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hideMark/>
          </w:tcPr>
          <w:p w:rsidR="009265A7" w:rsidRPr="00FB4823" w:rsidP="00B35BF2" w14:paraId="1744D75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Form Name</w:t>
            </w:r>
          </w:p>
        </w:tc>
        <w:tc>
          <w:tcPr>
            <w:tcW w:w="141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tcPr>
          <w:p w:rsidR="009265A7" w:rsidRPr="00FB4823" w:rsidP="00B35BF2" w14:paraId="4706367E"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Number of respondents</w:t>
            </w:r>
          </w:p>
        </w:tc>
        <w:tc>
          <w:tcPr>
            <w:tcW w:w="12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tcPr>
          <w:p w:rsidR="009265A7" w:rsidRPr="00FB4823" w:rsidP="00B35BF2" w14:paraId="54654C5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Number of responses per respondent</w:t>
            </w:r>
          </w:p>
        </w:tc>
        <w:tc>
          <w:tcPr>
            <w:tcW w:w="135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rsidR="009265A7" w:rsidRPr="00FB4823" w:rsidP="00B35BF2" w14:paraId="4D2EE49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Average burden per respondent (in hours)</w:t>
            </w:r>
          </w:p>
        </w:tc>
        <w:tc>
          <w:tcPr>
            <w:tcW w:w="101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tcPr>
          <w:p w:rsidR="009265A7" w:rsidRPr="00FB4823" w:rsidP="00B35BF2" w14:paraId="1B049B80"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Total burden (in hours)</w:t>
            </w:r>
          </w:p>
        </w:tc>
      </w:tr>
      <w:tr w14:paraId="0A9D6084" w14:textId="77777777" w:rsidTr="00B35BF2">
        <w:tblPrEx>
          <w:tblW w:w="9350" w:type="dxa"/>
          <w:tblLayout w:type="fixed"/>
          <w:tblCellMar>
            <w:left w:w="0" w:type="dxa"/>
            <w:right w:w="0" w:type="dxa"/>
          </w:tblCellMar>
          <w:tblLook w:val="00A0"/>
        </w:tblPrEx>
        <w:tc>
          <w:tcPr>
            <w:tcW w:w="1998" w:type="dxa"/>
            <w:vMerge w:val="restart"/>
            <w:tcBorders>
              <w:top w:val="single" w:sz="8" w:space="0" w:color="000000"/>
              <w:left w:val="single" w:sz="8" w:space="0" w:color="000000"/>
              <w:right w:val="single" w:sz="8" w:space="0" w:color="000000"/>
            </w:tcBorders>
            <w:tcMar>
              <w:top w:w="0" w:type="dxa"/>
              <w:left w:w="144" w:type="dxa"/>
              <w:bottom w:w="0" w:type="dxa"/>
              <w:right w:w="144" w:type="dxa"/>
            </w:tcMar>
            <w:vAlign w:val="center"/>
          </w:tcPr>
          <w:p w:rsidR="003E7025" w:rsidRPr="00FB4823" w:rsidP="00B35BF2" w14:paraId="730BBA8F" w14:textId="7ABFB3EC">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Quitline </w:t>
            </w:r>
            <w:r>
              <w:rPr>
                <w:rFonts w:eastAsia="Calibri"/>
                <w:sz w:val="22"/>
                <w:szCs w:val="22"/>
              </w:rPr>
              <w:t>participants</w:t>
            </w:r>
            <w:r w:rsidRPr="00FB4823">
              <w:rPr>
                <w:rFonts w:eastAsia="Calibri"/>
                <w:sz w:val="22"/>
                <w:szCs w:val="22"/>
              </w:rPr>
              <w:t xml:space="preserve"> who contact the quitline for help for themselves</w:t>
            </w:r>
          </w:p>
        </w:tc>
        <w:tc>
          <w:tcPr>
            <w:tcW w:w="2312" w:type="dxa"/>
            <w:tcBorders>
              <w:top w:val="single" w:sz="8" w:space="0" w:color="000000"/>
              <w:left w:val="single" w:sz="8" w:space="0" w:color="000000"/>
              <w:right w:val="single" w:sz="8" w:space="0" w:color="000000"/>
            </w:tcBorders>
            <w:tcMar>
              <w:left w:w="144" w:type="dxa"/>
              <w:right w:w="144" w:type="dxa"/>
            </w:tcMar>
            <w:vAlign w:val="center"/>
          </w:tcPr>
          <w:p w:rsidR="003E7025" w:rsidRPr="00FB4823" w:rsidP="00B35BF2" w14:paraId="2400F4EA"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NQDW Intake Questionnaire (English-complete)</w:t>
            </w:r>
          </w:p>
        </w:tc>
        <w:tc>
          <w:tcPr>
            <w:tcW w:w="141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53C07D50" w14:textId="716740B5">
            <w:pPr>
              <w:tabs>
                <w:tab w:val="left" w:pos="210"/>
                <w:tab w:val="right" w:pos="5984"/>
              </w:tabs>
              <w:autoSpaceDE w:val="0"/>
              <w:autoSpaceDN w:val="0"/>
              <w:spacing w:before="120" w:after="120"/>
              <w:jc w:val="center"/>
              <w:rPr>
                <w:rFonts w:eastAsia="Calibri"/>
                <w:sz w:val="22"/>
                <w:szCs w:val="22"/>
              </w:rPr>
            </w:pPr>
            <w:r>
              <w:rPr>
                <w:rFonts w:eastAsia="Calibri"/>
                <w:sz w:val="22"/>
                <w:szCs w:val="22"/>
              </w:rPr>
              <w:t>405,053</w:t>
            </w:r>
          </w:p>
        </w:tc>
        <w:tc>
          <w:tcPr>
            <w:tcW w:w="12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FB4823" w:rsidP="00B35BF2" w14:paraId="1A944AC5"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FB4823" w:rsidP="00B35BF2" w14:paraId="46051FD6"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10/60</w:t>
            </w:r>
          </w:p>
        </w:tc>
        <w:tc>
          <w:tcPr>
            <w:tcW w:w="101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FB4823" w:rsidP="00B35BF2" w14:paraId="4DA33E64" w14:textId="212A50D3">
            <w:pPr>
              <w:tabs>
                <w:tab w:val="left" w:pos="210"/>
                <w:tab w:val="right" w:pos="5984"/>
              </w:tabs>
              <w:autoSpaceDE w:val="0"/>
              <w:autoSpaceDN w:val="0"/>
              <w:spacing w:before="120" w:after="120"/>
              <w:jc w:val="center"/>
              <w:rPr>
                <w:rFonts w:eastAsia="Calibri"/>
                <w:sz w:val="22"/>
                <w:szCs w:val="22"/>
              </w:rPr>
            </w:pPr>
            <w:r>
              <w:rPr>
                <w:rFonts w:eastAsia="Calibri"/>
                <w:sz w:val="22"/>
                <w:szCs w:val="22"/>
              </w:rPr>
              <w:t>67,509</w:t>
            </w:r>
          </w:p>
        </w:tc>
      </w:tr>
      <w:tr w14:paraId="48EFCFE1" w14:textId="77777777" w:rsidTr="00B35BF2">
        <w:tblPrEx>
          <w:tblW w:w="9350" w:type="dxa"/>
          <w:tblLayout w:type="fixed"/>
          <w:tblCellMar>
            <w:left w:w="0" w:type="dxa"/>
            <w:right w:w="0" w:type="dxa"/>
          </w:tblCellMar>
          <w:tblLook w:val="00A0"/>
        </w:tblPrEx>
        <w:tc>
          <w:tcPr>
            <w:tcW w:w="1998" w:type="dxa"/>
            <w:vMerge/>
            <w:tcBorders>
              <w:left w:val="single" w:sz="8" w:space="0" w:color="000000"/>
              <w:right w:val="single" w:sz="8" w:space="0" w:color="000000"/>
            </w:tcBorders>
            <w:tcMar>
              <w:top w:w="0" w:type="dxa"/>
              <w:left w:w="144" w:type="dxa"/>
              <w:bottom w:w="0" w:type="dxa"/>
              <w:right w:w="144" w:type="dxa"/>
            </w:tcMar>
            <w:vAlign w:val="center"/>
          </w:tcPr>
          <w:p w:rsidR="003E7025" w:rsidRPr="00FB4823" w:rsidP="00B35BF2" w14:paraId="528C67CB"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sz="8" w:space="0" w:color="000000"/>
              <w:left w:val="single" w:sz="8" w:space="0" w:color="000000"/>
              <w:right w:val="single" w:sz="8" w:space="0" w:color="000000"/>
            </w:tcBorders>
            <w:tcMar>
              <w:left w:w="144" w:type="dxa"/>
              <w:right w:w="144" w:type="dxa"/>
            </w:tcMar>
            <w:vAlign w:val="center"/>
          </w:tcPr>
          <w:p w:rsidR="003E7025" w:rsidRPr="00FB4823" w:rsidP="00B35BF2" w14:paraId="6F76A74B"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Intake Questionnaire (Chinese, Korean, or Vietnamese-complete)</w:t>
            </w:r>
          </w:p>
        </w:tc>
        <w:tc>
          <w:tcPr>
            <w:tcW w:w="1412"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B35BF2" w:rsidP="00B35BF2" w14:paraId="35FCCC34" w14:textId="1D254750">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1,686</w:t>
            </w:r>
          </w:p>
        </w:tc>
        <w:tc>
          <w:tcPr>
            <w:tcW w:w="126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3E32A65B"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3824C521"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10/60</w:t>
            </w:r>
          </w:p>
        </w:tc>
        <w:tc>
          <w:tcPr>
            <w:tcW w:w="1018"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75AB552F" w14:textId="76C7AE33">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281</w:t>
            </w:r>
          </w:p>
        </w:tc>
      </w:tr>
      <w:tr w14:paraId="41D37660" w14:textId="77777777" w:rsidTr="00B35BF2">
        <w:tblPrEx>
          <w:tblW w:w="9350" w:type="dxa"/>
          <w:tblLayout w:type="fixed"/>
          <w:tblCellMar>
            <w:left w:w="0" w:type="dxa"/>
            <w:right w:w="0" w:type="dxa"/>
          </w:tblCellMar>
          <w:tblLook w:val="00A0"/>
        </w:tblPrEx>
        <w:tc>
          <w:tcPr>
            <w:tcW w:w="1998" w:type="dxa"/>
            <w:vMerge/>
            <w:tcBorders>
              <w:left w:val="single" w:sz="8" w:space="0" w:color="000000"/>
              <w:right w:val="single" w:sz="8" w:space="0" w:color="000000"/>
            </w:tcBorders>
            <w:tcMar>
              <w:top w:w="0" w:type="dxa"/>
              <w:left w:w="144" w:type="dxa"/>
              <w:bottom w:w="0" w:type="dxa"/>
              <w:right w:w="144" w:type="dxa"/>
            </w:tcMar>
            <w:vAlign w:val="center"/>
          </w:tcPr>
          <w:p w:rsidR="003E7025" w:rsidRPr="00FB4823" w:rsidP="00B35BF2" w14:paraId="3306C27B"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sz="8" w:space="0" w:color="000000"/>
              <w:left w:val="single" w:sz="8" w:space="0" w:color="000000"/>
              <w:right w:val="single" w:sz="8" w:space="0" w:color="000000"/>
            </w:tcBorders>
            <w:tcMar>
              <w:left w:w="144" w:type="dxa"/>
              <w:right w:w="144" w:type="dxa"/>
            </w:tcMar>
            <w:vAlign w:val="center"/>
          </w:tcPr>
          <w:p w:rsidR="003E7025" w:rsidRPr="00FB4823" w:rsidP="00B35BF2" w14:paraId="255FB70F"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Seven-Month Follow-up Questionnaire</w:t>
            </w:r>
          </w:p>
        </w:tc>
        <w:tc>
          <w:tcPr>
            <w:tcW w:w="1412"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B35BF2" w:rsidP="00B35BF2" w14:paraId="63FE9423" w14:textId="6F6B65DF">
            <w:pPr>
              <w:tabs>
                <w:tab w:val="left" w:pos="210"/>
                <w:tab w:val="right" w:pos="5984"/>
              </w:tabs>
              <w:autoSpaceDE w:val="0"/>
              <w:autoSpaceDN w:val="0"/>
              <w:spacing w:before="120" w:after="120"/>
              <w:jc w:val="center"/>
              <w:rPr>
                <w:rFonts w:eastAsia="Calibri"/>
                <w:sz w:val="22"/>
                <w:szCs w:val="22"/>
              </w:rPr>
            </w:pPr>
            <w:r>
              <w:rPr>
                <w:rFonts w:eastAsia="Calibri"/>
                <w:sz w:val="22"/>
                <w:szCs w:val="22"/>
              </w:rPr>
              <w:t>236</w:t>
            </w:r>
          </w:p>
        </w:tc>
        <w:tc>
          <w:tcPr>
            <w:tcW w:w="126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3885ECD0"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04DAC933"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7/60</w:t>
            </w:r>
          </w:p>
        </w:tc>
        <w:tc>
          <w:tcPr>
            <w:tcW w:w="1018"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586550A4" w14:textId="06301733">
            <w:pPr>
              <w:tabs>
                <w:tab w:val="left" w:pos="210"/>
                <w:tab w:val="right" w:pos="5984"/>
              </w:tabs>
              <w:autoSpaceDE w:val="0"/>
              <w:autoSpaceDN w:val="0"/>
              <w:spacing w:before="120" w:after="120"/>
              <w:jc w:val="center"/>
              <w:rPr>
                <w:rFonts w:eastAsia="Calibri"/>
                <w:sz w:val="22"/>
                <w:szCs w:val="22"/>
              </w:rPr>
            </w:pPr>
            <w:r>
              <w:rPr>
                <w:rFonts w:eastAsia="Calibri"/>
                <w:sz w:val="22"/>
                <w:szCs w:val="22"/>
              </w:rPr>
              <w:t>28</w:t>
            </w:r>
          </w:p>
        </w:tc>
      </w:tr>
      <w:tr w14:paraId="4CBBFD7C" w14:textId="77777777" w:rsidTr="00B35BF2">
        <w:tblPrEx>
          <w:tblW w:w="9350" w:type="dxa"/>
          <w:tblLayout w:type="fixed"/>
          <w:tblCellMar>
            <w:left w:w="0" w:type="dxa"/>
            <w:right w:w="0" w:type="dxa"/>
          </w:tblCellMar>
          <w:tblLook w:val="00A0"/>
        </w:tblPrEx>
        <w:tc>
          <w:tcPr>
            <w:tcW w:w="1998" w:type="dxa"/>
            <w:vMerge w:val="restart"/>
            <w:tcBorders>
              <w:top w:val="single" w:sz="8" w:space="0" w:color="000000"/>
              <w:left w:val="single" w:sz="8" w:space="0" w:color="000000"/>
              <w:right w:val="single" w:sz="8" w:space="0" w:color="000000"/>
            </w:tcBorders>
            <w:tcMar>
              <w:top w:w="0" w:type="dxa"/>
              <w:left w:w="144" w:type="dxa"/>
              <w:bottom w:w="0" w:type="dxa"/>
              <w:right w:w="144" w:type="dxa"/>
            </w:tcMar>
            <w:vAlign w:val="center"/>
          </w:tcPr>
          <w:p w:rsidR="003E7025" w:rsidRPr="00FB4823" w:rsidP="00B35BF2" w14:paraId="68710FB3" w14:textId="3F4853A3">
            <w:pPr>
              <w:tabs>
                <w:tab w:val="left" w:pos="210"/>
                <w:tab w:val="right" w:pos="5984"/>
              </w:tabs>
              <w:autoSpaceDE w:val="0"/>
              <w:autoSpaceDN w:val="0"/>
              <w:spacing w:before="120" w:after="120"/>
              <w:rPr>
                <w:rFonts w:eastAsia="Calibri"/>
                <w:sz w:val="22"/>
                <w:szCs w:val="22"/>
              </w:rPr>
            </w:pPr>
            <w:r>
              <w:rPr>
                <w:rFonts w:eastAsia="Calibri"/>
                <w:sz w:val="22"/>
                <w:szCs w:val="22"/>
              </w:rPr>
              <w:t>Participants who contact</w:t>
            </w:r>
            <w:r w:rsidRPr="00FB4823">
              <w:rPr>
                <w:rFonts w:eastAsia="Calibri"/>
                <w:sz w:val="22"/>
                <w:szCs w:val="22"/>
              </w:rPr>
              <w:t xml:space="preserve"> the </w:t>
            </w:r>
            <w:r w:rsidR="00DF4F4C">
              <w:rPr>
                <w:rFonts w:eastAsia="Calibri"/>
                <w:sz w:val="22"/>
                <w:szCs w:val="22"/>
              </w:rPr>
              <w:t>quitline</w:t>
            </w:r>
            <w:r w:rsidRPr="00FB4823">
              <w:rPr>
                <w:rFonts w:eastAsia="Calibri"/>
                <w:sz w:val="22"/>
                <w:szCs w:val="22"/>
              </w:rPr>
              <w:t xml:space="preserve"> on behalf of someone else</w:t>
            </w:r>
          </w:p>
        </w:tc>
        <w:tc>
          <w:tcPr>
            <w:tcW w:w="2312" w:type="dxa"/>
            <w:tcBorders>
              <w:top w:val="single" w:sz="8" w:space="0" w:color="000000"/>
              <w:left w:val="single" w:sz="8" w:space="0" w:color="000000"/>
              <w:right w:val="single" w:sz="8" w:space="0" w:color="000000"/>
            </w:tcBorders>
            <w:tcMar>
              <w:left w:w="144" w:type="dxa"/>
              <w:right w:w="144" w:type="dxa"/>
            </w:tcMar>
            <w:vAlign w:val="center"/>
          </w:tcPr>
          <w:p w:rsidR="003E7025" w:rsidRPr="00FB4823" w:rsidP="00B35BF2" w14:paraId="5474232A"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NQDW Intake Questionnaire (English-subset)</w:t>
            </w:r>
          </w:p>
        </w:tc>
        <w:tc>
          <w:tcPr>
            <w:tcW w:w="1412"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B35BF2" w:rsidP="00B35BF2" w14:paraId="0675D3A2" w14:textId="1D2B8FB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819</w:t>
            </w:r>
          </w:p>
        </w:tc>
        <w:tc>
          <w:tcPr>
            <w:tcW w:w="126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7144AB5D"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726F13DB"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1/60</w:t>
            </w:r>
          </w:p>
        </w:tc>
        <w:tc>
          <w:tcPr>
            <w:tcW w:w="1018" w:type="dxa"/>
            <w:tcBorders>
              <w:top w:val="single" w:sz="8" w:space="0" w:color="000000"/>
              <w:left w:val="single" w:sz="8" w:space="0" w:color="000000"/>
              <w:bottom w:val="single" w:sz="4" w:space="0" w:color="000000"/>
              <w:right w:val="single" w:sz="8" w:space="0" w:color="000000"/>
            </w:tcBorders>
            <w:tcMar>
              <w:top w:w="0" w:type="dxa"/>
              <w:left w:w="144" w:type="dxa"/>
              <w:bottom w:w="0" w:type="dxa"/>
              <w:right w:w="144" w:type="dxa"/>
            </w:tcMar>
          </w:tcPr>
          <w:p w:rsidR="003E7025" w:rsidRPr="00FB4823" w:rsidP="00B35BF2" w14:paraId="2A59A92D" w14:textId="2D37F92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14</w:t>
            </w:r>
          </w:p>
        </w:tc>
      </w:tr>
      <w:tr w14:paraId="1CBC760A" w14:textId="77777777" w:rsidTr="00B35BF2">
        <w:tblPrEx>
          <w:tblW w:w="9350" w:type="dxa"/>
          <w:tblLayout w:type="fixed"/>
          <w:tblCellMar>
            <w:left w:w="0" w:type="dxa"/>
            <w:right w:w="0" w:type="dxa"/>
          </w:tblCellMar>
          <w:tblLook w:val="00A0"/>
        </w:tblPrEx>
        <w:tc>
          <w:tcPr>
            <w:tcW w:w="1998" w:type="dxa"/>
            <w:vMerge/>
            <w:tcBorders>
              <w:left w:val="single" w:sz="8" w:space="0" w:color="000000"/>
              <w:bottom w:val="single" w:sz="8" w:space="0" w:color="000000"/>
              <w:right w:val="single" w:sz="8" w:space="0" w:color="000000"/>
            </w:tcBorders>
            <w:tcMar>
              <w:top w:w="0" w:type="dxa"/>
              <w:left w:w="144" w:type="dxa"/>
              <w:bottom w:w="0" w:type="dxa"/>
              <w:right w:w="144" w:type="dxa"/>
            </w:tcMar>
            <w:vAlign w:val="center"/>
          </w:tcPr>
          <w:p w:rsidR="003E7025" w:rsidRPr="00FB4823" w:rsidP="00B35BF2" w14:paraId="62F86B97"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3E7025" w:rsidRPr="00FB4823" w:rsidP="00B35BF2" w14:paraId="6F446F1F"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Intake Questionnaire (Chinese, Korean, or Vietnamese-subset)</w:t>
            </w:r>
          </w:p>
        </w:tc>
        <w:tc>
          <w:tcPr>
            <w:tcW w:w="141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2F67EE5A" w14:textId="2B567302">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249</w:t>
            </w:r>
          </w:p>
        </w:tc>
        <w:tc>
          <w:tcPr>
            <w:tcW w:w="12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412FB05D"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5D8DA611"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1/60</w:t>
            </w:r>
          </w:p>
        </w:tc>
        <w:tc>
          <w:tcPr>
            <w:tcW w:w="101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3E7025" w:rsidRPr="00FB4823" w:rsidP="00B35BF2" w14:paraId="1E28C28E" w14:textId="48211B98">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4</w:t>
            </w:r>
          </w:p>
        </w:tc>
      </w:tr>
      <w:tr w14:paraId="45517FB8" w14:textId="77777777" w:rsidTr="00B35BF2">
        <w:tblPrEx>
          <w:tblW w:w="9350" w:type="dxa"/>
          <w:tblLayout w:type="fixed"/>
          <w:tblCellMar>
            <w:left w:w="0" w:type="dxa"/>
            <w:right w:w="0" w:type="dxa"/>
          </w:tblCellMar>
          <w:tblLook w:val="00A0"/>
        </w:tblPrEx>
        <w:tc>
          <w:tcPr>
            <w:tcW w:w="1998" w:type="dxa"/>
            <w:vMerge w:val="restart"/>
            <w:tcBorders>
              <w:top w:val="single" w:sz="8" w:space="0" w:color="000000"/>
              <w:left w:val="single" w:sz="8" w:space="0" w:color="000000"/>
              <w:right w:val="single" w:sz="8" w:space="0" w:color="000000"/>
            </w:tcBorders>
            <w:tcMar>
              <w:top w:w="0" w:type="dxa"/>
              <w:left w:w="144" w:type="dxa"/>
              <w:bottom w:w="0" w:type="dxa"/>
              <w:right w:w="144" w:type="dxa"/>
            </w:tcMar>
            <w:vAlign w:val="center"/>
          </w:tcPr>
          <w:p w:rsidR="003E7025" w:rsidRPr="00FB4823" w:rsidP="00B35BF2" w14:paraId="050916CF" w14:textId="000919B9">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Tobacco Control Manager or their Designee / </w:t>
            </w:r>
            <w:r w:rsidR="00DF4F4C">
              <w:rPr>
                <w:rFonts w:eastAsia="Calibri"/>
                <w:sz w:val="22"/>
                <w:szCs w:val="22"/>
              </w:rPr>
              <w:t>quitline</w:t>
            </w:r>
            <w:r w:rsidRPr="00FB4823">
              <w:rPr>
                <w:rFonts w:eastAsia="Calibri"/>
                <w:sz w:val="22"/>
                <w:szCs w:val="22"/>
              </w:rPr>
              <w:t xml:space="preserve"> Service Provider </w:t>
            </w:r>
          </w:p>
        </w:tc>
        <w:tc>
          <w:tcPr>
            <w:tcW w:w="2312" w:type="dxa"/>
            <w:tcBorders>
              <w:top w:val="single" w:sz="8" w:space="0" w:color="000000"/>
              <w:left w:val="single" w:sz="8" w:space="0" w:color="000000"/>
              <w:bottom w:val="single" w:sz="4" w:space="0" w:color="auto"/>
              <w:right w:val="single" w:sz="8" w:space="0" w:color="000000"/>
            </w:tcBorders>
            <w:tcMar>
              <w:left w:w="144" w:type="dxa"/>
              <w:right w:w="144" w:type="dxa"/>
            </w:tcMar>
            <w:vAlign w:val="center"/>
          </w:tcPr>
          <w:p w:rsidR="003E7025" w:rsidRPr="00FB4823" w:rsidP="00B35BF2" w14:paraId="48BCA704"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Submission of NQDW Intake Questionnaire Electronic Data File to CDC </w:t>
            </w:r>
          </w:p>
        </w:tc>
        <w:tc>
          <w:tcPr>
            <w:tcW w:w="1412" w:type="dxa"/>
            <w:tcBorders>
              <w:top w:val="single" w:sz="8" w:space="0" w:color="000000"/>
              <w:left w:val="single" w:sz="8" w:space="0" w:color="000000"/>
              <w:bottom w:val="single" w:sz="4" w:space="0" w:color="auto"/>
              <w:right w:val="single" w:sz="8" w:space="0" w:color="000000"/>
            </w:tcBorders>
            <w:tcMar>
              <w:top w:w="0" w:type="dxa"/>
              <w:left w:w="144" w:type="dxa"/>
              <w:bottom w:w="0" w:type="dxa"/>
              <w:right w:w="144" w:type="dxa"/>
            </w:tcMar>
          </w:tcPr>
          <w:p w:rsidR="003E7025" w:rsidRPr="00B35BF2" w:rsidP="00B35BF2" w14:paraId="0860178D" w14:textId="7DF6A450">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5</w:t>
            </w:r>
            <w:r w:rsidR="00EE177C">
              <w:rPr>
                <w:rFonts w:eastAsia="Calibri"/>
                <w:sz w:val="22"/>
                <w:szCs w:val="22"/>
              </w:rPr>
              <w:t>4</w:t>
            </w:r>
          </w:p>
        </w:tc>
        <w:tc>
          <w:tcPr>
            <w:tcW w:w="1260" w:type="dxa"/>
            <w:tcBorders>
              <w:top w:val="single" w:sz="8" w:space="0" w:color="000000"/>
              <w:left w:val="single" w:sz="8" w:space="0" w:color="000000"/>
              <w:bottom w:val="single" w:sz="4" w:space="0" w:color="auto"/>
              <w:right w:val="single" w:sz="8" w:space="0" w:color="000000"/>
            </w:tcBorders>
            <w:tcMar>
              <w:top w:w="0" w:type="dxa"/>
              <w:left w:w="144" w:type="dxa"/>
              <w:bottom w:w="0" w:type="dxa"/>
              <w:right w:w="144" w:type="dxa"/>
            </w:tcMar>
          </w:tcPr>
          <w:p w:rsidR="003E7025" w:rsidRPr="00FB4823" w:rsidP="00B35BF2" w14:paraId="6974408E"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4</w:t>
            </w:r>
          </w:p>
        </w:tc>
        <w:tc>
          <w:tcPr>
            <w:tcW w:w="1350" w:type="dxa"/>
            <w:tcBorders>
              <w:top w:val="single" w:sz="8" w:space="0" w:color="000000"/>
              <w:left w:val="single" w:sz="8" w:space="0" w:color="000000"/>
              <w:bottom w:val="single" w:sz="4" w:space="0" w:color="auto"/>
              <w:right w:val="single" w:sz="8" w:space="0" w:color="000000"/>
            </w:tcBorders>
            <w:tcMar>
              <w:top w:w="0" w:type="dxa"/>
              <w:left w:w="144" w:type="dxa"/>
              <w:bottom w:w="0" w:type="dxa"/>
              <w:right w:w="144" w:type="dxa"/>
            </w:tcMar>
          </w:tcPr>
          <w:p w:rsidR="003E7025" w:rsidRPr="00FB4823" w:rsidP="00B35BF2" w14:paraId="2BDD7A9A"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018" w:type="dxa"/>
            <w:tcBorders>
              <w:top w:val="single" w:sz="8" w:space="0" w:color="000000"/>
              <w:left w:val="single" w:sz="8" w:space="0" w:color="000000"/>
              <w:bottom w:val="single" w:sz="4" w:space="0" w:color="auto"/>
              <w:right w:val="single" w:sz="8" w:space="0" w:color="000000"/>
            </w:tcBorders>
            <w:tcMar>
              <w:top w:w="0" w:type="dxa"/>
              <w:left w:w="144" w:type="dxa"/>
              <w:bottom w:w="0" w:type="dxa"/>
              <w:right w:w="144" w:type="dxa"/>
            </w:tcMar>
          </w:tcPr>
          <w:p w:rsidR="003E7025" w:rsidRPr="00FB4823" w:rsidP="00B35BF2" w14:paraId="6AB538D0" w14:textId="7A0A9861">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21</w:t>
            </w:r>
            <w:r w:rsidR="00EE177C">
              <w:rPr>
                <w:rFonts w:eastAsia="Calibri"/>
                <w:sz w:val="22"/>
                <w:szCs w:val="22"/>
              </w:rPr>
              <w:t>6</w:t>
            </w:r>
          </w:p>
        </w:tc>
      </w:tr>
      <w:tr w14:paraId="10416888" w14:textId="77777777" w:rsidTr="00B35BF2">
        <w:tblPrEx>
          <w:tblW w:w="9350" w:type="dxa"/>
          <w:tblLayout w:type="fixed"/>
          <w:tblCellMar>
            <w:left w:w="0" w:type="dxa"/>
            <w:right w:w="0" w:type="dxa"/>
          </w:tblCellMar>
          <w:tblLook w:val="00A0"/>
        </w:tblPrEx>
        <w:tc>
          <w:tcPr>
            <w:tcW w:w="1998" w:type="dxa"/>
            <w:vMerge/>
            <w:tcBorders>
              <w:top w:val="single" w:sz="8" w:space="0" w:color="000000"/>
              <w:left w:val="single" w:sz="8" w:space="0" w:color="000000"/>
              <w:right w:val="single" w:sz="8" w:space="0" w:color="000000"/>
            </w:tcBorders>
            <w:tcMar>
              <w:top w:w="0" w:type="dxa"/>
              <w:left w:w="144" w:type="dxa"/>
              <w:bottom w:w="0" w:type="dxa"/>
              <w:right w:w="144" w:type="dxa"/>
            </w:tcMar>
            <w:vAlign w:val="center"/>
          </w:tcPr>
          <w:p w:rsidR="003E7025" w:rsidRPr="00FB4823" w14:paraId="629D8EDB" w14:textId="77777777">
            <w:pPr>
              <w:autoSpaceDE w:val="0"/>
              <w:autoSpaceDN w:val="0"/>
              <w:spacing w:before="120" w:after="120"/>
              <w:rPr>
                <w:rFonts w:eastAsia="Calibri"/>
                <w:sz w:val="22"/>
                <w:szCs w:val="22"/>
              </w:rPr>
            </w:pPr>
          </w:p>
        </w:tc>
        <w:tc>
          <w:tcPr>
            <w:tcW w:w="2312" w:type="dxa"/>
            <w:tcBorders>
              <w:top w:val="single" w:sz="4" w:space="0" w:color="auto"/>
              <w:left w:val="single" w:sz="8" w:space="0" w:color="000000"/>
              <w:bottom w:val="single" w:sz="8" w:space="0" w:color="000000"/>
              <w:right w:val="single" w:sz="8" w:space="0" w:color="000000"/>
            </w:tcBorders>
            <w:tcMar>
              <w:left w:w="144" w:type="dxa"/>
              <w:right w:w="144" w:type="dxa"/>
            </w:tcMar>
            <w:vAlign w:val="center"/>
          </w:tcPr>
          <w:p w:rsidR="003E7025" w:rsidRPr="00FB4823" w:rsidP="00B35BF2" w14:paraId="517E5FAB"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Submission of NQDW (ASQ) Seven-Month Follow-up Electronic Data File to CDC</w:t>
            </w:r>
          </w:p>
        </w:tc>
        <w:tc>
          <w:tcPr>
            <w:tcW w:w="1412" w:type="dxa"/>
            <w:tcBorders>
              <w:top w:val="single" w:sz="4" w:space="0" w:color="auto"/>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7829037A" w14:textId="3B13173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260" w:type="dxa"/>
            <w:tcBorders>
              <w:top w:val="single" w:sz="4" w:space="0" w:color="auto"/>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58774FC9"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350" w:type="dxa"/>
            <w:tcBorders>
              <w:top w:val="single" w:sz="4" w:space="0" w:color="auto"/>
              <w:left w:val="single" w:sz="8" w:space="0" w:color="000000"/>
              <w:bottom w:val="single" w:sz="8" w:space="0" w:color="000000"/>
              <w:right w:val="single" w:sz="8" w:space="0" w:color="000000"/>
            </w:tcBorders>
            <w:tcMar>
              <w:top w:w="0" w:type="dxa"/>
              <w:left w:w="144" w:type="dxa"/>
              <w:bottom w:w="0" w:type="dxa"/>
              <w:right w:w="144" w:type="dxa"/>
            </w:tcMar>
          </w:tcPr>
          <w:p w:rsidR="003E7025" w:rsidRPr="00B35BF2" w:rsidP="00B35BF2" w14:paraId="743CC495"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018" w:type="dxa"/>
            <w:tcBorders>
              <w:top w:val="single" w:sz="4" w:space="0" w:color="auto"/>
              <w:left w:val="single" w:sz="8" w:space="0" w:color="000000"/>
              <w:bottom w:val="single" w:sz="8" w:space="0" w:color="000000"/>
              <w:right w:val="single" w:sz="8" w:space="0" w:color="000000"/>
            </w:tcBorders>
            <w:tcMar>
              <w:top w:w="0" w:type="dxa"/>
              <w:left w:w="144" w:type="dxa"/>
              <w:bottom w:w="0" w:type="dxa"/>
              <w:right w:w="144" w:type="dxa"/>
            </w:tcMar>
          </w:tcPr>
          <w:p w:rsidR="003E7025" w:rsidRPr="00FB4823" w:rsidP="00B35BF2" w14:paraId="5A4E7DEA" w14:textId="30CEC378">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r>
      <w:tr w14:paraId="729273FB" w14:textId="77777777" w:rsidTr="00B35BF2">
        <w:tblPrEx>
          <w:tblW w:w="9350" w:type="dxa"/>
          <w:tblLayout w:type="fixed"/>
          <w:tblCellMar>
            <w:left w:w="0" w:type="dxa"/>
            <w:right w:w="0" w:type="dxa"/>
          </w:tblCellMar>
          <w:tblLook w:val="00A0"/>
        </w:tblPrEx>
        <w:tc>
          <w:tcPr>
            <w:tcW w:w="1998" w:type="dxa"/>
            <w:vMerge/>
            <w:tcBorders>
              <w:left w:val="single" w:sz="8" w:space="0" w:color="000000"/>
              <w:bottom w:val="single" w:sz="8" w:space="0" w:color="000000"/>
              <w:right w:val="single" w:sz="8" w:space="0" w:color="000000"/>
            </w:tcBorders>
            <w:tcMar>
              <w:top w:w="0" w:type="dxa"/>
              <w:left w:w="144" w:type="dxa"/>
              <w:bottom w:w="0" w:type="dxa"/>
              <w:right w:w="144" w:type="dxa"/>
            </w:tcMar>
            <w:vAlign w:val="center"/>
            <w:hideMark/>
          </w:tcPr>
          <w:p w:rsidR="003E7025" w:rsidRPr="00FB4823" w14:paraId="3853D9D0" w14:textId="77777777">
            <w:pPr>
              <w:autoSpaceDE w:val="0"/>
              <w:autoSpaceDN w:val="0"/>
              <w:spacing w:before="120" w:after="120"/>
              <w:rPr>
                <w:rFonts w:eastAsia="Calibri"/>
                <w:sz w:val="22"/>
                <w:szCs w:val="22"/>
              </w:rPr>
            </w:pPr>
          </w:p>
        </w:tc>
        <w:tc>
          <w:tcPr>
            <w:tcW w:w="231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hideMark/>
          </w:tcPr>
          <w:p w:rsidR="003E7025" w:rsidRPr="00FB4823" w:rsidP="00B35BF2" w14:paraId="03D7C114"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NQDW Quitline Services Survey </w:t>
            </w:r>
          </w:p>
        </w:tc>
        <w:tc>
          <w:tcPr>
            <w:tcW w:w="141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hideMark/>
          </w:tcPr>
          <w:p w:rsidR="003E7025" w:rsidRPr="00B35BF2" w:rsidP="00B35BF2" w14:paraId="0716DECE" w14:textId="0384C33E">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5</w:t>
            </w:r>
            <w:r w:rsidR="00EE177C">
              <w:rPr>
                <w:rFonts w:eastAsia="Calibri"/>
                <w:sz w:val="22"/>
                <w:szCs w:val="22"/>
              </w:rPr>
              <w:t>4</w:t>
            </w:r>
          </w:p>
        </w:tc>
        <w:tc>
          <w:tcPr>
            <w:tcW w:w="12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hideMark/>
          </w:tcPr>
          <w:p w:rsidR="003E7025" w:rsidRPr="00FB4823" w:rsidP="00B35BF2" w14:paraId="136E43B4"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hideMark/>
          </w:tcPr>
          <w:p w:rsidR="003E7025" w:rsidRPr="00FB4823" w:rsidP="00B35BF2" w14:paraId="08281315"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20/60</w:t>
            </w:r>
          </w:p>
        </w:tc>
        <w:tc>
          <w:tcPr>
            <w:tcW w:w="101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hideMark/>
          </w:tcPr>
          <w:p w:rsidR="003E7025" w:rsidRPr="00FB4823" w:rsidP="00B35BF2" w14:paraId="0470B312" w14:textId="1742DAB2">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3</w:t>
            </w:r>
            <w:r w:rsidR="00EE177C">
              <w:rPr>
                <w:rFonts w:eastAsia="Calibri"/>
                <w:sz w:val="22"/>
                <w:szCs w:val="22"/>
              </w:rPr>
              <w:t>6</w:t>
            </w:r>
          </w:p>
        </w:tc>
      </w:tr>
      <w:tr w14:paraId="6CF3720A" w14:textId="77777777" w:rsidTr="00B35BF2">
        <w:tblPrEx>
          <w:tblW w:w="9350" w:type="dxa"/>
          <w:tblLayout w:type="fixed"/>
          <w:tblCellMar>
            <w:left w:w="0" w:type="dxa"/>
            <w:right w:w="0" w:type="dxa"/>
          </w:tblCellMar>
          <w:tblLook w:val="00A0"/>
        </w:tblPrEx>
        <w:tc>
          <w:tcPr>
            <w:tcW w:w="1998" w:type="dxa"/>
            <w:tcBorders>
              <w:left w:val="single" w:sz="8" w:space="0" w:color="000000"/>
              <w:bottom w:val="single" w:sz="8" w:space="0" w:color="000000"/>
              <w:right w:val="single" w:sz="8" w:space="0" w:color="000000"/>
            </w:tcBorders>
            <w:tcMar>
              <w:top w:w="0" w:type="dxa"/>
              <w:left w:w="144" w:type="dxa"/>
              <w:bottom w:w="0" w:type="dxa"/>
              <w:right w:w="144" w:type="dxa"/>
            </w:tcMar>
          </w:tcPr>
          <w:p w:rsidR="009265A7" w:rsidRPr="00FB4823" w:rsidP="009265A7" w14:paraId="77785818" w14:textId="77777777">
            <w:pPr>
              <w:autoSpaceDE w:val="0"/>
              <w:autoSpaceDN w:val="0"/>
              <w:spacing w:before="120" w:after="120"/>
              <w:rPr>
                <w:rFonts w:eastAsia="Calibri"/>
                <w:sz w:val="22"/>
                <w:szCs w:val="22"/>
              </w:rPr>
            </w:pPr>
          </w:p>
        </w:tc>
        <w:tc>
          <w:tcPr>
            <w:tcW w:w="6334" w:type="dxa"/>
            <w:gridSpan w:val="4"/>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9265A7" w:rsidRPr="00FB4823" w:rsidP="00B35BF2" w14:paraId="5ED890EB" w14:textId="798B981B">
            <w:pPr>
              <w:tabs>
                <w:tab w:val="left" w:pos="210"/>
                <w:tab w:val="right" w:pos="5984"/>
              </w:tabs>
              <w:autoSpaceDE w:val="0"/>
              <w:autoSpaceDN w:val="0"/>
              <w:spacing w:before="120" w:after="120"/>
              <w:rPr>
                <w:color w:val="000000"/>
                <w:sz w:val="22"/>
                <w:szCs w:val="22"/>
              </w:rPr>
            </w:pPr>
            <w:r>
              <w:rPr>
                <w:rFonts w:eastAsia="Calibri"/>
                <w:sz w:val="22"/>
                <w:szCs w:val="22"/>
              </w:rPr>
              <w:tab/>
            </w:r>
            <w:r>
              <w:rPr>
                <w:rFonts w:eastAsia="Calibri"/>
                <w:sz w:val="22"/>
                <w:szCs w:val="22"/>
              </w:rPr>
              <w:tab/>
            </w:r>
            <w:r w:rsidRPr="00FB4823">
              <w:rPr>
                <w:rFonts w:eastAsia="Calibri"/>
                <w:sz w:val="22"/>
                <w:szCs w:val="22"/>
              </w:rPr>
              <w:t>Total</w:t>
            </w:r>
            <w:r>
              <w:rPr>
                <w:rFonts w:eastAsia="Calibri"/>
                <w:sz w:val="22"/>
                <w:szCs w:val="22"/>
              </w:rPr>
              <w:t xml:space="preserve"> </w:t>
            </w:r>
            <w:r w:rsidRPr="00FB4823">
              <w:rPr>
                <w:rFonts w:eastAsia="Calibri"/>
                <w:sz w:val="22"/>
                <w:szCs w:val="22"/>
              </w:rPr>
              <w:t xml:space="preserve"> </w:t>
            </w:r>
            <w:r>
              <w:rPr>
                <w:rFonts w:eastAsia="Calibri"/>
                <w:sz w:val="22"/>
                <w:szCs w:val="22"/>
              </w:rPr>
              <w:t xml:space="preserve"> </w:t>
            </w:r>
            <w:r w:rsidRPr="00FB4823">
              <w:rPr>
                <w:rFonts w:eastAsia="Calibri"/>
                <w:sz w:val="22"/>
                <w:szCs w:val="22"/>
              </w:rPr>
              <w:t xml:space="preserve">   </w:t>
            </w:r>
          </w:p>
        </w:tc>
        <w:tc>
          <w:tcPr>
            <w:tcW w:w="101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tcPr>
          <w:p w:rsidR="009265A7" w:rsidRPr="00FB4823" w:rsidP="009265A7" w14:paraId="353C7F7B" w14:textId="3F8D573C">
            <w:pPr>
              <w:autoSpaceDE w:val="0"/>
              <w:autoSpaceDN w:val="0"/>
              <w:spacing w:before="120" w:after="120"/>
              <w:jc w:val="right"/>
              <w:rPr>
                <w:rFonts w:eastAsia="Calibri"/>
                <w:sz w:val="22"/>
                <w:szCs w:val="22"/>
              </w:rPr>
            </w:pPr>
            <w:r>
              <w:rPr>
                <w:rFonts w:eastAsia="Calibri"/>
                <w:sz w:val="22"/>
                <w:szCs w:val="22"/>
              </w:rPr>
              <w:t>68,089</w:t>
            </w:r>
          </w:p>
        </w:tc>
      </w:tr>
    </w:tbl>
    <w:p w:rsidR="009265A7" w:rsidRPr="00FB4823" w:rsidP="009265A7" w14:paraId="683DE3A5" w14:textId="77777777">
      <w:pPr>
        <w:rPr>
          <w:color w:val="000000"/>
        </w:rPr>
      </w:pPr>
    </w:p>
    <w:p w:rsidR="009265A7" w:rsidRPr="00FB4823" w:rsidP="009265A7" w14:paraId="295326BB" w14:textId="18763991">
      <w:pPr>
        <w:spacing w:after="120"/>
        <w:ind w:firstLine="720"/>
        <w:rPr>
          <w:color w:val="000000"/>
        </w:rPr>
      </w:pPr>
      <w:r w:rsidRPr="00FB4823">
        <w:rPr>
          <w:color w:val="000000"/>
        </w:rPr>
        <w:t xml:space="preserve">The burden estimates for </w:t>
      </w:r>
      <w:r w:rsidR="000E7A9F">
        <w:rPr>
          <w:color w:val="000000"/>
        </w:rPr>
        <w:t>individual</w:t>
      </w:r>
      <w:r w:rsidRPr="00FB4823">
        <w:rPr>
          <w:color w:val="000000"/>
        </w:rPr>
        <w:t xml:space="preserve">-level information collection are based on the length of the CATI interviews </w:t>
      </w:r>
      <w:r w:rsidR="000E7A9F">
        <w:rPr>
          <w:color w:val="000000"/>
        </w:rPr>
        <w:t xml:space="preserve">and web-based interactions </w:t>
      </w:r>
      <w:r w:rsidRPr="00FB4823">
        <w:rPr>
          <w:color w:val="000000"/>
        </w:rPr>
        <w:t xml:space="preserve">with </w:t>
      </w:r>
      <w:r w:rsidR="000E7A9F">
        <w:rPr>
          <w:color w:val="000000"/>
        </w:rPr>
        <w:t xml:space="preserve">participants. </w:t>
      </w:r>
      <w:r w:rsidRPr="00FB4823">
        <w:rPr>
          <w:color w:val="000000"/>
        </w:rPr>
        <w:t>The majority of states have contracts with private-sector quitline service providers to manage the information colle</w:t>
      </w:r>
      <w:r w:rsidR="000E7A9F">
        <w:rPr>
          <w:color w:val="000000"/>
        </w:rPr>
        <w:t xml:space="preserve">cted through the CATI systems and other intake </w:t>
      </w:r>
      <w:r w:rsidR="002F002F">
        <w:rPr>
          <w:color w:val="000000"/>
        </w:rPr>
        <w:t>questionnaire</w:t>
      </w:r>
      <w:r w:rsidR="000E7A9F">
        <w:rPr>
          <w:color w:val="000000"/>
        </w:rPr>
        <w:t xml:space="preserve"> modalities. </w:t>
      </w:r>
      <w:r w:rsidRPr="00FB4823">
        <w:rPr>
          <w:color w:val="000000"/>
        </w:rPr>
        <w:t>The data management, cleaning</w:t>
      </w:r>
      <w:r w:rsidR="000E7A9F">
        <w:rPr>
          <w:color w:val="000000"/>
        </w:rPr>
        <w:t>,</w:t>
      </w:r>
      <w:r w:rsidRPr="00FB4823">
        <w:rPr>
          <w:color w:val="000000"/>
        </w:rPr>
        <w:t xml:space="preserve"> and reporting activities conducted by quitline service providers are accounted for in their contractual agreements with states, and do not r</w:t>
      </w:r>
      <w:r w:rsidR="000E7A9F">
        <w:rPr>
          <w:color w:val="000000"/>
        </w:rPr>
        <w:t xml:space="preserve">epresent burden to the public. </w:t>
      </w:r>
      <w:r w:rsidRPr="00FB4823">
        <w:rPr>
          <w:color w:val="000000"/>
        </w:rPr>
        <w:t>CDC allows states to use cooperative agreement fundi</w:t>
      </w:r>
      <w:r w:rsidR="000E7A9F">
        <w:rPr>
          <w:color w:val="000000"/>
        </w:rPr>
        <w:t xml:space="preserve">ng to support these contracts. </w:t>
      </w:r>
      <w:r w:rsidRPr="00FB4823">
        <w:rPr>
          <w:color w:val="000000"/>
        </w:rPr>
        <w:t xml:space="preserve">As quality improvement </w:t>
      </w:r>
      <w:r w:rsidRPr="00FB4823">
        <w:rPr>
          <w:color w:val="000000"/>
        </w:rPr>
        <w:t>and cost containment measures, CDC provides substantial technical assistance to states to support and streamline these processes.</w:t>
      </w:r>
    </w:p>
    <w:p w:rsidR="009265A7" w:rsidRPr="00FB4823" w:rsidP="009265A7" w14:paraId="76019C16" w14:textId="77777777">
      <w:pPr>
        <w:ind w:firstLine="720"/>
      </w:pPr>
    </w:p>
    <w:p w:rsidR="009265A7" w:rsidRPr="00FB4823" w:rsidP="009265A7" w14:paraId="36CDF520" w14:textId="05B927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r w:rsidRPr="00FB4823">
        <w:rPr>
          <w:b/>
          <w:bCs/>
          <w:color w:val="000000"/>
          <w:u w:val="single"/>
        </w:rPr>
        <w:t>A.12.b</w:t>
      </w:r>
      <w:r w:rsidR="00E64F2E">
        <w:rPr>
          <w:b/>
          <w:bCs/>
          <w:color w:val="000000"/>
          <w:u w:val="single"/>
        </w:rPr>
        <w:t xml:space="preserve"> </w:t>
      </w:r>
      <w:r w:rsidRPr="00FB4823">
        <w:rPr>
          <w:b/>
          <w:bCs/>
          <w:color w:val="000000"/>
          <w:u w:val="single"/>
        </w:rPr>
        <w:t>Estimated Annualized Cost to Respondents</w:t>
      </w:r>
      <w:r w:rsidRPr="00FB4823">
        <w:rPr>
          <w:b/>
          <w:u w:val="single"/>
        </w:rPr>
        <w:t xml:space="preserve"> </w:t>
      </w:r>
    </w:p>
    <w:p w:rsidR="009265A7" w:rsidRPr="00FB4823" w:rsidP="009265A7" w14:paraId="16418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009265A7" w:rsidRPr="00FB4823" w14:paraId="6BD6205A" w14:textId="65D17D5D">
      <w:pPr>
        <w:ind w:firstLine="720"/>
      </w:pPr>
      <w:r w:rsidRPr="00FB4823">
        <w:rPr>
          <w:color w:val="000000"/>
        </w:rPr>
        <w:t>There are no direct costs to the respondents in</w:t>
      </w:r>
      <w:r w:rsidR="000E7A9F">
        <w:rPr>
          <w:color w:val="000000"/>
        </w:rPr>
        <w:t xml:space="preserve"> this planned data collection. </w:t>
      </w:r>
      <w:r w:rsidRPr="00FB4823">
        <w:rPr>
          <w:color w:val="000000"/>
        </w:rPr>
        <w:t>Indirect costs to adult respondents can be calculated in terms of the time required to respond to the three questionnaires</w:t>
      </w:r>
      <w:r w:rsidR="000E7A9F">
        <w:rPr>
          <w:color w:val="000000"/>
        </w:rPr>
        <w:t xml:space="preserve">, including tobacco product users taking ten minutes to complete the Intake Questionnaire, ASQ-enrollees taking seven minutes to respond to the </w:t>
      </w:r>
      <w:r w:rsidRPr="000E7A9F" w:rsidR="000E7A9F">
        <w:rPr>
          <w:color w:val="000000"/>
        </w:rPr>
        <w:t>Seven-Month Follow-up Questionnaire</w:t>
      </w:r>
      <w:r w:rsidR="000E7A9F">
        <w:rPr>
          <w:color w:val="000000"/>
        </w:rPr>
        <w:t>, or state health department employees taking twenty minutes to complete the Services Survey</w:t>
      </w:r>
      <w:r w:rsidRPr="00FB4823">
        <w:rPr>
          <w:color w:val="000000"/>
        </w:rPr>
        <w:t xml:space="preserve">. For these calculations, </w:t>
      </w:r>
      <w:r w:rsidR="006273CE">
        <w:rPr>
          <w:color w:val="000000"/>
        </w:rPr>
        <w:t>CDC</w:t>
      </w:r>
      <w:r w:rsidRPr="00FB4823" w:rsidR="006273CE">
        <w:rPr>
          <w:color w:val="000000"/>
        </w:rPr>
        <w:t xml:space="preserve"> </w:t>
      </w:r>
      <w:r w:rsidRPr="00FB4823">
        <w:rPr>
          <w:color w:val="000000"/>
        </w:rPr>
        <w:t>used the average hourly wage rate of $25.72/hour (</w:t>
      </w:r>
      <w:r w:rsidRPr="00FB4823">
        <w:t>estimated mean of all industry earnings,</w:t>
      </w:r>
      <w:r w:rsidRPr="00FB4823">
        <w:rPr>
          <w:color w:val="000000"/>
        </w:rPr>
        <w:t xml:space="preserve"> May </w:t>
      </w:r>
      <w:r w:rsidRPr="00FB4823" w:rsidR="006273CE">
        <w:rPr>
          <w:color w:val="000000"/>
        </w:rPr>
        <w:t>20</w:t>
      </w:r>
      <w:r w:rsidR="006273CE">
        <w:rPr>
          <w:color w:val="000000"/>
        </w:rPr>
        <w:t>20</w:t>
      </w:r>
      <w:r w:rsidRPr="00FB4823">
        <w:rPr>
          <w:color w:val="000000"/>
        </w:rPr>
        <w:t xml:space="preserve">, </w:t>
      </w:r>
      <w:r w:rsidRPr="00FB4823">
        <w:t>U.S. Department of Labor).</w:t>
      </w:r>
      <w:r w:rsidRPr="00FB4823">
        <w:rPr>
          <w:color w:val="000000"/>
        </w:rPr>
        <w:t xml:space="preserve"> Reporting on the NQDW Quitline Services Survey is a requirement of The CDC core cooperative agreement for state tobacco control programs as well as CDC cooperative agreements that specifically provide funding for quitlines. These awards provide compensation for the cost of the state health department personnel’s time. </w:t>
      </w:r>
      <w:r w:rsidRPr="00FB4823">
        <w:t xml:space="preserve">The total estimated annualized cost to respondents is </w:t>
      </w:r>
      <w:r w:rsidRPr="00B41EFB" w:rsidR="00FA31AC">
        <w:rPr>
          <w:sz w:val="22"/>
          <w:szCs w:val="22"/>
        </w:rPr>
        <w:t>$</w:t>
      </w:r>
      <w:r w:rsidR="00FA31AC">
        <w:rPr>
          <w:sz w:val="22"/>
          <w:szCs w:val="22"/>
        </w:rPr>
        <w:t>1,841,122</w:t>
      </w:r>
      <w:r w:rsidRPr="00B41EFB" w:rsidR="00FA31AC">
        <w:rPr>
          <w:sz w:val="22"/>
          <w:szCs w:val="22"/>
        </w:rPr>
        <w:t xml:space="preserve"> </w:t>
      </w:r>
      <w:r w:rsidR="00895C65">
        <w:t>.</w:t>
      </w:r>
    </w:p>
    <w:p w:rsidR="003E7025" w:rsidP="00DE1BAA" w14:paraId="1B5CF619" w14:textId="77777777">
      <w:pPr>
        <w:rPr>
          <w:b/>
        </w:rPr>
      </w:pPr>
    </w:p>
    <w:p w:rsidR="009265A7" w:rsidRPr="00FB4823" w:rsidP="00DE1BAA" w14:paraId="036E2FE0" w14:textId="181FE9E7">
      <w:pPr>
        <w:rPr>
          <w:b/>
        </w:rPr>
      </w:pPr>
      <w:r w:rsidRPr="00FB4823">
        <w:rPr>
          <w:b/>
        </w:rPr>
        <w:t>Table A-12.b. Annualized Estimated Cost to Respondents</w:t>
      </w: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1998"/>
        <w:gridCol w:w="2222"/>
        <w:gridCol w:w="1440"/>
        <w:gridCol w:w="1530"/>
        <w:gridCol w:w="1350"/>
        <w:gridCol w:w="1890"/>
      </w:tblGrid>
      <w:tr w14:paraId="3192BD25" w14:textId="77777777" w:rsidTr="00DE1BAA">
        <w:tblPrEx>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Ex>
        <w:trPr>
          <w:trHeight w:val="683"/>
          <w:jc w:val="center"/>
        </w:trPr>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265A7" w:rsidRPr="00FB4823" w:rsidP="009265A7" w14:paraId="352F4ABD" w14:textId="77777777">
            <w:pPr>
              <w:autoSpaceDE w:val="0"/>
              <w:autoSpaceDN w:val="0"/>
              <w:spacing w:after="40"/>
              <w:jc w:val="center"/>
              <w:rPr>
                <w:rFonts w:eastAsia="Calibri"/>
                <w:sz w:val="22"/>
                <w:szCs w:val="22"/>
              </w:rPr>
            </w:pPr>
            <w:r w:rsidRPr="00FB4823">
              <w:rPr>
                <w:rFonts w:eastAsia="Calibri"/>
                <w:sz w:val="22"/>
                <w:szCs w:val="22"/>
              </w:rPr>
              <w:t>Type of respondent</w:t>
            </w:r>
          </w:p>
        </w:tc>
        <w:tc>
          <w:tcPr>
            <w:tcW w:w="2222" w:type="dxa"/>
            <w:tcBorders>
              <w:top w:val="single" w:sz="8" w:space="0" w:color="000000"/>
              <w:left w:val="single" w:sz="8" w:space="0" w:color="000000"/>
              <w:bottom w:val="single" w:sz="8" w:space="0" w:color="000000"/>
              <w:right w:val="single" w:sz="8" w:space="0" w:color="000000"/>
            </w:tcBorders>
            <w:vAlign w:val="bottom"/>
            <w:hideMark/>
          </w:tcPr>
          <w:p w:rsidR="009265A7" w:rsidRPr="00FB4823" w:rsidP="009265A7" w14:paraId="72530E7F" w14:textId="77777777">
            <w:pPr>
              <w:autoSpaceDE w:val="0"/>
              <w:autoSpaceDN w:val="0"/>
              <w:spacing w:after="40"/>
              <w:jc w:val="center"/>
              <w:rPr>
                <w:rFonts w:eastAsia="Calibri"/>
                <w:sz w:val="22"/>
                <w:szCs w:val="22"/>
              </w:rPr>
            </w:pPr>
            <w:r w:rsidRPr="00FB4823">
              <w:rPr>
                <w:rFonts w:eastAsia="Calibri"/>
                <w:sz w:val="22"/>
                <w:szCs w:val="22"/>
              </w:rPr>
              <w:t>Form Name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9265A7" w:rsidRPr="00FB4823" w:rsidP="009265A7" w14:paraId="7760162B" w14:textId="77777777">
            <w:pPr>
              <w:autoSpaceDE w:val="0"/>
              <w:autoSpaceDN w:val="0"/>
              <w:spacing w:after="40"/>
              <w:jc w:val="center"/>
              <w:rPr>
                <w:rFonts w:eastAsia="Calibri"/>
                <w:sz w:val="22"/>
                <w:szCs w:val="22"/>
              </w:rPr>
            </w:pPr>
            <w:r w:rsidRPr="00FB4823">
              <w:rPr>
                <w:rFonts w:eastAsia="Calibri"/>
                <w:sz w:val="22"/>
                <w:szCs w:val="22"/>
              </w:rPr>
              <w:t>Number of</w:t>
            </w:r>
          </w:p>
          <w:p w:rsidR="009265A7" w:rsidRPr="00FB4823" w:rsidP="009265A7" w14:paraId="3C3F6F86" w14:textId="77777777">
            <w:pPr>
              <w:autoSpaceDE w:val="0"/>
              <w:autoSpaceDN w:val="0"/>
              <w:spacing w:after="40"/>
              <w:jc w:val="center"/>
              <w:rPr>
                <w:rFonts w:eastAsia="Calibri"/>
                <w:sz w:val="22"/>
                <w:szCs w:val="22"/>
              </w:rPr>
            </w:pPr>
            <w:r w:rsidRPr="00FB4823">
              <w:rPr>
                <w:rFonts w:eastAsia="Calibri"/>
                <w:sz w:val="22"/>
                <w:szCs w:val="22"/>
              </w:rPr>
              <w:t>respondents</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B64483" w:rsidP="00A85F32" w14:paraId="7DB7DB13" w14:textId="47510013">
            <w:pPr>
              <w:autoSpaceDE w:val="0"/>
              <w:autoSpaceDN w:val="0"/>
              <w:spacing w:after="40"/>
              <w:jc w:val="center"/>
              <w:rPr>
                <w:rFonts w:eastAsia="Calibri"/>
                <w:sz w:val="22"/>
                <w:szCs w:val="22"/>
              </w:rPr>
            </w:pPr>
            <w:r>
              <w:rPr>
                <w:rFonts w:eastAsia="Calibri"/>
                <w:sz w:val="22"/>
                <w:szCs w:val="22"/>
              </w:rPr>
              <w:t>Total Burden</w:t>
            </w:r>
          </w:p>
          <w:p w:rsidR="009265A7" w:rsidRPr="00FB4823" w:rsidP="009265A7" w14:paraId="4D8858D9" w14:textId="115C5C58">
            <w:pPr>
              <w:autoSpaceDE w:val="0"/>
              <w:autoSpaceDN w:val="0"/>
              <w:spacing w:after="40"/>
              <w:jc w:val="center"/>
              <w:rPr>
                <w:rFonts w:eastAsia="Calibri"/>
                <w:sz w:val="22"/>
                <w:szCs w:val="22"/>
              </w:rPr>
            </w:pPr>
            <w:r w:rsidRPr="00FB4823">
              <w:rPr>
                <w:rFonts w:eastAsia="Calibri"/>
                <w:sz w:val="22"/>
                <w:szCs w:val="22"/>
              </w:rPr>
              <w:t>(in hours)</w:t>
            </w:r>
          </w:p>
        </w:tc>
        <w:tc>
          <w:tcPr>
            <w:tcW w:w="1350" w:type="dxa"/>
            <w:tcBorders>
              <w:top w:val="single" w:sz="8" w:space="0" w:color="000000"/>
              <w:left w:val="single" w:sz="8" w:space="0" w:color="000000"/>
              <w:bottom w:val="single" w:sz="8" w:space="0" w:color="000000"/>
              <w:right w:val="single" w:sz="8" w:space="0" w:color="000000"/>
            </w:tcBorders>
            <w:vAlign w:val="bottom"/>
          </w:tcPr>
          <w:p w:rsidR="009265A7" w:rsidRPr="00FB4823" w:rsidP="009265A7" w14:paraId="02C56BCE" w14:textId="77777777">
            <w:pPr>
              <w:autoSpaceDE w:val="0"/>
              <w:autoSpaceDN w:val="0"/>
              <w:spacing w:after="40"/>
              <w:jc w:val="center"/>
              <w:rPr>
                <w:rFonts w:eastAsia="Calibri"/>
                <w:sz w:val="22"/>
                <w:szCs w:val="22"/>
              </w:rPr>
            </w:pPr>
            <w:r w:rsidRPr="00FB4823">
              <w:rPr>
                <w:rFonts w:eastAsia="Calibri"/>
                <w:sz w:val="22"/>
                <w:szCs w:val="22"/>
              </w:rPr>
              <w:t>Average Hourly Wage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9265A7" w:rsidRPr="00FB4823" w:rsidP="009265A7" w14:paraId="6AC571AF" w14:textId="77777777">
            <w:pPr>
              <w:autoSpaceDE w:val="0"/>
              <w:autoSpaceDN w:val="0"/>
              <w:spacing w:after="40"/>
              <w:jc w:val="center"/>
              <w:rPr>
                <w:rFonts w:eastAsia="Calibri"/>
                <w:sz w:val="22"/>
                <w:szCs w:val="22"/>
              </w:rPr>
            </w:pPr>
            <w:r w:rsidRPr="00FB4823">
              <w:rPr>
                <w:rFonts w:eastAsia="Calibri"/>
                <w:sz w:val="22"/>
                <w:szCs w:val="22"/>
              </w:rPr>
              <w:t>Total cost</w:t>
            </w:r>
          </w:p>
          <w:p w:rsidR="009265A7" w:rsidRPr="00FB4823" w:rsidP="009265A7" w14:paraId="33A73B17" w14:textId="77777777">
            <w:pPr>
              <w:autoSpaceDE w:val="0"/>
              <w:autoSpaceDN w:val="0"/>
              <w:spacing w:after="40"/>
              <w:jc w:val="center"/>
              <w:rPr>
                <w:rFonts w:eastAsia="Calibri"/>
                <w:sz w:val="22"/>
                <w:szCs w:val="22"/>
              </w:rPr>
            </w:pPr>
          </w:p>
        </w:tc>
      </w:tr>
      <w:tr w14:paraId="73F3E6A7" w14:textId="77777777" w:rsidTr="00B8368F">
        <w:tblPrEx>
          <w:tblW w:w="10430" w:type="dxa"/>
          <w:jc w:val="center"/>
          <w:tblLayout w:type="fixed"/>
          <w:tblCellMar>
            <w:left w:w="0" w:type="dxa"/>
            <w:right w:w="0" w:type="dxa"/>
          </w:tblCellMar>
          <w:tblLook w:val="00A0"/>
        </w:tblPrEx>
        <w:trPr>
          <w:trHeight w:val="1276"/>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6A67D8" w:rsidRPr="00B8368F" w:rsidP="00B8368F" w14:paraId="656EFB79" w14:textId="65BF6F70">
            <w:pPr>
              <w:autoSpaceDE w:val="0"/>
              <w:autoSpaceDN w:val="0"/>
              <w:spacing w:before="60"/>
              <w:jc w:val="right"/>
              <w:rPr>
                <w:rFonts w:eastAsia="Calibri"/>
                <w:sz w:val="22"/>
                <w:szCs w:val="22"/>
              </w:rPr>
            </w:pPr>
            <w:r w:rsidRPr="00B8368F">
              <w:rPr>
                <w:rFonts w:eastAsia="Calibri"/>
                <w:sz w:val="22"/>
                <w:szCs w:val="22"/>
              </w:rPr>
              <w:t>Quitline participants who contact the quitline for help for themselves</w:t>
            </w:r>
          </w:p>
        </w:tc>
        <w:tc>
          <w:tcPr>
            <w:tcW w:w="2222" w:type="dxa"/>
            <w:tcBorders>
              <w:top w:val="single" w:sz="8" w:space="0" w:color="000000"/>
              <w:left w:val="single" w:sz="8" w:space="0" w:color="000000"/>
              <w:right w:val="single" w:sz="8" w:space="0" w:color="000000"/>
            </w:tcBorders>
          </w:tcPr>
          <w:p w:rsidR="006A67D8" w:rsidRPr="00B8368F" w:rsidP="00B8368F" w14:paraId="6DB23249" w14:textId="77777777">
            <w:pPr>
              <w:autoSpaceDE w:val="0"/>
              <w:autoSpaceDN w:val="0"/>
              <w:spacing w:before="60"/>
              <w:ind w:left="90" w:right="90"/>
              <w:jc w:val="right"/>
              <w:rPr>
                <w:rFonts w:eastAsia="Calibri"/>
                <w:sz w:val="22"/>
                <w:szCs w:val="22"/>
              </w:rPr>
            </w:pPr>
            <w:r w:rsidRPr="00B8368F">
              <w:rPr>
                <w:rFonts w:eastAsia="Calibri"/>
                <w:sz w:val="22"/>
                <w:szCs w:val="22"/>
              </w:rPr>
              <w:t>NQDW Intake Questionnaire (English-complete)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684018D9" w14:textId="74DF312F">
            <w:pPr>
              <w:autoSpaceDE w:val="0"/>
              <w:autoSpaceDN w:val="0"/>
              <w:spacing w:before="60"/>
              <w:jc w:val="right"/>
              <w:rPr>
                <w:sz w:val="22"/>
                <w:szCs w:val="22"/>
              </w:rPr>
            </w:pPr>
            <w:r w:rsidRPr="00B8368F">
              <w:rPr>
                <w:rFonts w:eastAsia="Calibri"/>
                <w:sz w:val="22"/>
                <w:szCs w:val="22"/>
              </w:rPr>
              <w:t>405,053</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7E062042" w14:textId="316ED3EF">
            <w:pPr>
              <w:autoSpaceDE w:val="0"/>
              <w:autoSpaceDN w:val="0"/>
              <w:spacing w:before="60"/>
              <w:jc w:val="right"/>
              <w:rPr>
                <w:sz w:val="22"/>
                <w:szCs w:val="22"/>
              </w:rPr>
            </w:pPr>
            <w:r w:rsidRPr="00B8368F">
              <w:rPr>
                <w:rFonts w:eastAsia="Calibri"/>
                <w:sz w:val="22"/>
                <w:szCs w:val="22"/>
              </w:rPr>
              <w:t>67,509</w:t>
            </w:r>
          </w:p>
        </w:tc>
        <w:tc>
          <w:tcPr>
            <w:tcW w:w="1350" w:type="dxa"/>
            <w:tcBorders>
              <w:top w:val="single" w:sz="8" w:space="0" w:color="000000"/>
              <w:left w:val="single" w:sz="8" w:space="0" w:color="000000"/>
              <w:bottom w:val="single" w:sz="8" w:space="0" w:color="000000"/>
              <w:right w:val="single" w:sz="8" w:space="0" w:color="000000"/>
            </w:tcBorders>
          </w:tcPr>
          <w:p w:rsidR="006A67D8" w:rsidP="00B8368F" w14:paraId="61B776E1" w14:textId="537B9875">
            <w:pPr>
              <w:autoSpaceDE w:val="0"/>
              <w:autoSpaceDN w:val="0"/>
              <w:spacing w:before="60"/>
              <w:jc w:val="right"/>
              <w:rPr>
                <w:sz w:val="22"/>
                <w:szCs w:val="22"/>
              </w:rPr>
            </w:pPr>
            <w:r>
              <w:rPr>
                <w:sz w:val="22"/>
                <w:szCs w:val="22"/>
              </w:rPr>
              <w:t>$27.04</w:t>
            </w:r>
          </w:p>
          <w:p w:rsidR="00ED725A" w:rsidRPr="00B8368F" w:rsidP="00B8368F" w14:paraId="4C10859A" w14:textId="055324CD">
            <w:pPr>
              <w:autoSpaceDE w:val="0"/>
              <w:autoSpaceDN w:val="0"/>
              <w:spacing w:before="60"/>
              <w:jc w:val="right"/>
              <w:rPr>
                <w:rFonts w:eastAsia="Calibri"/>
                <w:sz w:val="22"/>
                <w:szCs w:val="22"/>
              </w:rPr>
            </w:pP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30E24814" w14:textId="150EA6E5">
            <w:pPr>
              <w:autoSpaceDE w:val="0"/>
              <w:autoSpaceDN w:val="0"/>
              <w:spacing w:before="60"/>
              <w:jc w:val="right"/>
              <w:rPr>
                <w:rFonts w:eastAsia="Calibri"/>
                <w:sz w:val="22"/>
                <w:szCs w:val="22"/>
              </w:rPr>
            </w:pPr>
            <w:r w:rsidRPr="00290B17">
              <w:rPr>
                <w:sz w:val="22"/>
                <w:szCs w:val="22"/>
              </w:rPr>
              <w:t>$</w:t>
            </w:r>
            <w:r w:rsidR="00ED725A">
              <w:rPr>
                <w:sz w:val="22"/>
                <w:szCs w:val="22"/>
              </w:rPr>
              <w:t>1,825,439</w:t>
            </w:r>
            <w:r w:rsidRPr="00290B17">
              <w:rPr>
                <w:sz w:val="22"/>
                <w:szCs w:val="22"/>
              </w:rPr>
              <w:t xml:space="preserve"> </w:t>
            </w:r>
          </w:p>
        </w:tc>
      </w:tr>
      <w:tr w14:paraId="583821E9" w14:textId="77777777" w:rsidTr="00B8368F">
        <w:tblPrEx>
          <w:tblW w:w="10430" w:type="dxa"/>
          <w:jc w:val="center"/>
          <w:tblLayout w:type="fixed"/>
          <w:tblCellMar>
            <w:left w:w="0" w:type="dxa"/>
            <w:right w:w="0" w:type="dxa"/>
          </w:tblCellMar>
          <w:tblLook w:val="00A0"/>
        </w:tblPrEx>
        <w:trPr>
          <w:trHeight w:val="1258"/>
          <w:jc w:val="center"/>
        </w:trPr>
        <w:tc>
          <w:tcPr>
            <w:tcW w:w="1998" w:type="dxa"/>
            <w:vMerge/>
            <w:tcBorders>
              <w:left w:val="single" w:sz="8" w:space="0" w:color="000000"/>
              <w:right w:val="single" w:sz="8" w:space="0" w:color="000000"/>
            </w:tcBorders>
            <w:tcMar>
              <w:top w:w="0" w:type="dxa"/>
              <w:left w:w="108" w:type="dxa"/>
              <w:bottom w:w="0" w:type="dxa"/>
              <w:right w:w="108" w:type="dxa"/>
            </w:tcMar>
          </w:tcPr>
          <w:p w:rsidR="006A67D8" w:rsidRPr="00B8368F" w:rsidP="00B8368F" w14:paraId="6EE48821" w14:textId="77777777">
            <w:pPr>
              <w:autoSpaceDE w:val="0"/>
              <w:autoSpaceDN w:val="0"/>
              <w:spacing w:before="60"/>
              <w:jc w:val="right"/>
              <w:rPr>
                <w:rFonts w:eastAsia="Calibri"/>
                <w:sz w:val="22"/>
                <w:szCs w:val="22"/>
              </w:rPr>
            </w:pPr>
          </w:p>
        </w:tc>
        <w:tc>
          <w:tcPr>
            <w:tcW w:w="2222" w:type="dxa"/>
            <w:tcBorders>
              <w:left w:val="single" w:sz="8" w:space="0" w:color="000000"/>
              <w:bottom w:val="single" w:sz="8" w:space="0" w:color="000000"/>
              <w:right w:val="single" w:sz="8" w:space="0" w:color="000000"/>
            </w:tcBorders>
          </w:tcPr>
          <w:p w:rsidR="006A67D8" w:rsidRPr="00B8368F" w:rsidP="00B8368F" w14:paraId="504756BE" w14:textId="77777777">
            <w:pPr>
              <w:autoSpaceDE w:val="0"/>
              <w:autoSpaceDN w:val="0"/>
              <w:spacing w:before="60"/>
              <w:ind w:left="90" w:right="90"/>
              <w:jc w:val="right"/>
              <w:rPr>
                <w:rFonts w:eastAsia="Calibri"/>
                <w:sz w:val="22"/>
                <w:szCs w:val="22"/>
              </w:rPr>
            </w:pPr>
            <w:r w:rsidRPr="00B8368F">
              <w:rPr>
                <w:rFonts w:eastAsia="Calibri"/>
                <w:sz w:val="22"/>
                <w:szCs w:val="22"/>
              </w:rPr>
              <w:t>NQDW (ASQ) Intake Questionnaire (Chinese, Korean, or Vietnamese-complete)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5BD7A17F" w14:textId="6C27D8B6">
            <w:pPr>
              <w:autoSpaceDE w:val="0"/>
              <w:autoSpaceDN w:val="0"/>
              <w:spacing w:before="60"/>
              <w:jc w:val="right"/>
              <w:rPr>
                <w:sz w:val="22"/>
                <w:szCs w:val="22"/>
              </w:rPr>
            </w:pPr>
            <w:r w:rsidRPr="00B8368F">
              <w:rPr>
                <w:rFonts w:eastAsia="Calibri"/>
                <w:sz w:val="22"/>
                <w:szCs w:val="22"/>
              </w:rPr>
              <w:t>1,686</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7A5B633E" w14:textId="0E88B551">
            <w:pPr>
              <w:autoSpaceDE w:val="0"/>
              <w:autoSpaceDN w:val="0"/>
              <w:spacing w:before="60"/>
              <w:jc w:val="right"/>
              <w:rPr>
                <w:sz w:val="22"/>
                <w:szCs w:val="22"/>
              </w:rPr>
            </w:pPr>
            <w:r w:rsidRPr="00B8368F">
              <w:rPr>
                <w:rFonts w:eastAsia="Calibri"/>
                <w:sz w:val="22"/>
                <w:szCs w:val="22"/>
              </w:rPr>
              <w:t>281</w:t>
            </w:r>
          </w:p>
        </w:tc>
        <w:tc>
          <w:tcPr>
            <w:tcW w:w="1350" w:type="dxa"/>
            <w:tcBorders>
              <w:top w:val="single" w:sz="8" w:space="0" w:color="000000"/>
              <w:left w:val="single" w:sz="8" w:space="0" w:color="000000"/>
              <w:bottom w:val="single" w:sz="8" w:space="0" w:color="000000"/>
              <w:right w:val="single" w:sz="8" w:space="0" w:color="000000"/>
            </w:tcBorders>
          </w:tcPr>
          <w:p w:rsidR="006A67D8" w:rsidRPr="00B8368F" w:rsidP="00B8368F" w14:paraId="1EFB471F" w14:textId="7E0DB443">
            <w:pPr>
              <w:autoSpaceDE w:val="0"/>
              <w:autoSpaceDN w:val="0"/>
              <w:spacing w:before="60"/>
              <w:jc w:val="right"/>
              <w:rPr>
                <w:sz w:val="22"/>
                <w:szCs w:val="22"/>
              </w:rPr>
            </w:pPr>
            <w:r>
              <w:rPr>
                <w:sz w:val="22"/>
                <w:szCs w:val="22"/>
              </w:rPr>
              <w:t>$27.04</w:t>
            </w:r>
            <w:r w:rsidRPr="00B8368F">
              <w:rPr>
                <w:sz w:val="22"/>
                <w:szCs w:val="22"/>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A67D8" w:rsidRPr="00B8368F" w:rsidP="00B8368F" w14:paraId="28E44502" w14:textId="67D535E1">
            <w:pPr>
              <w:autoSpaceDE w:val="0"/>
              <w:autoSpaceDN w:val="0"/>
              <w:spacing w:before="60"/>
              <w:jc w:val="right"/>
              <w:rPr>
                <w:rFonts w:eastAsia="Calibri"/>
                <w:sz w:val="22"/>
                <w:szCs w:val="22"/>
              </w:rPr>
            </w:pPr>
            <w:r w:rsidRPr="00B8368F">
              <w:rPr>
                <w:sz w:val="22"/>
                <w:szCs w:val="22"/>
              </w:rPr>
              <w:t>$</w:t>
            </w:r>
            <w:r w:rsidR="00ED725A">
              <w:rPr>
                <w:sz w:val="22"/>
                <w:szCs w:val="22"/>
              </w:rPr>
              <w:t>7,598</w:t>
            </w:r>
            <w:r w:rsidRPr="00B8368F">
              <w:rPr>
                <w:sz w:val="22"/>
                <w:szCs w:val="22"/>
              </w:rPr>
              <w:t xml:space="preserve"> </w:t>
            </w:r>
          </w:p>
        </w:tc>
      </w:tr>
      <w:tr w14:paraId="34804486" w14:textId="77777777" w:rsidTr="00B8368F">
        <w:tblPrEx>
          <w:tblW w:w="10430" w:type="dxa"/>
          <w:jc w:val="center"/>
          <w:tblLayout w:type="fixed"/>
          <w:tblCellMar>
            <w:left w:w="0" w:type="dxa"/>
            <w:right w:w="0" w:type="dxa"/>
          </w:tblCellMar>
          <w:tblLook w:val="00A0"/>
        </w:tblPrEx>
        <w:trPr>
          <w:trHeight w:val="1258"/>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7C79CCB8" w14:textId="77777777">
            <w:pPr>
              <w:autoSpaceDE w:val="0"/>
              <w:autoSpaceDN w:val="0"/>
              <w:spacing w:before="60"/>
              <w:jc w:val="right"/>
              <w:rPr>
                <w:rFonts w:eastAsia="Calibri"/>
                <w:sz w:val="22"/>
                <w:szCs w:val="22"/>
              </w:rPr>
            </w:pPr>
          </w:p>
        </w:tc>
        <w:tc>
          <w:tcPr>
            <w:tcW w:w="2222" w:type="dxa"/>
            <w:tcBorders>
              <w:left w:val="single" w:sz="8" w:space="0" w:color="000000"/>
              <w:bottom w:val="single" w:sz="8" w:space="0" w:color="000000"/>
              <w:right w:val="single" w:sz="8" w:space="0" w:color="000000"/>
            </w:tcBorders>
          </w:tcPr>
          <w:p w:rsidR="00ED725A" w:rsidRPr="00B8368F" w:rsidP="00ED725A" w14:paraId="67AFB051" w14:textId="77777777">
            <w:pPr>
              <w:autoSpaceDE w:val="0"/>
              <w:autoSpaceDN w:val="0"/>
              <w:spacing w:before="60"/>
              <w:ind w:left="90" w:right="90"/>
              <w:jc w:val="right"/>
              <w:rPr>
                <w:rFonts w:eastAsia="Calibri"/>
                <w:sz w:val="22"/>
                <w:szCs w:val="22"/>
              </w:rPr>
            </w:pPr>
            <w:r w:rsidRPr="00B8368F">
              <w:rPr>
                <w:rFonts w:eastAsia="Calibri"/>
                <w:sz w:val="22"/>
                <w:szCs w:val="22"/>
              </w:rPr>
              <w:t>NQDW (ASQ) Seven-Month Follow-up Questionnaire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5A0C0ED5" w14:textId="0935B79F">
            <w:pPr>
              <w:autoSpaceDE w:val="0"/>
              <w:autoSpaceDN w:val="0"/>
              <w:spacing w:before="60"/>
              <w:jc w:val="right"/>
              <w:rPr>
                <w:sz w:val="22"/>
                <w:szCs w:val="22"/>
              </w:rPr>
            </w:pPr>
            <w:r w:rsidRPr="00B8368F">
              <w:rPr>
                <w:rFonts w:eastAsia="Calibri"/>
                <w:sz w:val="22"/>
                <w:szCs w:val="22"/>
              </w:rPr>
              <w:t>236</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1BA1E171" w14:textId="6CD1F9C5">
            <w:pPr>
              <w:autoSpaceDE w:val="0"/>
              <w:autoSpaceDN w:val="0"/>
              <w:spacing w:before="60"/>
              <w:jc w:val="right"/>
              <w:rPr>
                <w:sz w:val="22"/>
                <w:szCs w:val="22"/>
              </w:rPr>
            </w:pPr>
            <w:r w:rsidRPr="00B8368F">
              <w:rPr>
                <w:rFonts w:eastAsia="Calibri"/>
                <w:sz w:val="22"/>
                <w:szCs w:val="22"/>
              </w:rPr>
              <w:t>28</w:t>
            </w:r>
          </w:p>
        </w:tc>
        <w:tc>
          <w:tcPr>
            <w:tcW w:w="1350" w:type="dxa"/>
            <w:tcBorders>
              <w:top w:val="single" w:sz="8" w:space="0" w:color="000000"/>
              <w:left w:val="single" w:sz="8" w:space="0" w:color="000000"/>
              <w:bottom w:val="single" w:sz="8" w:space="0" w:color="000000"/>
              <w:right w:val="single" w:sz="8" w:space="0" w:color="000000"/>
            </w:tcBorders>
          </w:tcPr>
          <w:p w:rsidR="00ED725A" w:rsidRPr="00B8368F" w:rsidP="00ED725A" w14:paraId="2C525A48" w14:textId="74309FF8">
            <w:pPr>
              <w:autoSpaceDE w:val="0"/>
              <w:autoSpaceDN w:val="0"/>
              <w:spacing w:before="60"/>
              <w:jc w:val="right"/>
              <w:rPr>
                <w:rFonts w:eastAsia="Calibri"/>
                <w:sz w:val="22"/>
                <w:szCs w:val="22"/>
              </w:rPr>
            </w:pPr>
            <w:r w:rsidRPr="00F85CED">
              <w:rPr>
                <w:sz w:val="22"/>
                <w:szCs w:val="22"/>
              </w:rPr>
              <w:t>$27.04</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6E5E58C4" w14:textId="5EF45DDF">
            <w:pPr>
              <w:autoSpaceDE w:val="0"/>
              <w:autoSpaceDN w:val="0"/>
              <w:spacing w:before="60"/>
              <w:jc w:val="right"/>
              <w:rPr>
                <w:rFonts w:eastAsia="Calibri"/>
                <w:sz w:val="22"/>
                <w:szCs w:val="22"/>
              </w:rPr>
            </w:pPr>
            <w:r w:rsidRPr="00B8368F">
              <w:rPr>
                <w:sz w:val="22"/>
                <w:szCs w:val="22"/>
              </w:rPr>
              <w:t>$</w:t>
            </w:r>
            <w:r>
              <w:rPr>
                <w:sz w:val="22"/>
                <w:szCs w:val="22"/>
              </w:rPr>
              <w:t>757</w:t>
            </w:r>
            <w:r w:rsidRPr="00B8368F">
              <w:rPr>
                <w:sz w:val="22"/>
                <w:szCs w:val="22"/>
              </w:rPr>
              <w:t xml:space="preserve"> </w:t>
            </w:r>
          </w:p>
        </w:tc>
      </w:tr>
      <w:tr w14:paraId="1F2C41BE" w14:textId="77777777" w:rsidTr="00B8368F">
        <w:tblPrEx>
          <w:tblW w:w="10430" w:type="dxa"/>
          <w:jc w:val="center"/>
          <w:tblLayout w:type="fixed"/>
          <w:tblCellMar>
            <w:left w:w="0" w:type="dxa"/>
            <w:right w:w="0" w:type="dxa"/>
          </w:tblCellMar>
          <w:tblLook w:val="00A0"/>
        </w:tblPrEx>
        <w:trPr>
          <w:cantSplit/>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ED725A" w:rsidRPr="00B8368F" w:rsidP="00ED725A" w14:paraId="37D1A31E" w14:textId="5CDCDABD">
            <w:pPr>
              <w:autoSpaceDE w:val="0"/>
              <w:autoSpaceDN w:val="0"/>
              <w:spacing w:before="60"/>
              <w:jc w:val="right"/>
              <w:rPr>
                <w:rFonts w:eastAsia="Calibri"/>
                <w:sz w:val="22"/>
                <w:szCs w:val="22"/>
              </w:rPr>
            </w:pPr>
            <w:r w:rsidRPr="00B8368F">
              <w:rPr>
                <w:rFonts w:eastAsia="Calibri"/>
                <w:sz w:val="22"/>
                <w:szCs w:val="22"/>
              </w:rPr>
              <w:t>Participants who contact the quitline on behalf of someone else</w:t>
            </w:r>
          </w:p>
        </w:tc>
        <w:tc>
          <w:tcPr>
            <w:tcW w:w="2222" w:type="dxa"/>
            <w:tcBorders>
              <w:top w:val="single" w:sz="8" w:space="0" w:color="000000"/>
              <w:left w:val="single" w:sz="8" w:space="0" w:color="000000"/>
              <w:right w:val="single" w:sz="8" w:space="0" w:color="000000"/>
            </w:tcBorders>
          </w:tcPr>
          <w:p w:rsidR="00ED725A" w:rsidRPr="00B8368F" w:rsidP="00ED725A" w14:paraId="006B98F5" w14:textId="77777777">
            <w:pPr>
              <w:autoSpaceDE w:val="0"/>
              <w:autoSpaceDN w:val="0"/>
              <w:spacing w:before="60"/>
              <w:ind w:left="90" w:right="90"/>
              <w:jc w:val="right"/>
              <w:rPr>
                <w:rFonts w:eastAsia="Calibri"/>
                <w:sz w:val="22"/>
                <w:szCs w:val="22"/>
              </w:rPr>
            </w:pPr>
            <w:r w:rsidRPr="00B8368F">
              <w:rPr>
                <w:rFonts w:eastAsia="Calibri"/>
                <w:sz w:val="22"/>
                <w:szCs w:val="22"/>
              </w:rPr>
              <w:t>NQDW Intake Questionnaire (English-subset)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3AD7A76D" w14:textId="2A2B3AC5">
            <w:pPr>
              <w:autoSpaceDE w:val="0"/>
              <w:autoSpaceDN w:val="0"/>
              <w:spacing w:before="60"/>
              <w:jc w:val="right"/>
              <w:rPr>
                <w:sz w:val="22"/>
                <w:szCs w:val="22"/>
              </w:rPr>
            </w:pPr>
            <w:r w:rsidRPr="00B8368F">
              <w:rPr>
                <w:rFonts w:eastAsia="Calibri"/>
                <w:sz w:val="22"/>
                <w:szCs w:val="22"/>
              </w:rPr>
              <w:t>819</w:t>
            </w:r>
          </w:p>
        </w:tc>
        <w:tc>
          <w:tcPr>
            <w:tcW w:w="153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7E3ED1D1" w14:textId="1806C0FF">
            <w:pPr>
              <w:autoSpaceDE w:val="0"/>
              <w:autoSpaceDN w:val="0"/>
              <w:spacing w:before="60"/>
              <w:jc w:val="right"/>
              <w:rPr>
                <w:sz w:val="22"/>
                <w:szCs w:val="22"/>
              </w:rPr>
            </w:pPr>
            <w:r w:rsidRPr="00B8368F">
              <w:rPr>
                <w:rFonts w:eastAsia="Calibri"/>
                <w:sz w:val="22"/>
                <w:szCs w:val="22"/>
              </w:rPr>
              <w:t>14</w:t>
            </w:r>
          </w:p>
        </w:tc>
        <w:tc>
          <w:tcPr>
            <w:tcW w:w="1350" w:type="dxa"/>
            <w:tcBorders>
              <w:top w:val="single" w:sz="8" w:space="0" w:color="000000"/>
              <w:left w:val="single" w:sz="8" w:space="0" w:color="000000"/>
              <w:bottom w:val="single" w:sz="4" w:space="0" w:color="000000"/>
              <w:right w:val="single" w:sz="8" w:space="0" w:color="000000"/>
            </w:tcBorders>
          </w:tcPr>
          <w:p w:rsidR="00ED725A" w:rsidRPr="00B8368F" w:rsidP="00ED725A" w14:paraId="4B0446B2" w14:textId="751F8890">
            <w:pPr>
              <w:autoSpaceDE w:val="0"/>
              <w:autoSpaceDN w:val="0"/>
              <w:spacing w:before="60"/>
              <w:jc w:val="right"/>
              <w:rPr>
                <w:rFonts w:eastAsia="Calibri"/>
                <w:sz w:val="22"/>
                <w:szCs w:val="22"/>
              </w:rPr>
            </w:pPr>
            <w:r w:rsidRPr="00F85CED">
              <w:rPr>
                <w:sz w:val="22"/>
                <w:szCs w:val="22"/>
              </w:rPr>
              <w:t>$27.04</w:t>
            </w:r>
          </w:p>
        </w:tc>
        <w:tc>
          <w:tcPr>
            <w:tcW w:w="189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7E18F998" w14:textId="61143AC7">
            <w:pPr>
              <w:autoSpaceDE w:val="0"/>
              <w:autoSpaceDN w:val="0"/>
              <w:spacing w:before="60"/>
              <w:jc w:val="right"/>
              <w:rPr>
                <w:rFonts w:eastAsia="Calibri"/>
                <w:sz w:val="22"/>
                <w:szCs w:val="22"/>
              </w:rPr>
            </w:pPr>
            <w:r w:rsidRPr="00B8368F">
              <w:rPr>
                <w:sz w:val="22"/>
                <w:szCs w:val="22"/>
              </w:rPr>
              <w:t>$</w:t>
            </w:r>
            <w:r>
              <w:rPr>
                <w:sz w:val="22"/>
                <w:szCs w:val="22"/>
              </w:rPr>
              <w:t>379</w:t>
            </w:r>
            <w:r w:rsidRPr="00B8368F">
              <w:rPr>
                <w:sz w:val="22"/>
                <w:szCs w:val="22"/>
              </w:rPr>
              <w:t xml:space="preserve"> </w:t>
            </w:r>
          </w:p>
        </w:tc>
      </w:tr>
      <w:tr w14:paraId="65FA9ADA" w14:textId="77777777" w:rsidTr="00B8368F">
        <w:tblPrEx>
          <w:tblW w:w="10430" w:type="dxa"/>
          <w:jc w:val="center"/>
          <w:tblLayout w:type="fixed"/>
          <w:tblCellMar>
            <w:left w:w="0" w:type="dxa"/>
            <w:right w:w="0" w:type="dxa"/>
          </w:tblCellMar>
          <w:tblLook w:val="00A0"/>
        </w:tblPrEx>
        <w:trPr>
          <w:trHeight w:val="1159"/>
          <w:jc w:val="center"/>
        </w:trPr>
        <w:tc>
          <w:tcPr>
            <w:tcW w:w="1998" w:type="dxa"/>
            <w:vMerge/>
            <w:tcBorders>
              <w:left w:val="single" w:sz="8" w:space="0" w:color="000000"/>
              <w:right w:val="single" w:sz="8" w:space="0" w:color="000000"/>
            </w:tcBorders>
            <w:tcMar>
              <w:top w:w="0" w:type="dxa"/>
              <w:left w:w="108" w:type="dxa"/>
              <w:bottom w:w="0" w:type="dxa"/>
              <w:right w:w="108" w:type="dxa"/>
            </w:tcMar>
          </w:tcPr>
          <w:p w:rsidR="00ED725A" w:rsidRPr="00B8368F" w:rsidP="00ED725A" w14:paraId="7FE2E3DF" w14:textId="77777777">
            <w:pPr>
              <w:autoSpaceDE w:val="0"/>
              <w:autoSpaceDN w:val="0"/>
              <w:spacing w:before="60"/>
              <w:jc w:val="right"/>
              <w:rPr>
                <w:rFonts w:eastAsia="Calibri"/>
                <w:sz w:val="22"/>
                <w:szCs w:val="22"/>
              </w:rPr>
            </w:pPr>
          </w:p>
        </w:tc>
        <w:tc>
          <w:tcPr>
            <w:tcW w:w="2222" w:type="dxa"/>
            <w:tcBorders>
              <w:top w:val="single" w:sz="8" w:space="0" w:color="000000"/>
              <w:left w:val="single" w:sz="8" w:space="0" w:color="000000"/>
              <w:right w:val="single" w:sz="8" w:space="0" w:color="000000"/>
            </w:tcBorders>
          </w:tcPr>
          <w:p w:rsidR="00ED725A" w:rsidRPr="00B8368F" w:rsidP="00ED725A" w14:paraId="3E4CD7A6" w14:textId="77777777">
            <w:pPr>
              <w:autoSpaceDE w:val="0"/>
              <w:autoSpaceDN w:val="0"/>
              <w:spacing w:before="60"/>
              <w:ind w:left="90" w:right="90"/>
              <w:jc w:val="right"/>
              <w:rPr>
                <w:rFonts w:eastAsia="Calibri"/>
                <w:sz w:val="22"/>
                <w:szCs w:val="22"/>
              </w:rPr>
            </w:pPr>
            <w:r w:rsidRPr="00B8368F">
              <w:rPr>
                <w:rFonts w:eastAsia="Calibri"/>
                <w:sz w:val="22"/>
                <w:szCs w:val="22"/>
              </w:rPr>
              <w:t>NQDW (ASQ) Intake Questionnaire (Chinese, Korean, or Vietnamese-subset)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24F9DC0A" w14:textId="0EDC1A47">
            <w:pPr>
              <w:autoSpaceDE w:val="0"/>
              <w:autoSpaceDN w:val="0"/>
              <w:spacing w:before="60"/>
              <w:jc w:val="right"/>
              <w:rPr>
                <w:sz w:val="22"/>
                <w:szCs w:val="22"/>
              </w:rPr>
            </w:pPr>
            <w:r w:rsidRPr="00B8368F">
              <w:rPr>
                <w:rFonts w:eastAsia="Calibri"/>
                <w:sz w:val="22"/>
                <w:szCs w:val="22"/>
              </w:rPr>
              <w:t>249</w:t>
            </w:r>
          </w:p>
        </w:tc>
        <w:tc>
          <w:tcPr>
            <w:tcW w:w="153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207B3238" w14:textId="242DCE26">
            <w:pPr>
              <w:autoSpaceDE w:val="0"/>
              <w:autoSpaceDN w:val="0"/>
              <w:spacing w:before="60"/>
              <w:jc w:val="right"/>
              <w:rPr>
                <w:sz w:val="22"/>
                <w:szCs w:val="22"/>
              </w:rPr>
            </w:pPr>
            <w:r w:rsidRPr="00B8368F">
              <w:rPr>
                <w:rFonts w:eastAsia="Calibri"/>
                <w:sz w:val="22"/>
                <w:szCs w:val="22"/>
              </w:rPr>
              <w:t>4</w:t>
            </w:r>
          </w:p>
        </w:tc>
        <w:tc>
          <w:tcPr>
            <w:tcW w:w="1350" w:type="dxa"/>
            <w:tcBorders>
              <w:top w:val="single" w:sz="8" w:space="0" w:color="000000"/>
              <w:left w:val="single" w:sz="8" w:space="0" w:color="000000"/>
              <w:bottom w:val="single" w:sz="4" w:space="0" w:color="000000"/>
              <w:right w:val="single" w:sz="8" w:space="0" w:color="000000"/>
            </w:tcBorders>
          </w:tcPr>
          <w:p w:rsidR="00ED725A" w:rsidRPr="00B8368F" w:rsidP="00ED725A" w14:paraId="314245DE" w14:textId="01897A49">
            <w:pPr>
              <w:autoSpaceDE w:val="0"/>
              <w:autoSpaceDN w:val="0"/>
              <w:spacing w:before="60"/>
              <w:jc w:val="right"/>
              <w:rPr>
                <w:rFonts w:eastAsia="Calibri"/>
                <w:sz w:val="22"/>
                <w:szCs w:val="22"/>
              </w:rPr>
            </w:pPr>
            <w:r w:rsidRPr="00F85CED">
              <w:rPr>
                <w:sz w:val="22"/>
                <w:szCs w:val="22"/>
              </w:rPr>
              <w:t>$27.04</w:t>
            </w:r>
          </w:p>
        </w:tc>
        <w:tc>
          <w:tcPr>
            <w:tcW w:w="189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D725A" w:rsidRPr="00B8368F" w:rsidP="00ED725A" w14:paraId="567F1FFA" w14:textId="17479DAB">
            <w:pPr>
              <w:autoSpaceDE w:val="0"/>
              <w:autoSpaceDN w:val="0"/>
              <w:spacing w:before="60"/>
              <w:jc w:val="right"/>
              <w:rPr>
                <w:rFonts w:eastAsia="Calibri"/>
                <w:sz w:val="22"/>
                <w:szCs w:val="22"/>
              </w:rPr>
            </w:pPr>
            <w:r w:rsidRPr="00B8368F">
              <w:rPr>
                <w:sz w:val="22"/>
                <w:szCs w:val="22"/>
              </w:rPr>
              <w:t>$</w:t>
            </w:r>
            <w:r>
              <w:rPr>
                <w:sz w:val="22"/>
                <w:szCs w:val="22"/>
              </w:rPr>
              <w:t>108</w:t>
            </w:r>
            <w:r w:rsidRPr="00B8368F">
              <w:rPr>
                <w:sz w:val="22"/>
                <w:szCs w:val="22"/>
              </w:rPr>
              <w:t xml:space="preserve"> </w:t>
            </w:r>
          </w:p>
        </w:tc>
      </w:tr>
      <w:tr w14:paraId="04B6B3C8" w14:textId="77777777" w:rsidTr="00B8368F">
        <w:tblPrEx>
          <w:tblW w:w="10430" w:type="dxa"/>
          <w:jc w:val="center"/>
          <w:tblLayout w:type="fixed"/>
          <w:tblCellMar>
            <w:left w:w="0" w:type="dxa"/>
            <w:right w:w="0" w:type="dxa"/>
          </w:tblCellMar>
          <w:tblLook w:val="00A0"/>
        </w:tblPrEx>
        <w:trPr>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ED725A" w:rsidRPr="00B8368F" w:rsidP="00ED725A" w14:paraId="5A137FA6" w14:textId="77777777">
            <w:pPr>
              <w:autoSpaceDE w:val="0"/>
              <w:autoSpaceDN w:val="0"/>
              <w:spacing w:before="60"/>
              <w:jc w:val="right"/>
              <w:rPr>
                <w:rFonts w:eastAsia="Calibri"/>
                <w:sz w:val="22"/>
                <w:szCs w:val="22"/>
              </w:rPr>
            </w:pPr>
            <w:r w:rsidRPr="00B8368F">
              <w:rPr>
                <w:rFonts w:eastAsia="Calibri"/>
                <w:sz w:val="22"/>
                <w:szCs w:val="22"/>
              </w:rPr>
              <w:t xml:space="preserve">Tobacco Control Manager or their Designee / Quitline Service Provider </w:t>
            </w:r>
            <w:r w:rsidRPr="00B8368F">
              <w:rPr>
                <w:rFonts w:eastAsia="Calibri"/>
                <w:sz w:val="22"/>
                <w:szCs w:val="22"/>
              </w:rPr>
              <w:t>(such as the Asian Smokers’ Quitline)</w:t>
            </w:r>
          </w:p>
        </w:tc>
        <w:tc>
          <w:tcPr>
            <w:tcW w:w="2222" w:type="dxa"/>
            <w:tcBorders>
              <w:top w:val="single" w:sz="8" w:space="0" w:color="000000"/>
              <w:left w:val="single" w:sz="8" w:space="0" w:color="000000"/>
              <w:bottom w:val="single" w:sz="4" w:space="0" w:color="auto"/>
              <w:right w:val="single" w:sz="8" w:space="0" w:color="000000"/>
            </w:tcBorders>
          </w:tcPr>
          <w:p w:rsidR="00ED725A" w:rsidRPr="00B8368F" w:rsidP="00ED725A" w14:paraId="3914F712" w14:textId="77777777">
            <w:pPr>
              <w:autoSpaceDE w:val="0"/>
              <w:autoSpaceDN w:val="0"/>
              <w:spacing w:before="60"/>
              <w:ind w:left="90" w:right="90"/>
              <w:jc w:val="right"/>
              <w:rPr>
                <w:rFonts w:eastAsia="Calibri"/>
                <w:sz w:val="22"/>
                <w:szCs w:val="22"/>
              </w:rPr>
            </w:pPr>
            <w:r w:rsidRPr="00B8368F">
              <w:rPr>
                <w:rFonts w:eastAsia="Calibri"/>
                <w:sz w:val="22"/>
                <w:szCs w:val="22"/>
              </w:rPr>
              <w:t xml:space="preserve">Submission of NQDW Intake Questionnaire Electronic Data File to CDC </w:t>
            </w:r>
          </w:p>
        </w:tc>
        <w:tc>
          <w:tcPr>
            <w:tcW w:w="144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ED725A" w:rsidRPr="00B8368F" w:rsidP="00ED725A" w14:paraId="7457395D" w14:textId="474955F2">
            <w:pPr>
              <w:autoSpaceDE w:val="0"/>
              <w:autoSpaceDN w:val="0"/>
              <w:spacing w:before="60"/>
              <w:jc w:val="right"/>
              <w:rPr>
                <w:sz w:val="22"/>
                <w:szCs w:val="22"/>
              </w:rPr>
            </w:pPr>
            <w:r w:rsidRPr="00B8368F">
              <w:rPr>
                <w:rFonts w:eastAsia="Calibri"/>
                <w:sz w:val="22"/>
                <w:szCs w:val="22"/>
              </w:rPr>
              <w:t>5</w:t>
            </w:r>
            <w:r>
              <w:rPr>
                <w:rFonts w:eastAsia="Calibri"/>
                <w:sz w:val="22"/>
                <w:szCs w:val="22"/>
              </w:rPr>
              <w:t>4</w:t>
            </w:r>
          </w:p>
        </w:tc>
        <w:tc>
          <w:tcPr>
            <w:tcW w:w="153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ED725A" w:rsidRPr="00B8368F" w:rsidP="00ED725A" w14:paraId="51409E18" w14:textId="6372F53C">
            <w:pPr>
              <w:autoSpaceDE w:val="0"/>
              <w:autoSpaceDN w:val="0"/>
              <w:spacing w:before="60"/>
              <w:jc w:val="right"/>
              <w:rPr>
                <w:sz w:val="22"/>
                <w:szCs w:val="22"/>
              </w:rPr>
            </w:pPr>
            <w:r w:rsidRPr="00B8368F">
              <w:rPr>
                <w:rFonts w:eastAsia="Calibri"/>
                <w:sz w:val="22"/>
                <w:szCs w:val="22"/>
              </w:rPr>
              <w:t>21</w:t>
            </w:r>
            <w:r>
              <w:rPr>
                <w:rFonts w:eastAsia="Calibri"/>
                <w:sz w:val="22"/>
                <w:szCs w:val="22"/>
              </w:rPr>
              <w:t>6</w:t>
            </w:r>
          </w:p>
        </w:tc>
        <w:tc>
          <w:tcPr>
            <w:tcW w:w="1350" w:type="dxa"/>
            <w:tcBorders>
              <w:top w:val="single" w:sz="8" w:space="0" w:color="000000"/>
              <w:left w:val="single" w:sz="8" w:space="0" w:color="000000"/>
              <w:bottom w:val="single" w:sz="4" w:space="0" w:color="auto"/>
              <w:right w:val="single" w:sz="8" w:space="0" w:color="000000"/>
            </w:tcBorders>
          </w:tcPr>
          <w:p w:rsidR="00ED725A" w:rsidRPr="00B8368F" w:rsidP="00ED725A" w14:paraId="36FDDB8E" w14:textId="6B38D457">
            <w:pPr>
              <w:autoSpaceDE w:val="0"/>
              <w:autoSpaceDN w:val="0"/>
              <w:spacing w:before="60"/>
              <w:jc w:val="right"/>
              <w:rPr>
                <w:sz w:val="22"/>
                <w:szCs w:val="22"/>
              </w:rPr>
            </w:pPr>
            <w:r w:rsidRPr="00F85CED">
              <w:rPr>
                <w:sz w:val="22"/>
                <w:szCs w:val="22"/>
              </w:rPr>
              <w:t>$27.04</w:t>
            </w:r>
          </w:p>
        </w:tc>
        <w:tc>
          <w:tcPr>
            <w:tcW w:w="189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ED725A" w:rsidRPr="00B8368F" w:rsidP="00ED725A" w14:paraId="43DCB273" w14:textId="03F89A9A">
            <w:pPr>
              <w:autoSpaceDE w:val="0"/>
              <w:autoSpaceDN w:val="0"/>
              <w:spacing w:before="60"/>
              <w:jc w:val="right"/>
              <w:rPr>
                <w:rFonts w:eastAsia="Calibri"/>
                <w:sz w:val="22"/>
                <w:szCs w:val="22"/>
              </w:rPr>
            </w:pPr>
            <w:r w:rsidRPr="00B8368F">
              <w:rPr>
                <w:sz w:val="22"/>
                <w:szCs w:val="22"/>
              </w:rPr>
              <w:t>$</w:t>
            </w:r>
            <w:r>
              <w:rPr>
                <w:sz w:val="22"/>
                <w:szCs w:val="22"/>
              </w:rPr>
              <w:t>5,841</w:t>
            </w:r>
            <w:r w:rsidRPr="00B8368F">
              <w:rPr>
                <w:sz w:val="22"/>
                <w:szCs w:val="22"/>
              </w:rPr>
              <w:t xml:space="preserve"> </w:t>
            </w:r>
          </w:p>
        </w:tc>
      </w:tr>
      <w:tr w14:paraId="770AC12B" w14:textId="77777777" w:rsidTr="00B8368F">
        <w:tblPrEx>
          <w:tblW w:w="10430" w:type="dxa"/>
          <w:jc w:val="center"/>
          <w:tblLayout w:type="fixed"/>
          <w:tblCellMar>
            <w:left w:w="0" w:type="dxa"/>
            <w:right w:w="0" w:type="dxa"/>
          </w:tblCellMar>
          <w:tblLook w:val="00A0"/>
        </w:tblPrEx>
        <w:trPr>
          <w:cantSplit/>
          <w:jc w:val="center"/>
        </w:trPr>
        <w:tc>
          <w:tcPr>
            <w:tcW w:w="1998" w:type="dxa"/>
            <w:vMerge/>
            <w:tcBorders>
              <w:top w:val="single" w:sz="8" w:space="0" w:color="000000"/>
              <w:left w:val="single" w:sz="8" w:space="0" w:color="000000"/>
              <w:right w:val="single" w:sz="8" w:space="0" w:color="000000"/>
            </w:tcBorders>
            <w:tcMar>
              <w:top w:w="0" w:type="dxa"/>
              <w:left w:w="108" w:type="dxa"/>
              <w:bottom w:w="0" w:type="dxa"/>
              <w:right w:w="108" w:type="dxa"/>
            </w:tcMar>
          </w:tcPr>
          <w:p w:rsidR="00ED725A" w:rsidRPr="00B8368F" w:rsidP="00ED725A" w14:paraId="701BB680" w14:textId="77777777">
            <w:pPr>
              <w:autoSpaceDE w:val="0"/>
              <w:autoSpaceDN w:val="0"/>
              <w:spacing w:before="60"/>
              <w:jc w:val="right"/>
              <w:rPr>
                <w:rFonts w:eastAsia="Calibri"/>
                <w:sz w:val="22"/>
                <w:szCs w:val="22"/>
              </w:rPr>
            </w:pPr>
          </w:p>
        </w:tc>
        <w:tc>
          <w:tcPr>
            <w:tcW w:w="2222" w:type="dxa"/>
            <w:tcBorders>
              <w:top w:val="single" w:sz="4" w:space="0" w:color="auto"/>
              <w:left w:val="single" w:sz="8" w:space="0" w:color="000000"/>
              <w:bottom w:val="single" w:sz="8" w:space="0" w:color="000000"/>
              <w:right w:val="single" w:sz="8" w:space="0" w:color="000000"/>
            </w:tcBorders>
          </w:tcPr>
          <w:p w:rsidR="00ED725A" w:rsidRPr="00B8368F" w:rsidP="00ED725A" w14:paraId="72354B33" w14:textId="77777777">
            <w:pPr>
              <w:autoSpaceDE w:val="0"/>
              <w:autoSpaceDN w:val="0"/>
              <w:spacing w:before="60"/>
              <w:ind w:left="90" w:right="90"/>
              <w:jc w:val="right"/>
              <w:rPr>
                <w:rFonts w:eastAsia="Calibri"/>
                <w:sz w:val="22"/>
                <w:szCs w:val="22"/>
              </w:rPr>
            </w:pPr>
            <w:r w:rsidRPr="00B8368F">
              <w:rPr>
                <w:rFonts w:eastAsia="Calibri"/>
                <w:sz w:val="22"/>
                <w:szCs w:val="22"/>
              </w:rPr>
              <w:t>Submission of NQDW Seven-Month Follow-up Electronic Data File to CDC</w:t>
            </w:r>
          </w:p>
        </w:tc>
        <w:tc>
          <w:tcPr>
            <w:tcW w:w="14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0192E9BA" w14:textId="07B58FA6">
            <w:pPr>
              <w:autoSpaceDE w:val="0"/>
              <w:autoSpaceDN w:val="0"/>
              <w:spacing w:before="60"/>
              <w:jc w:val="right"/>
              <w:rPr>
                <w:sz w:val="22"/>
                <w:szCs w:val="22"/>
              </w:rPr>
            </w:pPr>
            <w:r w:rsidRPr="00B8368F">
              <w:rPr>
                <w:rFonts w:eastAsia="Calibri"/>
                <w:sz w:val="22"/>
                <w:szCs w:val="22"/>
              </w:rPr>
              <w:t>1</w:t>
            </w:r>
          </w:p>
        </w:tc>
        <w:tc>
          <w:tcPr>
            <w:tcW w:w="153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7C1D4455" w14:textId="42CCD241">
            <w:pPr>
              <w:autoSpaceDE w:val="0"/>
              <w:autoSpaceDN w:val="0"/>
              <w:spacing w:before="60"/>
              <w:jc w:val="right"/>
              <w:rPr>
                <w:sz w:val="22"/>
                <w:szCs w:val="22"/>
              </w:rPr>
            </w:pPr>
            <w:r w:rsidRPr="00B8368F">
              <w:rPr>
                <w:rFonts w:eastAsia="Calibri"/>
                <w:sz w:val="22"/>
                <w:szCs w:val="22"/>
              </w:rPr>
              <w:t>1</w:t>
            </w:r>
          </w:p>
        </w:tc>
        <w:tc>
          <w:tcPr>
            <w:tcW w:w="1350" w:type="dxa"/>
            <w:tcBorders>
              <w:top w:val="single" w:sz="4" w:space="0" w:color="auto"/>
              <w:left w:val="single" w:sz="8" w:space="0" w:color="000000"/>
              <w:bottom w:val="single" w:sz="8" w:space="0" w:color="000000"/>
              <w:right w:val="single" w:sz="8" w:space="0" w:color="000000"/>
            </w:tcBorders>
          </w:tcPr>
          <w:p w:rsidR="00ED725A" w:rsidRPr="00B8368F" w:rsidP="00ED725A" w14:paraId="09D360D4" w14:textId="640E1DAF">
            <w:pPr>
              <w:autoSpaceDE w:val="0"/>
              <w:autoSpaceDN w:val="0"/>
              <w:spacing w:before="60"/>
              <w:jc w:val="right"/>
              <w:rPr>
                <w:sz w:val="22"/>
                <w:szCs w:val="22"/>
              </w:rPr>
            </w:pPr>
            <w:r w:rsidRPr="00F85CED">
              <w:rPr>
                <w:sz w:val="22"/>
                <w:szCs w:val="22"/>
              </w:rPr>
              <w:t>$27.04</w:t>
            </w:r>
          </w:p>
        </w:tc>
        <w:tc>
          <w:tcPr>
            <w:tcW w:w="189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ED725A" w:rsidRPr="00B8368F" w:rsidP="00ED725A" w14:paraId="0D364BE8" w14:textId="02491840">
            <w:pPr>
              <w:autoSpaceDE w:val="0"/>
              <w:autoSpaceDN w:val="0"/>
              <w:spacing w:before="60"/>
              <w:jc w:val="right"/>
              <w:rPr>
                <w:rFonts w:eastAsia="Calibri"/>
                <w:sz w:val="22"/>
                <w:szCs w:val="22"/>
              </w:rPr>
            </w:pPr>
            <w:r w:rsidRPr="00B8368F">
              <w:rPr>
                <w:sz w:val="22"/>
                <w:szCs w:val="22"/>
              </w:rPr>
              <w:t>$</w:t>
            </w:r>
            <w:r>
              <w:rPr>
                <w:sz w:val="22"/>
                <w:szCs w:val="22"/>
              </w:rPr>
              <w:t>27</w:t>
            </w:r>
            <w:r w:rsidRPr="00B8368F">
              <w:rPr>
                <w:sz w:val="22"/>
                <w:szCs w:val="22"/>
              </w:rPr>
              <w:t xml:space="preserve"> </w:t>
            </w:r>
          </w:p>
        </w:tc>
      </w:tr>
      <w:tr w14:paraId="6FC107E7" w14:textId="77777777" w:rsidTr="006B76E1">
        <w:tblPrEx>
          <w:tblW w:w="10430" w:type="dxa"/>
          <w:jc w:val="center"/>
          <w:tblLayout w:type="fixed"/>
          <w:tblCellMar>
            <w:left w:w="0" w:type="dxa"/>
            <w:right w:w="0" w:type="dxa"/>
          </w:tblCellMar>
          <w:tblLook w:val="00A0"/>
        </w:tblPrEx>
        <w:trPr>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ED725A" w:rsidRPr="00B8368F" w:rsidP="00ED725A" w14:paraId="72A1902B" w14:textId="77777777">
            <w:pPr>
              <w:autoSpaceDE w:val="0"/>
              <w:autoSpaceDN w:val="0"/>
              <w:spacing w:before="60"/>
              <w:jc w:val="right"/>
              <w:rPr>
                <w:rFonts w:eastAsia="Calibri"/>
                <w:sz w:val="22"/>
                <w:szCs w:val="22"/>
              </w:rPr>
            </w:pPr>
          </w:p>
        </w:tc>
        <w:tc>
          <w:tcPr>
            <w:tcW w:w="2222" w:type="dxa"/>
            <w:tcBorders>
              <w:top w:val="single" w:sz="8" w:space="0" w:color="000000"/>
              <w:left w:val="single" w:sz="8" w:space="0" w:color="000000"/>
              <w:bottom w:val="single" w:sz="8" w:space="0" w:color="000000"/>
              <w:right w:val="single" w:sz="8" w:space="0" w:color="000000"/>
            </w:tcBorders>
            <w:hideMark/>
          </w:tcPr>
          <w:p w:rsidR="00ED725A" w:rsidRPr="00B8368F" w:rsidP="00ED725A" w14:paraId="3B24C412" w14:textId="77777777">
            <w:pPr>
              <w:autoSpaceDE w:val="0"/>
              <w:autoSpaceDN w:val="0"/>
              <w:spacing w:before="60"/>
              <w:ind w:left="90" w:right="90"/>
              <w:jc w:val="right"/>
              <w:rPr>
                <w:rFonts w:eastAsia="Calibri"/>
                <w:sz w:val="22"/>
                <w:szCs w:val="22"/>
              </w:rPr>
            </w:pPr>
            <w:r w:rsidRPr="00B8368F">
              <w:rPr>
                <w:rFonts w:eastAsia="Calibri"/>
                <w:sz w:val="22"/>
                <w:szCs w:val="22"/>
              </w:rPr>
              <w:t xml:space="preserve">NQDW Quitline Services Survey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725A" w:rsidRPr="00B8368F" w:rsidP="00ED725A" w14:paraId="0C82C986" w14:textId="1F5D3870">
            <w:pPr>
              <w:autoSpaceDE w:val="0"/>
              <w:autoSpaceDN w:val="0"/>
              <w:spacing w:before="60"/>
              <w:jc w:val="right"/>
              <w:rPr>
                <w:sz w:val="22"/>
                <w:szCs w:val="22"/>
              </w:rPr>
            </w:pPr>
            <w:r w:rsidRPr="00B8368F">
              <w:rPr>
                <w:rFonts w:eastAsia="Calibri"/>
                <w:sz w:val="22"/>
                <w:szCs w:val="22"/>
              </w:rPr>
              <w:t>5</w:t>
            </w:r>
            <w:r>
              <w:rPr>
                <w:rFonts w:eastAsia="Calibri"/>
                <w:sz w:val="22"/>
                <w:szCs w:val="22"/>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725A" w:rsidRPr="00B8368F" w:rsidP="00ED725A" w14:paraId="1079CB23" w14:textId="564ADADE">
            <w:pPr>
              <w:autoSpaceDE w:val="0"/>
              <w:autoSpaceDN w:val="0"/>
              <w:spacing w:before="60"/>
              <w:jc w:val="right"/>
              <w:rPr>
                <w:sz w:val="22"/>
                <w:szCs w:val="22"/>
              </w:rPr>
            </w:pPr>
            <w:r w:rsidRPr="00B8368F">
              <w:rPr>
                <w:rFonts w:eastAsia="Calibri"/>
                <w:sz w:val="22"/>
                <w:szCs w:val="22"/>
              </w:rPr>
              <w:t>3</w:t>
            </w:r>
            <w:r>
              <w:rPr>
                <w:rFonts w:eastAsia="Calibri"/>
                <w:sz w:val="22"/>
                <w:szCs w:val="22"/>
              </w:rPr>
              <w:t>6</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725A" w:rsidRPr="00B8368F" w:rsidP="00ED725A" w14:paraId="2B72ACB2" w14:textId="4BF063DA">
            <w:pPr>
              <w:autoSpaceDE w:val="0"/>
              <w:autoSpaceDN w:val="0"/>
              <w:spacing w:before="60"/>
              <w:jc w:val="right"/>
              <w:rPr>
                <w:rFonts w:eastAsia="Calibri"/>
                <w:sz w:val="22"/>
                <w:szCs w:val="22"/>
              </w:rPr>
            </w:pPr>
            <w:r w:rsidRPr="00F85CED">
              <w:rPr>
                <w:sz w:val="22"/>
                <w:szCs w:val="22"/>
              </w:rPr>
              <w:t>$27.04</w:t>
            </w:r>
          </w:p>
        </w:tc>
        <w:tc>
          <w:tcPr>
            <w:tcW w:w="1890" w:type="dxa"/>
            <w:tcBorders>
              <w:top w:val="single" w:sz="8" w:space="0" w:color="000000"/>
              <w:left w:val="single" w:sz="8" w:space="0" w:color="000000"/>
              <w:bottom w:val="single" w:sz="8" w:space="0" w:color="000000"/>
              <w:right w:val="single" w:sz="8" w:space="0" w:color="000000"/>
            </w:tcBorders>
          </w:tcPr>
          <w:p w:rsidR="00ED725A" w:rsidRPr="00B8368F" w:rsidP="00ED725A" w14:paraId="6957FE3B" w14:textId="2D5CA43A">
            <w:pPr>
              <w:autoSpaceDE w:val="0"/>
              <w:autoSpaceDN w:val="0"/>
              <w:spacing w:before="60"/>
              <w:jc w:val="right"/>
              <w:rPr>
                <w:rFonts w:eastAsia="Calibri"/>
                <w:sz w:val="22"/>
                <w:szCs w:val="22"/>
              </w:rPr>
            </w:pPr>
            <w:r w:rsidRPr="00B8368F">
              <w:rPr>
                <w:sz w:val="22"/>
                <w:szCs w:val="22"/>
              </w:rPr>
              <w:t>$</w:t>
            </w:r>
            <w:r>
              <w:rPr>
                <w:sz w:val="22"/>
                <w:szCs w:val="22"/>
              </w:rPr>
              <w:t>973</w:t>
            </w:r>
            <w:r w:rsidRPr="00B8368F">
              <w:rPr>
                <w:sz w:val="22"/>
                <w:szCs w:val="22"/>
              </w:rPr>
              <w:t xml:space="preserve"> </w:t>
            </w:r>
          </w:p>
        </w:tc>
      </w:tr>
      <w:tr w14:paraId="5B961CC3" w14:textId="77777777" w:rsidTr="00DE1BAA">
        <w:tblPrEx>
          <w:tblW w:w="10430" w:type="dxa"/>
          <w:jc w:val="center"/>
          <w:tblLayout w:type="fixed"/>
          <w:tblCellMar>
            <w:left w:w="0" w:type="dxa"/>
            <w:right w:w="0" w:type="dxa"/>
          </w:tblCellMar>
          <w:tblLook w:val="00A0"/>
        </w:tblPrEx>
        <w:trPr>
          <w:jc w:val="center"/>
        </w:trPr>
        <w:tc>
          <w:tcPr>
            <w:tcW w:w="1998" w:type="dxa"/>
            <w:tcBorders>
              <w:left w:val="single" w:sz="8" w:space="0" w:color="000000"/>
              <w:bottom w:val="single" w:sz="8" w:space="0" w:color="000000"/>
              <w:right w:val="single" w:sz="8" w:space="0" w:color="000000"/>
            </w:tcBorders>
            <w:tcMar>
              <w:top w:w="0" w:type="dxa"/>
              <w:left w:w="108" w:type="dxa"/>
              <w:bottom w:w="0" w:type="dxa"/>
              <w:right w:w="108" w:type="dxa"/>
            </w:tcMar>
          </w:tcPr>
          <w:p w:rsidR="009265A7" w:rsidRPr="00FB4823" w:rsidP="009265A7" w14:paraId="5B592D64" w14:textId="77777777">
            <w:pPr>
              <w:autoSpaceDE w:val="0"/>
              <w:autoSpaceDN w:val="0"/>
              <w:spacing w:before="60"/>
              <w:rPr>
                <w:rFonts w:eastAsia="Calibri"/>
                <w:sz w:val="22"/>
                <w:szCs w:val="22"/>
              </w:rPr>
            </w:pPr>
          </w:p>
        </w:tc>
        <w:tc>
          <w:tcPr>
            <w:tcW w:w="6542" w:type="dxa"/>
            <w:gridSpan w:val="4"/>
            <w:tcBorders>
              <w:top w:val="single" w:sz="8" w:space="0" w:color="000000"/>
              <w:left w:val="single" w:sz="8" w:space="0" w:color="000000"/>
              <w:bottom w:val="single" w:sz="8" w:space="0" w:color="000000"/>
              <w:right w:val="single" w:sz="8" w:space="0" w:color="000000"/>
            </w:tcBorders>
          </w:tcPr>
          <w:p w:rsidR="009265A7" w:rsidRPr="00FB4823" w:rsidP="009265A7" w14:paraId="072F3491" w14:textId="77777777">
            <w:pPr>
              <w:autoSpaceDE w:val="0"/>
              <w:autoSpaceDN w:val="0"/>
              <w:spacing w:before="60"/>
              <w:jc w:val="right"/>
              <w:rPr>
                <w:color w:val="000000"/>
                <w:sz w:val="22"/>
                <w:szCs w:val="22"/>
              </w:rPr>
            </w:pPr>
            <w:r w:rsidRPr="00FB4823">
              <w:rPr>
                <w:color w:val="000000"/>
                <w:sz w:val="22"/>
                <w:szCs w:val="22"/>
              </w:rPr>
              <w:t>Total</w:t>
            </w:r>
          </w:p>
        </w:tc>
        <w:tc>
          <w:tcPr>
            <w:tcW w:w="1890" w:type="dxa"/>
            <w:tcBorders>
              <w:top w:val="single" w:sz="8" w:space="0" w:color="000000"/>
              <w:left w:val="single" w:sz="8" w:space="0" w:color="000000"/>
              <w:bottom w:val="single" w:sz="8" w:space="0" w:color="000000"/>
              <w:right w:val="single" w:sz="8" w:space="0" w:color="000000"/>
            </w:tcBorders>
          </w:tcPr>
          <w:p w:rsidR="009265A7" w:rsidRPr="00FB4823" w14:paraId="39004CFB" w14:textId="279852FD">
            <w:pPr>
              <w:autoSpaceDE w:val="0"/>
              <w:autoSpaceDN w:val="0"/>
              <w:spacing w:before="60"/>
              <w:jc w:val="right"/>
              <w:rPr>
                <w:color w:val="000000"/>
                <w:sz w:val="22"/>
                <w:szCs w:val="22"/>
              </w:rPr>
            </w:pPr>
            <w:r w:rsidRPr="00B41EFB">
              <w:rPr>
                <w:sz w:val="22"/>
                <w:szCs w:val="22"/>
              </w:rPr>
              <w:t>$</w:t>
            </w:r>
            <w:r w:rsidR="00C16F71">
              <w:rPr>
                <w:sz w:val="22"/>
                <w:szCs w:val="22"/>
              </w:rPr>
              <w:t>1,841,122</w:t>
            </w:r>
            <w:r w:rsidRPr="00B41EFB">
              <w:rPr>
                <w:sz w:val="22"/>
                <w:szCs w:val="22"/>
              </w:rPr>
              <w:t xml:space="preserve"> </w:t>
            </w:r>
          </w:p>
        </w:tc>
      </w:tr>
    </w:tbl>
    <w:p w:rsidR="009265A7" w:rsidP="009265A7" w14:paraId="28DA4E0A" w14:textId="77777777">
      <w:pPr>
        <w:keepNext/>
        <w:keepLines/>
        <w:rPr>
          <w:b/>
        </w:rPr>
      </w:pPr>
    </w:p>
    <w:p w:rsidR="009265A7" w:rsidRPr="00BD125C" w:rsidP="009265A7" w14:paraId="59F0B05F" w14:textId="77777777">
      <w:pPr>
        <w:widowControl w:val="0"/>
        <w:tabs>
          <w:tab w:val="center" w:pos="4680"/>
        </w:tabs>
        <w:rPr>
          <w:b/>
          <w:color w:val="000000"/>
        </w:rPr>
      </w:pPr>
    </w:p>
    <w:p w:rsidR="00BD125C" w:rsidRPr="00BD125C" w:rsidP="00BD125C" w14:paraId="607554DF" w14:textId="77777777">
      <w:pPr>
        <w:keepNext/>
        <w:spacing w:after="240"/>
        <w:ind w:left="720" w:hanging="720"/>
        <w:outlineLvl w:val="1"/>
        <w:rPr>
          <w:b/>
        </w:rPr>
      </w:pPr>
      <w:r w:rsidRPr="00BD125C">
        <w:rPr>
          <w:b/>
        </w:rPr>
        <w:t>A.13</w:t>
      </w:r>
      <w:r w:rsidRPr="00BD125C">
        <w:rPr>
          <w:b/>
        </w:rPr>
        <w:tab/>
      </w:r>
      <w:r w:rsidRPr="00BD125C">
        <w:rPr>
          <w:b/>
          <w:u w:val="single"/>
        </w:rPr>
        <w:t>ESTIMATES OF OTHER TOTAL ANNUAL COST BURDEN TO RESPONDENTS OR RECORD KEEPERS</w:t>
      </w:r>
    </w:p>
    <w:p w:rsidR="00BD125C" w:rsidRPr="00BD125C" w:rsidP="00BD125C" w14:paraId="1045C7E1" w14:textId="77777777">
      <w:pPr>
        <w:keepNext/>
        <w:spacing w:after="240"/>
        <w:ind w:firstLine="720"/>
        <w:outlineLvl w:val="1"/>
        <w:rPr>
          <w:bCs/>
        </w:rPr>
      </w:pPr>
      <w:r w:rsidRPr="00BD125C">
        <w:rPr>
          <w:bCs/>
        </w:rPr>
        <w:t>There will be no respondent capital and maintenance costs.</w:t>
      </w:r>
    </w:p>
    <w:p w:rsidR="00BD125C" w:rsidRPr="00BD125C" w:rsidP="00BD125C" w14:paraId="6011C68C" w14:textId="77777777">
      <w:pPr>
        <w:keepNext/>
        <w:spacing w:after="240"/>
        <w:outlineLvl w:val="1"/>
        <w:rPr>
          <w:b/>
        </w:rPr>
      </w:pPr>
      <w:r w:rsidRPr="00BD125C">
        <w:rPr>
          <w:b/>
        </w:rPr>
        <w:t>A.14</w:t>
      </w:r>
      <w:r w:rsidRPr="00BD125C">
        <w:rPr>
          <w:b/>
        </w:rPr>
        <w:tab/>
      </w:r>
      <w:r w:rsidRPr="00BD125C">
        <w:rPr>
          <w:b/>
          <w:u w:val="single"/>
        </w:rPr>
        <w:t>ANNUALIZED COSTS TO THE GOVERNMENT</w:t>
      </w:r>
    </w:p>
    <w:p w:rsidR="00BD125C" w:rsidRPr="00BD125C" w:rsidP="00BD125C" w14:paraId="24FAD176" w14:textId="2117824D">
      <w:pPr>
        <w:ind w:firstLine="720"/>
        <w:rPr>
          <w:color w:val="000000"/>
        </w:rPr>
      </w:pPr>
      <w:r w:rsidRPr="00BD125C">
        <w:rPr>
          <w:color w:val="000000"/>
        </w:rPr>
        <w:t>CDC will have contract costs to create the database, clean and process the data, provide technical assistance to states on data collection, and report on the data of $</w:t>
      </w:r>
      <w:r w:rsidR="00A1543F">
        <w:rPr>
          <w:color w:val="000000"/>
        </w:rPr>
        <w:t>394</w:t>
      </w:r>
      <w:r w:rsidR="00BC6F8B">
        <w:rPr>
          <w:color w:val="000000"/>
        </w:rPr>
        <w:t>,</w:t>
      </w:r>
      <w:r w:rsidR="00A1543F">
        <w:rPr>
          <w:color w:val="000000"/>
        </w:rPr>
        <w:t>273</w:t>
      </w:r>
      <w:r w:rsidRPr="00BD125C">
        <w:rPr>
          <w:color w:val="000000"/>
        </w:rPr>
        <w:t xml:space="preserve"> annually</w:t>
      </w:r>
      <w:r w:rsidR="00B30840">
        <w:rPr>
          <w:color w:val="000000"/>
        </w:rPr>
        <w:t xml:space="preserve">. </w:t>
      </w:r>
      <w:r w:rsidRPr="00BD125C">
        <w:rPr>
          <w:color w:val="000000"/>
        </w:rPr>
        <w:t>Additional costs will be incurred indirectly by the government in personnel costs of staff involved in oversight of the study and in conducting data analysis</w:t>
      </w:r>
      <w:r w:rsidR="00B30840">
        <w:rPr>
          <w:color w:val="000000"/>
        </w:rPr>
        <w:t xml:space="preserve">. </w:t>
      </w:r>
      <w:r w:rsidRPr="00BD125C">
        <w:rPr>
          <w:color w:val="000000"/>
        </w:rPr>
        <w:t>The direct annual costs in CDC staff time will be approximately $</w:t>
      </w:r>
      <w:r w:rsidRPr="00943286" w:rsidR="00943286">
        <w:rPr>
          <w:color w:val="000000"/>
        </w:rPr>
        <w:t xml:space="preserve">142,989 </w:t>
      </w:r>
      <w:r w:rsidRPr="00BD125C">
        <w:rPr>
          <w:color w:val="000000"/>
        </w:rPr>
        <w:t xml:space="preserve">annually.  </w:t>
      </w:r>
    </w:p>
    <w:p w:rsidR="00BD125C" w:rsidRPr="00BD125C" w:rsidP="00BD125C" w14:paraId="45426539" w14:textId="77777777">
      <w:pPr>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9"/>
        <w:gridCol w:w="3473"/>
      </w:tblGrid>
      <w:tr w14:paraId="47090387" w14:textId="77777777" w:rsidTr="00BC6F8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69" w:type="dxa"/>
          </w:tcPr>
          <w:p w:rsidR="00BD125C" w:rsidRPr="00BD125C" w:rsidP="00BD125C" w14:paraId="1F320EE1" w14:textId="77777777">
            <w:pPr>
              <w:ind w:left="72"/>
            </w:pPr>
            <w:r w:rsidRPr="00BD125C">
              <w:rPr>
                <w:b/>
                <w:u w:val="single"/>
              </w:rPr>
              <w:t>Activity</w:t>
            </w:r>
          </w:p>
        </w:tc>
        <w:tc>
          <w:tcPr>
            <w:tcW w:w="3473" w:type="dxa"/>
          </w:tcPr>
          <w:p w:rsidR="00BD125C" w:rsidRPr="00BD125C" w:rsidP="00BD125C" w14:paraId="5E71990A" w14:textId="77777777">
            <w:pPr>
              <w:ind w:left="252"/>
              <w:jc w:val="center"/>
              <w:rPr>
                <w:b/>
                <w:u w:val="single"/>
              </w:rPr>
            </w:pPr>
            <w:r w:rsidRPr="00BD125C">
              <w:rPr>
                <w:b/>
                <w:u w:val="single"/>
              </w:rPr>
              <w:t>Yearly Costs</w:t>
            </w:r>
          </w:p>
        </w:tc>
      </w:tr>
      <w:tr w14:paraId="0C2774F2" w14:textId="77777777" w:rsidTr="00BC6F8B">
        <w:tblPrEx>
          <w:tblW w:w="0" w:type="auto"/>
          <w:tblInd w:w="108" w:type="dxa"/>
          <w:tblLook w:val="04A0"/>
        </w:tblPrEx>
        <w:tc>
          <w:tcPr>
            <w:tcW w:w="5769" w:type="dxa"/>
          </w:tcPr>
          <w:p w:rsidR="00BD125C" w:rsidRPr="00BD125C" w:rsidP="00BD125C" w14:paraId="3FD9254A" w14:textId="77777777">
            <w:pPr>
              <w:ind w:left="72"/>
              <w:rPr>
                <w:i/>
              </w:rPr>
            </w:pPr>
            <w:r w:rsidRPr="00BD125C">
              <w:rPr>
                <w:i/>
              </w:rPr>
              <w:t>Annual Contract Costs</w:t>
            </w:r>
          </w:p>
        </w:tc>
        <w:tc>
          <w:tcPr>
            <w:tcW w:w="3473" w:type="dxa"/>
          </w:tcPr>
          <w:p w:rsidR="00BD125C" w:rsidRPr="00BD125C" w:rsidP="00BD125C" w14:paraId="08785A28" w14:textId="77777777">
            <w:pPr>
              <w:ind w:left="252"/>
              <w:jc w:val="center"/>
            </w:pPr>
          </w:p>
        </w:tc>
      </w:tr>
      <w:tr w14:paraId="48188D77" w14:textId="77777777" w:rsidTr="00BC6F8B">
        <w:tblPrEx>
          <w:tblW w:w="0" w:type="auto"/>
          <w:tblInd w:w="108" w:type="dxa"/>
          <w:tblLook w:val="04A0"/>
        </w:tblPrEx>
        <w:tc>
          <w:tcPr>
            <w:tcW w:w="5769" w:type="dxa"/>
          </w:tcPr>
          <w:p w:rsidR="00BD125C" w:rsidRPr="00BD125C" w:rsidP="00BD125C" w14:paraId="60BE152B" w14:textId="77777777">
            <w:pPr>
              <w:ind w:left="72"/>
            </w:pPr>
            <w:r w:rsidRPr="00BD125C">
              <w:t>Data collection, processing and analysis</w:t>
            </w:r>
          </w:p>
        </w:tc>
        <w:tc>
          <w:tcPr>
            <w:tcW w:w="3473" w:type="dxa"/>
          </w:tcPr>
          <w:p w:rsidR="00BD125C" w:rsidRPr="00BD125C" w:rsidP="004347DB" w14:paraId="773F07BB" w14:textId="5F71A299">
            <w:pPr>
              <w:ind w:left="252"/>
              <w:jc w:val="center"/>
            </w:pPr>
            <w:r w:rsidRPr="00A1543F">
              <w:t>$394,273</w:t>
            </w:r>
          </w:p>
        </w:tc>
      </w:tr>
      <w:tr w14:paraId="6ED5E347" w14:textId="77777777" w:rsidTr="00BC6F8B">
        <w:tblPrEx>
          <w:tblW w:w="0" w:type="auto"/>
          <w:tblInd w:w="108" w:type="dxa"/>
          <w:tblLook w:val="04A0"/>
        </w:tblPrEx>
        <w:tc>
          <w:tcPr>
            <w:tcW w:w="5769" w:type="dxa"/>
          </w:tcPr>
          <w:p w:rsidR="00BD125C" w:rsidRPr="00BD125C" w:rsidP="00F87B80" w14:paraId="70F7E3DF" w14:textId="77777777">
            <w:pPr>
              <w:ind w:left="72"/>
              <w:jc w:val="right"/>
              <w:rPr>
                <w:i/>
              </w:rPr>
            </w:pPr>
            <w:r w:rsidRPr="00BD125C">
              <w:rPr>
                <w:i/>
              </w:rPr>
              <w:t>Subtotal</w:t>
            </w:r>
          </w:p>
        </w:tc>
        <w:tc>
          <w:tcPr>
            <w:tcW w:w="3473" w:type="dxa"/>
          </w:tcPr>
          <w:p w:rsidR="00BD125C" w:rsidRPr="00BD125C" w:rsidP="004347DB" w14:paraId="70EDD373" w14:textId="6AC0B3FA">
            <w:pPr>
              <w:ind w:left="252"/>
              <w:jc w:val="right"/>
              <w:rPr>
                <w:i/>
              </w:rPr>
            </w:pPr>
            <w:r w:rsidRPr="00A1543F">
              <w:rPr>
                <w:i/>
              </w:rPr>
              <w:t>$394,273</w:t>
            </w:r>
          </w:p>
        </w:tc>
      </w:tr>
      <w:tr w14:paraId="6E0A4D13" w14:textId="77777777" w:rsidTr="00BC6F8B">
        <w:tblPrEx>
          <w:tblW w:w="0" w:type="auto"/>
          <w:tblInd w:w="108" w:type="dxa"/>
          <w:tblLook w:val="04A0"/>
        </w:tblPrEx>
        <w:tc>
          <w:tcPr>
            <w:tcW w:w="5769" w:type="dxa"/>
          </w:tcPr>
          <w:p w:rsidR="00BD125C" w:rsidRPr="00BD125C" w:rsidP="00BD125C" w14:paraId="1E7D086A" w14:textId="77777777">
            <w:pPr>
              <w:ind w:left="72"/>
              <w:rPr>
                <w:i/>
              </w:rPr>
            </w:pPr>
            <w:r w:rsidRPr="00BD125C">
              <w:rPr>
                <w:i/>
              </w:rPr>
              <w:t>Annual Personnel Costs (Federal Employee Time Cost)</w:t>
            </w:r>
          </w:p>
        </w:tc>
        <w:tc>
          <w:tcPr>
            <w:tcW w:w="3473" w:type="dxa"/>
          </w:tcPr>
          <w:p w:rsidR="00BD125C" w:rsidRPr="00BD125C" w:rsidP="00BD125C" w14:paraId="3DB89A75" w14:textId="77777777">
            <w:pPr>
              <w:ind w:left="252"/>
              <w:jc w:val="center"/>
            </w:pPr>
          </w:p>
        </w:tc>
      </w:tr>
      <w:tr w14:paraId="72E61D85" w14:textId="77777777" w:rsidTr="00BC6F8B">
        <w:tblPrEx>
          <w:tblW w:w="0" w:type="auto"/>
          <w:tblInd w:w="108" w:type="dxa"/>
          <w:tblLook w:val="04A0"/>
        </w:tblPrEx>
        <w:tc>
          <w:tcPr>
            <w:tcW w:w="5769" w:type="dxa"/>
          </w:tcPr>
          <w:p w:rsidR="00943286" w:rsidRPr="00BD125C" w:rsidP="00943286" w14:paraId="1C3BB230" w14:textId="1A4D1734">
            <w:pPr>
              <w:ind w:left="72"/>
            </w:pPr>
            <w:r>
              <w:t>5</w:t>
            </w:r>
            <w:r w:rsidRPr="00BD125C">
              <w:t xml:space="preserve">% time – GS14 FTE @ </w:t>
            </w:r>
            <w:r w:rsidRPr="00A85F32">
              <w:t>$143,867</w:t>
            </w:r>
          </w:p>
        </w:tc>
        <w:tc>
          <w:tcPr>
            <w:tcW w:w="3473" w:type="dxa"/>
          </w:tcPr>
          <w:p w:rsidR="00943286" w:rsidRPr="00BD125C" w:rsidP="00943286" w14:paraId="392F9EA6" w14:textId="3607B9B8">
            <w:pPr>
              <w:ind w:left="252"/>
              <w:jc w:val="center"/>
            </w:pPr>
            <w:r w:rsidRPr="00D47070">
              <w:t xml:space="preserve">$7,193 </w:t>
            </w:r>
          </w:p>
        </w:tc>
      </w:tr>
      <w:tr w14:paraId="24DBAD1A" w14:textId="77777777" w:rsidTr="00BC6F8B">
        <w:tblPrEx>
          <w:tblW w:w="0" w:type="auto"/>
          <w:tblInd w:w="108" w:type="dxa"/>
          <w:tblLook w:val="04A0"/>
        </w:tblPrEx>
        <w:tc>
          <w:tcPr>
            <w:tcW w:w="5769" w:type="dxa"/>
          </w:tcPr>
          <w:p w:rsidR="00943286" w:rsidRPr="00BD125C" w:rsidP="00943286" w14:paraId="010761A5" w14:textId="1C1F6F4E">
            <w:pPr>
              <w:ind w:left="72"/>
            </w:pPr>
            <w:r>
              <w:t>5</w:t>
            </w:r>
            <w:r w:rsidRPr="00BD125C">
              <w:t>% time – GS1</w:t>
            </w:r>
            <w:r>
              <w:t>3</w:t>
            </w:r>
            <w:r w:rsidRPr="00BD125C">
              <w:t xml:space="preserve"> FTE @ </w:t>
            </w:r>
            <w:r w:rsidRPr="00A85F32">
              <w:t>$124,955</w:t>
            </w:r>
          </w:p>
        </w:tc>
        <w:tc>
          <w:tcPr>
            <w:tcW w:w="3473" w:type="dxa"/>
          </w:tcPr>
          <w:p w:rsidR="00943286" w:rsidRPr="00BD125C" w:rsidP="00943286" w14:paraId="1339A0D4" w14:textId="2ED37EC9">
            <w:pPr>
              <w:ind w:left="252"/>
              <w:jc w:val="center"/>
            </w:pPr>
            <w:r w:rsidRPr="00D47070">
              <w:t xml:space="preserve">$6,248 </w:t>
            </w:r>
          </w:p>
        </w:tc>
      </w:tr>
      <w:tr w14:paraId="5FA64C09" w14:textId="77777777" w:rsidTr="00BC6F8B">
        <w:tblPrEx>
          <w:tblW w:w="0" w:type="auto"/>
          <w:tblInd w:w="108" w:type="dxa"/>
          <w:tblLook w:val="04A0"/>
        </w:tblPrEx>
        <w:tc>
          <w:tcPr>
            <w:tcW w:w="5769" w:type="dxa"/>
          </w:tcPr>
          <w:p w:rsidR="00943286" w:rsidRPr="00BD125C" w:rsidP="00943286" w14:paraId="1A8C7363" w14:textId="02B3A649">
            <w:pPr>
              <w:ind w:left="72"/>
            </w:pPr>
            <w:r w:rsidRPr="00BD125C">
              <w:t xml:space="preserve">5% time – </w:t>
            </w:r>
            <w:r>
              <w:t xml:space="preserve">GS13 FTE @ </w:t>
            </w:r>
            <w:r w:rsidRPr="00A85F32">
              <w:t>$108,934</w:t>
            </w:r>
          </w:p>
        </w:tc>
        <w:tc>
          <w:tcPr>
            <w:tcW w:w="3473" w:type="dxa"/>
          </w:tcPr>
          <w:p w:rsidR="00943286" w:rsidRPr="00BD125C" w:rsidP="00943286" w14:paraId="193349E3" w14:textId="10CA277A">
            <w:pPr>
              <w:ind w:left="252"/>
              <w:jc w:val="center"/>
            </w:pPr>
            <w:r w:rsidRPr="00D47070">
              <w:t xml:space="preserve">$5,447 </w:t>
            </w:r>
          </w:p>
        </w:tc>
      </w:tr>
      <w:tr w14:paraId="733B653A" w14:textId="77777777" w:rsidTr="00BC6F8B">
        <w:tblPrEx>
          <w:tblW w:w="0" w:type="auto"/>
          <w:tblInd w:w="108" w:type="dxa"/>
          <w:tblLook w:val="04A0"/>
        </w:tblPrEx>
        <w:tc>
          <w:tcPr>
            <w:tcW w:w="5769" w:type="dxa"/>
          </w:tcPr>
          <w:p w:rsidR="00943286" w:rsidRPr="00BD125C" w:rsidP="00943286" w14:paraId="09BFF12B" w14:textId="36592A65">
            <w:pPr>
              <w:ind w:left="72"/>
            </w:pPr>
            <w:r>
              <w:t>8</w:t>
            </w:r>
            <w:r w:rsidRPr="00BD125C">
              <w:t xml:space="preserve">0% time – </w:t>
            </w:r>
            <w:r>
              <w:t xml:space="preserve">GS13 FTE @ </w:t>
            </w:r>
            <w:r w:rsidRPr="00A85F32">
              <w:t>$108,934</w:t>
            </w:r>
          </w:p>
        </w:tc>
        <w:tc>
          <w:tcPr>
            <w:tcW w:w="3473" w:type="dxa"/>
          </w:tcPr>
          <w:p w:rsidR="00943286" w:rsidRPr="00BD125C" w:rsidP="00943286" w14:paraId="2393AC08" w14:textId="6EE079CC">
            <w:pPr>
              <w:ind w:left="252"/>
              <w:jc w:val="center"/>
            </w:pPr>
            <w:r w:rsidRPr="00D47070">
              <w:t xml:space="preserve">$87,147 </w:t>
            </w:r>
          </w:p>
        </w:tc>
      </w:tr>
      <w:tr w14:paraId="274C9F39" w14:textId="77777777" w:rsidTr="00BC6F8B">
        <w:tblPrEx>
          <w:tblW w:w="0" w:type="auto"/>
          <w:tblInd w:w="108" w:type="dxa"/>
          <w:tblLook w:val="04A0"/>
        </w:tblPrEx>
        <w:tc>
          <w:tcPr>
            <w:tcW w:w="5769" w:type="dxa"/>
          </w:tcPr>
          <w:p w:rsidR="00943286" w:rsidRPr="00BD125C" w:rsidP="00943286" w14:paraId="48A7565C" w14:textId="34AD6751">
            <w:pPr>
              <w:ind w:left="72"/>
            </w:pPr>
            <w:r>
              <w:t xml:space="preserve">20% time – GS12 FTE @ </w:t>
            </w:r>
            <w:r w:rsidRPr="00A85F32">
              <w:t>$91,609</w:t>
            </w:r>
          </w:p>
        </w:tc>
        <w:tc>
          <w:tcPr>
            <w:tcW w:w="3473" w:type="dxa"/>
          </w:tcPr>
          <w:p w:rsidR="00943286" w:rsidRPr="00BD125C" w:rsidP="00943286" w14:paraId="56A8DDAA" w14:textId="7B6170F4">
            <w:pPr>
              <w:ind w:left="252"/>
              <w:jc w:val="center"/>
            </w:pPr>
            <w:r w:rsidRPr="00D47070">
              <w:t xml:space="preserve">$18,322 </w:t>
            </w:r>
          </w:p>
        </w:tc>
      </w:tr>
      <w:tr w14:paraId="268DC9B0" w14:textId="77777777" w:rsidTr="00BC6F8B">
        <w:tblPrEx>
          <w:tblW w:w="0" w:type="auto"/>
          <w:tblInd w:w="108" w:type="dxa"/>
          <w:tblLook w:val="04A0"/>
        </w:tblPrEx>
        <w:tc>
          <w:tcPr>
            <w:tcW w:w="5769" w:type="dxa"/>
          </w:tcPr>
          <w:p w:rsidR="00943286" w:rsidRPr="00BD125C" w14:paraId="418506BA" w14:textId="64373B5F">
            <w:pPr>
              <w:ind w:left="72"/>
            </w:pPr>
            <w:r>
              <w:t>50% time – CCO – 04 FTE @ $37,264</w:t>
            </w:r>
          </w:p>
        </w:tc>
        <w:tc>
          <w:tcPr>
            <w:tcW w:w="3473" w:type="dxa"/>
          </w:tcPr>
          <w:p w:rsidR="00943286" w:rsidRPr="00BD125C" w:rsidP="00943286" w14:paraId="275FF02E" w14:textId="35ED99BB">
            <w:pPr>
              <w:ind w:left="252"/>
              <w:jc w:val="center"/>
            </w:pPr>
            <w:r w:rsidRPr="00D47070">
              <w:t xml:space="preserve">$18,632 </w:t>
            </w:r>
          </w:p>
        </w:tc>
      </w:tr>
      <w:tr w14:paraId="5CDDE897" w14:textId="77777777" w:rsidTr="00BC6F8B">
        <w:tblPrEx>
          <w:tblW w:w="0" w:type="auto"/>
          <w:tblInd w:w="108" w:type="dxa"/>
          <w:tblLook w:val="04A0"/>
        </w:tblPrEx>
        <w:tc>
          <w:tcPr>
            <w:tcW w:w="5769" w:type="dxa"/>
          </w:tcPr>
          <w:p w:rsidR="00BD125C" w:rsidRPr="00BD125C" w:rsidP="00F87B80" w14:paraId="287F2886" w14:textId="77777777">
            <w:pPr>
              <w:ind w:left="72"/>
              <w:jc w:val="right"/>
              <w:rPr>
                <w:i/>
              </w:rPr>
            </w:pPr>
            <w:r w:rsidRPr="00BD125C">
              <w:rPr>
                <w:i/>
              </w:rPr>
              <w:t>Subtotal</w:t>
            </w:r>
          </w:p>
        </w:tc>
        <w:tc>
          <w:tcPr>
            <w:tcW w:w="3473" w:type="dxa"/>
          </w:tcPr>
          <w:p w:rsidR="00BD125C" w:rsidRPr="00BD125C" w:rsidP="00EE005F" w14:paraId="31427060" w14:textId="772F7C30">
            <w:pPr>
              <w:ind w:left="252"/>
              <w:jc w:val="right"/>
              <w:rPr>
                <w:i/>
              </w:rPr>
            </w:pPr>
            <w:r w:rsidRPr="00BD125C">
              <w:rPr>
                <w:i/>
              </w:rPr>
              <w:t>$</w:t>
            </w:r>
            <w:r w:rsidRPr="00943286" w:rsidR="00943286">
              <w:rPr>
                <w:i/>
              </w:rPr>
              <w:t>142,989</w:t>
            </w:r>
          </w:p>
        </w:tc>
      </w:tr>
      <w:tr w14:paraId="00E19807" w14:textId="77777777" w:rsidTr="00BC6F8B">
        <w:tblPrEx>
          <w:tblW w:w="0" w:type="auto"/>
          <w:tblInd w:w="108" w:type="dxa"/>
          <w:tblLook w:val="04A0"/>
        </w:tblPrEx>
        <w:tc>
          <w:tcPr>
            <w:tcW w:w="5769" w:type="dxa"/>
          </w:tcPr>
          <w:p w:rsidR="00BD125C" w:rsidRPr="00BD125C" w:rsidP="00BD125C" w14:paraId="4830E144" w14:textId="086ADE75">
            <w:pPr>
              <w:ind w:left="72"/>
              <w:rPr>
                <w:i/>
              </w:rPr>
            </w:pPr>
            <w:r w:rsidRPr="00BD125C">
              <w:rPr>
                <w:i/>
              </w:rPr>
              <w:t>Grantee Costs</w:t>
            </w:r>
          </w:p>
        </w:tc>
        <w:tc>
          <w:tcPr>
            <w:tcW w:w="3473" w:type="dxa"/>
          </w:tcPr>
          <w:p w:rsidR="00BD125C" w:rsidRPr="00BD125C" w:rsidP="00BD125C" w14:paraId="163EC393" w14:textId="77777777">
            <w:pPr>
              <w:ind w:left="252"/>
              <w:jc w:val="center"/>
            </w:pPr>
          </w:p>
        </w:tc>
      </w:tr>
      <w:tr w14:paraId="6B719915" w14:textId="77777777" w:rsidTr="00BC6F8B">
        <w:tblPrEx>
          <w:tblW w:w="0" w:type="auto"/>
          <w:tblInd w:w="108" w:type="dxa"/>
          <w:tblLook w:val="04A0"/>
        </w:tblPrEx>
        <w:tc>
          <w:tcPr>
            <w:tcW w:w="5769" w:type="dxa"/>
          </w:tcPr>
          <w:p w:rsidR="00BD125C" w:rsidRPr="00BD125C" w:rsidP="00BC6F8B" w14:paraId="6991EBCE" w14:textId="16425D97">
            <w:pPr>
              <w:ind w:left="72"/>
            </w:pPr>
            <w:r>
              <w:t>5</w:t>
            </w:r>
            <w:r w:rsidRPr="00BD125C">
              <w:t>% of grantee’s program cost (</w:t>
            </w:r>
            <w:r w:rsidR="00DF4F4C">
              <w:t>quitline</w:t>
            </w:r>
            <w:r>
              <w:t xml:space="preserve"> </w:t>
            </w:r>
            <w:r w:rsidR="00A34DA1">
              <w:t>funding</w:t>
            </w:r>
            <w:r w:rsidRPr="00BD125C">
              <w:t>)</w:t>
            </w:r>
          </w:p>
        </w:tc>
        <w:tc>
          <w:tcPr>
            <w:tcW w:w="3473" w:type="dxa"/>
          </w:tcPr>
          <w:p w:rsidR="00BD125C" w:rsidRPr="00BD125C" w:rsidP="004347DB" w14:paraId="1E101E92" w14:textId="0B0D177E">
            <w:pPr>
              <w:ind w:left="252"/>
              <w:jc w:val="center"/>
            </w:pPr>
            <w:r w:rsidRPr="004347DB">
              <w:t>$</w:t>
            </w:r>
            <w:r w:rsidR="00E33456">
              <w:t>8</w:t>
            </w:r>
            <w:r w:rsidRPr="004347DB" w:rsidR="004347DB">
              <w:t>0</w:t>
            </w:r>
            <w:r w:rsidRPr="004347DB" w:rsidR="00BC6F8B">
              <w:t>0</w:t>
            </w:r>
            <w:r w:rsidRPr="004347DB">
              <w:t>,000</w:t>
            </w:r>
          </w:p>
        </w:tc>
      </w:tr>
      <w:tr w14:paraId="038D52A7" w14:textId="77777777" w:rsidTr="00BC6F8B">
        <w:tblPrEx>
          <w:tblW w:w="0" w:type="auto"/>
          <w:tblInd w:w="108" w:type="dxa"/>
          <w:tblLook w:val="04A0"/>
        </w:tblPrEx>
        <w:tc>
          <w:tcPr>
            <w:tcW w:w="5769" w:type="dxa"/>
          </w:tcPr>
          <w:p w:rsidR="00BD125C" w:rsidRPr="00BD125C" w:rsidP="00F87B80" w14:paraId="000AB6DD" w14:textId="77777777">
            <w:pPr>
              <w:ind w:left="72"/>
              <w:jc w:val="right"/>
              <w:rPr>
                <w:i/>
              </w:rPr>
            </w:pPr>
            <w:r w:rsidRPr="00BD125C">
              <w:rPr>
                <w:i/>
              </w:rPr>
              <w:t>Subtotal</w:t>
            </w:r>
          </w:p>
        </w:tc>
        <w:tc>
          <w:tcPr>
            <w:tcW w:w="3473" w:type="dxa"/>
          </w:tcPr>
          <w:p w:rsidR="00BD125C" w:rsidRPr="00BD125C" w:rsidP="004347DB" w14:paraId="3615F60E" w14:textId="104AE1A4">
            <w:pPr>
              <w:jc w:val="right"/>
              <w:rPr>
                <w:i/>
              </w:rPr>
            </w:pPr>
            <w:r w:rsidRPr="00BD125C">
              <w:rPr>
                <w:i/>
              </w:rPr>
              <w:t>$</w:t>
            </w:r>
            <w:r w:rsidR="00E55474">
              <w:rPr>
                <w:i/>
              </w:rPr>
              <w:t>8</w:t>
            </w:r>
            <w:r w:rsidR="004347DB">
              <w:rPr>
                <w:i/>
              </w:rPr>
              <w:t>0</w:t>
            </w:r>
            <w:r w:rsidR="00BC6F8B">
              <w:rPr>
                <w:i/>
              </w:rPr>
              <w:t>0,000</w:t>
            </w:r>
          </w:p>
        </w:tc>
      </w:tr>
      <w:tr w14:paraId="506A74FE" w14:textId="77777777" w:rsidTr="00BC6F8B">
        <w:tblPrEx>
          <w:tblW w:w="0" w:type="auto"/>
          <w:tblInd w:w="108" w:type="dxa"/>
          <w:tblLook w:val="04A0"/>
        </w:tblPrEx>
        <w:tc>
          <w:tcPr>
            <w:tcW w:w="5769" w:type="dxa"/>
          </w:tcPr>
          <w:p w:rsidR="00BD125C" w:rsidRPr="00BD125C" w:rsidP="00BD125C" w14:paraId="5FA8906E" w14:textId="77777777">
            <w:pPr>
              <w:ind w:left="72"/>
              <w:rPr>
                <w:b/>
              </w:rPr>
            </w:pPr>
            <w:r w:rsidRPr="00BD125C">
              <w:rPr>
                <w:b/>
              </w:rPr>
              <w:t>Total Annualized Cost to the Government</w:t>
            </w:r>
          </w:p>
        </w:tc>
        <w:tc>
          <w:tcPr>
            <w:tcW w:w="3473" w:type="dxa"/>
          </w:tcPr>
          <w:p w:rsidR="00BD125C" w:rsidRPr="00BD125C" w:rsidP="00BD125C" w14:paraId="60B9BBE7" w14:textId="7427C671">
            <w:pPr>
              <w:jc w:val="center"/>
              <w:rPr>
                <w:b/>
              </w:rPr>
            </w:pPr>
            <w:r w:rsidRPr="00943286">
              <w:rPr>
                <w:b/>
              </w:rPr>
              <w:t>$1,</w:t>
            </w:r>
            <w:r w:rsidR="00677164">
              <w:rPr>
                <w:b/>
              </w:rPr>
              <w:t>3</w:t>
            </w:r>
            <w:r w:rsidR="00A1543F">
              <w:rPr>
                <w:b/>
              </w:rPr>
              <w:t>37,262</w:t>
            </w:r>
          </w:p>
        </w:tc>
      </w:tr>
    </w:tbl>
    <w:p w:rsidR="00B115A1" w:rsidP="00BD125C" w14:paraId="1F171994" w14:textId="77777777">
      <w:pPr>
        <w:ind w:firstLine="720"/>
        <w:rPr>
          <w:color w:val="000000"/>
        </w:rPr>
      </w:pPr>
    </w:p>
    <w:p w:rsidR="001576EC" w:rsidP="00332BE4" w14:paraId="451253EA" w14:textId="3028527F">
      <w:pPr>
        <w:ind w:firstLine="720"/>
        <w:rPr>
          <w:color w:val="000000"/>
        </w:rPr>
      </w:pPr>
      <w:r w:rsidRPr="00BD125C">
        <w:rPr>
          <w:color w:val="000000"/>
        </w:rPr>
        <w:t xml:space="preserve">The annualized cost to the government for the </w:t>
      </w:r>
      <w:r w:rsidR="0030773A">
        <w:rPr>
          <w:color w:val="000000"/>
        </w:rPr>
        <w:t xml:space="preserve">NQDW </w:t>
      </w:r>
      <w:r w:rsidR="003510D5">
        <w:rPr>
          <w:color w:val="000000"/>
        </w:rPr>
        <w:t>data collection</w:t>
      </w:r>
      <w:r w:rsidR="00EC3240">
        <w:rPr>
          <w:color w:val="000000"/>
        </w:rPr>
        <w:t>, processing, and analysis</w:t>
      </w:r>
      <w:r w:rsidRPr="00BD125C" w:rsidR="003510D5">
        <w:rPr>
          <w:color w:val="000000"/>
        </w:rPr>
        <w:t xml:space="preserve"> </w:t>
      </w:r>
      <w:r w:rsidRPr="00BD125C">
        <w:rPr>
          <w:color w:val="000000"/>
        </w:rPr>
        <w:t xml:space="preserve">will be </w:t>
      </w:r>
      <w:r w:rsidR="001E1276">
        <w:rPr>
          <w:color w:val="000000"/>
        </w:rPr>
        <w:t>$</w:t>
      </w:r>
      <w:r w:rsidRPr="00B35BF2" w:rsidR="00A1543F">
        <w:rPr>
          <w:color w:val="000000"/>
        </w:rPr>
        <w:t>1,337,262</w:t>
      </w:r>
      <w:r w:rsidRPr="00BD125C">
        <w:rPr>
          <w:color w:val="000000"/>
        </w:rPr>
        <w:t xml:space="preserve">. The 36-month cost to the government for the </w:t>
      </w:r>
      <w:r w:rsidR="0030773A">
        <w:rPr>
          <w:color w:val="000000"/>
        </w:rPr>
        <w:t xml:space="preserve">NQDW </w:t>
      </w:r>
      <w:r w:rsidR="003510D5">
        <w:rPr>
          <w:color w:val="000000"/>
        </w:rPr>
        <w:t>data collection</w:t>
      </w:r>
      <w:r w:rsidR="00EC3240">
        <w:rPr>
          <w:color w:val="000000"/>
        </w:rPr>
        <w:t xml:space="preserve">, processing, and analysis </w:t>
      </w:r>
      <w:r w:rsidRPr="00BD125C">
        <w:rPr>
          <w:color w:val="000000"/>
        </w:rPr>
        <w:t xml:space="preserve">will be </w:t>
      </w:r>
      <w:r w:rsidR="00943286">
        <w:rPr>
          <w:color w:val="000000"/>
        </w:rPr>
        <w:t>$</w:t>
      </w:r>
      <w:r w:rsidR="00A1543F">
        <w:rPr>
          <w:color w:val="000000"/>
        </w:rPr>
        <w:t>4,011,786</w:t>
      </w:r>
      <w:r w:rsidR="00943286">
        <w:rPr>
          <w:color w:val="000000"/>
        </w:rPr>
        <w:t>.</w:t>
      </w:r>
    </w:p>
    <w:p w:rsidR="00FA31AC" w:rsidP="00332BE4" w14:paraId="15F19A12" w14:textId="77777777">
      <w:pPr>
        <w:ind w:firstLine="720"/>
        <w:rPr>
          <w:b/>
        </w:rPr>
      </w:pPr>
    </w:p>
    <w:p w:rsidR="00600B8F" w:rsidRPr="00600B8F" w:rsidP="00600B8F" w14:paraId="6B2A1930" w14:textId="77777777">
      <w:pPr>
        <w:ind w:firstLine="720"/>
        <w:rPr>
          <w:color w:val="000000"/>
        </w:rPr>
      </w:pPr>
    </w:p>
    <w:p w:rsidR="008469A3" w14:paraId="491536D4" w14:textId="77777777">
      <w:pPr>
        <w:pStyle w:val="Heading2"/>
      </w:pPr>
      <w:r>
        <w:t>A.1</w:t>
      </w:r>
      <w:r w:rsidR="00831F0D">
        <w:t>5</w:t>
      </w:r>
      <w:r>
        <w:tab/>
      </w:r>
      <w:r w:rsidR="00455449">
        <w:rPr>
          <w:u w:val="single"/>
        </w:rPr>
        <w:t xml:space="preserve">EXPLANATION </w:t>
      </w:r>
      <w:r>
        <w:rPr>
          <w:u w:val="single"/>
        </w:rPr>
        <w:t>F</w:t>
      </w:r>
      <w:r w:rsidR="00455449">
        <w:rPr>
          <w:u w:val="single"/>
        </w:rPr>
        <w:t>OR</w:t>
      </w:r>
      <w:r>
        <w:rPr>
          <w:u w:val="single"/>
        </w:rPr>
        <w:t xml:space="preserve"> PROGRAM CHANGES OR ADJUSTMENTS</w:t>
      </w:r>
    </w:p>
    <w:p w:rsidR="00F5324A" w:rsidP="00F5324A" w14:paraId="5BC9143B" w14:textId="7BBDB39A">
      <w:pPr>
        <w:ind w:firstLine="720"/>
      </w:pPr>
      <w:r w:rsidRPr="00895C65">
        <w:t xml:space="preserve">The total estimated annual burden hours for the proposed OMB revision </w:t>
      </w:r>
      <w:r w:rsidR="00200B34">
        <w:t>is</w:t>
      </w:r>
      <w:r w:rsidRPr="00895C65" w:rsidR="00200B34">
        <w:t xml:space="preserve"> </w:t>
      </w:r>
      <w:r w:rsidR="00296D4B">
        <w:t>68,089</w:t>
      </w:r>
      <w:r>
        <w:t xml:space="preserve">, which </w:t>
      </w:r>
      <w:r w:rsidRPr="00895C65">
        <w:t xml:space="preserve">is </w:t>
      </w:r>
      <w:r w:rsidR="00296D4B">
        <w:t>14,351</w:t>
      </w:r>
      <w:r>
        <w:t xml:space="preserve"> </w:t>
      </w:r>
      <w:r w:rsidRPr="00895C65">
        <w:t xml:space="preserve">hours </w:t>
      </w:r>
      <w:r w:rsidR="00C82DE4">
        <w:t>fewer</w:t>
      </w:r>
      <w:r w:rsidRPr="00895C65" w:rsidR="00C82DE4">
        <w:t xml:space="preserve"> </w:t>
      </w:r>
      <w:r w:rsidRPr="00895C65">
        <w:t>than the 82,440</w:t>
      </w:r>
      <w:r>
        <w:t xml:space="preserve"> </w:t>
      </w:r>
      <w:r w:rsidRPr="00895C65">
        <w:t xml:space="preserve">estimated annual burden hours in the previous OMB approval period. </w:t>
      </w:r>
      <w:r w:rsidR="00C82DE4">
        <w:t xml:space="preserve">As noted in Section A.12, the estimated number of respondents changed for the NQDW Intake Questionnaire based on assessment of 2019 quitline data and accounting for completion of the instrument through other modalities (e.g. online). The estimated number of respondents for the ASQ Seven-Month Follow-up Questionnaire </w:t>
      </w:r>
      <w:r w:rsidR="00CE2ECD">
        <w:t xml:space="preserve">changed based on assessment of response rates. </w:t>
      </w:r>
      <w:r w:rsidRPr="00895C65">
        <w:t>There are no changes to the estimated burden per response for any of the information collection instruments</w:t>
      </w:r>
      <w:r w:rsidR="00C16F71">
        <w:t>; this is described further in the following paragraphs..</w:t>
      </w:r>
      <w:r w:rsidRPr="00895C65">
        <w:t xml:space="preserve">, </w:t>
      </w:r>
      <w:r w:rsidR="00DC532A">
        <w:t xml:space="preserve">As described in Section A.8.b, OSH conducted a thorough review of the existing NQDW survey instruments during 2020-2021 and identified opportunities to refine and improve the instruments and address data gaps. Based on this process. CDC proposes the following changes to the NQDW Intake </w:t>
      </w:r>
      <w:r w:rsidR="00E64F2E">
        <w:t>Questionnaire</w:t>
      </w:r>
      <w:r w:rsidR="001538CC">
        <w:t xml:space="preserve"> and the NQDW Services Survey</w:t>
      </w:r>
      <w:r w:rsidR="00C64A20">
        <w:t>; these are described in the following paragraphs.</w:t>
      </w:r>
    </w:p>
    <w:p w:rsidR="001538CC" w:rsidP="00F5324A" w14:paraId="41633633" w14:textId="16231CD2">
      <w:pPr>
        <w:ind w:firstLine="720"/>
      </w:pPr>
    </w:p>
    <w:p w:rsidR="00E01BDF" w:rsidRPr="00BB455E" w:rsidP="00BB455E" w14:paraId="15186AFD" w14:textId="344DF660">
      <w:pPr>
        <w:ind w:firstLine="720"/>
      </w:pPr>
      <w:r w:rsidRPr="00BB455E">
        <w:rPr>
          <w:i/>
          <w:iCs/>
        </w:rPr>
        <w:t xml:space="preserve">NQDW Intake </w:t>
      </w:r>
      <w:r w:rsidRPr="00E64F2E" w:rsidR="00E64F2E">
        <w:rPr>
          <w:i/>
          <w:iCs/>
        </w:rPr>
        <w:t>Questionnaire</w:t>
      </w:r>
      <w:r>
        <w:t>: CDC proposes to add 1</w:t>
      </w:r>
      <w:r w:rsidR="0001258B">
        <w:t>0</w:t>
      </w:r>
      <w:r>
        <w:t xml:space="preserve"> questions and to remove </w:t>
      </w:r>
      <w:r w:rsidR="003E0DC9">
        <w:t>4</w:t>
      </w:r>
      <w:r>
        <w:t xml:space="preserve"> questions from this instrument.</w:t>
      </w:r>
      <w:r w:rsidR="00E64F2E">
        <w:t xml:space="preserve"> </w:t>
      </w:r>
      <w:r>
        <w:t xml:space="preserve">Added questions pertain to use of e-cigarettes (5) and intent to quit </w:t>
      </w:r>
      <w:r>
        <w:t>e-cigarettes;</w:t>
      </w:r>
      <w:r>
        <w:t xml:space="preserve"> use of </w:t>
      </w:r>
      <w:r w:rsidRPr="00BB455E" w:rsidR="00AB2EBA">
        <w:t>menthol cigarettes and menthol e-cigarettes</w:t>
      </w:r>
      <w:r w:rsidRPr="00BB455E">
        <w:t xml:space="preserve">, sexual orientation, and military status. Removed questions </w:t>
      </w:r>
      <w:r w:rsidRPr="00BB455E" w:rsidR="00AB2EBA">
        <w:t xml:space="preserve">pertain </w:t>
      </w:r>
      <w:r w:rsidR="003E0DC9">
        <w:t xml:space="preserve">to </w:t>
      </w:r>
      <w:r w:rsidRPr="00BB455E" w:rsidR="00AB2EBA">
        <w:t>purpose of the call, prior calls</w:t>
      </w:r>
      <w:r w:rsidRPr="00BB455E" w:rsidR="00104C22">
        <w:t xml:space="preserve">, verification of male or </w:t>
      </w:r>
      <w:r w:rsidRPr="00E64F2E" w:rsidR="00E64F2E">
        <w:t>female</w:t>
      </w:r>
      <w:r w:rsidRPr="00BB455E" w:rsidR="00104C22">
        <w:t xml:space="preserve"> sex, and insurance status</w:t>
      </w:r>
      <w:r w:rsidR="003E0DC9">
        <w:t xml:space="preserve">; in addition, language pertaining with caller’s </w:t>
      </w:r>
      <w:r w:rsidRPr="00B41D4B" w:rsidR="003E0DC9">
        <w:t>intent to continue with call</w:t>
      </w:r>
      <w:r w:rsidR="003E0DC9">
        <w:t xml:space="preserve"> also was deleted.</w:t>
      </w:r>
      <w:r w:rsidRPr="00BB455E">
        <w:t xml:space="preserve"> The proposed questionnaire has </w:t>
      </w:r>
      <w:r w:rsidR="0001258B">
        <w:t>49</w:t>
      </w:r>
      <w:r w:rsidRPr="00BB455E">
        <w:t xml:space="preserve"> questions as compared to 42 </w:t>
      </w:r>
      <w:r w:rsidRPr="00E64F2E" w:rsidR="00E64F2E">
        <w:t>questions</w:t>
      </w:r>
      <w:r w:rsidRPr="00BB455E">
        <w:t xml:space="preserve"> on the present questionnaire.</w:t>
      </w:r>
      <w:r w:rsidRPr="00BB455E" w:rsidR="00DA35A1">
        <w:t xml:space="preserve"> In addition, </w:t>
      </w:r>
      <w:r w:rsidRPr="00BB455E">
        <w:t xml:space="preserve">minor modifications to the questionnaire are proposed as follows: a) </w:t>
      </w:r>
      <w:r w:rsidRPr="00BB455E" w:rsidR="00DA35A1">
        <w:t>minor edits to 18 questions, either to question text</w:t>
      </w:r>
      <w:r w:rsidRPr="00BB455E">
        <w:t xml:space="preserve"> or response categories; b) re-ordering of responses for race and ethnicity questions to align with OMB guidance; and c) minor edits related to follow-up consent and administrative data.</w:t>
      </w:r>
    </w:p>
    <w:p w:rsidR="00E01BDF" w:rsidRPr="007219DA" w:rsidP="001538CC" w14:paraId="098DE0F7" w14:textId="77777777"/>
    <w:p w:rsidR="00DA35A1" w:rsidP="00DA35A1" w14:paraId="51D93280" w14:textId="287B6F39">
      <w:pPr>
        <w:spacing w:after="240"/>
        <w:ind w:firstLine="720"/>
      </w:pPr>
      <w:r w:rsidRPr="007219DA">
        <w:t>The proposed additional questions are relevant due to data gaps in the present survey. There are no questions related to e-cigarettes on the present survey.</w:t>
      </w:r>
      <w:r>
        <w:rPr>
          <w:sz w:val="22"/>
          <w:szCs w:val="22"/>
        </w:rPr>
        <w:t xml:space="preserve"> In </w:t>
      </w:r>
      <w:r>
        <w:t>2018 3.2</w:t>
      </w:r>
      <w:r w:rsidRPr="00323418">
        <w:t xml:space="preserve">% of U.S. adults </w:t>
      </w:r>
      <w:r>
        <w:t>and over 20</w:t>
      </w:r>
      <w:r w:rsidRPr="00323418">
        <w:t>% of high school</w:t>
      </w:r>
      <w:r>
        <w:t xml:space="preserve"> student</w:t>
      </w:r>
      <w:r w:rsidRPr="00323418">
        <w:t>s were current e-cigarette users</w:t>
      </w:r>
      <w:r>
        <w:t xml:space="preserve"> </w:t>
      </w:r>
      <w:r w:rsidRPr="00323418">
        <w:t>(</w:t>
      </w:r>
      <w:r>
        <w:t>Creamer</w:t>
      </w:r>
      <w:r w:rsidRPr="00323418">
        <w:t xml:space="preserve"> et al., 2018</w:t>
      </w:r>
      <w:r>
        <w:t>; Cullen et al., 2018</w:t>
      </w:r>
      <w:r w:rsidRPr="00323418">
        <w:t>).</w:t>
      </w:r>
      <w:r>
        <w:t xml:space="preserve"> Adding questions about e-cigarette use to the </w:t>
      </w:r>
      <w:r w:rsidRPr="00B01301">
        <w:t>NQDW Intake Questionnaire</w:t>
      </w:r>
      <w:r>
        <w:t xml:space="preserve"> is important so to allow quitlines to </w:t>
      </w:r>
      <w:r w:rsidR="00E64F2E">
        <w:t>assess tobacco product use more accurately</w:t>
      </w:r>
      <w:r>
        <w:t xml:space="preserve"> among participants and provide cessation services accordingly. This data also can also provide important insight to the tobacco control field about quitting behaviors among people who use e-cigarettes.. </w:t>
      </w:r>
    </w:p>
    <w:p w:rsidR="00DA35A1" w:rsidP="00DA35A1" w14:paraId="265B3B31" w14:textId="67D780B9">
      <w:pPr>
        <w:spacing w:after="240"/>
        <w:ind w:firstLine="720"/>
      </w:pPr>
      <w:r>
        <w:t xml:space="preserve">Assessing menthol use in the context of cessation is important as studies have suggested that persons who smoke menthol cigarettes have a more difficult time quitting smoking (Trinidad et al 2010; Delnevo et al 2011; Leas et al 2021). The proposed questions are comparable to the optional menthol questions available in the MDS, except that the response categories are aligned with menthol questions that will be implemented as optional modules in the </w:t>
      </w:r>
      <w:r w:rsidR="00E64F2E">
        <w:t>Behavioral</w:t>
      </w:r>
      <w:r>
        <w:t xml:space="preserve"> Risk Factor Surveillance System (BRFSS)</w:t>
      </w:r>
      <w:r w:rsidR="00296D4B">
        <w:t xml:space="preserve"> (OMB No. 0920-1061, exp. 12/31/2024)</w:t>
      </w:r>
      <w:r>
        <w:t>. This alignment will allow harmonization of the NDQW data with the population-based BRFSS.</w:t>
      </w:r>
    </w:p>
    <w:p w:rsidR="001538CC" w:rsidRPr="00BB455E" w:rsidP="00BB455E" w14:paraId="2BA6C21A" w14:textId="67A8D7B4">
      <w:pPr>
        <w:spacing w:after="240"/>
        <w:ind w:firstLine="720"/>
      </w:pPr>
      <w:r>
        <w:t xml:space="preserve">Additionally, adding questions to capture information on participant sexual orientation and military status will support quitline efforts to provide tailored and targeted </w:t>
      </w:r>
      <w:r>
        <w:t>quitline</w:t>
      </w:r>
      <w:r>
        <w:t xml:space="preserve"> services to LGBT, military and veteran populations that experience disproportionately high tobacco use</w:t>
      </w:r>
      <w:r w:rsidRPr="00895C65">
        <w:t xml:space="preserve"> </w:t>
      </w:r>
      <w:r w:rsidRPr="00F17DAE">
        <w:t>(Margolies, 2015; Graham et al., 2011; Klesges et al., 2006; USSD, 2016; Odani et al., 2018)</w:t>
      </w:r>
      <w:r>
        <w:t>. CDC’s proposed sexual orientation question align</w:t>
      </w:r>
      <w:r w:rsidR="0001258B">
        <w:t>s</w:t>
      </w:r>
      <w:r>
        <w:t xml:space="preserve"> with comments and recommendations provided by the National LBGT Cancer Network and the North American Quitline Consortium (Attachment A-3). </w:t>
      </w:r>
    </w:p>
    <w:p w:rsidR="00104C22" w:rsidRPr="00BB455E" w:rsidP="00BD2018" w14:paraId="3B598E7E" w14:textId="6CB2F1DE">
      <w:pPr>
        <w:rPr>
          <w:sz w:val="22"/>
          <w:szCs w:val="22"/>
        </w:rPr>
      </w:pPr>
    </w:p>
    <w:p w:rsidR="00DE6115" w:rsidP="00DE6115" w14:paraId="7EAA8504" w14:textId="6879E710">
      <w:pPr>
        <w:spacing w:after="240"/>
        <w:ind w:firstLine="720"/>
      </w:pPr>
      <w:r w:rsidRPr="00895C65">
        <w:t xml:space="preserve">The </w:t>
      </w:r>
      <w:r>
        <w:t>four</w:t>
      </w:r>
      <w:r w:rsidRPr="00895C65">
        <w:t xml:space="preserve"> question</w:t>
      </w:r>
      <w:r>
        <w:t>s</w:t>
      </w:r>
      <w:r w:rsidRPr="00895C65">
        <w:t xml:space="preserve"> </w:t>
      </w:r>
      <w:r>
        <w:t xml:space="preserve">proposed for removal from the </w:t>
      </w:r>
      <w:r w:rsidRPr="00895C65">
        <w:t xml:space="preserve">NQDW Intake Questionnaire </w:t>
      </w:r>
      <w:r>
        <w:t>are redundant and can be captured through modifications to other exiting questions. For example, the question “</w:t>
      </w:r>
      <w:r w:rsidRPr="00DE1258">
        <w:t>Do you have any health insurance, including pre-paid (such as XXX – provide examples for your state) or government programs (such as Medicaid or Medicare)?</w:t>
      </w:r>
      <w:r>
        <w:t>” is proposed for removal, as the subsequent question, “</w:t>
      </w:r>
      <w:r w:rsidRPr="00DE1258">
        <w:t>What type of health insurance do you have?</w:t>
      </w:r>
      <w:r>
        <w:t xml:space="preserve">” could capture the same data if the response options were modified to include </w:t>
      </w:r>
      <w:r w:rsidR="00C322E8">
        <w:t>“currently do not have health insurance.”</w:t>
      </w:r>
    </w:p>
    <w:p w:rsidR="00DE6115" w:rsidP="00DE6115" w14:paraId="6EBDE5EF" w14:textId="71E20501">
      <w:pPr>
        <w:spacing w:after="240"/>
        <w:ind w:firstLine="720"/>
      </w:pPr>
      <w:r>
        <w:t>As many of the questions are conditional, (e.g. e-cigarette questions are asked only of e-cigarette users), CDC does not expect the net increase to impact burden.</w:t>
      </w:r>
      <w:r w:rsidR="00E64F2E">
        <w:t xml:space="preserve"> </w:t>
      </w:r>
      <w:r>
        <w:t xml:space="preserve">In addition, </w:t>
      </w:r>
      <w:r w:rsidRPr="00895C65">
        <w:t>CDC</w:t>
      </w:r>
      <w:r>
        <w:t xml:space="preserve">, </w:t>
      </w:r>
      <w:r w:rsidRPr="00D13298">
        <w:t xml:space="preserve">with contractor assistance from </w:t>
      </w:r>
      <w:r>
        <w:t>NORC at the University of Chicago,</w:t>
      </w:r>
      <w:r w:rsidRPr="00895C65">
        <w:t xml:space="preserve"> </w:t>
      </w:r>
      <w:r>
        <w:t>conducted informal testing on response times with the updated questionnaire</w:t>
      </w:r>
      <w:r>
        <w:t xml:space="preserve"> and findings supported </w:t>
      </w:r>
      <w:r>
        <w:t xml:space="preserve">the 10 minute estimate per respondent </w:t>
      </w:r>
      <w:r>
        <w:t>remaining</w:t>
      </w:r>
      <w:r>
        <w:t xml:space="preserve"> applicable.</w:t>
      </w:r>
    </w:p>
    <w:p w:rsidR="00BB64DC" w:rsidRPr="009900B7" w:rsidP="00BB455E" w14:paraId="11053E6D" w14:textId="69D90399">
      <w:pPr>
        <w:spacing w:after="240"/>
        <w:ind w:firstLine="720"/>
      </w:pPr>
      <w:r w:rsidRPr="00BB455E">
        <w:rPr>
          <w:i/>
          <w:iCs/>
        </w:rPr>
        <w:t>NQDW Services Survey</w:t>
      </w:r>
      <w:r w:rsidR="00DE6115">
        <w:t xml:space="preserve">: CDC </w:t>
      </w:r>
      <w:r w:rsidR="00174F11">
        <w:t xml:space="preserve">proposes adding five questions to this instrument: </w:t>
      </w:r>
      <w:r>
        <w:t xml:space="preserve"> one on availability of services during the reporting period, one on services not captured by the reporting form, one on </w:t>
      </w:r>
      <w:r w:rsidR="00DC459B">
        <w:t xml:space="preserve">the provision of tailored cessation </w:t>
      </w:r>
      <w:r>
        <w:t xml:space="preserve">protocols for target populations, one on web enrollment, and one on </w:t>
      </w:r>
      <w:r w:rsidR="002F002F">
        <w:t xml:space="preserve">registrations </w:t>
      </w:r>
      <w:r>
        <w:t>by modality</w:t>
      </w:r>
      <w:r w:rsidR="00174F11">
        <w:t xml:space="preserve">. CDC also proposes </w:t>
      </w:r>
      <w:r w:rsidR="0000261F">
        <w:t xml:space="preserve">minor </w:t>
      </w:r>
      <w:r w:rsidR="00174F11">
        <w:t>modifications to 13 questions</w:t>
      </w:r>
      <w:r w:rsidR="0000261F">
        <w:t xml:space="preserve">, either by editing the </w:t>
      </w:r>
      <w:r>
        <w:t xml:space="preserve">question text </w:t>
      </w:r>
      <w:r w:rsidR="0000261F">
        <w:t xml:space="preserve">or </w:t>
      </w:r>
      <w:r>
        <w:t xml:space="preserve">the response options (NQDW Services Survey – currently questions #2-7, 9, 11-13, and 15-17). Additionally, </w:t>
      </w:r>
      <w:r w:rsidR="00C64A20">
        <w:t xml:space="preserve">CDC proposes moving </w:t>
      </w:r>
      <w:r>
        <w:t xml:space="preserve">three </w:t>
      </w:r>
      <w:r w:rsidR="009B24CD">
        <w:t>questions</w:t>
      </w:r>
      <w:r w:rsidR="00C64A20">
        <w:t xml:space="preserve">.  </w:t>
      </w:r>
    </w:p>
    <w:p w:rsidR="000504D6" w:rsidP="000504D6" w14:paraId="27D24753" w14:textId="5567F5F5">
      <w:pPr>
        <w:spacing w:after="240"/>
        <w:ind w:firstLine="720"/>
      </w:pPr>
      <w:r>
        <w:t xml:space="preserve">The proposed </w:t>
      </w:r>
      <w:r w:rsidR="00C64A20">
        <w:t xml:space="preserve">questions regarding which services are available and which </w:t>
      </w:r>
      <w:r w:rsidRPr="005F187B" w:rsidR="00C64A20">
        <w:t xml:space="preserve">services </w:t>
      </w:r>
      <w:r w:rsidR="00C64A20">
        <w:t xml:space="preserve">were </w:t>
      </w:r>
      <w:r w:rsidRPr="005F187B" w:rsidR="00C64A20">
        <w:t>not captured by the reporting form</w:t>
      </w:r>
      <w:r w:rsidR="00C64A20">
        <w:t xml:space="preserve"> will allow the NQDW to respond nimbly as new technologies emerge and service modalities are implemented across quitlines (i.e. if text-based intake methods become tenable, CDC can propose a revision to the services survey to proactively gather that information).</w:t>
      </w:r>
      <w:r>
        <w:t xml:space="preserve"> The proposed question </w:t>
      </w:r>
      <w:r w:rsidRPr="00DD5367">
        <w:t xml:space="preserve">on </w:t>
      </w:r>
      <w:r>
        <w:t>the provision of tailored protocols for target populations will provide insight into how quitlines are supporting quitting among populations that experience disparities in tobacco product use. This information also will be useful for determining special eligibility criteria for the provision of counseling and medications. Paired with other changes to the NQDW Intake Questionnaire, this item will provide clear insight into the services offered to support quitting among key populations, such as youth and p</w:t>
      </w:r>
      <w:r w:rsidRPr="0099078F">
        <w:t>regnant/postpartum women</w:t>
      </w:r>
      <w:r>
        <w:t>.</w:t>
      </w:r>
    </w:p>
    <w:p w:rsidR="001966FB" w:rsidP="009900B7" w14:paraId="10A528A6" w14:textId="40522988">
      <w:pPr>
        <w:spacing w:after="240"/>
        <w:ind w:firstLine="720"/>
      </w:pPr>
      <w:r>
        <w:t xml:space="preserve">The proposed questions regarding </w:t>
      </w:r>
      <w:r w:rsidRPr="005F187B" w:rsidR="005F187B">
        <w:t xml:space="preserve">web enrollment, and </w:t>
      </w:r>
      <w:r w:rsidR="002F002F">
        <w:t>registrations</w:t>
      </w:r>
      <w:r w:rsidRPr="005F187B" w:rsidR="002F002F">
        <w:t xml:space="preserve"> </w:t>
      </w:r>
      <w:r w:rsidRPr="005F187B" w:rsidR="005F187B">
        <w:t xml:space="preserve">by modality </w:t>
      </w:r>
      <w:r w:rsidR="005F187B">
        <w:t>represent critical new information on shifting modalities in data collection.</w:t>
      </w:r>
      <w:r w:rsidRPr="005F187B" w:rsidR="005F187B">
        <w:rPr>
          <w:b/>
        </w:rPr>
        <w:t xml:space="preserve"> </w:t>
      </w:r>
      <w:r w:rsidRPr="00F85D85" w:rsidR="005F187B">
        <w:t xml:space="preserve">Though quitlines began as telephone-based services, they have evolved over time to incorporate new technologies and now provide services through additional modalities, such as web and texting services. </w:t>
      </w:r>
      <w:r w:rsidR="00C01B04">
        <w:t xml:space="preserve">Adding these questions will </w:t>
      </w:r>
      <w:r w:rsidR="00EB43F5">
        <w:t xml:space="preserve">enable states to </w:t>
      </w:r>
      <w:r w:rsidR="005F69A2">
        <w:t xml:space="preserve">provide a more complete </w:t>
      </w:r>
      <w:r w:rsidR="00EB43F5">
        <w:t>report on all of the services they are providing to quitline participants</w:t>
      </w:r>
      <w:r w:rsidR="005F69A2">
        <w:t>. This information is</w:t>
      </w:r>
      <w:r w:rsidR="00811BA2">
        <w:t xml:space="preserve"> vital for both program evaluation and funding justification. Additionally, </w:t>
      </w:r>
      <w:r w:rsidR="006D0BF8">
        <w:t xml:space="preserve">gathering information on how participants are accessing quitline services is critical for </w:t>
      </w:r>
      <w:r w:rsidR="006B1F85">
        <w:t xml:space="preserve">future planning on strategies to leverage emerging technologies to </w:t>
      </w:r>
      <w:r w:rsidR="00CF7A2A">
        <w:t>increase quitline reach and effectiveness.</w:t>
      </w:r>
      <w:r w:rsidR="00200687">
        <w:t xml:space="preserve"> </w:t>
      </w:r>
      <w:r w:rsidRPr="005F187B" w:rsidR="002F002F">
        <w:t>Incorporating</w:t>
      </w:r>
      <w:r w:rsidRPr="005F187B" w:rsidR="005F187B">
        <w:t xml:space="preserve"> data on non-phone enrollees not only addresses the terms of clearance of the previous ICR (Reference No: </w:t>
      </w:r>
      <w:hyperlink r:id="rId8" w:history="1">
        <w:r w:rsidRPr="005F187B" w:rsidR="005F187B">
          <w:rPr>
            <w:rStyle w:val="Hyperlink"/>
          </w:rPr>
          <w:t>201903-0920-001</w:t>
        </w:r>
      </w:hyperlink>
      <w:r w:rsidRPr="005F187B" w:rsidR="005F187B">
        <w:t xml:space="preserve">), but also </w:t>
      </w:r>
      <w:r w:rsidR="00C02282">
        <w:t xml:space="preserve">supports the collection of </w:t>
      </w:r>
      <w:r w:rsidRPr="005F187B" w:rsidR="005F187B">
        <w:t xml:space="preserve">information </w:t>
      </w:r>
      <w:r w:rsidR="009E2DE3">
        <w:t>about</w:t>
      </w:r>
      <w:r w:rsidRPr="005F187B" w:rsidR="005F187B">
        <w:t xml:space="preserve"> population</w:t>
      </w:r>
      <w:r w:rsidR="00DA3658">
        <w:t>s</w:t>
      </w:r>
      <w:r w:rsidRPr="005F187B" w:rsidR="005F187B">
        <w:t xml:space="preserve"> that </w:t>
      </w:r>
      <w:r w:rsidR="00C02282">
        <w:t>prefer the use of web and text modalities to phone-based services</w:t>
      </w:r>
      <w:r w:rsidRPr="005F187B" w:rsidR="005F187B">
        <w:t>. Younger generations</w:t>
      </w:r>
      <w:r w:rsidR="001D2E8E">
        <w:t>, for example,</w:t>
      </w:r>
      <w:r w:rsidRPr="005F187B" w:rsidR="005F187B">
        <w:t xml:space="preserve"> are often early adopters of new technologies, and therefore likelier than older adults to not only access a broad range of technologies, but to use those technologies to access health-related information and services (Sanci, 2020; Giovanelli, Ozer, &amp; Dahl, 2020; Wright, 2020; Clarke </w:t>
      </w:r>
      <w:r w:rsidR="002F002F">
        <w:t>2020)</w:t>
      </w:r>
      <w:r w:rsidRPr="005F187B" w:rsidR="005F187B">
        <w:t xml:space="preserve">. </w:t>
      </w:r>
      <w:r w:rsidR="002F002F">
        <w:t>Acknowledging</w:t>
      </w:r>
      <w:r w:rsidR="00DC21CA">
        <w:t xml:space="preserve"> the use of new</w:t>
      </w:r>
      <w:r w:rsidRPr="005F187B" w:rsidR="005F187B">
        <w:t xml:space="preserve"> technolog</w:t>
      </w:r>
      <w:r w:rsidR="00DC21CA">
        <w:t>ies</w:t>
      </w:r>
      <w:r w:rsidRPr="005F187B" w:rsidR="005F187B">
        <w:t xml:space="preserve"> is crucial to </w:t>
      </w:r>
      <w:r w:rsidR="005F3A18">
        <w:t xml:space="preserve">ensure complete and accurate </w:t>
      </w:r>
      <w:r w:rsidRPr="005F187B" w:rsidR="005F187B">
        <w:t>data collection efforts</w:t>
      </w:r>
      <w:r w:rsidR="002F002F">
        <w:t xml:space="preserve">. </w:t>
      </w:r>
    </w:p>
    <w:p w:rsidR="00FA31AC" w:rsidRPr="00895C65" w:rsidP="00BB455E" w14:paraId="2AC43E80" w14:textId="4848D4D0">
      <w:pPr>
        <w:spacing w:after="240"/>
        <w:ind w:firstLine="720"/>
      </w:pPr>
      <w:r w:rsidRPr="00895C65">
        <w:t xml:space="preserve">Because </w:t>
      </w:r>
      <w:r>
        <w:t>the NQDW Services Survey</w:t>
      </w:r>
      <w:r w:rsidRPr="00895C65">
        <w:t xml:space="preserve"> </w:t>
      </w:r>
      <w:r>
        <w:t>is presented to states in an</w:t>
      </w:r>
      <w:r w:rsidRPr="00BB64DC">
        <w:t xml:space="preserve"> electronic form </w:t>
      </w:r>
      <w:r>
        <w:t>that</w:t>
      </w:r>
      <w:r w:rsidRPr="00BB64DC">
        <w:t xml:space="preserve"> includes drop-down boxes, data entry fields, and checkboxes t</w:t>
      </w:r>
      <w:r>
        <w:t xml:space="preserve">o help reduce data entry errors, as well as prepopulated answers to reduce burden, CDC does not anticipate a change in </w:t>
      </w:r>
      <w:r w:rsidRPr="00895C65">
        <w:t>estimated burden</w:t>
      </w:r>
      <w:r>
        <w:t xml:space="preserve"> for this instrument</w:t>
      </w:r>
      <w:r w:rsidRPr="00895C65">
        <w:t>.</w:t>
      </w:r>
      <w:r>
        <w:t xml:space="preserve"> </w:t>
      </w:r>
    </w:p>
    <w:p w:rsidR="00FA31AC" w:rsidP="009900B7" w14:paraId="6B3B1CD5" w14:textId="0575CEF0">
      <w:pPr>
        <w:spacing w:after="240"/>
        <w:ind w:firstLine="720"/>
      </w:pPr>
    </w:p>
    <w:p w:rsidR="00FA31AC" w:rsidP="009900B7" w14:paraId="13908829" w14:textId="77777777">
      <w:pPr>
        <w:spacing w:after="240"/>
        <w:ind w:firstLine="720"/>
      </w:pPr>
    </w:p>
    <w:p w:rsidR="000E60FE" w:rsidP="00455449" w14:paraId="42F301E8" w14:textId="77777777"/>
    <w:p w:rsidR="008469A3" w:rsidP="001A1FAE" w14:paraId="140DA206" w14:textId="77777777">
      <w:pPr>
        <w:pStyle w:val="Heading2"/>
      </w:pPr>
      <w:r>
        <w:t>A.1</w:t>
      </w:r>
      <w:r w:rsidR="00912536">
        <w:t>6</w:t>
      </w:r>
      <w:r>
        <w:tab/>
      </w:r>
      <w:r>
        <w:rPr>
          <w:u w:val="single"/>
        </w:rPr>
        <w:t>PLANS FOR TABULATION AND PUBLICATION AND PROJECT TIME SCHEDULE</w:t>
      </w:r>
    </w:p>
    <w:p w:rsidR="006D0040" w:rsidRPr="001615FF" w:rsidP="006D0040" w14:paraId="6A0D73CE" w14:textId="77777777">
      <w:pPr>
        <w:pStyle w:val="BodyText"/>
        <w:ind w:firstLine="0"/>
        <w:rPr>
          <w:b/>
          <w:u w:val="single"/>
        </w:rPr>
      </w:pPr>
      <w:r>
        <w:rPr>
          <w:b/>
          <w:u w:val="single"/>
        </w:rPr>
        <w:t>Data Tabulation Plans</w:t>
      </w:r>
    </w:p>
    <w:p w:rsidR="006035AF" w:rsidP="009900B7" w14:paraId="21208572" w14:textId="077AED7E">
      <w:pPr>
        <w:pStyle w:val="BodyText"/>
      </w:pPr>
      <w:r w:rsidRPr="000218B4">
        <w:t>Data will be tabulated in ways that will address the pr</w:t>
      </w:r>
      <w:r w:rsidRPr="000218B4" w:rsidR="00E553FD">
        <w:t>incipal purposes outlined in A.3</w:t>
      </w:r>
      <w:r w:rsidRPr="000218B4" w:rsidR="0053215C">
        <w:t xml:space="preserve"> </w:t>
      </w:r>
      <w:r w:rsidR="0053215C">
        <w:t>(Attachment</w:t>
      </w:r>
      <w:r w:rsidR="00EA5DFD">
        <w:t xml:space="preserve"> </w:t>
      </w:r>
      <w:r w:rsidR="00B12165">
        <w:t>H</w:t>
      </w:r>
      <w:r w:rsidR="00EA5DFD">
        <w:t>)</w:t>
      </w:r>
      <w:r w:rsidR="00B30840">
        <w:t xml:space="preserve">. </w:t>
      </w:r>
      <w:r w:rsidR="00A01E92">
        <w:t xml:space="preserve">Starting in November 2013, </w:t>
      </w:r>
      <w:r>
        <w:t xml:space="preserve">CDC </w:t>
      </w:r>
      <w:r w:rsidR="00A01E92">
        <w:t>began sharing</w:t>
      </w:r>
      <w:r>
        <w:t xml:space="preserve"> tabulations using the NQDW data collected </w:t>
      </w:r>
      <w:r w:rsidR="00E3202A">
        <w:t xml:space="preserve">publicly </w:t>
      </w:r>
      <w:r>
        <w:t xml:space="preserve">online through the CDC’s State Tobacco Activities Tracking and Evaluation (STATE) System website </w:t>
      </w:r>
      <w:r w:rsidRPr="006F4BF6">
        <w:t>(</w:t>
      </w:r>
      <w:hyperlink r:id="rId9" w:history="1">
        <w:r w:rsidRPr="006F4BF6">
          <w:rPr>
            <w:rStyle w:val="Hyperlink"/>
          </w:rPr>
          <w:t>http://apps.nccd.cdc.gov/statesystem/Default/Default.aspx</w:t>
        </w:r>
      </w:hyperlink>
      <w:r w:rsidRPr="006F4BF6">
        <w:t>)</w:t>
      </w:r>
      <w:r w:rsidR="00E3202A">
        <w:t xml:space="preserve"> which contains a variety of current and historical state-level and national data on tobacco use prevention and control</w:t>
      </w:r>
      <w:r w:rsidRPr="006F4BF6">
        <w:t>.</w:t>
      </w:r>
      <w:r>
        <w:t xml:space="preserve"> CDC plans to continue sharing quarterly NQDW data tabulations from the NQDW </w:t>
      </w:r>
      <w:r w:rsidR="00E3202A">
        <w:t>data</w:t>
      </w:r>
      <w:r>
        <w:t xml:space="preserve"> on the STATE system on an ongoing basis. </w:t>
      </w:r>
      <w:r w:rsidR="0035346C">
        <w:t xml:space="preserve">Data is reported in aggregate to prevent involuntary disclosure due to small cell sizes at the individual level. </w:t>
      </w:r>
      <w:r>
        <w:t xml:space="preserve">Through the CDC’s STATE System, </w:t>
      </w:r>
      <w:r w:rsidR="00E3202A">
        <w:t xml:space="preserve">website </w:t>
      </w:r>
      <w:r>
        <w:t>visitors can access a variety of detailed reports</w:t>
      </w:r>
      <w:r w:rsidR="00E3202A">
        <w:t xml:space="preserve"> and data tables</w:t>
      </w:r>
      <w:r>
        <w:t xml:space="preserve"> that present a state-level summary of NQDW data for a single quarter</w:t>
      </w:r>
      <w:r w:rsidR="00E3202A">
        <w:t xml:space="preserve">. </w:t>
      </w:r>
      <w:r>
        <w:t>Detailed reports available on the CDC’s STATE System website that are based upon NQDW data include:</w:t>
      </w:r>
    </w:p>
    <w:p w:rsidR="00E3202A" w:rsidP="009900B7" w14:paraId="77AC378F" w14:textId="77777777">
      <w:pPr>
        <w:pStyle w:val="BodyText"/>
        <w:numPr>
          <w:ilvl w:val="0"/>
          <w:numId w:val="53"/>
        </w:numPr>
      </w:pPr>
      <w:r>
        <w:t>Quitline - Services Available</w:t>
      </w:r>
    </w:p>
    <w:p w:rsidR="00E3202A" w:rsidP="009900B7" w14:paraId="24DC5E4A" w14:textId="77777777">
      <w:pPr>
        <w:pStyle w:val="BodyText"/>
        <w:numPr>
          <w:ilvl w:val="1"/>
          <w:numId w:val="53"/>
        </w:numPr>
      </w:pPr>
      <w:r>
        <w:t>Hours of Operation and Available Languages</w:t>
      </w:r>
    </w:p>
    <w:p w:rsidR="00E3202A" w:rsidP="009900B7" w14:paraId="351A01BE" w14:textId="77777777">
      <w:pPr>
        <w:pStyle w:val="BodyText"/>
        <w:numPr>
          <w:ilvl w:val="1"/>
          <w:numId w:val="53"/>
        </w:numPr>
      </w:pPr>
      <w:r>
        <w:t>Counseling</w:t>
      </w:r>
    </w:p>
    <w:p w:rsidR="00E3202A" w:rsidP="009900B7" w14:paraId="41C1AD17" w14:textId="77777777">
      <w:pPr>
        <w:pStyle w:val="BodyText"/>
        <w:numPr>
          <w:ilvl w:val="1"/>
          <w:numId w:val="53"/>
        </w:numPr>
      </w:pPr>
      <w:r>
        <w:t>Medications</w:t>
      </w:r>
    </w:p>
    <w:p w:rsidR="00E3202A" w:rsidP="009900B7" w14:paraId="3E1A27BE" w14:textId="77777777">
      <w:pPr>
        <w:pStyle w:val="BodyText"/>
        <w:numPr>
          <w:ilvl w:val="0"/>
          <w:numId w:val="53"/>
        </w:numPr>
      </w:pPr>
      <w:r>
        <w:t>Quitline – Service Utilization</w:t>
      </w:r>
    </w:p>
    <w:p w:rsidR="00E3202A" w:rsidP="009900B7" w14:paraId="0C737C71" w14:textId="77777777">
      <w:pPr>
        <w:pStyle w:val="BodyText"/>
        <w:numPr>
          <w:ilvl w:val="1"/>
          <w:numId w:val="53"/>
        </w:numPr>
      </w:pPr>
      <w:r>
        <w:t>Call Volume</w:t>
      </w:r>
    </w:p>
    <w:p w:rsidR="00E3202A" w:rsidP="009900B7" w14:paraId="4579BB6A" w14:textId="77777777">
      <w:pPr>
        <w:pStyle w:val="BodyText"/>
        <w:numPr>
          <w:ilvl w:val="1"/>
          <w:numId w:val="53"/>
        </w:numPr>
      </w:pPr>
      <w:r>
        <w:t>Services Received</w:t>
      </w:r>
    </w:p>
    <w:p w:rsidR="00E3202A" w:rsidP="009900B7" w14:paraId="6A17AC78" w14:textId="3E8F75E2">
      <w:pPr>
        <w:pStyle w:val="BodyText"/>
        <w:numPr>
          <w:ilvl w:val="1"/>
          <w:numId w:val="53"/>
        </w:numPr>
      </w:pPr>
      <w:r>
        <w:t>Participant</w:t>
      </w:r>
      <w:r>
        <w:t xml:space="preserve"> Characteristics</w:t>
      </w:r>
    </w:p>
    <w:p w:rsidR="00E3202A" w:rsidP="009900B7" w14:paraId="29406511" w14:textId="20AA39D8">
      <w:pPr>
        <w:pStyle w:val="BodyText"/>
        <w:numPr>
          <w:ilvl w:val="1"/>
          <w:numId w:val="53"/>
        </w:numPr>
      </w:pPr>
      <w:r>
        <w:t xml:space="preserve">How </w:t>
      </w:r>
      <w:r w:rsidR="003F7835">
        <w:t>Participant</w:t>
      </w:r>
      <w:r>
        <w:t>s Heard about Quitline</w:t>
      </w:r>
    </w:p>
    <w:p w:rsidR="00E3202A" w:rsidP="009900B7" w14:paraId="7E54CF60" w14:textId="4ACC14D0">
      <w:pPr>
        <w:pStyle w:val="BodyText"/>
        <w:numPr>
          <w:ilvl w:val="1"/>
          <w:numId w:val="53"/>
        </w:numPr>
      </w:pPr>
      <w:r>
        <w:t>Types of Tobacco Products Used</w:t>
      </w:r>
    </w:p>
    <w:p w:rsidR="00E3202A" w:rsidP="009900B7" w14:paraId="16A49FE5" w14:textId="1D225A35">
      <w:pPr>
        <w:pStyle w:val="BodyText"/>
        <w:ind w:firstLine="0"/>
      </w:pPr>
      <w:r>
        <w:t>CDC STATE System users can also access highlights reports that present state and national trends for several key measures from the NQDW data including quitline call volume, the number of tobacco users who received counseling and/or free quitting medications from quitlines, and the demographic characteristics and tobacco products used by individuals who completed an NQDW Intake Questionnaire. Finally, CDC STATE System users can access maps that present state-level standardized quitline call volume and reach measures. The STATE System is designed to integrate many data sources to provide comprehensive summary data on a state level and facilitate research and consistent data interpretation</w:t>
      </w:r>
      <w:r w:rsidR="00B30840">
        <w:t xml:space="preserve">. </w:t>
      </w:r>
      <w:r>
        <w:t xml:space="preserve">The STATE System does not collect data and is simply a way for CDC to display data for public consumption in a user-friendly online environment. Data submitted to CDC for inclusion in the NQDW is cleaned, standardized, formatted, analyzed and shared with states for sign off and verification before being published online. </w:t>
      </w:r>
    </w:p>
    <w:p w:rsidR="008469A3" w:rsidP="009900B7" w14:paraId="4496DE25" w14:textId="77777777">
      <w:pPr>
        <w:pStyle w:val="Heading3"/>
        <w:ind w:left="0"/>
      </w:pPr>
      <w:r w:rsidRPr="009B1D65">
        <w:rPr>
          <w:u w:val="single"/>
        </w:rPr>
        <w:t xml:space="preserve">Publication </w:t>
      </w:r>
      <w:r w:rsidR="006D0040">
        <w:rPr>
          <w:u w:val="single"/>
        </w:rPr>
        <w:t xml:space="preserve">and Dissemination </w:t>
      </w:r>
      <w:r w:rsidR="00C663AB">
        <w:rPr>
          <w:u w:val="single"/>
        </w:rPr>
        <w:t>Plans</w:t>
      </w:r>
    </w:p>
    <w:p w:rsidR="006D0040" w:rsidP="009900B7" w14:paraId="6AD515FE" w14:textId="49EB6E42">
      <w:pPr>
        <w:pStyle w:val="BodyText"/>
      </w:pPr>
      <w:r w:rsidRPr="006F4BF6">
        <w:t>CDC has</w:t>
      </w:r>
      <w:r>
        <w:t xml:space="preserve">, and continues to, extensively </w:t>
      </w:r>
      <w:r w:rsidRPr="006F4BF6">
        <w:t>use the information collected by the NQDW for ongoing monitoring and evaluation related to state quitlines</w:t>
      </w:r>
      <w:r>
        <w:t xml:space="preserve">. CDC has also relied heavily on data from the NQDW to </w:t>
      </w:r>
      <w:r w:rsidRPr="006F4BF6">
        <w:t xml:space="preserve">respond to frequent quitline-related queries from CDC management, the U.S. Department of Health and Human Services (USDHHS), state tobacco control programs, and legislators and policymakers. </w:t>
      </w:r>
      <w:r>
        <w:t xml:space="preserve">CDC plans to continue sharing and disseminating NQDW data from this data collection online through the CDC’s STATE System website </w:t>
      </w:r>
      <w:r w:rsidRPr="006F4BF6">
        <w:t>(</w:t>
      </w:r>
      <w:hyperlink r:id="rId10" w:history="1">
        <w:r w:rsidRPr="00802292" w:rsidR="00802292">
          <w:rPr>
            <w:rStyle w:val="Hyperlink"/>
          </w:rPr>
          <w:t>http://www.cdc.gov/statesystem</w:t>
        </w:r>
      </w:hyperlink>
      <w:r>
        <w:rPr>
          <w:rStyle w:val="Hyperlink"/>
        </w:rPr>
        <w:t>)</w:t>
      </w:r>
      <w:r w:rsidR="00200B34">
        <w:rPr>
          <w:rStyle w:val="Hyperlink"/>
        </w:rPr>
        <w:t xml:space="preserve"> and Tobacco Use Data Portal (</w:t>
      </w:r>
      <w:r w:rsidRPr="00774803" w:rsidR="00774803">
        <w:rPr>
          <w:rStyle w:val="Hyperlink"/>
        </w:rPr>
        <w:t>https://chronicdata.cdc.gov/browse?category=Tobacco+Use</w:t>
      </w:r>
      <w:r w:rsidR="00774803">
        <w:rPr>
          <w:rStyle w:val="Hyperlink"/>
        </w:rPr>
        <w:t>)</w:t>
      </w:r>
      <w:r>
        <w:rPr>
          <w:rStyle w:val="Hyperlink"/>
        </w:rPr>
        <w:t xml:space="preserve">. </w:t>
      </w:r>
      <w:r>
        <w:t xml:space="preserve">CDC has also presented findings and results from the NQDW data collection at various meetings and conferences and plans to continue presenting NQDW data at a variety of meetings and conferences. </w:t>
      </w:r>
    </w:p>
    <w:p w:rsidR="00FB68E4" w:rsidRPr="00963C1C" w:rsidP="009900B7" w14:paraId="0BB9A857" w14:textId="67F1ACFF">
      <w:pPr>
        <w:pStyle w:val="BodyText"/>
      </w:pPr>
      <w:r>
        <w:t>CDC plans to disseminate NQDW data through several mechanisms that will reach public health providers, clinicians who refer their patients to quitlines, quitline professionals and researchers</w:t>
      </w:r>
      <w:r w:rsidR="00B30840">
        <w:t xml:space="preserve">. </w:t>
      </w:r>
      <w:r>
        <w:t>For example, data from the NQDW was included in CDC’s Tobacco Control State Highlights 2012 report (CDC, 2013</w:t>
      </w:r>
      <w:r w:rsidR="0039170E">
        <w:t>)</w:t>
      </w:r>
      <w:r>
        <w:t xml:space="preserve">. CDC anticipates presenting NQDW in similar reports in the future. </w:t>
      </w:r>
      <w:r w:rsidRPr="0007491C">
        <w:t xml:space="preserve">CDC plans to release </w:t>
      </w:r>
      <w:r>
        <w:t>NQDW data</w:t>
      </w:r>
      <w:r w:rsidRPr="0007491C">
        <w:t xml:space="preserve"> through a variety of government publications, refereed journals, and annual conferences of national organizations focused on tobacco use, prevention and control, preventive medicine, health promotion, and epidem</w:t>
      </w:r>
      <w:r>
        <w:t xml:space="preserve">iology. Anticipated </w:t>
      </w:r>
      <w:r w:rsidRPr="00963C1C">
        <w:t>publications using NQDW data include:</w:t>
      </w:r>
    </w:p>
    <w:p w:rsidR="00FB68E4" w:rsidRPr="00963C1C" w:rsidP="009900B7" w14:paraId="7EEB3422" w14:textId="77777777">
      <w:pPr>
        <w:pStyle w:val="BodyText"/>
        <w:numPr>
          <w:ilvl w:val="0"/>
          <w:numId w:val="54"/>
        </w:numPr>
        <w:ind w:left="720"/>
      </w:pPr>
      <w:r w:rsidRPr="00963C1C">
        <w:t xml:space="preserve">Evaluation of the success of CDC’s </w:t>
      </w:r>
      <w:r w:rsidRPr="00963C1C" w:rsidR="001938EF">
        <w:t>Tips®</w:t>
      </w:r>
      <w:r w:rsidRPr="00963C1C">
        <w:t xml:space="preserve"> national tobacco education media campaigns that CDC has been running annually since 2012 on key quitline outcomes such as call volume and reach</w:t>
      </w:r>
    </w:p>
    <w:p w:rsidR="00FB68E4" w:rsidP="009900B7" w14:paraId="376BCFE2" w14:textId="77777777">
      <w:pPr>
        <w:pStyle w:val="BodyText"/>
        <w:numPr>
          <w:ilvl w:val="0"/>
          <w:numId w:val="54"/>
        </w:numPr>
        <w:ind w:left="720"/>
      </w:pPr>
      <w:r w:rsidRPr="00963C1C">
        <w:t>Profiles of services offered by state quitlines and changes in quitline services offered over time</w:t>
      </w:r>
    </w:p>
    <w:p w:rsidR="00DC23C4" w:rsidP="009900B7" w14:paraId="723B2689" w14:textId="644A04B5">
      <w:pPr>
        <w:pStyle w:val="BodyText"/>
        <w:numPr>
          <w:ilvl w:val="0"/>
          <w:numId w:val="54"/>
        </w:numPr>
        <w:ind w:left="720"/>
      </w:pPr>
      <w:r w:rsidRPr="004C1906">
        <w:t xml:space="preserve">Quitline </w:t>
      </w:r>
      <w:r w:rsidR="003F7835">
        <w:t>participant</w:t>
      </w:r>
      <w:r w:rsidRPr="004C1906" w:rsidR="006D09D3">
        <w:t xml:space="preserve"> characteristics and service utilization among youth </w:t>
      </w:r>
      <w:r w:rsidRPr="00464BA8" w:rsidR="006D09D3">
        <w:t xml:space="preserve">quitline service </w:t>
      </w:r>
    </w:p>
    <w:p w:rsidR="00DC23C4" w:rsidP="009900B7" w14:paraId="300C857E" w14:textId="07654899">
      <w:pPr>
        <w:pStyle w:val="BodyText"/>
        <w:numPr>
          <w:ilvl w:val="0"/>
          <w:numId w:val="54"/>
        </w:numPr>
        <w:ind w:left="720"/>
      </w:pPr>
      <w:r w:rsidRPr="00DC23C4">
        <w:t xml:space="preserve">Quitline </w:t>
      </w:r>
      <w:r w:rsidRPr="00DC23C4" w:rsidR="00D478E5">
        <w:t>service utilization and reach by tobacco product and select participant population characteristics</w:t>
      </w:r>
      <w:r w:rsidR="00D478E5">
        <w:t xml:space="preserve">, </w:t>
      </w:r>
      <w:r w:rsidRPr="00DC23C4">
        <w:t>United State</w:t>
      </w:r>
      <w:r>
        <w:t>s</w:t>
      </w:r>
    </w:p>
    <w:p w:rsidR="00DC23C4" w:rsidP="009900B7" w14:paraId="2678BCBD" w14:textId="2C44FC8B">
      <w:pPr>
        <w:pStyle w:val="BodyText"/>
        <w:numPr>
          <w:ilvl w:val="0"/>
          <w:numId w:val="54"/>
        </w:numPr>
        <w:ind w:left="720"/>
      </w:pPr>
      <w:r>
        <w:t xml:space="preserve">Quitline </w:t>
      </w:r>
      <w:r w:rsidRPr="00464BA8" w:rsidR="00D478E5">
        <w:t xml:space="preserve">utilization and treatment reach among people with behavioral health conditions </w:t>
      </w:r>
    </w:p>
    <w:p w:rsidR="006706F5" w:rsidP="009900B7" w14:paraId="4E71B34A" w14:textId="6F4364EB">
      <w:pPr>
        <w:pStyle w:val="BodyText"/>
        <w:numPr>
          <w:ilvl w:val="0"/>
          <w:numId w:val="54"/>
        </w:numPr>
        <w:ind w:left="720"/>
      </w:pPr>
      <w:r w:rsidRPr="00DC23C4">
        <w:t xml:space="preserve">Variations </w:t>
      </w:r>
      <w:r w:rsidRPr="00DC23C4" w:rsidR="00D478E5">
        <w:t xml:space="preserve">in quitline reach and services utilized by insurance type among </w:t>
      </w:r>
      <w:r w:rsidR="002F002F">
        <w:t>U</w:t>
      </w:r>
      <w:r w:rsidRPr="00DC23C4" w:rsidR="00D478E5">
        <w:t>.</w:t>
      </w:r>
      <w:r w:rsidR="002F002F">
        <w:t>S</w:t>
      </w:r>
      <w:r w:rsidRPr="00DC23C4" w:rsidR="00D478E5">
        <w:t>. adults</w:t>
      </w:r>
    </w:p>
    <w:p w:rsidR="004D04EA" w:rsidRPr="00963C1C" w:rsidP="009900B7" w14:paraId="01E7BF0F" w14:textId="454168ED">
      <w:pPr>
        <w:pStyle w:val="BodyText"/>
        <w:numPr>
          <w:ilvl w:val="0"/>
          <w:numId w:val="54"/>
        </w:numPr>
        <w:ind w:left="720"/>
      </w:pPr>
      <w:r>
        <w:t>Q</w:t>
      </w:r>
      <w:r w:rsidRPr="00BC0032">
        <w:t xml:space="preserve">uitline utilization and reach </w:t>
      </w:r>
      <w:r w:rsidR="006E5284">
        <w:t>among people</w:t>
      </w:r>
      <w:r w:rsidRPr="00BC0032">
        <w:t xml:space="preserve"> with low social economic status</w:t>
      </w:r>
      <w:r w:rsidR="006E5284">
        <w:t>, United States</w:t>
      </w:r>
    </w:p>
    <w:p w:rsidR="00CC6E00" w:rsidP="009900B7" w14:paraId="3E12ECF7" w14:textId="6D9921FB">
      <w:pPr>
        <w:pStyle w:val="BodyText"/>
        <w:ind w:firstLine="0"/>
      </w:pPr>
      <w:r>
        <w:t xml:space="preserve">CDC has already begun several of the </w:t>
      </w:r>
      <w:r w:rsidR="00F10645">
        <w:t xml:space="preserve">analyses </w:t>
      </w:r>
      <w:r>
        <w:t xml:space="preserve">described above and plans to continue </w:t>
      </w:r>
      <w:r w:rsidR="00B2087C">
        <w:t>work on additional topics</w:t>
      </w:r>
      <w:r>
        <w:t xml:space="preserve">. </w:t>
      </w:r>
    </w:p>
    <w:p w:rsidR="00576B5E" w:rsidRPr="00EC1669" w:rsidP="00033102" w14:paraId="77198DBA" w14:textId="77777777">
      <w:pPr>
        <w:pStyle w:val="BodyText"/>
        <w:ind w:firstLine="0"/>
        <w:rPr>
          <w:b/>
        </w:rPr>
      </w:pPr>
      <w:r w:rsidRPr="00EC1669">
        <w:rPr>
          <w:b/>
          <w:u w:val="single"/>
        </w:rPr>
        <w:t>Time Schedule for the Project</w:t>
      </w:r>
    </w:p>
    <w:p w:rsidR="00822495" w:rsidP="007C3B04" w14:paraId="2A5F1C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following represents our proposed schedule of activities for the </w:t>
      </w:r>
      <w:r w:rsidR="007F0239">
        <w:t>NQDW</w:t>
      </w:r>
      <w:r w:rsidR="0097136C">
        <w:t xml:space="preserve">, </w:t>
      </w:r>
      <w:r>
        <w:t>in terms of months after receipt of OMB clearance</w:t>
      </w:r>
      <w:r w:rsidRPr="0029334C">
        <w:t xml:space="preserve">. </w:t>
      </w:r>
      <w:r w:rsidRPr="0029334C" w:rsidR="009B1D65">
        <w:t xml:space="preserve">Data collection </w:t>
      </w:r>
      <w:r w:rsidR="00F128CF">
        <w:t>is ongoing</w:t>
      </w:r>
      <w:r>
        <w:t>,</w:t>
      </w:r>
      <w:r w:rsidR="00F128CF">
        <w:t xml:space="preserve"> and we anticipate obtaining OMB renewals to continue data collection until discontinuation. </w:t>
      </w:r>
    </w:p>
    <w:p w:rsidR="00822495" w:rsidP="00822495" w14:paraId="1DC78F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7676D" w:rsidP="00802292" w14:paraId="0BE3CB6B" w14:textId="77777777">
      <w:pPr>
        <w:rPr>
          <w:rFonts w:ascii="Times New Roman TUR" w:hAnsi="Times New Roman TUR" w:cs="Times New Roman TUR"/>
          <w:b/>
          <w:bCs/>
        </w:rPr>
      </w:pPr>
      <w:r>
        <w:rPr>
          <w:rFonts w:ascii="Times New Roman TUR" w:hAnsi="Times New Roman TUR" w:cs="Times New Roman TUR"/>
        </w:rPr>
        <w:t>Key project dates will occur during the following time periods for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4572"/>
      </w:tblGrid>
      <w:tr w14:paraId="44250F19" w14:textId="77777777" w:rsidTr="008224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98" w:type="dxa"/>
          </w:tcPr>
          <w:p w:rsidR="006C7D1E" w:rsidRPr="000A1B69" w:rsidP="00822495" w14:paraId="3CFF8098" w14:textId="77777777">
            <w:pPr>
              <w:ind w:left="180"/>
              <w:rPr>
                <w:b/>
                <w:u w:val="single"/>
              </w:rPr>
            </w:pPr>
            <w:r w:rsidRPr="000A1B69">
              <w:rPr>
                <w:b/>
                <w:u w:val="single"/>
              </w:rPr>
              <w:t>Activity</w:t>
            </w:r>
          </w:p>
        </w:tc>
        <w:tc>
          <w:tcPr>
            <w:tcW w:w="4572" w:type="dxa"/>
          </w:tcPr>
          <w:p w:rsidR="006C7D1E" w:rsidRPr="000A1B69" w:rsidP="00822495" w14:paraId="30F50DF4" w14:textId="77777777">
            <w:pPr>
              <w:ind w:left="90"/>
              <w:rPr>
                <w:b/>
                <w:u w:val="single"/>
              </w:rPr>
            </w:pPr>
            <w:r w:rsidRPr="000A1B69">
              <w:rPr>
                <w:b/>
                <w:u w:val="single"/>
              </w:rPr>
              <w:t>Time Period</w:t>
            </w:r>
          </w:p>
        </w:tc>
      </w:tr>
      <w:tr w14:paraId="2FEACDDA" w14:textId="77777777" w:rsidTr="00822495">
        <w:tblPrEx>
          <w:tblW w:w="0" w:type="auto"/>
          <w:tblLook w:val="04A0"/>
        </w:tblPrEx>
        <w:trPr>
          <w:trHeight w:val="1016"/>
        </w:trPr>
        <w:tc>
          <w:tcPr>
            <w:tcW w:w="4698" w:type="dxa"/>
          </w:tcPr>
          <w:p w:rsidR="006C7D1E" w:rsidRPr="000A1B69" w:rsidP="00822495" w14:paraId="5CC11A88" w14:textId="77777777">
            <w:pPr>
              <w:spacing w:before="60"/>
              <w:ind w:left="180"/>
            </w:pPr>
            <w:r w:rsidRPr="000A1B69">
              <w:rPr>
                <w:rFonts w:ascii="Times New Roman TUR" w:hAnsi="Times New Roman TUR" w:cs="Times New Roman TUR"/>
              </w:rPr>
              <w:t xml:space="preserve">Ongoing </w:t>
            </w:r>
            <w:r w:rsidRPr="000A1B69" w:rsidR="004D2188">
              <w:rPr>
                <w:rFonts w:ascii="Times New Roman TUR" w:hAnsi="Times New Roman TUR" w:cs="Times New Roman TUR"/>
              </w:rPr>
              <w:t xml:space="preserve">data collection </w:t>
            </w:r>
            <w:r w:rsidR="00822495">
              <w:rPr>
                <w:rFonts w:ascii="Times New Roman TUR" w:hAnsi="Times New Roman TUR" w:cs="Times New Roman TUR"/>
              </w:rPr>
              <w:t xml:space="preserve">for the NQDW Intake Questionnaire </w:t>
            </w:r>
            <w:r w:rsidRPr="000A1B69" w:rsidR="004D2188">
              <w:rPr>
                <w:rFonts w:ascii="Times New Roman TUR" w:hAnsi="Times New Roman TUR" w:cs="Times New Roman TUR"/>
              </w:rPr>
              <w:t xml:space="preserve">using </w:t>
            </w:r>
            <w:r w:rsidRPr="000A1B69">
              <w:rPr>
                <w:rFonts w:ascii="Times New Roman TUR" w:hAnsi="Times New Roman TUR" w:cs="Times New Roman TUR"/>
              </w:rPr>
              <w:t>approved protocol</w:t>
            </w:r>
            <w:r w:rsidRPr="000A1B69" w:rsidR="004D2188">
              <w:rPr>
                <w:rFonts w:ascii="Times New Roman TUR" w:hAnsi="Times New Roman TUR" w:cs="Times New Roman TUR"/>
              </w:rPr>
              <w:t>s</w:t>
            </w:r>
          </w:p>
        </w:tc>
        <w:tc>
          <w:tcPr>
            <w:tcW w:w="4572" w:type="dxa"/>
          </w:tcPr>
          <w:p w:rsidR="006C7D1E" w:rsidRPr="000A1B69" w:rsidP="00822495" w14:paraId="7723B52F" w14:textId="0783843C">
            <w:pPr>
              <w:spacing w:before="60"/>
              <w:ind w:left="86"/>
            </w:pPr>
            <w:r w:rsidRPr="000A1B69">
              <w:rPr>
                <w:rFonts w:ascii="Times New Roman TUR" w:hAnsi="Times New Roman TUR" w:cs="Times New Roman TUR"/>
              </w:rPr>
              <w:t xml:space="preserve">As soon as possible after </w:t>
            </w:r>
            <w:r w:rsidRPr="000A1B69" w:rsidR="00C33481">
              <w:rPr>
                <w:rFonts w:ascii="Times New Roman TUR" w:hAnsi="Times New Roman TUR" w:cs="Times New Roman TUR"/>
              </w:rPr>
              <w:t xml:space="preserve">OMB </w:t>
            </w:r>
            <w:r w:rsidR="001966FB">
              <w:rPr>
                <w:rFonts w:ascii="Times New Roman TUR" w:hAnsi="Times New Roman TUR" w:cs="Times New Roman TUR"/>
              </w:rPr>
              <w:t>approval</w:t>
            </w:r>
          </w:p>
        </w:tc>
      </w:tr>
      <w:tr w14:paraId="16C7506A" w14:textId="77777777" w:rsidTr="00822495">
        <w:tblPrEx>
          <w:tblW w:w="0" w:type="auto"/>
          <w:tblLook w:val="04A0"/>
        </w:tblPrEx>
        <w:trPr>
          <w:trHeight w:val="1259"/>
        </w:trPr>
        <w:tc>
          <w:tcPr>
            <w:tcW w:w="4698" w:type="dxa"/>
          </w:tcPr>
          <w:p w:rsidR="006C7D1E" w:rsidRPr="000A1B69" w:rsidP="00822495" w14:paraId="5DE7EEBF" w14:textId="77777777">
            <w:pPr>
              <w:spacing w:before="60"/>
              <w:ind w:left="180"/>
            </w:pPr>
            <w:r>
              <w:rPr>
                <w:rFonts w:ascii="Times New Roman TUR" w:hAnsi="Times New Roman TUR" w:cs="Times New Roman TUR"/>
              </w:rPr>
              <w:t>Ongoing</w:t>
            </w:r>
            <w:r w:rsidRPr="008A6DA1" w:rsidR="004D2188">
              <w:rPr>
                <w:rFonts w:ascii="Times New Roman TUR" w:hAnsi="Times New Roman TUR" w:cs="Times New Roman TUR"/>
              </w:rPr>
              <w:t xml:space="preserve"> </w:t>
            </w:r>
            <w:r w:rsidR="00822495">
              <w:rPr>
                <w:rFonts w:ascii="Times New Roman TUR" w:hAnsi="Times New Roman TUR" w:cs="Times New Roman TUR"/>
              </w:rPr>
              <w:t>Seven</w:t>
            </w:r>
            <w:r w:rsidRPr="008A6DA1" w:rsidR="004D2188">
              <w:rPr>
                <w:rFonts w:ascii="Times New Roman TUR" w:hAnsi="Times New Roman TUR" w:cs="Times New Roman TUR"/>
              </w:rPr>
              <w:t>-</w:t>
            </w:r>
            <w:r w:rsidR="00822495">
              <w:rPr>
                <w:rFonts w:ascii="Times New Roman TUR" w:hAnsi="Times New Roman TUR" w:cs="Times New Roman TUR"/>
              </w:rPr>
              <w:t>M</w:t>
            </w:r>
            <w:r w:rsidRPr="008A6DA1" w:rsidR="004D2188">
              <w:rPr>
                <w:rFonts w:ascii="Times New Roman TUR" w:hAnsi="Times New Roman TUR" w:cs="Times New Roman TUR"/>
              </w:rPr>
              <w:t xml:space="preserve">onth </w:t>
            </w:r>
            <w:r w:rsidR="00822495">
              <w:rPr>
                <w:rFonts w:ascii="Times New Roman TUR" w:hAnsi="Times New Roman TUR" w:cs="Times New Roman TUR"/>
              </w:rPr>
              <w:t>F</w:t>
            </w:r>
            <w:r w:rsidRPr="008A6DA1" w:rsidR="004D2188">
              <w:rPr>
                <w:rFonts w:ascii="Times New Roman TUR" w:hAnsi="Times New Roman TUR" w:cs="Times New Roman TUR"/>
              </w:rPr>
              <w:t xml:space="preserve">ollow-up </w:t>
            </w:r>
            <w:r w:rsidR="00822495">
              <w:rPr>
                <w:rFonts w:ascii="Times New Roman TUR" w:hAnsi="Times New Roman TUR" w:cs="Times New Roman TUR"/>
              </w:rPr>
              <w:t xml:space="preserve">Questionnaire </w:t>
            </w:r>
            <w:r w:rsidRPr="008A6DA1" w:rsidR="004D2188">
              <w:rPr>
                <w:rFonts w:ascii="Times New Roman TUR" w:hAnsi="Times New Roman TUR" w:cs="Times New Roman TUR"/>
              </w:rPr>
              <w:t>interviews</w:t>
            </w:r>
            <w:r w:rsidR="008A6DA1">
              <w:rPr>
                <w:rFonts w:ascii="Times New Roman TUR" w:hAnsi="Times New Roman TUR" w:cs="Times New Roman TUR"/>
              </w:rPr>
              <w:t xml:space="preserve"> (only for Asian </w:t>
            </w:r>
            <w:r w:rsidR="00FB68E4">
              <w:rPr>
                <w:rFonts w:ascii="Times New Roman TUR" w:hAnsi="Times New Roman TUR" w:cs="Times New Roman TUR"/>
              </w:rPr>
              <w:t xml:space="preserve">Smokers’ </w:t>
            </w:r>
            <w:r w:rsidR="008A6DA1">
              <w:rPr>
                <w:rFonts w:ascii="Times New Roman TUR" w:hAnsi="Times New Roman TUR" w:cs="Times New Roman TUR"/>
              </w:rPr>
              <w:t>Quitline)</w:t>
            </w:r>
            <w:r w:rsidRPr="000A1B69" w:rsidR="004D2188">
              <w:rPr>
                <w:rFonts w:ascii="Times New Roman TUR" w:hAnsi="Times New Roman TUR" w:cs="Times New Roman TUR"/>
              </w:rPr>
              <w:t xml:space="preserve"> </w:t>
            </w:r>
            <w:r w:rsidR="00822495">
              <w:rPr>
                <w:rFonts w:ascii="Times New Roman TUR" w:hAnsi="Times New Roman TUR" w:cs="Times New Roman TUR"/>
              </w:rPr>
              <w:t>using approved protocols</w:t>
            </w:r>
          </w:p>
        </w:tc>
        <w:tc>
          <w:tcPr>
            <w:tcW w:w="4572" w:type="dxa"/>
          </w:tcPr>
          <w:p w:rsidR="00822495" w:rsidP="00822495" w14:paraId="25BF0B53" w14:textId="5B74A4D2">
            <w:pPr>
              <w:spacing w:before="60"/>
              <w:ind w:left="86"/>
              <w:rPr>
                <w:rFonts w:ascii="Times New Roman TUR" w:hAnsi="Times New Roman TUR" w:cs="Times New Roman TUR"/>
              </w:rPr>
            </w:pPr>
            <w:r>
              <w:rPr>
                <w:rFonts w:ascii="Times New Roman TUR" w:hAnsi="Times New Roman TUR" w:cs="Times New Roman TUR"/>
              </w:rPr>
              <w:t xml:space="preserve">As soon as possible after OMB </w:t>
            </w:r>
            <w:r w:rsidR="001966FB">
              <w:rPr>
                <w:rFonts w:ascii="Times New Roman TUR" w:hAnsi="Times New Roman TUR" w:cs="Times New Roman TUR"/>
              </w:rPr>
              <w:t xml:space="preserve">approval </w:t>
            </w:r>
          </w:p>
          <w:p w:rsidR="006C7D1E" w:rsidRPr="000A1B69" w:rsidP="00822495" w14:paraId="2D22453F" w14:textId="77777777">
            <w:pPr>
              <w:spacing w:before="60"/>
              <w:ind w:left="86"/>
            </w:pPr>
            <w:r>
              <w:rPr>
                <w:rFonts w:ascii="Times New Roman TUR" w:hAnsi="Times New Roman TUR" w:cs="Times New Roman TUR"/>
              </w:rPr>
              <w:t xml:space="preserve">Individuals will be followed-up with </w:t>
            </w:r>
            <w:r w:rsidRPr="000A1B69" w:rsidR="00C33481">
              <w:rPr>
                <w:rFonts w:ascii="Times New Roman TUR" w:hAnsi="Times New Roman TUR" w:cs="Times New Roman TUR"/>
              </w:rPr>
              <w:t xml:space="preserve">7 months after </w:t>
            </w:r>
            <w:r w:rsidR="004E1E38">
              <w:rPr>
                <w:rFonts w:ascii="Times New Roman TUR" w:hAnsi="Times New Roman TUR" w:cs="Times New Roman TUR"/>
              </w:rPr>
              <w:t xml:space="preserve">intake </w:t>
            </w:r>
          </w:p>
        </w:tc>
      </w:tr>
      <w:tr w14:paraId="680607C3" w14:textId="77777777" w:rsidTr="00822495">
        <w:tblPrEx>
          <w:tblW w:w="0" w:type="auto"/>
          <w:tblLook w:val="04A0"/>
        </w:tblPrEx>
        <w:trPr>
          <w:trHeight w:val="989"/>
        </w:trPr>
        <w:tc>
          <w:tcPr>
            <w:tcW w:w="4698" w:type="dxa"/>
          </w:tcPr>
          <w:p w:rsidR="006C7D1E" w:rsidRPr="000A1B69" w:rsidP="00822495" w14:paraId="7764B3C4" w14:textId="77777777">
            <w:pPr>
              <w:spacing w:before="60"/>
              <w:ind w:left="180"/>
            </w:pPr>
            <w:r>
              <w:rPr>
                <w:rFonts w:ascii="Times New Roman TUR" w:hAnsi="Times New Roman TUR" w:cs="Times New Roman TUR"/>
              </w:rPr>
              <w:t>States/Territories and ASQ submit electronic data files for the NQDW Intake Questionnaire</w:t>
            </w:r>
            <w:r w:rsidRPr="000A1B69" w:rsidR="004D2188">
              <w:rPr>
                <w:rFonts w:ascii="Times New Roman TUR" w:hAnsi="Times New Roman TUR" w:cs="Times New Roman TUR"/>
              </w:rPr>
              <w:t xml:space="preserve"> </w:t>
            </w:r>
          </w:p>
        </w:tc>
        <w:tc>
          <w:tcPr>
            <w:tcW w:w="4572" w:type="dxa"/>
          </w:tcPr>
          <w:p w:rsidR="006C7D1E" w:rsidRPr="000A1B69" w:rsidP="00822495" w14:paraId="6D516E6C" w14:textId="77777777">
            <w:pPr>
              <w:spacing w:before="60"/>
              <w:ind w:left="86"/>
            </w:pPr>
            <w:r w:rsidRPr="000A1B69">
              <w:rPr>
                <w:rFonts w:ascii="Times New Roman TUR" w:hAnsi="Times New Roman TUR" w:cs="Times New Roman TUR"/>
              </w:rPr>
              <w:t xml:space="preserve">Quarterly </w:t>
            </w:r>
            <w:r w:rsidR="00822495">
              <w:rPr>
                <w:rFonts w:ascii="Times New Roman TUR" w:hAnsi="Times New Roman TUR" w:cs="Times New Roman TUR"/>
              </w:rPr>
              <w:t>and ongoing</w:t>
            </w:r>
          </w:p>
        </w:tc>
      </w:tr>
      <w:tr w14:paraId="1B15D063" w14:textId="77777777" w:rsidTr="00822495">
        <w:tblPrEx>
          <w:tblW w:w="0" w:type="auto"/>
          <w:tblLook w:val="04A0"/>
        </w:tblPrEx>
        <w:tc>
          <w:tcPr>
            <w:tcW w:w="4698" w:type="dxa"/>
          </w:tcPr>
          <w:p w:rsidR="00EC1669" w:rsidRPr="000A1B69" w:rsidP="00822495" w14:paraId="4A64BEA6" w14:textId="77777777">
            <w:pPr>
              <w:spacing w:before="60"/>
              <w:ind w:left="180"/>
              <w:rPr>
                <w:rFonts w:ascii="Times New Roman TUR" w:hAnsi="Times New Roman TUR" w:cs="Times New Roman TUR"/>
              </w:rPr>
            </w:pPr>
            <w:r>
              <w:rPr>
                <w:rFonts w:ascii="Times New Roman TUR" w:hAnsi="Times New Roman TUR" w:cs="Times New Roman TUR"/>
              </w:rPr>
              <w:t>ASQ submits electronic data files for the NQDW Seven-Month Follow-up Questionnaire</w:t>
            </w:r>
          </w:p>
        </w:tc>
        <w:tc>
          <w:tcPr>
            <w:tcW w:w="4572" w:type="dxa"/>
          </w:tcPr>
          <w:p w:rsidR="00EC1669" w:rsidP="00822495" w14:paraId="15F2B4FB" w14:textId="77777777">
            <w:pPr>
              <w:spacing w:before="60"/>
              <w:ind w:left="86"/>
              <w:rPr>
                <w:rFonts w:ascii="Times New Roman TUR" w:hAnsi="Times New Roman TUR" w:cs="Times New Roman TUR"/>
              </w:rPr>
            </w:pPr>
            <w:r>
              <w:rPr>
                <w:rFonts w:ascii="Times New Roman TUR" w:hAnsi="Times New Roman TUR" w:cs="Times New Roman TUR"/>
              </w:rPr>
              <w:t>Annually and ongoing</w:t>
            </w:r>
          </w:p>
        </w:tc>
      </w:tr>
      <w:tr w14:paraId="6A54B5EC" w14:textId="77777777" w:rsidTr="00822495">
        <w:tblPrEx>
          <w:tblW w:w="0" w:type="auto"/>
          <w:tblLook w:val="04A0"/>
        </w:tblPrEx>
        <w:trPr>
          <w:trHeight w:val="710"/>
        </w:trPr>
        <w:tc>
          <w:tcPr>
            <w:tcW w:w="4698" w:type="dxa"/>
          </w:tcPr>
          <w:p w:rsidR="00822495" w:rsidRPr="000A1B69" w:rsidP="00822495" w14:paraId="2EE81938" w14:textId="77777777">
            <w:pPr>
              <w:spacing w:before="60"/>
              <w:ind w:left="180"/>
              <w:rPr>
                <w:rFonts w:ascii="Times New Roman TUR" w:hAnsi="Times New Roman TUR" w:cs="Times New Roman TUR"/>
              </w:rPr>
            </w:pPr>
            <w:r>
              <w:rPr>
                <w:rFonts w:ascii="Times New Roman TUR" w:hAnsi="Times New Roman TUR" w:cs="Times New Roman TUR"/>
              </w:rPr>
              <w:t>States/Territories and ASQ submit NQDW Quitline Services Survey</w:t>
            </w:r>
          </w:p>
        </w:tc>
        <w:tc>
          <w:tcPr>
            <w:tcW w:w="4572" w:type="dxa"/>
          </w:tcPr>
          <w:p w:rsidR="00822495" w:rsidP="00822495" w14:paraId="191C361D" w14:textId="26B990F2">
            <w:pPr>
              <w:spacing w:before="60"/>
              <w:ind w:left="86"/>
              <w:rPr>
                <w:rFonts w:ascii="Times New Roman TUR" w:hAnsi="Times New Roman TUR" w:cs="Times New Roman TUR"/>
              </w:rPr>
            </w:pPr>
            <w:r>
              <w:rPr>
                <w:rFonts w:ascii="Times New Roman TUR" w:hAnsi="Times New Roman TUR" w:cs="Times New Roman TUR"/>
              </w:rPr>
              <w:t xml:space="preserve">Semiannually </w:t>
            </w:r>
            <w:r>
              <w:rPr>
                <w:rFonts w:ascii="Times New Roman TUR" w:hAnsi="Times New Roman TUR" w:cs="Times New Roman TUR"/>
              </w:rPr>
              <w:t>and ongoing</w:t>
            </w:r>
          </w:p>
        </w:tc>
      </w:tr>
      <w:tr w14:paraId="5F85B5E6" w14:textId="77777777" w:rsidTr="00822495">
        <w:tblPrEx>
          <w:tblW w:w="0" w:type="auto"/>
          <w:tblLook w:val="04A0"/>
        </w:tblPrEx>
        <w:trPr>
          <w:trHeight w:val="431"/>
        </w:trPr>
        <w:tc>
          <w:tcPr>
            <w:tcW w:w="4698" w:type="dxa"/>
          </w:tcPr>
          <w:p w:rsidR="006C7D1E" w:rsidRPr="000A1B69" w:rsidP="00822495" w14:paraId="4ED41233" w14:textId="77777777">
            <w:pPr>
              <w:spacing w:before="60"/>
              <w:ind w:left="180"/>
            </w:pPr>
            <w:r w:rsidRPr="000A1B69">
              <w:rPr>
                <w:rFonts w:ascii="Times New Roman TUR" w:hAnsi="Times New Roman TUR" w:cs="Times New Roman TUR"/>
              </w:rPr>
              <w:t>Process</w:t>
            </w:r>
            <w:r w:rsidRPr="000A1B69">
              <w:rPr>
                <w:rFonts w:ascii="Times New Roman TUR" w:hAnsi="Times New Roman TUR" w:cs="Times New Roman TUR"/>
              </w:rPr>
              <w:t xml:space="preserve"> data</w:t>
            </w:r>
            <w:r w:rsidRPr="000A1B69">
              <w:rPr>
                <w:rFonts w:ascii="Times New Roman TUR" w:hAnsi="Times New Roman TUR" w:cs="Times New Roman TUR"/>
              </w:rPr>
              <w:t xml:space="preserve"> and publish results</w:t>
            </w:r>
          </w:p>
        </w:tc>
        <w:tc>
          <w:tcPr>
            <w:tcW w:w="4572" w:type="dxa"/>
          </w:tcPr>
          <w:p w:rsidR="006C7D1E" w:rsidRPr="000A1B69" w:rsidP="00822495" w14:paraId="38CB04D8" w14:textId="77777777">
            <w:pPr>
              <w:spacing w:before="60"/>
              <w:ind w:left="86"/>
            </w:pPr>
            <w:r>
              <w:rPr>
                <w:rFonts w:ascii="Times New Roman TUR" w:hAnsi="Times New Roman TUR" w:cs="Times New Roman TUR"/>
              </w:rPr>
              <w:t xml:space="preserve">Quarterly and ongoing </w:t>
            </w:r>
          </w:p>
        </w:tc>
      </w:tr>
    </w:tbl>
    <w:p w:rsidR="0057676D" w:rsidP="0057676D" w14:paraId="27A01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916B4A" w:rsidP="0057676D" w14:paraId="43251B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469A3" w14:paraId="01AC6B1A" w14:textId="77777777">
      <w:pPr>
        <w:pStyle w:val="Heading2"/>
      </w:pPr>
      <w:r>
        <w:t>A.1</w:t>
      </w:r>
      <w:r w:rsidR="00912536">
        <w:t>7</w:t>
      </w:r>
      <w:r>
        <w:tab/>
      </w:r>
      <w:r>
        <w:rPr>
          <w:u w:val="single"/>
        </w:rPr>
        <w:t>REASON(S) DISPLAY OF OMB EXPIRATION DATE IS INAPPROPRIATE</w:t>
      </w:r>
    </w:p>
    <w:p w:rsidR="008469A3" w14:paraId="4E95736D" w14:textId="77777777">
      <w:pPr>
        <w:pStyle w:val="BodyText"/>
        <w:rPr>
          <w:u w:val="single"/>
        </w:rPr>
      </w:pPr>
      <w:r>
        <w:t>The expiration date of OMB approval of the data collection will be displayed.</w:t>
      </w:r>
    </w:p>
    <w:p w:rsidR="008469A3" w14:paraId="5679F22B" w14:textId="77777777">
      <w:pPr>
        <w:pStyle w:val="Heading2"/>
      </w:pPr>
      <w:r>
        <w:t>A.1</w:t>
      </w:r>
      <w:r w:rsidR="00912536">
        <w:t>8</w:t>
      </w:r>
      <w:r>
        <w:tab/>
      </w:r>
      <w:r>
        <w:rPr>
          <w:u w:val="single"/>
        </w:rPr>
        <w:t>EXCEPTIONS TO CERTIFICATION FOR PAPERWORK REDUCTION ACT SUBMISSIONS</w:t>
      </w:r>
    </w:p>
    <w:p w:rsidR="00B42B21" w:rsidP="003C55F1" w14:paraId="1F4C36BC" w14:textId="77777777">
      <w:pPr>
        <w:pStyle w:val="BodyText"/>
      </w:pPr>
      <w:r>
        <w:t>No exemptions from the certification statement are being sought.</w:t>
      </w:r>
    </w:p>
    <w:p w:rsidR="00527C8F" w:rsidRPr="007F6CD7" w:rsidP="00527C8F" w14:paraId="49DC9F57" w14:textId="77777777">
      <w:pPr>
        <w:widowControl w:val="0"/>
        <w:tabs>
          <w:tab w:val="center" w:pos="4680"/>
        </w:tabs>
        <w:spacing w:line="227" w:lineRule="auto"/>
        <w:jc w:val="center"/>
        <w:rPr>
          <w:b/>
          <w:color w:val="000000"/>
        </w:rPr>
      </w:pPr>
      <w:r>
        <w:br w:type="page"/>
      </w:r>
      <w:r w:rsidRPr="007F6CD7">
        <w:rPr>
          <w:b/>
          <w:color w:val="000000"/>
        </w:rPr>
        <w:t>REFERENCES</w:t>
      </w:r>
    </w:p>
    <w:p w:rsidR="00033102" w:rsidP="00033102" w14:paraId="2FD9ACAA" w14:textId="77777777">
      <w:pPr>
        <w:pStyle w:val="REF"/>
        <w:tabs>
          <w:tab w:val="clear" w:pos="720"/>
        </w:tabs>
        <w:spacing w:after="0" w:line="240" w:lineRule="auto"/>
        <w:ind w:left="0" w:firstLine="0"/>
      </w:pPr>
    </w:p>
    <w:p w:rsidR="0035301F" w:rsidP="0035301F" w14:paraId="0CBA75C8" w14:textId="7A65A6CD">
      <w:pPr>
        <w:rPr>
          <w:color w:val="000000"/>
        </w:rPr>
      </w:pPr>
      <w:bookmarkStart w:id="4" w:name="_Hlk94649263"/>
      <w:r>
        <w:rPr>
          <w:color w:val="000000"/>
        </w:rPr>
        <w:t xml:space="preserve">Centers for Disease Control and Prevention </w:t>
      </w:r>
      <w:r w:rsidRPr="00075C81">
        <w:rPr>
          <w:i/>
          <w:iCs/>
          <w:color w:val="000000"/>
        </w:rPr>
        <w:t xml:space="preserve">Telephone Quitlines: A Resource for Development, Implementation, and Evaluation. </w:t>
      </w:r>
      <w:r w:rsidRPr="00075C81">
        <w:rPr>
          <w:color w:val="000000"/>
        </w:rPr>
        <w:t xml:space="preserve">Atlanta, GA: U.S. Department of Health and Human Services, Centers for Disease Control and Prevention, National Center for Chronic Disease Prevention and Health Promotion, Office on Smoking and </w:t>
      </w:r>
      <w:r>
        <w:rPr>
          <w:color w:val="000000"/>
        </w:rPr>
        <w:t>Health</w:t>
      </w:r>
      <w:r w:rsidR="00E852CB">
        <w:rPr>
          <w:color w:val="000000"/>
        </w:rPr>
        <w:t>, 2004</w:t>
      </w:r>
      <w:r w:rsidRPr="00075C81">
        <w:rPr>
          <w:color w:val="000000"/>
        </w:rPr>
        <w:t>.</w:t>
      </w:r>
    </w:p>
    <w:p w:rsidR="0035301F" w:rsidRPr="00FB53F4" w:rsidP="0035301F" w14:paraId="46B8E341" w14:textId="77777777">
      <w:pPr>
        <w:rPr>
          <w:color w:val="000000"/>
        </w:rPr>
      </w:pPr>
    </w:p>
    <w:p w:rsidR="00930E9E" w:rsidRPr="00FB53F4" w:rsidP="00B35BF2" w14:paraId="325B7458" w14:textId="780EDD12">
      <w:pPr>
        <w:widowControl w:val="0"/>
        <w:autoSpaceDE w:val="0"/>
        <w:autoSpaceDN w:val="0"/>
        <w:adjustRightInd w:val="0"/>
        <w:spacing w:after="240"/>
      </w:pPr>
      <w:r w:rsidRPr="000656C9">
        <w:t xml:space="preserve">Centers for Disease Control and Prevention. </w:t>
      </w:r>
      <w:r w:rsidRPr="000656C9">
        <w:rPr>
          <w:i/>
          <w:iCs/>
        </w:rPr>
        <w:t>Tobacco Control State Highlights 2012</w:t>
      </w:r>
      <w:r w:rsidRPr="000656C9">
        <w:t>. Atlanta: U.S. Department of Health and Human Services, Centers for Disease Control and Prevention, National Center for Chronic Disease Prevention and Health Promotion, Office on Smoking and Health, 2013.</w:t>
      </w:r>
    </w:p>
    <w:p w:rsidR="000F6E2A" w:rsidRPr="00265FDB" w:rsidP="000F6E2A" w14:paraId="5295FEDD" w14:textId="65B88759">
      <w:r>
        <w:t xml:space="preserve">Centers for Disease Control and Prevention (CDC). 2014. </w:t>
      </w:r>
      <w:r w:rsidRPr="00237168">
        <w:rPr>
          <w:i/>
        </w:rPr>
        <w:t>Best Practices for Comprehensive Tobacco Control Programs – 20</w:t>
      </w:r>
      <w:r>
        <w:rPr>
          <w:i/>
        </w:rPr>
        <w:t>14</w:t>
      </w:r>
      <w:r w:rsidR="00B30840">
        <w:t xml:space="preserve">. </w:t>
      </w:r>
      <w:r>
        <w:t xml:space="preserve">Atlanta, GA: U.S. Department of Health and Human Services, CDC, National Center for Chronic Disease Prevention and Health Promotion, Office on </w:t>
      </w:r>
      <w:r w:rsidRPr="00265FDB">
        <w:t>Smoking and Health</w:t>
      </w:r>
      <w:r w:rsidRPr="00265FDB" w:rsidR="00E852CB">
        <w:t>, 2014.</w:t>
      </w:r>
    </w:p>
    <w:p w:rsidR="00FB68E4" w:rsidP="00F77594" w14:paraId="3CDE0B33" w14:textId="4B56AAD6">
      <w:pPr>
        <w:rPr>
          <w:color w:val="000000"/>
        </w:rPr>
      </w:pPr>
    </w:p>
    <w:p w:rsidR="0099198F" w:rsidRPr="00265FDB" w:rsidP="0099198F" w14:paraId="7493C30F" w14:textId="0F76F982">
      <w:pPr>
        <w:spacing w:after="240"/>
        <w:rPr>
          <w:color w:val="222222"/>
        </w:rPr>
      </w:pPr>
      <w:r w:rsidRPr="00265FDB">
        <w:rPr>
          <w:color w:val="222222"/>
        </w:rPr>
        <w:t xml:space="preserve">Clarke MA, Fruhling AL, Sitorius M, Windle TA, Bernard TL, Windle JR. Impact of </w:t>
      </w:r>
      <w:r w:rsidRPr="00265FDB" w:rsidR="00B70690">
        <w:rPr>
          <w:color w:val="222222"/>
        </w:rPr>
        <w:t>a</w:t>
      </w:r>
      <w:r w:rsidRPr="00265FDB">
        <w:rPr>
          <w:color w:val="222222"/>
        </w:rPr>
        <w:t xml:space="preserve">ge on </w:t>
      </w:r>
      <w:r w:rsidRPr="00265FDB" w:rsidR="00B70690">
        <w:rPr>
          <w:color w:val="222222"/>
        </w:rPr>
        <w:t>p</w:t>
      </w:r>
      <w:r w:rsidRPr="00265FDB">
        <w:rPr>
          <w:color w:val="222222"/>
        </w:rPr>
        <w:t xml:space="preserve">atients’ </w:t>
      </w:r>
      <w:r w:rsidRPr="00265FDB" w:rsidR="00B70690">
        <w:rPr>
          <w:color w:val="222222"/>
        </w:rPr>
        <w:t>c</w:t>
      </w:r>
      <w:r w:rsidRPr="00265FDB">
        <w:rPr>
          <w:color w:val="222222"/>
        </w:rPr>
        <w:t xml:space="preserve">ommunication and </w:t>
      </w:r>
      <w:r w:rsidRPr="00265FDB" w:rsidR="00B70690">
        <w:rPr>
          <w:color w:val="222222"/>
        </w:rPr>
        <w:t>t</w:t>
      </w:r>
      <w:r w:rsidRPr="00265FDB">
        <w:rPr>
          <w:color w:val="222222"/>
        </w:rPr>
        <w:t xml:space="preserve">echnology </w:t>
      </w:r>
      <w:r w:rsidRPr="00265FDB" w:rsidR="00B70690">
        <w:rPr>
          <w:color w:val="222222"/>
        </w:rPr>
        <w:t>p</w:t>
      </w:r>
      <w:r w:rsidRPr="00265FDB">
        <w:rPr>
          <w:color w:val="222222"/>
        </w:rPr>
        <w:t xml:space="preserve">references in the </w:t>
      </w:r>
      <w:r w:rsidRPr="00265FDB" w:rsidR="00B70690">
        <w:rPr>
          <w:color w:val="222222"/>
        </w:rPr>
        <w:t>e</w:t>
      </w:r>
      <w:r w:rsidRPr="00265FDB">
        <w:rPr>
          <w:color w:val="222222"/>
        </w:rPr>
        <w:t xml:space="preserve">ra of </w:t>
      </w:r>
      <w:r w:rsidRPr="00265FDB" w:rsidR="00B70690">
        <w:rPr>
          <w:color w:val="222222"/>
        </w:rPr>
        <w:t>m</w:t>
      </w:r>
      <w:r w:rsidRPr="00265FDB">
        <w:rPr>
          <w:color w:val="222222"/>
        </w:rPr>
        <w:t xml:space="preserve">eaningful </w:t>
      </w:r>
      <w:r w:rsidRPr="00265FDB" w:rsidR="00B70690">
        <w:rPr>
          <w:color w:val="222222"/>
        </w:rPr>
        <w:t>u</w:t>
      </w:r>
      <w:r w:rsidRPr="00265FDB">
        <w:rPr>
          <w:color w:val="222222"/>
        </w:rPr>
        <w:t xml:space="preserve">se: </w:t>
      </w:r>
      <w:r w:rsidRPr="00265FDB" w:rsidR="00B70690">
        <w:rPr>
          <w:color w:val="222222"/>
        </w:rPr>
        <w:t>m</w:t>
      </w:r>
      <w:r w:rsidRPr="00265FDB">
        <w:rPr>
          <w:color w:val="222222"/>
        </w:rPr>
        <w:t xml:space="preserve">ixed </w:t>
      </w:r>
      <w:r w:rsidRPr="00265FDB" w:rsidR="00B70690">
        <w:rPr>
          <w:color w:val="222222"/>
        </w:rPr>
        <w:t>m</w:t>
      </w:r>
      <w:r w:rsidRPr="00265FDB">
        <w:rPr>
          <w:color w:val="222222"/>
        </w:rPr>
        <w:t xml:space="preserve">ethods </w:t>
      </w:r>
      <w:r w:rsidRPr="00265FDB" w:rsidR="00B70690">
        <w:rPr>
          <w:color w:val="222222"/>
        </w:rPr>
        <w:t>s</w:t>
      </w:r>
      <w:r w:rsidRPr="00265FDB">
        <w:rPr>
          <w:color w:val="222222"/>
        </w:rPr>
        <w:t>tudy. </w:t>
      </w:r>
      <w:r w:rsidRPr="00265FDB">
        <w:rPr>
          <w:i/>
          <w:iCs/>
          <w:color w:val="222222"/>
        </w:rPr>
        <w:t>J Med Internet Res</w:t>
      </w:r>
      <w:r w:rsidRPr="00265FDB" w:rsidR="00B70690">
        <w:rPr>
          <w:i/>
          <w:iCs/>
          <w:color w:val="222222"/>
        </w:rPr>
        <w:t xml:space="preserve">. </w:t>
      </w:r>
      <w:r w:rsidRPr="00265FDB" w:rsidR="00B70690">
        <w:rPr>
          <w:color w:val="222222"/>
        </w:rPr>
        <w:t>2020;</w:t>
      </w:r>
      <w:r w:rsidRPr="00265FDB">
        <w:rPr>
          <w:color w:val="222222"/>
        </w:rPr>
        <w:t>22(6), e13470.</w:t>
      </w:r>
      <w:r w:rsidRPr="00265FDB" w:rsidR="00E852CB">
        <w:rPr>
          <w:color w:val="222222"/>
        </w:rPr>
        <w:t xml:space="preserve"> DOI: </w:t>
      </w:r>
      <w:hyperlink r:id="rId11" w:history="1">
        <w:r w:rsidRPr="00265FDB" w:rsidR="00E852CB">
          <w:rPr>
            <w:rStyle w:val="Hyperlink"/>
          </w:rPr>
          <w:t>10.2196/13470</w:t>
        </w:r>
      </w:hyperlink>
    </w:p>
    <w:p w:rsidR="000656C9" w:rsidP="000656C9" w14:paraId="147E67BA" w14:textId="6330B87B">
      <w:pPr>
        <w:pStyle w:val="REF"/>
        <w:tabs>
          <w:tab w:val="clear" w:pos="720"/>
        </w:tabs>
        <w:spacing w:after="0" w:line="240" w:lineRule="auto"/>
        <w:ind w:left="0" w:firstLine="0"/>
      </w:pPr>
      <w:r>
        <w:t>Co</w:t>
      </w:r>
      <w:r w:rsidR="00760E5B">
        <w:t>mmu</w:t>
      </w:r>
      <w:r>
        <w:t xml:space="preserve">nity Preventive Services Task Force. </w:t>
      </w:r>
      <w:r w:rsidRPr="00513D0D">
        <w:rPr>
          <w:i/>
          <w:iCs/>
        </w:rPr>
        <w:t>Tobacco Use: Quitline Interventions</w:t>
      </w:r>
      <w:r>
        <w:rPr>
          <w:i/>
          <w:iCs/>
        </w:rPr>
        <w:t xml:space="preserve">. </w:t>
      </w:r>
      <w:r w:rsidRPr="006877D7">
        <w:t>2012.</w:t>
      </w:r>
      <w:r w:rsidR="00E64F2E">
        <w:t xml:space="preserve"> </w:t>
      </w:r>
      <w:r w:rsidRPr="006877D7">
        <w:t>Avai</w:t>
      </w:r>
      <w:r>
        <w:t>l</w:t>
      </w:r>
      <w:r w:rsidRPr="006877D7">
        <w:t>able at</w:t>
      </w:r>
      <w:r>
        <w:t xml:space="preserve"> </w:t>
      </w:r>
      <w:hyperlink r:id="rId12" w:history="1">
        <w:r w:rsidRPr="006F2970">
          <w:rPr>
            <w:rStyle w:val="Hyperlink"/>
          </w:rPr>
          <w:t>https://www.thecommunityguide.org/sites/default/files/assets/Tobacco-Use-Quitlines-508.pdf</w:t>
        </w:r>
      </w:hyperlink>
      <w:r>
        <w:t>.</w:t>
      </w:r>
    </w:p>
    <w:p w:rsidR="000656C9" w:rsidP="000656C9" w14:paraId="52D9D9F7" w14:textId="77777777">
      <w:pPr>
        <w:pStyle w:val="REF"/>
        <w:tabs>
          <w:tab w:val="clear" w:pos="720"/>
        </w:tabs>
        <w:spacing w:after="0" w:line="240" w:lineRule="auto"/>
        <w:ind w:left="0" w:firstLine="0"/>
      </w:pPr>
    </w:p>
    <w:p w:rsidR="00596C8D" w:rsidRPr="00265FDB" w:rsidP="00596C8D" w14:paraId="7854E558" w14:textId="7E68BCD4">
      <w:pPr>
        <w:rPr>
          <w:color w:val="222222"/>
        </w:rPr>
      </w:pPr>
      <w:r w:rsidRPr="00265FDB">
        <w:rPr>
          <w:color w:val="222222"/>
        </w:rPr>
        <w:t xml:space="preserve">Cornelius ME, Wang TW, Jamal A, Loretan CG, Neff LJ. Tobacco </w:t>
      </w:r>
      <w:r w:rsidRPr="00265FDB" w:rsidR="00B70690">
        <w:rPr>
          <w:color w:val="222222"/>
        </w:rPr>
        <w:t>p</w:t>
      </w:r>
      <w:r w:rsidRPr="00265FDB">
        <w:rPr>
          <w:color w:val="222222"/>
        </w:rPr>
        <w:t xml:space="preserve">roduct </w:t>
      </w:r>
      <w:r w:rsidRPr="00265FDB" w:rsidR="00B70690">
        <w:rPr>
          <w:color w:val="222222"/>
        </w:rPr>
        <w:t>u</w:t>
      </w:r>
      <w:r w:rsidRPr="00265FDB">
        <w:rPr>
          <w:color w:val="222222"/>
        </w:rPr>
        <w:t xml:space="preserve">se </w:t>
      </w:r>
      <w:r w:rsidRPr="00265FDB" w:rsidR="00B70690">
        <w:rPr>
          <w:color w:val="222222"/>
        </w:rPr>
        <w:t>a</w:t>
      </w:r>
      <w:r w:rsidRPr="00265FDB">
        <w:rPr>
          <w:color w:val="222222"/>
        </w:rPr>
        <w:t xml:space="preserve">mong </w:t>
      </w:r>
      <w:r w:rsidRPr="00265FDB" w:rsidR="00B70690">
        <w:rPr>
          <w:color w:val="222222"/>
        </w:rPr>
        <w:t>a</w:t>
      </w:r>
      <w:r w:rsidRPr="00265FDB">
        <w:rPr>
          <w:color w:val="222222"/>
        </w:rPr>
        <w:t xml:space="preserve">dults—United States, 2019. </w:t>
      </w:r>
      <w:r w:rsidRPr="00265FDB" w:rsidR="0099198F">
        <w:rPr>
          <w:i/>
          <w:iCs/>
          <w:color w:val="222222"/>
        </w:rPr>
        <w:t>MMWR Morb Mortal Wkly Rep.</w:t>
      </w:r>
      <w:r w:rsidRPr="00265FDB">
        <w:rPr>
          <w:color w:val="222222"/>
        </w:rPr>
        <w:t xml:space="preserve"> 2020</w:t>
      </w:r>
      <w:r w:rsidRPr="00265FDB" w:rsidR="0099198F">
        <w:rPr>
          <w:color w:val="222222"/>
        </w:rPr>
        <w:t>;</w:t>
      </w:r>
      <w:r w:rsidRPr="00265FDB">
        <w:rPr>
          <w:color w:val="222222"/>
        </w:rPr>
        <w:t>69(46):1736</w:t>
      </w:r>
      <w:r w:rsidRPr="00265FDB" w:rsidR="00E852CB">
        <w:rPr>
          <w:color w:val="222222"/>
        </w:rPr>
        <w:t>-1742</w:t>
      </w:r>
      <w:r w:rsidRPr="00265FDB">
        <w:rPr>
          <w:color w:val="222222"/>
        </w:rPr>
        <w:t>.</w:t>
      </w:r>
      <w:r w:rsidRPr="00265FDB" w:rsidR="00B70690">
        <w:rPr>
          <w:color w:val="222222"/>
        </w:rPr>
        <w:t xml:space="preserve"> </w:t>
      </w:r>
      <w:r w:rsidR="000E742A">
        <w:rPr>
          <w:color w:val="222222"/>
        </w:rPr>
        <w:t xml:space="preserve">DOI: </w:t>
      </w:r>
      <w:hyperlink r:id="rId13" w:history="1">
        <w:r w:rsidRPr="00D87C41" w:rsidR="000E742A">
          <w:rPr>
            <w:rStyle w:val="Hyperlink"/>
          </w:rPr>
          <w:t>http://dx.doi.org/10.15585/mmwr.mm6946a4</w:t>
        </w:r>
      </w:hyperlink>
      <w:r w:rsidR="000E742A">
        <w:rPr>
          <w:color w:val="222222"/>
        </w:rPr>
        <w:t xml:space="preserve"> </w:t>
      </w:r>
      <w:r w:rsidRPr="00265FDB" w:rsidR="000E742A">
        <w:rPr>
          <w:color w:val="222222"/>
        </w:rPr>
        <w:t xml:space="preserve"> </w:t>
      </w:r>
    </w:p>
    <w:p w:rsidR="00573A7B" w:rsidRPr="00265FDB" w:rsidP="00F77594" w14:paraId="333AB0D2" w14:textId="77777777">
      <w:pPr>
        <w:rPr>
          <w:color w:val="222222"/>
        </w:rPr>
      </w:pPr>
    </w:p>
    <w:p w:rsidR="002342BF" w:rsidRPr="00265FDB" w:rsidP="00F77594" w14:paraId="26441C8E" w14:textId="74C71849">
      <w:pPr>
        <w:rPr>
          <w:color w:val="222222"/>
        </w:rPr>
      </w:pPr>
      <w:r w:rsidRPr="00265FDB">
        <w:rPr>
          <w:color w:val="222222"/>
        </w:rPr>
        <w:t xml:space="preserve">Creamer MR, Wang TW, Babb S, </w:t>
      </w:r>
      <w:r w:rsidRPr="00265FDB" w:rsidR="00E852CB">
        <w:rPr>
          <w:color w:val="222222"/>
        </w:rPr>
        <w:t xml:space="preserve">Cullen KA, Day H, Willis G, </w:t>
      </w:r>
      <w:r w:rsidRPr="00265FDB">
        <w:rPr>
          <w:color w:val="222222"/>
        </w:rPr>
        <w:t xml:space="preserve">et al. </w:t>
      </w:r>
      <w:r w:rsidRPr="00265FDB" w:rsidR="001B3C27">
        <w:rPr>
          <w:color w:val="222222"/>
        </w:rPr>
        <w:t xml:space="preserve">2019. </w:t>
      </w:r>
      <w:r w:rsidRPr="00265FDB">
        <w:rPr>
          <w:iCs/>
          <w:color w:val="222222"/>
        </w:rPr>
        <w:t xml:space="preserve">Tobacco </w:t>
      </w:r>
      <w:r w:rsidRPr="00265FDB" w:rsidR="00B70690">
        <w:rPr>
          <w:iCs/>
          <w:color w:val="222222"/>
        </w:rPr>
        <w:t xml:space="preserve">product use </w:t>
      </w:r>
      <w:r w:rsidRPr="00265FDB">
        <w:rPr>
          <w:iCs/>
          <w:color w:val="222222"/>
        </w:rPr>
        <w:t xml:space="preserve">and </w:t>
      </w:r>
      <w:r w:rsidRPr="00265FDB" w:rsidR="00B70690">
        <w:rPr>
          <w:iCs/>
          <w:color w:val="222222"/>
        </w:rPr>
        <w:t xml:space="preserve">cessation indicators among adults </w:t>
      </w:r>
      <w:r w:rsidRPr="00265FDB">
        <w:rPr>
          <w:iCs/>
          <w:color w:val="222222"/>
        </w:rPr>
        <w:t>— United States, 2018.</w:t>
      </w:r>
      <w:r w:rsidRPr="00265FDB">
        <w:rPr>
          <w:color w:val="222222"/>
        </w:rPr>
        <w:t xml:space="preserve"> </w:t>
      </w:r>
      <w:r w:rsidRPr="00265FDB">
        <w:rPr>
          <w:i/>
          <w:iCs/>
          <w:color w:val="222222"/>
        </w:rPr>
        <w:t>MMWR Morb Mortal Wkly Rep</w:t>
      </w:r>
      <w:r w:rsidRPr="00265FDB" w:rsidR="0099198F">
        <w:rPr>
          <w:i/>
          <w:iCs/>
          <w:color w:val="222222"/>
        </w:rPr>
        <w:t>.</w:t>
      </w:r>
      <w:r w:rsidRPr="00265FDB">
        <w:rPr>
          <w:color w:val="222222"/>
        </w:rPr>
        <w:t xml:space="preserve"> 2019;68:1013–1019. DOI: </w:t>
      </w:r>
      <w:hyperlink r:id="rId14" w:tgtFrame="_blank" w:history="1">
        <w:r w:rsidRPr="00265FDB">
          <w:rPr>
            <w:rStyle w:val="Hyperlink"/>
          </w:rPr>
          <w:t>http://dx.doi.org/10.15585/mmwr.mm6845a2</w:t>
        </w:r>
      </w:hyperlink>
    </w:p>
    <w:p w:rsidR="002342BF" w:rsidRPr="00265FDB" w:rsidP="00F77594" w14:paraId="271C56A5" w14:textId="77777777">
      <w:pPr>
        <w:rPr>
          <w:color w:val="222222"/>
        </w:rPr>
      </w:pPr>
    </w:p>
    <w:p w:rsidR="002342BF" w:rsidP="00B35BF2" w14:paraId="0F9C0320" w14:textId="21B2D075">
      <w:pPr>
        <w:spacing w:after="240"/>
        <w:rPr>
          <w:rStyle w:val="Hyperlink"/>
        </w:rPr>
      </w:pPr>
      <w:r w:rsidRPr="00265FDB">
        <w:rPr>
          <w:color w:val="222222"/>
        </w:rPr>
        <w:t>Cullen KA, Ambrose BK, Gentzke AS, Apelberg BJ, Jamal A, King BA.</w:t>
      </w:r>
      <w:r w:rsidRPr="00265FDB" w:rsidR="001B3C27">
        <w:rPr>
          <w:color w:val="222222"/>
        </w:rPr>
        <w:t xml:space="preserve"> </w:t>
      </w:r>
      <w:r w:rsidRPr="00265FDB">
        <w:rPr>
          <w:color w:val="222222"/>
        </w:rPr>
        <w:t>Notes from the Field:</w:t>
      </w:r>
      <w:r w:rsidRPr="00265FDB" w:rsidR="00B70690">
        <w:rPr>
          <w:color w:val="222222"/>
        </w:rPr>
        <w:t xml:space="preserve"> </w:t>
      </w:r>
      <w:r w:rsidRPr="00265FDB">
        <w:rPr>
          <w:color w:val="222222"/>
        </w:rPr>
        <w:t xml:space="preserve">Use of </w:t>
      </w:r>
      <w:r w:rsidRPr="00265FDB" w:rsidR="00B70690">
        <w:rPr>
          <w:color w:val="222222"/>
        </w:rPr>
        <w:t xml:space="preserve">electronic cigarettes </w:t>
      </w:r>
      <w:r w:rsidRPr="00265FDB">
        <w:rPr>
          <w:color w:val="222222"/>
        </w:rPr>
        <w:t xml:space="preserve">and </w:t>
      </w:r>
      <w:r w:rsidRPr="00265FDB" w:rsidR="00B70690">
        <w:rPr>
          <w:color w:val="222222"/>
        </w:rPr>
        <w:t xml:space="preserve">any tobacco product among middle </w:t>
      </w:r>
      <w:r w:rsidRPr="00265FDB">
        <w:rPr>
          <w:color w:val="222222"/>
        </w:rPr>
        <w:t xml:space="preserve">and </w:t>
      </w:r>
      <w:r w:rsidRPr="00265FDB" w:rsidR="00B70690">
        <w:rPr>
          <w:color w:val="222222"/>
        </w:rPr>
        <w:t xml:space="preserve">high school students </w:t>
      </w:r>
      <w:r w:rsidRPr="00265FDB">
        <w:rPr>
          <w:color w:val="222222"/>
        </w:rPr>
        <w:t xml:space="preserve">— United States, 2011–2018. </w:t>
      </w:r>
      <w:r w:rsidRPr="00265FDB">
        <w:rPr>
          <w:i/>
          <w:iCs/>
          <w:color w:val="222222"/>
        </w:rPr>
        <w:t>MMWR Morb Mortal Wkly Rep</w:t>
      </w:r>
      <w:r w:rsidRPr="00265FDB" w:rsidR="0099198F">
        <w:rPr>
          <w:i/>
          <w:iCs/>
          <w:color w:val="222222"/>
        </w:rPr>
        <w:t>.</w:t>
      </w:r>
      <w:r w:rsidRPr="00265FDB">
        <w:rPr>
          <w:color w:val="222222"/>
        </w:rPr>
        <w:t xml:space="preserve"> 2018;67:1276–1277. DOI: </w:t>
      </w:r>
      <w:hyperlink r:id="rId15" w:tgtFrame="_blank" w:history="1">
        <w:r w:rsidRPr="00265FDB">
          <w:rPr>
            <w:rStyle w:val="Hyperlink"/>
          </w:rPr>
          <w:t>http://dx.doi.org/10.15585/mmwr.mm6745a5</w:t>
        </w:r>
      </w:hyperlink>
    </w:p>
    <w:p w:rsidR="001C138F" w:rsidRPr="001C138F" w:rsidP="001C138F" w14:paraId="6248552A" w14:textId="1F7FB8D6">
      <w:pPr>
        <w:spacing w:after="240"/>
        <w:rPr>
          <w:color w:val="222222"/>
        </w:rPr>
      </w:pPr>
      <w:r w:rsidRPr="0029117D">
        <w:rPr>
          <w:color w:val="222222"/>
        </w:rPr>
        <w:t xml:space="preserve">Cullen KA, Gentzke AS, Sawdey MD, Chang JT, Anic GM, Wang TW, </w:t>
      </w:r>
      <w:r w:rsidR="00E852CB">
        <w:rPr>
          <w:color w:val="222222"/>
        </w:rPr>
        <w:t>et al</w:t>
      </w:r>
      <w:r w:rsidRPr="0029117D">
        <w:rPr>
          <w:color w:val="222222"/>
        </w:rPr>
        <w:t xml:space="preserve">. E-cigarette use among youth in the United States, 2019. </w:t>
      </w:r>
      <w:r w:rsidRPr="00981788">
        <w:rPr>
          <w:i/>
          <w:iCs/>
          <w:color w:val="222222"/>
        </w:rPr>
        <w:t>J</w:t>
      </w:r>
      <w:r w:rsidRPr="00981788" w:rsidR="0099198F">
        <w:rPr>
          <w:i/>
          <w:iCs/>
          <w:color w:val="222222"/>
        </w:rPr>
        <w:t>AMA</w:t>
      </w:r>
      <w:r w:rsidRPr="0029117D">
        <w:rPr>
          <w:color w:val="222222"/>
        </w:rPr>
        <w:t>. 2019 Dec 3;322(21):2095-</w:t>
      </w:r>
      <w:r w:rsidR="00E852CB">
        <w:rPr>
          <w:color w:val="222222"/>
        </w:rPr>
        <w:t>2</w:t>
      </w:r>
      <w:r w:rsidRPr="0029117D">
        <w:rPr>
          <w:color w:val="222222"/>
        </w:rPr>
        <w:t>103.</w:t>
      </w:r>
      <w:r w:rsidRPr="001C138F">
        <w:rPr>
          <w:rFonts w:ascii="Helvetica" w:hAnsi="Helvetica"/>
          <w:color w:val="333333"/>
          <w:sz w:val="21"/>
          <w:szCs w:val="21"/>
        </w:rPr>
        <w:t xml:space="preserve"> </w:t>
      </w:r>
      <w:r w:rsidRPr="001C138F">
        <w:rPr>
          <w:color w:val="222222"/>
        </w:rPr>
        <w:t>doi:10.1001/jama.2019.18387</w:t>
      </w:r>
    </w:p>
    <w:p w:rsidR="00C94D00" w:rsidP="00981788" w14:paraId="20B907EF" w14:textId="7424F87B">
      <w:pPr>
        <w:spacing w:after="240"/>
      </w:pPr>
      <w:r w:rsidRPr="00F9712C">
        <w:t>Delnevo CD, Gundersen DA, Hrywna M, Echeverria SE, Steinberg MB. Smoking-cessation prevalence among U.S. smokers of menthol versus non-menthol cigarettes. Am J Prev Med. 2011 Oct;41(4):357-65. doi: 10.1016/j.amepre.2011.06.039. PMID: 21961462.</w:t>
      </w:r>
    </w:p>
    <w:p w:rsidR="00FB68E4" w:rsidP="00981788" w14:paraId="618B47B5" w14:textId="47F86EA2">
      <w:pPr>
        <w:spacing w:after="240"/>
      </w:pPr>
      <w:r>
        <w:t>Fiore, M</w:t>
      </w:r>
      <w:r w:rsidR="001B3C27">
        <w:t>C</w:t>
      </w:r>
      <w:r>
        <w:t>, Jaen CR, Baker TB, et al. 2008</w:t>
      </w:r>
      <w:r w:rsidR="00B30840">
        <w:t xml:space="preserve">. </w:t>
      </w:r>
      <w:r>
        <w:rPr>
          <w:i/>
        </w:rPr>
        <w:t>Treating Tobacco Use and Dependence: 2008 Update</w:t>
      </w:r>
      <w:r w:rsidR="00E852CB">
        <w:rPr>
          <w:i/>
        </w:rPr>
        <w:t>.</w:t>
      </w:r>
      <w:r>
        <w:rPr>
          <w:i/>
        </w:rPr>
        <w:t xml:space="preserve"> </w:t>
      </w:r>
      <w:r w:rsidRPr="00981788">
        <w:rPr>
          <w:iCs/>
        </w:rPr>
        <w:t>Clinical Practice Guideline</w:t>
      </w:r>
      <w:r w:rsidRPr="00981788" w:rsidR="00B30840">
        <w:rPr>
          <w:iCs/>
        </w:rPr>
        <w:t>.</w:t>
      </w:r>
      <w:r w:rsidR="00B30840">
        <w:rPr>
          <w:i/>
        </w:rPr>
        <w:t xml:space="preserve"> </w:t>
      </w:r>
      <w:r w:rsidRPr="00662761">
        <w:t xml:space="preserve">Rockville, MD: U.S. Department of Health and Human Services, Public Health Service, </w:t>
      </w:r>
      <w:r w:rsidR="00E852CB">
        <w:t>May 2008.</w:t>
      </w:r>
    </w:p>
    <w:p w:rsidR="00B44890" w:rsidP="00B35BF2" w14:paraId="17F2554E" w14:textId="3C4317ED">
      <w:pPr>
        <w:widowControl w:val="0"/>
        <w:tabs>
          <w:tab w:val="center" w:pos="4680"/>
        </w:tabs>
      </w:pPr>
      <w:r w:rsidRPr="00B44890">
        <w:t xml:space="preserve">Gentzke AS, Wang TW, Jamal A, Park-Lee E, Ren C, Cullen KA, </w:t>
      </w:r>
      <w:r w:rsidR="00E852CB">
        <w:t>et al</w:t>
      </w:r>
      <w:r w:rsidRPr="00B44890">
        <w:t xml:space="preserve">. Tobacco </w:t>
      </w:r>
      <w:r w:rsidR="00E852CB">
        <w:t>p</w:t>
      </w:r>
      <w:r w:rsidRPr="00B44890">
        <w:t xml:space="preserve">oduct </w:t>
      </w:r>
      <w:r w:rsidR="00E852CB">
        <w:t>u</w:t>
      </w:r>
      <w:r w:rsidRPr="00B44890">
        <w:t xml:space="preserve">se </w:t>
      </w:r>
      <w:r w:rsidR="00E852CB">
        <w:t>a</w:t>
      </w:r>
      <w:r w:rsidRPr="00B44890">
        <w:t xml:space="preserve">mong </w:t>
      </w:r>
      <w:r w:rsidR="00E852CB">
        <w:t>m</w:t>
      </w:r>
      <w:r w:rsidRPr="00B44890">
        <w:t xml:space="preserve">iddle and </w:t>
      </w:r>
      <w:r w:rsidR="00E852CB">
        <w:t>h</w:t>
      </w:r>
      <w:r w:rsidRPr="00B44890">
        <w:t xml:space="preserve">igh </w:t>
      </w:r>
      <w:r w:rsidR="00E852CB">
        <w:t>s</w:t>
      </w:r>
      <w:r w:rsidRPr="00B44890">
        <w:t xml:space="preserve">chool </w:t>
      </w:r>
      <w:r w:rsidR="00E852CB">
        <w:t>s</w:t>
      </w:r>
      <w:r w:rsidRPr="00B44890">
        <w:t xml:space="preserve">tudents—United States, 2020. </w:t>
      </w:r>
      <w:r w:rsidRPr="00513D0D" w:rsidR="0099198F">
        <w:rPr>
          <w:i/>
          <w:iCs/>
          <w:color w:val="222222"/>
        </w:rPr>
        <w:t>MMWR Morb Mortal Wkly Rep.</w:t>
      </w:r>
      <w:r w:rsidRPr="00B44890">
        <w:t xml:space="preserve"> 2020</w:t>
      </w:r>
      <w:r w:rsidR="0099198F">
        <w:t>;</w:t>
      </w:r>
      <w:r w:rsidRPr="00B44890">
        <w:t>69(50):1881</w:t>
      </w:r>
      <w:r w:rsidR="00E852CB">
        <w:t>-1888</w:t>
      </w:r>
      <w:r w:rsidRPr="00B44890">
        <w:t>.</w:t>
      </w:r>
      <w:r w:rsidR="00E852CB">
        <w:t xml:space="preserve"> </w:t>
      </w:r>
      <w:r w:rsidRPr="00E852CB" w:rsidR="00E852CB">
        <w:t>DOI: </w:t>
      </w:r>
      <w:hyperlink r:id="rId16" w:tgtFrame="_blank" w:history="1">
        <w:r w:rsidRPr="00E852CB" w:rsidR="00E852CB">
          <w:rPr>
            <w:rStyle w:val="Hyperlink"/>
          </w:rPr>
          <w:t>http://dx.doi.org/10.15585/mmwr.mm6950a1</w:t>
        </w:r>
      </w:hyperlink>
    </w:p>
    <w:p w:rsidR="00B44890" w:rsidP="00B35BF2" w14:paraId="3585B14B" w14:textId="77777777">
      <w:pPr>
        <w:widowControl w:val="0"/>
        <w:tabs>
          <w:tab w:val="center" w:pos="4680"/>
        </w:tabs>
      </w:pPr>
    </w:p>
    <w:p w:rsidR="00DD58F9" w:rsidP="00DD58F9" w14:paraId="4FC7C57D" w14:textId="77777777">
      <w:pPr>
        <w:rPr>
          <w:color w:val="000000"/>
        </w:rPr>
      </w:pPr>
      <w:r w:rsidRPr="001B3C27">
        <w:t>Giovanelli</w:t>
      </w:r>
      <w:r>
        <w:t xml:space="preserve"> A, Ozer EM, Dahl RE. </w:t>
      </w:r>
      <w:r w:rsidRPr="001B3C27">
        <w:t>Leveraging technology to improve health in adolescence: A developmental science perspective. </w:t>
      </w:r>
      <w:r w:rsidRPr="001B3C27">
        <w:rPr>
          <w:i/>
          <w:iCs/>
        </w:rPr>
        <w:t>J Adolesc Health</w:t>
      </w:r>
      <w:r w:rsidRPr="006877D7" w:rsidR="0099198F">
        <w:rPr>
          <w:i/>
          <w:iCs/>
        </w:rPr>
        <w:t>. 2020</w:t>
      </w:r>
      <w:r w:rsidRPr="00981788" w:rsidR="0099198F">
        <w:rPr>
          <w:i/>
          <w:iCs/>
        </w:rPr>
        <w:t>;</w:t>
      </w:r>
      <w:r w:rsidRPr="00981788">
        <w:rPr>
          <w:i/>
          <w:iCs/>
        </w:rPr>
        <w:t> </w:t>
      </w:r>
      <w:r w:rsidRPr="006877D7">
        <w:rPr>
          <w:i/>
          <w:iCs/>
        </w:rPr>
        <w:t>67</w:t>
      </w:r>
      <w:r w:rsidRPr="00981788">
        <w:rPr>
          <w:i/>
          <w:iCs/>
        </w:rPr>
        <w:t>(2), S7-S13</w:t>
      </w:r>
      <w:r w:rsidRPr="001B3C27">
        <w:t>.</w:t>
      </w:r>
      <w:r w:rsidRPr="00B87359" w:rsidR="00FB68E4">
        <w:br/>
      </w:r>
    </w:p>
    <w:p w:rsidR="00DD58F9" w:rsidP="00DD58F9" w14:paraId="578BF8B0" w14:textId="68E90DEA">
      <w:pPr>
        <w:rPr>
          <w:color w:val="000000"/>
        </w:rPr>
      </w:pPr>
      <w:r w:rsidRPr="000E742A">
        <w:rPr>
          <w:color w:val="000000"/>
        </w:rPr>
        <w:t>Jamal A, Phillips E, Gentzke AS, Homa DM, Babb SD, King BA, et al. Current cigarette smoking among adults — United States, 2016.</w:t>
      </w:r>
      <w:r>
        <w:rPr>
          <w:color w:val="000000"/>
        </w:rPr>
        <w:t xml:space="preserve"> </w:t>
      </w:r>
      <w:r w:rsidRPr="002306BF">
        <w:rPr>
          <w:i/>
          <w:iCs/>
          <w:color w:val="000000"/>
        </w:rPr>
        <w:t>MMWR Morb Mortal Wkly Rep.</w:t>
      </w:r>
      <w:r w:rsidRPr="002306BF">
        <w:rPr>
          <w:color w:val="000000"/>
        </w:rPr>
        <w:t xml:space="preserve"> 2018;67:53–59. DOI: </w:t>
      </w:r>
      <w:hyperlink r:id="rId17" w:history="1">
        <w:r w:rsidRPr="00D87C41">
          <w:rPr>
            <w:rStyle w:val="Hyperlink"/>
          </w:rPr>
          <w:t>http://dx.doi.org/10.15585/mmwr.mm6702a1</w:t>
        </w:r>
      </w:hyperlink>
      <w:r>
        <w:rPr>
          <w:color w:val="000000"/>
        </w:rPr>
        <w:t xml:space="preserve"> </w:t>
      </w:r>
    </w:p>
    <w:p w:rsidR="001D6637" w:rsidP="00B35BF2" w14:paraId="15D873CF" w14:textId="2FD06615">
      <w:pPr>
        <w:widowControl w:val="0"/>
        <w:tabs>
          <w:tab w:val="center" w:pos="4680"/>
        </w:tabs>
      </w:pPr>
    </w:p>
    <w:p w:rsidR="001C138F" w:rsidRPr="00981788" w:rsidP="00FB68E4" w14:paraId="0AE917D7" w14:textId="1399B240">
      <w:pPr>
        <w:widowControl w:val="0"/>
      </w:pPr>
      <w:r w:rsidRPr="00B35BF2">
        <w:t xml:space="preserve">Klesges RC, DeBon M, Vander Weg MW, et al. Efficacy of a tailored tobacco control program on long-term use in a population of U.S. military troops. </w:t>
      </w:r>
      <w:r w:rsidRPr="00B35BF2">
        <w:rPr>
          <w:i/>
        </w:rPr>
        <w:t>J Consult Clin Psychol</w:t>
      </w:r>
      <w:r w:rsidRPr="00B35BF2">
        <w:t xml:space="preserve"> 2006;74:295–306</w:t>
      </w:r>
      <w:r>
        <w:t xml:space="preserve">. </w:t>
      </w:r>
      <w:r w:rsidRPr="001C138F">
        <w:t>DOI: 10.1037/0022-006X.74.2.295</w:t>
      </w:r>
    </w:p>
    <w:p w:rsidR="001C138F" w:rsidP="00FB68E4" w14:paraId="4E7E83C1" w14:textId="7234A7F9">
      <w:pPr>
        <w:widowControl w:val="0"/>
        <w:rPr>
          <w:color w:val="222222"/>
        </w:rPr>
      </w:pPr>
    </w:p>
    <w:p w:rsidR="001D6637" w:rsidRPr="006877D7" w:rsidP="00FB68E4" w14:paraId="2BDF7928" w14:textId="05E995B4">
      <w:pPr>
        <w:widowControl w:val="0"/>
      </w:pPr>
      <w:r w:rsidRPr="00981788">
        <w:t>Kuiper N, Zhang L, Lee J, Babb SD, Anderson CM, Shannon C,</w:t>
      </w:r>
      <w:r w:rsidR="001C138F">
        <w:t xml:space="preserve"> et al.</w:t>
      </w:r>
      <w:r w:rsidRPr="00981788">
        <w:t xml:space="preserve"> A </w:t>
      </w:r>
      <w:r w:rsidRPr="00981788" w:rsidR="0099198F">
        <w:t xml:space="preserve">national </w:t>
      </w:r>
      <w:r w:rsidRPr="00981788">
        <w:t>Asian-</w:t>
      </w:r>
      <w:r w:rsidRPr="00981788" w:rsidR="0099198F">
        <w:t>language smokers’ quitline</w:t>
      </w:r>
      <w:r w:rsidRPr="00981788">
        <w:t xml:space="preserve">—United States, 2012–2014. </w:t>
      </w:r>
      <w:r w:rsidRPr="00981788" w:rsidR="0099198F">
        <w:rPr>
          <w:i/>
          <w:iCs/>
        </w:rPr>
        <w:t xml:space="preserve">Prev Chronic Dis. </w:t>
      </w:r>
      <w:r w:rsidRPr="00981788" w:rsidR="0099198F">
        <w:t>2015</w:t>
      </w:r>
      <w:r w:rsidRPr="00981788">
        <w:t xml:space="preserve"> </w:t>
      </w:r>
      <w:r w:rsidRPr="00981788">
        <w:rPr>
          <w:i/>
          <w:iCs/>
        </w:rPr>
        <w:t>12</w:t>
      </w:r>
      <w:r w:rsidRPr="00981788" w:rsidR="001C138F">
        <w:t>:</w:t>
      </w:r>
      <w:r w:rsidRPr="00981788" w:rsidR="001C138F">
        <w:rPr>
          <w:shd w:val="clear" w:color="auto" w:fill="FFFFFF"/>
        </w:rPr>
        <w:t xml:space="preserve"> 140584. DOI: </w:t>
      </w:r>
      <w:hyperlink r:id="rId18" w:tgtFrame="_blank" w:history="1">
        <w:r w:rsidRPr="00981788" w:rsidR="001C138F">
          <w:rPr>
            <w:rStyle w:val="Hyperlink"/>
            <w:color w:val="auto"/>
            <w:shd w:val="clear" w:color="auto" w:fill="FFFFFF"/>
          </w:rPr>
          <w:t>http://dx.doi.org/10.5888/pcd12.140584</w:t>
        </w:r>
      </w:hyperlink>
    </w:p>
    <w:p w:rsidR="00852F9E" w:rsidRPr="001C138F" w:rsidP="001B3C27" w14:paraId="577D2C98" w14:textId="2422FE47">
      <w:pPr>
        <w:widowControl w:val="0"/>
        <w:tabs>
          <w:tab w:val="left" w:pos="4590"/>
          <w:tab w:val="center" w:pos="4680"/>
        </w:tabs>
      </w:pPr>
    </w:p>
    <w:p w:rsidR="007A2C99" w:rsidRPr="007A2C99" w:rsidP="007A2C99" w14:paraId="12A3D02B" w14:textId="38A06A9C">
      <w:r w:rsidRPr="007A2C99">
        <w:t>Leas</w:t>
      </w:r>
      <w:r w:rsidR="006574AA">
        <w:t xml:space="preserve"> </w:t>
      </w:r>
      <w:r w:rsidRPr="007A2C99">
        <w:t>EC,</w:t>
      </w:r>
      <w:r w:rsidR="006574AA">
        <w:t xml:space="preserve"> </w:t>
      </w:r>
      <w:r w:rsidRPr="007A2C99">
        <w:t>Benmarhnia</w:t>
      </w:r>
      <w:r w:rsidR="006574AA">
        <w:t xml:space="preserve"> </w:t>
      </w:r>
      <w:r w:rsidRPr="007A2C99">
        <w:t>T,</w:t>
      </w:r>
      <w:r w:rsidR="006574AA">
        <w:t xml:space="preserve"> </w:t>
      </w:r>
      <w:r w:rsidRPr="007A2C99">
        <w:t>Strong</w:t>
      </w:r>
      <w:r w:rsidR="006574AA">
        <w:t xml:space="preserve"> </w:t>
      </w:r>
      <w:r w:rsidRPr="007A2C99">
        <w:t>DR</w:t>
      </w:r>
      <w:r w:rsidRPr="007A2C99">
        <w:rPr>
          <w:i/>
          <w:iCs/>
        </w:rPr>
        <w:t xml:space="preserve">, </w:t>
      </w:r>
      <w:r w:rsidRPr="000656C9">
        <w:t>et al.</w:t>
      </w:r>
      <w:r>
        <w:rPr>
          <w:i/>
          <w:iCs/>
        </w:rPr>
        <w:t xml:space="preserve"> </w:t>
      </w:r>
      <w:r w:rsidRPr="007A2C99">
        <w:t>Effects of menthol use and transitions in use on short-term and long-term cessation from cigarettes among US smokers</w:t>
      </w:r>
      <w:r>
        <w:t xml:space="preserve">. </w:t>
      </w:r>
      <w:r w:rsidRPr="007A2C99">
        <w:rPr>
          <w:i/>
          <w:iCs/>
        </w:rPr>
        <w:t>Tobacco Control</w:t>
      </w:r>
      <w:r w:rsidRPr="000656C9" w:rsidR="006574AA">
        <w:t xml:space="preserve">. Epub </w:t>
      </w:r>
      <w:r w:rsidRPr="007A2C99">
        <w:t>06 July 2021.</w:t>
      </w:r>
      <w:r w:rsidR="00F52E36">
        <w:t xml:space="preserve"> </w:t>
      </w:r>
      <w:r w:rsidRPr="007A2C99">
        <w:t>doi:</w:t>
      </w:r>
      <w:r w:rsidR="00F52E36">
        <w:t xml:space="preserve"> </w:t>
      </w:r>
      <w:r w:rsidRPr="007A2C99">
        <w:t>10.1136/tobaccocontrol-2021-056596</w:t>
      </w:r>
      <w:r w:rsidR="006574AA">
        <w:t>.</w:t>
      </w:r>
    </w:p>
    <w:p w:rsidR="00F9712C" w:rsidP="00852F9E" w14:paraId="42CB6D21" w14:textId="77777777"/>
    <w:p w:rsidR="00852F9E" w:rsidP="00852F9E" w14:paraId="7824957D" w14:textId="4DDA37BA">
      <w:r w:rsidRPr="00CA236F">
        <w:t xml:space="preserve">North American Quitline Consortium (NAQC). </w:t>
      </w:r>
      <w:r w:rsidRPr="00981788">
        <w:rPr>
          <w:i/>
          <w:iCs/>
        </w:rPr>
        <w:t>The Use of Quitlines Among Priority Populations in the U.S.: Lessons from the Scientific Evidence. (Baezconde-Garbanati, L., et al.)</w:t>
      </w:r>
      <w:r w:rsidRPr="00CA236F">
        <w:t>. Oakland, CA</w:t>
      </w:r>
      <w:r w:rsidR="001C138F">
        <w:t>: North American Quitline Consortium, 2011.</w:t>
      </w:r>
      <w:r w:rsidR="00E64F2E">
        <w:t xml:space="preserve"> </w:t>
      </w:r>
      <w:r w:rsidR="001C138F">
        <w:t xml:space="preserve">Available at </w:t>
      </w:r>
      <w:hyperlink r:id="rId19" w:history="1">
        <w:r w:rsidRPr="006F2970" w:rsidR="001C138F">
          <w:rPr>
            <w:rStyle w:val="Hyperlink"/>
          </w:rPr>
          <w:t>https://cdn.ymaws.com/www.naquitline.org/resource/resmgr/Issue_Papers/IssuePaperTheUseofQuitlinesA.pdf</w:t>
        </w:r>
      </w:hyperlink>
    </w:p>
    <w:p w:rsidR="00852F9E" w:rsidP="00852F9E" w14:paraId="23DC4049" w14:textId="77777777">
      <w:pPr>
        <w:widowControl w:val="0"/>
        <w:tabs>
          <w:tab w:val="center" w:pos="4680"/>
        </w:tabs>
      </w:pPr>
    </w:p>
    <w:p w:rsidR="001B3C27" w:rsidRPr="00B35BF2" w:rsidP="00B35BF2" w14:paraId="73C537F4" w14:textId="399710DA">
      <w:pPr>
        <w:pStyle w:val="CommentText"/>
        <w:rPr>
          <w:color w:val="231F20"/>
          <w:sz w:val="24"/>
          <w:szCs w:val="24"/>
        </w:rPr>
      </w:pPr>
      <w:r w:rsidRPr="00B35BF2">
        <w:rPr>
          <w:color w:val="231F20"/>
          <w:sz w:val="24"/>
          <w:szCs w:val="24"/>
        </w:rPr>
        <w:t xml:space="preserve">Odani S, Agaku IT, Graffunder CM, Tynan MA, Armour BS. </w:t>
      </w:r>
      <w:r>
        <w:rPr>
          <w:color w:val="231F20"/>
          <w:sz w:val="24"/>
          <w:szCs w:val="24"/>
        </w:rPr>
        <w:t xml:space="preserve">2018. </w:t>
      </w:r>
      <w:r w:rsidRPr="00981788">
        <w:rPr>
          <w:iCs/>
          <w:color w:val="231F20"/>
          <w:sz w:val="24"/>
          <w:szCs w:val="24"/>
        </w:rPr>
        <w:t xml:space="preserve">Tobacco </w:t>
      </w:r>
      <w:r w:rsidRPr="00981788" w:rsidR="00C257C9">
        <w:rPr>
          <w:iCs/>
          <w:color w:val="231F20"/>
          <w:sz w:val="24"/>
          <w:szCs w:val="24"/>
        </w:rPr>
        <w:t xml:space="preserve">product use among military veterans </w:t>
      </w:r>
      <w:r w:rsidRPr="00981788">
        <w:rPr>
          <w:iCs/>
          <w:color w:val="231F20"/>
          <w:sz w:val="24"/>
          <w:szCs w:val="24"/>
        </w:rPr>
        <w:t>— United States, 2010–2015</w:t>
      </w:r>
      <w:r w:rsidRPr="006877D7">
        <w:rPr>
          <w:iCs/>
          <w:color w:val="231F20"/>
          <w:sz w:val="24"/>
          <w:szCs w:val="24"/>
        </w:rPr>
        <w:t>.</w:t>
      </w:r>
      <w:r w:rsidRPr="00B35BF2">
        <w:rPr>
          <w:color w:val="231F20"/>
          <w:sz w:val="24"/>
          <w:szCs w:val="24"/>
        </w:rPr>
        <w:t xml:space="preserve"> </w:t>
      </w:r>
      <w:r w:rsidRPr="00981788">
        <w:rPr>
          <w:i/>
          <w:iCs/>
          <w:color w:val="231F20"/>
          <w:sz w:val="24"/>
          <w:szCs w:val="24"/>
        </w:rPr>
        <w:t>MMWR Morb Mortal Wkly Rep</w:t>
      </w:r>
      <w:r w:rsidRPr="00981788" w:rsidR="00C257C9">
        <w:rPr>
          <w:i/>
          <w:iCs/>
          <w:color w:val="231F20"/>
          <w:sz w:val="24"/>
          <w:szCs w:val="24"/>
        </w:rPr>
        <w:t>.</w:t>
      </w:r>
      <w:r w:rsidRPr="00B35BF2">
        <w:rPr>
          <w:color w:val="231F20"/>
          <w:sz w:val="24"/>
          <w:szCs w:val="24"/>
        </w:rPr>
        <w:t xml:space="preserve"> 2018;67:7–12.</w:t>
      </w:r>
      <w:r w:rsidR="00C257C9">
        <w:rPr>
          <w:color w:val="231F20"/>
          <w:sz w:val="24"/>
          <w:szCs w:val="24"/>
        </w:rPr>
        <w:t xml:space="preserve"> </w:t>
      </w:r>
      <w:r w:rsidRPr="00C257C9" w:rsidR="00C257C9">
        <w:rPr>
          <w:color w:val="231F20"/>
          <w:sz w:val="24"/>
          <w:szCs w:val="24"/>
        </w:rPr>
        <w:t>DOI: </w:t>
      </w:r>
      <w:hyperlink r:id="rId20" w:tgtFrame="_blank" w:history="1">
        <w:r w:rsidRPr="00C257C9" w:rsidR="00C257C9">
          <w:rPr>
            <w:rStyle w:val="Hyperlink"/>
            <w:sz w:val="24"/>
            <w:szCs w:val="24"/>
          </w:rPr>
          <w:t>http://dx.doi.org/10.15585/mmwr.mm6701a2</w:t>
        </w:r>
      </w:hyperlink>
    </w:p>
    <w:p w:rsidR="00852F9E" w:rsidP="00852F9E" w14:paraId="2B3E967B" w14:textId="57C4C5C8">
      <w:pPr>
        <w:widowControl w:val="0"/>
        <w:tabs>
          <w:tab w:val="center" w:pos="4680"/>
        </w:tabs>
      </w:pPr>
    </w:p>
    <w:p w:rsidR="00FB1F7D" w:rsidP="00852F9E" w14:paraId="56F4DAEF" w14:textId="5BE2B76F">
      <w:pPr>
        <w:widowControl w:val="0"/>
        <w:tabs>
          <w:tab w:val="center" w:pos="4680"/>
        </w:tabs>
      </w:pPr>
      <w:r>
        <w:t xml:space="preserve">Sanci L. </w:t>
      </w:r>
      <w:r w:rsidRPr="00FB1F7D">
        <w:t>The integration of innovative technologies to support improving adolescent and young adult health.</w:t>
      </w:r>
      <w:r w:rsidR="00E64F2E">
        <w:t xml:space="preserve"> </w:t>
      </w:r>
      <w:r w:rsidRPr="00FB1F7D">
        <w:rPr>
          <w:i/>
          <w:iCs/>
        </w:rPr>
        <w:t>J Adolesc Health</w:t>
      </w:r>
      <w:r w:rsidR="00C257C9">
        <w:t>;2020;</w:t>
      </w:r>
      <w:r w:rsidRPr="00FB1F7D">
        <w:rPr>
          <w:i/>
          <w:iCs/>
        </w:rPr>
        <w:t>67</w:t>
      </w:r>
      <w:r w:rsidRPr="00FB1F7D">
        <w:t>(2</w:t>
      </w:r>
      <w:r w:rsidRPr="00FB1F7D" w:rsidR="00C257C9">
        <w:t>)</w:t>
      </w:r>
      <w:r w:rsidR="00C257C9">
        <w:t>:</w:t>
      </w:r>
      <w:r w:rsidRPr="00FB1F7D">
        <w:t>S1</w:t>
      </w:r>
      <w:r w:rsidR="00C257C9">
        <w:t>-S2</w:t>
      </w:r>
      <w:r w:rsidRPr="00FB1F7D">
        <w:t>.</w:t>
      </w:r>
      <w:r w:rsidR="00C257C9">
        <w:t xml:space="preserve"> </w:t>
      </w:r>
      <w:r w:rsidRPr="00C257C9" w:rsidR="00C257C9">
        <w:t>doi: </w:t>
      </w:r>
      <w:hyperlink r:id="rId21" w:history="1">
        <w:r w:rsidRPr="00C257C9" w:rsidR="00C257C9">
          <w:rPr>
            <w:rStyle w:val="Hyperlink"/>
          </w:rPr>
          <w:t>10.1016/j.jadohealth.2020.05.017</w:t>
        </w:r>
      </w:hyperlink>
    </w:p>
    <w:p w:rsidR="003803FB" w:rsidP="00F77594" w14:paraId="73EED037" w14:textId="6F27CB52">
      <w:pPr>
        <w:pStyle w:val="REF"/>
        <w:tabs>
          <w:tab w:val="clear" w:pos="720"/>
        </w:tabs>
        <w:spacing w:after="0" w:line="240" w:lineRule="auto"/>
        <w:ind w:left="0" w:firstLine="0"/>
      </w:pPr>
    </w:p>
    <w:p w:rsidR="0027571E" w:rsidP="00BB455E" w14:paraId="64AFE972" w14:textId="36804A20">
      <w:r w:rsidRPr="005E1A78">
        <w:t>Trinidad DR, Pérez-Stable EJ, Messer K, White MM, Pierce JP. Menthol cigarettes and smoking cessation among racial/ethnic groups in the United States. </w:t>
      </w:r>
      <w:r w:rsidRPr="005E1A78">
        <w:rPr>
          <w:i/>
          <w:iCs/>
        </w:rPr>
        <w:t>Addiction</w:t>
      </w:r>
      <w:r w:rsidRPr="005E1A78">
        <w:t>. 2010;105 Suppl 1(0 1):84-94. doi:10.1111/j.1360-0443.2010.03187.</w:t>
      </w:r>
    </w:p>
    <w:p w:rsidR="00161F5D" w:rsidP="00F77594" w14:paraId="3B609C8A" w14:textId="57BD83F9">
      <w:pPr>
        <w:pStyle w:val="REF"/>
        <w:tabs>
          <w:tab w:val="clear" w:pos="720"/>
        </w:tabs>
        <w:spacing w:after="0" w:line="240" w:lineRule="auto"/>
        <w:ind w:left="0" w:firstLine="0"/>
      </w:pPr>
    </w:p>
    <w:p w:rsidR="00FB53F4" w:rsidP="00FB53F4" w14:paraId="45E8E307" w14:textId="77777777">
      <w:pPr>
        <w:pStyle w:val="REF"/>
        <w:tabs>
          <w:tab w:val="clear" w:pos="720"/>
        </w:tabs>
        <w:spacing w:after="0" w:line="240" w:lineRule="auto"/>
        <w:ind w:left="0" w:firstLine="0"/>
      </w:pPr>
      <w:r>
        <w:t xml:space="preserve">United States Department of Health and Human Services (USDHHS). </w:t>
      </w:r>
      <w:r w:rsidRPr="000A6E36">
        <w:rPr>
          <w:i/>
          <w:iCs/>
        </w:rPr>
        <w:t>The Health Consequences of Smoking</w:t>
      </w:r>
      <w:r>
        <w:rPr>
          <w:i/>
          <w:iCs/>
        </w:rPr>
        <w:t>-50 years of progress</w:t>
      </w:r>
      <w:r w:rsidRPr="000A6E36">
        <w:rPr>
          <w:i/>
          <w:iCs/>
        </w:rPr>
        <w:t>:</w:t>
      </w:r>
      <w:r w:rsidRPr="000A6E36">
        <w:rPr>
          <w:i/>
        </w:rPr>
        <w:t xml:space="preserve"> A Report of the Surgeon General</w:t>
      </w:r>
      <w:r>
        <w:t xml:space="preserve">. Atlanta, GA: </w:t>
      </w:r>
      <w:r w:rsidRPr="000A6E36">
        <w:t xml:space="preserve">U.S. Department of Health and Human Service, Public Health Service, </w:t>
      </w:r>
      <w:r>
        <w:t>CDC</w:t>
      </w:r>
      <w:r w:rsidRPr="000A6E36">
        <w:t xml:space="preserve">, National Center for </w:t>
      </w:r>
      <w:r w:rsidRPr="000A6E36">
        <w:t>Chronic Disease Prevention and Health Promotion, Of</w:t>
      </w:r>
      <w:r>
        <w:t>fice on Smoking and Health, 2014.</w:t>
      </w:r>
      <w:r>
        <w:t xml:space="preserve"> </w:t>
      </w:r>
    </w:p>
    <w:p w:rsidR="00FB53F4" w:rsidP="00F77594" w14:paraId="339067BF" w14:textId="77777777">
      <w:pPr>
        <w:pStyle w:val="REF"/>
        <w:tabs>
          <w:tab w:val="clear" w:pos="720"/>
        </w:tabs>
        <w:spacing w:after="0" w:line="240" w:lineRule="auto"/>
        <w:ind w:left="0" w:firstLine="0"/>
      </w:pPr>
    </w:p>
    <w:p w:rsidR="001B3C27" w:rsidP="001B3C27" w14:paraId="3AAF5E3E" w14:textId="28C387BD">
      <w:pPr>
        <w:pStyle w:val="REF"/>
        <w:tabs>
          <w:tab w:val="clear" w:pos="720"/>
        </w:tabs>
        <w:spacing w:after="0"/>
        <w:ind w:left="0" w:firstLine="0"/>
      </w:pPr>
      <w:r w:rsidRPr="007A3CE1">
        <w:t xml:space="preserve">United States Bureau of Labor Statistics </w:t>
      </w:r>
      <w:r>
        <w:t xml:space="preserve">(USBLS). </w:t>
      </w:r>
      <w:r w:rsidRPr="00161F5D" w:rsidR="004A27B9">
        <w:rPr>
          <w:i/>
          <w:iCs/>
        </w:rPr>
        <w:t xml:space="preserve">May </w:t>
      </w:r>
      <w:r w:rsidRPr="00161F5D" w:rsidR="00ED725A">
        <w:rPr>
          <w:i/>
          <w:iCs/>
        </w:rPr>
        <w:t>20</w:t>
      </w:r>
      <w:r w:rsidR="00ED725A">
        <w:rPr>
          <w:i/>
          <w:iCs/>
        </w:rPr>
        <w:t>20</w:t>
      </w:r>
      <w:r w:rsidRPr="00161F5D" w:rsidR="00ED725A">
        <w:rPr>
          <w:i/>
          <w:iCs/>
        </w:rPr>
        <w:t xml:space="preserve"> </w:t>
      </w:r>
      <w:r w:rsidRPr="00161F5D">
        <w:rPr>
          <w:i/>
          <w:iCs/>
        </w:rPr>
        <w:t>National Occupational Employment and Wage Estimates,</w:t>
      </w:r>
      <w:r w:rsidRPr="00161F5D" w:rsidR="004A27B9">
        <w:rPr>
          <w:i/>
          <w:iCs/>
        </w:rPr>
        <w:t xml:space="preserve"> United States.</w:t>
      </w:r>
      <w:r w:rsidR="004A27B9">
        <w:t xml:space="preserve"> </w:t>
      </w:r>
      <w:r w:rsidRPr="007A3CE1">
        <w:t>U.S. Bureau of Labor Statistics</w:t>
      </w:r>
      <w:r w:rsidR="004A27B9">
        <w:t xml:space="preserve">, </w:t>
      </w:r>
      <w:r w:rsidR="00ED725A">
        <w:t>2020</w:t>
      </w:r>
      <w:r w:rsidRPr="007A3CE1">
        <w:t xml:space="preserve">. Available </w:t>
      </w:r>
      <w:r w:rsidR="004A27B9">
        <w:t>at</w:t>
      </w:r>
      <w:r w:rsidRPr="007A3CE1">
        <w:t xml:space="preserve"> </w:t>
      </w:r>
      <w:hyperlink r:id="rId22" w:history="1">
        <w:r w:rsidRPr="00CB3FA5" w:rsidR="004A27B9">
          <w:rPr>
            <w:rStyle w:val="Hyperlink"/>
          </w:rPr>
          <w:t>https://www.bls.gov/</w:t>
        </w:r>
        <w:r w:rsidRPr="004A27B9" w:rsidR="004A27B9">
          <w:rPr>
            <w:rStyle w:val="Hyperlink"/>
          </w:rPr>
          <w:t>oes/current/oes_nat.ht</w:t>
        </w:r>
        <w:r w:rsidRPr="006F2970" w:rsidR="004A27B9">
          <w:rPr>
            <w:rStyle w:val="Hyperlink"/>
          </w:rPr>
          <w:t>m</w:t>
        </w:r>
      </w:hyperlink>
      <w:r w:rsidR="004A27B9">
        <w:t>.</w:t>
      </w:r>
      <w:r w:rsidR="00E64F2E">
        <w:t xml:space="preserve"> </w:t>
      </w:r>
      <w:r w:rsidR="004A27B9">
        <w:t xml:space="preserve">Accessed February </w:t>
      </w:r>
      <w:r w:rsidR="00ED725A">
        <w:t>4</w:t>
      </w:r>
      <w:r w:rsidR="004A27B9">
        <w:t xml:space="preserve">, </w:t>
      </w:r>
      <w:r w:rsidR="00ED725A">
        <w:t>2022</w:t>
      </w:r>
      <w:r w:rsidR="004A27B9">
        <w:t>.</w:t>
      </w:r>
    </w:p>
    <w:p w:rsidR="001B3C27" w:rsidP="001B3C27" w14:paraId="74BF3DFF" w14:textId="77777777">
      <w:pPr>
        <w:pStyle w:val="REF"/>
        <w:tabs>
          <w:tab w:val="clear" w:pos="720"/>
        </w:tabs>
        <w:spacing w:after="0"/>
        <w:ind w:left="0" w:firstLine="0"/>
      </w:pPr>
    </w:p>
    <w:p w:rsidR="002342BF" w:rsidRPr="002342BF" w:rsidP="00BB455E" w14:paraId="38C9E944" w14:textId="45C72D4E">
      <w:pPr>
        <w:pStyle w:val="REF"/>
        <w:tabs>
          <w:tab w:val="clear" w:pos="720"/>
          <w:tab w:val="left" w:pos="1080"/>
        </w:tabs>
        <w:spacing w:after="0"/>
        <w:ind w:left="0" w:firstLine="0"/>
      </w:pPr>
      <w:r w:rsidRPr="002342BF">
        <w:t>U</w:t>
      </w:r>
      <w:r>
        <w:t xml:space="preserve">nited </w:t>
      </w:r>
      <w:r w:rsidRPr="002342BF">
        <w:t>S</w:t>
      </w:r>
      <w:r>
        <w:t>tates</w:t>
      </w:r>
      <w:r w:rsidRPr="002342BF">
        <w:t xml:space="preserve"> Department of Health and Human Services</w:t>
      </w:r>
      <w:r>
        <w:t xml:space="preserve"> (USDHHS)</w:t>
      </w:r>
      <w:r w:rsidRPr="002342BF">
        <w:t xml:space="preserve">. </w:t>
      </w:r>
      <w:r w:rsidRPr="00B35BF2">
        <w:rPr>
          <w:i/>
        </w:rPr>
        <w:t>Smoking Cessation: A Report of the Surgeon General</w:t>
      </w:r>
      <w:r w:rsidRPr="002342BF">
        <w:t>. Atlanta, GA: U.S. Department of Health and Human Services, Centers for Disease Control and Prevention, National Center for Chronic Disease Prevention and Health Promotio</w:t>
      </w:r>
      <w:r w:rsidR="0097760B">
        <w:t>n, Office on Smoking and Health</w:t>
      </w:r>
      <w:r w:rsidR="004A27B9">
        <w:t>, 2020</w:t>
      </w:r>
      <w:r w:rsidRPr="002342BF">
        <w:t>.</w:t>
      </w:r>
    </w:p>
    <w:p w:rsidR="00F77594" w:rsidRPr="00B35BF2" w:rsidP="00F77594" w14:paraId="66123FD0" w14:textId="77777777"/>
    <w:p w:rsidR="001B3C27" w:rsidP="00F77594" w14:paraId="67BA58CB" w14:textId="14F3258A">
      <w:r>
        <w:t xml:space="preserve">United </w:t>
      </w:r>
      <w:r w:rsidRPr="00B72F94">
        <w:t xml:space="preserve">States </w:t>
      </w:r>
      <w:r w:rsidRPr="00B35BF2">
        <w:t xml:space="preserve">Secretary of Defense. </w:t>
      </w:r>
      <w:r>
        <w:t xml:space="preserve">2016. </w:t>
      </w:r>
      <w:r w:rsidR="00967B1C">
        <w:rPr>
          <w:i/>
        </w:rPr>
        <w:t xml:space="preserve">Policy Memorandum 16-001, Department of Defense Tobacco Policy. </w:t>
      </w:r>
      <w:r>
        <w:t xml:space="preserve">Available at: </w:t>
      </w:r>
      <w:hyperlink r:id="rId23" w:history="1">
        <w:r w:rsidRPr="006F2970" w:rsidR="00967B1C">
          <w:rPr>
            <w:rStyle w:val="Hyperlink"/>
          </w:rPr>
          <w:t>https://www.med.navy.mil/sites/nmcphc/Documents/health-promotion-wellness/tobacco-free-living/INCOMING-CARTER-Tobacco-Policy-Memo.pdf</w:t>
        </w:r>
      </w:hyperlink>
      <w:r w:rsidR="00967B1C">
        <w:t xml:space="preserve">. Accessed February 25, 2021. </w:t>
      </w:r>
    </w:p>
    <w:p w:rsidR="00FD255C" w:rsidP="00F77594" w14:paraId="47312351" w14:textId="2554B577"/>
    <w:p w:rsidR="004A27B9" w:rsidRPr="00B35BF2" w:rsidP="00FD255C" w14:paraId="13043320" w14:textId="7DBEA38D">
      <w:r w:rsidRPr="00FD255C">
        <w:t xml:space="preserve">Wang TW, Gentzke AS, Creamer MR, Cullen KA, Holder-Hayes E, Sawdey MD, </w:t>
      </w:r>
      <w:r w:rsidR="00967B1C">
        <w:t>et al</w:t>
      </w:r>
      <w:r w:rsidRPr="00FD255C">
        <w:t xml:space="preserve">. Tobacco product use and associated factors among middle and high school students—United States, 2019. </w:t>
      </w:r>
      <w:r w:rsidRPr="00967B1C" w:rsidR="00B70690">
        <w:rPr>
          <w:i/>
          <w:iCs/>
        </w:rPr>
        <w:t>MMWR Surveill Summ</w:t>
      </w:r>
      <w:r w:rsidR="00B70690">
        <w:t>.</w:t>
      </w:r>
      <w:r w:rsidRPr="00967B1C" w:rsidR="00B70690">
        <w:t xml:space="preserve"> 2019;68(No. SS-12):1–22. DOI: </w:t>
      </w:r>
      <w:hyperlink r:id="rId24" w:tgtFrame="_blank" w:history="1">
        <w:r w:rsidRPr="00967B1C" w:rsidR="00B70690">
          <w:t>http://dx.doi.org/10.15585/mmwr.ss6812a1</w:t>
        </w:r>
      </w:hyperlink>
    </w:p>
    <w:p w:rsidR="001B3C27" w:rsidP="00A01E92" w14:paraId="7ABBD662" w14:textId="77777777">
      <w:pPr>
        <w:pStyle w:val="REF"/>
        <w:tabs>
          <w:tab w:val="clear" w:pos="720"/>
        </w:tabs>
        <w:spacing w:after="0" w:line="240" w:lineRule="auto"/>
        <w:ind w:left="0" w:firstLine="0"/>
        <w:rPr>
          <w:color w:val="auto"/>
        </w:rPr>
      </w:pPr>
    </w:p>
    <w:p w:rsidR="00033102" w:rsidRPr="00B35BF2" w:rsidP="00F853F6" w14:paraId="6825659D" w14:textId="39AC284D">
      <w:r w:rsidRPr="00B35BF2">
        <w:t xml:space="preserve">Zhu, S. </w:t>
      </w:r>
      <w:r w:rsidRPr="00B35BF2">
        <w:rPr>
          <w:i/>
        </w:rPr>
        <w:t>Telephone Quitlines for Smoking Cessation</w:t>
      </w:r>
      <w:r w:rsidR="00B30840">
        <w:t xml:space="preserve">. </w:t>
      </w:r>
      <w:r w:rsidR="004A27B9">
        <w:rPr>
          <w:rFonts w:cs="Arial"/>
          <w:color w:val="333333"/>
          <w:lang w:val="en"/>
        </w:rPr>
        <w:t>In:</w:t>
      </w:r>
      <w:r w:rsidR="00E64F2E">
        <w:rPr>
          <w:rFonts w:cs="Arial"/>
          <w:color w:val="333333"/>
          <w:lang w:val="en"/>
        </w:rPr>
        <w:t xml:space="preserve"> </w:t>
      </w:r>
      <w:r w:rsidR="004A27B9">
        <w:rPr>
          <w:rFonts w:cs="Arial"/>
          <w:i/>
          <w:iCs/>
          <w:color w:val="333333"/>
          <w:lang w:val="en"/>
        </w:rPr>
        <w:t>Population Based Smoking Cessation</w:t>
      </w:r>
      <w:r w:rsidR="00967B1C">
        <w:rPr>
          <w:rFonts w:cs="Arial"/>
          <w:i/>
          <w:iCs/>
          <w:color w:val="333333"/>
          <w:lang w:val="en"/>
        </w:rPr>
        <w:t>.</w:t>
      </w:r>
      <w:r w:rsidRPr="00967B1C" w:rsidR="00967B1C">
        <w:rPr>
          <w:rFonts w:cs="Arial"/>
          <w:color w:val="333333"/>
          <w:lang w:val="en"/>
        </w:rPr>
        <w:t xml:space="preserve"> National Cancer Institute </w:t>
      </w:r>
      <w:r w:rsidRPr="00967B1C" w:rsidR="004A27B9">
        <w:rPr>
          <w:rFonts w:cs="Arial"/>
          <w:color w:val="333333"/>
          <w:lang w:val="en"/>
        </w:rPr>
        <w:t>Tobacco</w:t>
      </w:r>
      <w:r w:rsidRPr="00CB3FA5" w:rsidR="004A27B9">
        <w:rPr>
          <w:rFonts w:cs="Arial"/>
          <w:color w:val="333333"/>
          <w:lang w:val="en"/>
        </w:rPr>
        <w:t xml:space="preserve"> Contro</w:t>
      </w:r>
      <w:r w:rsidR="004A27B9">
        <w:rPr>
          <w:rFonts w:cs="Arial"/>
          <w:color w:val="333333"/>
          <w:lang w:val="en"/>
        </w:rPr>
        <w:t xml:space="preserve">l Monograph 12. </w:t>
      </w:r>
      <w:r w:rsidR="00967B1C">
        <w:rPr>
          <w:rFonts w:cs="Arial"/>
          <w:color w:val="333333"/>
          <w:lang w:val="en"/>
        </w:rPr>
        <w:t xml:space="preserve">NIH Pub. No. 00-4892. </w:t>
      </w:r>
      <w:r w:rsidR="004A27B9">
        <w:rPr>
          <w:rFonts w:cs="Arial"/>
          <w:color w:val="333333"/>
          <w:lang w:val="en"/>
        </w:rPr>
        <w:t>Bethesda, MD: U.S. Department of Health and Human Services, National Institutes of Health, National Cancer Institute</w:t>
      </w:r>
      <w:r w:rsidR="00967B1C">
        <w:rPr>
          <w:rFonts w:cs="Arial"/>
          <w:color w:val="333333"/>
          <w:lang w:val="en"/>
        </w:rPr>
        <w:t xml:space="preserve">, 2000. </w:t>
      </w:r>
      <w:bookmarkEnd w:id="4"/>
    </w:p>
    <w:sectPr w:rsidSect="006372FC">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108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Lucida Grande">
    <w:altName w:val="Arial Unicode MS"/>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Times New Roman TUR">
    <w:altName w:val="Sylfaen"/>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3DA0F9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7BC5A81C" w14:textId="7777777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2541BE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4BFEAA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565D31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322" w14:paraId="61D596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1pt" o:bullet="t">
        <v:imagedata r:id="rId1" o:title=""/>
      </v:shape>
    </w:pict>
  </w:numPicBullet>
  <w:abstractNum w:abstractNumId="0">
    <w:nsid w:val="FFFFFF1D"/>
    <w:multiLevelType w:val="multilevel"/>
    <w:tmpl w:val="7CB0010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03F9D"/>
    <w:multiLevelType w:val="hybridMultilevel"/>
    <w:tmpl w:val="5420B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EB33C3"/>
    <w:multiLevelType w:val="hybridMultilevel"/>
    <w:tmpl w:val="27D8D5B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B1A1A23"/>
    <w:multiLevelType w:val="hybridMultilevel"/>
    <w:tmpl w:val="F1DAE3B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944621"/>
    <w:multiLevelType w:val="hybridMultilevel"/>
    <w:tmpl w:val="39C21E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13864"/>
    <w:multiLevelType w:val="hybridMultilevel"/>
    <w:tmpl w:val="B6E03C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0537E7"/>
    <w:multiLevelType w:val="hybridMultilevel"/>
    <w:tmpl w:val="3C2E1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094A6B"/>
    <w:multiLevelType w:val="multilevel"/>
    <w:tmpl w:val="60A62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C2B48"/>
    <w:multiLevelType w:val="hybridMultilevel"/>
    <w:tmpl w:val="4BCE76BA"/>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7263C9C"/>
    <w:multiLevelType w:val="hybridMultilevel"/>
    <w:tmpl w:val="D0444CFA"/>
    <w:lvl w:ilvl="0">
      <w:start w:val="1"/>
      <w:numFmt w:val="lowerLetter"/>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8331E9A"/>
    <w:multiLevelType w:val="multilevel"/>
    <w:tmpl w:val="5704B01E"/>
    <w:lvl w:ilvl="0">
      <w:start w:val="27"/>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98F4205"/>
    <w:multiLevelType w:val="multilevel"/>
    <w:tmpl w:val="06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71033"/>
    <w:multiLevelType w:val="hybridMultilevel"/>
    <w:tmpl w:val="AB6C0112"/>
    <w:lvl w:ilvl="0">
      <w:start w:val="1"/>
      <w:numFmt w:val="bullet"/>
      <w:pStyle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C274687"/>
    <w:multiLevelType w:val="hybridMultilevel"/>
    <w:tmpl w:val="361A05AA"/>
    <w:lvl w:ilvl="0">
      <w:start w:val="2"/>
      <w:numFmt w:val="upperLetter"/>
      <w:lvlText w:val="%1."/>
      <w:lvlJc w:val="left"/>
      <w:pPr>
        <w:tabs>
          <w:tab w:val="num" w:pos="1830"/>
        </w:tabs>
        <w:ind w:left="1830" w:hanging="111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CE81CAF"/>
    <w:multiLevelType w:val="hybridMultilevel"/>
    <w:tmpl w:val="5DEA54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9D4D8B"/>
    <w:multiLevelType w:val="hybridMultilevel"/>
    <w:tmpl w:val="06C28B28"/>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34555DB"/>
    <w:multiLevelType w:val="hybridMultilevel"/>
    <w:tmpl w:val="A5868D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4451A07"/>
    <w:multiLevelType w:val="hybridMultilevel"/>
    <w:tmpl w:val="A3F2F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6F1A38"/>
    <w:multiLevelType w:val="hybridMultilevel"/>
    <w:tmpl w:val="D5C46C6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874306"/>
    <w:multiLevelType w:val="hybridMultilevel"/>
    <w:tmpl w:val="FD460D1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7D7DA5"/>
    <w:multiLevelType w:val="hybridMultilevel"/>
    <w:tmpl w:val="01101F2A"/>
    <w:lvl w:ilvl="0">
      <w:start w:val="1"/>
      <w:numFmt w:val="decimal"/>
      <w:lvlText w:val="%1."/>
      <w:lvlJc w:val="left"/>
      <w:pPr>
        <w:ind w:left="25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3B7C4F"/>
    <w:multiLevelType w:val="hybridMultilevel"/>
    <w:tmpl w:val="8138E960"/>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9C470AB"/>
    <w:multiLevelType w:val="hybridMultilevel"/>
    <w:tmpl w:val="1B446B86"/>
    <w:lvl w:ilvl="0">
      <w:start w:val="1"/>
      <w:numFmt w:val="bullet"/>
      <w:lvlText w:val=""/>
      <w:lvlJc w:val="left"/>
      <w:pPr>
        <w:ind w:left="1507" w:hanging="360"/>
      </w:pPr>
      <w:rPr>
        <w:rFonts w:ascii="Wingdings" w:hAnsi="Wingdings" w:hint="default"/>
      </w:rPr>
    </w:lvl>
    <w:lvl w:ilvl="1" w:tentative="1">
      <w:start w:val="1"/>
      <w:numFmt w:val="bullet"/>
      <w:lvlText w:val="o"/>
      <w:lvlJc w:val="left"/>
      <w:pPr>
        <w:ind w:left="2227" w:hanging="360"/>
      </w:pPr>
      <w:rPr>
        <w:rFonts w:ascii="Courier New" w:hAnsi="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hint="default"/>
      </w:rPr>
    </w:lvl>
    <w:lvl w:ilvl="8" w:tentative="1">
      <w:start w:val="1"/>
      <w:numFmt w:val="bullet"/>
      <w:lvlText w:val=""/>
      <w:lvlJc w:val="left"/>
      <w:pPr>
        <w:ind w:left="7267" w:hanging="360"/>
      </w:pPr>
      <w:rPr>
        <w:rFonts w:ascii="Wingdings" w:hAnsi="Wingdings" w:hint="default"/>
      </w:rPr>
    </w:lvl>
  </w:abstractNum>
  <w:abstractNum w:abstractNumId="23">
    <w:nsid w:val="2CC361D4"/>
    <w:multiLevelType w:val="hybridMultilevel"/>
    <w:tmpl w:val="A91AE7CC"/>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DD20E6F"/>
    <w:multiLevelType w:val="hybridMultilevel"/>
    <w:tmpl w:val="61D81FF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2E291D62"/>
    <w:multiLevelType w:val="hybridMultilevel"/>
    <w:tmpl w:val="A0185F7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0491C27"/>
    <w:multiLevelType w:val="hybridMultilevel"/>
    <w:tmpl w:val="727EA4C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0B9725C"/>
    <w:multiLevelType w:val="hybridMultilevel"/>
    <w:tmpl w:val="F5E4F4D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5181DEB"/>
    <w:multiLevelType w:val="hybridMultilevel"/>
    <w:tmpl w:val="FF0C0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540E2F"/>
    <w:multiLevelType w:val="hybridMultilevel"/>
    <w:tmpl w:val="9E1C1904"/>
    <w:lvl w:ilvl="0">
      <w:start w:val="0"/>
      <w:numFmt w:val="bullet"/>
      <w:lvlText w:val=""/>
      <w:lvlJc w:val="left"/>
      <w:pPr>
        <w:tabs>
          <w:tab w:val="num" w:pos="792"/>
        </w:tabs>
        <w:ind w:left="792" w:hanging="432"/>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5C755F0"/>
    <w:multiLevelType w:val="multilevel"/>
    <w:tmpl w:val="5BE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746C7C"/>
    <w:multiLevelType w:val="hybridMultilevel"/>
    <w:tmpl w:val="3BA6ACF4"/>
    <w:lvl w:ilvl="0">
      <w:start w:val="0"/>
      <w:numFmt w:val="bullet"/>
      <w:lvlText w:val=""/>
      <w:lvlJc w:val="left"/>
      <w:pPr>
        <w:tabs>
          <w:tab w:val="num" w:pos="792"/>
        </w:tabs>
        <w:ind w:left="792" w:hanging="432"/>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3CED0647"/>
    <w:multiLevelType w:val="hybridMultilevel"/>
    <w:tmpl w:val="E368A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7D2BF5"/>
    <w:multiLevelType w:val="hybridMultilevel"/>
    <w:tmpl w:val="AAF4F3BA"/>
    <w:lvl w:ilvl="0">
      <w:start w:val="0"/>
      <w:numFmt w:val="bullet"/>
      <w:lvlText w:val=""/>
      <w:lvlJc w:val="left"/>
      <w:pPr>
        <w:tabs>
          <w:tab w:val="num" w:pos="792"/>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D7F7232"/>
    <w:multiLevelType w:val="hybridMultilevel"/>
    <w:tmpl w:val="DB8E95A0"/>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59072A5"/>
    <w:multiLevelType w:val="hybridMultilevel"/>
    <w:tmpl w:val="F8964C6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A3B05C7"/>
    <w:multiLevelType w:val="hybridMultilevel"/>
    <w:tmpl w:val="9FD2D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1707736"/>
    <w:multiLevelType w:val="hybridMultilevel"/>
    <w:tmpl w:val="4B52E6E0"/>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4B44F79"/>
    <w:multiLevelType w:val="hybridMultilevel"/>
    <w:tmpl w:val="3490CC3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511310E"/>
    <w:multiLevelType w:val="hybridMultilevel"/>
    <w:tmpl w:val="3858119E"/>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6D72C42"/>
    <w:multiLevelType w:val="hybridMultilevel"/>
    <w:tmpl w:val="12D289F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5BC275F0"/>
    <w:multiLevelType w:val="hybridMultilevel"/>
    <w:tmpl w:val="25407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1276FEB"/>
    <w:multiLevelType w:val="hybridMultilevel"/>
    <w:tmpl w:val="B644D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3B0B3E"/>
    <w:multiLevelType w:val="hybridMultilevel"/>
    <w:tmpl w:val="A3F2FF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7D80BA8"/>
    <w:multiLevelType w:val="hybridMultilevel"/>
    <w:tmpl w:val="EBA0DCEC"/>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98273FF"/>
    <w:multiLevelType w:val="hybridMultilevel"/>
    <w:tmpl w:val="7C80BB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A5B0437"/>
    <w:multiLevelType w:val="multilevel"/>
    <w:tmpl w:val="A65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C3902BE"/>
    <w:multiLevelType w:val="hybridMultilevel"/>
    <w:tmpl w:val="2770376C"/>
    <w:lvl w:ilvl="0">
      <w:start w:val="1"/>
      <w:numFmt w:val="decimal"/>
      <w:lvlText w:val="%1)"/>
      <w:lvlJc w:val="left"/>
      <w:pPr>
        <w:tabs>
          <w:tab w:val="num" w:pos="720"/>
        </w:tabs>
        <w:ind w:left="72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sz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6D3A0656"/>
    <w:multiLevelType w:val="multilevel"/>
    <w:tmpl w:val="A20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577731"/>
    <w:multiLevelType w:val="hybridMultilevel"/>
    <w:tmpl w:val="B4887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037CA2"/>
    <w:multiLevelType w:val="hybridMultilevel"/>
    <w:tmpl w:val="7CDEC2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2">
    <w:nsid w:val="75341C57"/>
    <w:multiLevelType w:val="hybridMultilevel"/>
    <w:tmpl w:val="D69A51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D7327C"/>
    <w:multiLevelType w:val="hybridMultilevel"/>
    <w:tmpl w:val="0A4A3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326F3A"/>
    <w:multiLevelType w:val="hybridMultilevel"/>
    <w:tmpl w:val="A3F2F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692AB7"/>
    <w:multiLevelType w:val="hybridMultilevel"/>
    <w:tmpl w:val="CC788C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526F65"/>
    <w:multiLevelType w:val="hybridMultilevel"/>
    <w:tmpl w:val="7B861F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A410AF"/>
    <w:multiLevelType w:val="hybridMultilevel"/>
    <w:tmpl w:val="9F5C2518"/>
    <w:lvl w:ilvl="0">
      <w:start w:val="0"/>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6599081">
    <w:abstractNumId w:val="12"/>
  </w:num>
  <w:num w:numId="2" w16cid:durableId="119275605">
    <w:abstractNumId w:val="30"/>
  </w:num>
  <w:num w:numId="3" w16cid:durableId="55057184">
    <w:abstractNumId w:val="32"/>
  </w:num>
  <w:num w:numId="4" w16cid:durableId="2037190461">
    <w:abstractNumId w:val="34"/>
  </w:num>
  <w:num w:numId="5" w16cid:durableId="1911571422">
    <w:abstractNumId w:val="38"/>
  </w:num>
  <w:num w:numId="6" w16cid:durableId="721639540">
    <w:abstractNumId w:val="40"/>
  </w:num>
  <w:num w:numId="7" w16cid:durableId="896163689">
    <w:abstractNumId w:val="21"/>
  </w:num>
  <w:num w:numId="8" w16cid:durableId="106237341">
    <w:abstractNumId w:val="45"/>
  </w:num>
  <w:num w:numId="9" w16cid:durableId="771508425">
    <w:abstractNumId w:val="8"/>
  </w:num>
  <w:num w:numId="10" w16cid:durableId="892237557">
    <w:abstractNumId w:val="57"/>
  </w:num>
  <w:num w:numId="11" w16cid:durableId="931355032">
    <w:abstractNumId w:val="24"/>
  </w:num>
  <w:num w:numId="12" w16cid:durableId="585498625">
    <w:abstractNumId w:val="51"/>
  </w:num>
  <w:num w:numId="13" w16cid:durableId="1854148279">
    <w:abstractNumId w:val="46"/>
  </w:num>
  <w:num w:numId="14" w16cid:durableId="1157765562">
    <w:abstractNumId w:val="23"/>
  </w:num>
  <w:num w:numId="15" w16cid:durableId="458260118">
    <w:abstractNumId w:val="15"/>
  </w:num>
  <w:num w:numId="16" w16cid:durableId="1105073415">
    <w:abstractNumId w:val="31"/>
  </w:num>
  <w:num w:numId="17" w16cid:durableId="1753696697">
    <w:abstractNumId w:val="49"/>
  </w:num>
  <w:num w:numId="18" w16cid:durableId="534735272">
    <w:abstractNumId w:val="11"/>
  </w:num>
  <w:num w:numId="19" w16cid:durableId="1220434940">
    <w:abstractNumId w:val="10"/>
  </w:num>
  <w:num w:numId="20" w16cid:durableId="886986837">
    <w:abstractNumId w:val="50"/>
  </w:num>
  <w:num w:numId="21" w16cid:durableId="161899700">
    <w:abstractNumId w:val="53"/>
  </w:num>
  <w:num w:numId="22" w16cid:durableId="314720619">
    <w:abstractNumId w:val="55"/>
  </w:num>
  <w:num w:numId="23" w16cid:durableId="633488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1727270">
    <w:abstractNumId w:val="48"/>
  </w:num>
  <w:num w:numId="25" w16cid:durableId="1375039734">
    <w:abstractNumId w:val="13"/>
  </w:num>
  <w:num w:numId="26" w16cid:durableId="389813491">
    <w:abstractNumId w:val="2"/>
  </w:num>
  <w:num w:numId="27" w16cid:durableId="537664561">
    <w:abstractNumId w:val="47"/>
  </w:num>
  <w:num w:numId="28" w16cid:durableId="118456022">
    <w:abstractNumId w:val="16"/>
  </w:num>
  <w:num w:numId="29" w16cid:durableId="279537601">
    <w:abstractNumId w:val="6"/>
  </w:num>
  <w:num w:numId="30" w16cid:durableId="249387453">
    <w:abstractNumId w:val="5"/>
  </w:num>
  <w:num w:numId="31" w16cid:durableId="397896286">
    <w:abstractNumId w:val="28"/>
  </w:num>
  <w:num w:numId="32" w16cid:durableId="510871927">
    <w:abstractNumId w:val="35"/>
  </w:num>
  <w:num w:numId="33" w16cid:durableId="2105761280">
    <w:abstractNumId w:val="42"/>
  </w:num>
  <w:num w:numId="34" w16cid:durableId="862866533">
    <w:abstractNumId w:val="37"/>
  </w:num>
  <w:num w:numId="35" w16cid:durableId="859271142">
    <w:abstractNumId w:val="33"/>
  </w:num>
  <w:num w:numId="36" w16cid:durableId="89667033">
    <w:abstractNumId w:val="3"/>
  </w:num>
  <w:num w:numId="37" w16cid:durableId="1648436901">
    <w:abstractNumId w:val="25"/>
  </w:num>
  <w:num w:numId="38" w16cid:durableId="1333334557">
    <w:abstractNumId w:val="18"/>
  </w:num>
  <w:num w:numId="39" w16cid:durableId="642731164">
    <w:abstractNumId w:val="52"/>
  </w:num>
  <w:num w:numId="40" w16cid:durableId="1250430014">
    <w:abstractNumId w:val="27"/>
  </w:num>
  <w:num w:numId="41" w16cid:durableId="904879671">
    <w:abstractNumId w:val="26"/>
  </w:num>
  <w:num w:numId="42" w16cid:durableId="1836068180">
    <w:abstractNumId w:val="20"/>
  </w:num>
  <w:num w:numId="43" w16cid:durableId="1259023546">
    <w:abstractNumId w:val="19"/>
    <w:lvlOverride w:ilvl="0"/>
    <w:lvlOverride w:ilvl="1">
      <w:startOverride w:val="1"/>
    </w:lvlOverride>
    <w:lvlOverride w:ilvl="2"/>
    <w:lvlOverride w:ilvl="3"/>
    <w:lvlOverride w:ilvl="4"/>
    <w:lvlOverride w:ilvl="5"/>
    <w:lvlOverride w:ilvl="6"/>
    <w:lvlOverride w:ilvl="7"/>
    <w:lvlOverride w:ilvl="8"/>
  </w:num>
  <w:num w:numId="44" w16cid:durableId="1934245647">
    <w:abstractNumId w:val="1"/>
  </w:num>
  <w:num w:numId="45" w16cid:durableId="1715084459">
    <w:abstractNumId w:val="0"/>
  </w:num>
  <w:num w:numId="46" w16cid:durableId="1074157503">
    <w:abstractNumId w:val="4"/>
  </w:num>
  <w:num w:numId="47" w16cid:durableId="1803646211">
    <w:abstractNumId w:val="54"/>
  </w:num>
  <w:num w:numId="48" w16cid:durableId="334387410">
    <w:abstractNumId w:val="17"/>
  </w:num>
  <w:num w:numId="49" w16cid:durableId="31226601">
    <w:abstractNumId w:val="7"/>
  </w:num>
  <w:num w:numId="50" w16cid:durableId="2434703">
    <w:abstractNumId w:val="29"/>
  </w:num>
  <w:num w:numId="51" w16cid:durableId="1317149622">
    <w:abstractNumId w:val="44"/>
  </w:num>
  <w:num w:numId="52" w16cid:durableId="969164288">
    <w:abstractNumId w:val="36"/>
  </w:num>
  <w:num w:numId="53" w16cid:durableId="1566408394">
    <w:abstractNumId w:val="56"/>
  </w:num>
  <w:num w:numId="54" w16cid:durableId="458452391">
    <w:abstractNumId w:val="22"/>
  </w:num>
  <w:num w:numId="55" w16cid:durableId="1837888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6115412">
    <w:abstractNumId w:val="14"/>
  </w:num>
  <w:num w:numId="57" w16cid:durableId="199821570">
    <w:abstractNumId w:val="39"/>
  </w:num>
  <w:num w:numId="58" w16cid:durableId="890270820">
    <w:abstractNumId w:val="43"/>
  </w:num>
  <w:num w:numId="59" w16cid:durableId="54738181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B"/>
    <w:rsid w:val="000005B7"/>
    <w:rsid w:val="0000092C"/>
    <w:rsid w:val="0000168F"/>
    <w:rsid w:val="00001A57"/>
    <w:rsid w:val="00001D0B"/>
    <w:rsid w:val="000022D2"/>
    <w:rsid w:val="00002386"/>
    <w:rsid w:val="0000261F"/>
    <w:rsid w:val="00002AA7"/>
    <w:rsid w:val="00002B16"/>
    <w:rsid w:val="00002E3C"/>
    <w:rsid w:val="00004815"/>
    <w:rsid w:val="00004B9E"/>
    <w:rsid w:val="00006E2A"/>
    <w:rsid w:val="00006E73"/>
    <w:rsid w:val="000072E2"/>
    <w:rsid w:val="0000731D"/>
    <w:rsid w:val="00007474"/>
    <w:rsid w:val="000100A5"/>
    <w:rsid w:val="0001041F"/>
    <w:rsid w:val="00010C73"/>
    <w:rsid w:val="00010E27"/>
    <w:rsid w:val="0001116E"/>
    <w:rsid w:val="00011554"/>
    <w:rsid w:val="00011590"/>
    <w:rsid w:val="0001258B"/>
    <w:rsid w:val="0001287D"/>
    <w:rsid w:val="00012A04"/>
    <w:rsid w:val="00012BB8"/>
    <w:rsid w:val="00012DC1"/>
    <w:rsid w:val="000135A2"/>
    <w:rsid w:val="00013EF0"/>
    <w:rsid w:val="00014A4A"/>
    <w:rsid w:val="00014D29"/>
    <w:rsid w:val="00014EFE"/>
    <w:rsid w:val="00015103"/>
    <w:rsid w:val="00015A43"/>
    <w:rsid w:val="00015D0D"/>
    <w:rsid w:val="00015E58"/>
    <w:rsid w:val="00015E83"/>
    <w:rsid w:val="00021562"/>
    <w:rsid w:val="000218B4"/>
    <w:rsid w:val="00022776"/>
    <w:rsid w:val="00022BCA"/>
    <w:rsid w:val="00023CD0"/>
    <w:rsid w:val="000247B3"/>
    <w:rsid w:val="00024D74"/>
    <w:rsid w:val="0002634D"/>
    <w:rsid w:val="00026C69"/>
    <w:rsid w:val="0002741E"/>
    <w:rsid w:val="00027B0B"/>
    <w:rsid w:val="00027BB1"/>
    <w:rsid w:val="00030547"/>
    <w:rsid w:val="00030805"/>
    <w:rsid w:val="00030C8A"/>
    <w:rsid w:val="00031061"/>
    <w:rsid w:val="000310E8"/>
    <w:rsid w:val="000312A8"/>
    <w:rsid w:val="00031364"/>
    <w:rsid w:val="000317DF"/>
    <w:rsid w:val="00031E52"/>
    <w:rsid w:val="000322B2"/>
    <w:rsid w:val="00032587"/>
    <w:rsid w:val="00032776"/>
    <w:rsid w:val="00032E5F"/>
    <w:rsid w:val="00033102"/>
    <w:rsid w:val="000331A0"/>
    <w:rsid w:val="000337B0"/>
    <w:rsid w:val="00033C7F"/>
    <w:rsid w:val="00033E3A"/>
    <w:rsid w:val="000349EC"/>
    <w:rsid w:val="00035011"/>
    <w:rsid w:val="00035630"/>
    <w:rsid w:val="00035C14"/>
    <w:rsid w:val="00035D24"/>
    <w:rsid w:val="000366D7"/>
    <w:rsid w:val="00036D56"/>
    <w:rsid w:val="000370C4"/>
    <w:rsid w:val="000374D4"/>
    <w:rsid w:val="000376E2"/>
    <w:rsid w:val="00037B38"/>
    <w:rsid w:val="00037EFF"/>
    <w:rsid w:val="0004079A"/>
    <w:rsid w:val="0004090F"/>
    <w:rsid w:val="00040B77"/>
    <w:rsid w:val="00040C4B"/>
    <w:rsid w:val="00041535"/>
    <w:rsid w:val="000415B4"/>
    <w:rsid w:val="00042834"/>
    <w:rsid w:val="00044E53"/>
    <w:rsid w:val="0004502A"/>
    <w:rsid w:val="00046568"/>
    <w:rsid w:val="000469D6"/>
    <w:rsid w:val="00047F98"/>
    <w:rsid w:val="000504D6"/>
    <w:rsid w:val="00050F03"/>
    <w:rsid w:val="000530E6"/>
    <w:rsid w:val="000535FD"/>
    <w:rsid w:val="00053B93"/>
    <w:rsid w:val="00053BC1"/>
    <w:rsid w:val="00053CB4"/>
    <w:rsid w:val="00053F78"/>
    <w:rsid w:val="00054917"/>
    <w:rsid w:val="000549EB"/>
    <w:rsid w:val="00055566"/>
    <w:rsid w:val="000561FD"/>
    <w:rsid w:val="000563FC"/>
    <w:rsid w:val="000570EF"/>
    <w:rsid w:val="00057560"/>
    <w:rsid w:val="00057B08"/>
    <w:rsid w:val="00057C6C"/>
    <w:rsid w:val="00060784"/>
    <w:rsid w:val="000622A7"/>
    <w:rsid w:val="00062631"/>
    <w:rsid w:val="000628CE"/>
    <w:rsid w:val="0006298D"/>
    <w:rsid w:val="00062C69"/>
    <w:rsid w:val="00064F2D"/>
    <w:rsid w:val="000652DF"/>
    <w:rsid w:val="000656C9"/>
    <w:rsid w:val="0006605B"/>
    <w:rsid w:val="00066A45"/>
    <w:rsid w:val="00066B30"/>
    <w:rsid w:val="000677E1"/>
    <w:rsid w:val="00067B67"/>
    <w:rsid w:val="00070256"/>
    <w:rsid w:val="000706C0"/>
    <w:rsid w:val="00070F8B"/>
    <w:rsid w:val="000712CE"/>
    <w:rsid w:val="000715FC"/>
    <w:rsid w:val="00071B48"/>
    <w:rsid w:val="00071D83"/>
    <w:rsid w:val="00072150"/>
    <w:rsid w:val="00072EA6"/>
    <w:rsid w:val="00073632"/>
    <w:rsid w:val="00074427"/>
    <w:rsid w:val="000747C2"/>
    <w:rsid w:val="0007491C"/>
    <w:rsid w:val="00074BD5"/>
    <w:rsid w:val="000755AA"/>
    <w:rsid w:val="00075C81"/>
    <w:rsid w:val="00075DCE"/>
    <w:rsid w:val="000761E8"/>
    <w:rsid w:val="00076567"/>
    <w:rsid w:val="000770FC"/>
    <w:rsid w:val="00077DA6"/>
    <w:rsid w:val="00080DF9"/>
    <w:rsid w:val="00081D59"/>
    <w:rsid w:val="00082301"/>
    <w:rsid w:val="00082443"/>
    <w:rsid w:val="00082E6C"/>
    <w:rsid w:val="00083A2A"/>
    <w:rsid w:val="00084C90"/>
    <w:rsid w:val="0008582B"/>
    <w:rsid w:val="000867F2"/>
    <w:rsid w:val="00086925"/>
    <w:rsid w:val="0008723E"/>
    <w:rsid w:val="000879B5"/>
    <w:rsid w:val="00087E58"/>
    <w:rsid w:val="00090777"/>
    <w:rsid w:val="00090AD9"/>
    <w:rsid w:val="00090E25"/>
    <w:rsid w:val="00090E39"/>
    <w:rsid w:val="000913A1"/>
    <w:rsid w:val="00091BD3"/>
    <w:rsid w:val="000926F3"/>
    <w:rsid w:val="00092B18"/>
    <w:rsid w:val="00093C0F"/>
    <w:rsid w:val="0009442B"/>
    <w:rsid w:val="00094DF8"/>
    <w:rsid w:val="00094E4D"/>
    <w:rsid w:val="000951F7"/>
    <w:rsid w:val="000956FA"/>
    <w:rsid w:val="00096617"/>
    <w:rsid w:val="000A0A8C"/>
    <w:rsid w:val="000A1B69"/>
    <w:rsid w:val="000A2083"/>
    <w:rsid w:val="000A246A"/>
    <w:rsid w:val="000A2521"/>
    <w:rsid w:val="000A2D62"/>
    <w:rsid w:val="000A3335"/>
    <w:rsid w:val="000A348C"/>
    <w:rsid w:val="000A35F5"/>
    <w:rsid w:val="000A3898"/>
    <w:rsid w:val="000A4246"/>
    <w:rsid w:val="000A46C3"/>
    <w:rsid w:val="000A4F44"/>
    <w:rsid w:val="000A503E"/>
    <w:rsid w:val="000A6560"/>
    <w:rsid w:val="000A6756"/>
    <w:rsid w:val="000A68C7"/>
    <w:rsid w:val="000A6E36"/>
    <w:rsid w:val="000A7138"/>
    <w:rsid w:val="000B07B0"/>
    <w:rsid w:val="000B105B"/>
    <w:rsid w:val="000B1B9A"/>
    <w:rsid w:val="000B1E08"/>
    <w:rsid w:val="000B241B"/>
    <w:rsid w:val="000B270C"/>
    <w:rsid w:val="000B2D03"/>
    <w:rsid w:val="000B2F8D"/>
    <w:rsid w:val="000B33FF"/>
    <w:rsid w:val="000B4212"/>
    <w:rsid w:val="000B4CB2"/>
    <w:rsid w:val="000B4CB8"/>
    <w:rsid w:val="000B4DB4"/>
    <w:rsid w:val="000B550C"/>
    <w:rsid w:val="000B74A3"/>
    <w:rsid w:val="000C0394"/>
    <w:rsid w:val="000C0EA8"/>
    <w:rsid w:val="000C0EFE"/>
    <w:rsid w:val="000C0FB1"/>
    <w:rsid w:val="000C12BA"/>
    <w:rsid w:val="000C1532"/>
    <w:rsid w:val="000C1A78"/>
    <w:rsid w:val="000C253C"/>
    <w:rsid w:val="000C25BF"/>
    <w:rsid w:val="000C29E5"/>
    <w:rsid w:val="000C3BFE"/>
    <w:rsid w:val="000C42A4"/>
    <w:rsid w:val="000C4678"/>
    <w:rsid w:val="000C4C51"/>
    <w:rsid w:val="000C648C"/>
    <w:rsid w:val="000C7090"/>
    <w:rsid w:val="000C78A1"/>
    <w:rsid w:val="000C7A5E"/>
    <w:rsid w:val="000D1132"/>
    <w:rsid w:val="000D1540"/>
    <w:rsid w:val="000D1C15"/>
    <w:rsid w:val="000D1EC6"/>
    <w:rsid w:val="000D2009"/>
    <w:rsid w:val="000D2159"/>
    <w:rsid w:val="000D26DC"/>
    <w:rsid w:val="000D3A67"/>
    <w:rsid w:val="000D4F1D"/>
    <w:rsid w:val="000D53E6"/>
    <w:rsid w:val="000D7B9E"/>
    <w:rsid w:val="000E0867"/>
    <w:rsid w:val="000E1679"/>
    <w:rsid w:val="000E1BEA"/>
    <w:rsid w:val="000E1D89"/>
    <w:rsid w:val="000E2616"/>
    <w:rsid w:val="000E2826"/>
    <w:rsid w:val="000E2BB0"/>
    <w:rsid w:val="000E317E"/>
    <w:rsid w:val="000E3FAC"/>
    <w:rsid w:val="000E5C65"/>
    <w:rsid w:val="000E60FE"/>
    <w:rsid w:val="000E6379"/>
    <w:rsid w:val="000E6B02"/>
    <w:rsid w:val="000E6BFC"/>
    <w:rsid w:val="000E6C1D"/>
    <w:rsid w:val="000E6C52"/>
    <w:rsid w:val="000E742A"/>
    <w:rsid w:val="000E76E3"/>
    <w:rsid w:val="000E7A9F"/>
    <w:rsid w:val="000F0A5F"/>
    <w:rsid w:val="000F0A8A"/>
    <w:rsid w:val="000F0F89"/>
    <w:rsid w:val="000F149E"/>
    <w:rsid w:val="000F1658"/>
    <w:rsid w:val="000F2304"/>
    <w:rsid w:val="000F2EB8"/>
    <w:rsid w:val="000F3160"/>
    <w:rsid w:val="000F332B"/>
    <w:rsid w:val="000F3853"/>
    <w:rsid w:val="000F444F"/>
    <w:rsid w:val="000F4703"/>
    <w:rsid w:val="000F5109"/>
    <w:rsid w:val="000F532E"/>
    <w:rsid w:val="000F5338"/>
    <w:rsid w:val="000F554C"/>
    <w:rsid w:val="000F5AA7"/>
    <w:rsid w:val="000F6E2A"/>
    <w:rsid w:val="000F7391"/>
    <w:rsid w:val="000F7C13"/>
    <w:rsid w:val="0010184E"/>
    <w:rsid w:val="00101D37"/>
    <w:rsid w:val="001024C3"/>
    <w:rsid w:val="00102583"/>
    <w:rsid w:val="00102E40"/>
    <w:rsid w:val="00102F83"/>
    <w:rsid w:val="00103BF8"/>
    <w:rsid w:val="0010477F"/>
    <w:rsid w:val="00104BE7"/>
    <w:rsid w:val="00104C22"/>
    <w:rsid w:val="00104EFF"/>
    <w:rsid w:val="0010541A"/>
    <w:rsid w:val="00105B67"/>
    <w:rsid w:val="00106A10"/>
    <w:rsid w:val="001070CA"/>
    <w:rsid w:val="001070F8"/>
    <w:rsid w:val="00107668"/>
    <w:rsid w:val="00107E2E"/>
    <w:rsid w:val="00107F1A"/>
    <w:rsid w:val="00110AC2"/>
    <w:rsid w:val="001115F5"/>
    <w:rsid w:val="001121D5"/>
    <w:rsid w:val="00112FBA"/>
    <w:rsid w:val="0011317F"/>
    <w:rsid w:val="00113411"/>
    <w:rsid w:val="0011355C"/>
    <w:rsid w:val="0011380C"/>
    <w:rsid w:val="00115A03"/>
    <w:rsid w:val="0011638C"/>
    <w:rsid w:val="00116A85"/>
    <w:rsid w:val="00117F2C"/>
    <w:rsid w:val="00117F82"/>
    <w:rsid w:val="001206CB"/>
    <w:rsid w:val="00120819"/>
    <w:rsid w:val="00121033"/>
    <w:rsid w:val="00121351"/>
    <w:rsid w:val="00121D9F"/>
    <w:rsid w:val="00121F24"/>
    <w:rsid w:val="00122374"/>
    <w:rsid w:val="00122CD2"/>
    <w:rsid w:val="00125595"/>
    <w:rsid w:val="00125D8A"/>
    <w:rsid w:val="00126142"/>
    <w:rsid w:val="00127C14"/>
    <w:rsid w:val="0013046F"/>
    <w:rsid w:val="001304DA"/>
    <w:rsid w:val="00130F1C"/>
    <w:rsid w:val="00132765"/>
    <w:rsid w:val="00133DC7"/>
    <w:rsid w:val="001341F7"/>
    <w:rsid w:val="0013781B"/>
    <w:rsid w:val="001378FB"/>
    <w:rsid w:val="00137D67"/>
    <w:rsid w:val="00140679"/>
    <w:rsid w:val="00140689"/>
    <w:rsid w:val="00141AB9"/>
    <w:rsid w:val="001420F0"/>
    <w:rsid w:val="001428A6"/>
    <w:rsid w:val="001429CF"/>
    <w:rsid w:val="00144CEF"/>
    <w:rsid w:val="00145103"/>
    <w:rsid w:val="001451C6"/>
    <w:rsid w:val="001458DD"/>
    <w:rsid w:val="00145A1C"/>
    <w:rsid w:val="00145B7A"/>
    <w:rsid w:val="0014608A"/>
    <w:rsid w:val="001463BB"/>
    <w:rsid w:val="001464A3"/>
    <w:rsid w:val="00146B0A"/>
    <w:rsid w:val="0014793A"/>
    <w:rsid w:val="00150DB2"/>
    <w:rsid w:val="00150FAB"/>
    <w:rsid w:val="0015132B"/>
    <w:rsid w:val="00151425"/>
    <w:rsid w:val="00151B55"/>
    <w:rsid w:val="00151F2C"/>
    <w:rsid w:val="00152521"/>
    <w:rsid w:val="001525F1"/>
    <w:rsid w:val="00152912"/>
    <w:rsid w:val="00153432"/>
    <w:rsid w:val="00153498"/>
    <w:rsid w:val="001538CC"/>
    <w:rsid w:val="00153935"/>
    <w:rsid w:val="00154962"/>
    <w:rsid w:val="001549C6"/>
    <w:rsid w:val="00154F4D"/>
    <w:rsid w:val="001551EF"/>
    <w:rsid w:val="001566DB"/>
    <w:rsid w:val="00156758"/>
    <w:rsid w:val="00156F1B"/>
    <w:rsid w:val="00157009"/>
    <w:rsid w:val="001573BB"/>
    <w:rsid w:val="001576EC"/>
    <w:rsid w:val="00157FED"/>
    <w:rsid w:val="001604FD"/>
    <w:rsid w:val="00160640"/>
    <w:rsid w:val="00161296"/>
    <w:rsid w:val="001615FF"/>
    <w:rsid w:val="00161F5D"/>
    <w:rsid w:val="001625BF"/>
    <w:rsid w:val="00162ABF"/>
    <w:rsid w:val="00162B7E"/>
    <w:rsid w:val="0016350B"/>
    <w:rsid w:val="001642E3"/>
    <w:rsid w:val="00164651"/>
    <w:rsid w:val="001648DE"/>
    <w:rsid w:val="00164CA6"/>
    <w:rsid w:val="00164D54"/>
    <w:rsid w:val="00165526"/>
    <w:rsid w:val="0016582F"/>
    <w:rsid w:val="001672EC"/>
    <w:rsid w:val="00167CA4"/>
    <w:rsid w:val="00170233"/>
    <w:rsid w:val="00170613"/>
    <w:rsid w:val="00170D35"/>
    <w:rsid w:val="00171023"/>
    <w:rsid w:val="00171B50"/>
    <w:rsid w:val="00171C50"/>
    <w:rsid w:val="001720D9"/>
    <w:rsid w:val="001722BA"/>
    <w:rsid w:val="00172E2D"/>
    <w:rsid w:val="0017398F"/>
    <w:rsid w:val="00173AF7"/>
    <w:rsid w:val="00173B02"/>
    <w:rsid w:val="0017434F"/>
    <w:rsid w:val="00174F11"/>
    <w:rsid w:val="0017557A"/>
    <w:rsid w:val="00175A8F"/>
    <w:rsid w:val="00175EB0"/>
    <w:rsid w:val="0017601C"/>
    <w:rsid w:val="001760EA"/>
    <w:rsid w:val="001778DE"/>
    <w:rsid w:val="00177B99"/>
    <w:rsid w:val="00180A38"/>
    <w:rsid w:val="00180E1A"/>
    <w:rsid w:val="00180F9D"/>
    <w:rsid w:val="00181589"/>
    <w:rsid w:val="00181BCC"/>
    <w:rsid w:val="00181EF1"/>
    <w:rsid w:val="00182623"/>
    <w:rsid w:val="001828E5"/>
    <w:rsid w:val="00182E03"/>
    <w:rsid w:val="00183926"/>
    <w:rsid w:val="00183A9F"/>
    <w:rsid w:val="00183B9E"/>
    <w:rsid w:val="00183C6D"/>
    <w:rsid w:val="00184277"/>
    <w:rsid w:val="00184601"/>
    <w:rsid w:val="00185295"/>
    <w:rsid w:val="00185B9F"/>
    <w:rsid w:val="00185D69"/>
    <w:rsid w:val="00186100"/>
    <w:rsid w:val="0018695A"/>
    <w:rsid w:val="00187419"/>
    <w:rsid w:val="00191259"/>
    <w:rsid w:val="0019217B"/>
    <w:rsid w:val="00192373"/>
    <w:rsid w:val="00192B3B"/>
    <w:rsid w:val="00193146"/>
    <w:rsid w:val="001938EF"/>
    <w:rsid w:val="00194061"/>
    <w:rsid w:val="001948D9"/>
    <w:rsid w:val="00195F54"/>
    <w:rsid w:val="001966FB"/>
    <w:rsid w:val="00196B5D"/>
    <w:rsid w:val="001970E8"/>
    <w:rsid w:val="0019710A"/>
    <w:rsid w:val="001971B8"/>
    <w:rsid w:val="001A04EE"/>
    <w:rsid w:val="001A132E"/>
    <w:rsid w:val="001A179F"/>
    <w:rsid w:val="001A1FAE"/>
    <w:rsid w:val="001A2312"/>
    <w:rsid w:val="001A27FE"/>
    <w:rsid w:val="001A40F5"/>
    <w:rsid w:val="001A4940"/>
    <w:rsid w:val="001A4A9A"/>
    <w:rsid w:val="001A542E"/>
    <w:rsid w:val="001A5825"/>
    <w:rsid w:val="001A585A"/>
    <w:rsid w:val="001A58BE"/>
    <w:rsid w:val="001A58D0"/>
    <w:rsid w:val="001A5D2A"/>
    <w:rsid w:val="001A5F6C"/>
    <w:rsid w:val="001A67B8"/>
    <w:rsid w:val="001A6989"/>
    <w:rsid w:val="001A72EB"/>
    <w:rsid w:val="001B019F"/>
    <w:rsid w:val="001B0A04"/>
    <w:rsid w:val="001B0A70"/>
    <w:rsid w:val="001B104D"/>
    <w:rsid w:val="001B3A97"/>
    <w:rsid w:val="001B3BD0"/>
    <w:rsid w:val="001B3C27"/>
    <w:rsid w:val="001B485E"/>
    <w:rsid w:val="001B49EC"/>
    <w:rsid w:val="001B5782"/>
    <w:rsid w:val="001B5BBE"/>
    <w:rsid w:val="001B5E89"/>
    <w:rsid w:val="001B6781"/>
    <w:rsid w:val="001B6C37"/>
    <w:rsid w:val="001B745F"/>
    <w:rsid w:val="001C1108"/>
    <w:rsid w:val="001C138F"/>
    <w:rsid w:val="001C2E1C"/>
    <w:rsid w:val="001C2E86"/>
    <w:rsid w:val="001C3510"/>
    <w:rsid w:val="001C43B0"/>
    <w:rsid w:val="001C4A3F"/>
    <w:rsid w:val="001C5B56"/>
    <w:rsid w:val="001C5C67"/>
    <w:rsid w:val="001C5F97"/>
    <w:rsid w:val="001C6A2B"/>
    <w:rsid w:val="001C7047"/>
    <w:rsid w:val="001D02DD"/>
    <w:rsid w:val="001D0ACA"/>
    <w:rsid w:val="001D1478"/>
    <w:rsid w:val="001D1E67"/>
    <w:rsid w:val="001D209F"/>
    <w:rsid w:val="001D23E6"/>
    <w:rsid w:val="001D29B9"/>
    <w:rsid w:val="001D2BAD"/>
    <w:rsid w:val="001D2E8E"/>
    <w:rsid w:val="001D3089"/>
    <w:rsid w:val="001D31B4"/>
    <w:rsid w:val="001D47D0"/>
    <w:rsid w:val="001D4BF3"/>
    <w:rsid w:val="001D4CDE"/>
    <w:rsid w:val="001D4F98"/>
    <w:rsid w:val="001D5321"/>
    <w:rsid w:val="001D6637"/>
    <w:rsid w:val="001D7763"/>
    <w:rsid w:val="001E0082"/>
    <w:rsid w:val="001E1276"/>
    <w:rsid w:val="001E1896"/>
    <w:rsid w:val="001E2979"/>
    <w:rsid w:val="001E3194"/>
    <w:rsid w:val="001E3C79"/>
    <w:rsid w:val="001E3CB6"/>
    <w:rsid w:val="001E46FD"/>
    <w:rsid w:val="001E5070"/>
    <w:rsid w:val="001E53B1"/>
    <w:rsid w:val="001E6021"/>
    <w:rsid w:val="001E77E1"/>
    <w:rsid w:val="001E79CA"/>
    <w:rsid w:val="001E7E81"/>
    <w:rsid w:val="001F05A6"/>
    <w:rsid w:val="001F13E3"/>
    <w:rsid w:val="001F1433"/>
    <w:rsid w:val="001F1E01"/>
    <w:rsid w:val="001F2886"/>
    <w:rsid w:val="001F36F8"/>
    <w:rsid w:val="001F3DA4"/>
    <w:rsid w:val="001F48DB"/>
    <w:rsid w:val="001F48F0"/>
    <w:rsid w:val="001F5356"/>
    <w:rsid w:val="001F5D95"/>
    <w:rsid w:val="001F6F4D"/>
    <w:rsid w:val="001F7516"/>
    <w:rsid w:val="00200687"/>
    <w:rsid w:val="00200B34"/>
    <w:rsid w:val="00200D85"/>
    <w:rsid w:val="00201287"/>
    <w:rsid w:val="00202897"/>
    <w:rsid w:val="0020345D"/>
    <w:rsid w:val="00203B3E"/>
    <w:rsid w:val="002046F2"/>
    <w:rsid w:val="00204A0C"/>
    <w:rsid w:val="00204E56"/>
    <w:rsid w:val="00205739"/>
    <w:rsid w:val="00205BB6"/>
    <w:rsid w:val="002068A4"/>
    <w:rsid w:val="00207417"/>
    <w:rsid w:val="00207CFE"/>
    <w:rsid w:val="00211483"/>
    <w:rsid w:val="002119F3"/>
    <w:rsid w:val="00211E20"/>
    <w:rsid w:val="00212285"/>
    <w:rsid w:val="00212E6F"/>
    <w:rsid w:val="0021421D"/>
    <w:rsid w:val="002144BD"/>
    <w:rsid w:val="0021631A"/>
    <w:rsid w:val="002169B4"/>
    <w:rsid w:val="002176E0"/>
    <w:rsid w:val="00217EEB"/>
    <w:rsid w:val="00220577"/>
    <w:rsid w:val="00220C9B"/>
    <w:rsid w:val="00220F75"/>
    <w:rsid w:val="00221282"/>
    <w:rsid w:val="00221384"/>
    <w:rsid w:val="002216F4"/>
    <w:rsid w:val="002220A1"/>
    <w:rsid w:val="0022223C"/>
    <w:rsid w:val="00223F04"/>
    <w:rsid w:val="0022477C"/>
    <w:rsid w:val="002254C6"/>
    <w:rsid w:val="00225C3B"/>
    <w:rsid w:val="00226169"/>
    <w:rsid w:val="002264C2"/>
    <w:rsid w:val="00226976"/>
    <w:rsid w:val="00226C88"/>
    <w:rsid w:val="002274E3"/>
    <w:rsid w:val="0023010A"/>
    <w:rsid w:val="00230565"/>
    <w:rsid w:val="002306BF"/>
    <w:rsid w:val="0023152B"/>
    <w:rsid w:val="00232AC6"/>
    <w:rsid w:val="002333F2"/>
    <w:rsid w:val="002336AF"/>
    <w:rsid w:val="00234226"/>
    <w:rsid w:val="002342BF"/>
    <w:rsid w:val="0023499B"/>
    <w:rsid w:val="00234CAF"/>
    <w:rsid w:val="00234D25"/>
    <w:rsid w:val="00235162"/>
    <w:rsid w:val="00235277"/>
    <w:rsid w:val="00235B4A"/>
    <w:rsid w:val="00235D3B"/>
    <w:rsid w:val="00236198"/>
    <w:rsid w:val="00236240"/>
    <w:rsid w:val="0023674C"/>
    <w:rsid w:val="00236806"/>
    <w:rsid w:val="00237168"/>
    <w:rsid w:val="002377A7"/>
    <w:rsid w:val="00241857"/>
    <w:rsid w:val="00241DC2"/>
    <w:rsid w:val="00241E58"/>
    <w:rsid w:val="002426B8"/>
    <w:rsid w:val="002428A8"/>
    <w:rsid w:val="00243EE9"/>
    <w:rsid w:val="0024403B"/>
    <w:rsid w:val="00244621"/>
    <w:rsid w:val="00244727"/>
    <w:rsid w:val="00244B28"/>
    <w:rsid w:val="002451B7"/>
    <w:rsid w:val="00245255"/>
    <w:rsid w:val="00247455"/>
    <w:rsid w:val="002479B6"/>
    <w:rsid w:val="00250115"/>
    <w:rsid w:val="002515D5"/>
    <w:rsid w:val="0025189D"/>
    <w:rsid w:val="00252828"/>
    <w:rsid w:val="00252BC4"/>
    <w:rsid w:val="00253050"/>
    <w:rsid w:val="00253604"/>
    <w:rsid w:val="00253774"/>
    <w:rsid w:val="00253BB8"/>
    <w:rsid w:val="00254DFB"/>
    <w:rsid w:val="00254F2F"/>
    <w:rsid w:val="00255494"/>
    <w:rsid w:val="00255E2D"/>
    <w:rsid w:val="00255F1C"/>
    <w:rsid w:val="00256418"/>
    <w:rsid w:val="00256B0D"/>
    <w:rsid w:val="00256F5C"/>
    <w:rsid w:val="0025750C"/>
    <w:rsid w:val="00260A0A"/>
    <w:rsid w:val="00260E2F"/>
    <w:rsid w:val="0026125D"/>
    <w:rsid w:val="0026157A"/>
    <w:rsid w:val="00261967"/>
    <w:rsid w:val="00261B94"/>
    <w:rsid w:val="002626A4"/>
    <w:rsid w:val="00263052"/>
    <w:rsid w:val="00263053"/>
    <w:rsid w:val="00263632"/>
    <w:rsid w:val="002645DC"/>
    <w:rsid w:val="00265648"/>
    <w:rsid w:val="00265C62"/>
    <w:rsid w:val="00265FDB"/>
    <w:rsid w:val="00266AE1"/>
    <w:rsid w:val="00271EF4"/>
    <w:rsid w:val="0027263B"/>
    <w:rsid w:val="00273581"/>
    <w:rsid w:val="00273767"/>
    <w:rsid w:val="002753D5"/>
    <w:rsid w:val="0027571E"/>
    <w:rsid w:val="002765EC"/>
    <w:rsid w:val="00276F3F"/>
    <w:rsid w:val="0027758A"/>
    <w:rsid w:val="002778A4"/>
    <w:rsid w:val="002800C0"/>
    <w:rsid w:val="00280336"/>
    <w:rsid w:val="00280599"/>
    <w:rsid w:val="0028133D"/>
    <w:rsid w:val="002813F3"/>
    <w:rsid w:val="00281569"/>
    <w:rsid w:val="00281D0D"/>
    <w:rsid w:val="002828EC"/>
    <w:rsid w:val="00283B15"/>
    <w:rsid w:val="00283C1F"/>
    <w:rsid w:val="00284716"/>
    <w:rsid w:val="00284AED"/>
    <w:rsid w:val="002858A8"/>
    <w:rsid w:val="00286823"/>
    <w:rsid w:val="002877E9"/>
    <w:rsid w:val="00290B17"/>
    <w:rsid w:val="0029117D"/>
    <w:rsid w:val="0029157F"/>
    <w:rsid w:val="002917CD"/>
    <w:rsid w:val="002918EB"/>
    <w:rsid w:val="0029194A"/>
    <w:rsid w:val="00291A0B"/>
    <w:rsid w:val="00291CDC"/>
    <w:rsid w:val="00293160"/>
    <w:rsid w:val="0029334C"/>
    <w:rsid w:val="002933B4"/>
    <w:rsid w:val="00295235"/>
    <w:rsid w:val="002955F1"/>
    <w:rsid w:val="00296D4B"/>
    <w:rsid w:val="00297161"/>
    <w:rsid w:val="00297CE5"/>
    <w:rsid w:val="002A00EA"/>
    <w:rsid w:val="002A05E4"/>
    <w:rsid w:val="002A0967"/>
    <w:rsid w:val="002A0C8B"/>
    <w:rsid w:val="002A0E58"/>
    <w:rsid w:val="002A182E"/>
    <w:rsid w:val="002A51D6"/>
    <w:rsid w:val="002A67AA"/>
    <w:rsid w:val="002A68C1"/>
    <w:rsid w:val="002B033C"/>
    <w:rsid w:val="002B0547"/>
    <w:rsid w:val="002B0A62"/>
    <w:rsid w:val="002B1C77"/>
    <w:rsid w:val="002B2058"/>
    <w:rsid w:val="002B256A"/>
    <w:rsid w:val="002B2CA6"/>
    <w:rsid w:val="002B33B5"/>
    <w:rsid w:val="002B4624"/>
    <w:rsid w:val="002B513A"/>
    <w:rsid w:val="002B56E6"/>
    <w:rsid w:val="002B5705"/>
    <w:rsid w:val="002B57FE"/>
    <w:rsid w:val="002B5E99"/>
    <w:rsid w:val="002B637E"/>
    <w:rsid w:val="002B66E2"/>
    <w:rsid w:val="002B6942"/>
    <w:rsid w:val="002B7788"/>
    <w:rsid w:val="002B77DC"/>
    <w:rsid w:val="002B79C6"/>
    <w:rsid w:val="002C011D"/>
    <w:rsid w:val="002C2DEE"/>
    <w:rsid w:val="002C375A"/>
    <w:rsid w:val="002C5A68"/>
    <w:rsid w:val="002C78AA"/>
    <w:rsid w:val="002D04C2"/>
    <w:rsid w:val="002D0A31"/>
    <w:rsid w:val="002D1456"/>
    <w:rsid w:val="002D1878"/>
    <w:rsid w:val="002D191C"/>
    <w:rsid w:val="002D19F3"/>
    <w:rsid w:val="002D2774"/>
    <w:rsid w:val="002D39CA"/>
    <w:rsid w:val="002D3BBC"/>
    <w:rsid w:val="002D3CC6"/>
    <w:rsid w:val="002D4022"/>
    <w:rsid w:val="002D4A06"/>
    <w:rsid w:val="002D4D41"/>
    <w:rsid w:val="002D5B95"/>
    <w:rsid w:val="002D676F"/>
    <w:rsid w:val="002D689A"/>
    <w:rsid w:val="002D7990"/>
    <w:rsid w:val="002D7CCB"/>
    <w:rsid w:val="002E0049"/>
    <w:rsid w:val="002E077C"/>
    <w:rsid w:val="002E0B3E"/>
    <w:rsid w:val="002E1734"/>
    <w:rsid w:val="002E18CF"/>
    <w:rsid w:val="002E1C84"/>
    <w:rsid w:val="002E1F1E"/>
    <w:rsid w:val="002E3F10"/>
    <w:rsid w:val="002E4E2C"/>
    <w:rsid w:val="002E5485"/>
    <w:rsid w:val="002E5635"/>
    <w:rsid w:val="002E6A0E"/>
    <w:rsid w:val="002E6A92"/>
    <w:rsid w:val="002F002F"/>
    <w:rsid w:val="002F0786"/>
    <w:rsid w:val="002F0F65"/>
    <w:rsid w:val="002F22A6"/>
    <w:rsid w:val="002F2D31"/>
    <w:rsid w:val="002F3BBC"/>
    <w:rsid w:val="002F43CA"/>
    <w:rsid w:val="002F4913"/>
    <w:rsid w:val="002F4BDB"/>
    <w:rsid w:val="002F4CE4"/>
    <w:rsid w:val="002F5AFC"/>
    <w:rsid w:val="002F5CB8"/>
    <w:rsid w:val="00300090"/>
    <w:rsid w:val="00300EB0"/>
    <w:rsid w:val="00302E3B"/>
    <w:rsid w:val="00303084"/>
    <w:rsid w:val="00303876"/>
    <w:rsid w:val="00303E5D"/>
    <w:rsid w:val="00305523"/>
    <w:rsid w:val="003055F7"/>
    <w:rsid w:val="003057F7"/>
    <w:rsid w:val="00305AFD"/>
    <w:rsid w:val="0030622C"/>
    <w:rsid w:val="0030652A"/>
    <w:rsid w:val="0030773A"/>
    <w:rsid w:val="00307971"/>
    <w:rsid w:val="0031112A"/>
    <w:rsid w:val="0031176E"/>
    <w:rsid w:val="00312779"/>
    <w:rsid w:val="003127F3"/>
    <w:rsid w:val="00312D14"/>
    <w:rsid w:val="00312E1B"/>
    <w:rsid w:val="0031339D"/>
    <w:rsid w:val="0031387E"/>
    <w:rsid w:val="003138DB"/>
    <w:rsid w:val="00313982"/>
    <w:rsid w:val="0031412C"/>
    <w:rsid w:val="003154A1"/>
    <w:rsid w:val="00315AD2"/>
    <w:rsid w:val="003165A6"/>
    <w:rsid w:val="00316605"/>
    <w:rsid w:val="00316C37"/>
    <w:rsid w:val="00316C55"/>
    <w:rsid w:val="00316CAF"/>
    <w:rsid w:val="0031753C"/>
    <w:rsid w:val="003176EC"/>
    <w:rsid w:val="00317BA7"/>
    <w:rsid w:val="003206C4"/>
    <w:rsid w:val="003208C1"/>
    <w:rsid w:val="0032118B"/>
    <w:rsid w:val="003212A0"/>
    <w:rsid w:val="00322102"/>
    <w:rsid w:val="003227A0"/>
    <w:rsid w:val="00322D87"/>
    <w:rsid w:val="00322FD5"/>
    <w:rsid w:val="00323418"/>
    <w:rsid w:val="00323DC4"/>
    <w:rsid w:val="00324D2D"/>
    <w:rsid w:val="00324DBD"/>
    <w:rsid w:val="003252A2"/>
    <w:rsid w:val="00325CD4"/>
    <w:rsid w:val="0032725D"/>
    <w:rsid w:val="00327387"/>
    <w:rsid w:val="0032748F"/>
    <w:rsid w:val="00327BBE"/>
    <w:rsid w:val="00330035"/>
    <w:rsid w:val="0033014A"/>
    <w:rsid w:val="003301A6"/>
    <w:rsid w:val="00331587"/>
    <w:rsid w:val="003322FD"/>
    <w:rsid w:val="0033238A"/>
    <w:rsid w:val="00332BE4"/>
    <w:rsid w:val="00332BE6"/>
    <w:rsid w:val="00332C96"/>
    <w:rsid w:val="003332D2"/>
    <w:rsid w:val="00333796"/>
    <w:rsid w:val="003339DD"/>
    <w:rsid w:val="00333A3F"/>
    <w:rsid w:val="00334A39"/>
    <w:rsid w:val="00335675"/>
    <w:rsid w:val="00335DD3"/>
    <w:rsid w:val="00336A5A"/>
    <w:rsid w:val="0033780B"/>
    <w:rsid w:val="00337A89"/>
    <w:rsid w:val="00337BFE"/>
    <w:rsid w:val="00337F67"/>
    <w:rsid w:val="003400A2"/>
    <w:rsid w:val="003406DA"/>
    <w:rsid w:val="0034248E"/>
    <w:rsid w:val="00342CDB"/>
    <w:rsid w:val="00343A44"/>
    <w:rsid w:val="00344252"/>
    <w:rsid w:val="00344AD0"/>
    <w:rsid w:val="00345AD1"/>
    <w:rsid w:val="00345EEE"/>
    <w:rsid w:val="00347D2C"/>
    <w:rsid w:val="003507F3"/>
    <w:rsid w:val="00350E7A"/>
    <w:rsid w:val="00350EBA"/>
    <w:rsid w:val="003510D5"/>
    <w:rsid w:val="00351C76"/>
    <w:rsid w:val="003520D7"/>
    <w:rsid w:val="003527FC"/>
    <w:rsid w:val="00352933"/>
    <w:rsid w:val="00352B02"/>
    <w:rsid w:val="0035301F"/>
    <w:rsid w:val="00353173"/>
    <w:rsid w:val="0035346C"/>
    <w:rsid w:val="003538EE"/>
    <w:rsid w:val="00353FEB"/>
    <w:rsid w:val="00354BBE"/>
    <w:rsid w:val="00354DD8"/>
    <w:rsid w:val="00355535"/>
    <w:rsid w:val="0035575A"/>
    <w:rsid w:val="00356F83"/>
    <w:rsid w:val="003610B4"/>
    <w:rsid w:val="00361A8C"/>
    <w:rsid w:val="00361AFD"/>
    <w:rsid w:val="0036222B"/>
    <w:rsid w:val="003627E6"/>
    <w:rsid w:val="0036306C"/>
    <w:rsid w:val="00363699"/>
    <w:rsid w:val="003637EC"/>
    <w:rsid w:val="00363AF8"/>
    <w:rsid w:val="0036439B"/>
    <w:rsid w:val="00364484"/>
    <w:rsid w:val="00364A63"/>
    <w:rsid w:val="00365696"/>
    <w:rsid w:val="00367829"/>
    <w:rsid w:val="00367D62"/>
    <w:rsid w:val="00370276"/>
    <w:rsid w:val="00370745"/>
    <w:rsid w:val="00370F3D"/>
    <w:rsid w:val="0037106F"/>
    <w:rsid w:val="00371206"/>
    <w:rsid w:val="00373CD7"/>
    <w:rsid w:val="00373F57"/>
    <w:rsid w:val="00374557"/>
    <w:rsid w:val="00374C03"/>
    <w:rsid w:val="00374EAF"/>
    <w:rsid w:val="00376766"/>
    <w:rsid w:val="00376DE8"/>
    <w:rsid w:val="0037713C"/>
    <w:rsid w:val="0037724D"/>
    <w:rsid w:val="003775A5"/>
    <w:rsid w:val="00377F51"/>
    <w:rsid w:val="003803FB"/>
    <w:rsid w:val="003818A4"/>
    <w:rsid w:val="003824AF"/>
    <w:rsid w:val="00382A0E"/>
    <w:rsid w:val="00382E0F"/>
    <w:rsid w:val="00382EE2"/>
    <w:rsid w:val="003840CD"/>
    <w:rsid w:val="00384C66"/>
    <w:rsid w:val="00384FC3"/>
    <w:rsid w:val="0038551E"/>
    <w:rsid w:val="003868A1"/>
    <w:rsid w:val="00390037"/>
    <w:rsid w:val="003913BE"/>
    <w:rsid w:val="0039170E"/>
    <w:rsid w:val="00393323"/>
    <w:rsid w:val="0039391E"/>
    <w:rsid w:val="00394466"/>
    <w:rsid w:val="0039475C"/>
    <w:rsid w:val="00395052"/>
    <w:rsid w:val="003953BA"/>
    <w:rsid w:val="003962B4"/>
    <w:rsid w:val="003966FD"/>
    <w:rsid w:val="00396B86"/>
    <w:rsid w:val="003A0074"/>
    <w:rsid w:val="003A0383"/>
    <w:rsid w:val="003A109B"/>
    <w:rsid w:val="003A2611"/>
    <w:rsid w:val="003A315C"/>
    <w:rsid w:val="003A3D7C"/>
    <w:rsid w:val="003A4AD8"/>
    <w:rsid w:val="003A6EE8"/>
    <w:rsid w:val="003A6EF4"/>
    <w:rsid w:val="003A71D4"/>
    <w:rsid w:val="003A7237"/>
    <w:rsid w:val="003A76D0"/>
    <w:rsid w:val="003B178D"/>
    <w:rsid w:val="003B2A7E"/>
    <w:rsid w:val="003B3542"/>
    <w:rsid w:val="003B4406"/>
    <w:rsid w:val="003B4448"/>
    <w:rsid w:val="003B4C6E"/>
    <w:rsid w:val="003B623D"/>
    <w:rsid w:val="003B625A"/>
    <w:rsid w:val="003B691E"/>
    <w:rsid w:val="003B6B6A"/>
    <w:rsid w:val="003B70E5"/>
    <w:rsid w:val="003C1C29"/>
    <w:rsid w:val="003C38CB"/>
    <w:rsid w:val="003C3B79"/>
    <w:rsid w:val="003C3C6B"/>
    <w:rsid w:val="003C5010"/>
    <w:rsid w:val="003C55F1"/>
    <w:rsid w:val="003C58B1"/>
    <w:rsid w:val="003C6022"/>
    <w:rsid w:val="003D04C3"/>
    <w:rsid w:val="003D0DEC"/>
    <w:rsid w:val="003D168B"/>
    <w:rsid w:val="003D2BB6"/>
    <w:rsid w:val="003D4A00"/>
    <w:rsid w:val="003D5624"/>
    <w:rsid w:val="003D5C57"/>
    <w:rsid w:val="003D604E"/>
    <w:rsid w:val="003D635D"/>
    <w:rsid w:val="003D69C9"/>
    <w:rsid w:val="003D6C07"/>
    <w:rsid w:val="003D6F21"/>
    <w:rsid w:val="003D70F6"/>
    <w:rsid w:val="003D7CE8"/>
    <w:rsid w:val="003D7E26"/>
    <w:rsid w:val="003E025B"/>
    <w:rsid w:val="003E0696"/>
    <w:rsid w:val="003E08DF"/>
    <w:rsid w:val="003E0BC8"/>
    <w:rsid w:val="003E0DC9"/>
    <w:rsid w:val="003E10A5"/>
    <w:rsid w:val="003E1BBD"/>
    <w:rsid w:val="003E34C5"/>
    <w:rsid w:val="003E353B"/>
    <w:rsid w:val="003E392A"/>
    <w:rsid w:val="003E4AA9"/>
    <w:rsid w:val="003E4B8B"/>
    <w:rsid w:val="003E4CE5"/>
    <w:rsid w:val="003E7025"/>
    <w:rsid w:val="003E7B91"/>
    <w:rsid w:val="003F14F0"/>
    <w:rsid w:val="003F1B18"/>
    <w:rsid w:val="003F424B"/>
    <w:rsid w:val="003F43D8"/>
    <w:rsid w:val="003F4756"/>
    <w:rsid w:val="003F4B30"/>
    <w:rsid w:val="003F4F7E"/>
    <w:rsid w:val="003F62F6"/>
    <w:rsid w:val="003F6501"/>
    <w:rsid w:val="003F738D"/>
    <w:rsid w:val="003F7797"/>
    <w:rsid w:val="003F7835"/>
    <w:rsid w:val="003F7CAA"/>
    <w:rsid w:val="0040069E"/>
    <w:rsid w:val="00401441"/>
    <w:rsid w:val="00402175"/>
    <w:rsid w:val="0040363F"/>
    <w:rsid w:val="00403805"/>
    <w:rsid w:val="004039D7"/>
    <w:rsid w:val="00404499"/>
    <w:rsid w:val="00404C46"/>
    <w:rsid w:val="00404F6A"/>
    <w:rsid w:val="0040563E"/>
    <w:rsid w:val="00406C58"/>
    <w:rsid w:val="004076E9"/>
    <w:rsid w:val="00407B40"/>
    <w:rsid w:val="00407E00"/>
    <w:rsid w:val="00411C5F"/>
    <w:rsid w:val="004123B2"/>
    <w:rsid w:val="004136CF"/>
    <w:rsid w:val="00414757"/>
    <w:rsid w:val="00414CE7"/>
    <w:rsid w:val="00414F38"/>
    <w:rsid w:val="00415371"/>
    <w:rsid w:val="00415B56"/>
    <w:rsid w:val="00416CEA"/>
    <w:rsid w:val="004211DA"/>
    <w:rsid w:val="00421F1F"/>
    <w:rsid w:val="00422305"/>
    <w:rsid w:val="00422F18"/>
    <w:rsid w:val="0042357B"/>
    <w:rsid w:val="0042557A"/>
    <w:rsid w:val="0042560C"/>
    <w:rsid w:val="0042636B"/>
    <w:rsid w:val="0042663F"/>
    <w:rsid w:val="004271A7"/>
    <w:rsid w:val="00427D66"/>
    <w:rsid w:val="00427E84"/>
    <w:rsid w:val="00430954"/>
    <w:rsid w:val="004309ED"/>
    <w:rsid w:val="00431EF5"/>
    <w:rsid w:val="00433717"/>
    <w:rsid w:val="00433BFD"/>
    <w:rsid w:val="004347DB"/>
    <w:rsid w:val="004350F3"/>
    <w:rsid w:val="0043516F"/>
    <w:rsid w:val="00435897"/>
    <w:rsid w:val="00435925"/>
    <w:rsid w:val="004367B9"/>
    <w:rsid w:val="00436D39"/>
    <w:rsid w:val="00437054"/>
    <w:rsid w:val="004373FE"/>
    <w:rsid w:val="00437FEE"/>
    <w:rsid w:val="00441DAF"/>
    <w:rsid w:val="00442214"/>
    <w:rsid w:val="004438FA"/>
    <w:rsid w:val="00444443"/>
    <w:rsid w:val="0044445A"/>
    <w:rsid w:val="004465F2"/>
    <w:rsid w:val="00447188"/>
    <w:rsid w:val="00447826"/>
    <w:rsid w:val="00447AC8"/>
    <w:rsid w:val="00447DF5"/>
    <w:rsid w:val="004503F4"/>
    <w:rsid w:val="0045060D"/>
    <w:rsid w:val="004509A8"/>
    <w:rsid w:val="004509EE"/>
    <w:rsid w:val="004528F9"/>
    <w:rsid w:val="004533C8"/>
    <w:rsid w:val="00454587"/>
    <w:rsid w:val="00455268"/>
    <w:rsid w:val="00455449"/>
    <w:rsid w:val="00455A99"/>
    <w:rsid w:val="0045603E"/>
    <w:rsid w:val="0045615C"/>
    <w:rsid w:val="0045711E"/>
    <w:rsid w:val="004576B5"/>
    <w:rsid w:val="00460AC7"/>
    <w:rsid w:val="00460AD5"/>
    <w:rsid w:val="00460D51"/>
    <w:rsid w:val="004616EF"/>
    <w:rsid w:val="0046366B"/>
    <w:rsid w:val="0046411E"/>
    <w:rsid w:val="004642DA"/>
    <w:rsid w:val="00464BA8"/>
    <w:rsid w:val="0046505C"/>
    <w:rsid w:val="00465418"/>
    <w:rsid w:val="004663D0"/>
    <w:rsid w:val="004667FF"/>
    <w:rsid w:val="00466CD8"/>
    <w:rsid w:val="00467118"/>
    <w:rsid w:val="00467A3C"/>
    <w:rsid w:val="00467CF6"/>
    <w:rsid w:val="00470BDD"/>
    <w:rsid w:val="00471873"/>
    <w:rsid w:val="00471C45"/>
    <w:rsid w:val="004725ED"/>
    <w:rsid w:val="00472A34"/>
    <w:rsid w:val="00472C3E"/>
    <w:rsid w:val="0047342B"/>
    <w:rsid w:val="00473FFA"/>
    <w:rsid w:val="00474B75"/>
    <w:rsid w:val="00475EFF"/>
    <w:rsid w:val="00476426"/>
    <w:rsid w:val="0047705E"/>
    <w:rsid w:val="004775BF"/>
    <w:rsid w:val="00477AC0"/>
    <w:rsid w:val="00477FBC"/>
    <w:rsid w:val="00480310"/>
    <w:rsid w:val="004806AE"/>
    <w:rsid w:val="00481FDD"/>
    <w:rsid w:val="004822DC"/>
    <w:rsid w:val="00482368"/>
    <w:rsid w:val="0048248E"/>
    <w:rsid w:val="00483A7D"/>
    <w:rsid w:val="00483CFF"/>
    <w:rsid w:val="004850F5"/>
    <w:rsid w:val="00485AB1"/>
    <w:rsid w:val="00486700"/>
    <w:rsid w:val="004867B5"/>
    <w:rsid w:val="00486806"/>
    <w:rsid w:val="00487D04"/>
    <w:rsid w:val="004906AC"/>
    <w:rsid w:val="00491A96"/>
    <w:rsid w:val="004929D7"/>
    <w:rsid w:val="00492B1B"/>
    <w:rsid w:val="00493D58"/>
    <w:rsid w:val="00493F11"/>
    <w:rsid w:val="00494183"/>
    <w:rsid w:val="00494B97"/>
    <w:rsid w:val="00495660"/>
    <w:rsid w:val="00495665"/>
    <w:rsid w:val="004961EA"/>
    <w:rsid w:val="0049662B"/>
    <w:rsid w:val="004968EE"/>
    <w:rsid w:val="00496A3F"/>
    <w:rsid w:val="00496AA9"/>
    <w:rsid w:val="004A036E"/>
    <w:rsid w:val="004A08FD"/>
    <w:rsid w:val="004A0AB2"/>
    <w:rsid w:val="004A0B61"/>
    <w:rsid w:val="004A0E0A"/>
    <w:rsid w:val="004A13ED"/>
    <w:rsid w:val="004A14E9"/>
    <w:rsid w:val="004A1DDE"/>
    <w:rsid w:val="004A27B9"/>
    <w:rsid w:val="004A3BA6"/>
    <w:rsid w:val="004A4D53"/>
    <w:rsid w:val="004A61B6"/>
    <w:rsid w:val="004A72AC"/>
    <w:rsid w:val="004A77F2"/>
    <w:rsid w:val="004A7B1B"/>
    <w:rsid w:val="004A7C9A"/>
    <w:rsid w:val="004A7D3C"/>
    <w:rsid w:val="004A7D53"/>
    <w:rsid w:val="004A7DE4"/>
    <w:rsid w:val="004B1227"/>
    <w:rsid w:val="004B1402"/>
    <w:rsid w:val="004B1521"/>
    <w:rsid w:val="004B2860"/>
    <w:rsid w:val="004B2DB4"/>
    <w:rsid w:val="004B2EF6"/>
    <w:rsid w:val="004B311F"/>
    <w:rsid w:val="004B410C"/>
    <w:rsid w:val="004B411F"/>
    <w:rsid w:val="004B4362"/>
    <w:rsid w:val="004B6288"/>
    <w:rsid w:val="004B67AB"/>
    <w:rsid w:val="004B753F"/>
    <w:rsid w:val="004B77E3"/>
    <w:rsid w:val="004C04DE"/>
    <w:rsid w:val="004C18D5"/>
    <w:rsid w:val="004C1906"/>
    <w:rsid w:val="004C1C7D"/>
    <w:rsid w:val="004C1F23"/>
    <w:rsid w:val="004C2E44"/>
    <w:rsid w:val="004C315F"/>
    <w:rsid w:val="004C322C"/>
    <w:rsid w:val="004C40B1"/>
    <w:rsid w:val="004C51CF"/>
    <w:rsid w:val="004C5C64"/>
    <w:rsid w:val="004C68FB"/>
    <w:rsid w:val="004C7472"/>
    <w:rsid w:val="004C7C07"/>
    <w:rsid w:val="004C7F95"/>
    <w:rsid w:val="004D04EA"/>
    <w:rsid w:val="004D0925"/>
    <w:rsid w:val="004D0ABE"/>
    <w:rsid w:val="004D1022"/>
    <w:rsid w:val="004D10D8"/>
    <w:rsid w:val="004D127C"/>
    <w:rsid w:val="004D1721"/>
    <w:rsid w:val="004D2188"/>
    <w:rsid w:val="004D2AE9"/>
    <w:rsid w:val="004D2EF8"/>
    <w:rsid w:val="004D3767"/>
    <w:rsid w:val="004D4F9A"/>
    <w:rsid w:val="004D5480"/>
    <w:rsid w:val="004D6301"/>
    <w:rsid w:val="004D69D6"/>
    <w:rsid w:val="004D7D7B"/>
    <w:rsid w:val="004E041F"/>
    <w:rsid w:val="004E0486"/>
    <w:rsid w:val="004E048D"/>
    <w:rsid w:val="004E054D"/>
    <w:rsid w:val="004E0E09"/>
    <w:rsid w:val="004E1475"/>
    <w:rsid w:val="004E1E38"/>
    <w:rsid w:val="004E22F0"/>
    <w:rsid w:val="004E2ABB"/>
    <w:rsid w:val="004E2E94"/>
    <w:rsid w:val="004E5B67"/>
    <w:rsid w:val="004E5C0B"/>
    <w:rsid w:val="004E5F0D"/>
    <w:rsid w:val="004E5F1D"/>
    <w:rsid w:val="004E6298"/>
    <w:rsid w:val="004E6E2D"/>
    <w:rsid w:val="004E7965"/>
    <w:rsid w:val="004E7F5F"/>
    <w:rsid w:val="004F0807"/>
    <w:rsid w:val="004F0F57"/>
    <w:rsid w:val="004F35E2"/>
    <w:rsid w:val="004F4018"/>
    <w:rsid w:val="004F42CF"/>
    <w:rsid w:val="004F4A42"/>
    <w:rsid w:val="004F56A2"/>
    <w:rsid w:val="004F5ECF"/>
    <w:rsid w:val="004F6664"/>
    <w:rsid w:val="004F66D6"/>
    <w:rsid w:val="004F75BA"/>
    <w:rsid w:val="004F777A"/>
    <w:rsid w:val="004F794D"/>
    <w:rsid w:val="004F7B18"/>
    <w:rsid w:val="0050002C"/>
    <w:rsid w:val="00500349"/>
    <w:rsid w:val="00500418"/>
    <w:rsid w:val="00501042"/>
    <w:rsid w:val="005012DE"/>
    <w:rsid w:val="00501480"/>
    <w:rsid w:val="00501D12"/>
    <w:rsid w:val="00501EFA"/>
    <w:rsid w:val="00502D6C"/>
    <w:rsid w:val="005038DF"/>
    <w:rsid w:val="00504EE6"/>
    <w:rsid w:val="00505B9C"/>
    <w:rsid w:val="00505D9E"/>
    <w:rsid w:val="00506E59"/>
    <w:rsid w:val="0050723C"/>
    <w:rsid w:val="00507BF0"/>
    <w:rsid w:val="00510151"/>
    <w:rsid w:val="005105A3"/>
    <w:rsid w:val="00511547"/>
    <w:rsid w:val="00511604"/>
    <w:rsid w:val="00511992"/>
    <w:rsid w:val="00512A43"/>
    <w:rsid w:val="005131E0"/>
    <w:rsid w:val="00513365"/>
    <w:rsid w:val="00513B73"/>
    <w:rsid w:val="00513D0D"/>
    <w:rsid w:val="00513EC0"/>
    <w:rsid w:val="00514115"/>
    <w:rsid w:val="005141E4"/>
    <w:rsid w:val="00514FD7"/>
    <w:rsid w:val="00515C86"/>
    <w:rsid w:val="00516124"/>
    <w:rsid w:val="00516C2A"/>
    <w:rsid w:val="00517393"/>
    <w:rsid w:val="00517E84"/>
    <w:rsid w:val="00517FAD"/>
    <w:rsid w:val="0052057B"/>
    <w:rsid w:val="00520C1A"/>
    <w:rsid w:val="0052114E"/>
    <w:rsid w:val="005212E6"/>
    <w:rsid w:val="0052191A"/>
    <w:rsid w:val="00521B54"/>
    <w:rsid w:val="0052265A"/>
    <w:rsid w:val="0052385F"/>
    <w:rsid w:val="0052397C"/>
    <w:rsid w:val="00523E7C"/>
    <w:rsid w:val="00524CE8"/>
    <w:rsid w:val="00526026"/>
    <w:rsid w:val="00527C8F"/>
    <w:rsid w:val="005303F0"/>
    <w:rsid w:val="00530662"/>
    <w:rsid w:val="00530A6C"/>
    <w:rsid w:val="005311C1"/>
    <w:rsid w:val="005320FF"/>
    <w:rsid w:val="00532125"/>
    <w:rsid w:val="0053215C"/>
    <w:rsid w:val="005339C9"/>
    <w:rsid w:val="00534A96"/>
    <w:rsid w:val="005354BD"/>
    <w:rsid w:val="00535674"/>
    <w:rsid w:val="0053690D"/>
    <w:rsid w:val="005377A5"/>
    <w:rsid w:val="0053790C"/>
    <w:rsid w:val="00537926"/>
    <w:rsid w:val="00537E78"/>
    <w:rsid w:val="005403E9"/>
    <w:rsid w:val="00540F30"/>
    <w:rsid w:val="0054163D"/>
    <w:rsid w:val="00542617"/>
    <w:rsid w:val="00542AD4"/>
    <w:rsid w:val="00543262"/>
    <w:rsid w:val="00544DF4"/>
    <w:rsid w:val="005451F3"/>
    <w:rsid w:val="00545233"/>
    <w:rsid w:val="005454CB"/>
    <w:rsid w:val="00545852"/>
    <w:rsid w:val="00546B7F"/>
    <w:rsid w:val="00550059"/>
    <w:rsid w:val="0055036D"/>
    <w:rsid w:val="00550462"/>
    <w:rsid w:val="005505F3"/>
    <w:rsid w:val="00551D2E"/>
    <w:rsid w:val="00552523"/>
    <w:rsid w:val="0055273A"/>
    <w:rsid w:val="0055342D"/>
    <w:rsid w:val="00553A3A"/>
    <w:rsid w:val="0055433C"/>
    <w:rsid w:val="005544FA"/>
    <w:rsid w:val="00555172"/>
    <w:rsid w:val="00555687"/>
    <w:rsid w:val="00556587"/>
    <w:rsid w:val="005565F0"/>
    <w:rsid w:val="00557066"/>
    <w:rsid w:val="005572AF"/>
    <w:rsid w:val="005577CE"/>
    <w:rsid w:val="00557A66"/>
    <w:rsid w:val="00557BE5"/>
    <w:rsid w:val="00557DA9"/>
    <w:rsid w:val="00557DBB"/>
    <w:rsid w:val="00557EAE"/>
    <w:rsid w:val="00561696"/>
    <w:rsid w:val="00561ADF"/>
    <w:rsid w:val="00562C07"/>
    <w:rsid w:val="00563377"/>
    <w:rsid w:val="00563549"/>
    <w:rsid w:val="005636FC"/>
    <w:rsid w:val="00563B80"/>
    <w:rsid w:val="0056537F"/>
    <w:rsid w:val="0056615C"/>
    <w:rsid w:val="005661BC"/>
    <w:rsid w:val="00566548"/>
    <w:rsid w:val="00566C69"/>
    <w:rsid w:val="00566DED"/>
    <w:rsid w:val="00567EEA"/>
    <w:rsid w:val="005704A4"/>
    <w:rsid w:val="00570EE7"/>
    <w:rsid w:val="00572F59"/>
    <w:rsid w:val="00573655"/>
    <w:rsid w:val="00573A7B"/>
    <w:rsid w:val="00573B02"/>
    <w:rsid w:val="005743C2"/>
    <w:rsid w:val="00575597"/>
    <w:rsid w:val="005757BD"/>
    <w:rsid w:val="00575D8E"/>
    <w:rsid w:val="0057676D"/>
    <w:rsid w:val="00576B5E"/>
    <w:rsid w:val="005777FE"/>
    <w:rsid w:val="00577DA3"/>
    <w:rsid w:val="0058136A"/>
    <w:rsid w:val="005813A4"/>
    <w:rsid w:val="00582619"/>
    <w:rsid w:val="00582E2A"/>
    <w:rsid w:val="00583709"/>
    <w:rsid w:val="00583B0E"/>
    <w:rsid w:val="0058430D"/>
    <w:rsid w:val="00584A38"/>
    <w:rsid w:val="00584EF6"/>
    <w:rsid w:val="005856D2"/>
    <w:rsid w:val="005857D5"/>
    <w:rsid w:val="005858A5"/>
    <w:rsid w:val="00585AD6"/>
    <w:rsid w:val="00586E38"/>
    <w:rsid w:val="00586EC0"/>
    <w:rsid w:val="00587CE6"/>
    <w:rsid w:val="00590049"/>
    <w:rsid w:val="0059065E"/>
    <w:rsid w:val="00591A0B"/>
    <w:rsid w:val="005932AE"/>
    <w:rsid w:val="005946C9"/>
    <w:rsid w:val="005947E1"/>
    <w:rsid w:val="00594AE0"/>
    <w:rsid w:val="00594FB4"/>
    <w:rsid w:val="005969D5"/>
    <w:rsid w:val="00596C8D"/>
    <w:rsid w:val="00596CAF"/>
    <w:rsid w:val="00597A47"/>
    <w:rsid w:val="005A08BE"/>
    <w:rsid w:val="005A0C6C"/>
    <w:rsid w:val="005A173E"/>
    <w:rsid w:val="005A17A1"/>
    <w:rsid w:val="005A18A7"/>
    <w:rsid w:val="005A1F63"/>
    <w:rsid w:val="005A2995"/>
    <w:rsid w:val="005A3157"/>
    <w:rsid w:val="005A342B"/>
    <w:rsid w:val="005A3567"/>
    <w:rsid w:val="005A3B06"/>
    <w:rsid w:val="005A42A7"/>
    <w:rsid w:val="005A4B8C"/>
    <w:rsid w:val="005A5455"/>
    <w:rsid w:val="005A725A"/>
    <w:rsid w:val="005A7A7D"/>
    <w:rsid w:val="005A7B2E"/>
    <w:rsid w:val="005B0900"/>
    <w:rsid w:val="005B0B48"/>
    <w:rsid w:val="005B0F26"/>
    <w:rsid w:val="005B0F9F"/>
    <w:rsid w:val="005B0FCB"/>
    <w:rsid w:val="005B18BB"/>
    <w:rsid w:val="005B192E"/>
    <w:rsid w:val="005B1A50"/>
    <w:rsid w:val="005B1F29"/>
    <w:rsid w:val="005B2937"/>
    <w:rsid w:val="005B3A1D"/>
    <w:rsid w:val="005B47B6"/>
    <w:rsid w:val="005B48B7"/>
    <w:rsid w:val="005B4D8E"/>
    <w:rsid w:val="005B4DC6"/>
    <w:rsid w:val="005B510E"/>
    <w:rsid w:val="005B5775"/>
    <w:rsid w:val="005B60D6"/>
    <w:rsid w:val="005B636A"/>
    <w:rsid w:val="005B7E86"/>
    <w:rsid w:val="005C0E8B"/>
    <w:rsid w:val="005C0F7E"/>
    <w:rsid w:val="005C10DC"/>
    <w:rsid w:val="005C1139"/>
    <w:rsid w:val="005C1715"/>
    <w:rsid w:val="005C2509"/>
    <w:rsid w:val="005C2611"/>
    <w:rsid w:val="005C2967"/>
    <w:rsid w:val="005C2A87"/>
    <w:rsid w:val="005C3516"/>
    <w:rsid w:val="005C3C0D"/>
    <w:rsid w:val="005C3E14"/>
    <w:rsid w:val="005C40F4"/>
    <w:rsid w:val="005C4728"/>
    <w:rsid w:val="005C6711"/>
    <w:rsid w:val="005C6B9C"/>
    <w:rsid w:val="005D0216"/>
    <w:rsid w:val="005D035E"/>
    <w:rsid w:val="005D1AFA"/>
    <w:rsid w:val="005D1B9F"/>
    <w:rsid w:val="005D1C1A"/>
    <w:rsid w:val="005D2242"/>
    <w:rsid w:val="005D319E"/>
    <w:rsid w:val="005D41EC"/>
    <w:rsid w:val="005D533C"/>
    <w:rsid w:val="005D58A6"/>
    <w:rsid w:val="005D5A73"/>
    <w:rsid w:val="005D74A6"/>
    <w:rsid w:val="005D7638"/>
    <w:rsid w:val="005D79B2"/>
    <w:rsid w:val="005D7DC1"/>
    <w:rsid w:val="005E1165"/>
    <w:rsid w:val="005E16E9"/>
    <w:rsid w:val="005E1A0B"/>
    <w:rsid w:val="005E1A28"/>
    <w:rsid w:val="005E1A78"/>
    <w:rsid w:val="005E1C58"/>
    <w:rsid w:val="005E2011"/>
    <w:rsid w:val="005E2583"/>
    <w:rsid w:val="005E2C06"/>
    <w:rsid w:val="005E378C"/>
    <w:rsid w:val="005E41BE"/>
    <w:rsid w:val="005E4EC0"/>
    <w:rsid w:val="005E526C"/>
    <w:rsid w:val="005E577B"/>
    <w:rsid w:val="005E6C18"/>
    <w:rsid w:val="005F0C9A"/>
    <w:rsid w:val="005F0CC7"/>
    <w:rsid w:val="005F0EA6"/>
    <w:rsid w:val="005F10A7"/>
    <w:rsid w:val="005F1672"/>
    <w:rsid w:val="005F1732"/>
    <w:rsid w:val="005F187B"/>
    <w:rsid w:val="005F1EF7"/>
    <w:rsid w:val="005F2717"/>
    <w:rsid w:val="005F32BE"/>
    <w:rsid w:val="005F39FA"/>
    <w:rsid w:val="005F3A18"/>
    <w:rsid w:val="005F437D"/>
    <w:rsid w:val="005F440F"/>
    <w:rsid w:val="005F4E4D"/>
    <w:rsid w:val="005F4F3C"/>
    <w:rsid w:val="005F5CB0"/>
    <w:rsid w:val="005F68AC"/>
    <w:rsid w:val="005F69A2"/>
    <w:rsid w:val="005F74E9"/>
    <w:rsid w:val="005F7BFC"/>
    <w:rsid w:val="005F7C68"/>
    <w:rsid w:val="00600924"/>
    <w:rsid w:val="00600B8F"/>
    <w:rsid w:val="0060100B"/>
    <w:rsid w:val="006011C8"/>
    <w:rsid w:val="00601629"/>
    <w:rsid w:val="006017C0"/>
    <w:rsid w:val="00601FD8"/>
    <w:rsid w:val="006027FC"/>
    <w:rsid w:val="00602D74"/>
    <w:rsid w:val="006035AF"/>
    <w:rsid w:val="00603D58"/>
    <w:rsid w:val="0060415F"/>
    <w:rsid w:val="00604480"/>
    <w:rsid w:val="0060482E"/>
    <w:rsid w:val="006049B2"/>
    <w:rsid w:val="0060528B"/>
    <w:rsid w:val="00606738"/>
    <w:rsid w:val="00606C28"/>
    <w:rsid w:val="006076C2"/>
    <w:rsid w:val="00610064"/>
    <w:rsid w:val="0061083C"/>
    <w:rsid w:val="00610A47"/>
    <w:rsid w:val="00610D91"/>
    <w:rsid w:val="006118F8"/>
    <w:rsid w:val="00611947"/>
    <w:rsid w:val="00612104"/>
    <w:rsid w:val="00614820"/>
    <w:rsid w:val="006154FB"/>
    <w:rsid w:val="00615989"/>
    <w:rsid w:val="00615E3C"/>
    <w:rsid w:val="006160FF"/>
    <w:rsid w:val="00616501"/>
    <w:rsid w:val="00616879"/>
    <w:rsid w:val="0061732D"/>
    <w:rsid w:val="00617FD3"/>
    <w:rsid w:val="006206FD"/>
    <w:rsid w:val="0062223D"/>
    <w:rsid w:val="006228DE"/>
    <w:rsid w:val="00622C25"/>
    <w:rsid w:val="00623461"/>
    <w:rsid w:val="00623B3C"/>
    <w:rsid w:val="00624A30"/>
    <w:rsid w:val="00624CB0"/>
    <w:rsid w:val="00624D52"/>
    <w:rsid w:val="00625383"/>
    <w:rsid w:val="0062550B"/>
    <w:rsid w:val="00626F1D"/>
    <w:rsid w:val="00626FAF"/>
    <w:rsid w:val="00627344"/>
    <w:rsid w:val="006273CE"/>
    <w:rsid w:val="00627AFA"/>
    <w:rsid w:val="00627B67"/>
    <w:rsid w:val="006316FB"/>
    <w:rsid w:val="00631723"/>
    <w:rsid w:val="00631FBC"/>
    <w:rsid w:val="00634BE1"/>
    <w:rsid w:val="006354C4"/>
    <w:rsid w:val="00635F92"/>
    <w:rsid w:val="00636185"/>
    <w:rsid w:val="006362EC"/>
    <w:rsid w:val="006372FC"/>
    <w:rsid w:val="0063795B"/>
    <w:rsid w:val="00637A41"/>
    <w:rsid w:val="00640B68"/>
    <w:rsid w:val="00640D2F"/>
    <w:rsid w:val="006410F0"/>
    <w:rsid w:val="006416FD"/>
    <w:rsid w:val="00642F8E"/>
    <w:rsid w:val="00644869"/>
    <w:rsid w:val="006460E2"/>
    <w:rsid w:val="00646294"/>
    <w:rsid w:val="006466C7"/>
    <w:rsid w:val="006467B9"/>
    <w:rsid w:val="00646A50"/>
    <w:rsid w:val="006471DD"/>
    <w:rsid w:val="006476B5"/>
    <w:rsid w:val="00647A07"/>
    <w:rsid w:val="00650AB6"/>
    <w:rsid w:val="00650D8E"/>
    <w:rsid w:val="006511C1"/>
    <w:rsid w:val="0065175C"/>
    <w:rsid w:val="00652721"/>
    <w:rsid w:val="00652BB4"/>
    <w:rsid w:val="00652DEE"/>
    <w:rsid w:val="00652F55"/>
    <w:rsid w:val="0065318C"/>
    <w:rsid w:val="00655F1F"/>
    <w:rsid w:val="00656BB7"/>
    <w:rsid w:val="006574AA"/>
    <w:rsid w:val="00657C8A"/>
    <w:rsid w:val="006603D5"/>
    <w:rsid w:val="006605DF"/>
    <w:rsid w:val="006612AF"/>
    <w:rsid w:val="00661CB6"/>
    <w:rsid w:val="00661D5F"/>
    <w:rsid w:val="00661E16"/>
    <w:rsid w:val="00662761"/>
    <w:rsid w:val="006632D9"/>
    <w:rsid w:val="0066429E"/>
    <w:rsid w:val="00664486"/>
    <w:rsid w:val="00664815"/>
    <w:rsid w:val="00665A82"/>
    <w:rsid w:val="00666D6E"/>
    <w:rsid w:val="00666EF4"/>
    <w:rsid w:val="00666F94"/>
    <w:rsid w:val="0066749A"/>
    <w:rsid w:val="006676E3"/>
    <w:rsid w:val="00670417"/>
    <w:rsid w:val="006706F5"/>
    <w:rsid w:val="00670FA0"/>
    <w:rsid w:val="00671034"/>
    <w:rsid w:val="006718A5"/>
    <w:rsid w:val="00672467"/>
    <w:rsid w:val="00672BFC"/>
    <w:rsid w:val="00674040"/>
    <w:rsid w:val="0067405A"/>
    <w:rsid w:val="00676190"/>
    <w:rsid w:val="00676CD6"/>
    <w:rsid w:val="00677164"/>
    <w:rsid w:val="00680510"/>
    <w:rsid w:val="006809BD"/>
    <w:rsid w:val="00680B60"/>
    <w:rsid w:val="00680D3C"/>
    <w:rsid w:val="0068110B"/>
    <w:rsid w:val="00681161"/>
    <w:rsid w:val="006817F3"/>
    <w:rsid w:val="0068210C"/>
    <w:rsid w:val="006823C1"/>
    <w:rsid w:val="00682BD7"/>
    <w:rsid w:val="006832D7"/>
    <w:rsid w:val="006832F3"/>
    <w:rsid w:val="00683E82"/>
    <w:rsid w:val="006845F4"/>
    <w:rsid w:val="00684872"/>
    <w:rsid w:val="00684DD0"/>
    <w:rsid w:val="00685503"/>
    <w:rsid w:val="00685913"/>
    <w:rsid w:val="00685E9A"/>
    <w:rsid w:val="00686229"/>
    <w:rsid w:val="0068681B"/>
    <w:rsid w:val="006877D7"/>
    <w:rsid w:val="00687CA8"/>
    <w:rsid w:val="00690F95"/>
    <w:rsid w:val="006916A2"/>
    <w:rsid w:val="00691DF9"/>
    <w:rsid w:val="0069214A"/>
    <w:rsid w:val="006931AD"/>
    <w:rsid w:val="006931BD"/>
    <w:rsid w:val="00694906"/>
    <w:rsid w:val="006949E2"/>
    <w:rsid w:val="00694A45"/>
    <w:rsid w:val="006952E6"/>
    <w:rsid w:val="00695EBC"/>
    <w:rsid w:val="00696836"/>
    <w:rsid w:val="00696B37"/>
    <w:rsid w:val="006972E7"/>
    <w:rsid w:val="0069773B"/>
    <w:rsid w:val="006A0686"/>
    <w:rsid w:val="006A07F6"/>
    <w:rsid w:val="006A0BBB"/>
    <w:rsid w:val="006A11CF"/>
    <w:rsid w:val="006A134B"/>
    <w:rsid w:val="006A179C"/>
    <w:rsid w:val="006A1A52"/>
    <w:rsid w:val="006A2239"/>
    <w:rsid w:val="006A2860"/>
    <w:rsid w:val="006A323F"/>
    <w:rsid w:val="006A3382"/>
    <w:rsid w:val="006A36F1"/>
    <w:rsid w:val="006A3BE8"/>
    <w:rsid w:val="006A3FCC"/>
    <w:rsid w:val="006A509A"/>
    <w:rsid w:val="006A5A43"/>
    <w:rsid w:val="006A5F89"/>
    <w:rsid w:val="006A654F"/>
    <w:rsid w:val="006A67D8"/>
    <w:rsid w:val="006A6800"/>
    <w:rsid w:val="006A6E21"/>
    <w:rsid w:val="006A7D63"/>
    <w:rsid w:val="006B08C8"/>
    <w:rsid w:val="006B19D1"/>
    <w:rsid w:val="006B1F85"/>
    <w:rsid w:val="006B2265"/>
    <w:rsid w:val="006B265E"/>
    <w:rsid w:val="006B2C09"/>
    <w:rsid w:val="006B2FC1"/>
    <w:rsid w:val="006B3047"/>
    <w:rsid w:val="006B3212"/>
    <w:rsid w:val="006B3DDA"/>
    <w:rsid w:val="006B3E3A"/>
    <w:rsid w:val="006B4FC5"/>
    <w:rsid w:val="006B59D7"/>
    <w:rsid w:val="006B5F7B"/>
    <w:rsid w:val="006B667C"/>
    <w:rsid w:val="006B6F52"/>
    <w:rsid w:val="006B76E1"/>
    <w:rsid w:val="006C17B3"/>
    <w:rsid w:val="006C1A97"/>
    <w:rsid w:val="006C1F46"/>
    <w:rsid w:val="006C252E"/>
    <w:rsid w:val="006C39D4"/>
    <w:rsid w:val="006C3F9C"/>
    <w:rsid w:val="006C4DED"/>
    <w:rsid w:val="006C5D2D"/>
    <w:rsid w:val="006C5FBA"/>
    <w:rsid w:val="006C616B"/>
    <w:rsid w:val="006C71B4"/>
    <w:rsid w:val="006C7445"/>
    <w:rsid w:val="006C7D1E"/>
    <w:rsid w:val="006D0040"/>
    <w:rsid w:val="006D09D3"/>
    <w:rsid w:val="006D0BF8"/>
    <w:rsid w:val="006D1789"/>
    <w:rsid w:val="006D1E8B"/>
    <w:rsid w:val="006D21DB"/>
    <w:rsid w:val="006D2460"/>
    <w:rsid w:val="006D2E05"/>
    <w:rsid w:val="006D3006"/>
    <w:rsid w:val="006D31A6"/>
    <w:rsid w:val="006D3FC5"/>
    <w:rsid w:val="006D40F7"/>
    <w:rsid w:val="006D47EE"/>
    <w:rsid w:val="006D5006"/>
    <w:rsid w:val="006D50AF"/>
    <w:rsid w:val="006D5281"/>
    <w:rsid w:val="006D5308"/>
    <w:rsid w:val="006D5E18"/>
    <w:rsid w:val="006D636A"/>
    <w:rsid w:val="006D6852"/>
    <w:rsid w:val="006D71AD"/>
    <w:rsid w:val="006D740E"/>
    <w:rsid w:val="006D7E38"/>
    <w:rsid w:val="006E079C"/>
    <w:rsid w:val="006E0C75"/>
    <w:rsid w:val="006E1E13"/>
    <w:rsid w:val="006E2241"/>
    <w:rsid w:val="006E272B"/>
    <w:rsid w:val="006E282B"/>
    <w:rsid w:val="006E2D1E"/>
    <w:rsid w:val="006E3E10"/>
    <w:rsid w:val="006E42F1"/>
    <w:rsid w:val="006E44A9"/>
    <w:rsid w:val="006E4DF0"/>
    <w:rsid w:val="006E5284"/>
    <w:rsid w:val="006E6F73"/>
    <w:rsid w:val="006E703F"/>
    <w:rsid w:val="006E76C1"/>
    <w:rsid w:val="006E7EEF"/>
    <w:rsid w:val="006F03F1"/>
    <w:rsid w:val="006F069D"/>
    <w:rsid w:val="006F0F13"/>
    <w:rsid w:val="006F1D44"/>
    <w:rsid w:val="006F1E1E"/>
    <w:rsid w:val="006F2970"/>
    <w:rsid w:val="006F319B"/>
    <w:rsid w:val="006F3270"/>
    <w:rsid w:val="006F3A49"/>
    <w:rsid w:val="006F3B64"/>
    <w:rsid w:val="006F3C6A"/>
    <w:rsid w:val="006F4BF6"/>
    <w:rsid w:val="006F4CA0"/>
    <w:rsid w:val="006F4E0A"/>
    <w:rsid w:val="006F5BEE"/>
    <w:rsid w:val="006F5C03"/>
    <w:rsid w:val="006F6697"/>
    <w:rsid w:val="006F6A39"/>
    <w:rsid w:val="006F6E7E"/>
    <w:rsid w:val="007002FA"/>
    <w:rsid w:val="0070113B"/>
    <w:rsid w:val="00701AB9"/>
    <w:rsid w:val="007028CB"/>
    <w:rsid w:val="007036A7"/>
    <w:rsid w:val="0070450A"/>
    <w:rsid w:val="00704974"/>
    <w:rsid w:val="00704AE6"/>
    <w:rsid w:val="00705E0E"/>
    <w:rsid w:val="00705EEF"/>
    <w:rsid w:val="00705FCC"/>
    <w:rsid w:val="00706229"/>
    <w:rsid w:val="007069E8"/>
    <w:rsid w:val="00706BAA"/>
    <w:rsid w:val="00707163"/>
    <w:rsid w:val="00707C4E"/>
    <w:rsid w:val="00707DEF"/>
    <w:rsid w:val="007100D0"/>
    <w:rsid w:val="00710DF6"/>
    <w:rsid w:val="00711EFD"/>
    <w:rsid w:val="00713E41"/>
    <w:rsid w:val="00714108"/>
    <w:rsid w:val="00714507"/>
    <w:rsid w:val="00714697"/>
    <w:rsid w:val="00714938"/>
    <w:rsid w:val="00714AF2"/>
    <w:rsid w:val="00716753"/>
    <w:rsid w:val="00716EE3"/>
    <w:rsid w:val="0071755C"/>
    <w:rsid w:val="00720308"/>
    <w:rsid w:val="00720F7E"/>
    <w:rsid w:val="00721205"/>
    <w:rsid w:val="007219DA"/>
    <w:rsid w:val="00722035"/>
    <w:rsid w:val="00722B1C"/>
    <w:rsid w:val="00722F60"/>
    <w:rsid w:val="00723CDC"/>
    <w:rsid w:val="007240F4"/>
    <w:rsid w:val="00724B24"/>
    <w:rsid w:val="00725C45"/>
    <w:rsid w:val="007264C7"/>
    <w:rsid w:val="00726992"/>
    <w:rsid w:val="00726C0D"/>
    <w:rsid w:val="0072758F"/>
    <w:rsid w:val="00727D99"/>
    <w:rsid w:val="00730608"/>
    <w:rsid w:val="007307C0"/>
    <w:rsid w:val="0073227A"/>
    <w:rsid w:val="0073276B"/>
    <w:rsid w:val="007335B1"/>
    <w:rsid w:val="00733D8E"/>
    <w:rsid w:val="0073431C"/>
    <w:rsid w:val="007350EA"/>
    <w:rsid w:val="00735497"/>
    <w:rsid w:val="00735A5F"/>
    <w:rsid w:val="00735D0A"/>
    <w:rsid w:val="00735FB6"/>
    <w:rsid w:val="007364DC"/>
    <w:rsid w:val="00736573"/>
    <w:rsid w:val="007369D1"/>
    <w:rsid w:val="007378A3"/>
    <w:rsid w:val="00737AEC"/>
    <w:rsid w:val="0074133F"/>
    <w:rsid w:val="00741D22"/>
    <w:rsid w:val="00741F68"/>
    <w:rsid w:val="00742230"/>
    <w:rsid w:val="00742267"/>
    <w:rsid w:val="00742C61"/>
    <w:rsid w:val="007452B1"/>
    <w:rsid w:val="00745D29"/>
    <w:rsid w:val="00746443"/>
    <w:rsid w:val="0074646B"/>
    <w:rsid w:val="00750235"/>
    <w:rsid w:val="00750FC5"/>
    <w:rsid w:val="00752454"/>
    <w:rsid w:val="00752E80"/>
    <w:rsid w:val="00753084"/>
    <w:rsid w:val="00753FB5"/>
    <w:rsid w:val="00754409"/>
    <w:rsid w:val="00754460"/>
    <w:rsid w:val="007555C5"/>
    <w:rsid w:val="00756667"/>
    <w:rsid w:val="007604DF"/>
    <w:rsid w:val="00760678"/>
    <w:rsid w:val="007606EB"/>
    <w:rsid w:val="00760E5B"/>
    <w:rsid w:val="00760F80"/>
    <w:rsid w:val="00761020"/>
    <w:rsid w:val="007616DF"/>
    <w:rsid w:val="00763338"/>
    <w:rsid w:val="007640BB"/>
    <w:rsid w:val="007641F1"/>
    <w:rsid w:val="00764561"/>
    <w:rsid w:val="007646BD"/>
    <w:rsid w:val="007658E9"/>
    <w:rsid w:val="007665A2"/>
    <w:rsid w:val="00766722"/>
    <w:rsid w:val="00766857"/>
    <w:rsid w:val="007674FB"/>
    <w:rsid w:val="0076783C"/>
    <w:rsid w:val="00767C29"/>
    <w:rsid w:val="00770576"/>
    <w:rsid w:val="00770B15"/>
    <w:rsid w:val="00771274"/>
    <w:rsid w:val="007713F3"/>
    <w:rsid w:val="007715BC"/>
    <w:rsid w:val="00772380"/>
    <w:rsid w:val="00772922"/>
    <w:rsid w:val="00773253"/>
    <w:rsid w:val="00773546"/>
    <w:rsid w:val="00773862"/>
    <w:rsid w:val="00773DA0"/>
    <w:rsid w:val="00773E6D"/>
    <w:rsid w:val="00774231"/>
    <w:rsid w:val="007743CB"/>
    <w:rsid w:val="00774803"/>
    <w:rsid w:val="007757F3"/>
    <w:rsid w:val="00775DB7"/>
    <w:rsid w:val="00776209"/>
    <w:rsid w:val="00776E93"/>
    <w:rsid w:val="00780422"/>
    <w:rsid w:val="00780542"/>
    <w:rsid w:val="00780F29"/>
    <w:rsid w:val="007812F2"/>
    <w:rsid w:val="00781864"/>
    <w:rsid w:val="007826F3"/>
    <w:rsid w:val="00782ABA"/>
    <w:rsid w:val="00782F8A"/>
    <w:rsid w:val="00783030"/>
    <w:rsid w:val="00785419"/>
    <w:rsid w:val="00786B13"/>
    <w:rsid w:val="00787303"/>
    <w:rsid w:val="00787904"/>
    <w:rsid w:val="00790783"/>
    <w:rsid w:val="00791111"/>
    <w:rsid w:val="0079149A"/>
    <w:rsid w:val="007919DB"/>
    <w:rsid w:val="00792D60"/>
    <w:rsid w:val="007935BD"/>
    <w:rsid w:val="00793948"/>
    <w:rsid w:val="00794CF8"/>
    <w:rsid w:val="007953AD"/>
    <w:rsid w:val="007953DB"/>
    <w:rsid w:val="0079597C"/>
    <w:rsid w:val="007972C6"/>
    <w:rsid w:val="00797730"/>
    <w:rsid w:val="007A0294"/>
    <w:rsid w:val="007A09DE"/>
    <w:rsid w:val="007A2C99"/>
    <w:rsid w:val="007A3C61"/>
    <w:rsid w:val="007A3C76"/>
    <w:rsid w:val="007A3CE1"/>
    <w:rsid w:val="007A46B1"/>
    <w:rsid w:val="007A49C3"/>
    <w:rsid w:val="007A4C86"/>
    <w:rsid w:val="007A585A"/>
    <w:rsid w:val="007A59E0"/>
    <w:rsid w:val="007A5DFA"/>
    <w:rsid w:val="007A60C8"/>
    <w:rsid w:val="007A653B"/>
    <w:rsid w:val="007A78D9"/>
    <w:rsid w:val="007A7AB0"/>
    <w:rsid w:val="007A7E33"/>
    <w:rsid w:val="007B0DC4"/>
    <w:rsid w:val="007B0EC1"/>
    <w:rsid w:val="007B112C"/>
    <w:rsid w:val="007B25A7"/>
    <w:rsid w:val="007B2856"/>
    <w:rsid w:val="007B4950"/>
    <w:rsid w:val="007B4DEE"/>
    <w:rsid w:val="007B4E04"/>
    <w:rsid w:val="007B55A5"/>
    <w:rsid w:val="007B68A8"/>
    <w:rsid w:val="007B6F24"/>
    <w:rsid w:val="007B6F4F"/>
    <w:rsid w:val="007B705F"/>
    <w:rsid w:val="007B7B5B"/>
    <w:rsid w:val="007C04C1"/>
    <w:rsid w:val="007C0998"/>
    <w:rsid w:val="007C09BE"/>
    <w:rsid w:val="007C1493"/>
    <w:rsid w:val="007C1D11"/>
    <w:rsid w:val="007C2B61"/>
    <w:rsid w:val="007C3420"/>
    <w:rsid w:val="007C3B04"/>
    <w:rsid w:val="007C3FA9"/>
    <w:rsid w:val="007C40D6"/>
    <w:rsid w:val="007C55E9"/>
    <w:rsid w:val="007C6FD0"/>
    <w:rsid w:val="007C721A"/>
    <w:rsid w:val="007C7C2B"/>
    <w:rsid w:val="007D0501"/>
    <w:rsid w:val="007D07AB"/>
    <w:rsid w:val="007D0B87"/>
    <w:rsid w:val="007D0DDB"/>
    <w:rsid w:val="007D136A"/>
    <w:rsid w:val="007D1F53"/>
    <w:rsid w:val="007D279B"/>
    <w:rsid w:val="007D2E07"/>
    <w:rsid w:val="007D2EDD"/>
    <w:rsid w:val="007D4ACE"/>
    <w:rsid w:val="007D5735"/>
    <w:rsid w:val="007D5793"/>
    <w:rsid w:val="007D690E"/>
    <w:rsid w:val="007D710A"/>
    <w:rsid w:val="007D78D1"/>
    <w:rsid w:val="007E0A88"/>
    <w:rsid w:val="007E1F10"/>
    <w:rsid w:val="007E264D"/>
    <w:rsid w:val="007E2821"/>
    <w:rsid w:val="007E53C2"/>
    <w:rsid w:val="007E6290"/>
    <w:rsid w:val="007E6958"/>
    <w:rsid w:val="007E74AF"/>
    <w:rsid w:val="007F0239"/>
    <w:rsid w:val="007F0417"/>
    <w:rsid w:val="007F0A5E"/>
    <w:rsid w:val="007F0A89"/>
    <w:rsid w:val="007F17E7"/>
    <w:rsid w:val="007F1A4F"/>
    <w:rsid w:val="007F2EE1"/>
    <w:rsid w:val="007F315D"/>
    <w:rsid w:val="007F38E1"/>
    <w:rsid w:val="007F40F5"/>
    <w:rsid w:val="007F47D7"/>
    <w:rsid w:val="007F5155"/>
    <w:rsid w:val="007F5F88"/>
    <w:rsid w:val="007F62BE"/>
    <w:rsid w:val="007F690E"/>
    <w:rsid w:val="007F6CD7"/>
    <w:rsid w:val="007F6EFE"/>
    <w:rsid w:val="0080137B"/>
    <w:rsid w:val="00801B1B"/>
    <w:rsid w:val="00802292"/>
    <w:rsid w:val="00802806"/>
    <w:rsid w:val="00802967"/>
    <w:rsid w:val="00802DE9"/>
    <w:rsid w:val="00803197"/>
    <w:rsid w:val="00803644"/>
    <w:rsid w:val="00803733"/>
    <w:rsid w:val="00803882"/>
    <w:rsid w:val="00803FAF"/>
    <w:rsid w:val="0080573F"/>
    <w:rsid w:val="00805A0E"/>
    <w:rsid w:val="0080679D"/>
    <w:rsid w:val="008077A7"/>
    <w:rsid w:val="0081096E"/>
    <w:rsid w:val="008119B9"/>
    <w:rsid w:val="00811BA2"/>
    <w:rsid w:val="00813C1D"/>
    <w:rsid w:val="00814349"/>
    <w:rsid w:val="00815300"/>
    <w:rsid w:val="008160B2"/>
    <w:rsid w:val="0081642F"/>
    <w:rsid w:val="00816CF7"/>
    <w:rsid w:val="00817798"/>
    <w:rsid w:val="008179DB"/>
    <w:rsid w:val="008202F2"/>
    <w:rsid w:val="00820318"/>
    <w:rsid w:val="0082080A"/>
    <w:rsid w:val="00820DFC"/>
    <w:rsid w:val="00820FFC"/>
    <w:rsid w:val="008214D0"/>
    <w:rsid w:val="00821A02"/>
    <w:rsid w:val="00822053"/>
    <w:rsid w:val="00822495"/>
    <w:rsid w:val="0082261A"/>
    <w:rsid w:val="00823ACF"/>
    <w:rsid w:val="00823D0A"/>
    <w:rsid w:val="00823F98"/>
    <w:rsid w:val="00825397"/>
    <w:rsid w:val="0082552B"/>
    <w:rsid w:val="00825F4F"/>
    <w:rsid w:val="00826F74"/>
    <w:rsid w:val="00827643"/>
    <w:rsid w:val="00827919"/>
    <w:rsid w:val="00830130"/>
    <w:rsid w:val="008309AD"/>
    <w:rsid w:val="00831460"/>
    <w:rsid w:val="00831F0D"/>
    <w:rsid w:val="00831FC5"/>
    <w:rsid w:val="00832007"/>
    <w:rsid w:val="008320BC"/>
    <w:rsid w:val="0083243E"/>
    <w:rsid w:val="008324FA"/>
    <w:rsid w:val="00833704"/>
    <w:rsid w:val="00833C66"/>
    <w:rsid w:val="0083568B"/>
    <w:rsid w:val="00835B40"/>
    <w:rsid w:val="0083627B"/>
    <w:rsid w:val="008369C9"/>
    <w:rsid w:val="00837995"/>
    <w:rsid w:val="00840106"/>
    <w:rsid w:val="00840589"/>
    <w:rsid w:val="00840906"/>
    <w:rsid w:val="00840A85"/>
    <w:rsid w:val="00841807"/>
    <w:rsid w:val="00842791"/>
    <w:rsid w:val="008427CE"/>
    <w:rsid w:val="00842C4E"/>
    <w:rsid w:val="00843418"/>
    <w:rsid w:val="0084358E"/>
    <w:rsid w:val="00844008"/>
    <w:rsid w:val="00844214"/>
    <w:rsid w:val="008449DB"/>
    <w:rsid w:val="00844C78"/>
    <w:rsid w:val="00844F11"/>
    <w:rsid w:val="00846332"/>
    <w:rsid w:val="00846722"/>
    <w:rsid w:val="0084697C"/>
    <w:rsid w:val="008469A3"/>
    <w:rsid w:val="00847150"/>
    <w:rsid w:val="0085022F"/>
    <w:rsid w:val="0085069E"/>
    <w:rsid w:val="00850EB1"/>
    <w:rsid w:val="0085153F"/>
    <w:rsid w:val="00851649"/>
    <w:rsid w:val="00851C69"/>
    <w:rsid w:val="008522BA"/>
    <w:rsid w:val="00852572"/>
    <w:rsid w:val="00852B57"/>
    <w:rsid w:val="00852F9E"/>
    <w:rsid w:val="00854328"/>
    <w:rsid w:val="0085460F"/>
    <w:rsid w:val="008551E1"/>
    <w:rsid w:val="00855ABF"/>
    <w:rsid w:val="0085605E"/>
    <w:rsid w:val="00856B9A"/>
    <w:rsid w:val="008576D3"/>
    <w:rsid w:val="00857A56"/>
    <w:rsid w:val="00860185"/>
    <w:rsid w:val="00861131"/>
    <w:rsid w:val="008613F1"/>
    <w:rsid w:val="0086217F"/>
    <w:rsid w:val="008623D7"/>
    <w:rsid w:val="0086243D"/>
    <w:rsid w:val="00862517"/>
    <w:rsid w:val="00862963"/>
    <w:rsid w:val="008638F9"/>
    <w:rsid w:val="008639F4"/>
    <w:rsid w:val="00865150"/>
    <w:rsid w:val="00865307"/>
    <w:rsid w:val="00865CC4"/>
    <w:rsid w:val="008660AD"/>
    <w:rsid w:val="00866376"/>
    <w:rsid w:val="008668BC"/>
    <w:rsid w:val="00866C84"/>
    <w:rsid w:val="0086792E"/>
    <w:rsid w:val="00867AD3"/>
    <w:rsid w:val="008700BE"/>
    <w:rsid w:val="008702AE"/>
    <w:rsid w:val="00870498"/>
    <w:rsid w:val="00870C10"/>
    <w:rsid w:val="00872469"/>
    <w:rsid w:val="00872AAD"/>
    <w:rsid w:val="00872FBF"/>
    <w:rsid w:val="0087489E"/>
    <w:rsid w:val="00874E20"/>
    <w:rsid w:val="00875B98"/>
    <w:rsid w:val="008760BB"/>
    <w:rsid w:val="00876759"/>
    <w:rsid w:val="0087710C"/>
    <w:rsid w:val="008773DD"/>
    <w:rsid w:val="0088179E"/>
    <w:rsid w:val="00881A86"/>
    <w:rsid w:val="00881E1F"/>
    <w:rsid w:val="00881F3A"/>
    <w:rsid w:val="00882D56"/>
    <w:rsid w:val="00883D2F"/>
    <w:rsid w:val="00883DD4"/>
    <w:rsid w:val="008840B4"/>
    <w:rsid w:val="0088430C"/>
    <w:rsid w:val="00885CC3"/>
    <w:rsid w:val="00885E06"/>
    <w:rsid w:val="00886491"/>
    <w:rsid w:val="008865F7"/>
    <w:rsid w:val="00886F0A"/>
    <w:rsid w:val="00890240"/>
    <w:rsid w:val="008904B2"/>
    <w:rsid w:val="00890602"/>
    <w:rsid w:val="00890BCF"/>
    <w:rsid w:val="00891193"/>
    <w:rsid w:val="008912BC"/>
    <w:rsid w:val="008918BA"/>
    <w:rsid w:val="008920FA"/>
    <w:rsid w:val="00892574"/>
    <w:rsid w:val="0089325B"/>
    <w:rsid w:val="0089482C"/>
    <w:rsid w:val="0089562F"/>
    <w:rsid w:val="008959B6"/>
    <w:rsid w:val="00895C65"/>
    <w:rsid w:val="0089613E"/>
    <w:rsid w:val="00896C99"/>
    <w:rsid w:val="0089718A"/>
    <w:rsid w:val="00897549"/>
    <w:rsid w:val="00897C5B"/>
    <w:rsid w:val="008A0B54"/>
    <w:rsid w:val="008A0B57"/>
    <w:rsid w:val="008A1B3E"/>
    <w:rsid w:val="008A3314"/>
    <w:rsid w:val="008A3544"/>
    <w:rsid w:val="008A3E26"/>
    <w:rsid w:val="008A5068"/>
    <w:rsid w:val="008A52FC"/>
    <w:rsid w:val="008A5B10"/>
    <w:rsid w:val="008A61B6"/>
    <w:rsid w:val="008A6DA1"/>
    <w:rsid w:val="008A763D"/>
    <w:rsid w:val="008A77C6"/>
    <w:rsid w:val="008B01EA"/>
    <w:rsid w:val="008B082B"/>
    <w:rsid w:val="008B0C4F"/>
    <w:rsid w:val="008B14BF"/>
    <w:rsid w:val="008B2B55"/>
    <w:rsid w:val="008B2F22"/>
    <w:rsid w:val="008B47FC"/>
    <w:rsid w:val="008B4819"/>
    <w:rsid w:val="008B4D95"/>
    <w:rsid w:val="008B65F7"/>
    <w:rsid w:val="008B67C5"/>
    <w:rsid w:val="008B72DF"/>
    <w:rsid w:val="008B7C1F"/>
    <w:rsid w:val="008C051E"/>
    <w:rsid w:val="008C17AC"/>
    <w:rsid w:val="008C1E78"/>
    <w:rsid w:val="008C28E2"/>
    <w:rsid w:val="008C3FFF"/>
    <w:rsid w:val="008C68C9"/>
    <w:rsid w:val="008C6F3F"/>
    <w:rsid w:val="008C7F23"/>
    <w:rsid w:val="008D111D"/>
    <w:rsid w:val="008D1177"/>
    <w:rsid w:val="008D1186"/>
    <w:rsid w:val="008D18F6"/>
    <w:rsid w:val="008D1C86"/>
    <w:rsid w:val="008D2171"/>
    <w:rsid w:val="008D27C1"/>
    <w:rsid w:val="008D27EA"/>
    <w:rsid w:val="008D2CB4"/>
    <w:rsid w:val="008D340C"/>
    <w:rsid w:val="008D3D80"/>
    <w:rsid w:val="008D3F62"/>
    <w:rsid w:val="008D4789"/>
    <w:rsid w:val="008D4950"/>
    <w:rsid w:val="008D4C3C"/>
    <w:rsid w:val="008D4D41"/>
    <w:rsid w:val="008D4F5E"/>
    <w:rsid w:val="008D5383"/>
    <w:rsid w:val="008D5CAC"/>
    <w:rsid w:val="008D5F3A"/>
    <w:rsid w:val="008D60F3"/>
    <w:rsid w:val="008D6A38"/>
    <w:rsid w:val="008D6DF7"/>
    <w:rsid w:val="008E0413"/>
    <w:rsid w:val="008E2168"/>
    <w:rsid w:val="008E223E"/>
    <w:rsid w:val="008E38BA"/>
    <w:rsid w:val="008E398E"/>
    <w:rsid w:val="008E3AF4"/>
    <w:rsid w:val="008E4B1E"/>
    <w:rsid w:val="008E4F7A"/>
    <w:rsid w:val="008E5657"/>
    <w:rsid w:val="008E5C46"/>
    <w:rsid w:val="008E5CB9"/>
    <w:rsid w:val="008E6A67"/>
    <w:rsid w:val="008E7BBA"/>
    <w:rsid w:val="008E7F50"/>
    <w:rsid w:val="008F0D13"/>
    <w:rsid w:val="008F114E"/>
    <w:rsid w:val="008F1863"/>
    <w:rsid w:val="008F1D7B"/>
    <w:rsid w:val="008F3616"/>
    <w:rsid w:val="008F4325"/>
    <w:rsid w:val="008F4428"/>
    <w:rsid w:val="008F4BA2"/>
    <w:rsid w:val="008F4D70"/>
    <w:rsid w:val="008F5201"/>
    <w:rsid w:val="008F5723"/>
    <w:rsid w:val="008F639D"/>
    <w:rsid w:val="008F66BA"/>
    <w:rsid w:val="008F6FBF"/>
    <w:rsid w:val="008F7983"/>
    <w:rsid w:val="008F7993"/>
    <w:rsid w:val="009004D4"/>
    <w:rsid w:val="00901934"/>
    <w:rsid w:val="00902800"/>
    <w:rsid w:val="00902DF6"/>
    <w:rsid w:val="009038EC"/>
    <w:rsid w:val="00903BE0"/>
    <w:rsid w:val="00903C9C"/>
    <w:rsid w:val="00905598"/>
    <w:rsid w:val="009057DD"/>
    <w:rsid w:val="00906561"/>
    <w:rsid w:val="00907A8B"/>
    <w:rsid w:val="00907A99"/>
    <w:rsid w:val="00907D36"/>
    <w:rsid w:val="00907FBF"/>
    <w:rsid w:val="00910347"/>
    <w:rsid w:val="00910A2F"/>
    <w:rsid w:val="00910ADB"/>
    <w:rsid w:val="009112C9"/>
    <w:rsid w:val="00911727"/>
    <w:rsid w:val="00911FAB"/>
    <w:rsid w:val="00912536"/>
    <w:rsid w:val="00912B50"/>
    <w:rsid w:val="00912C37"/>
    <w:rsid w:val="009139C3"/>
    <w:rsid w:val="00914362"/>
    <w:rsid w:val="0091546C"/>
    <w:rsid w:val="00915774"/>
    <w:rsid w:val="00915A18"/>
    <w:rsid w:val="009161BB"/>
    <w:rsid w:val="009161F3"/>
    <w:rsid w:val="00916B4A"/>
    <w:rsid w:val="00916ED1"/>
    <w:rsid w:val="0091745D"/>
    <w:rsid w:val="00917465"/>
    <w:rsid w:val="00917601"/>
    <w:rsid w:val="00920A54"/>
    <w:rsid w:val="00920D64"/>
    <w:rsid w:val="0092122C"/>
    <w:rsid w:val="00923325"/>
    <w:rsid w:val="00925E7B"/>
    <w:rsid w:val="009265A7"/>
    <w:rsid w:val="00927DDF"/>
    <w:rsid w:val="00930255"/>
    <w:rsid w:val="00930E9E"/>
    <w:rsid w:val="0093254E"/>
    <w:rsid w:val="00932C73"/>
    <w:rsid w:val="00932D58"/>
    <w:rsid w:val="00933A1A"/>
    <w:rsid w:val="009348F6"/>
    <w:rsid w:val="00935050"/>
    <w:rsid w:val="009350F0"/>
    <w:rsid w:val="009354DE"/>
    <w:rsid w:val="0093572B"/>
    <w:rsid w:val="00935FF7"/>
    <w:rsid w:val="009360D6"/>
    <w:rsid w:val="009360EB"/>
    <w:rsid w:val="00937E80"/>
    <w:rsid w:val="00940147"/>
    <w:rsid w:val="00940863"/>
    <w:rsid w:val="009414D4"/>
    <w:rsid w:val="00941CC0"/>
    <w:rsid w:val="0094309F"/>
    <w:rsid w:val="00943286"/>
    <w:rsid w:val="0094382F"/>
    <w:rsid w:val="0094456E"/>
    <w:rsid w:val="00945D81"/>
    <w:rsid w:val="009464F0"/>
    <w:rsid w:val="009470D9"/>
    <w:rsid w:val="0095037F"/>
    <w:rsid w:val="00950ED3"/>
    <w:rsid w:val="009514B2"/>
    <w:rsid w:val="00953103"/>
    <w:rsid w:val="00953ABF"/>
    <w:rsid w:val="0095414C"/>
    <w:rsid w:val="00954AB3"/>
    <w:rsid w:val="00955504"/>
    <w:rsid w:val="009555F9"/>
    <w:rsid w:val="00955C22"/>
    <w:rsid w:val="00955C37"/>
    <w:rsid w:val="00955F62"/>
    <w:rsid w:val="0095646E"/>
    <w:rsid w:val="00956E5D"/>
    <w:rsid w:val="00957BA0"/>
    <w:rsid w:val="00957CCC"/>
    <w:rsid w:val="0096006F"/>
    <w:rsid w:val="009609A0"/>
    <w:rsid w:val="00960FA6"/>
    <w:rsid w:val="0096128C"/>
    <w:rsid w:val="00961339"/>
    <w:rsid w:val="00961B17"/>
    <w:rsid w:val="00961F84"/>
    <w:rsid w:val="009621AF"/>
    <w:rsid w:val="00963C1C"/>
    <w:rsid w:val="00964798"/>
    <w:rsid w:val="00965A01"/>
    <w:rsid w:val="00965D3C"/>
    <w:rsid w:val="00966103"/>
    <w:rsid w:val="0096786C"/>
    <w:rsid w:val="00967934"/>
    <w:rsid w:val="00967B1C"/>
    <w:rsid w:val="00967E40"/>
    <w:rsid w:val="00970811"/>
    <w:rsid w:val="00970919"/>
    <w:rsid w:val="00970EA3"/>
    <w:rsid w:val="0097136C"/>
    <w:rsid w:val="0097155C"/>
    <w:rsid w:val="00971673"/>
    <w:rsid w:val="00971D76"/>
    <w:rsid w:val="00971F4C"/>
    <w:rsid w:val="00972D2F"/>
    <w:rsid w:val="00972F6E"/>
    <w:rsid w:val="009732C5"/>
    <w:rsid w:val="009732D5"/>
    <w:rsid w:val="009740B8"/>
    <w:rsid w:val="00974B9F"/>
    <w:rsid w:val="00975592"/>
    <w:rsid w:val="0097582F"/>
    <w:rsid w:val="00975C0B"/>
    <w:rsid w:val="00975FC4"/>
    <w:rsid w:val="00977280"/>
    <w:rsid w:val="0097760B"/>
    <w:rsid w:val="0097772F"/>
    <w:rsid w:val="00977B8C"/>
    <w:rsid w:val="00981788"/>
    <w:rsid w:val="00981804"/>
    <w:rsid w:val="00982C92"/>
    <w:rsid w:val="00982D8E"/>
    <w:rsid w:val="00983FA1"/>
    <w:rsid w:val="009843DC"/>
    <w:rsid w:val="00984FF2"/>
    <w:rsid w:val="0098593F"/>
    <w:rsid w:val="00985FDC"/>
    <w:rsid w:val="0098690C"/>
    <w:rsid w:val="00986B52"/>
    <w:rsid w:val="00987865"/>
    <w:rsid w:val="009900B7"/>
    <w:rsid w:val="009900C8"/>
    <w:rsid w:val="00990300"/>
    <w:rsid w:val="0099078F"/>
    <w:rsid w:val="00990D55"/>
    <w:rsid w:val="00990FEC"/>
    <w:rsid w:val="00991352"/>
    <w:rsid w:val="0099198F"/>
    <w:rsid w:val="00991C9F"/>
    <w:rsid w:val="00992E6F"/>
    <w:rsid w:val="00993372"/>
    <w:rsid w:val="009942C4"/>
    <w:rsid w:val="00994469"/>
    <w:rsid w:val="00995026"/>
    <w:rsid w:val="0099572F"/>
    <w:rsid w:val="00995E78"/>
    <w:rsid w:val="009967DE"/>
    <w:rsid w:val="00996881"/>
    <w:rsid w:val="009976F6"/>
    <w:rsid w:val="009978C5"/>
    <w:rsid w:val="009A0A53"/>
    <w:rsid w:val="009A0FF5"/>
    <w:rsid w:val="009A18F3"/>
    <w:rsid w:val="009A39B7"/>
    <w:rsid w:val="009A51A5"/>
    <w:rsid w:val="009A5338"/>
    <w:rsid w:val="009A59F3"/>
    <w:rsid w:val="009A6371"/>
    <w:rsid w:val="009A647B"/>
    <w:rsid w:val="009A67A5"/>
    <w:rsid w:val="009A681A"/>
    <w:rsid w:val="009A6C92"/>
    <w:rsid w:val="009A6D03"/>
    <w:rsid w:val="009A73F8"/>
    <w:rsid w:val="009A7DF7"/>
    <w:rsid w:val="009B037F"/>
    <w:rsid w:val="009B11D8"/>
    <w:rsid w:val="009B1444"/>
    <w:rsid w:val="009B171B"/>
    <w:rsid w:val="009B1D65"/>
    <w:rsid w:val="009B2012"/>
    <w:rsid w:val="009B24CD"/>
    <w:rsid w:val="009B36E1"/>
    <w:rsid w:val="009B37B5"/>
    <w:rsid w:val="009B386B"/>
    <w:rsid w:val="009B40E0"/>
    <w:rsid w:val="009B4FDA"/>
    <w:rsid w:val="009B5388"/>
    <w:rsid w:val="009B5A73"/>
    <w:rsid w:val="009B5AF9"/>
    <w:rsid w:val="009B5B09"/>
    <w:rsid w:val="009B5F72"/>
    <w:rsid w:val="009B6479"/>
    <w:rsid w:val="009B68AD"/>
    <w:rsid w:val="009B7456"/>
    <w:rsid w:val="009C1696"/>
    <w:rsid w:val="009C1DBB"/>
    <w:rsid w:val="009C20D9"/>
    <w:rsid w:val="009C2281"/>
    <w:rsid w:val="009C3564"/>
    <w:rsid w:val="009C38A6"/>
    <w:rsid w:val="009C3E5F"/>
    <w:rsid w:val="009C4CD6"/>
    <w:rsid w:val="009C5D74"/>
    <w:rsid w:val="009C6B98"/>
    <w:rsid w:val="009C6D5A"/>
    <w:rsid w:val="009C7475"/>
    <w:rsid w:val="009C7D4C"/>
    <w:rsid w:val="009D1037"/>
    <w:rsid w:val="009D1C51"/>
    <w:rsid w:val="009D1D15"/>
    <w:rsid w:val="009D1EF4"/>
    <w:rsid w:val="009D268C"/>
    <w:rsid w:val="009D2B0A"/>
    <w:rsid w:val="009D5384"/>
    <w:rsid w:val="009D5E83"/>
    <w:rsid w:val="009D5F62"/>
    <w:rsid w:val="009D64B2"/>
    <w:rsid w:val="009D6D02"/>
    <w:rsid w:val="009D727A"/>
    <w:rsid w:val="009D73AE"/>
    <w:rsid w:val="009D7678"/>
    <w:rsid w:val="009D7788"/>
    <w:rsid w:val="009D7821"/>
    <w:rsid w:val="009E03CC"/>
    <w:rsid w:val="009E0908"/>
    <w:rsid w:val="009E0E5D"/>
    <w:rsid w:val="009E1076"/>
    <w:rsid w:val="009E2DE3"/>
    <w:rsid w:val="009E350A"/>
    <w:rsid w:val="009E3B83"/>
    <w:rsid w:val="009E3DC1"/>
    <w:rsid w:val="009E41FA"/>
    <w:rsid w:val="009E50A5"/>
    <w:rsid w:val="009E6376"/>
    <w:rsid w:val="009E6F65"/>
    <w:rsid w:val="009E7C27"/>
    <w:rsid w:val="009F0F5A"/>
    <w:rsid w:val="009F1014"/>
    <w:rsid w:val="009F15F9"/>
    <w:rsid w:val="009F183B"/>
    <w:rsid w:val="009F23AC"/>
    <w:rsid w:val="009F26C4"/>
    <w:rsid w:val="009F274B"/>
    <w:rsid w:val="009F3196"/>
    <w:rsid w:val="009F3B63"/>
    <w:rsid w:val="009F43E8"/>
    <w:rsid w:val="009F465C"/>
    <w:rsid w:val="009F4B41"/>
    <w:rsid w:val="009F4D16"/>
    <w:rsid w:val="009F5181"/>
    <w:rsid w:val="009F587B"/>
    <w:rsid w:val="009F5BE6"/>
    <w:rsid w:val="009F5C8C"/>
    <w:rsid w:val="009F5EBF"/>
    <w:rsid w:val="009F6206"/>
    <w:rsid w:val="009F686B"/>
    <w:rsid w:val="009F6AD7"/>
    <w:rsid w:val="009F774F"/>
    <w:rsid w:val="00A00349"/>
    <w:rsid w:val="00A0082C"/>
    <w:rsid w:val="00A01A00"/>
    <w:rsid w:val="00A01E92"/>
    <w:rsid w:val="00A027B9"/>
    <w:rsid w:val="00A02910"/>
    <w:rsid w:val="00A02BF5"/>
    <w:rsid w:val="00A030AD"/>
    <w:rsid w:val="00A039E5"/>
    <w:rsid w:val="00A03A20"/>
    <w:rsid w:val="00A05713"/>
    <w:rsid w:val="00A063AA"/>
    <w:rsid w:val="00A066C6"/>
    <w:rsid w:val="00A06A54"/>
    <w:rsid w:val="00A06E72"/>
    <w:rsid w:val="00A06ED0"/>
    <w:rsid w:val="00A10304"/>
    <w:rsid w:val="00A11D9A"/>
    <w:rsid w:val="00A12861"/>
    <w:rsid w:val="00A133D5"/>
    <w:rsid w:val="00A139C2"/>
    <w:rsid w:val="00A13E5D"/>
    <w:rsid w:val="00A14B9D"/>
    <w:rsid w:val="00A14E10"/>
    <w:rsid w:val="00A153F9"/>
    <w:rsid w:val="00A1543F"/>
    <w:rsid w:val="00A16240"/>
    <w:rsid w:val="00A1667D"/>
    <w:rsid w:val="00A166E9"/>
    <w:rsid w:val="00A168B6"/>
    <w:rsid w:val="00A16CF2"/>
    <w:rsid w:val="00A173C0"/>
    <w:rsid w:val="00A220A1"/>
    <w:rsid w:val="00A223F1"/>
    <w:rsid w:val="00A229B9"/>
    <w:rsid w:val="00A252B2"/>
    <w:rsid w:val="00A25331"/>
    <w:rsid w:val="00A258DD"/>
    <w:rsid w:val="00A2620D"/>
    <w:rsid w:val="00A26570"/>
    <w:rsid w:val="00A26A6F"/>
    <w:rsid w:val="00A27026"/>
    <w:rsid w:val="00A27531"/>
    <w:rsid w:val="00A27B02"/>
    <w:rsid w:val="00A30023"/>
    <w:rsid w:val="00A30059"/>
    <w:rsid w:val="00A3183D"/>
    <w:rsid w:val="00A32A3F"/>
    <w:rsid w:val="00A32E58"/>
    <w:rsid w:val="00A33598"/>
    <w:rsid w:val="00A33FF7"/>
    <w:rsid w:val="00A34DA1"/>
    <w:rsid w:val="00A35261"/>
    <w:rsid w:val="00A35FBE"/>
    <w:rsid w:val="00A36A0C"/>
    <w:rsid w:val="00A36D94"/>
    <w:rsid w:val="00A36DC3"/>
    <w:rsid w:val="00A37784"/>
    <w:rsid w:val="00A378B9"/>
    <w:rsid w:val="00A37A39"/>
    <w:rsid w:val="00A414F9"/>
    <w:rsid w:val="00A41BCD"/>
    <w:rsid w:val="00A421A1"/>
    <w:rsid w:val="00A427D2"/>
    <w:rsid w:val="00A434AA"/>
    <w:rsid w:val="00A4353A"/>
    <w:rsid w:val="00A43D87"/>
    <w:rsid w:val="00A43F4F"/>
    <w:rsid w:val="00A440C7"/>
    <w:rsid w:val="00A44583"/>
    <w:rsid w:val="00A44B2B"/>
    <w:rsid w:val="00A44E9E"/>
    <w:rsid w:val="00A45F24"/>
    <w:rsid w:val="00A45FAF"/>
    <w:rsid w:val="00A46D6A"/>
    <w:rsid w:val="00A52BC2"/>
    <w:rsid w:val="00A535F2"/>
    <w:rsid w:val="00A54129"/>
    <w:rsid w:val="00A54877"/>
    <w:rsid w:val="00A54B76"/>
    <w:rsid w:val="00A54E7B"/>
    <w:rsid w:val="00A54F9A"/>
    <w:rsid w:val="00A552FD"/>
    <w:rsid w:val="00A55804"/>
    <w:rsid w:val="00A558A7"/>
    <w:rsid w:val="00A5614A"/>
    <w:rsid w:val="00A562FA"/>
    <w:rsid w:val="00A56523"/>
    <w:rsid w:val="00A56AF4"/>
    <w:rsid w:val="00A56D39"/>
    <w:rsid w:val="00A576F5"/>
    <w:rsid w:val="00A57FA8"/>
    <w:rsid w:val="00A60031"/>
    <w:rsid w:val="00A60168"/>
    <w:rsid w:val="00A60AC9"/>
    <w:rsid w:val="00A60B2B"/>
    <w:rsid w:val="00A60F0F"/>
    <w:rsid w:val="00A61D1B"/>
    <w:rsid w:val="00A61F91"/>
    <w:rsid w:val="00A627C0"/>
    <w:rsid w:val="00A6336C"/>
    <w:rsid w:val="00A63652"/>
    <w:rsid w:val="00A63F30"/>
    <w:rsid w:val="00A6409E"/>
    <w:rsid w:val="00A64912"/>
    <w:rsid w:val="00A649D2"/>
    <w:rsid w:val="00A64DD2"/>
    <w:rsid w:val="00A66942"/>
    <w:rsid w:val="00A67F51"/>
    <w:rsid w:val="00A70650"/>
    <w:rsid w:val="00A723A3"/>
    <w:rsid w:val="00A72F9A"/>
    <w:rsid w:val="00A73273"/>
    <w:rsid w:val="00A733F1"/>
    <w:rsid w:val="00A7456D"/>
    <w:rsid w:val="00A75E67"/>
    <w:rsid w:val="00A77848"/>
    <w:rsid w:val="00A81213"/>
    <w:rsid w:val="00A819B7"/>
    <w:rsid w:val="00A81C72"/>
    <w:rsid w:val="00A81EBB"/>
    <w:rsid w:val="00A8251D"/>
    <w:rsid w:val="00A8385C"/>
    <w:rsid w:val="00A83897"/>
    <w:rsid w:val="00A83E54"/>
    <w:rsid w:val="00A84BF8"/>
    <w:rsid w:val="00A85492"/>
    <w:rsid w:val="00A85F32"/>
    <w:rsid w:val="00A85FAA"/>
    <w:rsid w:val="00A86E54"/>
    <w:rsid w:val="00A87132"/>
    <w:rsid w:val="00A87A19"/>
    <w:rsid w:val="00A87E78"/>
    <w:rsid w:val="00A906CE"/>
    <w:rsid w:val="00A90744"/>
    <w:rsid w:val="00A90B31"/>
    <w:rsid w:val="00A91B80"/>
    <w:rsid w:val="00A91C18"/>
    <w:rsid w:val="00A92083"/>
    <w:rsid w:val="00A928C8"/>
    <w:rsid w:val="00A935CF"/>
    <w:rsid w:val="00A94CE0"/>
    <w:rsid w:val="00A94DFE"/>
    <w:rsid w:val="00A956FA"/>
    <w:rsid w:val="00A963EF"/>
    <w:rsid w:val="00AA1235"/>
    <w:rsid w:val="00AA1BFE"/>
    <w:rsid w:val="00AA2064"/>
    <w:rsid w:val="00AA2498"/>
    <w:rsid w:val="00AA2857"/>
    <w:rsid w:val="00AA2D27"/>
    <w:rsid w:val="00AA308A"/>
    <w:rsid w:val="00AA3805"/>
    <w:rsid w:val="00AA4365"/>
    <w:rsid w:val="00AA4457"/>
    <w:rsid w:val="00AA48A5"/>
    <w:rsid w:val="00AA49C6"/>
    <w:rsid w:val="00AA5303"/>
    <w:rsid w:val="00AA6240"/>
    <w:rsid w:val="00AA6327"/>
    <w:rsid w:val="00AA65DB"/>
    <w:rsid w:val="00AA6FB0"/>
    <w:rsid w:val="00AA753A"/>
    <w:rsid w:val="00AA76B4"/>
    <w:rsid w:val="00AA7A6D"/>
    <w:rsid w:val="00AB0163"/>
    <w:rsid w:val="00AB03D5"/>
    <w:rsid w:val="00AB0BE0"/>
    <w:rsid w:val="00AB0D1D"/>
    <w:rsid w:val="00AB16AE"/>
    <w:rsid w:val="00AB2EBA"/>
    <w:rsid w:val="00AB2F68"/>
    <w:rsid w:val="00AB32B6"/>
    <w:rsid w:val="00AB334C"/>
    <w:rsid w:val="00AB3B9D"/>
    <w:rsid w:val="00AB4461"/>
    <w:rsid w:val="00AB4651"/>
    <w:rsid w:val="00AB4727"/>
    <w:rsid w:val="00AB4F32"/>
    <w:rsid w:val="00AB5237"/>
    <w:rsid w:val="00AB579D"/>
    <w:rsid w:val="00AB59EE"/>
    <w:rsid w:val="00AB5EEF"/>
    <w:rsid w:val="00AB675D"/>
    <w:rsid w:val="00AB6771"/>
    <w:rsid w:val="00AB6EB6"/>
    <w:rsid w:val="00AB7E93"/>
    <w:rsid w:val="00AC01E5"/>
    <w:rsid w:val="00AC0820"/>
    <w:rsid w:val="00AC1353"/>
    <w:rsid w:val="00AC1384"/>
    <w:rsid w:val="00AC1B3C"/>
    <w:rsid w:val="00AC2DF7"/>
    <w:rsid w:val="00AC375D"/>
    <w:rsid w:val="00AC3C1B"/>
    <w:rsid w:val="00AC3F72"/>
    <w:rsid w:val="00AC5020"/>
    <w:rsid w:val="00AC540F"/>
    <w:rsid w:val="00AC575E"/>
    <w:rsid w:val="00AC65AA"/>
    <w:rsid w:val="00AC6C19"/>
    <w:rsid w:val="00AC7290"/>
    <w:rsid w:val="00AD0491"/>
    <w:rsid w:val="00AD062C"/>
    <w:rsid w:val="00AD18D9"/>
    <w:rsid w:val="00AD1EB2"/>
    <w:rsid w:val="00AD2469"/>
    <w:rsid w:val="00AD2F95"/>
    <w:rsid w:val="00AD3363"/>
    <w:rsid w:val="00AD6379"/>
    <w:rsid w:val="00AD6664"/>
    <w:rsid w:val="00AD676E"/>
    <w:rsid w:val="00AD6798"/>
    <w:rsid w:val="00AD67D2"/>
    <w:rsid w:val="00AD6DA2"/>
    <w:rsid w:val="00AD7F72"/>
    <w:rsid w:val="00AE08B7"/>
    <w:rsid w:val="00AE0FC9"/>
    <w:rsid w:val="00AE13AA"/>
    <w:rsid w:val="00AE1A18"/>
    <w:rsid w:val="00AE2022"/>
    <w:rsid w:val="00AE25E6"/>
    <w:rsid w:val="00AE3D3B"/>
    <w:rsid w:val="00AE50AF"/>
    <w:rsid w:val="00AE6A94"/>
    <w:rsid w:val="00AE7A5C"/>
    <w:rsid w:val="00AF082D"/>
    <w:rsid w:val="00AF24C1"/>
    <w:rsid w:val="00AF3240"/>
    <w:rsid w:val="00AF3660"/>
    <w:rsid w:val="00AF3A17"/>
    <w:rsid w:val="00AF4600"/>
    <w:rsid w:val="00AF5F28"/>
    <w:rsid w:val="00AF609F"/>
    <w:rsid w:val="00AF6672"/>
    <w:rsid w:val="00AF6978"/>
    <w:rsid w:val="00AF6BDC"/>
    <w:rsid w:val="00AF6CCD"/>
    <w:rsid w:val="00AF77B3"/>
    <w:rsid w:val="00AF7E79"/>
    <w:rsid w:val="00B00B00"/>
    <w:rsid w:val="00B00F93"/>
    <w:rsid w:val="00B011A2"/>
    <w:rsid w:val="00B01301"/>
    <w:rsid w:val="00B015BA"/>
    <w:rsid w:val="00B01ED2"/>
    <w:rsid w:val="00B02679"/>
    <w:rsid w:val="00B03FB8"/>
    <w:rsid w:val="00B04B6F"/>
    <w:rsid w:val="00B04CA0"/>
    <w:rsid w:val="00B0558A"/>
    <w:rsid w:val="00B06299"/>
    <w:rsid w:val="00B06577"/>
    <w:rsid w:val="00B06739"/>
    <w:rsid w:val="00B068AC"/>
    <w:rsid w:val="00B06DCF"/>
    <w:rsid w:val="00B07A33"/>
    <w:rsid w:val="00B07A47"/>
    <w:rsid w:val="00B07BF5"/>
    <w:rsid w:val="00B115A1"/>
    <w:rsid w:val="00B119A4"/>
    <w:rsid w:val="00B12165"/>
    <w:rsid w:val="00B12344"/>
    <w:rsid w:val="00B13D14"/>
    <w:rsid w:val="00B14097"/>
    <w:rsid w:val="00B14568"/>
    <w:rsid w:val="00B14CD9"/>
    <w:rsid w:val="00B15148"/>
    <w:rsid w:val="00B15162"/>
    <w:rsid w:val="00B15555"/>
    <w:rsid w:val="00B155AA"/>
    <w:rsid w:val="00B15A8A"/>
    <w:rsid w:val="00B166AE"/>
    <w:rsid w:val="00B168DD"/>
    <w:rsid w:val="00B16938"/>
    <w:rsid w:val="00B178A3"/>
    <w:rsid w:val="00B201EF"/>
    <w:rsid w:val="00B2087C"/>
    <w:rsid w:val="00B20937"/>
    <w:rsid w:val="00B20B90"/>
    <w:rsid w:val="00B21402"/>
    <w:rsid w:val="00B21564"/>
    <w:rsid w:val="00B227FD"/>
    <w:rsid w:val="00B22E68"/>
    <w:rsid w:val="00B23322"/>
    <w:rsid w:val="00B23BE5"/>
    <w:rsid w:val="00B23D1F"/>
    <w:rsid w:val="00B24A21"/>
    <w:rsid w:val="00B26647"/>
    <w:rsid w:val="00B2795C"/>
    <w:rsid w:val="00B30268"/>
    <w:rsid w:val="00B30840"/>
    <w:rsid w:val="00B31DFC"/>
    <w:rsid w:val="00B3258C"/>
    <w:rsid w:val="00B32CA8"/>
    <w:rsid w:val="00B330BA"/>
    <w:rsid w:val="00B33106"/>
    <w:rsid w:val="00B340A4"/>
    <w:rsid w:val="00B34166"/>
    <w:rsid w:val="00B343D1"/>
    <w:rsid w:val="00B347D9"/>
    <w:rsid w:val="00B34E12"/>
    <w:rsid w:val="00B3542D"/>
    <w:rsid w:val="00B355CC"/>
    <w:rsid w:val="00B35A39"/>
    <w:rsid w:val="00B35BF2"/>
    <w:rsid w:val="00B363B4"/>
    <w:rsid w:val="00B367D6"/>
    <w:rsid w:val="00B36884"/>
    <w:rsid w:val="00B37265"/>
    <w:rsid w:val="00B37409"/>
    <w:rsid w:val="00B37ABC"/>
    <w:rsid w:val="00B40384"/>
    <w:rsid w:val="00B40749"/>
    <w:rsid w:val="00B40E95"/>
    <w:rsid w:val="00B41479"/>
    <w:rsid w:val="00B41C00"/>
    <w:rsid w:val="00B41D4B"/>
    <w:rsid w:val="00B41EFB"/>
    <w:rsid w:val="00B41FCA"/>
    <w:rsid w:val="00B429C9"/>
    <w:rsid w:val="00B42B21"/>
    <w:rsid w:val="00B434D6"/>
    <w:rsid w:val="00B43692"/>
    <w:rsid w:val="00B44890"/>
    <w:rsid w:val="00B44A58"/>
    <w:rsid w:val="00B44C32"/>
    <w:rsid w:val="00B450CB"/>
    <w:rsid w:val="00B45735"/>
    <w:rsid w:val="00B459D2"/>
    <w:rsid w:val="00B45C93"/>
    <w:rsid w:val="00B4616B"/>
    <w:rsid w:val="00B463D2"/>
    <w:rsid w:val="00B46E7F"/>
    <w:rsid w:val="00B501B5"/>
    <w:rsid w:val="00B50305"/>
    <w:rsid w:val="00B503D3"/>
    <w:rsid w:val="00B50BE8"/>
    <w:rsid w:val="00B50C77"/>
    <w:rsid w:val="00B5165C"/>
    <w:rsid w:val="00B5234C"/>
    <w:rsid w:val="00B525D8"/>
    <w:rsid w:val="00B526B5"/>
    <w:rsid w:val="00B52898"/>
    <w:rsid w:val="00B53405"/>
    <w:rsid w:val="00B53FF4"/>
    <w:rsid w:val="00B55812"/>
    <w:rsid w:val="00B55948"/>
    <w:rsid w:val="00B55C73"/>
    <w:rsid w:val="00B560B0"/>
    <w:rsid w:val="00B5664A"/>
    <w:rsid w:val="00B569CD"/>
    <w:rsid w:val="00B56DDF"/>
    <w:rsid w:val="00B570D6"/>
    <w:rsid w:val="00B606DD"/>
    <w:rsid w:val="00B61A54"/>
    <w:rsid w:val="00B61B34"/>
    <w:rsid w:val="00B629F7"/>
    <w:rsid w:val="00B62AB0"/>
    <w:rsid w:val="00B63705"/>
    <w:rsid w:val="00B6385A"/>
    <w:rsid w:val="00B6399A"/>
    <w:rsid w:val="00B639B1"/>
    <w:rsid w:val="00B64066"/>
    <w:rsid w:val="00B64483"/>
    <w:rsid w:val="00B64F28"/>
    <w:rsid w:val="00B65866"/>
    <w:rsid w:val="00B65C90"/>
    <w:rsid w:val="00B66700"/>
    <w:rsid w:val="00B66716"/>
    <w:rsid w:val="00B70690"/>
    <w:rsid w:val="00B70C26"/>
    <w:rsid w:val="00B71E18"/>
    <w:rsid w:val="00B7241C"/>
    <w:rsid w:val="00B72F8F"/>
    <w:rsid w:val="00B72F94"/>
    <w:rsid w:val="00B73B5A"/>
    <w:rsid w:val="00B748A8"/>
    <w:rsid w:val="00B74ED9"/>
    <w:rsid w:val="00B754BB"/>
    <w:rsid w:val="00B759D5"/>
    <w:rsid w:val="00B7683E"/>
    <w:rsid w:val="00B76EDA"/>
    <w:rsid w:val="00B76FA5"/>
    <w:rsid w:val="00B774AD"/>
    <w:rsid w:val="00B814C1"/>
    <w:rsid w:val="00B81BD6"/>
    <w:rsid w:val="00B823DB"/>
    <w:rsid w:val="00B82F04"/>
    <w:rsid w:val="00B8368F"/>
    <w:rsid w:val="00B83DCE"/>
    <w:rsid w:val="00B841C5"/>
    <w:rsid w:val="00B84F03"/>
    <w:rsid w:val="00B853AC"/>
    <w:rsid w:val="00B862A7"/>
    <w:rsid w:val="00B87359"/>
    <w:rsid w:val="00B8749B"/>
    <w:rsid w:val="00B87CAF"/>
    <w:rsid w:val="00B917AD"/>
    <w:rsid w:val="00B91A86"/>
    <w:rsid w:val="00B91E1E"/>
    <w:rsid w:val="00B940B9"/>
    <w:rsid w:val="00B941A5"/>
    <w:rsid w:val="00B9431B"/>
    <w:rsid w:val="00B94F9D"/>
    <w:rsid w:val="00B95314"/>
    <w:rsid w:val="00B95844"/>
    <w:rsid w:val="00B96093"/>
    <w:rsid w:val="00B96BC4"/>
    <w:rsid w:val="00B96FAF"/>
    <w:rsid w:val="00B97FD8"/>
    <w:rsid w:val="00BA08EB"/>
    <w:rsid w:val="00BA0B3E"/>
    <w:rsid w:val="00BA15FE"/>
    <w:rsid w:val="00BA1EB2"/>
    <w:rsid w:val="00BA2194"/>
    <w:rsid w:val="00BA3AFF"/>
    <w:rsid w:val="00BA3B26"/>
    <w:rsid w:val="00BA5482"/>
    <w:rsid w:val="00BA570D"/>
    <w:rsid w:val="00BA5829"/>
    <w:rsid w:val="00BA61D9"/>
    <w:rsid w:val="00BA6B05"/>
    <w:rsid w:val="00BA76F1"/>
    <w:rsid w:val="00BB0F93"/>
    <w:rsid w:val="00BB12BB"/>
    <w:rsid w:val="00BB144C"/>
    <w:rsid w:val="00BB1725"/>
    <w:rsid w:val="00BB18CA"/>
    <w:rsid w:val="00BB26E8"/>
    <w:rsid w:val="00BB2941"/>
    <w:rsid w:val="00BB3401"/>
    <w:rsid w:val="00BB3493"/>
    <w:rsid w:val="00BB38E6"/>
    <w:rsid w:val="00BB455E"/>
    <w:rsid w:val="00BB4A8F"/>
    <w:rsid w:val="00BB5100"/>
    <w:rsid w:val="00BB5101"/>
    <w:rsid w:val="00BB59DF"/>
    <w:rsid w:val="00BB5F72"/>
    <w:rsid w:val="00BB64DC"/>
    <w:rsid w:val="00BB64E1"/>
    <w:rsid w:val="00BB6651"/>
    <w:rsid w:val="00BB724A"/>
    <w:rsid w:val="00BB7D15"/>
    <w:rsid w:val="00BC0032"/>
    <w:rsid w:val="00BC00A6"/>
    <w:rsid w:val="00BC0E8E"/>
    <w:rsid w:val="00BC11DF"/>
    <w:rsid w:val="00BC1908"/>
    <w:rsid w:val="00BC1C7E"/>
    <w:rsid w:val="00BC27C6"/>
    <w:rsid w:val="00BC2C0A"/>
    <w:rsid w:val="00BC34C1"/>
    <w:rsid w:val="00BC3582"/>
    <w:rsid w:val="00BC3FA0"/>
    <w:rsid w:val="00BC47F1"/>
    <w:rsid w:val="00BC4981"/>
    <w:rsid w:val="00BC4A10"/>
    <w:rsid w:val="00BC5D67"/>
    <w:rsid w:val="00BC6282"/>
    <w:rsid w:val="00BC6663"/>
    <w:rsid w:val="00BC67DD"/>
    <w:rsid w:val="00BC6F79"/>
    <w:rsid w:val="00BC6F8B"/>
    <w:rsid w:val="00BC70BD"/>
    <w:rsid w:val="00BC737D"/>
    <w:rsid w:val="00BD0048"/>
    <w:rsid w:val="00BD047D"/>
    <w:rsid w:val="00BD0DA4"/>
    <w:rsid w:val="00BD125C"/>
    <w:rsid w:val="00BD2018"/>
    <w:rsid w:val="00BD2E60"/>
    <w:rsid w:val="00BD2E67"/>
    <w:rsid w:val="00BD3273"/>
    <w:rsid w:val="00BD3902"/>
    <w:rsid w:val="00BD4197"/>
    <w:rsid w:val="00BD47B8"/>
    <w:rsid w:val="00BD4C4C"/>
    <w:rsid w:val="00BD6289"/>
    <w:rsid w:val="00BD6678"/>
    <w:rsid w:val="00BD6C4C"/>
    <w:rsid w:val="00BD747C"/>
    <w:rsid w:val="00BD7CA8"/>
    <w:rsid w:val="00BD7E83"/>
    <w:rsid w:val="00BE1742"/>
    <w:rsid w:val="00BE1C26"/>
    <w:rsid w:val="00BE1D9A"/>
    <w:rsid w:val="00BE37B6"/>
    <w:rsid w:val="00BE4384"/>
    <w:rsid w:val="00BE5660"/>
    <w:rsid w:val="00BE5CC4"/>
    <w:rsid w:val="00BE654A"/>
    <w:rsid w:val="00BE66DA"/>
    <w:rsid w:val="00BE6881"/>
    <w:rsid w:val="00BE69EE"/>
    <w:rsid w:val="00BE7068"/>
    <w:rsid w:val="00BE7DF6"/>
    <w:rsid w:val="00BF0AB3"/>
    <w:rsid w:val="00BF112D"/>
    <w:rsid w:val="00BF125B"/>
    <w:rsid w:val="00BF1F23"/>
    <w:rsid w:val="00BF2265"/>
    <w:rsid w:val="00BF2546"/>
    <w:rsid w:val="00BF35AD"/>
    <w:rsid w:val="00BF388B"/>
    <w:rsid w:val="00BF4454"/>
    <w:rsid w:val="00BF4720"/>
    <w:rsid w:val="00BF4B87"/>
    <w:rsid w:val="00BF4FC4"/>
    <w:rsid w:val="00BF5840"/>
    <w:rsid w:val="00BF5CC6"/>
    <w:rsid w:val="00BF6237"/>
    <w:rsid w:val="00BF67AF"/>
    <w:rsid w:val="00BF6B0D"/>
    <w:rsid w:val="00BF6C06"/>
    <w:rsid w:val="00BF707D"/>
    <w:rsid w:val="00C01B04"/>
    <w:rsid w:val="00C02282"/>
    <w:rsid w:val="00C02969"/>
    <w:rsid w:val="00C03574"/>
    <w:rsid w:val="00C0421D"/>
    <w:rsid w:val="00C0582B"/>
    <w:rsid w:val="00C05CA1"/>
    <w:rsid w:val="00C06727"/>
    <w:rsid w:val="00C06AF1"/>
    <w:rsid w:val="00C06BA9"/>
    <w:rsid w:val="00C06C79"/>
    <w:rsid w:val="00C0764C"/>
    <w:rsid w:val="00C0793B"/>
    <w:rsid w:val="00C07CAB"/>
    <w:rsid w:val="00C113ED"/>
    <w:rsid w:val="00C119F2"/>
    <w:rsid w:val="00C14954"/>
    <w:rsid w:val="00C14DE4"/>
    <w:rsid w:val="00C15294"/>
    <w:rsid w:val="00C15FE1"/>
    <w:rsid w:val="00C1639C"/>
    <w:rsid w:val="00C16F71"/>
    <w:rsid w:val="00C175E3"/>
    <w:rsid w:val="00C17B84"/>
    <w:rsid w:val="00C17E44"/>
    <w:rsid w:val="00C20640"/>
    <w:rsid w:val="00C21B86"/>
    <w:rsid w:val="00C21E9D"/>
    <w:rsid w:val="00C22F19"/>
    <w:rsid w:val="00C23449"/>
    <w:rsid w:val="00C23766"/>
    <w:rsid w:val="00C250B3"/>
    <w:rsid w:val="00C25460"/>
    <w:rsid w:val="00C257C9"/>
    <w:rsid w:val="00C25953"/>
    <w:rsid w:val="00C26F9C"/>
    <w:rsid w:val="00C27877"/>
    <w:rsid w:val="00C2795D"/>
    <w:rsid w:val="00C27DB6"/>
    <w:rsid w:val="00C31447"/>
    <w:rsid w:val="00C315DB"/>
    <w:rsid w:val="00C31ABA"/>
    <w:rsid w:val="00C32121"/>
    <w:rsid w:val="00C322BF"/>
    <w:rsid w:val="00C322E8"/>
    <w:rsid w:val="00C327B4"/>
    <w:rsid w:val="00C32B48"/>
    <w:rsid w:val="00C3333C"/>
    <w:rsid w:val="00C33481"/>
    <w:rsid w:val="00C33571"/>
    <w:rsid w:val="00C3368E"/>
    <w:rsid w:val="00C33DEA"/>
    <w:rsid w:val="00C345F1"/>
    <w:rsid w:val="00C34ACD"/>
    <w:rsid w:val="00C354E0"/>
    <w:rsid w:val="00C35B20"/>
    <w:rsid w:val="00C35D7B"/>
    <w:rsid w:val="00C35E93"/>
    <w:rsid w:val="00C3617C"/>
    <w:rsid w:val="00C36AC8"/>
    <w:rsid w:val="00C3707D"/>
    <w:rsid w:val="00C41F75"/>
    <w:rsid w:val="00C45063"/>
    <w:rsid w:val="00C46B22"/>
    <w:rsid w:val="00C46FB3"/>
    <w:rsid w:val="00C4719E"/>
    <w:rsid w:val="00C47C51"/>
    <w:rsid w:val="00C47D6A"/>
    <w:rsid w:val="00C47DA0"/>
    <w:rsid w:val="00C47FA1"/>
    <w:rsid w:val="00C500C1"/>
    <w:rsid w:val="00C5041F"/>
    <w:rsid w:val="00C50E68"/>
    <w:rsid w:val="00C51233"/>
    <w:rsid w:val="00C51465"/>
    <w:rsid w:val="00C518D1"/>
    <w:rsid w:val="00C51942"/>
    <w:rsid w:val="00C524A3"/>
    <w:rsid w:val="00C528CE"/>
    <w:rsid w:val="00C52BEE"/>
    <w:rsid w:val="00C532C9"/>
    <w:rsid w:val="00C53779"/>
    <w:rsid w:val="00C53B08"/>
    <w:rsid w:val="00C546F3"/>
    <w:rsid w:val="00C54ABB"/>
    <w:rsid w:val="00C550D2"/>
    <w:rsid w:val="00C5670E"/>
    <w:rsid w:val="00C56BEF"/>
    <w:rsid w:val="00C60168"/>
    <w:rsid w:val="00C6041D"/>
    <w:rsid w:val="00C6058C"/>
    <w:rsid w:val="00C61067"/>
    <w:rsid w:val="00C611E4"/>
    <w:rsid w:val="00C6178D"/>
    <w:rsid w:val="00C61A24"/>
    <w:rsid w:val="00C62983"/>
    <w:rsid w:val="00C63441"/>
    <w:rsid w:val="00C638DA"/>
    <w:rsid w:val="00C6391A"/>
    <w:rsid w:val="00C63F6B"/>
    <w:rsid w:val="00C640A4"/>
    <w:rsid w:val="00C641A3"/>
    <w:rsid w:val="00C64A20"/>
    <w:rsid w:val="00C654C9"/>
    <w:rsid w:val="00C657C7"/>
    <w:rsid w:val="00C65E30"/>
    <w:rsid w:val="00C663AB"/>
    <w:rsid w:val="00C663C0"/>
    <w:rsid w:val="00C66819"/>
    <w:rsid w:val="00C66B2E"/>
    <w:rsid w:val="00C66F8E"/>
    <w:rsid w:val="00C70126"/>
    <w:rsid w:val="00C7090F"/>
    <w:rsid w:val="00C712FE"/>
    <w:rsid w:val="00C71990"/>
    <w:rsid w:val="00C71E33"/>
    <w:rsid w:val="00C71ED9"/>
    <w:rsid w:val="00C72701"/>
    <w:rsid w:val="00C72BF3"/>
    <w:rsid w:val="00C72C91"/>
    <w:rsid w:val="00C72F24"/>
    <w:rsid w:val="00C73457"/>
    <w:rsid w:val="00C73B4D"/>
    <w:rsid w:val="00C761F9"/>
    <w:rsid w:val="00C76BAE"/>
    <w:rsid w:val="00C80097"/>
    <w:rsid w:val="00C80E1F"/>
    <w:rsid w:val="00C80F78"/>
    <w:rsid w:val="00C816F6"/>
    <w:rsid w:val="00C8176D"/>
    <w:rsid w:val="00C81CA8"/>
    <w:rsid w:val="00C81D4B"/>
    <w:rsid w:val="00C81F09"/>
    <w:rsid w:val="00C821E9"/>
    <w:rsid w:val="00C8283F"/>
    <w:rsid w:val="00C82DE4"/>
    <w:rsid w:val="00C833F0"/>
    <w:rsid w:val="00C8407E"/>
    <w:rsid w:val="00C840C6"/>
    <w:rsid w:val="00C8464B"/>
    <w:rsid w:val="00C8542F"/>
    <w:rsid w:val="00C86477"/>
    <w:rsid w:val="00C86C75"/>
    <w:rsid w:val="00C87069"/>
    <w:rsid w:val="00C87E42"/>
    <w:rsid w:val="00C9047E"/>
    <w:rsid w:val="00C9075A"/>
    <w:rsid w:val="00C909A0"/>
    <w:rsid w:val="00C90A13"/>
    <w:rsid w:val="00C90A6A"/>
    <w:rsid w:val="00C91088"/>
    <w:rsid w:val="00C914B0"/>
    <w:rsid w:val="00C91D55"/>
    <w:rsid w:val="00C9432A"/>
    <w:rsid w:val="00C94AC6"/>
    <w:rsid w:val="00C94B6E"/>
    <w:rsid w:val="00C94D00"/>
    <w:rsid w:val="00C9665C"/>
    <w:rsid w:val="00C96772"/>
    <w:rsid w:val="00C96A1A"/>
    <w:rsid w:val="00CA0215"/>
    <w:rsid w:val="00CA097E"/>
    <w:rsid w:val="00CA10B6"/>
    <w:rsid w:val="00CA1117"/>
    <w:rsid w:val="00CA236F"/>
    <w:rsid w:val="00CA24E9"/>
    <w:rsid w:val="00CA3086"/>
    <w:rsid w:val="00CA436E"/>
    <w:rsid w:val="00CA4387"/>
    <w:rsid w:val="00CA5690"/>
    <w:rsid w:val="00CA5964"/>
    <w:rsid w:val="00CA7162"/>
    <w:rsid w:val="00CA7852"/>
    <w:rsid w:val="00CA7C70"/>
    <w:rsid w:val="00CA7D40"/>
    <w:rsid w:val="00CB2A17"/>
    <w:rsid w:val="00CB3226"/>
    <w:rsid w:val="00CB3E1A"/>
    <w:rsid w:val="00CB3FA5"/>
    <w:rsid w:val="00CB43CB"/>
    <w:rsid w:val="00CB4673"/>
    <w:rsid w:val="00CB5250"/>
    <w:rsid w:val="00CB5DC3"/>
    <w:rsid w:val="00CB696A"/>
    <w:rsid w:val="00CB6F64"/>
    <w:rsid w:val="00CB6FC6"/>
    <w:rsid w:val="00CB739A"/>
    <w:rsid w:val="00CB7689"/>
    <w:rsid w:val="00CB7696"/>
    <w:rsid w:val="00CC048F"/>
    <w:rsid w:val="00CC1667"/>
    <w:rsid w:val="00CC1A4D"/>
    <w:rsid w:val="00CC1A52"/>
    <w:rsid w:val="00CC1BF2"/>
    <w:rsid w:val="00CC2433"/>
    <w:rsid w:val="00CC24A4"/>
    <w:rsid w:val="00CC2DB1"/>
    <w:rsid w:val="00CC3E06"/>
    <w:rsid w:val="00CC4803"/>
    <w:rsid w:val="00CC491B"/>
    <w:rsid w:val="00CC4FDF"/>
    <w:rsid w:val="00CC5181"/>
    <w:rsid w:val="00CC5470"/>
    <w:rsid w:val="00CC566B"/>
    <w:rsid w:val="00CC5745"/>
    <w:rsid w:val="00CC63C2"/>
    <w:rsid w:val="00CC6D73"/>
    <w:rsid w:val="00CC6E00"/>
    <w:rsid w:val="00CC7478"/>
    <w:rsid w:val="00CC7BC7"/>
    <w:rsid w:val="00CD0D2F"/>
    <w:rsid w:val="00CD10A7"/>
    <w:rsid w:val="00CD1A9E"/>
    <w:rsid w:val="00CD1B52"/>
    <w:rsid w:val="00CD2026"/>
    <w:rsid w:val="00CD3072"/>
    <w:rsid w:val="00CD44AC"/>
    <w:rsid w:val="00CD4F66"/>
    <w:rsid w:val="00CD4FA2"/>
    <w:rsid w:val="00CD4FAA"/>
    <w:rsid w:val="00CD64A8"/>
    <w:rsid w:val="00CD654A"/>
    <w:rsid w:val="00CD6857"/>
    <w:rsid w:val="00CD6E0A"/>
    <w:rsid w:val="00CD6EDF"/>
    <w:rsid w:val="00CD7499"/>
    <w:rsid w:val="00CD7782"/>
    <w:rsid w:val="00CD79DB"/>
    <w:rsid w:val="00CD7CD8"/>
    <w:rsid w:val="00CE09B2"/>
    <w:rsid w:val="00CE0CCF"/>
    <w:rsid w:val="00CE188E"/>
    <w:rsid w:val="00CE22B3"/>
    <w:rsid w:val="00CE2ECD"/>
    <w:rsid w:val="00CE311D"/>
    <w:rsid w:val="00CE3159"/>
    <w:rsid w:val="00CE3B96"/>
    <w:rsid w:val="00CE40E8"/>
    <w:rsid w:val="00CE4613"/>
    <w:rsid w:val="00CE4BA1"/>
    <w:rsid w:val="00CE5797"/>
    <w:rsid w:val="00CE58F5"/>
    <w:rsid w:val="00CE5EDF"/>
    <w:rsid w:val="00CE61FA"/>
    <w:rsid w:val="00CE6433"/>
    <w:rsid w:val="00CE6994"/>
    <w:rsid w:val="00CE7B19"/>
    <w:rsid w:val="00CF0713"/>
    <w:rsid w:val="00CF1D9A"/>
    <w:rsid w:val="00CF1F7A"/>
    <w:rsid w:val="00CF2340"/>
    <w:rsid w:val="00CF29E7"/>
    <w:rsid w:val="00CF2BDC"/>
    <w:rsid w:val="00CF3133"/>
    <w:rsid w:val="00CF350B"/>
    <w:rsid w:val="00CF3716"/>
    <w:rsid w:val="00CF38EE"/>
    <w:rsid w:val="00CF3CCC"/>
    <w:rsid w:val="00CF47D3"/>
    <w:rsid w:val="00CF4EEB"/>
    <w:rsid w:val="00CF58DE"/>
    <w:rsid w:val="00CF59B6"/>
    <w:rsid w:val="00CF6079"/>
    <w:rsid w:val="00CF60B0"/>
    <w:rsid w:val="00CF62A5"/>
    <w:rsid w:val="00CF6310"/>
    <w:rsid w:val="00CF68F4"/>
    <w:rsid w:val="00CF70D1"/>
    <w:rsid w:val="00CF755F"/>
    <w:rsid w:val="00CF7A2A"/>
    <w:rsid w:val="00D00578"/>
    <w:rsid w:val="00D005DB"/>
    <w:rsid w:val="00D00911"/>
    <w:rsid w:val="00D00A69"/>
    <w:rsid w:val="00D00CB7"/>
    <w:rsid w:val="00D00EFB"/>
    <w:rsid w:val="00D01DA3"/>
    <w:rsid w:val="00D01FC6"/>
    <w:rsid w:val="00D02300"/>
    <w:rsid w:val="00D023C0"/>
    <w:rsid w:val="00D02FE5"/>
    <w:rsid w:val="00D033D5"/>
    <w:rsid w:val="00D036FA"/>
    <w:rsid w:val="00D04C35"/>
    <w:rsid w:val="00D04ED8"/>
    <w:rsid w:val="00D05694"/>
    <w:rsid w:val="00D05A8F"/>
    <w:rsid w:val="00D05BDB"/>
    <w:rsid w:val="00D06561"/>
    <w:rsid w:val="00D06A2D"/>
    <w:rsid w:val="00D075CF"/>
    <w:rsid w:val="00D07B32"/>
    <w:rsid w:val="00D07B51"/>
    <w:rsid w:val="00D07D41"/>
    <w:rsid w:val="00D07DB2"/>
    <w:rsid w:val="00D10F73"/>
    <w:rsid w:val="00D10FDF"/>
    <w:rsid w:val="00D119DF"/>
    <w:rsid w:val="00D13298"/>
    <w:rsid w:val="00D1344C"/>
    <w:rsid w:val="00D137D5"/>
    <w:rsid w:val="00D13A9A"/>
    <w:rsid w:val="00D14AF5"/>
    <w:rsid w:val="00D1573A"/>
    <w:rsid w:val="00D15777"/>
    <w:rsid w:val="00D162D7"/>
    <w:rsid w:val="00D166AD"/>
    <w:rsid w:val="00D16719"/>
    <w:rsid w:val="00D17710"/>
    <w:rsid w:val="00D1790B"/>
    <w:rsid w:val="00D17C2C"/>
    <w:rsid w:val="00D20576"/>
    <w:rsid w:val="00D2144E"/>
    <w:rsid w:val="00D2240D"/>
    <w:rsid w:val="00D22C1D"/>
    <w:rsid w:val="00D23392"/>
    <w:rsid w:val="00D2484E"/>
    <w:rsid w:val="00D24B75"/>
    <w:rsid w:val="00D259DD"/>
    <w:rsid w:val="00D2694B"/>
    <w:rsid w:val="00D277BA"/>
    <w:rsid w:val="00D30187"/>
    <w:rsid w:val="00D3075C"/>
    <w:rsid w:val="00D31186"/>
    <w:rsid w:val="00D3140E"/>
    <w:rsid w:val="00D31520"/>
    <w:rsid w:val="00D32DC8"/>
    <w:rsid w:val="00D33762"/>
    <w:rsid w:val="00D33999"/>
    <w:rsid w:val="00D33A5B"/>
    <w:rsid w:val="00D33D49"/>
    <w:rsid w:val="00D3426A"/>
    <w:rsid w:val="00D35BBD"/>
    <w:rsid w:val="00D35F0C"/>
    <w:rsid w:val="00D3646F"/>
    <w:rsid w:val="00D4029D"/>
    <w:rsid w:val="00D4077E"/>
    <w:rsid w:val="00D4094D"/>
    <w:rsid w:val="00D40B45"/>
    <w:rsid w:val="00D40D1F"/>
    <w:rsid w:val="00D4198E"/>
    <w:rsid w:val="00D42550"/>
    <w:rsid w:val="00D42D74"/>
    <w:rsid w:val="00D43373"/>
    <w:rsid w:val="00D4576A"/>
    <w:rsid w:val="00D46157"/>
    <w:rsid w:val="00D463E6"/>
    <w:rsid w:val="00D46629"/>
    <w:rsid w:val="00D4677E"/>
    <w:rsid w:val="00D47070"/>
    <w:rsid w:val="00D478E5"/>
    <w:rsid w:val="00D47A1C"/>
    <w:rsid w:val="00D5035C"/>
    <w:rsid w:val="00D503E7"/>
    <w:rsid w:val="00D50779"/>
    <w:rsid w:val="00D50F90"/>
    <w:rsid w:val="00D51666"/>
    <w:rsid w:val="00D520F9"/>
    <w:rsid w:val="00D544A2"/>
    <w:rsid w:val="00D544C0"/>
    <w:rsid w:val="00D548DD"/>
    <w:rsid w:val="00D55A40"/>
    <w:rsid w:val="00D56129"/>
    <w:rsid w:val="00D571E3"/>
    <w:rsid w:val="00D57581"/>
    <w:rsid w:val="00D57616"/>
    <w:rsid w:val="00D57C37"/>
    <w:rsid w:val="00D57EFA"/>
    <w:rsid w:val="00D6004C"/>
    <w:rsid w:val="00D60E91"/>
    <w:rsid w:val="00D61328"/>
    <w:rsid w:val="00D6204C"/>
    <w:rsid w:val="00D6251E"/>
    <w:rsid w:val="00D6284E"/>
    <w:rsid w:val="00D630E8"/>
    <w:rsid w:val="00D63B68"/>
    <w:rsid w:val="00D64074"/>
    <w:rsid w:val="00D6481F"/>
    <w:rsid w:val="00D657EF"/>
    <w:rsid w:val="00D6616E"/>
    <w:rsid w:val="00D66326"/>
    <w:rsid w:val="00D66D30"/>
    <w:rsid w:val="00D67539"/>
    <w:rsid w:val="00D67D13"/>
    <w:rsid w:val="00D67E04"/>
    <w:rsid w:val="00D7042B"/>
    <w:rsid w:val="00D704AA"/>
    <w:rsid w:val="00D70AE5"/>
    <w:rsid w:val="00D7152C"/>
    <w:rsid w:val="00D72034"/>
    <w:rsid w:val="00D7210B"/>
    <w:rsid w:val="00D72936"/>
    <w:rsid w:val="00D72B5E"/>
    <w:rsid w:val="00D73FCA"/>
    <w:rsid w:val="00D741E2"/>
    <w:rsid w:val="00D74675"/>
    <w:rsid w:val="00D747E2"/>
    <w:rsid w:val="00D75027"/>
    <w:rsid w:val="00D75285"/>
    <w:rsid w:val="00D7531C"/>
    <w:rsid w:val="00D757F6"/>
    <w:rsid w:val="00D75839"/>
    <w:rsid w:val="00D76251"/>
    <w:rsid w:val="00D76347"/>
    <w:rsid w:val="00D772F5"/>
    <w:rsid w:val="00D77518"/>
    <w:rsid w:val="00D776E8"/>
    <w:rsid w:val="00D77757"/>
    <w:rsid w:val="00D77B8E"/>
    <w:rsid w:val="00D8022D"/>
    <w:rsid w:val="00D81721"/>
    <w:rsid w:val="00D81E7F"/>
    <w:rsid w:val="00D82178"/>
    <w:rsid w:val="00D821B7"/>
    <w:rsid w:val="00D835F3"/>
    <w:rsid w:val="00D837C8"/>
    <w:rsid w:val="00D848A4"/>
    <w:rsid w:val="00D84E94"/>
    <w:rsid w:val="00D8554B"/>
    <w:rsid w:val="00D85B81"/>
    <w:rsid w:val="00D86211"/>
    <w:rsid w:val="00D866B6"/>
    <w:rsid w:val="00D8713A"/>
    <w:rsid w:val="00D873D7"/>
    <w:rsid w:val="00D874B4"/>
    <w:rsid w:val="00D8766C"/>
    <w:rsid w:val="00D87C41"/>
    <w:rsid w:val="00D87CCE"/>
    <w:rsid w:val="00D87E53"/>
    <w:rsid w:val="00D87E59"/>
    <w:rsid w:val="00D90644"/>
    <w:rsid w:val="00D90DEC"/>
    <w:rsid w:val="00D91163"/>
    <w:rsid w:val="00D91DA5"/>
    <w:rsid w:val="00D91E7F"/>
    <w:rsid w:val="00D925F3"/>
    <w:rsid w:val="00D92621"/>
    <w:rsid w:val="00D94DEA"/>
    <w:rsid w:val="00D95030"/>
    <w:rsid w:val="00D954AA"/>
    <w:rsid w:val="00D95EE4"/>
    <w:rsid w:val="00D960EE"/>
    <w:rsid w:val="00D9629D"/>
    <w:rsid w:val="00D966BA"/>
    <w:rsid w:val="00D97221"/>
    <w:rsid w:val="00DA0C98"/>
    <w:rsid w:val="00DA0ED6"/>
    <w:rsid w:val="00DA232E"/>
    <w:rsid w:val="00DA335A"/>
    <w:rsid w:val="00DA3406"/>
    <w:rsid w:val="00DA35A1"/>
    <w:rsid w:val="00DA3658"/>
    <w:rsid w:val="00DA4523"/>
    <w:rsid w:val="00DA4D3C"/>
    <w:rsid w:val="00DA656E"/>
    <w:rsid w:val="00DA757E"/>
    <w:rsid w:val="00DB05A8"/>
    <w:rsid w:val="00DB133D"/>
    <w:rsid w:val="00DB1E65"/>
    <w:rsid w:val="00DB1F6E"/>
    <w:rsid w:val="00DB26B8"/>
    <w:rsid w:val="00DB2A12"/>
    <w:rsid w:val="00DB4C3D"/>
    <w:rsid w:val="00DB5C98"/>
    <w:rsid w:val="00DB6065"/>
    <w:rsid w:val="00DB7A0D"/>
    <w:rsid w:val="00DC043A"/>
    <w:rsid w:val="00DC0D8A"/>
    <w:rsid w:val="00DC0FFC"/>
    <w:rsid w:val="00DC15ED"/>
    <w:rsid w:val="00DC21CA"/>
    <w:rsid w:val="00DC23C4"/>
    <w:rsid w:val="00DC2868"/>
    <w:rsid w:val="00DC29A4"/>
    <w:rsid w:val="00DC2C63"/>
    <w:rsid w:val="00DC36FD"/>
    <w:rsid w:val="00DC459B"/>
    <w:rsid w:val="00DC4DAC"/>
    <w:rsid w:val="00DC532A"/>
    <w:rsid w:val="00DC5768"/>
    <w:rsid w:val="00DC5D8B"/>
    <w:rsid w:val="00DC60B0"/>
    <w:rsid w:val="00DC69F4"/>
    <w:rsid w:val="00DC78AD"/>
    <w:rsid w:val="00DC7ABF"/>
    <w:rsid w:val="00DC7D5C"/>
    <w:rsid w:val="00DD0BB4"/>
    <w:rsid w:val="00DD14A5"/>
    <w:rsid w:val="00DD1D83"/>
    <w:rsid w:val="00DD2105"/>
    <w:rsid w:val="00DD240E"/>
    <w:rsid w:val="00DD2598"/>
    <w:rsid w:val="00DD2E62"/>
    <w:rsid w:val="00DD3916"/>
    <w:rsid w:val="00DD4E27"/>
    <w:rsid w:val="00DD5367"/>
    <w:rsid w:val="00DD58F9"/>
    <w:rsid w:val="00DD5A21"/>
    <w:rsid w:val="00DD5B32"/>
    <w:rsid w:val="00DD6B5A"/>
    <w:rsid w:val="00DD704B"/>
    <w:rsid w:val="00DE02EA"/>
    <w:rsid w:val="00DE1258"/>
    <w:rsid w:val="00DE17DD"/>
    <w:rsid w:val="00DE1B91"/>
    <w:rsid w:val="00DE1BAA"/>
    <w:rsid w:val="00DE2AED"/>
    <w:rsid w:val="00DE2FBD"/>
    <w:rsid w:val="00DE5296"/>
    <w:rsid w:val="00DE57A6"/>
    <w:rsid w:val="00DE6115"/>
    <w:rsid w:val="00DE6717"/>
    <w:rsid w:val="00DE6D89"/>
    <w:rsid w:val="00DE74D1"/>
    <w:rsid w:val="00DF070D"/>
    <w:rsid w:val="00DF0F18"/>
    <w:rsid w:val="00DF1341"/>
    <w:rsid w:val="00DF15E0"/>
    <w:rsid w:val="00DF25F9"/>
    <w:rsid w:val="00DF3527"/>
    <w:rsid w:val="00DF3F45"/>
    <w:rsid w:val="00DF4F4C"/>
    <w:rsid w:val="00DF5479"/>
    <w:rsid w:val="00DF6378"/>
    <w:rsid w:val="00DF6383"/>
    <w:rsid w:val="00DF6456"/>
    <w:rsid w:val="00DF76BF"/>
    <w:rsid w:val="00DF77A3"/>
    <w:rsid w:val="00E00728"/>
    <w:rsid w:val="00E00DCA"/>
    <w:rsid w:val="00E012A9"/>
    <w:rsid w:val="00E01768"/>
    <w:rsid w:val="00E01977"/>
    <w:rsid w:val="00E01B81"/>
    <w:rsid w:val="00E01BDF"/>
    <w:rsid w:val="00E01C30"/>
    <w:rsid w:val="00E02501"/>
    <w:rsid w:val="00E02E49"/>
    <w:rsid w:val="00E02F21"/>
    <w:rsid w:val="00E02F24"/>
    <w:rsid w:val="00E02F57"/>
    <w:rsid w:val="00E03136"/>
    <w:rsid w:val="00E03AF7"/>
    <w:rsid w:val="00E0470F"/>
    <w:rsid w:val="00E048B8"/>
    <w:rsid w:val="00E07754"/>
    <w:rsid w:val="00E10F85"/>
    <w:rsid w:val="00E11589"/>
    <w:rsid w:val="00E11907"/>
    <w:rsid w:val="00E1191F"/>
    <w:rsid w:val="00E121E7"/>
    <w:rsid w:val="00E123F5"/>
    <w:rsid w:val="00E12B3F"/>
    <w:rsid w:val="00E13B2E"/>
    <w:rsid w:val="00E13F1B"/>
    <w:rsid w:val="00E1419C"/>
    <w:rsid w:val="00E14432"/>
    <w:rsid w:val="00E14442"/>
    <w:rsid w:val="00E1451E"/>
    <w:rsid w:val="00E15D8E"/>
    <w:rsid w:val="00E16055"/>
    <w:rsid w:val="00E1696E"/>
    <w:rsid w:val="00E177ED"/>
    <w:rsid w:val="00E17DCB"/>
    <w:rsid w:val="00E21E77"/>
    <w:rsid w:val="00E22072"/>
    <w:rsid w:val="00E221BC"/>
    <w:rsid w:val="00E22ADD"/>
    <w:rsid w:val="00E2481A"/>
    <w:rsid w:val="00E249D6"/>
    <w:rsid w:val="00E25249"/>
    <w:rsid w:val="00E25B6A"/>
    <w:rsid w:val="00E26801"/>
    <w:rsid w:val="00E2681F"/>
    <w:rsid w:val="00E2700C"/>
    <w:rsid w:val="00E271C1"/>
    <w:rsid w:val="00E274C6"/>
    <w:rsid w:val="00E27E18"/>
    <w:rsid w:val="00E30790"/>
    <w:rsid w:val="00E308D7"/>
    <w:rsid w:val="00E31850"/>
    <w:rsid w:val="00E3202A"/>
    <w:rsid w:val="00E324A6"/>
    <w:rsid w:val="00E32A80"/>
    <w:rsid w:val="00E33456"/>
    <w:rsid w:val="00E3345B"/>
    <w:rsid w:val="00E33627"/>
    <w:rsid w:val="00E3390F"/>
    <w:rsid w:val="00E340C3"/>
    <w:rsid w:val="00E3534D"/>
    <w:rsid w:val="00E356FE"/>
    <w:rsid w:val="00E357CE"/>
    <w:rsid w:val="00E35B05"/>
    <w:rsid w:val="00E35F04"/>
    <w:rsid w:val="00E36AEB"/>
    <w:rsid w:val="00E3744A"/>
    <w:rsid w:val="00E37899"/>
    <w:rsid w:val="00E4127F"/>
    <w:rsid w:val="00E41645"/>
    <w:rsid w:val="00E42B3E"/>
    <w:rsid w:val="00E449EE"/>
    <w:rsid w:val="00E45F43"/>
    <w:rsid w:val="00E46B46"/>
    <w:rsid w:val="00E502F6"/>
    <w:rsid w:val="00E50609"/>
    <w:rsid w:val="00E507CE"/>
    <w:rsid w:val="00E50B73"/>
    <w:rsid w:val="00E513FB"/>
    <w:rsid w:val="00E519F7"/>
    <w:rsid w:val="00E5245D"/>
    <w:rsid w:val="00E52763"/>
    <w:rsid w:val="00E5314C"/>
    <w:rsid w:val="00E53467"/>
    <w:rsid w:val="00E53BB6"/>
    <w:rsid w:val="00E54467"/>
    <w:rsid w:val="00E54541"/>
    <w:rsid w:val="00E55096"/>
    <w:rsid w:val="00E553FD"/>
    <w:rsid w:val="00E55474"/>
    <w:rsid w:val="00E5585F"/>
    <w:rsid w:val="00E55BDE"/>
    <w:rsid w:val="00E57299"/>
    <w:rsid w:val="00E57D31"/>
    <w:rsid w:val="00E57EAE"/>
    <w:rsid w:val="00E60174"/>
    <w:rsid w:val="00E60789"/>
    <w:rsid w:val="00E619BE"/>
    <w:rsid w:val="00E632AE"/>
    <w:rsid w:val="00E635CA"/>
    <w:rsid w:val="00E6448A"/>
    <w:rsid w:val="00E64589"/>
    <w:rsid w:val="00E64790"/>
    <w:rsid w:val="00E64F2E"/>
    <w:rsid w:val="00E65A41"/>
    <w:rsid w:val="00E66059"/>
    <w:rsid w:val="00E6647D"/>
    <w:rsid w:val="00E66DAC"/>
    <w:rsid w:val="00E6725A"/>
    <w:rsid w:val="00E675E5"/>
    <w:rsid w:val="00E6773D"/>
    <w:rsid w:val="00E707F7"/>
    <w:rsid w:val="00E70DD3"/>
    <w:rsid w:val="00E72122"/>
    <w:rsid w:val="00E72904"/>
    <w:rsid w:val="00E72C47"/>
    <w:rsid w:val="00E7382A"/>
    <w:rsid w:val="00E73ADB"/>
    <w:rsid w:val="00E74212"/>
    <w:rsid w:val="00E74217"/>
    <w:rsid w:val="00E74C39"/>
    <w:rsid w:val="00E74CA1"/>
    <w:rsid w:val="00E74FDC"/>
    <w:rsid w:val="00E76348"/>
    <w:rsid w:val="00E7656A"/>
    <w:rsid w:val="00E769E7"/>
    <w:rsid w:val="00E76B6A"/>
    <w:rsid w:val="00E77364"/>
    <w:rsid w:val="00E7746C"/>
    <w:rsid w:val="00E80719"/>
    <w:rsid w:val="00E80905"/>
    <w:rsid w:val="00E82D00"/>
    <w:rsid w:val="00E82F12"/>
    <w:rsid w:val="00E830D1"/>
    <w:rsid w:val="00E84CF0"/>
    <w:rsid w:val="00E852CB"/>
    <w:rsid w:val="00E85314"/>
    <w:rsid w:val="00E85F0B"/>
    <w:rsid w:val="00E86396"/>
    <w:rsid w:val="00E8669D"/>
    <w:rsid w:val="00E87419"/>
    <w:rsid w:val="00E90250"/>
    <w:rsid w:val="00E91531"/>
    <w:rsid w:val="00E91A79"/>
    <w:rsid w:val="00E91AF4"/>
    <w:rsid w:val="00E91EC0"/>
    <w:rsid w:val="00E92472"/>
    <w:rsid w:val="00E92663"/>
    <w:rsid w:val="00E92A7D"/>
    <w:rsid w:val="00E9310C"/>
    <w:rsid w:val="00E93689"/>
    <w:rsid w:val="00E93B4D"/>
    <w:rsid w:val="00E93C0D"/>
    <w:rsid w:val="00E94BED"/>
    <w:rsid w:val="00E94FCF"/>
    <w:rsid w:val="00E961B2"/>
    <w:rsid w:val="00E96219"/>
    <w:rsid w:val="00E9634E"/>
    <w:rsid w:val="00E96840"/>
    <w:rsid w:val="00E975CA"/>
    <w:rsid w:val="00E97999"/>
    <w:rsid w:val="00EA098A"/>
    <w:rsid w:val="00EA30D6"/>
    <w:rsid w:val="00EA3437"/>
    <w:rsid w:val="00EA4DAF"/>
    <w:rsid w:val="00EA56C9"/>
    <w:rsid w:val="00EA5DFD"/>
    <w:rsid w:val="00EA6677"/>
    <w:rsid w:val="00EA6A8A"/>
    <w:rsid w:val="00EA7BF8"/>
    <w:rsid w:val="00EA7C9E"/>
    <w:rsid w:val="00EB0066"/>
    <w:rsid w:val="00EB12E6"/>
    <w:rsid w:val="00EB259A"/>
    <w:rsid w:val="00EB43F5"/>
    <w:rsid w:val="00EB450D"/>
    <w:rsid w:val="00EB4844"/>
    <w:rsid w:val="00EB48B6"/>
    <w:rsid w:val="00EB4B74"/>
    <w:rsid w:val="00EB4BC6"/>
    <w:rsid w:val="00EB5F37"/>
    <w:rsid w:val="00EB61DA"/>
    <w:rsid w:val="00EB6994"/>
    <w:rsid w:val="00EB6EDB"/>
    <w:rsid w:val="00EB7707"/>
    <w:rsid w:val="00EB7924"/>
    <w:rsid w:val="00EC0151"/>
    <w:rsid w:val="00EC01BC"/>
    <w:rsid w:val="00EC0762"/>
    <w:rsid w:val="00EC0B07"/>
    <w:rsid w:val="00EC0D22"/>
    <w:rsid w:val="00EC1669"/>
    <w:rsid w:val="00EC2407"/>
    <w:rsid w:val="00EC2A5E"/>
    <w:rsid w:val="00EC3240"/>
    <w:rsid w:val="00EC3F97"/>
    <w:rsid w:val="00EC541B"/>
    <w:rsid w:val="00EC588A"/>
    <w:rsid w:val="00EC6553"/>
    <w:rsid w:val="00EC6C1E"/>
    <w:rsid w:val="00EC72CF"/>
    <w:rsid w:val="00EC7682"/>
    <w:rsid w:val="00ED017E"/>
    <w:rsid w:val="00ED0CC2"/>
    <w:rsid w:val="00ED13E5"/>
    <w:rsid w:val="00ED1825"/>
    <w:rsid w:val="00ED18F4"/>
    <w:rsid w:val="00ED1AE3"/>
    <w:rsid w:val="00ED22E3"/>
    <w:rsid w:val="00ED2AEA"/>
    <w:rsid w:val="00ED3E2F"/>
    <w:rsid w:val="00ED4A0C"/>
    <w:rsid w:val="00ED5112"/>
    <w:rsid w:val="00ED6E42"/>
    <w:rsid w:val="00ED725A"/>
    <w:rsid w:val="00ED7DA4"/>
    <w:rsid w:val="00EE005F"/>
    <w:rsid w:val="00EE177C"/>
    <w:rsid w:val="00EE19BB"/>
    <w:rsid w:val="00EE264A"/>
    <w:rsid w:val="00EE2800"/>
    <w:rsid w:val="00EE2822"/>
    <w:rsid w:val="00EE2AEB"/>
    <w:rsid w:val="00EE2C56"/>
    <w:rsid w:val="00EE2EA7"/>
    <w:rsid w:val="00EE3B48"/>
    <w:rsid w:val="00EE3F08"/>
    <w:rsid w:val="00EE44F5"/>
    <w:rsid w:val="00EE5C92"/>
    <w:rsid w:val="00EE602C"/>
    <w:rsid w:val="00EE6D37"/>
    <w:rsid w:val="00EE747D"/>
    <w:rsid w:val="00EE7B5C"/>
    <w:rsid w:val="00EF035F"/>
    <w:rsid w:val="00EF1FD8"/>
    <w:rsid w:val="00EF2841"/>
    <w:rsid w:val="00EF2A1D"/>
    <w:rsid w:val="00EF2C1C"/>
    <w:rsid w:val="00EF2E19"/>
    <w:rsid w:val="00EF3ABD"/>
    <w:rsid w:val="00EF4381"/>
    <w:rsid w:val="00EF4D4C"/>
    <w:rsid w:val="00EF5777"/>
    <w:rsid w:val="00EF5876"/>
    <w:rsid w:val="00EF5A97"/>
    <w:rsid w:val="00EF5AFD"/>
    <w:rsid w:val="00EF5D4C"/>
    <w:rsid w:val="00EF6608"/>
    <w:rsid w:val="00EF6980"/>
    <w:rsid w:val="00EF7454"/>
    <w:rsid w:val="00EF7F31"/>
    <w:rsid w:val="00F0013B"/>
    <w:rsid w:val="00F00F01"/>
    <w:rsid w:val="00F01377"/>
    <w:rsid w:val="00F014EA"/>
    <w:rsid w:val="00F028EB"/>
    <w:rsid w:val="00F02D73"/>
    <w:rsid w:val="00F034CE"/>
    <w:rsid w:val="00F03BC4"/>
    <w:rsid w:val="00F04EA6"/>
    <w:rsid w:val="00F0563D"/>
    <w:rsid w:val="00F05FA3"/>
    <w:rsid w:val="00F0632E"/>
    <w:rsid w:val="00F0664B"/>
    <w:rsid w:val="00F0761E"/>
    <w:rsid w:val="00F10393"/>
    <w:rsid w:val="00F1044A"/>
    <w:rsid w:val="00F105E3"/>
    <w:rsid w:val="00F10645"/>
    <w:rsid w:val="00F114EC"/>
    <w:rsid w:val="00F11F1E"/>
    <w:rsid w:val="00F128CF"/>
    <w:rsid w:val="00F12F95"/>
    <w:rsid w:val="00F14042"/>
    <w:rsid w:val="00F14987"/>
    <w:rsid w:val="00F15361"/>
    <w:rsid w:val="00F15E0E"/>
    <w:rsid w:val="00F1688F"/>
    <w:rsid w:val="00F16D08"/>
    <w:rsid w:val="00F17359"/>
    <w:rsid w:val="00F17C24"/>
    <w:rsid w:val="00F17D9B"/>
    <w:rsid w:val="00F17DAE"/>
    <w:rsid w:val="00F2129E"/>
    <w:rsid w:val="00F216F6"/>
    <w:rsid w:val="00F21757"/>
    <w:rsid w:val="00F21B5F"/>
    <w:rsid w:val="00F2267D"/>
    <w:rsid w:val="00F22FEC"/>
    <w:rsid w:val="00F23621"/>
    <w:rsid w:val="00F2448C"/>
    <w:rsid w:val="00F25F44"/>
    <w:rsid w:val="00F26481"/>
    <w:rsid w:val="00F27182"/>
    <w:rsid w:val="00F3006C"/>
    <w:rsid w:val="00F305DD"/>
    <w:rsid w:val="00F306FB"/>
    <w:rsid w:val="00F30C12"/>
    <w:rsid w:val="00F3213E"/>
    <w:rsid w:val="00F3293C"/>
    <w:rsid w:val="00F32C83"/>
    <w:rsid w:val="00F32E78"/>
    <w:rsid w:val="00F32ED7"/>
    <w:rsid w:val="00F32F7F"/>
    <w:rsid w:val="00F33186"/>
    <w:rsid w:val="00F3331C"/>
    <w:rsid w:val="00F33F88"/>
    <w:rsid w:val="00F345E5"/>
    <w:rsid w:val="00F34F24"/>
    <w:rsid w:val="00F360A4"/>
    <w:rsid w:val="00F360DC"/>
    <w:rsid w:val="00F37FE8"/>
    <w:rsid w:val="00F40943"/>
    <w:rsid w:val="00F41387"/>
    <w:rsid w:val="00F43AEE"/>
    <w:rsid w:val="00F44803"/>
    <w:rsid w:val="00F44CD4"/>
    <w:rsid w:val="00F452FA"/>
    <w:rsid w:val="00F45F9D"/>
    <w:rsid w:val="00F46B7F"/>
    <w:rsid w:val="00F47F5E"/>
    <w:rsid w:val="00F5240C"/>
    <w:rsid w:val="00F52E36"/>
    <w:rsid w:val="00F5324A"/>
    <w:rsid w:val="00F54AD2"/>
    <w:rsid w:val="00F55882"/>
    <w:rsid w:val="00F55D24"/>
    <w:rsid w:val="00F564DF"/>
    <w:rsid w:val="00F56A4E"/>
    <w:rsid w:val="00F56ADB"/>
    <w:rsid w:val="00F57122"/>
    <w:rsid w:val="00F577DE"/>
    <w:rsid w:val="00F60105"/>
    <w:rsid w:val="00F601F3"/>
    <w:rsid w:val="00F61229"/>
    <w:rsid w:val="00F61E0D"/>
    <w:rsid w:val="00F62C3C"/>
    <w:rsid w:val="00F63A17"/>
    <w:rsid w:val="00F64994"/>
    <w:rsid w:val="00F64F57"/>
    <w:rsid w:val="00F65178"/>
    <w:rsid w:val="00F65C31"/>
    <w:rsid w:val="00F65E56"/>
    <w:rsid w:val="00F66867"/>
    <w:rsid w:val="00F66C45"/>
    <w:rsid w:val="00F67058"/>
    <w:rsid w:val="00F6736F"/>
    <w:rsid w:val="00F67549"/>
    <w:rsid w:val="00F708FF"/>
    <w:rsid w:val="00F71944"/>
    <w:rsid w:val="00F72AE1"/>
    <w:rsid w:val="00F73201"/>
    <w:rsid w:val="00F73FBB"/>
    <w:rsid w:val="00F74A94"/>
    <w:rsid w:val="00F76426"/>
    <w:rsid w:val="00F76E42"/>
    <w:rsid w:val="00F77594"/>
    <w:rsid w:val="00F77A03"/>
    <w:rsid w:val="00F77A26"/>
    <w:rsid w:val="00F81370"/>
    <w:rsid w:val="00F832D9"/>
    <w:rsid w:val="00F8392C"/>
    <w:rsid w:val="00F83C7C"/>
    <w:rsid w:val="00F84E2E"/>
    <w:rsid w:val="00F8509E"/>
    <w:rsid w:val="00F853F6"/>
    <w:rsid w:val="00F8548C"/>
    <w:rsid w:val="00F85CD2"/>
    <w:rsid w:val="00F85CED"/>
    <w:rsid w:val="00F85D85"/>
    <w:rsid w:val="00F86079"/>
    <w:rsid w:val="00F860D4"/>
    <w:rsid w:val="00F87214"/>
    <w:rsid w:val="00F8780F"/>
    <w:rsid w:val="00F87B80"/>
    <w:rsid w:val="00F91536"/>
    <w:rsid w:val="00F91F84"/>
    <w:rsid w:val="00F92942"/>
    <w:rsid w:val="00F92F92"/>
    <w:rsid w:val="00F932A3"/>
    <w:rsid w:val="00F9464D"/>
    <w:rsid w:val="00F94710"/>
    <w:rsid w:val="00F948E9"/>
    <w:rsid w:val="00F94E00"/>
    <w:rsid w:val="00F9598F"/>
    <w:rsid w:val="00F96A64"/>
    <w:rsid w:val="00F9712C"/>
    <w:rsid w:val="00F976EC"/>
    <w:rsid w:val="00F97E08"/>
    <w:rsid w:val="00FA02E3"/>
    <w:rsid w:val="00FA08A3"/>
    <w:rsid w:val="00FA09F1"/>
    <w:rsid w:val="00FA0C92"/>
    <w:rsid w:val="00FA15DF"/>
    <w:rsid w:val="00FA1D5A"/>
    <w:rsid w:val="00FA24BB"/>
    <w:rsid w:val="00FA2EC3"/>
    <w:rsid w:val="00FA31AC"/>
    <w:rsid w:val="00FA407E"/>
    <w:rsid w:val="00FA56F4"/>
    <w:rsid w:val="00FA57E4"/>
    <w:rsid w:val="00FA6F49"/>
    <w:rsid w:val="00FA751C"/>
    <w:rsid w:val="00FA75E2"/>
    <w:rsid w:val="00FA7620"/>
    <w:rsid w:val="00FA7AA8"/>
    <w:rsid w:val="00FA7FB5"/>
    <w:rsid w:val="00FB093B"/>
    <w:rsid w:val="00FB0ACE"/>
    <w:rsid w:val="00FB0E98"/>
    <w:rsid w:val="00FB1216"/>
    <w:rsid w:val="00FB1D61"/>
    <w:rsid w:val="00FB1F7D"/>
    <w:rsid w:val="00FB3782"/>
    <w:rsid w:val="00FB402B"/>
    <w:rsid w:val="00FB4614"/>
    <w:rsid w:val="00FB46DC"/>
    <w:rsid w:val="00FB4823"/>
    <w:rsid w:val="00FB5118"/>
    <w:rsid w:val="00FB53F4"/>
    <w:rsid w:val="00FB6533"/>
    <w:rsid w:val="00FB677C"/>
    <w:rsid w:val="00FB68E4"/>
    <w:rsid w:val="00FB7E5D"/>
    <w:rsid w:val="00FC0646"/>
    <w:rsid w:val="00FC1320"/>
    <w:rsid w:val="00FC13AA"/>
    <w:rsid w:val="00FC18A3"/>
    <w:rsid w:val="00FC1A45"/>
    <w:rsid w:val="00FC1ABC"/>
    <w:rsid w:val="00FC24B6"/>
    <w:rsid w:val="00FC2E67"/>
    <w:rsid w:val="00FC4005"/>
    <w:rsid w:val="00FC42D5"/>
    <w:rsid w:val="00FC4361"/>
    <w:rsid w:val="00FC4C8E"/>
    <w:rsid w:val="00FC4CD7"/>
    <w:rsid w:val="00FC4DE0"/>
    <w:rsid w:val="00FC4F06"/>
    <w:rsid w:val="00FC56AB"/>
    <w:rsid w:val="00FC590B"/>
    <w:rsid w:val="00FC5D13"/>
    <w:rsid w:val="00FC65AA"/>
    <w:rsid w:val="00FC6ED7"/>
    <w:rsid w:val="00FC6FA2"/>
    <w:rsid w:val="00FC74A7"/>
    <w:rsid w:val="00FC7664"/>
    <w:rsid w:val="00FC79F3"/>
    <w:rsid w:val="00FD0F1A"/>
    <w:rsid w:val="00FD255C"/>
    <w:rsid w:val="00FD272A"/>
    <w:rsid w:val="00FD4596"/>
    <w:rsid w:val="00FD47B6"/>
    <w:rsid w:val="00FD4DFE"/>
    <w:rsid w:val="00FD6F70"/>
    <w:rsid w:val="00FE10FF"/>
    <w:rsid w:val="00FE1994"/>
    <w:rsid w:val="00FE31A0"/>
    <w:rsid w:val="00FE31D4"/>
    <w:rsid w:val="00FE41F4"/>
    <w:rsid w:val="00FE5EA8"/>
    <w:rsid w:val="00FE60B1"/>
    <w:rsid w:val="00FE623B"/>
    <w:rsid w:val="00FE64CC"/>
    <w:rsid w:val="00FE6D1C"/>
    <w:rsid w:val="00FE7044"/>
    <w:rsid w:val="00FE71A4"/>
    <w:rsid w:val="00FE78A2"/>
    <w:rsid w:val="00FF1B90"/>
    <w:rsid w:val="00FF294A"/>
    <w:rsid w:val="00FF3B1F"/>
    <w:rsid w:val="00FF4474"/>
    <w:rsid w:val="00FF4863"/>
    <w:rsid w:val="00FF6013"/>
    <w:rsid w:val="00FF6094"/>
    <w:rsid w:val="00FF65BF"/>
    <w:rsid w:val="00FF65DF"/>
    <w:rsid w:val="00FF769A"/>
    <w:rsid w:val="00FF7A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A090D55"/>
  <w15:docId w15:val="{281FA2E4-EA34-4F5E-B942-DC416103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418"/>
    <w:rPr>
      <w:sz w:val="24"/>
      <w:szCs w:val="24"/>
    </w:rPr>
  </w:style>
  <w:style w:type="paragraph" w:styleId="Heading1">
    <w:name w:val="heading 1"/>
    <w:basedOn w:val="Normal"/>
    <w:next w:val="Normal"/>
    <w:qFormat/>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qFormat/>
    <w:pPr>
      <w:keepNext/>
      <w:spacing w:after="240"/>
      <w:ind w:left="720" w:hanging="720"/>
      <w:outlineLvl w:val="1"/>
    </w:pPr>
    <w:rPr>
      <w:b/>
    </w:rPr>
  </w:style>
  <w:style w:type="paragraph" w:styleId="Heading3">
    <w:name w:val="heading 3"/>
    <w:basedOn w:val="Normal"/>
    <w:next w:val="Normal"/>
    <w:link w:val="Heading3Char"/>
    <w:qFormat/>
    <w:pPr>
      <w:keepNext/>
      <w:spacing w:after="240"/>
      <w:ind w:left="720"/>
      <w:outlineLvl w:val="2"/>
    </w:pPr>
    <w:rPr>
      <w:b/>
      <w:szCs w:val="26"/>
    </w:rPr>
  </w:style>
  <w:style w:type="paragraph" w:styleId="Heading4">
    <w:name w:val="heading 4"/>
    <w:basedOn w:val="Normal"/>
    <w:next w:val="Normal"/>
    <w:qFormat/>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pPr>
      <w:keepNext/>
      <w:spacing w:line="232" w:lineRule="auto"/>
      <w:ind w:left="720" w:hanging="720"/>
      <w:outlineLvl w:val="4"/>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pPr>
      <w:keepNext/>
      <w:spacing w:line="232" w:lineRule="auto"/>
      <w:ind w:left="1080" w:hanging="1080"/>
      <w:outlineLvl w:val="6"/>
    </w:pPr>
    <w:rPr>
      <w:b/>
    </w:rPr>
  </w:style>
  <w:style w:type="paragraph" w:styleId="Heading8">
    <w:name w:val="heading 8"/>
    <w:basedOn w:val="Normal"/>
    <w:next w:val="Normal"/>
    <w:qFormat/>
    <w:pPr>
      <w:keepNext/>
      <w:spacing w:line="232" w:lineRule="auto"/>
      <w:jc w:val="right"/>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1080"/>
      </w:tabs>
      <w:spacing w:after="240"/>
      <w:ind w:left="720" w:hanging="720"/>
    </w:pPr>
  </w:style>
  <w:style w:type="paragraph" w:styleId="BodyText">
    <w:name w:val="Body Text"/>
    <w:basedOn w:val="Normal"/>
    <w:link w:val="BodyTextChar"/>
    <w:pPr>
      <w:spacing w:after="240"/>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customStyle="1" w:styleId="REF">
    <w:name w:val="REF"/>
    <w:basedOn w:val="Normal"/>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Pr>
      <w:b/>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Indent">
    <w:name w:val="Body Text Indent"/>
    <w:basedOn w:val="Normal"/>
    <w:pPr>
      <w:spacing w:line="232" w:lineRule="auto"/>
      <w:ind w:left="2160" w:hanging="720"/>
    </w:pPr>
    <w:rPr>
      <w:b/>
    </w:rPr>
  </w:style>
  <w:style w:type="paragraph" w:styleId="BodyTextIndent2">
    <w:name w:val="Body Text Indent 2"/>
    <w:basedOn w:val="Normal"/>
    <w:pPr>
      <w:spacing w:line="232" w:lineRule="auto"/>
      <w:ind w:left="2880" w:hanging="720"/>
    </w:pPr>
    <w:rPr>
      <w:b/>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line="233" w:lineRule="auto"/>
      <w:ind w:left="1440" w:hanging="360"/>
    </w:pPr>
    <w:rPr>
      <w:b/>
    </w:rPr>
  </w:style>
  <w:style w:type="character" w:styleId="FollowedHyperlink">
    <w:name w:val="FollowedHyperlink"/>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5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E-mailSignature">
    <w:name w:val="E-mail Signature"/>
    <w:basedOn w:val="Normal"/>
    <w:link w:val="E-mailSignatureChar"/>
    <w:uiPriority w:val="99"/>
    <w:semiHidden/>
    <w:unhideWhenUsed/>
    <w:rsid w:val="00B36884"/>
    <w:pPr>
      <w:spacing w:before="100" w:beforeAutospacing="1" w:after="100" w:afterAutospacing="1"/>
    </w:pPr>
    <w:rPr>
      <w:rFonts w:eastAsia="Calibri"/>
    </w:rPr>
  </w:style>
  <w:style w:type="character" w:customStyle="1" w:styleId="E-mailSignatureChar">
    <w:name w:val="E-mail Signature Char"/>
    <w:link w:val="E-mailSignature"/>
    <w:uiPriority w:val="99"/>
    <w:semiHidden/>
    <w:rsid w:val="00B36884"/>
    <w:rPr>
      <w:rFonts w:eastAsia="Calibri"/>
      <w:sz w:val="24"/>
      <w:szCs w:val="24"/>
    </w:rPr>
  </w:style>
  <w:style w:type="character" w:customStyle="1" w:styleId="apple-style-span">
    <w:name w:val="apple-style-span"/>
    <w:basedOn w:val="DefaultParagraphFont"/>
    <w:rsid w:val="00B36884"/>
  </w:style>
  <w:style w:type="character" w:customStyle="1" w:styleId="reftitle1">
    <w:name w:val="ref_title1"/>
    <w:rsid w:val="00C81F09"/>
    <w:rPr>
      <w:b/>
      <w:bCs/>
      <w:color w:val="424242"/>
    </w:rPr>
  </w:style>
  <w:style w:type="character" w:customStyle="1" w:styleId="refpub1">
    <w:name w:val="ref_pub1"/>
    <w:rsid w:val="00C81F09"/>
    <w:rPr>
      <w:b w:val="0"/>
      <w:bCs w:val="0"/>
    </w:rPr>
  </w:style>
  <w:style w:type="paragraph" w:customStyle="1" w:styleId="objective">
    <w:name w:val="objective"/>
    <w:basedOn w:val="Normal"/>
    <w:rsid w:val="007D4ACE"/>
    <w:pPr>
      <w:keepNext/>
      <w:spacing w:before="100" w:beforeAutospacing="1" w:after="100" w:afterAutospacing="1" w:line="216" w:lineRule="atLeast"/>
    </w:pPr>
    <w:rPr>
      <w:rFonts w:ascii="Arial" w:hAnsi="Arial" w:cs="Arial"/>
      <w:b/>
      <w:bCs/>
      <w:color w:val="000000"/>
      <w:sz w:val="22"/>
      <w:szCs w:val="22"/>
    </w:rPr>
  </w:style>
  <w:style w:type="character" w:customStyle="1" w:styleId="A0">
    <w:name w:val="A0"/>
    <w:uiPriority w:val="99"/>
    <w:rsid w:val="00ED6E42"/>
    <w:rPr>
      <w:rFonts w:cs="Myriad Pro"/>
      <w:color w:val="000000"/>
      <w:sz w:val="21"/>
      <w:szCs w:val="21"/>
    </w:rPr>
  </w:style>
  <w:style w:type="paragraph" w:styleId="NormalWeb">
    <w:name w:val="Normal (Web)"/>
    <w:basedOn w:val="Normal"/>
    <w:uiPriority w:val="99"/>
    <w:unhideWhenUsed/>
    <w:rsid w:val="00566DED"/>
    <w:pPr>
      <w:spacing w:before="100" w:beforeAutospacing="1" w:after="100" w:afterAutospacing="1"/>
    </w:pPr>
    <w:rPr>
      <w:rFonts w:eastAsia="Calibri"/>
    </w:rPr>
  </w:style>
  <w:style w:type="paragraph" w:styleId="BodyText3">
    <w:name w:val="Body Text 3"/>
    <w:basedOn w:val="Normal"/>
    <w:link w:val="BodyText3Char"/>
    <w:uiPriority w:val="99"/>
    <w:semiHidden/>
    <w:unhideWhenUsed/>
    <w:rsid w:val="007C1D11"/>
    <w:pPr>
      <w:spacing w:after="120"/>
    </w:pPr>
    <w:rPr>
      <w:sz w:val="16"/>
      <w:szCs w:val="16"/>
    </w:rPr>
  </w:style>
  <w:style w:type="character" w:customStyle="1" w:styleId="BodyText3Char">
    <w:name w:val="Body Text 3 Char"/>
    <w:link w:val="BodyText3"/>
    <w:uiPriority w:val="99"/>
    <w:semiHidden/>
    <w:rsid w:val="007C1D11"/>
    <w:rPr>
      <w:sz w:val="16"/>
      <w:szCs w:val="16"/>
    </w:rPr>
  </w:style>
  <w:style w:type="character" w:customStyle="1" w:styleId="Heading2Char">
    <w:name w:val="Heading 2 Char"/>
    <w:link w:val="Heading2"/>
    <w:rsid w:val="004E048D"/>
    <w:rPr>
      <w:b/>
      <w:sz w:val="24"/>
      <w:szCs w:val="24"/>
    </w:rPr>
  </w:style>
  <w:style w:type="character" w:customStyle="1" w:styleId="Heading3Char">
    <w:name w:val="Heading 3 Char"/>
    <w:link w:val="Heading3"/>
    <w:rsid w:val="004E048D"/>
    <w:rPr>
      <w:b/>
      <w:sz w:val="24"/>
      <w:szCs w:val="26"/>
    </w:rPr>
  </w:style>
  <w:style w:type="character" w:customStyle="1" w:styleId="BodyTextChar">
    <w:name w:val="Body Text Char"/>
    <w:link w:val="BodyText"/>
    <w:rsid w:val="004E048D"/>
    <w:rPr>
      <w:sz w:val="24"/>
      <w:szCs w:val="24"/>
    </w:rPr>
  </w:style>
  <w:style w:type="character" w:customStyle="1" w:styleId="Footer11">
    <w:name w:val="Footer11"/>
    <w:basedOn w:val="DefaultParagraphFont"/>
    <w:rsid w:val="004E048D"/>
  </w:style>
  <w:style w:type="paragraph" w:styleId="PlainText">
    <w:name w:val="Plain Text"/>
    <w:basedOn w:val="Normal"/>
    <w:link w:val="PlainTextChar"/>
    <w:uiPriority w:val="99"/>
    <w:semiHidden/>
    <w:unhideWhenUsed/>
    <w:rsid w:val="00033C7F"/>
    <w:rPr>
      <w:rFonts w:ascii="Consolas" w:eastAsia="Calibri" w:hAnsi="Consolas"/>
      <w:sz w:val="21"/>
      <w:szCs w:val="21"/>
    </w:rPr>
  </w:style>
  <w:style w:type="character" w:customStyle="1" w:styleId="PlainTextChar">
    <w:name w:val="Plain Text Char"/>
    <w:link w:val="PlainText"/>
    <w:uiPriority w:val="99"/>
    <w:semiHidden/>
    <w:rsid w:val="00033C7F"/>
    <w:rPr>
      <w:rFonts w:ascii="Consolas" w:eastAsia="Calibri" w:hAnsi="Consolas" w:cs="Times New Roman"/>
      <w:sz w:val="21"/>
      <w:szCs w:val="21"/>
    </w:rPr>
  </w:style>
  <w:style w:type="character" w:customStyle="1" w:styleId="style41">
    <w:name w:val="style41"/>
    <w:rsid w:val="00033C7F"/>
    <w:rPr>
      <w:sz w:val="11"/>
      <w:szCs w:val="11"/>
    </w:rPr>
  </w:style>
  <w:style w:type="paragraph" w:styleId="HTMLPreformatted">
    <w:name w:val="HTML Preformatted"/>
    <w:basedOn w:val="Normal"/>
    <w:link w:val="HTMLPreformattedChar"/>
    <w:uiPriority w:val="99"/>
    <w:semiHidden/>
    <w:unhideWhenUsed/>
    <w:rsid w:val="0086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865150"/>
    <w:rPr>
      <w:rFonts w:ascii="Courier New" w:hAnsi="Courier New" w:cs="Courier New"/>
    </w:rPr>
  </w:style>
  <w:style w:type="paragraph" w:customStyle="1" w:styleId="t11">
    <w:name w:val="t11"/>
    <w:basedOn w:val="Normal"/>
    <w:rsid w:val="00447DF5"/>
    <w:pPr>
      <w:spacing w:before="100" w:beforeAutospacing="1" w:after="100" w:afterAutospacing="1"/>
    </w:pPr>
    <w:rPr>
      <w:b/>
      <w:bCs/>
      <w:color w:val="000000"/>
      <w:sz w:val="20"/>
      <w:szCs w:val="20"/>
    </w:rPr>
  </w:style>
  <w:style w:type="paragraph" w:customStyle="1" w:styleId="a">
    <w:name w:val="列出段落"/>
    <w:basedOn w:val="Normal"/>
    <w:uiPriority w:val="34"/>
    <w:qFormat/>
    <w:rsid w:val="006E2D1E"/>
    <w:pPr>
      <w:ind w:left="720"/>
    </w:pPr>
  </w:style>
  <w:style w:type="paragraph" w:styleId="Revision">
    <w:name w:val="Revision"/>
    <w:hidden/>
    <w:uiPriority w:val="99"/>
    <w:semiHidden/>
    <w:rsid w:val="00D24B75"/>
    <w:rPr>
      <w:sz w:val="24"/>
      <w:szCs w:val="24"/>
    </w:rPr>
  </w:style>
  <w:style w:type="paragraph" w:customStyle="1" w:styleId="CommentText1">
    <w:name w:val="Comment Text1"/>
    <w:rsid w:val="00A223F1"/>
    <w:rPr>
      <w:rFonts w:ascii="Lucida Grande" w:eastAsia="ヒラギノ角ゴ Pro W3" w:hAnsi="Lucida Grande"/>
      <w:color w:val="000000"/>
    </w:rPr>
  </w:style>
  <w:style w:type="character" w:customStyle="1" w:styleId="emphasis1">
    <w:name w:val="emphasis1"/>
    <w:rsid w:val="00FA02E3"/>
    <w:rPr>
      <w:b/>
      <w:bCs/>
    </w:rPr>
  </w:style>
  <w:style w:type="character" w:customStyle="1" w:styleId="reftitle">
    <w:name w:val="ref_title"/>
    <w:rsid w:val="00F77594"/>
  </w:style>
  <w:style w:type="character" w:customStyle="1" w:styleId="CommentTextChar">
    <w:name w:val="Comment Text Char"/>
    <w:basedOn w:val="DefaultParagraphFont"/>
    <w:link w:val="CommentText"/>
    <w:semiHidden/>
    <w:rsid w:val="006460E2"/>
  </w:style>
  <w:style w:type="character" w:customStyle="1" w:styleId="A11">
    <w:name w:val="A11"/>
    <w:uiPriority w:val="99"/>
    <w:rsid w:val="00475EFF"/>
    <w:rPr>
      <w:rFonts w:ascii="Myriad Pro" w:hAnsi="Myriad Pro" w:cs="Myriad Pro"/>
      <w:color w:val="000000"/>
      <w:sz w:val="11"/>
      <w:szCs w:val="11"/>
    </w:rPr>
  </w:style>
  <w:style w:type="character" w:customStyle="1" w:styleId="HeaderChar">
    <w:name w:val="Header Char"/>
    <w:basedOn w:val="DefaultParagraphFont"/>
    <w:link w:val="Header"/>
    <w:uiPriority w:val="99"/>
    <w:rsid w:val="00A60B2B"/>
    <w:rPr>
      <w:sz w:val="24"/>
      <w:szCs w:val="24"/>
    </w:rPr>
  </w:style>
  <w:style w:type="character" w:customStyle="1" w:styleId="doi1">
    <w:name w:val="doi1"/>
    <w:basedOn w:val="DefaultParagraphFont"/>
    <w:rsid w:val="001D6637"/>
  </w:style>
  <w:style w:type="character" w:customStyle="1" w:styleId="UnresolvedMention1">
    <w:name w:val="Unresolved Mention1"/>
    <w:basedOn w:val="DefaultParagraphFont"/>
    <w:uiPriority w:val="99"/>
    <w:semiHidden/>
    <w:unhideWhenUsed/>
    <w:rsid w:val="00787904"/>
    <w:rPr>
      <w:color w:val="605E5C"/>
      <w:shd w:val="clear" w:color="auto" w:fill="E1DFDD"/>
    </w:rPr>
  </w:style>
  <w:style w:type="character" w:customStyle="1" w:styleId="sr-only">
    <w:name w:val="sr-only"/>
    <w:basedOn w:val="DefaultParagraphFont"/>
    <w:rsid w:val="00323418"/>
  </w:style>
  <w:style w:type="character" w:styleId="UnresolvedMention">
    <w:name w:val="Unresolved Mention"/>
    <w:basedOn w:val="DefaultParagraphFont"/>
    <w:uiPriority w:val="99"/>
    <w:semiHidden/>
    <w:unhideWhenUsed/>
    <w:rsid w:val="00FD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statesystem" TargetMode="External" /><Relationship Id="rId11" Type="http://schemas.openxmlformats.org/officeDocument/2006/relationships/hyperlink" Target="https://doi.org/10.2196/13470" TargetMode="External" /><Relationship Id="rId12" Type="http://schemas.openxmlformats.org/officeDocument/2006/relationships/hyperlink" Target="https://www.thecommunityguide.org/sites/default/files/assets/Tobacco-Use-Quitlines-508.pdf" TargetMode="External" /><Relationship Id="rId13" Type="http://schemas.openxmlformats.org/officeDocument/2006/relationships/hyperlink" Target="http://dx.doi.org/10.15585/mmwr.mm6946a4" TargetMode="External" /><Relationship Id="rId14" Type="http://schemas.openxmlformats.org/officeDocument/2006/relationships/hyperlink" Target="http://dx.doi.org/10.15585/mmwr.mm6845a2" TargetMode="External" /><Relationship Id="rId15" Type="http://schemas.openxmlformats.org/officeDocument/2006/relationships/hyperlink" Target="http://dx.doi.org/10.15585/mmwr.mm6745a5" TargetMode="External" /><Relationship Id="rId16" Type="http://schemas.openxmlformats.org/officeDocument/2006/relationships/hyperlink" Target="http://dx.doi.org/10.15585/mmwr.mm6950a1" TargetMode="External" /><Relationship Id="rId17" Type="http://schemas.openxmlformats.org/officeDocument/2006/relationships/hyperlink" Target="http://dx.doi.org/10.15585/mmwr.mm6702a1" TargetMode="External" /><Relationship Id="rId18" Type="http://schemas.openxmlformats.org/officeDocument/2006/relationships/hyperlink" Target="http://dx.doi.org/10.5888/pcd12.140584" TargetMode="External" /><Relationship Id="rId19" Type="http://schemas.openxmlformats.org/officeDocument/2006/relationships/hyperlink" Target="https://cdn.ymaws.com/www.naquitline.org/resource/resmgr/Issue_Papers/IssuePaperTheUseofQuitlinesA.pdf" TargetMode="External" /><Relationship Id="rId2" Type="http://schemas.openxmlformats.org/officeDocument/2006/relationships/webSettings" Target="webSettings.xml" /><Relationship Id="rId20" Type="http://schemas.openxmlformats.org/officeDocument/2006/relationships/hyperlink" Target="http://dx.doi.org/10.15585/mmwr.mm6701a2" TargetMode="External" /><Relationship Id="rId21" Type="http://schemas.openxmlformats.org/officeDocument/2006/relationships/hyperlink" Target="https://dx.doi.org/10.1016%2Fj.jadohealth.2020.05.017" TargetMode="External" /><Relationship Id="rId22" Type="http://schemas.openxmlformats.org/officeDocument/2006/relationships/hyperlink" Target="https://www.bls.gov/oes/current/oes_nat.htm" TargetMode="External" /><Relationship Id="rId23" Type="http://schemas.openxmlformats.org/officeDocument/2006/relationships/hyperlink" Target="https://www.med.navy.mil/sites/nmcphc/Documents/health-promotion-wellness/tobacco-free-living/INCOMING-CARTER-Tobacco-Policy-Memo.pdf" TargetMode="External" /><Relationship Id="rId24" Type="http://schemas.openxmlformats.org/officeDocument/2006/relationships/hyperlink" Target="http://dx.doi.org/10.15585/mmwr.ss6812a1"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ViewICR?ref_nbr=201903-0920-001" TargetMode="External" /><Relationship Id="rId9" Type="http://schemas.openxmlformats.org/officeDocument/2006/relationships/hyperlink" Target="http://apps.nccd.cdc.gov/statesystem/Default/Default.aspx"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C16264-E4E5-4614-839A-EC3A79D5A78C}">
  <ds:schemaRefs>
    <ds:schemaRef ds:uri="http://schemas.microsoft.com/sharepoint/v3/contenttype/forms"/>
  </ds:schemaRefs>
</ds:datastoreItem>
</file>

<file path=customXml/itemProps2.xml><?xml version="1.0" encoding="utf-8"?>
<ds:datastoreItem xmlns:ds="http://schemas.openxmlformats.org/officeDocument/2006/customXml" ds:itemID="{A7C55B23-D2F7-4D56-87B8-E426A6342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B70F3-1240-4D82-A19D-7D8A4DBAB2D8}">
  <ds:schemaRefs>
    <ds:schemaRef ds:uri="http://schemas.openxmlformats.org/officeDocument/2006/bibliography"/>
  </ds:schemaRefs>
</ds:datastoreItem>
</file>

<file path=customXml/itemProps4.xml><?xml version="1.0" encoding="utf-8"?>
<ds:datastoreItem xmlns:ds="http://schemas.openxmlformats.org/officeDocument/2006/customXml" ds:itemID="{A9EE5A44-C311-4349-A201-4B11ECA14EE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10754</Words>
  <Characters>64224</Characters>
  <Application>Microsoft Office Word</Application>
  <DocSecurity>0</DocSecurity>
  <Lines>535</Lines>
  <Paragraphs>149</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Macro International Inc.</Company>
  <LinksUpToDate>false</LinksUpToDate>
  <CharactersWithSpaces>74829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Katherine.H.Flint</dc:creator>
  <cp:lastModifiedBy>Joyce, Kevin J. (CDC/OD/OS)</cp:lastModifiedBy>
  <cp:revision>5</cp:revision>
  <cp:lastPrinted>2016-03-14T17:30:00Z</cp:lastPrinted>
  <dcterms:created xsi:type="dcterms:W3CDTF">2025-07-18T20:53:00Z</dcterms:created>
  <dcterms:modified xsi:type="dcterms:W3CDTF">2025-07-23T14:05:00Z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9a6559c9-df33-4cc7-8ecb-9b94c92d1d3d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2021-01-04T17:17:12Z</vt:lpwstr>
  </property>
  <property fmtid="{D5CDD505-2E9C-101B-9397-08002B2CF9AE}" pid="9" name="MSIP_Label_7b94a7b8-f06c-4dfe-bdcc-9b548fd58c31_SiteId">
    <vt:lpwstr>9ce70869-60db-44fd-abe8-d2767077fc8f</vt:lpwstr>
  </property>
</Properties>
</file>