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BB" w:rsidP="00C861BB" w:rsidRDefault="00C861BB">
      <w:pPr>
        <w:pStyle w:val="Heading1"/>
      </w:pPr>
      <w:bookmarkStart w:name="_Toc28359565" w:id="0"/>
      <w:r>
        <w:t>Data Collection</w:t>
      </w:r>
      <w:bookmarkEnd w:id="0"/>
      <w:r>
        <w:t xml:space="preserve"> Calendar</w:t>
      </w:r>
    </w:p>
    <w:p w:rsidR="00C861BB" w:rsidP="00C861BB" w:rsidRDefault="00C861BB">
      <w:pPr>
        <w:spacing w:after="240"/>
      </w:pPr>
      <w:r w:rsidRPr="003700BC">
        <w:t xml:space="preserve">NORC sends a request to state </w:t>
      </w:r>
      <w:r>
        <w:t>Quitline</w:t>
      </w:r>
      <w:r w:rsidRPr="003700BC">
        <w:t xml:space="preserve">s by email every quarter for their NQDW data submissions. The following table, </w:t>
      </w:r>
      <w:r w:rsidR="00FE68F3">
        <w:t>Exhibit 1</w:t>
      </w:r>
      <w:r w:rsidRPr="003700BC">
        <w:t xml:space="preserve">, shows the data collection schedule for the </w:t>
      </w:r>
      <w:r>
        <w:t>Services Survey</w:t>
      </w:r>
      <w:r w:rsidRPr="003700BC">
        <w:t xml:space="preserve">, Individual-Level Intake, </w:t>
      </w:r>
      <w:r w:rsidR="00FE68F3">
        <w:t xml:space="preserve">and </w:t>
      </w:r>
      <w:r w:rsidRPr="003700BC">
        <w:t>7-month follow-up (ASQ only</w:t>
      </w:r>
      <w:r w:rsidR="00FE68F3">
        <w:t>)</w:t>
      </w:r>
      <w:r w:rsidRPr="003700BC">
        <w:t xml:space="preserve"> for all states. </w:t>
      </w:r>
      <w:r>
        <w:t>Intake Data</w:t>
      </w:r>
      <w:r w:rsidRPr="003700BC">
        <w:t xml:space="preserve"> are collected once per quarter, while </w:t>
      </w:r>
      <w:r>
        <w:t>Services Survey Data</w:t>
      </w:r>
      <w:r w:rsidRPr="003700BC">
        <w:t xml:space="preserve"> are collected once every two quarters (semi-annually) as shown below. </w:t>
      </w:r>
      <w:r w:rsidR="00FE68F3">
        <w:t xml:space="preserve">7-month follow-up data are requested annually. </w:t>
      </w:r>
      <w:r w:rsidRPr="003700BC">
        <w:t>If these dates fall on a weekend, the requests are sent on the next business day.</w:t>
      </w:r>
    </w:p>
    <w:p w:rsidR="00C861BB" w:rsidP="00C861BB" w:rsidRDefault="00FE68F3">
      <w:pPr>
        <w:pStyle w:val="NORCCaption-Exhibit"/>
      </w:pPr>
      <w:r>
        <w:rPr>
          <w:rStyle w:val="NORCCaption-Color"/>
        </w:rPr>
        <w:t>Exhibit 1</w:t>
      </w:r>
      <w:r w:rsidR="00C861BB">
        <w:rPr>
          <w:rStyle w:val="NORCCaption-Color"/>
        </w:rPr>
        <w:t>.</w:t>
      </w:r>
      <w:r w:rsidR="00C861BB">
        <w:rPr>
          <w:rStyle w:val="NORCCaption-Color"/>
        </w:rPr>
        <w:tab/>
      </w:r>
      <w:r w:rsidR="00C861BB">
        <w:rPr>
          <w:rStyle w:val="NORCCaption-Color"/>
          <w:color w:val="auto"/>
        </w:rPr>
        <w:t>NQDW Data Request Schedule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5"/>
        <w:gridCol w:w="2430"/>
        <w:gridCol w:w="1980"/>
        <w:gridCol w:w="1890"/>
        <w:gridCol w:w="1975"/>
      </w:tblGrid>
      <w:tr w:rsidRPr="003E3932" w:rsidR="00C861BB" w:rsidTr="00FE68F3">
        <w:tc>
          <w:tcPr>
            <w:tcW w:w="1075" w:type="dxa"/>
            <w:shd w:val="clear" w:color="auto" w:fill="BFB6AC" w:themeFill="accent3"/>
          </w:tcPr>
          <w:p w:rsidRPr="003700BC" w:rsidR="00C861BB" w:rsidP="00A510F8" w:rsidRDefault="00C861BB">
            <w:pPr>
              <w:pStyle w:val="NORCTableHeader1"/>
            </w:pPr>
            <w:r w:rsidRPr="003700BC">
              <w:t>Calendar Quarter</w:t>
            </w:r>
          </w:p>
        </w:tc>
        <w:tc>
          <w:tcPr>
            <w:tcW w:w="2430" w:type="dxa"/>
            <w:shd w:val="clear" w:color="auto" w:fill="BFB6AC" w:themeFill="accent3"/>
          </w:tcPr>
          <w:p w:rsidRPr="003700BC" w:rsidR="00C861BB" w:rsidP="00A510F8" w:rsidRDefault="00FE68F3">
            <w:pPr>
              <w:pStyle w:val="NORCTableHeader1"/>
            </w:pPr>
            <w:r>
              <w:t>Time Period</w:t>
            </w:r>
          </w:p>
        </w:tc>
        <w:tc>
          <w:tcPr>
            <w:tcW w:w="1980" w:type="dxa"/>
            <w:shd w:val="clear" w:color="auto" w:fill="BFB6AC" w:themeFill="accent3"/>
          </w:tcPr>
          <w:p w:rsidRPr="003700BC" w:rsidR="00C861BB" w:rsidP="00A510F8" w:rsidRDefault="00F700A8">
            <w:pPr>
              <w:pStyle w:val="NORCTableHeader1"/>
            </w:pPr>
            <w:r>
              <w:t>Type of Data Requested</w:t>
            </w:r>
          </w:p>
        </w:tc>
        <w:tc>
          <w:tcPr>
            <w:tcW w:w="1890" w:type="dxa"/>
            <w:shd w:val="clear" w:color="auto" w:fill="BFB6AC" w:themeFill="accent3"/>
          </w:tcPr>
          <w:p w:rsidRPr="003700BC" w:rsidR="00C861BB" w:rsidP="00A510F8" w:rsidRDefault="00C861BB">
            <w:pPr>
              <w:pStyle w:val="NORCTableHeader1"/>
            </w:pPr>
            <w:r w:rsidRPr="003700BC">
              <w:t>Request Sent</w:t>
            </w:r>
          </w:p>
        </w:tc>
        <w:tc>
          <w:tcPr>
            <w:tcW w:w="1975" w:type="dxa"/>
            <w:shd w:val="clear" w:color="auto" w:fill="BFB6AC" w:themeFill="accent3"/>
          </w:tcPr>
          <w:p w:rsidRPr="003700BC" w:rsidR="00C861BB" w:rsidP="00A510F8" w:rsidRDefault="00C861BB">
            <w:pPr>
              <w:pStyle w:val="NORCTableHeader1"/>
            </w:pPr>
            <w:r w:rsidRPr="003700BC">
              <w:t>Submission Deadline</w:t>
            </w:r>
          </w:p>
        </w:tc>
      </w:tr>
      <w:tr w:rsidRPr="003700BC" w:rsidR="00FE68F3" w:rsidTr="00FE68F3">
        <w:tc>
          <w:tcPr>
            <w:tcW w:w="1075" w:type="dxa"/>
            <w:shd w:val="clear" w:color="auto" w:fill="D8D3CD" w:themeFill="accent3" w:themeFillTint="99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January 1 – March 31</w:t>
            </w:r>
          </w:p>
        </w:tc>
        <w:tc>
          <w:tcPr>
            <w:tcW w:w="1980" w:type="dxa"/>
          </w:tcPr>
          <w:p w:rsidRPr="003700BC" w:rsidR="00FE68F3" w:rsidP="00FE68F3" w:rsidRDefault="00FE68F3">
            <w:pPr>
              <w:pStyle w:val="NORCTableBodyLeft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Intake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Approximately 15 days after the calendar quarter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Approximately 45 days after the calendar quarter</w:t>
            </w:r>
          </w:p>
        </w:tc>
      </w:tr>
      <w:tr w:rsidRPr="003700BC" w:rsidR="00FE68F3" w:rsidTr="00FE68F3">
        <w:tc>
          <w:tcPr>
            <w:tcW w:w="1075" w:type="dxa"/>
            <w:shd w:val="clear" w:color="auto" w:fill="D8D3CD" w:themeFill="accent3" w:themeFillTint="99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April 1 – June 30</w:t>
            </w:r>
          </w:p>
        </w:tc>
        <w:tc>
          <w:tcPr>
            <w:tcW w:w="1980" w:type="dxa"/>
          </w:tcPr>
          <w:p w:rsidR="00FE68F3" w:rsidP="00FE68F3" w:rsidRDefault="00FE68F3">
            <w:pPr>
              <w:pStyle w:val="NORCTableBodyLeft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Cs w:val="20"/>
              </w:rPr>
            </w:pPr>
            <w:r>
              <w:rPr>
                <w:rFonts w:cs="Arial"/>
                <w:color w:val="000000"/>
                <w:kern w:val="24"/>
                <w:szCs w:val="20"/>
              </w:rPr>
              <w:t>Intake</w:t>
            </w:r>
          </w:p>
          <w:p w:rsidRPr="003700BC" w:rsidR="00FE68F3" w:rsidP="00FE68F3" w:rsidRDefault="00FE68F3">
            <w:pPr>
              <w:pStyle w:val="NORCTableBodyLeft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Services Survey</w:t>
            </w:r>
          </w:p>
        </w:tc>
        <w:tc>
          <w:tcPr>
            <w:tcW w:w="1890" w:type="dxa"/>
            <w:vMerge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</w:p>
        </w:tc>
      </w:tr>
      <w:tr w:rsidRPr="003700BC" w:rsidR="00FE68F3" w:rsidTr="00FE68F3">
        <w:tc>
          <w:tcPr>
            <w:tcW w:w="1075" w:type="dxa"/>
            <w:shd w:val="clear" w:color="auto" w:fill="D8D3CD" w:themeFill="accent3" w:themeFillTint="99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July 1 – September 30</w:t>
            </w:r>
          </w:p>
        </w:tc>
        <w:tc>
          <w:tcPr>
            <w:tcW w:w="1980" w:type="dxa"/>
          </w:tcPr>
          <w:p w:rsidRPr="003700BC" w:rsidR="00FE68F3" w:rsidP="00FE68F3" w:rsidRDefault="00FE68F3">
            <w:pPr>
              <w:pStyle w:val="NORCTableBodyLeft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Intake</w:t>
            </w:r>
          </w:p>
        </w:tc>
        <w:tc>
          <w:tcPr>
            <w:tcW w:w="1890" w:type="dxa"/>
            <w:vMerge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</w:p>
        </w:tc>
      </w:tr>
      <w:tr w:rsidRPr="003700BC" w:rsidR="00FE68F3" w:rsidTr="00FE68F3">
        <w:tc>
          <w:tcPr>
            <w:tcW w:w="1075" w:type="dxa"/>
            <w:shd w:val="clear" w:color="auto" w:fill="D8D3CD" w:themeFill="accent3" w:themeFillTint="99"/>
          </w:tcPr>
          <w:p w:rsidRPr="003700BC" w:rsidR="00FE68F3" w:rsidP="00A510F8" w:rsidRDefault="00F700A8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>
              <w:rPr>
                <w:rFonts w:cs="Arial"/>
                <w:color w:val="000000"/>
                <w:kern w:val="24"/>
                <w:szCs w:val="20"/>
              </w:rPr>
              <w:t>4*</w:t>
            </w:r>
          </w:p>
        </w:tc>
        <w:tc>
          <w:tcPr>
            <w:tcW w:w="2430" w:type="dxa"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October 1 – December 31</w:t>
            </w:r>
          </w:p>
        </w:tc>
        <w:tc>
          <w:tcPr>
            <w:tcW w:w="1980" w:type="dxa"/>
          </w:tcPr>
          <w:p w:rsidR="00FE68F3" w:rsidP="00FE68F3" w:rsidRDefault="00FE68F3">
            <w:pPr>
              <w:pStyle w:val="NORCTableBodyLeft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Cs w:val="20"/>
              </w:rPr>
            </w:pPr>
            <w:r>
              <w:rPr>
                <w:rFonts w:cs="Arial"/>
                <w:color w:val="000000"/>
                <w:kern w:val="24"/>
                <w:szCs w:val="20"/>
              </w:rPr>
              <w:t>Intake</w:t>
            </w:r>
          </w:p>
          <w:p w:rsidRPr="00FE68F3" w:rsidR="00FE68F3" w:rsidP="00FE68F3" w:rsidRDefault="00FE68F3">
            <w:pPr>
              <w:pStyle w:val="NORCTableBodyLeft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Services Survey</w:t>
            </w:r>
          </w:p>
        </w:tc>
        <w:tc>
          <w:tcPr>
            <w:tcW w:w="1890" w:type="dxa"/>
            <w:vMerge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</w:p>
        </w:tc>
      </w:tr>
      <w:tr w:rsidRPr="003700BC" w:rsidR="00FE68F3" w:rsidTr="00FE68F3">
        <w:tc>
          <w:tcPr>
            <w:tcW w:w="1075" w:type="dxa"/>
            <w:shd w:val="clear" w:color="auto" w:fill="D8D3CD" w:themeFill="accent3" w:themeFillTint="99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>
              <w:rPr>
                <w:rFonts w:cs="Arial"/>
                <w:color w:val="000000"/>
                <w:kern w:val="24"/>
                <w:szCs w:val="20"/>
              </w:rPr>
              <w:t>1-4 (Annual)</w:t>
            </w:r>
          </w:p>
        </w:tc>
        <w:tc>
          <w:tcPr>
            <w:tcW w:w="2430" w:type="dxa"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>
              <w:rPr>
                <w:rFonts w:cs="Arial"/>
                <w:color w:val="000000"/>
                <w:kern w:val="24"/>
                <w:szCs w:val="20"/>
              </w:rPr>
              <w:t>January 1 – December 31</w:t>
            </w:r>
          </w:p>
        </w:tc>
        <w:tc>
          <w:tcPr>
            <w:tcW w:w="1980" w:type="dxa"/>
          </w:tcPr>
          <w:p w:rsidR="00FE68F3" w:rsidP="00FE68F3" w:rsidRDefault="00FE68F3">
            <w:pPr>
              <w:pStyle w:val="NORCTableBodyLeft"/>
              <w:numPr>
                <w:ilvl w:val="0"/>
                <w:numId w:val="4"/>
              </w:numPr>
              <w:rPr>
                <w:rFonts w:cs="Arial"/>
                <w:color w:val="000000"/>
                <w:kern w:val="24"/>
                <w:szCs w:val="20"/>
              </w:rPr>
            </w:pPr>
            <w:r>
              <w:rPr>
                <w:rFonts w:cs="Arial"/>
                <w:color w:val="000000"/>
                <w:kern w:val="24"/>
                <w:szCs w:val="20"/>
              </w:rPr>
              <w:t>7-Month Follow Up Data (ASQ Only)</w:t>
            </w:r>
          </w:p>
        </w:tc>
        <w:tc>
          <w:tcPr>
            <w:tcW w:w="1890" w:type="dxa"/>
            <w:vMerge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Pr="003700BC" w:rsidR="00FE68F3" w:rsidP="00A510F8" w:rsidRDefault="00FE68F3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</w:p>
        </w:tc>
      </w:tr>
    </w:tbl>
    <w:p w:rsidRPr="00F700A8" w:rsidR="00C861BB" w:rsidP="00C861BB" w:rsidRDefault="00F700A8">
      <w:pPr>
        <w:pStyle w:val="NORCTableBullet1"/>
        <w:numPr>
          <w:ilvl w:val="0"/>
          <w:numId w:val="0"/>
        </w:numPr>
        <w:spacing w:line="288" w:lineRule="auto"/>
        <w:ind w:left="144" w:hanging="144"/>
        <w:rPr>
          <w:rFonts w:cs="Arial" w:eastAsiaTheme="minorEastAsia"/>
          <w:kern w:val="24"/>
        </w:rPr>
      </w:pPr>
      <w:r>
        <w:rPr>
          <w:rFonts w:cs="Arial" w:eastAsiaTheme="minorEastAsia"/>
          <w:kern w:val="24"/>
        </w:rPr>
        <w:t>*</w:t>
      </w:r>
      <w:r w:rsidRPr="00F700A8" w:rsidR="00C861BB">
        <w:rPr>
          <w:rFonts w:cs="Arial" w:eastAsiaTheme="minorEastAsia"/>
          <w:kern w:val="24"/>
        </w:rPr>
        <w:t xml:space="preserve"> </w:t>
      </w:r>
      <w:r>
        <w:rPr>
          <w:rFonts w:cs="Arial" w:eastAsiaTheme="minorEastAsia"/>
          <w:kern w:val="24"/>
        </w:rPr>
        <w:t>Annual data and data from Quarter 4 are</w:t>
      </w:r>
      <w:r w:rsidRPr="00F700A8" w:rsidR="00C861BB">
        <w:rPr>
          <w:rFonts w:cs="Arial" w:eastAsiaTheme="minorEastAsia"/>
          <w:kern w:val="24"/>
        </w:rPr>
        <w:t xml:space="preserve"> requested in January of the following calendar year.</w:t>
      </w:r>
    </w:p>
    <w:p w:rsidR="00C861BB" w:rsidP="00C861BB" w:rsidRDefault="00C861BB">
      <w:pPr>
        <w:rPr>
          <w:rFonts w:cs="Arial"/>
          <w:i/>
          <w:sz w:val="18"/>
        </w:rPr>
      </w:pPr>
    </w:p>
    <w:p w:rsidRPr="00624F94" w:rsidR="00C861BB" w:rsidP="00C861BB" w:rsidRDefault="00C861BB">
      <w:pPr>
        <w:spacing w:after="240"/>
      </w:pPr>
      <w:r>
        <w:t xml:space="preserve">NORC provides a 45-day period for data submission after the data requests have been sent. </w:t>
      </w:r>
      <w:r w:rsidRPr="00624F94">
        <w:t>After the 45</w:t>
      </w:r>
      <w:r>
        <w:t>-</w:t>
      </w:r>
      <w:r w:rsidRPr="00624F94">
        <w:t xml:space="preserve">day submission deadline, the NQDW team continues to work with the states and </w:t>
      </w:r>
      <w:r>
        <w:t>Quitline</w:t>
      </w:r>
      <w:r w:rsidRPr="00624F94">
        <w:t xml:space="preserve"> providers to obtain data that have not been submitted</w:t>
      </w:r>
      <w:r>
        <w:t xml:space="preserve">. </w:t>
      </w:r>
      <w:r w:rsidRPr="00624F94" w:rsidR="00FE68F3">
        <w:t xml:space="preserve">Quitlines with outstanding historical data (data older than the most recently requested data) are reminded of these </w:t>
      </w:r>
      <w:proofErr w:type="spellStart"/>
      <w:r w:rsidRPr="00624F94" w:rsidR="00FE68F3">
        <w:t>unsubmitted</w:t>
      </w:r>
      <w:proofErr w:type="spellEnd"/>
      <w:r w:rsidRPr="00624F94" w:rsidR="00FE68F3">
        <w:t xml:space="preserve"> data in each data request and follow-up email.</w:t>
      </w:r>
      <w:r w:rsidR="00FE68F3">
        <w:t xml:space="preserve"> </w:t>
      </w:r>
      <w:r w:rsidR="00F700A8">
        <w:t xml:space="preserve">Follow-up emails are issued every two weeks. </w:t>
      </w:r>
      <w:r w:rsidR="00FE68F3">
        <w:t>Exhibit 2 describes a typical follow-up procedure:</w:t>
      </w:r>
    </w:p>
    <w:p w:rsidR="00FE68F3" w:rsidP="00FE68F3" w:rsidRDefault="00FE68F3">
      <w:pPr>
        <w:pStyle w:val="NORCCaption-Exhibit"/>
      </w:pPr>
      <w:r>
        <w:rPr>
          <w:rStyle w:val="NORCCaption-Color"/>
        </w:rPr>
        <w:t>Exhibit 2</w:t>
      </w:r>
      <w:r>
        <w:rPr>
          <w:rStyle w:val="NORCCaption-Color"/>
        </w:rPr>
        <w:t>.</w:t>
      </w:r>
      <w:r>
        <w:rPr>
          <w:rStyle w:val="NORCCaption-Color"/>
        </w:rPr>
        <w:tab/>
      </w:r>
      <w:r>
        <w:rPr>
          <w:rStyle w:val="NORCCaption-Color"/>
          <w:color w:val="auto"/>
        </w:rPr>
        <w:t xml:space="preserve">NQDW Data Request </w:t>
      </w:r>
      <w:r w:rsidR="002A7D05">
        <w:rPr>
          <w:rStyle w:val="NORCCaption-Color"/>
          <w:color w:val="auto"/>
        </w:rPr>
        <w:t xml:space="preserve">Follow-up </w:t>
      </w:r>
      <w:bookmarkStart w:name="_GoBack" w:id="1"/>
      <w:bookmarkEnd w:id="1"/>
      <w:r>
        <w:rPr>
          <w:rStyle w:val="NORCCaption-Color"/>
          <w:color w:val="auto"/>
        </w:rPr>
        <w:t>Schedule</w:t>
      </w:r>
    </w:p>
    <w:tbl>
      <w:tblPr>
        <w:tblW w:w="9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5"/>
        <w:gridCol w:w="4185"/>
        <w:gridCol w:w="4185"/>
      </w:tblGrid>
      <w:tr w:rsidRPr="003E3932" w:rsidR="00FE68F3" w:rsidTr="00FE68F3">
        <w:tc>
          <w:tcPr>
            <w:tcW w:w="1075" w:type="dxa"/>
            <w:shd w:val="clear" w:color="auto" w:fill="BFB6AC" w:themeFill="accent3"/>
          </w:tcPr>
          <w:p w:rsidRPr="003700BC" w:rsidR="00FE68F3" w:rsidP="00A510F8" w:rsidRDefault="00FE68F3">
            <w:pPr>
              <w:pStyle w:val="NORCTableHeader1"/>
            </w:pPr>
            <w:r>
              <w:t>Follow-up Round</w:t>
            </w:r>
          </w:p>
        </w:tc>
        <w:tc>
          <w:tcPr>
            <w:tcW w:w="4185" w:type="dxa"/>
            <w:shd w:val="clear" w:color="auto" w:fill="BFB6AC" w:themeFill="accent3"/>
          </w:tcPr>
          <w:p w:rsidRPr="003700BC" w:rsidR="00FE68F3" w:rsidP="00A510F8" w:rsidRDefault="00FE68F3">
            <w:pPr>
              <w:pStyle w:val="NORCTableHeader1"/>
            </w:pPr>
            <w:r w:rsidRPr="003700BC">
              <w:t>Request Sent</w:t>
            </w:r>
          </w:p>
        </w:tc>
        <w:tc>
          <w:tcPr>
            <w:tcW w:w="4185" w:type="dxa"/>
            <w:shd w:val="clear" w:color="auto" w:fill="BFB6AC" w:themeFill="accent3"/>
          </w:tcPr>
          <w:p w:rsidRPr="003700BC" w:rsidR="00FE68F3" w:rsidP="00A510F8" w:rsidRDefault="00FE68F3">
            <w:pPr>
              <w:pStyle w:val="NORCTableHeader1"/>
            </w:pPr>
            <w:r w:rsidRPr="003700BC">
              <w:t>Submission Deadline</w:t>
            </w:r>
          </w:p>
        </w:tc>
      </w:tr>
      <w:tr w:rsidRPr="003700BC" w:rsidR="00F700A8" w:rsidTr="00FE68F3">
        <w:tc>
          <w:tcPr>
            <w:tcW w:w="1075" w:type="dxa"/>
            <w:shd w:val="clear" w:color="auto" w:fill="D8D3CD" w:themeFill="accent3" w:themeFillTint="99"/>
          </w:tcPr>
          <w:p w:rsidRPr="003700BC" w:rsidR="00F700A8" w:rsidP="00F700A8" w:rsidRDefault="00F700A8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 w:rsidRPr="003700BC">
              <w:rPr>
                <w:rFonts w:cs="Arial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4185" w:type="dxa"/>
            <w:shd w:val="clear" w:color="auto" w:fill="auto"/>
          </w:tcPr>
          <w:p w:rsidRPr="00F700A8" w:rsidR="00F700A8" w:rsidP="00F700A8" w:rsidRDefault="00F700A8">
            <w:pP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</w:pP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Approximately 1 days after the original submission deadline</w:t>
            </w:r>
          </w:p>
        </w:tc>
        <w:tc>
          <w:tcPr>
            <w:tcW w:w="4185" w:type="dxa"/>
            <w:shd w:val="clear" w:color="auto" w:fill="auto"/>
          </w:tcPr>
          <w:p w:rsidRPr="00F700A8" w:rsidR="00F700A8" w:rsidP="00F700A8" w:rsidRDefault="00F700A8">
            <w:pP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</w:pP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Approximately 1</w:t>
            </w:r>
            <w: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5</w:t>
            </w: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 xml:space="preserve"> days after the original submission deadline</w:t>
            </w:r>
          </w:p>
        </w:tc>
      </w:tr>
      <w:tr w:rsidRPr="003700BC" w:rsidR="00F700A8" w:rsidTr="00FE68F3">
        <w:tc>
          <w:tcPr>
            <w:tcW w:w="1075" w:type="dxa"/>
            <w:shd w:val="clear" w:color="auto" w:fill="D8D3CD" w:themeFill="accent3" w:themeFillTint="99"/>
          </w:tcPr>
          <w:p w:rsidRPr="003700BC" w:rsidR="00F700A8" w:rsidP="00F700A8" w:rsidRDefault="00F700A8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>
              <w:rPr>
                <w:rFonts w:cs="Arial"/>
                <w:color w:val="000000"/>
                <w:kern w:val="24"/>
                <w:szCs w:val="20"/>
              </w:rPr>
              <w:t>2</w:t>
            </w:r>
          </w:p>
        </w:tc>
        <w:tc>
          <w:tcPr>
            <w:tcW w:w="4185" w:type="dxa"/>
            <w:shd w:val="clear" w:color="auto" w:fill="auto"/>
          </w:tcPr>
          <w:p w:rsidRPr="00F700A8" w:rsidR="00F700A8" w:rsidP="00F700A8" w:rsidRDefault="00F700A8">
            <w:pP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</w:pP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Approximately 1</w:t>
            </w:r>
            <w: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6</w:t>
            </w: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 xml:space="preserve"> days after the </w:t>
            </w:r>
            <w: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original submission dead</w:t>
            </w: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line</w:t>
            </w:r>
          </w:p>
        </w:tc>
        <w:tc>
          <w:tcPr>
            <w:tcW w:w="4185" w:type="dxa"/>
            <w:shd w:val="clear" w:color="auto" w:fill="auto"/>
          </w:tcPr>
          <w:p w:rsidRPr="00F700A8" w:rsidR="00F700A8" w:rsidP="00F700A8" w:rsidRDefault="00F700A8">
            <w:pP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Approximately 30</w:t>
            </w: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 xml:space="preserve"> days after the original submission deadline</w:t>
            </w:r>
          </w:p>
        </w:tc>
      </w:tr>
      <w:tr w:rsidRPr="003700BC" w:rsidR="00F700A8" w:rsidTr="00FE68F3">
        <w:tc>
          <w:tcPr>
            <w:tcW w:w="1075" w:type="dxa"/>
            <w:shd w:val="clear" w:color="auto" w:fill="D8D3CD" w:themeFill="accent3" w:themeFillTint="99"/>
          </w:tcPr>
          <w:p w:rsidR="00F700A8" w:rsidP="00F700A8" w:rsidRDefault="00F700A8">
            <w:pPr>
              <w:pStyle w:val="NORCTableBodyLeft"/>
              <w:rPr>
                <w:rFonts w:cs="Arial"/>
                <w:color w:val="000000"/>
                <w:kern w:val="24"/>
                <w:szCs w:val="20"/>
              </w:rPr>
            </w:pPr>
            <w:r>
              <w:rPr>
                <w:rFonts w:cs="Arial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4185" w:type="dxa"/>
            <w:shd w:val="clear" w:color="auto" w:fill="auto"/>
          </w:tcPr>
          <w:p w:rsidRPr="00F700A8" w:rsidR="00F700A8" w:rsidP="00F700A8" w:rsidRDefault="00F700A8">
            <w:pP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</w:pP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 xml:space="preserve">Approximately </w:t>
            </w:r>
            <w: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3</w:t>
            </w: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1 days after the original submission deadline</w:t>
            </w:r>
          </w:p>
        </w:tc>
        <w:tc>
          <w:tcPr>
            <w:tcW w:w="4185" w:type="dxa"/>
            <w:shd w:val="clear" w:color="auto" w:fill="auto"/>
          </w:tcPr>
          <w:p w:rsidRPr="00F700A8" w:rsidR="00F700A8" w:rsidP="00F700A8" w:rsidRDefault="00F700A8">
            <w:pP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Approximately 45</w:t>
            </w: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 xml:space="preserve"> days</w:t>
            </w:r>
            <w:r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>*</w:t>
            </w:r>
            <w:r w:rsidRPr="00F700A8">
              <w:rPr>
                <w:rFonts w:ascii="Arial" w:hAnsi="Arial" w:cs="Arial" w:eastAsiaTheme="minorEastAsia"/>
                <w:color w:val="000000"/>
                <w:kern w:val="24"/>
                <w:sz w:val="18"/>
                <w:szCs w:val="20"/>
              </w:rPr>
              <w:t xml:space="preserve"> after the original submission deadline</w:t>
            </w:r>
          </w:p>
        </w:tc>
      </w:tr>
    </w:tbl>
    <w:p w:rsidRPr="00F700A8" w:rsidR="00FE68F3" w:rsidP="00FE68F3" w:rsidRDefault="00FE68F3">
      <w:pPr>
        <w:pStyle w:val="NORCTableBullet1"/>
        <w:numPr>
          <w:ilvl w:val="0"/>
          <w:numId w:val="0"/>
        </w:numPr>
        <w:tabs>
          <w:tab w:val="clear" w:pos="144"/>
          <w:tab w:val="left" w:pos="360"/>
        </w:tabs>
        <w:spacing w:line="288" w:lineRule="auto"/>
        <w:ind w:left="540" w:hanging="540"/>
        <w:rPr>
          <w:rFonts w:cs="Arial" w:eastAsiaTheme="minorEastAsia"/>
          <w:kern w:val="24"/>
        </w:rPr>
      </w:pPr>
      <w:r w:rsidRPr="00F700A8">
        <w:rPr>
          <w:rFonts w:cs="Arial" w:eastAsiaTheme="minorEastAsia"/>
          <w:kern w:val="24"/>
        </w:rPr>
        <w:t xml:space="preserve">* </w:t>
      </w:r>
      <w:r w:rsidR="00F700A8">
        <w:rPr>
          <w:rFonts w:cs="Arial" w:eastAsiaTheme="minorEastAsia"/>
          <w:kern w:val="24"/>
        </w:rPr>
        <w:t>As 45 days after the original deadline is one calendar quarter (</w:t>
      </w:r>
      <w:r w:rsidR="00F700A8">
        <w:rPr>
          <w:rFonts w:cs="Arial" w:eastAsiaTheme="minorEastAsia"/>
          <w:kern w:val="24"/>
        </w:rPr>
        <w:t>approximately 90 days</w:t>
      </w:r>
      <w:r w:rsidR="00F700A8">
        <w:rPr>
          <w:rFonts w:cs="Arial" w:eastAsiaTheme="minorEastAsia"/>
          <w:kern w:val="24"/>
        </w:rPr>
        <w:t>) after the calendar quarter for which it was requested, any follow-ups executed thereafter are rolled into a new data collection cycle.</w:t>
      </w:r>
    </w:p>
    <w:p w:rsidR="003D1C76" w:rsidRDefault="003D1C76"/>
    <w:sectPr w:rsidR="003D1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715"/>
    <w:multiLevelType w:val="hybridMultilevel"/>
    <w:tmpl w:val="CD20D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474BC"/>
    <w:multiLevelType w:val="hybridMultilevel"/>
    <w:tmpl w:val="DDB8612E"/>
    <w:lvl w:ilvl="0" w:tplc="C88E6B0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58132377"/>
    <w:multiLevelType w:val="hybridMultilevel"/>
    <w:tmpl w:val="545EFA5A"/>
    <w:lvl w:ilvl="0" w:tplc="0764D364">
      <w:start w:val="1"/>
      <w:numFmt w:val="bullet"/>
      <w:pStyle w:val="NORCTableBullet1"/>
      <w:lvlText w:val="■"/>
      <w:lvlJc w:val="left"/>
      <w:pPr>
        <w:ind w:left="50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E57200"/>
        <w:spacing w:val="0"/>
        <w:kern w:val="0"/>
        <w:position w:val="0"/>
        <w:sz w:val="16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7A1C49FC"/>
    <w:multiLevelType w:val="hybridMultilevel"/>
    <w:tmpl w:val="0FD4BB7A"/>
    <w:lvl w:ilvl="0" w:tplc="DBE22FE8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E57200" w:themeColor="accent1"/>
        <w:spacing w:val="0"/>
        <w:kern w:val="0"/>
        <w:position w:val="0"/>
        <w:sz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BB"/>
    <w:rsid w:val="002A7D05"/>
    <w:rsid w:val="003D1C76"/>
    <w:rsid w:val="004B71D7"/>
    <w:rsid w:val="009F4890"/>
    <w:rsid w:val="00BC1DF6"/>
    <w:rsid w:val="00C83373"/>
    <w:rsid w:val="00C861BB"/>
    <w:rsid w:val="00F700A8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F2AE2-5712-4B6F-B83B-26F00119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1BB"/>
    <w:pPr>
      <w:spacing w:after="0" w:line="288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5"/>
    <w:qFormat/>
    <w:rsid w:val="00C861BB"/>
    <w:pPr>
      <w:keepNext/>
      <w:keepLines/>
      <w:pBdr>
        <w:top w:val="single" w:sz="24" w:space="2" w:color="BFB6AC"/>
        <w:left w:val="single" w:sz="24" w:space="4" w:color="BFB6AC"/>
        <w:bottom w:val="single" w:sz="24" w:space="2" w:color="BFB6AC"/>
        <w:right w:val="single" w:sz="24" w:space="4" w:color="BFB6AC"/>
      </w:pBdr>
      <w:shd w:val="clear" w:color="auto" w:fill="BFB6AC"/>
      <w:tabs>
        <w:tab w:val="left" w:pos="216"/>
        <w:tab w:val="left" w:pos="1728"/>
      </w:tabs>
      <w:spacing w:after="320"/>
      <w:ind w:left="86" w:right="86"/>
      <w:outlineLvl w:val="0"/>
    </w:pPr>
    <w:rPr>
      <w:rFonts w:ascii="Arial" w:hAnsi="Arial"/>
      <w:b/>
      <w:bCs/>
      <w:color w:val="000000" w:themeColor="text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qFormat/>
    <w:rsid w:val="00C861BB"/>
    <w:pPr>
      <w:keepNext/>
      <w:keepLines/>
      <w:pBdr>
        <w:bottom w:val="single" w:sz="4" w:space="3" w:color="BFB6AC"/>
      </w:pBdr>
      <w:tabs>
        <w:tab w:val="left" w:pos="504"/>
      </w:tabs>
      <w:spacing w:before="360" w:after="240"/>
      <w:outlineLvl w:val="1"/>
    </w:pPr>
    <w:rPr>
      <w:rFonts w:ascii="Arial" w:hAnsi="Arial"/>
      <w:b/>
      <w:bCs/>
      <w:iCs/>
      <w:color w:val="E5720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5"/>
    <w:rsid w:val="00C861BB"/>
    <w:rPr>
      <w:rFonts w:ascii="Arial" w:hAnsi="Arial" w:cs="Times New Roman"/>
      <w:b/>
      <w:bCs/>
      <w:color w:val="000000" w:themeColor="text1"/>
      <w:kern w:val="32"/>
      <w:sz w:val="32"/>
      <w:szCs w:val="32"/>
      <w:shd w:val="clear" w:color="auto" w:fill="BFB6AC"/>
    </w:rPr>
  </w:style>
  <w:style w:type="character" w:customStyle="1" w:styleId="Heading2Char">
    <w:name w:val="Heading 2 Char"/>
    <w:basedOn w:val="DefaultParagraphFont"/>
    <w:link w:val="Heading2"/>
    <w:uiPriority w:val="5"/>
    <w:rsid w:val="00C861BB"/>
    <w:rPr>
      <w:rFonts w:ascii="Arial" w:hAnsi="Arial" w:cs="Times New Roman"/>
      <w:b/>
      <w:bCs/>
      <w:iCs/>
      <w:color w:val="E57200"/>
      <w:szCs w:val="28"/>
    </w:rPr>
  </w:style>
  <w:style w:type="paragraph" w:customStyle="1" w:styleId="NORCCaption-Exhibit">
    <w:name w:val="NORC Caption - Exhibit"/>
    <w:basedOn w:val="Normal"/>
    <w:qFormat/>
    <w:rsid w:val="00C861BB"/>
    <w:pPr>
      <w:keepNext/>
      <w:keepLines/>
      <w:pBdr>
        <w:top w:val="single" w:sz="4" w:space="5" w:color="BFB6AC"/>
        <w:bottom w:val="single" w:sz="4" w:space="3" w:color="BFB6AC"/>
      </w:pBdr>
      <w:tabs>
        <w:tab w:val="left" w:pos="1224"/>
      </w:tabs>
      <w:spacing w:before="320" w:after="120"/>
    </w:pPr>
    <w:rPr>
      <w:rFonts w:ascii="Arial" w:eastAsia="Times New Roman" w:hAnsi="Arial" w:cs="Arial"/>
      <w:color w:val="000000" w:themeColor="text1"/>
      <w:szCs w:val="24"/>
    </w:rPr>
  </w:style>
  <w:style w:type="character" w:customStyle="1" w:styleId="NORCCaption-Color">
    <w:name w:val="NORC Caption - Color"/>
    <w:qFormat/>
    <w:rsid w:val="00C861BB"/>
    <w:rPr>
      <w:rFonts w:ascii="Arial" w:hAnsi="Arial"/>
      <w:b/>
      <w:color w:val="E57200"/>
      <w:sz w:val="22"/>
    </w:rPr>
  </w:style>
  <w:style w:type="paragraph" w:customStyle="1" w:styleId="NORCTableBullet1">
    <w:name w:val="NORC Table Bullet 1"/>
    <w:basedOn w:val="Normal"/>
    <w:qFormat/>
    <w:rsid w:val="00C861BB"/>
    <w:pPr>
      <w:numPr>
        <w:numId w:val="1"/>
      </w:numPr>
      <w:tabs>
        <w:tab w:val="left" w:pos="144"/>
      </w:tabs>
      <w:spacing w:before="40" w:after="40" w:line="240" w:lineRule="auto"/>
    </w:pPr>
    <w:rPr>
      <w:rFonts w:ascii="Arial" w:eastAsia="Times New Roman" w:hAnsi="Arial"/>
      <w:color w:val="000000"/>
      <w:sz w:val="18"/>
      <w:szCs w:val="20"/>
    </w:rPr>
  </w:style>
  <w:style w:type="paragraph" w:customStyle="1" w:styleId="NORCTableBodyLeft">
    <w:name w:val="NORC Table Body Left"/>
    <w:qFormat/>
    <w:rsid w:val="00C861BB"/>
    <w:pPr>
      <w:spacing w:before="40" w:after="40" w:line="240" w:lineRule="auto"/>
    </w:pPr>
    <w:rPr>
      <w:rFonts w:ascii="Arial" w:eastAsiaTheme="minorEastAsia" w:hAnsi="Arial" w:cs="Times New Roman"/>
      <w:sz w:val="18"/>
    </w:rPr>
  </w:style>
  <w:style w:type="paragraph" w:styleId="ListParagraph">
    <w:name w:val="List Paragraph"/>
    <w:basedOn w:val="Normal"/>
    <w:uiPriority w:val="34"/>
    <w:qFormat/>
    <w:rsid w:val="00C861BB"/>
    <w:pPr>
      <w:ind w:left="720"/>
      <w:contextualSpacing/>
    </w:pPr>
  </w:style>
  <w:style w:type="paragraph" w:customStyle="1" w:styleId="NORCTableHeader1">
    <w:name w:val="NORC Table Header 1"/>
    <w:basedOn w:val="Normal"/>
    <w:qFormat/>
    <w:rsid w:val="00C861BB"/>
    <w:pPr>
      <w:keepNext/>
      <w:keepLines/>
      <w:spacing w:before="60" w:after="60" w:line="240" w:lineRule="auto"/>
      <w:jc w:val="center"/>
    </w:pPr>
    <w:rPr>
      <w:rFonts w:ascii="Arial" w:eastAsia="Calibri" w:hAnsi="Arial" w:cs="Arial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ORC">
      <a:dk1>
        <a:sysClr val="windowText" lastClr="000000"/>
      </a:dk1>
      <a:lt1>
        <a:sysClr val="window" lastClr="FFFFFF"/>
      </a:lt1>
      <a:dk2>
        <a:srgbClr val="5B7F95"/>
      </a:dk2>
      <a:lt2>
        <a:srgbClr val="D7D2CB"/>
      </a:lt2>
      <a:accent1>
        <a:srgbClr val="E57200"/>
      </a:accent1>
      <a:accent2>
        <a:srgbClr val="6E6259"/>
      </a:accent2>
      <a:accent3>
        <a:srgbClr val="BFB6AC"/>
      </a:accent3>
      <a:accent4>
        <a:srgbClr val="D0C883"/>
      </a:accent4>
      <a:accent5>
        <a:srgbClr val="00816D"/>
      </a:accent5>
      <a:accent6>
        <a:srgbClr val="BFCEC2"/>
      </a:accent6>
      <a:hlink>
        <a:srgbClr val="53565A"/>
      </a:hlink>
      <a:folHlink>
        <a:srgbClr val="86263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5F65-A930-4E6B-80C2-C490EB7B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 Spear</dc:creator>
  <cp:keywords/>
  <dc:description/>
  <cp:lastModifiedBy>Kait Spear</cp:lastModifiedBy>
  <cp:revision>2</cp:revision>
  <dcterms:created xsi:type="dcterms:W3CDTF">2020-09-25T14:39:00Z</dcterms:created>
  <dcterms:modified xsi:type="dcterms:W3CDTF">2020-09-25T17:03:00Z</dcterms:modified>
</cp:coreProperties>
</file>