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7BFC" w:rsidRPr="00991C70" w:rsidP="00991C70" w14:paraId="21931BF4" w14:textId="1A5C5680">
      <w:pPr>
        <w:pStyle w:val="Title"/>
        <w:spacing w:after="160" w:line="259" w:lineRule="auto"/>
        <w:rPr>
          <w:rFonts w:asciiTheme="minorHAnsi" w:hAnsiTheme="minorHAnsi"/>
          <w:b/>
          <w:bCs/>
          <w:sz w:val="22"/>
          <w:szCs w:val="22"/>
        </w:rPr>
      </w:pPr>
      <w:r w:rsidRPr="00991C70">
        <w:rPr>
          <w:rFonts w:asciiTheme="minorHAnsi" w:hAnsiTheme="minorHAnsi"/>
          <w:b/>
          <w:bCs/>
          <w:sz w:val="22"/>
          <w:szCs w:val="22"/>
        </w:rPr>
        <w:t xml:space="preserve">Appendix </w:t>
      </w:r>
      <w:r w:rsidRPr="00991C70" w:rsidR="00D57693">
        <w:rPr>
          <w:rFonts w:asciiTheme="minorHAnsi" w:hAnsiTheme="minorHAnsi"/>
          <w:b/>
          <w:bCs/>
          <w:sz w:val="22"/>
          <w:szCs w:val="22"/>
        </w:rPr>
        <w:t>C</w:t>
      </w:r>
      <w:r w:rsidRPr="00991C70" w:rsidR="00197FCC">
        <w:rPr>
          <w:rFonts w:asciiTheme="minorHAnsi" w:hAnsiTheme="minorHAnsi"/>
          <w:b/>
          <w:bCs/>
          <w:sz w:val="22"/>
          <w:szCs w:val="22"/>
        </w:rPr>
        <w:t>:</w:t>
      </w:r>
      <w:r w:rsidRPr="00991C70">
        <w:rPr>
          <w:rFonts w:asciiTheme="minorHAnsi" w:hAnsiTheme="minorHAnsi"/>
          <w:b/>
          <w:bCs/>
          <w:sz w:val="22"/>
          <w:szCs w:val="22"/>
        </w:rPr>
        <w:t xml:space="preserve"> </w:t>
      </w:r>
      <w:r w:rsidRPr="00991C70" w:rsidR="00476D68">
        <w:rPr>
          <w:rFonts w:asciiTheme="minorHAnsi" w:hAnsiTheme="minorHAnsi"/>
          <w:b/>
          <w:bCs/>
          <w:sz w:val="22"/>
          <w:szCs w:val="22"/>
        </w:rPr>
        <w:t xml:space="preserve">Medicare Drug Price Negotiation Program </w:t>
      </w:r>
      <w:r w:rsidRPr="00991C70" w:rsidR="00012B5A">
        <w:rPr>
          <w:rFonts w:asciiTheme="minorHAnsi" w:hAnsiTheme="minorHAnsi"/>
          <w:b/>
          <w:bCs/>
          <w:sz w:val="22"/>
          <w:szCs w:val="22"/>
        </w:rPr>
        <w:t xml:space="preserve">Primary </w:t>
      </w:r>
      <w:r w:rsidRPr="00991C70" w:rsidR="00D537C6">
        <w:rPr>
          <w:rFonts w:asciiTheme="minorHAnsi" w:hAnsiTheme="minorHAnsi"/>
          <w:b/>
          <w:bCs/>
          <w:sz w:val="22"/>
          <w:szCs w:val="22"/>
        </w:rPr>
        <w:t xml:space="preserve">Manufacturer </w:t>
      </w:r>
      <w:r w:rsidRPr="00991C70" w:rsidR="004A1CBF">
        <w:rPr>
          <w:rFonts w:asciiTheme="minorHAnsi" w:hAnsiTheme="minorHAnsi"/>
          <w:b/>
          <w:bCs/>
          <w:sz w:val="22"/>
          <w:szCs w:val="22"/>
        </w:rPr>
        <w:t>Payment Elements</w:t>
      </w:r>
      <w:r w:rsidRPr="00991C70" w:rsidR="006B0E9B">
        <w:rPr>
          <w:rFonts w:asciiTheme="minorHAnsi" w:hAnsiTheme="minorHAnsi"/>
          <w:b/>
          <w:bCs/>
          <w:sz w:val="22"/>
          <w:szCs w:val="22"/>
        </w:rPr>
        <w:t xml:space="preserve"> </w:t>
      </w:r>
      <w:r w:rsidRPr="00991C70" w:rsidR="006C5C72">
        <w:rPr>
          <w:rFonts w:asciiTheme="minorHAnsi" w:hAnsiTheme="minorHAnsi"/>
          <w:b/>
          <w:bCs/>
          <w:sz w:val="22"/>
          <w:szCs w:val="22"/>
        </w:rPr>
        <w:t>Form</w:t>
      </w:r>
    </w:p>
    <w:p w:rsidR="003677AB" w:rsidRPr="003677AB" w:rsidP="003677AB" w14:paraId="5CBABAFF" w14:textId="7F59E84A">
      <w:r w:rsidRPr="003677AB">
        <w:t>Under the authority in sections 11001 and 11002 of the Inflation Reduction Act of 2022 (P.L. 117-169), the Centers for Medicare &amp; Medicaid Services (CMS) is implementing the Medicare Drug Price Negotiation Program (the Negotiation Program), codified in sections 1191 through 1198 of the Social Security Act (the Act). The Act establishes the Negotiation Program to negotiate a maximum fair price (MFP), defined at section 1191(c)(3) of the Act, for certain high expenditure, single source drugs covered under Medicare Part B and Part D (selected drugs). In accordance with section 1193(a) of the Act, any Primary Manufacturer of a selected drug that continues to participate in the Negotiation Program and reaches agreement upon an MFP must provide access to the MFP to MFP-eligible individuals, defined in section 1191(c)(2)(A) of the Act, and to pharmacies, mail order services, other dispensing entities, providers and suppliers with respect to such MFP-eligible individuals who are dispensed that selected drug during a price applicability period.</w:t>
      </w:r>
    </w:p>
    <w:p w:rsidR="003677AB" w:rsidRPr="003677AB" w:rsidP="00485C05" w14:paraId="73FE4F24" w14:textId="669A41DC">
      <w:r w:rsidRPr="003677AB">
        <w:t xml:space="preserve">To facilitate the effectuation of the MFP, CMS will engage a Medicare Transaction Facilitator (MTF). The MTF system will be comprised of two modules: the MTF Data Module (MTF DM), and the MTF Payment Module (MTF PM). Primary Manufacturers participating in the Negotiation Program are required to participate in the MTF DM. Further, CMS </w:t>
      </w:r>
      <w:r w:rsidR="000B5C33">
        <w:t>has</w:t>
      </w:r>
      <w:r w:rsidRPr="003677AB" w:rsidR="000B5C33">
        <w:t xml:space="preserve"> </w:t>
      </w:r>
      <w:r w:rsidRPr="003677AB">
        <w:t>propose</w:t>
      </w:r>
      <w:r w:rsidR="000B5C33">
        <w:t>d</w:t>
      </w:r>
      <w:r w:rsidRPr="003677AB">
        <w:t xml:space="preserve"> in rulemaking to require Part D plan sponsors to include in their </w:t>
      </w:r>
      <w:r w:rsidR="00833044">
        <w:t xml:space="preserve">network </w:t>
      </w:r>
      <w:r w:rsidRPr="003677AB">
        <w:t xml:space="preserve">pharmacy agreements provisions requiring dispensing </w:t>
      </w:r>
      <w:r w:rsidRPr="00DF5585" w:rsidR="00345D31">
        <w:rPr>
          <w:rFonts w:ascii="Aptos" w:hAnsi="Aptos"/>
        </w:rPr>
        <w:t xml:space="preserve">entities to </w:t>
      </w:r>
      <w:r w:rsidR="00345D31">
        <w:rPr>
          <w:rFonts w:ascii="Aptos" w:hAnsi="Aptos"/>
        </w:rPr>
        <w:t xml:space="preserve">be enrolled </w:t>
      </w:r>
      <w:r w:rsidRPr="003677AB">
        <w:t>in the MTF DM for purposes of data exchange. As discussed in section 40.4 of the Medicare Drug Price Negotiation Program: Final Guidance, Implementation of Sections 1191 – 1198 of the Social Security Act for Initial Price Applicability Year 2027 and Manufacturer Effectuation of the Maximum Fair Price (MFP) in 2026 and 2027 (final guidance), CMS will engage the MTF DM to facilitate the exchange of certain claim-level data elements and payment elements for selected drugs. The data exchange component of the MTF will involve both the transmission of certain claim-level data elements to the Primary Manufacturer and receipt of claim-level payment elements from the Primary Manufacturer.</w:t>
      </w:r>
    </w:p>
    <w:p w:rsidR="00244541" w:rsidP="00485C05" w14:paraId="5A3BF6BB" w14:textId="59A7F757">
      <w:r>
        <w:t>The</w:t>
      </w:r>
      <w:r w:rsidRPr="00967123">
        <w:t> </w:t>
      </w:r>
      <w:r w:rsidR="00012B5A">
        <w:t xml:space="preserve">Primary </w:t>
      </w:r>
      <w:r>
        <w:t xml:space="preserve">Manufacturer </w:t>
      </w:r>
      <w:r w:rsidR="004A1CBF">
        <w:t>Payment Elements</w:t>
      </w:r>
      <w:r w:rsidR="006B0E9B">
        <w:t xml:space="preserve"> </w:t>
      </w:r>
      <w:r w:rsidR="00476D68">
        <w:t>ICR</w:t>
      </w:r>
      <w:r w:rsidR="003677AB">
        <w:t xml:space="preserve"> form</w:t>
      </w:r>
      <w:r>
        <w:t xml:space="preserve"> will </w:t>
      </w:r>
      <w:r>
        <w:t xml:space="preserve">support CMS’ oversight and administration of the Medicare Drug Price Negotiation Program and allow CMS </w:t>
      </w:r>
      <w:r w:rsidRPr="00C95261">
        <w:t xml:space="preserve">to collect payment-related data elements </w:t>
      </w:r>
      <w:r w:rsidR="00585CCA">
        <w:t xml:space="preserve">via the MTF DM </w:t>
      </w:r>
      <w:r w:rsidRPr="00C95261">
        <w:t>for each claim for a selected drug from Primary Manufacturers indicating whether a refund was paid, and the amount of the refund paid to make the MFP available</w:t>
      </w:r>
      <w:r w:rsidR="00920E22">
        <w:t>, as applicable</w:t>
      </w:r>
      <w:r w:rsidRPr="00C95261">
        <w:t>.</w:t>
      </w:r>
    </w:p>
    <w:p w:rsidR="00D537C6" w:rsidRPr="00991C70" w:rsidP="00991C70" w14:paraId="4D7B1BD5" w14:textId="153AB8CA">
      <w:pPr>
        <w:pStyle w:val="Heading1"/>
        <w:spacing w:before="0" w:after="160"/>
        <w:rPr>
          <w:rFonts w:asciiTheme="minorHAnsi" w:hAnsiTheme="minorHAnsi"/>
          <w:b/>
          <w:bCs/>
          <w:color w:val="auto"/>
          <w:sz w:val="22"/>
          <w:szCs w:val="22"/>
        </w:rPr>
      </w:pPr>
      <w:r w:rsidRPr="00991C70">
        <w:rPr>
          <w:rFonts w:asciiTheme="minorHAnsi" w:hAnsiTheme="minorHAnsi"/>
          <w:b/>
          <w:bCs/>
          <w:color w:val="auto"/>
          <w:sz w:val="22"/>
          <w:szCs w:val="22"/>
        </w:rPr>
        <w:t>General Instructions</w:t>
      </w:r>
    </w:p>
    <w:p w:rsidR="00C95261" w:rsidP="00D537C6" w14:paraId="7CAF1F6D" w14:textId="6555876A">
      <w:pPr>
        <w:rPr>
          <w:u w:val="single"/>
        </w:rPr>
      </w:pPr>
      <w:r w:rsidRPr="00D537C6">
        <w:rPr>
          <w:u w:val="single"/>
        </w:rPr>
        <w:t>Overview</w:t>
      </w:r>
    </w:p>
    <w:p w:rsidR="00F1288C" w:rsidP="31724A8E" w14:paraId="1DAF2DAE" w14:textId="5A0C1BE8">
      <w:r>
        <w:t xml:space="preserve">The </w:t>
      </w:r>
      <w:r w:rsidR="31724A8E">
        <w:t xml:space="preserve">Primary Manufacturer, inclusive of any of the Primary Manufacturer’s contracted parties, will be required to transmit </w:t>
      </w:r>
      <w:r w:rsidR="00AD2065">
        <w:t xml:space="preserve">specified claim-level </w:t>
      </w:r>
      <w:r w:rsidR="00861040">
        <w:t>payment</w:t>
      </w:r>
      <w:r w:rsidR="31724A8E">
        <w:t xml:space="preserve"> elements </w:t>
      </w:r>
      <w:r w:rsidR="00861040">
        <w:t xml:space="preserve">back to the MTF DM </w:t>
      </w:r>
      <w:r w:rsidR="31724A8E">
        <w:t xml:space="preserve">for </w:t>
      </w:r>
      <w:r w:rsidR="00861040">
        <w:t xml:space="preserve">every </w:t>
      </w:r>
      <w:r w:rsidR="00AD2065">
        <w:t xml:space="preserve">set of </w:t>
      </w:r>
      <w:r w:rsidR="31724A8E">
        <w:t>claim</w:t>
      </w:r>
      <w:r w:rsidR="00AD2065">
        <w:t>-level data elements</w:t>
      </w:r>
      <w:r w:rsidR="00861040">
        <w:t xml:space="preserve"> </w:t>
      </w:r>
      <w:r w:rsidR="31724A8E">
        <w:t>transmitted to the Primary Manufacturer</w:t>
      </w:r>
      <w:r w:rsidRPr="00861040" w:rsidR="00861040">
        <w:t xml:space="preserve"> </w:t>
      </w:r>
      <w:r w:rsidR="00861040">
        <w:t>by the MTF DM</w:t>
      </w:r>
      <w:r w:rsidR="31724A8E">
        <w:t xml:space="preserve">. </w:t>
      </w:r>
      <w:r w:rsidR="00861040">
        <w:t xml:space="preserve">The </w:t>
      </w:r>
      <w:r w:rsidR="00135195">
        <w:t xml:space="preserve">payment </w:t>
      </w:r>
      <w:r w:rsidR="00861040">
        <w:t xml:space="preserve">elements </w:t>
      </w:r>
      <w:r w:rsidR="31724A8E">
        <w:t xml:space="preserve">must be transmitted </w:t>
      </w:r>
      <w:r w:rsidR="00135195">
        <w:t xml:space="preserve">back </w:t>
      </w:r>
      <w:r w:rsidR="31724A8E">
        <w:t xml:space="preserve">to the MTF DM within 14 calendar days of receipt of claim-level data elements from the MTF DM and be accompanied by the corresponding information from the MTF claim-level data elements outlined in section 40.4.1 of the </w:t>
      </w:r>
      <w:r w:rsidR="007F3444">
        <w:t xml:space="preserve">final </w:t>
      </w:r>
      <w:r w:rsidR="31724A8E">
        <w:t xml:space="preserve">guidance.  </w:t>
      </w:r>
    </w:p>
    <w:p w:rsidR="00D04A74" w:rsidP="00D537C6" w14:paraId="2AB8F0B4" w14:textId="77777777">
      <w:pPr>
        <w:rPr>
          <w:u w:val="single"/>
        </w:rPr>
      </w:pPr>
    </w:p>
    <w:p w:rsidR="00D04A74" w:rsidP="00D537C6" w14:paraId="01F3F1C5" w14:textId="77777777">
      <w:pPr>
        <w:rPr>
          <w:u w:val="single"/>
        </w:rPr>
      </w:pPr>
    </w:p>
    <w:p w:rsidR="00D537C6" w:rsidP="00D537C6" w14:paraId="52005927" w14:textId="13F6E676">
      <w:pPr>
        <w:rPr>
          <w:u w:val="single"/>
        </w:rPr>
      </w:pPr>
      <w:r>
        <w:rPr>
          <w:u w:val="single"/>
        </w:rPr>
        <w:t>Submission Method</w:t>
      </w:r>
    </w:p>
    <w:p w:rsidR="00164AE0" w:rsidRPr="008A7B97" w:rsidP="00515E83" w14:paraId="1445A3DA" w14:textId="7629C9F9">
      <w:pPr>
        <w:pStyle w:val="ListParagraph"/>
        <w:numPr>
          <w:ilvl w:val="0"/>
          <w:numId w:val="2"/>
        </w:numPr>
        <w:rPr>
          <w:u w:val="single"/>
        </w:rPr>
      </w:pPr>
      <w:r>
        <w:t>T</w:t>
      </w:r>
      <w:r w:rsidR="00515E83">
        <w:t>he MTF DM</w:t>
      </w:r>
      <w:r w:rsidRPr="00515E83" w:rsidR="00515E83">
        <w:t xml:space="preserve"> will </w:t>
      </w:r>
      <w:r w:rsidR="00515E83">
        <w:t xml:space="preserve">transmit an </w:t>
      </w:r>
      <w:r w:rsidR="00E427C9">
        <w:t xml:space="preserve">electronic </w:t>
      </w:r>
      <w:r w:rsidR="00515E83">
        <w:t xml:space="preserve">file to </w:t>
      </w:r>
      <w:r w:rsidRPr="00515E83" w:rsidR="00515E83">
        <w:t xml:space="preserve">Primary Manufacturers including </w:t>
      </w:r>
      <w:r w:rsidR="00515E83">
        <w:t xml:space="preserve">claim-level data </w:t>
      </w:r>
      <w:r w:rsidR="00012B5A">
        <w:t xml:space="preserve">elements </w:t>
      </w:r>
      <w:r w:rsidR="00515E83">
        <w:t xml:space="preserve">and payment elements fields to be completed by the </w:t>
      </w:r>
      <w:r w:rsidR="00920E22">
        <w:t>Primary M</w:t>
      </w:r>
      <w:r w:rsidR="00515E83">
        <w:t xml:space="preserve">anufacturer. </w:t>
      </w:r>
      <w:r w:rsidR="00B346C4">
        <w:t xml:space="preserve">A </w:t>
      </w:r>
      <w:r w:rsidR="00372DC6">
        <w:t>Primary Manufacturer</w:t>
      </w:r>
      <w:r w:rsidR="00395DAF">
        <w:t xml:space="preserve">, or its </w:t>
      </w:r>
      <w:r w:rsidR="009D7B2B">
        <w:t>contracted parties</w:t>
      </w:r>
      <w:r w:rsidR="00395DAF">
        <w:t>,</w:t>
      </w:r>
      <w:r w:rsidR="00372DC6">
        <w:t xml:space="preserve"> </w:t>
      </w:r>
      <w:r w:rsidR="00515E83">
        <w:t xml:space="preserve">will populate </w:t>
      </w:r>
      <w:r w:rsidR="00B346C4">
        <w:t xml:space="preserve">the </w:t>
      </w:r>
      <w:r w:rsidR="00515E83">
        <w:t xml:space="preserve">payment element fields within the </w:t>
      </w:r>
      <w:r w:rsidR="00F77113">
        <w:t xml:space="preserve">electronic </w:t>
      </w:r>
      <w:r w:rsidR="00515E83">
        <w:t xml:space="preserve">file and transmit it back to CMS via </w:t>
      </w:r>
      <w:r w:rsidRPr="00515E83" w:rsidR="00515E83">
        <w:t>Secure File Transfer Protocol</w:t>
      </w:r>
      <w:r w:rsidR="00372DC6">
        <w:t>.</w:t>
      </w:r>
      <w:r w:rsidR="0014355E">
        <w:t xml:space="preserve"> </w:t>
      </w:r>
    </w:p>
    <w:p w:rsidR="008A7B97" w:rsidRPr="008A7B97" w:rsidP="008A7B97" w14:paraId="30FB38EF" w14:textId="0CBD37EB">
      <w:pPr>
        <w:pStyle w:val="ListParagraph"/>
        <w:numPr>
          <w:ilvl w:val="0"/>
          <w:numId w:val="2"/>
        </w:numPr>
        <w:rPr>
          <w:u w:val="single"/>
        </w:rPr>
      </w:pPr>
      <w:r>
        <w:t xml:space="preserve">Primary </w:t>
      </w:r>
      <w:r>
        <w:t xml:space="preserve">Manufacturer </w:t>
      </w:r>
      <w:r w:rsidR="00AF5CB6">
        <w:t>payment elements</w:t>
      </w:r>
      <w:r>
        <w:t xml:space="preserve"> </w:t>
      </w:r>
      <w:r w:rsidR="00582657">
        <w:t xml:space="preserve">must </w:t>
      </w:r>
      <w:r>
        <w:t xml:space="preserve">be transmitted to the MTF DM on a frequency determined by the Primary Manufacturer </w:t>
      </w:r>
      <w:r w:rsidR="00FA268B">
        <w:t xml:space="preserve">that </w:t>
      </w:r>
      <w:r w:rsidR="00FA268B">
        <w:t>is</w:t>
      </w:r>
      <w:r>
        <w:t xml:space="preserve"> in compliance with</w:t>
      </w:r>
      <w:r>
        <w:t xml:space="preserve"> the requirement to transmit the </w:t>
      </w:r>
      <w:r w:rsidR="00012B5A">
        <w:t>payment elements</w:t>
      </w:r>
      <w:r>
        <w:t xml:space="preserve"> within 14 calendar days of receipt of claim-level data elements from the MTF DM.</w:t>
      </w:r>
      <w:r w:rsidR="00F2622C">
        <w:t xml:space="preserve"> </w:t>
      </w:r>
      <w:r w:rsidR="00F2622C">
        <w:rPr>
          <w:i/>
          <w:iCs/>
        </w:rPr>
        <w:t xml:space="preserve">See </w:t>
      </w:r>
      <w:r w:rsidR="00F2622C">
        <w:t>section 40.4.2.1 of the final guidance (</w:t>
      </w:r>
      <w:r w:rsidR="008F2000">
        <w:t>explaining the circumstances in which the Primary Manufacturer will be considered to have transmitted payment within the 14-day prompt MFP payment window).</w:t>
      </w:r>
    </w:p>
    <w:p w:rsidR="00F1288C" w:rsidRPr="00F77113" w:rsidP="0014355E" w14:paraId="7F426908" w14:textId="79D30F4B">
      <w:pPr>
        <w:pStyle w:val="ListParagraph"/>
        <w:numPr>
          <w:ilvl w:val="0"/>
          <w:numId w:val="2"/>
        </w:numPr>
        <w:rPr>
          <w:u w:val="single"/>
        </w:rPr>
      </w:pPr>
      <w:r>
        <w:t xml:space="preserve">CMS will provide Primary Manufacturers with additional </w:t>
      </w:r>
      <w:r w:rsidR="00415DF4">
        <w:t xml:space="preserve">technical instructions </w:t>
      </w:r>
      <w:r>
        <w:t xml:space="preserve">for gaining access to the MTF DM, obtaining technical assistance, and transmitting </w:t>
      </w:r>
      <w:r w:rsidR="00F36FED">
        <w:t>payment elements</w:t>
      </w:r>
      <w:r w:rsidR="00C84535">
        <w:t xml:space="preserve"> </w:t>
      </w:r>
      <w:r>
        <w:t>to the MTF DM before January 1, 2026</w:t>
      </w:r>
      <w:r w:rsidR="00415DF4">
        <w:t xml:space="preserve"> for initial price applicability year 2026, and before January 1, 2027 for initial price applicability year 2027</w:t>
      </w:r>
      <w:r>
        <w:t>.</w:t>
      </w:r>
    </w:p>
    <w:p w:rsidR="00385DC6" w:rsidRPr="00385DC6" w:rsidP="00385DC6" w14:paraId="086BE119" w14:textId="239CF931">
      <w:r w:rsidRPr="00385DC6">
        <w:rPr>
          <w:u w:val="single"/>
        </w:rPr>
        <w:t>Additional Instructions</w:t>
      </w:r>
      <w:r w:rsidRPr="00385DC6">
        <w:t> </w:t>
      </w:r>
    </w:p>
    <w:p w:rsidR="00D442FD" w:rsidP="00C84535" w14:paraId="203BBB37" w14:textId="313C6076">
      <w:pPr>
        <w:widowControl w:val="0"/>
        <w:numPr>
          <w:ilvl w:val="0"/>
          <w:numId w:val="6"/>
        </w:numPr>
      </w:pPr>
      <w:r>
        <w:t xml:space="preserve">The instructions in this section apply to all payment elements required to be submitted by Primary Manufacturers of selected drugs. </w:t>
      </w:r>
      <w:r w:rsidR="00F72D37">
        <w:t>For purposes of this information collection request, all defined terms referenced in this ICR have their meaning set forth in the</w:t>
      </w:r>
      <w:r>
        <w:t xml:space="preserve"> </w:t>
      </w:r>
      <w:r w:rsidR="00B02338">
        <w:t>f</w:t>
      </w:r>
      <w:r w:rsidR="00D0136B">
        <w:t xml:space="preserve">inal </w:t>
      </w:r>
      <w:r w:rsidR="00B02338">
        <w:t>g</w:t>
      </w:r>
      <w:r w:rsidR="00D0136B">
        <w:t>uidance</w:t>
      </w:r>
      <w:r>
        <w:t>. </w:t>
      </w:r>
    </w:p>
    <w:p w:rsidR="00385DC6" w:rsidRPr="00385DC6" w:rsidP="00C84535" w14:paraId="2DA72A64" w14:textId="59F89532">
      <w:pPr>
        <w:widowControl w:val="0"/>
        <w:numPr>
          <w:ilvl w:val="0"/>
          <w:numId w:val="6"/>
        </w:numPr>
      </w:pPr>
      <w:r>
        <w:t xml:space="preserve">Questions about the </w:t>
      </w:r>
      <w:r w:rsidR="00D442FD">
        <w:t xml:space="preserve">final </w:t>
      </w:r>
      <w:r>
        <w:t>guidance</w:t>
      </w:r>
      <w:r w:rsidR="00C057F0">
        <w:t xml:space="preserve"> </w:t>
      </w:r>
      <w:r>
        <w:t xml:space="preserve">should be sent to </w:t>
      </w:r>
      <w:hyperlink r:id="rId8">
        <w:r w:rsidRPr="39FDC9D3">
          <w:rPr>
            <w:rStyle w:val="Hyperlink"/>
          </w:rPr>
          <w:t>IRARebateandNegotiation@cms.hhs.gov</w:t>
        </w:r>
      </w:hyperlink>
      <w:r>
        <w:t xml:space="preserve">. Additional information regarding the Medicare Drug Price Negotiation Program can be found on CMS’ website </w:t>
      </w:r>
      <w:hyperlink r:id="rId9">
        <w:r w:rsidRPr="39FDC9D3">
          <w:rPr>
            <w:rStyle w:val="Hyperlink"/>
          </w:rPr>
          <w:t>here</w:t>
        </w:r>
      </w:hyperlink>
      <w:r>
        <w:t xml:space="preserve">. </w:t>
      </w:r>
    </w:p>
    <w:p w:rsidR="00DE52EE" w:rsidRPr="00385DC6" w:rsidP="00E71E56" w14:paraId="66724845" w14:textId="4B454EDA">
      <w:pPr>
        <w:numPr>
          <w:ilvl w:val="0"/>
          <w:numId w:val="6"/>
        </w:numPr>
      </w:pPr>
      <w:r>
        <w:t xml:space="preserve">Each set of payment elements are in response to a specific set of data elements that are derived from a drug claim. </w:t>
      </w:r>
      <w:r w:rsidR="003C292F">
        <w:t>A Primary Manufacturer may batch multiple sets of payment elements</w:t>
      </w:r>
      <w:r w:rsidR="009D7B2B">
        <w:t>, including</w:t>
      </w:r>
      <w:r w:rsidR="003C292F">
        <w:t xml:space="preserve"> for different selected drugs</w:t>
      </w:r>
      <w:r w:rsidR="009D7B2B">
        <w:t xml:space="preserve"> if a Primary Manufacturer has more than one selected drug,</w:t>
      </w:r>
      <w:r w:rsidR="003C292F">
        <w:t xml:space="preserve"> into a single </w:t>
      </w:r>
      <w:r w:rsidR="0080776D">
        <w:t xml:space="preserve">file </w:t>
      </w:r>
      <w:r w:rsidR="004A1CBF">
        <w:t xml:space="preserve">of payment elements </w:t>
      </w:r>
      <w:r w:rsidR="003C292F">
        <w:t xml:space="preserve">to submit to the MTF DM. </w:t>
      </w:r>
    </w:p>
    <w:p w:rsidR="00A32AC5" w:rsidP="001B017E" w14:paraId="06874DAA" w14:textId="2A137DAB">
      <w:pPr>
        <w:numPr>
          <w:ilvl w:val="0"/>
          <w:numId w:val="7"/>
        </w:numPr>
      </w:pPr>
      <w:r>
        <w:t>R</w:t>
      </w:r>
      <w:r w:rsidRPr="00385DC6">
        <w:t>esponse</w:t>
      </w:r>
      <w:r>
        <w:t xml:space="preserve"> </w:t>
      </w:r>
      <w:r w:rsidRPr="00385DC6">
        <w:t>formats</w:t>
      </w:r>
      <w:r>
        <w:t xml:space="preserve"> </w:t>
      </w:r>
      <w:r w:rsidRPr="00385DC6">
        <w:t>are</w:t>
      </w:r>
      <w:r>
        <w:t xml:space="preserve"> </w:t>
      </w:r>
      <w:r w:rsidRPr="00385DC6">
        <w:t>indicated</w:t>
      </w:r>
      <w:r>
        <w:t xml:space="preserve"> </w:t>
      </w:r>
      <w:r w:rsidRPr="00385DC6">
        <w:t>within</w:t>
      </w:r>
      <w:r>
        <w:t xml:space="preserve"> </w:t>
      </w:r>
      <w:r w:rsidR="00DF4174">
        <w:t>each payment element description</w:t>
      </w:r>
      <w:r>
        <w:t xml:space="preserve"> in this ICR.</w:t>
      </w:r>
      <w:r w:rsidRPr="00385DC6">
        <w:t> </w:t>
      </w:r>
    </w:p>
    <w:p w:rsidR="00C221EC" w:rsidP="001B017E" w14:paraId="47EA1227" w14:textId="1D3BDADE">
      <w:pPr>
        <w:numPr>
          <w:ilvl w:val="0"/>
          <w:numId w:val="7"/>
        </w:numPr>
      </w:pPr>
      <w:r>
        <w:t>In situations where MFP refund payments are facilitated by the MTF</w:t>
      </w:r>
      <w:r w:rsidR="007726F8">
        <w:t xml:space="preserve"> PM</w:t>
      </w:r>
      <w:r>
        <w:t xml:space="preserve">, by </w:t>
      </w:r>
      <w:r>
        <w:t>transmitting the claim-level payment elements to the MTF DM</w:t>
      </w:r>
      <w:r w:rsidR="00D35CF7">
        <w:t>,</w:t>
      </w:r>
      <w:r>
        <w:t xml:space="preserve"> the Primary Manufacturer authorize</w:t>
      </w:r>
      <w:r>
        <w:t>s</w:t>
      </w:r>
      <w:r>
        <w:t xml:space="preserve"> the electronic funds transfer of </w:t>
      </w:r>
      <w:r w:rsidR="0095657F">
        <w:t xml:space="preserve">the MFP refund </w:t>
      </w:r>
      <w:r>
        <w:t>payment</w:t>
      </w:r>
      <w:r w:rsidR="0095657F">
        <w:t>s</w:t>
      </w:r>
      <w:r>
        <w:t xml:space="preserve"> </w:t>
      </w:r>
      <w:r w:rsidR="00BE742A">
        <w:t>included in the payment elements file</w:t>
      </w:r>
      <w:r w:rsidR="0095657F">
        <w:t xml:space="preserve">. Upon receipt of the payment elements, </w:t>
      </w:r>
      <w:r>
        <w:t>the MTF PM</w:t>
      </w:r>
      <w:r w:rsidR="0095657F">
        <w:t xml:space="preserve"> will initiate the process to transmit MFP refund payments</w:t>
      </w:r>
      <w:r>
        <w:t xml:space="preserve"> to the dispensing entities identified in the claim-level payment elements</w:t>
      </w:r>
      <w:r w:rsidR="0095657F">
        <w:t xml:space="preserve">, </w:t>
      </w:r>
      <w:r>
        <w:t xml:space="preserve">in </w:t>
      </w:r>
      <w:r w:rsidR="0095657F">
        <w:t>an</w:t>
      </w:r>
      <w:r>
        <w:t xml:space="preserve"> amount</w:t>
      </w:r>
      <w:r w:rsidR="0095657F">
        <w:t xml:space="preserve"> not to exceed the MFP refund amount</w:t>
      </w:r>
      <w:r>
        <w:t xml:space="preserve"> directed by the claim-level payment elements</w:t>
      </w:r>
      <w:r w:rsidR="002B2C60">
        <w:t xml:space="preserve"> </w:t>
      </w:r>
      <w:r>
        <w:t>for</w:t>
      </w:r>
      <w:r w:rsidR="0095657F">
        <w:t xml:space="preserve"> all</w:t>
      </w:r>
      <w:r>
        <w:t xml:space="preserve"> applicable claims</w:t>
      </w:r>
      <w:r>
        <w:t>.</w:t>
      </w:r>
      <w:r w:rsidRPr="00B20C44" w:rsidR="00B20C44">
        <w:t xml:space="preserve"> </w:t>
      </w:r>
      <w:r w:rsidR="00B20C44">
        <w:t>MFP refund amounts</w:t>
      </w:r>
      <w:r w:rsidR="007D5A2C">
        <w:t xml:space="preserve"> transmitted to dispensing entities</w:t>
      </w:r>
      <w:r w:rsidR="00B20C44">
        <w:t xml:space="preserve"> may differ from the amount directed by the claim-level payment elements in situations such as adjustment by the application of credits.</w:t>
      </w:r>
    </w:p>
    <w:p w:rsidR="00BB60FF" w:rsidP="001B017E" w14:paraId="3B49DC6C" w14:textId="10F2A67F">
      <w:pPr>
        <w:numPr>
          <w:ilvl w:val="0"/>
          <w:numId w:val="7"/>
        </w:numPr>
      </w:pPr>
      <w:r>
        <w:t xml:space="preserve">The MTF PM’s transfer of the Primary Manufacturer’s authorized MFP refund payment to the dispensing entity shall not in any way indicate or imply that CMS or its MTF Contractors have evaluated or determined that the amount paid by the Primary Manufacturer is </w:t>
      </w:r>
      <w:r>
        <w:t xml:space="preserve">sufficient to make the MFP available to the dispensing </w:t>
      </w:r>
      <w:r w:rsidRPr="00687CF5">
        <w:t>entity or has otherwise evaluated or determined whether the transaction is consistent with applicable law</w:t>
      </w:r>
      <w:r>
        <w:t>.</w:t>
      </w:r>
    </w:p>
    <w:p w:rsidR="0075109C" w:rsidP="0075109C" w14:paraId="06B60FF1" w14:textId="5D0F7B59">
      <w:pPr>
        <w:pStyle w:val="ListParagraph"/>
        <w:numPr>
          <w:ilvl w:val="0"/>
          <w:numId w:val="7"/>
        </w:numPr>
      </w:pPr>
      <w:r>
        <w:t xml:space="preserve">To </w:t>
      </w:r>
      <w:r>
        <w:t>transmit</w:t>
      </w:r>
      <w:r w:rsidR="00C221EC">
        <w:t xml:space="preserve"> the</w:t>
      </w:r>
      <w:r>
        <w:t xml:space="preserve"> payment elements to the MTF, the Primary Manufacturer </w:t>
      </w:r>
      <w:r>
        <w:t xml:space="preserve">must </w:t>
      </w:r>
      <w:r>
        <w:t xml:space="preserve">attest, to the best of </w:t>
      </w:r>
      <w:r w:rsidR="00EF7D30">
        <w:t>its</w:t>
      </w:r>
      <w:r>
        <w:t xml:space="preserve"> knowledge,</w:t>
      </w:r>
      <w:r w:rsidR="00C221EC">
        <w:t xml:space="preserve"> that the information being sent through the payment elements is complete and accurate, and the </w:t>
      </w:r>
      <w:r w:rsidR="00C221EC">
        <w:rPr>
          <w:rFonts w:ascii="Aptos" w:eastAsia="Aptos" w:hAnsi="Aptos" w:cs="Times New Roman"/>
        </w:rPr>
        <w:t>payment elements</w:t>
      </w:r>
      <w:r w:rsidRPr="006F2FF7" w:rsidR="00C221EC">
        <w:rPr>
          <w:rFonts w:ascii="Aptos" w:eastAsia="Aptos" w:hAnsi="Aptos" w:cs="Times New Roman"/>
        </w:rPr>
        <w:t xml:space="preserve"> w</w:t>
      </w:r>
      <w:r w:rsidR="00C221EC">
        <w:rPr>
          <w:rFonts w:ascii="Aptos" w:eastAsia="Aptos" w:hAnsi="Aptos" w:cs="Times New Roman"/>
        </w:rPr>
        <w:t>ere</w:t>
      </w:r>
      <w:r w:rsidRPr="006F2FF7" w:rsidR="00C221EC">
        <w:rPr>
          <w:rFonts w:ascii="Aptos" w:eastAsia="Aptos" w:hAnsi="Aptos" w:cs="Times New Roman"/>
        </w:rPr>
        <w:t xml:space="preserve"> prepared in good faith and after reasonable efforts</w:t>
      </w:r>
      <w:r>
        <w:t>.</w:t>
      </w:r>
      <w:r w:rsidR="00904326">
        <w:t xml:space="preserve"> This attestation will be included in the workflow for transmission of the payment elements within the MTF DM</w:t>
      </w:r>
      <w:r w:rsidR="00D94B96">
        <w:t>.</w:t>
      </w:r>
      <w:r w:rsidR="00904326">
        <w:t xml:space="preserve"> </w:t>
      </w:r>
    </w:p>
    <w:p w:rsidR="0075109C" w:rsidRPr="00385DC6" w:rsidP="001B017E" w14:paraId="00562673" w14:textId="538F0285">
      <w:pPr>
        <w:numPr>
          <w:ilvl w:val="0"/>
          <w:numId w:val="7"/>
        </w:numPr>
      </w:pPr>
      <w:r w:rsidRPr="00EE2631">
        <w:rPr>
          <w:rStyle w:val="cf01"/>
          <w:rFonts w:asciiTheme="minorHAnsi" w:hAnsiTheme="minorHAnsi"/>
          <w:sz w:val="22"/>
          <w:szCs w:val="22"/>
        </w:rPr>
        <w:t>The information contained in the payment elements is being provided in connection with the Primary Manufacturer’s responsibility to ensure MFP is made accessible on MFP-eligible claims of selected drugs of the Primary Manufacturer in accordance with section 1193(a)(3) of the Social Security Act and will be relied upon by the MTF in transmitting MFP refund payments to dispensing entities.</w:t>
      </w:r>
    </w:p>
    <w:p w:rsidR="006E6EE8" w:rsidRPr="00991C70" w:rsidP="00991C70" w14:paraId="73348375" w14:textId="19646F60">
      <w:pPr>
        <w:pStyle w:val="Heading2"/>
      </w:pPr>
      <w:r w:rsidRPr="00991C70">
        <w:t xml:space="preserve">Section 1: Manufacturer </w:t>
      </w:r>
      <w:r w:rsidRPr="00991C70" w:rsidR="00FA529D">
        <w:t xml:space="preserve">Claim-Level </w:t>
      </w:r>
      <w:r w:rsidRPr="00991C70" w:rsidR="006A2E91">
        <w:t>Payment Elements</w:t>
      </w:r>
    </w:p>
    <w:p w:rsidR="00967B3B" w:rsidP="00AA4D1A" w14:paraId="166B1308" w14:textId="08FABFDE">
      <w:pPr>
        <w:rPr>
          <w:u w:val="single"/>
        </w:rPr>
      </w:pPr>
      <w:r>
        <w:rPr>
          <w:u w:val="single"/>
        </w:rPr>
        <w:t>Payment Element 1: MTF PM Facilitation Indicator</w:t>
      </w:r>
    </w:p>
    <w:p w:rsidR="00393E44" w:rsidP="00393E44" w14:paraId="05324AED" w14:textId="4087D1A1">
      <w:pPr>
        <w:pStyle w:val="ListParagraph"/>
        <w:numPr>
          <w:ilvl w:val="0"/>
          <w:numId w:val="24"/>
        </w:numPr>
      </w:pPr>
      <w:r>
        <w:t>The Primary Manufacturer will use this payment element to indicate, for each</w:t>
      </w:r>
      <w:r w:rsidR="00883B1C">
        <w:t xml:space="preserve"> MFP</w:t>
      </w:r>
      <w:r>
        <w:t xml:space="preserve"> refund payment, whether transmission of the MFP refund to the dispensing entity should be facilitated </w:t>
      </w:r>
      <w:r w:rsidR="008478BC">
        <w:t>through</w:t>
      </w:r>
      <w:r>
        <w:t xml:space="preserve"> the MTF PM</w:t>
      </w:r>
      <w:r w:rsidR="00C6780C">
        <w:t>.</w:t>
      </w:r>
      <w:r w:rsidRPr="00393E44">
        <w:t xml:space="preserve"> </w:t>
      </w:r>
    </w:p>
    <w:p w:rsidR="00393E44" w:rsidP="00393E44" w14:paraId="303DB91D" w14:textId="457E1976">
      <w:pPr>
        <w:pStyle w:val="ListParagraph"/>
        <w:numPr>
          <w:ilvl w:val="0"/>
          <w:numId w:val="24"/>
        </w:numPr>
      </w:pPr>
      <w:r>
        <w:t xml:space="preserve">Primary Manufacturers who elected to participate in the MTF PM </w:t>
      </w:r>
      <w:r w:rsidR="00113900">
        <w:t>can</w:t>
      </w:r>
      <w:r>
        <w:t xml:space="preserve"> choose to have their MFP refunds facilitated </w:t>
      </w:r>
      <w:r w:rsidR="008478BC">
        <w:t>through</w:t>
      </w:r>
      <w:r>
        <w:t xml:space="preserve"> the MTF PM (by selecting “Y”) or not (by selecting “N”) </w:t>
      </w:r>
      <w:r w:rsidR="00113900">
        <w:t>with each refund payment</w:t>
      </w:r>
      <w:r w:rsidR="00C6780C">
        <w:t>.</w:t>
      </w:r>
    </w:p>
    <w:p w:rsidR="00393E44" w:rsidP="00393E44" w14:paraId="6B9C328F" w14:textId="5F1B4BF5">
      <w:pPr>
        <w:pStyle w:val="ListParagraph"/>
        <w:numPr>
          <w:ilvl w:val="0"/>
          <w:numId w:val="24"/>
        </w:numPr>
      </w:pPr>
      <w:r>
        <w:t xml:space="preserve">Primary Manufacturers who have not elected to participate in the MTF PM cannot have their MFP refunds facilitated </w:t>
      </w:r>
      <w:r w:rsidR="008478BC">
        <w:t>through</w:t>
      </w:r>
      <w:r>
        <w:t xml:space="preserve"> the MTF PM and must select “N” for this field</w:t>
      </w:r>
      <w:r w:rsidR="00C6780C">
        <w:t>.</w:t>
      </w:r>
    </w:p>
    <w:p w:rsidR="00C603AB" w:rsidP="00C603AB" w14:paraId="0807FFFC" w14:textId="7D54B264">
      <w:pPr>
        <w:pStyle w:val="ListParagraph"/>
        <w:numPr>
          <w:ilvl w:val="0"/>
          <w:numId w:val="24"/>
        </w:numPr>
      </w:pPr>
      <w:r>
        <w:t>In situations where the MFP was accessed via prospective sale, this payment element will contain “N”.</w:t>
      </w:r>
    </w:p>
    <w:tbl>
      <w:tblPr>
        <w:tblStyle w:val="TableGrid"/>
        <w:tblW w:w="9375" w:type="dxa"/>
        <w:tblLook w:val="04A0"/>
      </w:tblPr>
      <w:tblGrid>
        <w:gridCol w:w="3870"/>
        <w:gridCol w:w="5505"/>
      </w:tblGrid>
      <w:tr w14:paraId="040BD766" w14:textId="77777777" w:rsidTr="00CE1CEB">
        <w:tblPrEx>
          <w:tblW w:w="9375" w:type="dxa"/>
          <w:tblLook w:val="04A0"/>
        </w:tblPrEx>
        <w:tc>
          <w:tcPr>
            <w:tcW w:w="3870" w:type="dxa"/>
          </w:tcPr>
          <w:p w:rsidR="00393E44" w:rsidRPr="000F67A2" w:rsidP="00CE1CEB" w14:paraId="66C77F99" w14:textId="77777777">
            <w:pPr>
              <w:rPr>
                <w:b/>
                <w:bCs/>
                <w:u w:val="single"/>
              </w:rPr>
            </w:pPr>
            <w:r w:rsidRPr="000F67A2">
              <w:rPr>
                <w:b/>
                <w:bCs/>
                <w:u w:val="single"/>
              </w:rPr>
              <w:t>Field</w:t>
            </w:r>
          </w:p>
        </w:tc>
        <w:tc>
          <w:tcPr>
            <w:tcW w:w="5505" w:type="dxa"/>
          </w:tcPr>
          <w:p w:rsidR="00393E44" w:rsidRPr="000F67A2" w:rsidP="00CE1CEB" w14:paraId="0E76F118" w14:textId="77777777">
            <w:pPr>
              <w:rPr>
                <w:b/>
                <w:bCs/>
                <w:u w:val="single"/>
              </w:rPr>
            </w:pPr>
            <w:r w:rsidRPr="000F67A2">
              <w:rPr>
                <w:b/>
                <w:bCs/>
                <w:u w:val="single"/>
              </w:rPr>
              <w:t>Response Format</w:t>
            </w:r>
          </w:p>
        </w:tc>
      </w:tr>
      <w:tr w14:paraId="392604B6" w14:textId="77777777" w:rsidTr="00CE1CEB">
        <w:tblPrEx>
          <w:tblW w:w="9375" w:type="dxa"/>
          <w:tblLook w:val="04A0"/>
        </w:tblPrEx>
        <w:tc>
          <w:tcPr>
            <w:tcW w:w="3870" w:type="dxa"/>
          </w:tcPr>
          <w:p w:rsidR="00393E44" w:rsidRPr="000F67A2" w:rsidP="00CE1CEB" w14:paraId="555327F0" w14:textId="1B2C47A9">
            <w:r w:rsidRPr="000F67A2">
              <w:t>M</w:t>
            </w:r>
            <w:r>
              <w:t>TF PM Indicator</w:t>
            </w:r>
          </w:p>
        </w:tc>
        <w:tc>
          <w:tcPr>
            <w:tcW w:w="5505" w:type="dxa"/>
          </w:tcPr>
          <w:p w:rsidR="00393E44" w:rsidRPr="000F67A2" w:rsidP="00CE1CEB" w14:paraId="723011C1" w14:textId="6FDA2707">
            <w:r>
              <w:t>Y/N</w:t>
            </w:r>
          </w:p>
        </w:tc>
      </w:tr>
    </w:tbl>
    <w:p w:rsidR="00393E44" w:rsidRPr="00393E44" w:rsidP="00C30A38" w14:paraId="46FF0D90" w14:textId="77777777">
      <w:pPr>
        <w:spacing w:after="0"/>
      </w:pPr>
    </w:p>
    <w:p w:rsidR="00E02CB9" w:rsidRPr="009C6F34" w:rsidP="00AA4D1A" w14:paraId="4715EE7F" w14:textId="1280EB5F">
      <w:pPr>
        <w:rPr>
          <w:u w:val="single"/>
        </w:rPr>
      </w:pPr>
      <w:r w:rsidRPr="009C6F34">
        <w:rPr>
          <w:u w:val="single"/>
        </w:rPr>
        <w:t xml:space="preserve">Payment Element </w:t>
      </w:r>
      <w:r w:rsidR="00113900">
        <w:rPr>
          <w:u w:val="single"/>
        </w:rPr>
        <w:t>2</w:t>
      </w:r>
      <w:r w:rsidRPr="009C6F34" w:rsidR="00AA4D1A">
        <w:rPr>
          <w:u w:val="single"/>
        </w:rPr>
        <w:t xml:space="preserve">: </w:t>
      </w:r>
      <w:r w:rsidRPr="009C6F34">
        <w:rPr>
          <w:u w:val="single"/>
        </w:rPr>
        <w:t xml:space="preserve">MFP Refund </w:t>
      </w:r>
      <w:r w:rsidR="006F6AAF">
        <w:rPr>
          <w:u w:val="single"/>
        </w:rPr>
        <w:t>Transmission</w:t>
      </w:r>
      <w:r w:rsidRPr="009C6F34" w:rsidR="006F6AAF">
        <w:rPr>
          <w:u w:val="single"/>
        </w:rPr>
        <w:t xml:space="preserve"> </w:t>
      </w:r>
      <w:r w:rsidRPr="009C6F34">
        <w:rPr>
          <w:u w:val="single"/>
        </w:rPr>
        <w:t>Date</w:t>
      </w:r>
      <w:r w:rsidR="006F6AAF">
        <w:rPr>
          <w:u w:val="single"/>
        </w:rPr>
        <w:t xml:space="preserve"> and Time</w:t>
      </w:r>
      <w:r w:rsidRPr="009C6F34">
        <w:rPr>
          <w:u w:val="single"/>
        </w:rPr>
        <w:t xml:space="preserve"> </w:t>
      </w:r>
    </w:p>
    <w:p w:rsidR="00557D9E" w:rsidP="00557D9E" w14:paraId="70B5ACDC" w14:textId="77777777">
      <w:pPr>
        <w:pStyle w:val="ListParagraph"/>
        <w:numPr>
          <w:ilvl w:val="0"/>
          <w:numId w:val="4"/>
        </w:numPr>
      </w:pPr>
      <w:r>
        <w:t xml:space="preserve">The Primary Manufacturer will use this payment element </w:t>
      </w:r>
      <w:r w:rsidRPr="00774193">
        <w:t xml:space="preserve">to indicate when the MFP refund </w:t>
      </w:r>
      <w:r>
        <w:t>was</w:t>
      </w:r>
      <w:r w:rsidRPr="00774193">
        <w:t xml:space="preserve"> </w:t>
      </w:r>
      <w:r>
        <w:t>transmitted</w:t>
      </w:r>
      <w:r w:rsidRPr="00774193">
        <w:t xml:space="preserve">. </w:t>
      </w:r>
    </w:p>
    <w:p w:rsidR="00846A3D" w:rsidP="00846A3D" w14:paraId="01596AED" w14:textId="01348CCB">
      <w:pPr>
        <w:pStyle w:val="ListParagraph"/>
        <w:numPr>
          <w:ilvl w:val="0"/>
          <w:numId w:val="4"/>
        </w:numPr>
      </w:pPr>
      <w:r>
        <w:t>This</w:t>
      </w:r>
      <w:r>
        <w:t xml:space="preserve"> payment element is only required from Primary Manufacturers when </w:t>
      </w:r>
      <w:r w:rsidR="004F331D">
        <w:t xml:space="preserve">the </w:t>
      </w:r>
      <w:r w:rsidR="00C85317">
        <w:t xml:space="preserve">MFP refund </w:t>
      </w:r>
      <w:r>
        <w:t xml:space="preserve">payment </w:t>
      </w:r>
      <w:r w:rsidR="00C85317">
        <w:t xml:space="preserve">to a dispensing entity </w:t>
      </w:r>
      <w:r>
        <w:t>is made outside of the MTF PM.</w:t>
      </w:r>
    </w:p>
    <w:p w:rsidR="009D7B2B" w:rsidRPr="00983B5A" w:rsidP="00846A3D" w14:paraId="2D0D7AC4" w14:textId="12C0C255">
      <w:pPr>
        <w:pStyle w:val="ListParagraph"/>
        <w:numPr>
          <w:ilvl w:val="0"/>
          <w:numId w:val="4"/>
        </w:numPr>
      </w:pPr>
      <w:r w:rsidRPr="009D7B2B">
        <w:t>For MFP refunds paid via electronic payment, th</w:t>
      </w:r>
      <w:r>
        <w:t xml:space="preserve">is payment element contains </w:t>
      </w:r>
      <w:r w:rsidRPr="009D7B2B">
        <w:t xml:space="preserve">the date and time when electronic payment was transmitted to the dispensing entity. For MFP refunds paid via paper check, </w:t>
      </w:r>
      <w:r>
        <w:t>this payment element contains</w:t>
      </w:r>
      <w:r w:rsidRPr="009D7B2B">
        <w:t xml:space="preserve"> the date on which the paper check was mailed to the dispensing entity.</w:t>
      </w:r>
    </w:p>
    <w:p w:rsidR="00846A3D" w:rsidP="001B017E" w14:paraId="2F83B8DE" w14:textId="3217645E">
      <w:pPr>
        <w:pStyle w:val="ListParagraph"/>
        <w:numPr>
          <w:ilvl w:val="0"/>
          <w:numId w:val="4"/>
        </w:numPr>
      </w:pPr>
      <w:r>
        <w:t>The p</w:t>
      </w:r>
      <w:r w:rsidRPr="00774193" w:rsidR="00774193">
        <w:t xml:space="preserve">ayment element should be </w:t>
      </w:r>
      <w:r w:rsidR="00080C8C">
        <w:t>omitted</w:t>
      </w:r>
      <w:r w:rsidRPr="00774193" w:rsidR="00774193">
        <w:t xml:space="preserve"> if the claim was prospectively purchased or a refund was not sent.</w:t>
      </w:r>
    </w:p>
    <w:p w:rsidR="00C30A38" w:rsidRPr="00983B5A" w:rsidP="00C30A38" w14:paraId="2B3176D6" w14:textId="77777777"/>
    <w:tbl>
      <w:tblPr>
        <w:tblStyle w:val="TableGrid"/>
        <w:tblW w:w="9375" w:type="dxa"/>
        <w:tblLook w:val="04A0"/>
      </w:tblPr>
      <w:tblGrid>
        <w:gridCol w:w="3870"/>
        <w:gridCol w:w="5505"/>
      </w:tblGrid>
      <w:tr w14:paraId="2FB8215F" w14:textId="77777777" w:rsidTr="072C62F5">
        <w:tblPrEx>
          <w:tblW w:w="9375" w:type="dxa"/>
          <w:tblLook w:val="04A0"/>
        </w:tblPrEx>
        <w:tc>
          <w:tcPr>
            <w:tcW w:w="3870" w:type="dxa"/>
          </w:tcPr>
          <w:p w:rsidR="00D86FB9" w:rsidRPr="000F67A2" w:rsidP="005D5224" w14:paraId="7C18FB3B" w14:textId="60E50466">
            <w:pPr>
              <w:rPr>
                <w:b/>
                <w:bCs/>
                <w:u w:val="single"/>
              </w:rPr>
            </w:pPr>
            <w:r w:rsidRPr="000F67A2">
              <w:rPr>
                <w:b/>
                <w:bCs/>
                <w:u w:val="single"/>
              </w:rPr>
              <w:t>Field</w:t>
            </w:r>
          </w:p>
        </w:tc>
        <w:tc>
          <w:tcPr>
            <w:tcW w:w="5505" w:type="dxa"/>
          </w:tcPr>
          <w:p w:rsidR="00D86FB9" w:rsidRPr="000F67A2" w:rsidP="005D5224" w14:paraId="656AEE35" w14:textId="1C2A17EF">
            <w:pPr>
              <w:rPr>
                <w:b/>
                <w:bCs/>
                <w:u w:val="single"/>
              </w:rPr>
            </w:pPr>
            <w:r w:rsidRPr="000F67A2">
              <w:rPr>
                <w:b/>
                <w:bCs/>
                <w:u w:val="single"/>
              </w:rPr>
              <w:t xml:space="preserve">Response </w:t>
            </w:r>
            <w:r w:rsidRPr="000F67A2" w:rsidR="00211123">
              <w:rPr>
                <w:b/>
                <w:bCs/>
                <w:u w:val="single"/>
              </w:rPr>
              <w:t>Format</w:t>
            </w:r>
          </w:p>
        </w:tc>
      </w:tr>
      <w:tr w14:paraId="6B53AECA" w14:textId="77777777" w:rsidTr="072C62F5">
        <w:tblPrEx>
          <w:tblW w:w="9375" w:type="dxa"/>
          <w:tblLook w:val="04A0"/>
        </w:tblPrEx>
        <w:tc>
          <w:tcPr>
            <w:tcW w:w="3870" w:type="dxa"/>
          </w:tcPr>
          <w:p w:rsidR="00D86FB9" w:rsidRPr="000F67A2" w:rsidP="005D5224" w14:paraId="45E4FC93" w14:textId="4D7C2B9A">
            <w:r w:rsidRPr="000F67A2">
              <w:t xml:space="preserve">MFP Refund </w:t>
            </w:r>
            <w:r w:rsidR="00CE17B9">
              <w:t>Transmission</w:t>
            </w:r>
            <w:r w:rsidRPr="000F67A2">
              <w:t xml:space="preserve"> Date </w:t>
            </w:r>
            <w:r w:rsidR="00846A3D">
              <w:t>and Time</w:t>
            </w:r>
          </w:p>
        </w:tc>
        <w:tc>
          <w:tcPr>
            <w:tcW w:w="5505" w:type="dxa"/>
          </w:tcPr>
          <w:p w:rsidR="00D86FB9" w:rsidRPr="000F67A2" w:rsidP="005D5224" w14:paraId="7CBA5CAE" w14:textId="69F7FFC7">
            <w:r w:rsidRPr="000F67A2">
              <w:t>MM/DD/YYY</w:t>
            </w:r>
            <w:r w:rsidRPr="000F67A2" w:rsidR="00211123">
              <w:t>Y</w:t>
            </w:r>
            <w:r w:rsidR="00846A3D">
              <w:t>; hh:mm:ss</w:t>
            </w:r>
          </w:p>
        </w:tc>
      </w:tr>
    </w:tbl>
    <w:p w:rsidR="005D5224" w:rsidP="009C5905" w14:paraId="794B47A2" w14:textId="77777777">
      <w:pPr>
        <w:spacing w:after="0"/>
        <w:rPr>
          <w:u w:val="single"/>
        </w:rPr>
      </w:pPr>
    </w:p>
    <w:p w:rsidR="00774193" w:rsidRPr="009C6F34" w:rsidP="00774193" w14:paraId="2C9C4D4D" w14:textId="76D24CBD">
      <w:pPr>
        <w:rPr>
          <w:u w:val="single"/>
        </w:rPr>
      </w:pPr>
      <w:r w:rsidRPr="009C6F34">
        <w:rPr>
          <w:u w:val="single"/>
        </w:rPr>
        <w:t xml:space="preserve">Payment Element </w:t>
      </w:r>
      <w:r w:rsidR="00392B91">
        <w:rPr>
          <w:u w:val="single"/>
        </w:rPr>
        <w:t>3</w:t>
      </w:r>
      <w:r w:rsidRPr="009C6F34">
        <w:rPr>
          <w:u w:val="single"/>
        </w:rPr>
        <w:t>:</w:t>
      </w:r>
      <w:r w:rsidRPr="009C6F34">
        <w:rPr>
          <w:u w:val="single"/>
        </w:rPr>
        <w:t xml:space="preserve"> Method for Determining MFP Refund Amount</w:t>
      </w:r>
    </w:p>
    <w:p w:rsidR="00785FDD" w:rsidP="00CD7CA9" w14:paraId="2A94347F" w14:textId="754FFCE9">
      <w:pPr>
        <w:pStyle w:val="ListParagraph"/>
        <w:numPr>
          <w:ilvl w:val="0"/>
          <w:numId w:val="3"/>
        </w:numPr>
      </w:pPr>
      <w:r>
        <w:t xml:space="preserve">The </w:t>
      </w:r>
      <w:r w:rsidRPr="00CD7CA9">
        <w:t xml:space="preserve">Primary Manufacturer will </w:t>
      </w:r>
      <w:r w:rsidR="00385DC6">
        <w:t xml:space="preserve">include </w:t>
      </w:r>
      <w:r w:rsidRPr="00CD7CA9">
        <w:t>a mandatory payment element</w:t>
      </w:r>
      <w:r w:rsidR="00FC5FAA">
        <w:t>,</w:t>
      </w:r>
      <w:r w:rsidRPr="00CD7CA9">
        <w:t xml:space="preserve"> “Method for Determining MFP Refund Amount</w:t>
      </w:r>
      <w:r w:rsidR="00FC5FAA">
        <w:t>,</w:t>
      </w:r>
      <w:r w:rsidRPr="00CD7CA9">
        <w:t xml:space="preserve">” to be populated with one of several pre-identified justification codes </w:t>
      </w:r>
      <w:r w:rsidR="00ED731A">
        <w:t xml:space="preserve">from Table 1 to </w:t>
      </w:r>
      <w:r w:rsidRPr="00CD7CA9">
        <w:t>indicat</w:t>
      </w:r>
      <w:r w:rsidR="00F7787A">
        <w:t xml:space="preserve">e </w:t>
      </w:r>
      <w:r w:rsidRPr="00CD7CA9">
        <w:t>whether the MFP refund payment was at the Standard Default Refund Amount, a different amount, or the reason an MFP refund payment was not provided.</w:t>
      </w:r>
      <w:r w:rsidR="00CD14E2">
        <w:t xml:space="preserve"> </w:t>
      </w:r>
    </w:p>
    <w:p w:rsidR="000C27E6" w:rsidP="00CD7CA9" w14:paraId="1E01068B" w14:textId="1E1E5B62">
      <w:pPr>
        <w:pStyle w:val="ListParagraph"/>
        <w:numPr>
          <w:ilvl w:val="0"/>
          <w:numId w:val="3"/>
        </w:numPr>
      </w:pPr>
      <w:r w:rsidRPr="00FC024F">
        <w:t xml:space="preserve">The Primary Manufacturer must report the code that most accurately describes the method for determining </w:t>
      </w:r>
      <w:r w:rsidR="008F4768">
        <w:t xml:space="preserve">the </w:t>
      </w:r>
      <w:r w:rsidRPr="00FC024F">
        <w:t>MFP Refund Amount consistent with applicable regulations, guidance</w:t>
      </w:r>
      <w:r w:rsidR="008F4768">
        <w:t>,</w:t>
      </w:r>
      <w:r w:rsidRPr="00FC024F">
        <w:t xml:space="preserve"> and technical instruction</w:t>
      </w:r>
      <w:r w:rsidR="008F4768">
        <w:t>s</w:t>
      </w:r>
      <w:r w:rsidRPr="00FC024F">
        <w:t>.</w:t>
      </w:r>
    </w:p>
    <w:p w:rsidR="00E375E4" w:rsidP="00CD7CA9" w14:paraId="654A9CA5" w14:textId="179569B2">
      <w:pPr>
        <w:pStyle w:val="ListParagraph"/>
        <w:numPr>
          <w:ilvl w:val="0"/>
          <w:numId w:val="3"/>
        </w:numPr>
      </w:pPr>
      <w:r>
        <w:t xml:space="preserve">Codes should be based on the final disposition of a refund. </w:t>
      </w:r>
    </w:p>
    <w:p w:rsidR="007D5A2C" w:rsidRPr="00FC024F" w:rsidP="00CD7CA9" w14:paraId="72FDC7DF" w14:textId="5541BCAF">
      <w:pPr>
        <w:pStyle w:val="ListParagraph"/>
        <w:numPr>
          <w:ilvl w:val="0"/>
          <w:numId w:val="3"/>
        </w:numPr>
      </w:pPr>
      <w:r>
        <w:t xml:space="preserve">Primary Manufacturers should use Code 2 for refunds calculated using a methodology different than the Standard Default Refund Amount. Code 7 should be used when the refund amount transmitted </w:t>
      </w:r>
      <w:r>
        <w:t>was</w:t>
      </w:r>
      <w:r>
        <w:t xml:space="preserve"> adjusted by a credit amount on manufacturer-maintained credit ledger.</w:t>
      </w:r>
    </w:p>
    <w:p w:rsidR="00155AE9" w:rsidP="005825D3" w14:paraId="2A6D04AE" w14:textId="7CBEE1C1">
      <w:pPr>
        <w:pStyle w:val="ListParagraph"/>
        <w:numPr>
          <w:ilvl w:val="0"/>
          <w:numId w:val="3"/>
        </w:numPr>
      </w:pPr>
      <w:r>
        <w:t xml:space="preserve">Codes and values presented in Table 1 below are preliminary and </w:t>
      </w:r>
      <w:r w:rsidRPr="00FC024F">
        <w:t>may be updated by CMS over time in technical instructions</w:t>
      </w:r>
      <w:r>
        <w:t>.</w:t>
      </w:r>
    </w:p>
    <w:tbl>
      <w:tblPr>
        <w:tblStyle w:val="TableGrid"/>
        <w:tblW w:w="9355" w:type="dxa"/>
        <w:tblLook w:val="04A0"/>
      </w:tblPr>
      <w:tblGrid>
        <w:gridCol w:w="4225"/>
        <w:gridCol w:w="5130"/>
      </w:tblGrid>
      <w:tr w14:paraId="3A0AD4DD" w14:textId="77777777" w:rsidTr="001B017E">
        <w:tblPrEx>
          <w:tblW w:w="9355" w:type="dxa"/>
          <w:tblLook w:val="04A0"/>
        </w:tblPrEx>
        <w:tc>
          <w:tcPr>
            <w:tcW w:w="4225" w:type="dxa"/>
          </w:tcPr>
          <w:p w:rsidR="00211123" w:rsidRPr="000F67A2" w:rsidP="001B017E" w14:paraId="4F0D1C38" w14:textId="77777777">
            <w:pPr>
              <w:rPr>
                <w:b/>
                <w:bCs/>
                <w:u w:val="single"/>
              </w:rPr>
            </w:pPr>
            <w:r w:rsidRPr="000F67A2">
              <w:rPr>
                <w:b/>
                <w:bCs/>
                <w:u w:val="single"/>
              </w:rPr>
              <w:t>Field</w:t>
            </w:r>
          </w:p>
        </w:tc>
        <w:tc>
          <w:tcPr>
            <w:tcW w:w="5130" w:type="dxa"/>
          </w:tcPr>
          <w:p w:rsidR="00211123" w:rsidRPr="000F67A2" w:rsidP="001B017E" w14:paraId="45005D5F" w14:textId="77777777">
            <w:pPr>
              <w:rPr>
                <w:b/>
                <w:bCs/>
                <w:u w:val="single"/>
              </w:rPr>
            </w:pPr>
            <w:r w:rsidRPr="000F67A2">
              <w:rPr>
                <w:b/>
                <w:bCs/>
                <w:u w:val="single"/>
              </w:rPr>
              <w:t>Response Format</w:t>
            </w:r>
          </w:p>
        </w:tc>
      </w:tr>
      <w:tr w14:paraId="78540BF8" w14:textId="77777777" w:rsidTr="001B017E">
        <w:tblPrEx>
          <w:tblW w:w="9355" w:type="dxa"/>
          <w:tblLook w:val="04A0"/>
        </w:tblPrEx>
        <w:tc>
          <w:tcPr>
            <w:tcW w:w="4225" w:type="dxa"/>
          </w:tcPr>
          <w:p w:rsidR="00211123" w:rsidRPr="000F67A2" w:rsidP="001B017E" w14:paraId="4C94E379" w14:textId="13DFBFEC">
            <w:r>
              <w:t>Method for Determining MFP Refund Amount</w:t>
            </w:r>
          </w:p>
        </w:tc>
        <w:tc>
          <w:tcPr>
            <w:tcW w:w="5130" w:type="dxa"/>
          </w:tcPr>
          <w:p w:rsidR="00211123" w:rsidRPr="000F67A2" w:rsidP="001B017E" w14:paraId="06E773D9" w14:textId="6139B4E3">
            <w:r w:rsidRPr="000F67A2">
              <w:t xml:space="preserve">Numeric </w:t>
            </w:r>
          </w:p>
        </w:tc>
      </w:tr>
    </w:tbl>
    <w:p w:rsidR="00983B5A" w:rsidRPr="00763D47" w:rsidP="00763D47" w14:paraId="7A736117" w14:textId="0AD8AAF4">
      <w:pPr>
        <w:spacing w:after="0"/>
        <w:jc w:val="center"/>
        <w:rPr>
          <w:b/>
          <w:bCs/>
        </w:rPr>
      </w:pPr>
      <w:r w:rsidRPr="00763D47">
        <w:rPr>
          <w:b/>
          <w:bCs/>
        </w:rPr>
        <w:t>Table 1</w:t>
      </w:r>
    </w:p>
    <w:tbl>
      <w:tblPr>
        <w:tblStyle w:val="TableGrid"/>
        <w:tblW w:w="0" w:type="auto"/>
        <w:jc w:val="center"/>
        <w:tblLook w:val="04A0"/>
      </w:tblPr>
      <w:tblGrid>
        <w:gridCol w:w="749"/>
        <w:gridCol w:w="6266"/>
      </w:tblGrid>
      <w:tr w14:paraId="5066EBA3" w14:textId="42619DE4" w:rsidTr="009A2873">
        <w:tblPrEx>
          <w:tblW w:w="0" w:type="auto"/>
          <w:jc w:val="center"/>
          <w:tblLook w:val="04A0"/>
        </w:tblPrEx>
        <w:trPr>
          <w:tblHeader/>
          <w:jc w:val="center"/>
        </w:trPr>
        <w:tc>
          <w:tcPr>
            <w:tcW w:w="749" w:type="dxa"/>
          </w:tcPr>
          <w:p w:rsidR="009C6F34" w:rsidRPr="00CD7CA9" w:rsidP="00211123" w14:paraId="5A54A73A" w14:textId="3D05F40A">
            <w:pPr>
              <w:rPr>
                <w:b/>
                <w:bCs/>
              </w:rPr>
            </w:pPr>
            <w:r w:rsidRPr="00CD7CA9">
              <w:rPr>
                <w:b/>
                <w:bCs/>
              </w:rPr>
              <w:t>Code</w:t>
            </w:r>
          </w:p>
        </w:tc>
        <w:tc>
          <w:tcPr>
            <w:tcW w:w="6266" w:type="dxa"/>
          </w:tcPr>
          <w:p w:rsidR="009C6F34" w:rsidRPr="00CD7CA9" w:rsidP="00211123" w14:paraId="7CA04C03" w14:textId="647ABD1A">
            <w:pPr>
              <w:rPr>
                <w:b/>
                <w:bCs/>
              </w:rPr>
            </w:pPr>
            <w:r w:rsidRPr="00CD7CA9">
              <w:rPr>
                <w:b/>
                <w:bCs/>
              </w:rPr>
              <w:t xml:space="preserve">Value </w:t>
            </w:r>
          </w:p>
        </w:tc>
      </w:tr>
      <w:tr w14:paraId="0CDCE116" w14:textId="494BE030" w:rsidTr="009A2873">
        <w:tblPrEx>
          <w:tblW w:w="0" w:type="auto"/>
          <w:jc w:val="center"/>
          <w:tblLook w:val="04A0"/>
        </w:tblPrEx>
        <w:trPr>
          <w:jc w:val="center"/>
        </w:trPr>
        <w:tc>
          <w:tcPr>
            <w:tcW w:w="749" w:type="dxa"/>
          </w:tcPr>
          <w:p w:rsidR="009C6F34" w:rsidP="007640EB" w14:paraId="176A9CD7" w14:textId="28700424">
            <w:pPr>
              <w:jc w:val="center"/>
            </w:pPr>
            <w:r>
              <w:t>1</w:t>
            </w:r>
          </w:p>
        </w:tc>
        <w:tc>
          <w:tcPr>
            <w:tcW w:w="6266" w:type="dxa"/>
          </w:tcPr>
          <w:p w:rsidR="009C6F34" w:rsidP="00211123" w14:paraId="700FA8AA" w14:textId="5A72FE32">
            <w:r>
              <w:t>Standard Default Refund Amount</w:t>
            </w:r>
            <w:r w:rsidR="00CE17B9">
              <w:t xml:space="preserve"> Transmitted</w:t>
            </w:r>
          </w:p>
        </w:tc>
      </w:tr>
      <w:tr w14:paraId="70A7B7BF" w14:textId="1CFCC892" w:rsidTr="009A2873">
        <w:tblPrEx>
          <w:tblW w:w="0" w:type="auto"/>
          <w:jc w:val="center"/>
          <w:tblLook w:val="04A0"/>
        </w:tblPrEx>
        <w:trPr>
          <w:jc w:val="center"/>
        </w:trPr>
        <w:tc>
          <w:tcPr>
            <w:tcW w:w="749" w:type="dxa"/>
          </w:tcPr>
          <w:p w:rsidR="009C6F34" w:rsidP="007640EB" w14:paraId="10B3C77C" w14:textId="6C5BB11E">
            <w:pPr>
              <w:jc w:val="center"/>
            </w:pPr>
            <w:r>
              <w:t>2</w:t>
            </w:r>
          </w:p>
        </w:tc>
        <w:tc>
          <w:tcPr>
            <w:tcW w:w="6266" w:type="dxa"/>
          </w:tcPr>
          <w:p w:rsidR="009C6F34" w:rsidP="00211123" w14:paraId="5BF8A641" w14:textId="5F5AC0FD">
            <w:r w:rsidRPr="00763D47">
              <w:t xml:space="preserve">Amount Other than Standard Default Refund Amount </w:t>
            </w:r>
            <w:r w:rsidR="00CE17B9">
              <w:t>Transmitted</w:t>
            </w:r>
          </w:p>
        </w:tc>
      </w:tr>
      <w:tr w14:paraId="2F6D90FC" w14:textId="336A5E62" w:rsidTr="009A2873">
        <w:tblPrEx>
          <w:tblW w:w="0" w:type="auto"/>
          <w:jc w:val="center"/>
          <w:tblLook w:val="04A0"/>
        </w:tblPrEx>
        <w:trPr>
          <w:jc w:val="center"/>
        </w:trPr>
        <w:tc>
          <w:tcPr>
            <w:tcW w:w="749" w:type="dxa"/>
          </w:tcPr>
          <w:p w:rsidR="009C6F34" w:rsidP="007640EB" w14:paraId="6D411FFB" w14:textId="14A6B626">
            <w:pPr>
              <w:jc w:val="center"/>
            </w:pPr>
            <w:r>
              <w:t>3</w:t>
            </w:r>
          </w:p>
        </w:tc>
        <w:tc>
          <w:tcPr>
            <w:tcW w:w="6266" w:type="dxa"/>
          </w:tcPr>
          <w:p w:rsidR="009C6F34" w:rsidP="00211123" w14:paraId="7674DB4A" w14:textId="7C701E0B">
            <w:r w:rsidRPr="00763D47">
              <w:t xml:space="preserve">No Refund </w:t>
            </w:r>
            <w:r w:rsidR="00CE17B9">
              <w:t>Transmitted</w:t>
            </w:r>
            <w:r w:rsidRPr="00763D47">
              <w:t xml:space="preserve"> – Prospective MFP Access</w:t>
            </w:r>
          </w:p>
        </w:tc>
      </w:tr>
      <w:tr w14:paraId="4BCCC1E3" w14:textId="12361589" w:rsidTr="009A2873">
        <w:tblPrEx>
          <w:tblW w:w="0" w:type="auto"/>
          <w:jc w:val="center"/>
          <w:tblLook w:val="04A0"/>
        </w:tblPrEx>
        <w:trPr>
          <w:jc w:val="center"/>
        </w:trPr>
        <w:tc>
          <w:tcPr>
            <w:tcW w:w="749" w:type="dxa"/>
          </w:tcPr>
          <w:p w:rsidR="009C6F34" w:rsidP="007640EB" w14:paraId="195FF196" w14:textId="5AA69928">
            <w:pPr>
              <w:jc w:val="center"/>
            </w:pPr>
            <w:r>
              <w:t>4</w:t>
            </w:r>
          </w:p>
        </w:tc>
        <w:tc>
          <w:tcPr>
            <w:tcW w:w="6266" w:type="dxa"/>
          </w:tcPr>
          <w:p w:rsidR="009C6F34" w:rsidP="00211123" w14:paraId="10C3B966" w14:textId="795ADB08">
            <w:r w:rsidRPr="00763D47">
              <w:t xml:space="preserve">No Refund </w:t>
            </w:r>
            <w:r w:rsidR="00CE17B9">
              <w:t>Transmitted</w:t>
            </w:r>
            <w:r w:rsidRPr="00763D47">
              <w:t xml:space="preserve"> – </w:t>
            </w:r>
            <w:r w:rsidR="00677E51">
              <w:t>S</w:t>
            </w:r>
            <w:r w:rsidR="00FB6664">
              <w:t xml:space="preserve">ection </w:t>
            </w:r>
            <w:r w:rsidRPr="00763D47">
              <w:t>1193(d)(1) Exception</w:t>
            </w:r>
          </w:p>
        </w:tc>
      </w:tr>
      <w:tr w14:paraId="00FE073A" w14:textId="4CB68DF8" w:rsidTr="009A2873">
        <w:tblPrEx>
          <w:tblW w:w="0" w:type="auto"/>
          <w:jc w:val="center"/>
          <w:tblLook w:val="04A0"/>
        </w:tblPrEx>
        <w:trPr>
          <w:jc w:val="center"/>
        </w:trPr>
        <w:tc>
          <w:tcPr>
            <w:tcW w:w="749" w:type="dxa"/>
          </w:tcPr>
          <w:p w:rsidR="009C6F34" w:rsidP="007640EB" w14:paraId="09370E31" w14:textId="444E8D11">
            <w:pPr>
              <w:jc w:val="center"/>
            </w:pPr>
            <w:r>
              <w:t>5</w:t>
            </w:r>
          </w:p>
        </w:tc>
        <w:tc>
          <w:tcPr>
            <w:tcW w:w="6266" w:type="dxa"/>
          </w:tcPr>
          <w:p w:rsidR="009C6F34" w:rsidP="00211123" w14:paraId="2028106C" w14:textId="74FB05A6">
            <w:r w:rsidRPr="00763D47">
              <w:t xml:space="preserve">No Refund </w:t>
            </w:r>
            <w:r w:rsidR="00CE17B9">
              <w:t>Transmitted</w:t>
            </w:r>
            <w:r w:rsidRPr="00763D47">
              <w:t xml:space="preserve"> – Payment </w:t>
            </w:r>
            <w:r w:rsidR="00CE17B9">
              <w:t xml:space="preserve">Transmission </w:t>
            </w:r>
            <w:r w:rsidRPr="00763D47">
              <w:t>Attempted but Unsuccessful</w:t>
            </w:r>
          </w:p>
        </w:tc>
      </w:tr>
      <w:tr w14:paraId="7C4A31AA" w14:textId="77777777" w:rsidTr="009A2873">
        <w:tblPrEx>
          <w:tblW w:w="0" w:type="auto"/>
          <w:jc w:val="center"/>
          <w:tblLook w:val="04A0"/>
        </w:tblPrEx>
        <w:trPr>
          <w:jc w:val="center"/>
        </w:trPr>
        <w:tc>
          <w:tcPr>
            <w:tcW w:w="749" w:type="dxa"/>
          </w:tcPr>
          <w:p w:rsidR="001D1D98" w:rsidP="007640EB" w14:paraId="43326003" w14:textId="263702AD">
            <w:pPr>
              <w:jc w:val="center"/>
            </w:pPr>
            <w:r>
              <w:t>6</w:t>
            </w:r>
          </w:p>
        </w:tc>
        <w:tc>
          <w:tcPr>
            <w:tcW w:w="6266" w:type="dxa"/>
          </w:tcPr>
          <w:p w:rsidR="001D1D98" w:rsidRPr="00763D47" w:rsidP="00211123" w14:paraId="7E9A30AC" w14:textId="75E97069">
            <w:r>
              <w:t xml:space="preserve">No Refund </w:t>
            </w:r>
            <w:r w:rsidR="00CE17B9">
              <w:t>Transmitted</w:t>
            </w:r>
            <w:r>
              <w:t xml:space="preserve"> – </w:t>
            </w:r>
            <w:r w:rsidR="00E06D95">
              <w:t>Other</w:t>
            </w:r>
          </w:p>
        </w:tc>
      </w:tr>
      <w:tr w14:paraId="5DE3FE2E" w14:textId="77777777" w:rsidTr="009A2873">
        <w:tblPrEx>
          <w:tblW w:w="0" w:type="auto"/>
          <w:jc w:val="center"/>
          <w:tblLook w:val="04A0"/>
        </w:tblPrEx>
        <w:trPr>
          <w:jc w:val="center"/>
        </w:trPr>
        <w:tc>
          <w:tcPr>
            <w:tcW w:w="749" w:type="dxa"/>
          </w:tcPr>
          <w:p w:rsidR="001D1D98" w:rsidP="007640EB" w14:paraId="0FD55A9A" w14:textId="0DA6C02A">
            <w:pPr>
              <w:jc w:val="center"/>
            </w:pPr>
            <w:r>
              <w:t>7</w:t>
            </w:r>
          </w:p>
        </w:tc>
        <w:tc>
          <w:tcPr>
            <w:tcW w:w="6266" w:type="dxa"/>
          </w:tcPr>
          <w:p w:rsidR="001D1D98" w:rsidRPr="00763D47" w:rsidP="001D1D98" w14:paraId="070174A1" w14:textId="790BCE8B">
            <w:pPr>
              <w:tabs>
                <w:tab w:val="left" w:pos="2855"/>
              </w:tabs>
            </w:pPr>
            <w:r>
              <w:t>Refund Transmitted Consistent with Alternative Reconciliation</w:t>
            </w:r>
            <w:r w:rsidR="00ED23FC">
              <w:t xml:space="preserve"> </w:t>
            </w:r>
          </w:p>
        </w:tc>
      </w:tr>
    </w:tbl>
    <w:p w:rsidR="00983B5A" w:rsidRPr="00874FF0" w:rsidP="005825D3" w14:paraId="22FD599A" w14:textId="77777777">
      <w:pPr>
        <w:spacing w:after="0"/>
      </w:pPr>
    </w:p>
    <w:p w:rsidR="00774193" w:rsidRPr="009C6F34" w:rsidP="00774193" w14:paraId="6A017711" w14:textId="03892DAE">
      <w:pPr>
        <w:rPr>
          <w:u w:val="single"/>
        </w:rPr>
      </w:pPr>
      <w:r w:rsidRPr="009C6F34">
        <w:rPr>
          <w:u w:val="single"/>
        </w:rPr>
        <w:t xml:space="preserve">Payment Element </w:t>
      </w:r>
      <w:r w:rsidR="00657032">
        <w:rPr>
          <w:u w:val="single"/>
        </w:rPr>
        <w:t>4</w:t>
      </w:r>
      <w:r w:rsidRPr="009C6F34">
        <w:rPr>
          <w:u w:val="single"/>
        </w:rPr>
        <w:t xml:space="preserve">: Amount of Payment </w:t>
      </w:r>
      <w:r w:rsidR="004578FA">
        <w:rPr>
          <w:u w:val="single"/>
        </w:rPr>
        <w:t>Transmitted</w:t>
      </w:r>
      <w:r w:rsidRPr="009C6F34" w:rsidR="004578FA">
        <w:rPr>
          <w:u w:val="single"/>
        </w:rPr>
        <w:t xml:space="preserve"> </w:t>
      </w:r>
      <w:r w:rsidRPr="009C6F34">
        <w:rPr>
          <w:u w:val="single"/>
        </w:rPr>
        <w:t>as the MFP Refund</w:t>
      </w:r>
    </w:p>
    <w:p w:rsidR="00211123" w:rsidP="00936D2E" w14:paraId="6FB181CD" w14:textId="2086902E">
      <w:pPr>
        <w:numPr>
          <w:ilvl w:val="0"/>
          <w:numId w:val="7"/>
        </w:numPr>
        <w:spacing w:after="0"/>
      </w:pPr>
      <w:r>
        <w:t>The Primary Manufacturer will use this payment element</w:t>
      </w:r>
      <w:r w:rsidR="00585CCA">
        <w:t xml:space="preserve"> </w:t>
      </w:r>
      <w:r w:rsidRPr="00774193" w:rsidR="00585CCA">
        <w:t>to</w:t>
      </w:r>
      <w:r w:rsidR="00385DC6">
        <w:t xml:space="preserve"> provide the amount of payment </w:t>
      </w:r>
      <w:r w:rsidR="00AB49D8">
        <w:t xml:space="preserve">transmitted </w:t>
      </w:r>
      <w:r w:rsidR="00385DC6">
        <w:t>as the MFP refund</w:t>
      </w:r>
      <w:r w:rsidRPr="00874FF0" w:rsidR="00874FF0">
        <w:t xml:space="preserve">. </w:t>
      </w:r>
      <w:r w:rsidRPr="00385DC6" w:rsidR="00936D2E">
        <w:t>Monetary</w:t>
      </w:r>
      <w:r w:rsidR="00936D2E">
        <w:t xml:space="preserve"> </w:t>
      </w:r>
      <w:r w:rsidRPr="00385DC6" w:rsidR="00936D2E">
        <w:t>amounts</w:t>
      </w:r>
      <w:r w:rsidR="00936D2E">
        <w:t xml:space="preserve"> </w:t>
      </w:r>
      <w:r w:rsidRPr="00385DC6" w:rsidR="00936D2E">
        <w:t>must</w:t>
      </w:r>
      <w:r w:rsidR="00936D2E">
        <w:t xml:space="preserve"> </w:t>
      </w:r>
      <w:r w:rsidRPr="00385DC6" w:rsidR="00936D2E">
        <w:t>be</w:t>
      </w:r>
      <w:r w:rsidR="00936D2E">
        <w:t xml:space="preserve"> </w:t>
      </w:r>
      <w:r w:rsidRPr="00385DC6" w:rsidR="00936D2E">
        <w:t>reported</w:t>
      </w:r>
      <w:r w:rsidR="00936D2E">
        <w:t xml:space="preserve"> </w:t>
      </w:r>
      <w:r w:rsidRPr="00385DC6" w:rsidR="00936D2E">
        <w:t>in</w:t>
      </w:r>
      <w:r w:rsidR="00936D2E">
        <w:t xml:space="preserve"> </w:t>
      </w:r>
      <w:r w:rsidRPr="00385DC6" w:rsidR="00936D2E">
        <w:t>United</w:t>
      </w:r>
      <w:r w:rsidR="00936D2E">
        <w:t xml:space="preserve"> </w:t>
      </w:r>
      <w:r w:rsidRPr="00385DC6" w:rsidR="00936D2E">
        <w:t>States</w:t>
      </w:r>
      <w:r w:rsidR="00936D2E">
        <w:t xml:space="preserve"> </w:t>
      </w:r>
      <w:r w:rsidRPr="00385DC6" w:rsidR="00936D2E">
        <w:t>dollars</w:t>
      </w:r>
      <w:r w:rsidR="00936D2E">
        <w:t xml:space="preserve"> </w:t>
      </w:r>
      <w:r w:rsidRPr="00385DC6" w:rsidR="00936D2E">
        <w:t>(USD)</w:t>
      </w:r>
      <w:r w:rsidR="00936D2E">
        <w:t xml:space="preserve"> </w:t>
      </w:r>
      <w:r w:rsidRPr="00385DC6" w:rsidR="00936D2E">
        <w:t>and</w:t>
      </w:r>
      <w:r w:rsidR="00936D2E">
        <w:t xml:space="preserve"> </w:t>
      </w:r>
      <w:r w:rsidRPr="00385DC6" w:rsidR="00936D2E">
        <w:t>include</w:t>
      </w:r>
      <w:r w:rsidR="00936D2E">
        <w:t xml:space="preserve"> </w:t>
      </w:r>
      <w:r w:rsidRPr="00385DC6" w:rsidR="00936D2E">
        <w:t>two</w:t>
      </w:r>
      <w:r w:rsidR="00936D2E">
        <w:t xml:space="preserve"> </w:t>
      </w:r>
      <w:r w:rsidRPr="00385DC6" w:rsidR="00936D2E">
        <w:t>decim</w:t>
      </w:r>
      <w:r w:rsidR="00936D2E">
        <w:t>a</w:t>
      </w:r>
      <w:r w:rsidRPr="00385DC6" w:rsidR="00936D2E">
        <w:t>l places (i.e., dollars and cents).</w:t>
      </w:r>
      <w:r w:rsidR="00936D2E">
        <w:t xml:space="preserve"> </w:t>
      </w:r>
    </w:p>
    <w:p w:rsidR="00874FF0" w:rsidP="00874FF0" w14:paraId="6D6A5F8C" w14:textId="040D0D24">
      <w:pPr>
        <w:pStyle w:val="ListParagraph"/>
        <w:numPr>
          <w:ilvl w:val="0"/>
          <w:numId w:val="3"/>
        </w:numPr>
      </w:pPr>
      <w:r>
        <w:t>This p</w:t>
      </w:r>
      <w:r w:rsidRPr="00874FF0">
        <w:t xml:space="preserve">ayment element </w:t>
      </w:r>
      <w:r w:rsidR="00CD14E2">
        <w:t xml:space="preserve">should be </w:t>
      </w:r>
      <w:r w:rsidR="00080C8C">
        <w:t>omitted</w:t>
      </w:r>
      <w:r w:rsidR="0098238A">
        <w:t xml:space="preserve"> (i.e., left blank)</w:t>
      </w:r>
      <w:r w:rsidRPr="00874FF0">
        <w:t xml:space="preserve"> if the claim was prospectively purchased or a refund was not</w:t>
      </w:r>
      <w:r w:rsidR="00AB49D8">
        <w:t xml:space="preserve"> transmitted</w:t>
      </w:r>
      <w:r w:rsidRPr="00874FF0">
        <w:t>.</w:t>
      </w:r>
    </w:p>
    <w:p w:rsidR="000B6046" w:rsidP="00874FF0" w14:paraId="595AB197" w14:textId="341FE638">
      <w:pPr>
        <w:pStyle w:val="ListParagraph"/>
        <w:numPr>
          <w:ilvl w:val="0"/>
          <w:numId w:val="3"/>
        </w:numPr>
      </w:pPr>
      <w:r>
        <w:t>In situations where MFP refund payments are facilitated by the MTF</w:t>
      </w:r>
      <w:r w:rsidR="00142BC8">
        <w:t xml:space="preserve"> PM</w:t>
      </w:r>
      <w:r>
        <w:t>, this payment element will contain the amount to be transmitted as the MFP refund by the MTF PM</w:t>
      </w:r>
      <w:r w:rsidR="00631AD0">
        <w:t xml:space="preserve">, before </w:t>
      </w:r>
      <w:r w:rsidR="00631AD0">
        <w:t>the application of any applicable credits</w:t>
      </w:r>
      <w:r>
        <w:t>.</w:t>
      </w:r>
      <w:r w:rsidR="00142BC8">
        <w:t xml:space="preserve"> This amount may be an initial MFP refund payment amount, or an adjusted amount if the claim is being re-processed following a previous submission.</w:t>
      </w:r>
    </w:p>
    <w:p w:rsidR="00E85E64" w:rsidP="00874FF0" w14:paraId="6F3506DD" w14:textId="5AEE1D94">
      <w:pPr>
        <w:pStyle w:val="ListParagraph"/>
        <w:numPr>
          <w:ilvl w:val="0"/>
          <w:numId w:val="3"/>
        </w:numPr>
      </w:pPr>
      <w:r>
        <w:t>In situations where MFP refund payments are facilitated by the MTF PM, i</w:t>
      </w:r>
      <w:r>
        <w:t xml:space="preserve">f reflecting an adjusted refund amount, this field should </w:t>
      </w:r>
      <w:r>
        <w:t>reflect</w:t>
      </w:r>
      <w:r>
        <w:t xml:space="preserve"> the </w:t>
      </w:r>
      <w:r>
        <w:t xml:space="preserve">intended </w:t>
      </w:r>
      <w:r>
        <w:t xml:space="preserve">total refund amount </w:t>
      </w:r>
      <w:r>
        <w:t xml:space="preserve">for the claim (e.g., </w:t>
      </w:r>
      <w:r w:rsidR="00E84FD2">
        <w:t>previously paid refund was $100 and intended refund is $80, this field should contain $80</w:t>
      </w:r>
      <w:r>
        <w:t xml:space="preserve">). The MTF will calculate credits based on previously paid refunds and update the ledger or calculate the difference between the previously paid refund and the updated refund amount and request this difference from the </w:t>
      </w:r>
      <w:r w:rsidR="00ED4385">
        <w:t>Primary M</w:t>
      </w:r>
      <w:r>
        <w:t>anufacturer’s bank.</w:t>
      </w:r>
    </w:p>
    <w:p w:rsidR="007150A8" w:rsidP="00874FF0" w14:paraId="57A5E120" w14:textId="670DB843">
      <w:pPr>
        <w:pStyle w:val="ListParagraph"/>
        <w:numPr>
          <w:ilvl w:val="0"/>
          <w:numId w:val="3"/>
        </w:numPr>
      </w:pPr>
      <w:r>
        <w:t>In situations where MFP refund payments are not facilitated by the MTF PM, this payment element will contain the amount of MFP refund transmitted</w:t>
      </w:r>
      <w:r w:rsidR="00C517F1">
        <w:t>, before the application of any applicable credits</w:t>
      </w:r>
      <w:r>
        <w:t>.</w:t>
      </w:r>
    </w:p>
    <w:tbl>
      <w:tblPr>
        <w:tblStyle w:val="TableGrid"/>
        <w:tblW w:w="9355" w:type="dxa"/>
        <w:tblLook w:val="04A0"/>
      </w:tblPr>
      <w:tblGrid>
        <w:gridCol w:w="4225"/>
        <w:gridCol w:w="5130"/>
      </w:tblGrid>
      <w:tr w14:paraId="768654CE" w14:textId="77777777" w:rsidTr="39FDC9D3">
        <w:tblPrEx>
          <w:tblW w:w="9355" w:type="dxa"/>
          <w:tblLook w:val="04A0"/>
        </w:tblPrEx>
        <w:tc>
          <w:tcPr>
            <w:tcW w:w="4225" w:type="dxa"/>
          </w:tcPr>
          <w:p w:rsidR="00211123" w:rsidRPr="000F67A2" w:rsidP="001B017E" w14:paraId="49F3923A" w14:textId="77777777">
            <w:pPr>
              <w:rPr>
                <w:b/>
                <w:bCs/>
                <w:u w:val="single"/>
              </w:rPr>
            </w:pPr>
            <w:r w:rsidRPr="000F67A2">
              <w:rPr>
                <w:b/>
                <w:bCs/>
                <w:u w:val="single"/>
              </w:rPr>
              <w:t>Field</w:t>
            </w:r>
          </w:p>
        </w:tc>
        <w:tc>
          <w:tcPr>
            <w:tcW w:w="5130" w:type="dxa"/>
          </w:tcPr>
          <w:p w:rsidR="00211123" w:rsidRPr="000F67A2" w:rsidP="001B017E" w14:paraId="203D9B95" w14:textId="77777777">
            <w:pPr>
              <w:rPr>
                <w:b/>
                <w:bCs/>
                <w:u w:val="single"/>
              </w:rPr>
            </w:pPr>
            <w:r w:rsidRPr="000F67A2">
              <w:rPr>
                <w:b/>
                <w:bCs/>
                <w:u w:val="single"/>
              </w:rPr>
              <w:t>Response Format</w:t>
            </w:r>
          </w:p>
        </w:tc>
      </w:tr>
      <w:tr w14:paraId="71153F80" w14:textId="77777777" w:rsidTr="39FDC9D3">
        <w:tblPrEx>
          <w:tblW w:w="9355" w:type="dxa"/>
          <w:tblLook w:val="04A0"/>
        </w:tblPrEx>
        <w:tc>
          <w:tcPr>
            <w:tcW w:w="4225" w:type="dxa"/>
          </w:tcPr>
          <w:p w:rsidR="00211123" w:rsidRPr="00FE4052" w:rsidP="001B017E" w14:paraId="1A704D16" w14:textId="3574F74E">
            <w:r w:rsidRPr="00FE4052">
              <w:t xml:space="preserve">Amount of Payment </w:t>
            </w:r>
            <w:r w:rsidR="00CE17B9">
              <w:t>Transmitted</w:t>
            </w:r>
            <w:r w:rsidRPr="00FE4052">
              <w:t xml:space="preserve"> as the MFP Refund</w:t>
            </w:r>
          </w:p>
        </w:tc>
        <w:tc>
          <w:tcPr>
            <w:tcW w:w="5130" w:type="dxa"/>
          </w:tcPr>
          <w:p w:rsidR="00211123" w:rsidRPr="00FE4052" w:rsidP="001B017E" w14:paraId="614A0E58" w14:textId="34957F4D">
            <w:r w:rsidRPr="00FE4052">
              <w:t>$</w:t>
            </w:r>
          </w:p>
        </w:tc>
      </w:tr>
    </w:tbl>
    <w:p w:rsidR="39FDC9D3" w:rsidP="00185EE7" w14:paraId="5842A983" w14:textId="5DDC602F">
      <w:pPr>
        <w:spacing w:after="0"/>
        <w:rPr>
          <w:u w:val="single"/>
        </w:rPr>
      </w:pPr>
    </w:p>
    <w:p w:rsidR="00F33C11" w:rsidRPr="009C6F34" w:rsidP="00F33C11" w14:paraId="276D82C4" w14:textId="4B7FB68D">
      <w:pPr>
        <w:rPr>
          <w:u w:val="single"/>
        </w:rPr>
      </w:pPr>
      <w:r w:rsidRPr="009C6F34">
        <w:rPr>
          <w:u w:val="single"/>
        </w:rPr>
        <w:t xml:space="preserve">Payment Element </w:t>
      </w:r>
      <w:r w:rsidR="007150A8">
        <w:rPr>
          <w:u w:val="single"/>
        </w:rPr>
        <w:t>5</w:t>
      </w:r>
      <w:r w:rsidRPr="009C6F34">
        <w:rPr>
          <w:u w:val="single"/>
        </w:rPr>
        <w:t xml:space="preserve">: </w:t>
      </w:r>
      <w:r w:rsidR="007150A8">
        <w:rPr>
          <w:u w:val="single"/>
        </w:rPr>
        <w:t>Transaction Code</w:t>
      </w:r>
      <w:r w:rsidRPr="009C6F34">
        <w:rPr>
          <w:u w:val="single"/>
        </w:rPr>
        <w:t xml:space="preserve"> </w:t>
      </w:r>
    </w:p>
    <w:p w:rsidR="000C717B" w:rsidP="39FDC9D3" w14:paraId="0C225FB2" w14:textId="7D8B2C9D">
      <w:pPr>
        <w:pStyle w:val="ListParagraph"/>
        <w:numPr>
          <w:ilvl w:val="0"/>
          <w:numId w:val="3"/>
        </w:numPr>
      </w:pPr>
      <w:r>
        <w:t xml:space="preserve">The Primary Manufacturer will use this </w:t>
      </w:r>
      <w:r>
        <w:t xml:space="preserve">claim-level data </w:t>
      </w:r>
      <w:r>
        <w:t>element</w:t>
      </w:r>
      <w:r>
        <w:t>, received from the</w:t>
      </w:r>
      <w:r>
        <w:t xml:space="preserve"> </w:t>
      </w:r>
      <w:r>
        <w:t xml:space="preserve">MTF DM, </w:t>
      </w:r>
      <w:r>
        <w:t xml:space="preserve">to </w:t>
      </w:r>
      <w:r w:rsidR="00800908">
        <w:t xml:space="preserve">indicate </w:t>
      </w:r>
      <w:r>
        <w:t xml:space="preserve">whether the claim-level payment elements are sent in response to a set of claim-level data elements sent by the MTF DM, or are </w:t>
      </w:r>
      <w:r w:rsidR="00BF4629">
        <w:t xml:space="preserve">sent independent of claim-level data elements received from the MTF DM to </w:t>
      </w:r>
      <w:r>
        <w:t>adjust</w:t>
      </w:r>
      <w:r w:rsidR="00BF4629">
        <w:t xml:space="preserve"> </w:t>
      </w:r>
      <w:r>
        <w:t>claim-level payment elements previously sent by the Primary Manufacturer.</w:t>
      </w:r>
    </w:p>
    <w:p w:rsidR="00DF4174" w:rsidP="005A638E" w14:paraId="141FADB3" w14:textId="530800D6">
      <w:pPr>
        <w:pStyle w:val="ListParagraph"/>
        <w:numPr>
          <w:ilvl w:val="0"/>
          <w:numId w:val="15"/>
        </w:numPr>
      </w:pPr>
      <w:r>
        <w:t xml:space="preserve">This </w:t>
      </w:r>
      <w:r w:rsidR="000C717B">
        <w:t xml:space="preserve">data </w:t>
      </w:r>
      <w:r>
        <w:t xml:space="preserve">element will </w:t>
      </w:r>
      <w:r w:rsidR="000C717B">
        <w:t xml:space="preserve">utilize the Transaction Code field sent by </w:t>
      </w:r>
      <w:r w:rsidR="000C717B">
        <w:t>the MTF</w:t>
      </w:r>
      <w:r w:rsidR="000C717B">
        <w:t xml:space="preserve"> DM. The Primary Manufacturer will replace the Transaction Code value sent by </w:t>
      </w:r>
      <w:r w:rsidR="000C717B">
        <w:t>the MTF</w:t>
      </w:r>
      <w:r w:rsidR="000C717B">
        <w:t xml:space="preserve"> DM with a Transaction Code that indicates the intent of the claim-level payment elements.</w:t>
      </w:r>
    </w:p>
    <w:p w:rsidR="000C717B" w:rsidP="003C6934" w14:paraId="3E5940C4" w14:textId="00F034ED">
      <w:pPr>
        <w:pStyle w:val="ListParagraph"/>
        <w:numPr>
          <w:ilvl w:val="0"/>
          <w:numId w:val="15"/>
        </w:numPr>
      </w:pPr>
      <w:r>
        <w:t xml:space="preserve">Codes and values will be defined </w:t>
      </w:r>
      <w:r w:rsidRPr="00FC024F">
        <w:t>by CMS in technical instructions</w:t>
      </w:r>
      <w:r>
        <w:t>.</w:t>
      </w:r>
    </w:p>
    <w:tbl>
      <w:tblPr>
        <w:tblStyle w:val="TableGrid"/>
        <w:tblW w:w="0" w:type="auto"/>
        <w:tblLook w:val="04A0"/>
      </w:tblPr>
      <w:tblGrid>
        <w:gridCol w:w="4675"/>
        <w:gridCol w:w="4675"/>
      </w:tblGrid>
      <w:tr w14:paraId="12E739A4" w14:textId="77777777" w:rsidTr="00F33C11">
        <w:tblPrEx>
          <w:tblW w:w="0" w:type="auto"/>
          <w:tblLook w:val="04A0"/>
        </w:tblPrEx>
        <w:tc>
          <w:tcPr>
            <w:tcW w:w="4675" w:type="dxa"/>
          </w:tcPr>
          <w:p w:rsidR="00F33C11" w:rsidRPr="000F67A2" w:rsidP="00F33C11" w14:paraId="7648F178" w14:textId="0CD2D7EB">
            <w:pPr>
              <w:rPr>
                <w:b/>
                <w:bCs/>
              </w:rPr>
            </w:pPr>
            <w:r w:rsidRPr="000F67A2">
              <w:rPr>
                <w:b/>
                <w:bCs/>
                <w:u w:val="single"/>
              </w:rPr>
              <w:t>Field</w:t>
            </w:r>
          </w:p>
        </w:tc>
        <w:tc>
          <w:tcPr>
            <w:tcW w:w="4675" w:type="dxa"/>
          </w:tcPr>
          <w:p w:rsidR="00F33C11" w:rsidRPr="000F67A2" w:rsidP="00F33C11" w14:paraId="67646E45" w14:textId="0FB206C0">
            <w:pPr>
              <w:rPr>
                <w:b/>
                <w:bCs/>
              </w:rPr>
            </w:pPr>
            <w:r w:rsidRPr="000F67A2">
              <w:rPr>
                <w:b/>
                <w:bCs/>
                <w:u w:val="single"/>
              </w:rPr>
              <w:t>Response Format</w:t>
            </w:r>
          </w:p>
        </w:tc>
      </w:tr>
      <w:tr w14:paraId="74D490D2" w14:textId="77777777" w:rsidTr="00F33C11">
        <w:tblPrEx>
          <w:tblW w:w="0" w:type="auto"/>
          <w:tblLook w:val="04A0"/>
        </w:tblPrEx>
        <w:tc>
          <w:tcPr>
            <w:tcW w:w="4675" w:type="dxa"/>
          </w:tcPr>
          <w:p w:rsidR="00F33C11" w:rsidRPr="00FE4052" w:rsidP="00F33C11" w14:paraId="4B9B039F" w14:textId="3F259EB9">
            <w:r>
              <w:t>Transaction Code</w:t>
            </w:r>
            <w:r w:rsidRPr="00FE4052">
              <w:t xml:space="preserve"> </w:t>
            </w:r>
          </w:p>
        </w:tc>
        <w:tc>
          <w:tcPr>
            <w:tcW w:w="4675" w:type="dxa"/>
          </w:tcPr>
          <w:p w:rsidR="00F33C11" w:rsidRPr="00FE4052" w:rsidP="00F33C11" w14:paraId="14E6C9B3" w14:textId="2146F6CD">
            <w:r w:rsidRPr="000F67A2">
              <w:t>Numeric</w:t>
            </w:r>
          </w:p>
        </w:tc>
      </w:tr>
    </w:tbl>
    <w:p w:rsidR="00155AE9" w:rsidRPr="00155AE9" w:rsidP="00155AE9" w14:paraId="3A5C1BC2" w14:textId="611412C0">
      <w:pPr>
        <w:spacing w:after="0"/>
        <w:jc w:val="center"/>
        <w:rPr>
          <w:b/>
          <w:bCs/>
        </w:rPr>
      </w:pPr>
    </w:p>
    <w:p w:rsidR="00710795" w:rsidP="00F74CFB" w14:paraId="6554A540" w14:textId="001640B1">
      <w:pPr>
        <w:spacing w:after="0"/>
        <w:rPr>
          <w:u w:val="single"/>
        </w:rPr>
      </w:pPr>
      <w:r>
        <w:rPr>
          <w:u w:val="single"/>
        </w:rPr>
        <w:t>Attestation Statement</w:t>
      </w:r>
    </w:p>
    <w:p w:rsidR="00845534" w:rsidP="00F74CFB" w14:paraId="7B33FB47" w14:textId="32B62168">
      <w:r>
        <w:t xml:space="preserve">The information included in the payment elements transmitted in this submission </w:t>
      </w:r>
      <w:r w:rsidR="0098238A">
        <w:t>is</w:t>
      </w:r>
      <w:r>
        <w:t>,</w:t>
      </w:r>
      <w:r>
        <w:t xml:space="preserve"> to the best of this Primary Manufacturer’s knowledge, complete and accurate, and </w:t>
      </w:r>
      <w:r w:rsidR="0098238A">
        <w:rPr>
          <w:rFonts w:ascii="Aptos" w:eastAsia="Aptos" w:hAnsi="Aptos" w:cs="Times New Roman"/>
        </w:rPr>
        <w:t>was</w:t>
      </w:r>
      <w:r w:rsidRPr="006F2FF7">
        <w:rPr>
          <w:rFonts w:ascii="Aptos" w:eastAsia="Aptos" w:hAnsi="Aptos" w:cs="Times New Roman"/>
        </w:rPr>
        <w:t xml:space="preserve"> prepared in good faith and after reasonable efforts</w:t>
      </w:r>
      <w:r>
        <w:t xml:space="preserve">. </w:t>
      </w:r>
      <w:r w:rsidRPr="00761008" w:rsidR="00D30A31">
        <w:t xml:space="preserve">I understand the information contained in this submission is being provided to and will be relied upon by CMS </w:t>
      </w:r>
      <w:r w:rsidR="003835F7">
        <w:t xml:space="preserve">for </w:t>
      </w:r>
      <w:r w:rsidR="00E80B62">
        <w:rPr>
          <w:rFonts w:ascii="Aptos" w:eastAsia="Aptos" w:hAnsi="Aptos" w:cs="Times New Roman"/>
        </w:rPr>
        <w:t xml:space="preserve">administering the Negotiation Program, including </w:t>
      </w:r>
      <w:r w:rsidR="00E80B62">
        <w:rPr>
          <w:rFonts w:ascii="Aptos" w:eastAsia="Aptos" w:hAnsi="Aptos" w:cs="Times New Roman"/>
        </w:rPr>
        <w:t>to support</w:t>
      </w:r>
      <w:r w:rsidR="00E80B62">
        <w:rPr>
          <w:rFonts w:ascii="Aptos" w:eastAsia="Aptos" w:hAnsi="Aptos" w:cs="Times New Roman"/>
        </w:rPr>
        <w:t xml:space="preserve"> </w:t>
      </w:r>
      <w:r w:rsidRPr="00761008" w:rsidR="00D30A31">
        <w:t>effectuation of the MFP, in accordance with sections 1193(a) and 1196(b)</w:t>
      </w:r>
      <w:r w:rsidRPr="00761008" w:rsidR="00D30A31">
        <w:rPr>
          <w:i/>
          <w:iCs/>
        </w:rPr>
        <w:t xml:space="preserve"> </w:t>
      </w:r>
      <w:r w:rsidRPr="00761008" w:rsidR="00D30A31">
        <w:t xml:space="preserve">of the Social Security Act.  </w:t>
      </w:r>
      <w:r>
        <w:t xml:space="preserve">The Primary Manufacturer </w:t>
      </w:r>
      <w:r w:rsidR="00D30A31">
        <w:t>agree</w:t>
      </w:r>
      <w:r w:rsidR="008B3D2B">
        <w:t>s</w:t>
      </w:r>
      <w:r>
        <w:t xml:space="preserve"> to transmit </w:t>
      </w:r>
      <w:r w:rsidR="002D44B7">
        <w:t>corrected</w:t>
      </w:r>
      <w:r>
        <w:t xml:space="preserve"> payment elements should any error be identified within the submission.</w:t>
      </w:r>
      <w:r w:rsidR="00D30A31">
        <w:t xml:space="preserve"> </w:t>
      </w:r>
      <w:r w:rsidRPr="00761008" w:rsidR="00D30A31">
        <w:t>I also understand that any misrepresentations may give rise to liability, including under the False Claims Act</w:t>
      </w:r>
      <w:r w:rsidRPr="00EB073A" w:rsidR="00D30A31">
        <w:t>, and</w:t>
      </w:r>
      <w:r w:rsidR="00FD0EE3">
        <w:t xml:space="preserve"> may</w:t>
      </w:r>
      <w:r w:rsidRPr="00EB073A" w:rsidR="00D30A31">
        <w:t xml:space="preserve"> result in other enforcement action such as serving as the basis for civil monetary penalties and assessments</w:t>
      </w:r>
      <w:r w:rsidRPr="00761008" w:rsidR="00D30A31">
        <w:t>.</w:t>
      </w:r>
    </w:p>
    <w:p w:rsidR="00F74CFB" w:rsidRPr="002B5714" w:rsidP="00D537C6" w14:paraId="7F67EE33" w14:textId="54E9DFEF">
      <w:pPr>
        <w:rPr>
          <w:b/>
          <w:bCs/>
        </w:rPr>
      </w:pPr>
      <w:r w:rsidRPr="002B5714">
        <w:rPr>
          <w:b/>
          <w:bCs/>
        </w:rPr>
        <w:t>[ ] Acknowledge and Agree</w:t>
      </w:r>
    </w:p>
    <w:sectPr w:rsidSect="0010687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1142" w14:paraId="3829544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8694146"/>
      <w:docPartObj>
        <w:docPartGallery w:val="Page Numbers (Bottom of Page)"/>
        <w:docPartUnique/>
      </w:docPartObj>
    </w:sdtPr>
    <w:sdtEndPr>
      <w:rPr>
        <w:noProof/>
      </w:rPr>
    </w:sdtEndPr>
    <w:sdtContent>
      <w:p w:rsidR="00185EE7" w14:paraId="0EFDE0C0" w14:textId="0052DE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85EE7" w14:paraId="7275CA3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1142" w14:paraId="235978C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1142" w14:paraId="6FF10A9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6E97" w14:paraId="1354E00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1142" w14:paraId="50AB2A6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F0FDC"/>
    <w:multiLevelType w:val="hybridMultilevel"/>
    <w:tmpl w:val="27623C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917D69"/>
    <w:multiLevelType w:val="hybridMultilevel"/>
    <w:tmpl w:val="DA28AA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2C5523"/>
    <w:multiLevelType w:val="hybridMultilevel"/>
    <w:tmpl w:val="DB1C6F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A5019D"/>
    <w:multiLevelType w:val="multilevel"/>
    <w:tmpl w:val="2618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8940D6D"/>
    <w:multiLevelType w:val="hybridMultilevel"/>
    <w:tmpl w:val="A7BEB6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F1113B3"/>
    <w:multiLevelType w:val="hybridMultilevel"/>
    <w:tmpl w:val="B7E205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92C2FF1"/>
    <w:multiLevelType w:val="hybridMultilevel"/>
    <w:tmpl w:val="CD921084"/>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7">
    <w:nsid w:val="30811459"/>
    <w:multiLevelType w:val="multilevel"/>
    <w:tmpl w:val="A1CED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516484F"/>
    <w:multiLevelType w:val="hybridMultilevel"/>
    <w:tmpl w:val="319807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B15D06"/>
    <w:multiLevelType w:val="multilevel"/>
    <w:tmpl w:val="F5288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5C90149"/>
    <w:multiLevelType w:val="hybridMultilevel"/>
    <w:tmpl w:val="319807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658591C"/>
    <w:multiLevelType w:val="hybridMultilevel"/>
    <w:tmpl w:val="A14A3A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3EB0"/>
    <w:multiLevelType w:val="hybridMultilevel"/>
    <w:tmpl w:val="4C745E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F3C65FC"/>
    <w:multiLevelType w:val="multilevel"/>
    <w:tmpl w:val="6568B8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1700768"/>
    <w:multiLevelType w:val="hybridMultilevel"/>
    <w:tmpl w:val="D286EB2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8B618C7"/>
    <w:multiLevelType w:val="multilevel"/>
    <w:tmpl w:val="BA328ED6"/>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BF4685E"/>
    <w:multiLevelType w:val="hybridMultilevel"/>
    <w:tmpl w:val="5588DD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E7F6B2D"/>
    <w:multiLevelType w:val="hybridMultilevel"/>
    <w:tmpl w:val="DE10AC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79D506B"/>
    <w:multiLevelType w:val="hybridMultilevel"/>
    <w:tmpl w:val="8C38BA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AE819B6"/>
    <w:multiLevelType w:val="hybridMultilevel"/>
    <w:tmpl w:val="A42245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0E015CA"/>
    <w:multiLevelType w:val="multilevel"/>
    <w:tmpl w:val="3D04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22B2110"/>
    <w:multiLevelType w:val="hybridMultilevel"/>
    <w:tmpl w:val="19F29C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5870DC8"/>
    <w:multiLevelType w:val="multilevel"/>
    <w:tmpl w:val="AA0AE5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7C552BFD"/>
    <w:multiLevelType w:val="hybridMultilevel"/>
    <w:tmpl w:val="9E3E1F1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4">
    <w:nsid w:val="7D445C94"/>
    <w:multiLevelType w:val="multilevel"/>
    <w:tmpl w:val="A4CC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E29510D"/>
    <w:multiLevelType w:val="multilevel"/>
    <w:tmpl w:val="71A2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8377086">
    <w:abstractNumId w:val="14"/>
  </w:num>
  <w:num w:numId="2" w16cid:durableId="195045728">
    <w:abstractNumId w:val="2"/>
  </w:num>
  <w:num w:numId="3" w16cid:durableId="835000164">
    <w:abstractNumId w:val="1"/>
  </w:num>
  <w:num w:numId="4" w16cid:durableId="53507922">
    <w:abstractNumId w:val="18"/>
  </w:num>
  <w:num w:numId="5" w16cid:durableId="1173841423">
    <w:abstractNumId w:val="6"/>
  </w:num>
  <w:num w:numId="6" w16cid:durableId="1618830998">
    <w:abstractNumId w:val="7"/>
  </w:num>
  <w:num w:numId="7" w16cid:durableId="1268926153">
    <w:abstractNumId w:val="15"/>
  </w:num>
  <w:num w:numId="8" w16cid:durableId="1224213753">
    <w:abstractNumId w:val="9"/>
  </w:num>
  <w:num w:numId="9" w16cid:durableId="546987801">
    <w:abstractNumId w:val="22"/>
  </w:num>
  <w:num w:numId="10" w16cid:durableId="2030451829">
    <w:abstractNumId w:val="3"/>
  </w:num>
  <w:num w:numId="11" w16cid:durableId="1437822950">
    <w:abstractNumId w:val="24"/>
  </w:num>
  <w:num w:numId="12" w16cid:durableId="305739894">
    <w:abstractNumId w:val="25"/>
  </w:num>
  <w:num w:numId="13" w16cid:durableId="909196838">
    <w:abstractNumId w:val="13"/>
  </w:num>
  <w:num w:numId="14" w16cid:durableId="1815680298">
    <w:abstractNumId w:val="20"/>
  </w:num>
  <w:num w:numId="15" w16cid:durableId="688263799">
    <w:abstractNumId w:val="4"/>
  </w:num>
  <w:num w:numId="16" w16cid:durableId="1908295388">
    <w:abstractNumId w:val="5"/>
  </w:num>
  <w:num w:numId="17" w16cid:durableId="1946182207">
    <w:abstractNumId w:val="19"/>
  </w:num>
  <w:num w:numId="18" w16cid:durableId="2111653914">
    <w:abstractNumId w:val="17"/>
  </w:num>
  <w:num w:numId="19" w16cid:durableId="1013843804">
    <w:abstractNumId w:val="21"/>
  </w:num>
  <w:num w:numId="20" w16cid:durableId="187913273">
    <w:abstractNumId w:val="11"/>
  </w:num>
  <w:num w:numId="21" w16cid:durableId="1844391800">
    <w:abstractNumId w:val="23"/>
  </w:num>
  <w:num w:numId="22" w16cid:durableId="1274364230">
    <w:abstractNumId w:val="8"/>
  </w:num>
  <w:num w:numId="23" w16cid:durableId="1551646580">
    <w:abstractNumId w:val="10"/>
  </w:num>
  <w:num w:numId="24" w16cid:durableId="1253705917">
    <w:abstractNumId w:val="16"/>
  </w:num>
  <w:num w:numId="25" w16cid:durableId="1704330222">
    <w:abstractNumId w:val="0"/>
  </w:num>
  <w:num w:numId="26" w16cid:durableId="17885465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7C6"/>
    <w:rsid w:val="00002849"/>
    <w:rsid w:val="000063E4"/>
    <w:rsid w:val="00012685"/>
    <w:rsid w:val="00012B5A"/>
    <w:rsid w:val="0001771E"/>
    <w:rsid w:val="00017F8D"/>
    <w:rsid w:val="0002027B"/>
    <w:rsid w:val="00021E02"/>
    <w:rsid w:val="00024F91"/>
    <w:rsid w:val="0003477D"/>
    <w:rsid w:val="00037E94"/>
    <w:rsid w:val="00051C1A"/>
    <w:rsid w:val="000522F0"/>
    <w:rsid w:val="00055143"/>
    <w:rsid w:val="000561A8"/>
    <w:rsid w:val="00057EAE"/>
    <w:rsid w:val="00063607"/>
    <w:rsid w:val="00076026"/>
    <w:rsid w:val="00080C8C"/>
    <w:rsid w:val="00081972"/>
    <w:rsid w:val="00082CE7"/>
    <w:rsid w:val="0008616C"/>
    <w:rsid w:val="00091376"/>
    <w:rsid w:val="00095709"/>
    <w:rsid w:val="000A03EA"/>
    <w:rsid w:val="000A087A"/>
    <w:rsid w:val="000A36CF"/>
    <w:rsid w:val="000A6EDE"/>
    <w:rsid w:val="000A7E39"/>
    <w:rsid w:val="000B0705"/>
    <w:rsid w:val="000B5C33"/>
    <w:rsid w:val="000B6046"/>
    <w:rsid w:val="000C27E6"/>
    <w:rsid w:val="000C4746"/>
    <w:rsid w:val="000C717B"/>
    <w:rsid w:val="000D3C0C"/>
    <w:rsid w:val="000E2C68"/>
    <w:rsid w:val="000E42B3"/>
    <w:rsid w:val="000E7825"/>
    <w:rsid w:val="000F290C"/>
    <w:rsid w:val="000F2B48"/>
    <w:rsid w:val="000F67A2"/>
    <w:rsid w:val="000F76E3"/>
    <w:rsid w:val="001064BE"/>
    <w:rsid w:val="001064D7"/>
    <w:rsid w:val="0010651B"/>
    <w:rsid w:val="00106875"/>
    <w:rsid w:val="00113900"/>
    <w:rsid w:val="00116B00"/>
    <w:rsid w:val="00131701"/>
    <w:rsid w:val="001327DA"/>
    <w:rsid w:val="00134AEF"/>
    <w:rsid w:val="00135195"/>
    <w:rsid w:val="00141F37"/>
    <w:rsid w:val="00142BC8"/>
    <w:rsid w:val="0014355E"/>
    <w:rsid w:val="0014457D"/>
    <w:rsid w:val="0014699B"/>
    <w:rsid w:val="001555DF"/>
    <w:rsid w:val="00155AE9"/>
    <w:rsid w:val="00157056"/>
    <w:rsid w:val="00160875"/>
    <w:rsid w:val="001626E1"/>
    <w:rsid w:val="00163931"/>
    <w:rsid w:val="00164AE0"/>
    <w:rsid w:val="001771F8"/>
    <w:rsid w:val="00177C18"/>
    <w:rsid w:val="00182F64"/>
    <w:rsid w:val="00185EE7"/>
    <w:rsid w:val="00190B5E"/>
    <w:rsid w:val="00197133"/>
    <w:rsid w:val="00197FCC"/>
    <w:rsid w:val="001A12C5"/>
    <w:rsid w:val="001A2585"/>
    <w:rsid w:val="001A2CAE"/>
    <w:rsid w:val="001A3B87"/>
    <w:rsid w:val="001A4F10"/>
    <w:rsid w:val="001A7AA2"/>
    <w:rsid w:val="001B017E"/>
    <w:rsid w:val="001B434E"/>
    <w:rsid w:val="001C0881"/>
    <w:rsid w:val="001C529D"/>
    <w:rsid w:val="001C5391"/>
    <w:rsid w:val="001D0B33"/>
    <w:rsid w:val="001D1D98"/>
    <w:rsid w:val="001D40E4"/>
    <w:rsid w:val="001E0C8B"/>
    <w:rsid w:val="001E1AAE"/>
    <w:rsid w:val="001E5D49"/>
    <w:rsid w:val="001E61B6"/>
    <w:rsid w:val="001E626D"/>
    <w:rsid w:val="001E6340"/>
    <w:rsid w:val="001F00A3"/>
    <w:rsid w:val="001F26B4"/>
    <w:rsid w:val="001F3F06"/>
    <w:rsid w:val="001F43DF"/>
    <w:rsid w:val="001F5FDB"/>
    <w:rsid w:val="001F6CD5"/>
    <w:rsid w:val="001F71E8"/>
    <w:rsid w:val="00211123"/>
    <w:rsid w:val="0021448A"/>
    <w:rsid w:val="00214B50"/>
    <w:rsid w:val="00215444"/>
    <w:rsid w:val="002168AC"/>
    <w:rsid w:val="00220BAA"/>
    <w:rsid w:val="002213F5"/>
    <w:rsid w:val="002258BF"/>
    <w:rsid w:val="0022774C"/>
    <w:rsid w:val="00227C35"/>
    <w:rsid w:val="002369FB"/>
    <w:rsid w:val="00243207"/>
    <w:rsid w:val="00244541"/>
    <w:rsid w:val="002464D1"/>
    <w:rsid w:val="002467AD"/>
    <w:rsid w:val="00250B66"/>
    <w:rsid w:val="00252A18"/>
    <w:rsid w:val="00265487"/>
    <w:rsid w:val="002669AE"/>
    <w:rsid w:val="00266EDE"/>
    <w:rsid w:val="00267585"/>
    <w:rsid w:val="002676D7"/>
    <w:rsid w:val="002678E1"/>
    <w:rsid w:val="00272D5C"/>
    <w:rsid w:val="00282D52"/>
    <w:rsid w:val="00285BA2"/>
    <w:rsid w:val="002A135D"/>
    <w:rsid w:val="002A4626"/>
    <w:rsid w:val="002A47DC"/>
    <w:rsid w:val="002A6A50"/>
    <w:rsid w:val="002B2165"/>
    <w:rsid w:val="002B2C60"/>
    <w:rsid w:val="002B51CA"/>
    <w:rsid w:val="002B5714"/>
    <w:rsid w:val="002C0A3F"/>
    <w:rsid w:val="002C351E"/>
    <w:rsid w:val="002C3A33"/>
    <w:rsid w:val="002C5153"/>
    <w:rsid w:val="002D110B"/>
    <w:rsid w:val="002D1B0C"/>
    <w:rsid w:val="002D44B7"/>
    <w:rsid w:val="002D50FA"/>
    <w:rsid w:val="002D78BE"/>
    <w:rsid w:val="002D7BFC"/>
    <w:rsid w:val="002D7C91"/>
    <w:rsid w:val="002E1C82"/>
    <w:rsid w:val="002E1EB9"/>
    <w:rsid w:val="002E44F7"/>
    <w:rsid w:val="002E6608"/>
    <w:rsid w:val="002F168C"/>
    <w:rsid w:val="003002F8"/>
    <w:rsid w:val="00300F96"/>
    <w:rsid w:val="003012A1"/>
    <w:rsid w:val="003030A9"/>
    <w:rsid w:val="00307FEF"/>
    <w:rsid w:val="00312738"/>
    <w:rsid w:val="00312983"/>
    <w:rsid w:val="00312A4A"/>
    <w:rsid w:val="0032013F"/>
    <w:rsid w:val="003272A5"/>
    <w:rsid w:val="00330921"/>
    <w:rsid w:val="00331226"/>
    <w:rsid w:val="00332419"/>
    <w:rsid w:val="00334353"/>
    <w:rsid w:val="00334ED6"/>
    <w:rsid w:val="0034131D"/>
    <w:rsid w:val="003445E8"/>
    <w:rsid w:val="00345D31"/>
    <w:rsid w:val="00360862"/>
    <w:rsid w:val="00366CED"/>
    <w:rsid w:val="003677AB"/>
    <w:rsid w:val="00372DC6"/>
    <w:rsid w:val="003803F0"/>
    <w:rsid w:val="003835F7"/>
    <w:rsid w:val="00384428"/>
    <w:rsid w:val="00385DC6"/>
    <w:rsid w:val="003912F2"/>
    <w:rsid w:val="00391E0D"/>
    <w:rsid w:val="0039262F"/>
    <w:rsid w:val="00392B91"/>
    <w:rsid w:val="00393E44"/>
    <w:rsid w:val="00395DAF"/>
    <w:rsid w:val="00395E3D"/>
    <w:rsid w:val="003A240E"/>
    <w:rsid w:val="003A4493"/>
    <w:rsid w:val="003A67B0"/>
    <w:rsid w:val="003A6DCA"/>
    <w:rsid w:val="003A773E"/>
    <w:rsid w:val="003B6C95"/>
    <w:rsid w:val="003B6FB4"/>
    <w:rsid w:val="003C127F"/>
    <w:rsid w:val="003C17E7"/>
    <w:rsid w:val="003C292F"/>
    <w:rsid w:val="003C32CF"/>
    <w:rsid w:val="003C3F11"/>
    <w:rsid w:val="003C6934"/>
    <w:rsid w:val="003C6C5E"/>
    <w:rsid w:val="003C7F6F"/>
    <w:rsid w:val="003D06CF"/>
    <w:rsid w:val="003D1B9E"/>
    <w:rsid w:val="003D619E"/>
    <w:rsid w:val="003E580D"/>
    <w:rsid w:val="003E67E9"/>
    <w:rsid w:val="003E7499"/>
    <w:rsid w:val="003F2C6A"/>
    <w:rsid w:val="0040412E"/>
    <w:rsid w:val="00413894"/>
    <w:rsid w:val="0041457F"/>
    <w:rsid w:val="00415DF4"/>
    <w:rsid w:val="00417935"/>
    <w:rsid w:val="00423CF4"/>
    <w:rsid w:val="004247C8"/>
    <w:rsid w:val="00425814"/>
    <w:rsid w:val="00431111"/>
    <w:rsid w:val="00431D48"/>
    <w:rsid w:val="0043397F"/>
    <w:rsid w:val="00441785"/>
    <w:rsid w:val="00443265"/>
    <w:rsid w:val="00444ECD"/>
    <w:rsid w:val="00445CCA"/>
    <w:rsid w:val="00446C0A"/>
    <w:rsid w:val="00452E84"/>
    <w:rsid w:val="00454FFA"/>
    <w:rsid w:val="004557F9"/>
    <w:rsid w:val="004578FA"/>
    <w:rsid w:val="00457D4E"/>
    <w:rsid w:val="00461F8A"/>
    <w:rsid w:val="00464E82"/>
    <w:rsid w:val="00471440"/>
    <w:rsid w:val="00475DAB"/>
    <w:rsid w:val="00476485"/>
    <w:rsid w:val="00476D68"/>
    <w:rsid w:val="0048222B"/>
    <w:rsid w:val="00485BD5"/>
    <w:rsid w:val="00485C05"/>
    <w:rsid w:val="00492267"/>
    <w:rsid w:val="004928F7"/>
    <w:rsid w:val="00493E1A"/>
    <w:rsid w:val="004A02D3"/>
    <w:rsid w:val="004A0665"/>
    <w:rsid w:val="004A0904"/>
    <w:rsid w:val="004A1CBF"/>
    <w:rsid w:val="004A45CF"/>
    <w:rsid w:val="004A69EE"/>
    <w:rsid w:val="004A6E8E"/>
    <w:rsid w:val="004B3086"/>
    <w:rsid w:val="004B46E8"/>
    <w:rsid w:val="004B4758"/>
    <w:rsid w:val="004B6569"/>
    <w:rsid w:val="004B6EDA"/>
    <w:rsid w:val="004B7F3D"/>
    <w:rsid w:val="004C5B3C"/>
    <w:rsid w:val="004C78D4"/>
    <w:rsid w:val="004D18CD"/>
    <w:rsid w:val="004D66AB"/>
    <w:rsid w:val="004E0E36"/>
    <w:rsid w:val="004E16D8"/>
    <w:rsid w:val="004E4123"/>
    <w:rsid w:val="004F1CCC"/>
    <w:rsid w:val="004F331D"/>
    <w:rsid w:val="004F3BF4"/>
    <w:rsid w:val="004F57D6"/>
    <w:rsid w:val="004F5909"/>
    <w:rsid w:val="004F67D9"/>
    <w:rsid w:val="004F7E8B"/>
    <w:rsid w:val="00500742"/>
    <w:rsid w:val="005032FC"/>
    <w:rsid w:val="00510836"/>
    <w:rsid w:val="0051341D"/>
    <w:rsid w:val="00514C9B"/>
    <w:rsid w:val="00515E83"/>
    <w:rsid w:val="005205DE"/>
    <w:rsid w:val="00524F96"/>
    <w:rsid w:val="005321BE"/>
    <w:rsid w:val="00533F2C"/>
    <w:rsid w:val="00535793"/>
    <w:rsid w:val="00542E3F"/>
    <w:rsid w:val="005502FD"/>
    <w:rsid w:val="005507C0"/>
    <w:rsid w:val="00557D9E"/>
    <w:rsid w:val="00560121"/>
    <w:rsid w:val="005622FD"/>
    <w:rsid w:val="005646F9"/>
    <w:rsid w:val="00564DCE"/>
    <w:rsid w:val="00571142"/>
    <w:rsid w:val="0057414A"/>
    <w:rsid w:val="0057608F"/>
    <w:rsid w:val="005769CA"/>
    <w:rsid w:val="005825D3"/>
    <w:rsid w:val="00582657"/>
    <w:rsid w:val="00585CCA"/>
    <w:rsid w:val="00587117"/>
    <w:rsid w:val="005A2626"/>
    <w:rsid w:val="005A44DB"/>
    <w:rsid w:val="005A638E"/>
    <w:rsid w:val="005B104D"/>
    <w:rsid w:val="005B2356"/>
    <w:rsid w:val="005B6653"/>
    <w:rsid w:val="005C2665"/>
    <w:rsid w:val="005D2B52"/>
    <w:rsid w:val="005D5224"/>
    <w:rsid w:val="005E1B0E"/>
    <w:rsid w:val="005E6B62"/>
    <w:rsid w:val="005E6F10"/>
    <w:rsid w:val="005F3FFA"/>
    <w:rsid w:val="005F5B96"/>
    <w:rsid w:val="005F7702"/>
    <w:rsid w:val="0060431B"/>
    <w:rsid w:val="00607516"/>
    <w:rsid w:val="00621BCA"/>
    <w:rsid w:val="00623D2F"/>
    <w:rsid w:val="00625A9A"/>
    <w:rsid w:val="00625B88"/>
    <w:rsid w:val="00630D8F"/>
    <w:rsid w:val="00631AD0"/>
    <w:rsid w:val="00636281"/>
    <w:rsid w:val="00637418"/>
    <w:rsid w:val="0063780A"/>
    <w:rsid w:val="00641E26"/>
    <w:rsid w:val="00644BBE"/>
    <w:rsid w:val="006461F7"/>
    <w:rsid w:val="00646568"/>
    <w:rsid w:val="00646B60"/>
    <w:rsid w:val="00647B26"/>
    <w:rsid w:val="0065085E"/>
    <w:rsid w:val="00654F67"/>
    <w:rsid w:val="006563B9"/>
    <w:rsid w:val="00657032"/>
    <w:rsid w:val="0066065D"/>
    <w:rsid w:val="00662642"/>
    <w:rsid w:val="00662D8E"/>
    <w:rsid w:val="00663242"/>
    <w:rsid w:val="00670F79"/>
    <w:rsid w:val="00672970"/>
    <w:rsid w:val="00676495"/>
    <w:rsid w:val="00677E51"/>
    <w:rsid w:val="00685CFC"/>
    <w:rsid w:val="00687CF5"/>
    <w:rsid w:val="00690E25"/>
    <w:rsid w:val="00691EB0"/>
    <w:rsid w:val="006941F3"/>
    <w:rsid w:val="0069472D"/>
    <w:rsid w:val="00694CA5"/>
    <w:rsid w:val="006960E6"/>
    <w:rsid w:val="00696B3E"/>
    <w:rsid w:val="006979B8"/>
    <w:rsid w:val="006A2167"/>
    <w:rsid w:val="006A2E91"/>
    <w:rsid w:val="006A407D"/>
    <w:rsid w:val="006A506F"/>
    <w:rsid w:val="006A5C51"/>
    <w:rsid w:val="006A5CBC"/>
    <w:rsid w:val="006A6F6E"/>
    <w:rsid w:val="006A77BA"/>
    <w:rsid w:val="006B0E9B"/>
    <w:rsid w:val="006B2511"/>
    <w:rsid w:val="006B6500"/>
    <w:rsid w:val="006C1C42"/>
    <w:rsid w:val="006C5C72"/>
    <w:rsid w:val="006D04E3"/>
    <w:rsid w:val="006D192D"/>
    <w:rsid w:val="006D202E"/>
    <w:rsid w:val="006D4317"/>
    <w:rsid w:val="006D6947"/>
    <w:rsid w:val="006D7891"/>
    <w:rsid w:val="006E6EE8"/>
    <w:rsid w:val="006E765A"/>
    <w:rsid w:val="006E7CBA"/>
    <w:rsid w:val="006F018C"/>
    <w:rsid w:val="006F10DE"/>
    <w:rsid w:val="006F264E"/>
    <w:rsid w:val="006F2FF7"/>
    <w:rsid w:val="006F47BB"/>
    <w:rsid w:val="006F4AC3"/>
    <w:rsid w:val="006F6AAF"/>
    <w:rsid w:val="00700E2D"/>
    <w:rsid w:val="00710795"/>
    <w:rsid w:val="00713BE1"/>
    <w:rsid w:val="007150A8"/>
    <w:rsid w:val="0071627E"/>
    <w:rsid w:val="00720BB9"/>
    <w:rsid w:val="007262B4"/>
    <w:rsid w:val="00730004"/>
    <w:rsid w:val="00730692"/>
    <w:rsid w:val="00734AFF"/>
    <w:rsid w:val="007407BB"/>
    <w:rsid w:val="007501E4"/>
    <w:rsid w:val="0075109C"/>
    <w:rsid w:val="00752249"/>
    <w:rsid w:val="00752DD4"/>
    <w:rsid w:val="007546D1"/>
    <w:rsid w:val="00756059"/>
    <w:rsid w:val="00757077"/>
    <w:rsid w:val="00761008"/>
    <w:rsid w:val="0076173E"/>
    <w:rsid w:val="00762B8A"/>
    <w:rsid w:val="00763D47"/>
    <w:rsid w:val="007640EB"/>
    <w:rsid w:val="00764F8F"/>
    <w:rsid w:val="0076539B"/>
    <w:rsid w:val="007665A4"/>
    <w:rsid w:val="00770A5A"/>
    <w:rsid w:val="007726F8"/>
    <w:rsid w:val="00774193"/>
    <w:rsid w:val="00780D00"/>
    <w:rsid w:val="00784077"/>
    <w:rsid w:val="00785FDD"/>
    <w:rsid w:val="00787723"/>
    <w:rsid w:val="007941F0"/>
    <w:rsid w:val="00794618"/>
    <w:rsid w:val="0079474F"/>
    <w:rsid w:val="00794C48"/>
    <w:rsid w:val="007A5A23"/>
    <w:rsid w:val="007A6C28"/>
    <w:rsid w:val="007A6FA2"/>
    <w:rsid w:val="007B13FB"/>
    <w:rsid w:val="007B3049"/>
    <w:rsid w:val="007B3874"/>
    <w:rsid w:val="007C008D"/>
    <w:rsid w:val="007C4479"/>
    <w:rsid w:val="007C7B94"/>
    <w:rsid w:val="007C7E4B"/>
    <w:rsid w:val="007D3A6A"/>
    <w:rsid w:val="007D5A2C"/>
    <w:rsid w:val="007D67BC"/>
    <w:rsid w:val="007D7D78"/>
    <w:rsid w:val="007E0C57"/>
    <w:rsid w:val="007E39F1"/>
    <w:rsid w:val="007E7C20"/>
    <w:rsid w:val="007F2897"/>
    <w:rsid w:val="007F3444"/>
    <w:rsid w:val="007F4E08"/>
    <w:rsid w:val="00800908"/>
    <w:rsid w:val="00801579"/>
    <w:rsid w:val="00804D82"/>
    <w:rsid w:val="00806590"/>
    <w:rsid w:val="0080776D"/>
    <w:rsid w:val="008142A9"/>
    <w:rsid w:val="00815983"/>
    <w:rsid w:val="00822DD7"/>
    <w:rsid w:val="0082300E"/>
    <w:rsid w:val="0082417D"/>
    <w:rsid w:val="00833044"/>
    <w:rsid w:val="008339A3"/>
    <w:rsid w:val="0084060E"/>
    <w:rsid w:val="0084374A"/>
    <w:rsid w:val="00843852"/>
    <w:rsid w:val="00845534"/>
    <w:rsid w:val="008465B6"/>
    <w:rsid w:val="00846A3D"/>
    <w:rsid w:val="008478BC"/>
    <w:rsid w:val="00850EB4"/>
    <w:rsid w:val="00852A13"/>
    <w:rsid w:val="008542E7"/>
    <w:rsid w:val="00861040"/>
    <w:rsid w:val="00864AD8"/>
    <w:rsid w:val="008654DE"/>
    <w:rsid w:val="00866D29"/>
    <w:rsid w:val="00874FF0"/>
    <w:rsid w:val="00875436"/>
    <w:rsid w:val="00875928"/>
    <w:rsid w:val="00883B1C"/>
    <w:rsid w:val="008848A9"/>
    <w:rsid w:val="008868AD"/>
    <w:rsid w:val="0089131B"/>
    <w:rsid w:val="00897B1B"/>
    <w:rsid w:val="008A1D34"/>
    <w:rsid w:val="008A1DF0"/>
    <w:rsid w:val="008A2C1C"/>
    <w:rsid w:val="008A38B6"/>
    <w:rsid w:val="008A7B97"/>
    <w:rsid w:val="008B19D9"/>
    <w:rsid w:val="008B3D2B"/>
    <w:rsid w:val="008B78B8"/>
    <w:rsid w:val="008C6479"/>
    <w:rsid w:val="008D187D"/>
    <w:rsid w:val="008D1B8C"/>
    <w:rsid w:val="008D23D2"/>
    <w:rsid w:val="008D27A2"/>
    <w:rsid w:val="008D30B7"/>
    <w:rsid w:val="008D3305"/>
    <w:rsid w:val="008D5BEB"/>
    <w:rsid w:val="008D6C10"/>
    <w:rsid w:val="008D7632"/>
    <w:rsid w:val="008E2203"/>
    <w:rsid w:val="008E5EAE"/>
    <w:rsid w:val="008F123D"/>
    <w:rsid w:val="008F2000"/>
    <w:rsid w:val="008F3296"/>
    <w:rsid w:val="008F3F38"/>
    <w:rsid w:val="008F4768"/>
    <w:rsid w:val="008F657F"/>
    <w:rsid w:val="008F68C3"/>
    <w:rsid w:val="009000A0"/>
    <w:rsid w:val="009001F1"/>
    <w:rsid w:val="009014C1"/>
    <w:rsid w:val="00901CD2"/>
    <w:rsid w:val="009032DA"/>
    <w:rsid w:val="00904326"/>
    <w:rsid w:val="0090455D"/>
    <w:rsid w:val="009050B5"/>
    <w:rsid w:val="00905468"/>
    <w:rsid w:val="0091340A"/>
    <w:rsid w:val="009135A9"/>
    <w:rsid w:val="00920E22"/>
    <w:rsid w:val="009221C1"/>
    <w:rsid w:val="00926478"/>
    <w:rsid w:val="00926968"/>
    <w:rsid w:val="0092790D"/>
    <w:rsid w:val="00930E92"/>
    <w:rsid w:val="00936D2E"/>
    <w:rsid w:val="00937D86"/>
    <w:rsid w:val="00942EBF"/>
    <w:rsid w:val="00945A30"/>
    <w:rsid w:val="00947CCF"/>
    <w:rsid w:val="00950CE0"/>
    <w:rsid w:val="009519D7"/>
    <w:rsid w:val="00952D2A"/>
    <w:rsid w:val="0095657F"/>
    <w:rsid w:val="0095731E"/>
    <w:rsid w:val="009607C3"/>
    <w:rsid w:val="009614B7"/>
    <w:rsid w:val="00965EA9"/>
    <w:rsid w:val="00966759"/>
    <w:rsid w:val="00967123"/>
    <w:rsid w:val="00967B3B"/>
    <w:rsid w:val="009768E0"/>
    <w:rsid w:val="00981E22"/>
    <w:rsid w:val="0098238A"/>
    <w:rsid w:val="009825BF"/>
    <w:rsid w:val="00983B5A"/>
    <w:rsid w:val="009868BF"/>
    <w:rsid w:val="0099018A"/>
    <w:rsid w:val="00991C70"/>
    <w:rsid w:val="009924FA"/>
    <w:rsid w:val="0099510E"/>
    <w:rsid w:val="00996FA3"/>
    <w:rsid w:val="009A0E38"/>
    <w:rsid w:val="009A1961"/>
    <w:rsid w:val="009A2873"/>
    <w:rsid w:val="009A5EE0"/>
    <w:rsid w:val="009B51AB"/>
    <w:rsid w:val="009C24C5"/>
    <w:rsid w:val="009C24ED"/>
    <w:rsid w:val="009C55B3"/>
    <w:rsid w:val="009C589F"/>
    <w:rsid w:val="009C5905"/>
    <w:rsid w:val="009C6F34"/>
    <w:rsid w:val="009D4CCF"/>
    <w:rsid w:val="009D6C25"/>
    <w:rsid w:val="009D7B2B"/>
    <w:rsid w:val="009E01FC"/>
    <w:rsid w:val="009E1389"/>
    <w:rsid w:val="009E737B"/>
    <w:rsid w:val="009F125F"/>
    <w:rsid w:val="009F13B0"/>
    <w:rsid w:val="009F17DC"/>
    <w:rsid w:val="00A0401C"/>
    <w:rsid w:val="00A123BE"/>
    <w:rsid w:val="00A21094"/>
    <w:rsid w:val="00A22B74"/>
    <w:rsid w:val="00A278DE"/>
    <w:rsid w:val="00A32AC5"/>
    <w:rsid w:val="00A354E8"/>
    <w:rsid w:val="00A403E8"/>
    <w:rsid w:val="00A40F2D"/>
    <w:rsid w:val="00A42CA7"/>
    <w:rsid w:val="00A43C97"/>
    <w:rsid w:val="00A45107"/>
    <w:rsid w:val="00A47455"/>
    <w:rsid w:val="00A5460C"/>
    <w:rsid w:val="00A54E33"/>
    <w:rsid w:val="00A62C56"/>
    <w:rsid w:val="00A64C71"/>
    <w:rsid w:val="00A654D3"/>
    <w:rsid w:val="00A70DE7"/>
    <w:rsid w:val="00A81977"/>
    <w:rsid w:val="00A870B7"/>
    <w:rsid w:val="00A9640B"/>
    <w:rsid w:val="00AA4528"/>
    <w:rsid w:val="00AA4D1A"/>
    <w:rsid w:val="00AA7570"/>
    <w:rsid w:val="00AB2E7D"/>
    <w:rsid w:val="00AB382B"/>
    <w:rsid w:val="00AB49D8"/>
    <w:rsid w:val="00AC00EC"/>
    <w:rsid w:val="00AC1871"/>
    <w:rsid w:val="00AC4025"/>
    <w:rsid w:val="00AD2065"/>
    <w:rsid w:val="00AD2089"/>
    <w:rsid w:val="00AD37CA"/>
    <w:rsid w:val="00AD3836"/>
    <w:rsid w:val="00AD3CD6"/>
    <w:rsid w:val="00AD51C2"/>
    <w:rsid w:val="00AD778B"/>
    <w:rsid w:val="00AE39E5"/>
    <w:rsid w:val="00AE4F60"/>
    <w:rsid w:val="00AE6EE3"/>
    <w:rsid w:val="00AF22F7"/>
    <w:rsid w:val="00AF2CB6"/>
    <w:rsid w:val="00AF2E33"/>
    <w:rsid w:val="00AF36C4"/>
    <w:rsid w:val="00AF4A39"/>
    <w:rsid w:val="00AF500D"/>
    <w:rsid w:val="00AF5CB6"/>
    <w:rsid w:val="00AF75BA"/>
    <w:rsid w:val="00B00DE1"/>
    <w:rsid w:val="00B022CB"/>
    <w:rsid w:val="00B02338"/>
    <w:rsid w:val="00B042DD"/>
    <w:rsid w:val="00B04B4B"/>
    <w:rsid w:val="00B07B26"/>
    <w:rsid w:val="00B1774A"/>
    <w:rsid w:val="00B2028A"/>
    <w:rsid w:val="00B20C44"/>
    <w:rsid w:val="00B23359"/>
    <w:rsid w:val="00B24B59"/>
    <w:rsid w:val="00B26E16"/>
    <w:rsid w:val="00B346C4"/>
    <w:rsid w:val="00B41336"/>
    <w:rsid w:val="00B46173"/>
    <w:rsid w:val="00B50054"/>
    <w:rsid w:val="00B50780"/>
    <w:rsid w:val="00B50E02"/>
    <w:rsid w:val="00B713F7"/>
    <w:rsid w:val="00B740C3"/>
    <w:rsid w:val="00B75208"/>
    <w:rsid w:val="00B80D9F"/>
    <w:rsid w:val="00B839F8"/>
    <w:rsid w:val="00B956D5"/>
    <w:rsid w:val="00BB414F"/>
    <w:rsid w:val="00BB60FF"/>
    <w:rsid w:val="00BC5ED1"/>
    <w:rsid w:val="00BD2815"/>
    <w:rsid w:val="00BE742A"/>
    <w:rsid w:val="00BF4629"/>
    <w:rsid w:val="00BF6558"/>
    <w:rsid w:val="00BF7F84"/>
    <w:rsid w:val="00C025AA"/>
    <w:rsid w:val="00C0487A"/>
    <w:rsid w:val="00C057F0"/>
    <w:rsid w:val="00C06C0E"/>
    <w:rsid w:val="00C071A6"/>
    <w:rsid w:val="00C11BA3"/>
    <w:rsid w:val="00C1340B"/>
    <w:rsid w:val="00C17205"/>
    <w:rsid w:val="00C221EC"/>
    <w:rsid w:val="00C307CF"/>
    <w:rsid w:val="00C30A38"/>
    <w:rsid w:val="00C367F8"/>
    <w:rsid w:val="00C376DF"/>
    <w:rsid w:val="00C429B2"/>
    <w:rsid w:val="00C450B4"/>
    <w:rsid w:val="00C4707A"/>
    <w:rsid w:val="00C504E7"/>
    <w:rsid w:val="00C517F1"/>
    <w:rsid w:val="00C5429B"/>
    <w:rsid w:val="00C603AB"/>
    <w:rsid w:val="00C6510F"/>
    <w:rsid w:val="00C66F8E"/>
    <w:rsid w:val="00C672E8"/>
    <w:rsid w:val="00C6780C"/>
    <w:rsid w:val="00C678BE"/>
    <w:rsid w:val="00C70FCF"/>
    <w:rsid w:val="00C7565C"/>
    <w:rsid w:val="00C75841"/>
    <w:rsid w:val="00C75BB0"/>
    <w:rsid w:val="00C77587"/>
    <w:rsid w:val="00C77B7E"/>
    <w:rsid w:val="00C80396"/>
    <w:rsid w:val="00C820FF"/>
    <w:rsid w:val="00C84535"/>
    <w:rsid w:val="00C85317"/>
    <w:rsid w:val="00C8660B"/>
    <w:rsid w:val="00C92D9B"/>
    <w:rsid w:val="00C950F5"/>
    <w:rsid w:val="00C95261"/>
    <w:rsid w:val="00C96637"/>
    <w:rsid w:val="00C97BF7"/>
    <w:rsid w:val="00CA0700"/>
    <w:rsid w:val="00CA1193"/>
    <w:rsid w:val="00CA2986"/>
    <w:rsid w:val="00CA355D"/>
    <w:rsid w:val="00CA514D"/>
    <w:rsid w:val="00CB0FE6"/>
    <w:rsid w:val="00CB5E23"/>
    <w:rsid w:val="00CB6935"/>
    <w:rsid w:val="00CC2A13"/>
    <w:rsid w:val="00CD0140"/>
    <w:rsid w:val="00CD14E2"/>
    <w:rsid w:val="00CD7CA9"/>
    <w:rsid w:val="00CE17B9"/>
    <w:rsid w:val="00CE1CEB"/>
    <w:rsid w:val="00CE2D46"/>
    <w:rsid w:val="00CE3A90"/>
    <w:rsid w:val="00CE7C53"/>
    <w:rsid w:val="00CF2B66"/>
    <w:rsid w:val="00CF4DE8"/>
    <w:rsid w:val="00D00E1F"/>
    <w:rsid w:val="00D0136B"/>
    <w:rsid w:val="00D02649"/>
    <w:rsid w:val="00D02C79"/>
    <w:rsid w:val="00D02D2B"/>
    <w:rsid w:val="00D03C6F"/>
    <w:rsid w:val="00D04A74"/>
    <w:rsid w:val="00D05C60"/>
    <w:rsid w:val="00D115BF"/>
    <w:rsid w:val="00D11C0E"/>
    <w:rsid w:val="00D128AE"/>
    <w:rsid w:val="00D20784"/>
    <w:rsid w:val="00D260CF"/>
    <w:rsid w:val="00D2782B"/>
    <w:rsid w:val="00D27880"/>
    <w:rsid w:val="00D3039C"/>
    <w:rsid w:val="00D30A31"/>
    <w:rsid w:val="00D311F8"/>
    <w:rsid w:val="00D3576E"/>
    <w:rsid w:val="00D35CF7"/>
    <w:rsid w:val="00D442FD"/>
    <w:rsid w:val="00D44D91"/>
    <w:rsid w:val="00D45B93"/>
    <w:rsid w:val="00D468ED"/>
    <w:rsid w:val="00D47DDC"/>
    <w:rsid w:val="00D524F0"/>
    <w:rsid w:val="00D530A8"/>
    <w:rsid w:val="00D537C6"/>
    <w:rsid w:val="00D54070"/>
    <w:rsid w:val="00D57693"/>
    <w:rsid w:val="00D652EF"/>
    <w:rsid w:val="00D662DA"/>
    <w:rsid w:val="00D701E0"/>
    <w:rsid w:val="00D76F21"/>
    <w:rsid w:val="00D81A7D"/>
    <w:rsid w:val="00D82E8E"/>
    <w:rsid w:val="00D86FB9"/>
    <w:rsid w:val="00D92807"/>
    <w:rsid w:val="00D93F31"/>
    <w:rsid w:val="00D9479E"/>
    <w:rsid w:val="00D94B96"/>
    <w:rsid w:val="00DA2005"/>
    <w:rsid w:val="00DA4415"/>
    <w:rsid w:val="00DA486C"/>
    <w:rsid w:val="00DA713A"/>
    <w:rsid w:val="00DB1BDC"/>
    <w:rsid w:val="00DB27ED"/>
    <w:rsid w:val="00DB51F0"/>
    <w:rsid w:val="00DC4466"/>
    <w:rsid w:val="00DC500D"/>
    <w:rsid w:val="00DD0B1E"/>
    <w:rsid w:val="00DD0ED0"/>
    <w:rsid w:val="00DD328E"/>
    <w:rsid w:val="00DD622F"/>
    <w:rsid w:val="00DE0987"/>
    <w:rsid w:val="00DE0A90"/>
    <w:rsid w:val="00DE362E"/>
    <w:rsid w:val="00DE4F5A"/>
    <w:rsid w:val="00DE52EE"/>
    <w:rsid w:val="00DE57B1"/>
    <w:rsid w:val="00DF4174"/>
    <w:rsid w:val="00DF5585"/>
    <w:rsid w:val="00DF7139"/>
    <w:rsid w:val="00E01712"/>
    <w:rsid w:val="00E01B34"/>
    <w:rsid w:val="00E02CB9"/>
    <w:rsid w:val="00E06D95"/>
    <w:rsid w:val="00E07E36"/>
    <w:rsid w:val="00E1751F"/>
    <w:rsid w:val="00E21DBD"/>
    <w:rsid w:val="00E2370E"/>
    <w:rsid w:val="00E2454D"/>
    <w:rsid w:val="00E25087"/>
    <w:rsid w:val="00E33E9D"/>
    <w:rsid w:val="00E34D0F"/>
    <w:rsid w:val="00E355F0"/>
    <w:rsid w:val="00E375E4"/>
    <w:rsid w:val="00E41B26"/>
    <w:rsid w:val="00E427C9"/>
    <w:rsid w:val="00E4307D"/>
    <w:rsid w:val="00E508F7"/>
    <w:rsid w:val="00E56A9E"/>
    <w:rsid w:val="00E64C3C"/>
    <w:rsid w:val="00E66D18"/>
    <w:rsid w:val="00E71E56"/>
    <w:rsid w:val="00E730FD"/>
    <w:rsid w:val="00E749BE"/>
    <w:rsid w:val="00E765DE"/>
    <w:rsid w:val="00E76C33"/>
    <w:rsid w:val="00E76D61"/>
    <w:rsid w:val="00E76E97"/>
    <w:rsid w:val="00E800C4"/>
    <w:rsid w:val="00E80B62"/>
    <w:rsid w:val="00E81D1A"/>
    <w:rsid w:val="00E83511"/>
    <w:rsid w:val="00E84FD2"/>
    <w:rsid w:val="00E85E64"/>
    <w:rsid w:val="00E938F0"/>
    <w:rsid w:val="00E9489C"/>
    <w:rsid w:val="00EA0718"/>
    <w:rsid w:val="00EA4A83"/>
    <w:rsid w:val="00EB0581"/>
    <w:rsid w:val="00EB0582"/>
    <w:rsid w:val="00EB073A"/>
    <w:rsid w:val="00EB42B0"/>
    <w:rsid w:val="00EB5840"/>
    <w:rsid w:val="00EB6BD3"/>
    <w:rsid w:val="00EB6E1F"/>
    <w:rsid w:val="00EB742B"/>
    <w:rsid w:val="00EC2D48"/>
    <w:rsid w:val="00EC3B53"/>
    <w:rsid w:val="00EC640B"/>
    <w:rsid w:val="00ED23FC"/>
    <w:rsid w:val="00ED27BD"/>
    <w:rsid w:val="00ED4285"/>
    <w:rsid w:val="00ED4385"/>
    <w:rsid w:val="00ED731A"/>
    <w:rsid w:val="00ED7F67"/>
    <w:rsid w:val="00EE159B"/>
    <w:rsid w:val="00EE2631"/>
    <w:rsid w:val="00EE4FF1"/>
    <w:rsid w:val="00EF3AA9"/>
    <w:rsid w:val="00EF4D5D"/>
    <w:rsid w:val="00EF5D0A"/>
    <w:rsid w:val="00EF5E0A"/>
    <w:rsid w:val="00EF7D30"/>
    <w:rsid w:val="00F02E2B"/>
    <w:rsid w:val="00F07A95"/>
    <w:rsid w:val="00F1288C"/>
    <w:rsid w:val="00F176BB"/>
    <w:rsid w:val="00F201F8"/>
    <w:rsid w:val="00F205DE"/>
    <w:rsid w:val="00F20754"/>
    <w:rsid w:val="00F2622C"/>
    <w:rsid w:val="00F271A4"/>
    <w:rsid w:val="00F3140B"/>
    <w:rsid w:val="00F316A1"/>
    <w:rsid w:val="00F33C11"/>
    <w:rsid w:val="00F34934"/>
    <w:rsid w:val="00F36179"/>
    <w:rsid w:val="00F36FED"/>
    <w:rsid w:val="00F4069F"/>
    <w:rsid w:val="00F45A58"/>
    <w:rsid w:val="00F47EA7"/>
    <w:rsid w:val="00F56C42"/>
    <w:rsid w:val="00F56C48"/>
    <w:rsid w:val="00F60D03"/>
    <w:rsid w:val="00F61A44"/>
    <w:rsid w:val="00F635DF"/>
    <w:rsid w:val="00F709E7"/>
    <w:rsid w:val="00F72D37"/>
    <w:rsid w:val="00F74834"/>
    <w:rsid w:val="00F74CFB"/>
    <w:rsid w:val="00F77113"/>
    <w:rsid w:val="00F7721B"/>
    <w:rsid w:val="00F7787A"/>
    <w:rsid w:val="00F83C57"/>
    <w:rsid w:val="00F83DFE"/>
    <w:rsid w:val="00F843EC"/>
    <w:rsid w:val="00F86BA0"/>
    <w:rsid w:val="00F904AF"/>
    <w:rsid w:val="00F93DDF"/>
    <w:rsid w:val="00F958A2"/>
    <w:rsid w:val="00F97DBA"/>
    <w:rsid w:val="00FA268B"/>
    <w:rsid w:val="00FA529D"/>
    <w:rsid w:val="00FA5320"/>
    <w:rsid w:val="00FA5A97"/>
    <w:rsid w:val="00FA63B8"/>
    <w:rsid w:val="00FA6CB4"/>
    <w:rsid w:val="00FB167B"/>
    <w:rsid w:val="00FB17BD"/>
    <w:rsid w:val="00FB249A"/>
    <w:rsid w:val="00FB2BE8"/>
    <w:rsid w:val="00FB5270"/>
    <w:rsid w:val="00FB6664"/>
    <w:rsid w:val="00FC024F"/>
    <w:rsid w:val="00FC5FAA"/>
    <w:rsid w:val="00FD0614"/>
    <w:rsid w:val="00FD0EE3"/>
    <w:rsid w:val="00FD156B"/>
    <w:rsid w:val="00FD2E23"/>
    <w:rsid w:val="00FD3955"/>
    <w:rsid w:val="00FD496F"/>
    <w:rsid w:val="00FD5A30"/>
    <w:rsid w:val="00FD5E78"/>
    <w:rsid w:val="00FE4052"/>
    <w:rsid w:val="00FE4D9A"/>
    <w:rsid w:val="00FE6AC1"/>
    <w:rsid w:val="00FE78C7"/>
    <w:rsid w:val="00FF1619"/>
    <w:rsid w:val="00FF42A5"/>
    <w:rsid w:val="00FF517E"/>
    <w:rsid w:val="072C62F5"/>
    <w:rsid w:val="0F24198C"/>
    <w:rsid w:val="198BF851"/>
    <w:rsid w:val="31724A8E"/>
    <w:rsid w:val="39FDC9D3"/>
    <w:rsid w:val="7D811FF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61E8478"/>
  <w15:chartTrackingRefBased/>
  <w15:docId w15:val="{A737DFD7-840C-4467-B081-DF3BB0141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37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91C70"/>
    <w:pPr>
      <w:keepNext/>
      <w:keepLines/>
      <w:outlineLvl w:val="1"/>
    </w:pPr>
    <w:rPr>
      <w:rFonts w:eastAsiaTheme="majorEastAsia" w:cstheme="majorBidi"/>
      <w:b/>
      <w:bCs/>
    </w:rPr>
  </w:style>
  <w:style w:type="paragraph" w:styleId="Heading3">
    <w:name w:val="heading 3"/>
    <w:basedOn w:val="Normal"/>
    <w:next w:val="Normal"/>
    <w:link w:val="Heading3Char"/>
    <w:uiPriority w:val="9"/>
    <w:semiHidden/>
    <w:unhideWhenUsed/>
    <w:qFormat/>
    <w:rsid w:val="00D537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37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37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37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37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37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37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7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91C70"/>
    <w:rPr>
      <w:rFonts w:eastAsiaTheme="majorEastAsia" w:cstheme="majorBidi"/>
      <w:b/>
      <w:bCs/>
    </w:rPr>
  </w:style>
  <w:style w:type="character" w:customStyle="1" w:styleId="Heading3Char">
    <w:name w:val="Heading 3 Char"/>
    <w:basedOn w:val="DefaultParagraphFont"/>
    <w:link w:val="Heading3"/>
    <w:uiPriority w:val="9"/>
    <w:semiHidden/>
    <w:rsid w:val="00D537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37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37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37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7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7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7C6"/>
    <w:rPr>
      <w:rFonts w:eastAsiaTheme="majorEastAsia" w:cstheme="majorBidi"/>
      <w:color w:val="272727" w:themeColor="text1" w:themeTint="D8"/>
    </w:rPr>
  </w:style>
  <w:style w:type="paragraph" w:styleId="Title">
    <w:name w:val="Title"/>
    <w:basedOn w:val="Normal"/>
    <w:next w:val="Normal"/>
    <w:link w:val="TitleChar"/>
    <w:uiPriority w:val="10"/>
    <w:qFormat/>
    <w:rsid w:val="00D537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7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7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37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7C6"/>
    <w:pPr>
      <w:spacing w:before="160"/>
      <w:jc w:val="center"/>
    </w:pPr>
    <w:rPr>
      <w:i/>
      <w:iCs/>
      <w:color w:val="404040" w:themeColor="text1" w:themeTint="BF"/>
    </w:rPr>
  </w:style>
  <w:style w:type="character" w:customStyle="1" w:styleId="QuoteChar">
    <w:name w:val="Quote Char"/>
    <w:basedOn w:val="DefaultParagraphFont"/>
    <w:link w:val="Quote"/>
    <w:uiPriority w:val="29"/>
    <w:rsid w:val="00D537C6"/>
    <w:rPr>
      <w:i/>
      <w:iCs/>
      <w:color w:val="404040" w:themeColor="text1" w:themeTint="BF"/>
    </w:rPr>
  </w:style>
  <w:style w:type="paragraph" w:styleId="ListParagraph">
    <w:name w:val="List Paragraph"/>
    <w:basedOn w:val="Normal"/>
    <w:uiPriority w:val="34"/>
    <w:qFormat/>
    <w:rsid w:val="00D537C6"/>
    <w:pPr>
      <w:ind w:left="720"/>
      <w:contextualSpacing/>
    </w:pPr>
  </w:style>
  <w:style w:type="character" w:styleId="IntenseEmphasis">
    <w:name w:val="Intense Emphasis"/>
    <w:basedOn w:val="DefaultParagraphFont"/>
    <w:uiPriority w:val="21"/>
    <w:qFormat/>
    <w:rsid w:val="00D537C6"/>
    <w:rPr>
      <w:i/>
      <w:iCs/>
      <w:color w:val="0F4761" w:themeColor="accent1" w:themeShade="BF"/>
    </w:rPr>
  </w:style>
  <w:style w:type="paragraph" w:styleId="IntenseQuote">
    <w:name w:val="Intense Quote"/>
    <w:basedOn w:val="Normal"/>
    <w:next w:val="Normal"/>
    <w:link w:val="IntenseQuoteChar"/>
    <w:uiPriority w:val="30"/>
    <w:qFormat/>
    <w:rsid w:val="00D537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37C6"/>
    <w:rPr>
      <w:i/>
      <w:iCs/>
      <w:color w:val="0F4761" w:themeColor="accent1" w:themeShade="BF"/>
    </w:rPr>
  </w:style>
  <w:style w:type="character" w:styleId="IntenseReference">
    <w:name w:val="Intense Reference"/>
    <w:basedOn w:val="DefaultParagraphFont"/>
    <w:uiPriority w:val="32"/>
    <w:qFormat/>
    <w:rsid w:val="00D537C6"/>
    <w:rPr>
      <w:b/>
      <w:bCs/>
      <w:smallCaps/>
      <w:color w:val="0F4761" w:themeColor="accent1" w:themeShade="BF"/>
      <w:spacing w:val="5"/>
    </w:rPr>
  </w:style>
  <w:style w:type="table" w:styleId="TableGrid">
    <w:name w:val="Table Grid"/>
    <w:basedOn w:val="TableNormal"/>
    <w:uiPriority w:val="39"/>
    <w:rsid w:val="005D5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6E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E97"/>
  </w:style>
  <w:style w:type="paragraph" w:styleId="Footer">
    <w:name w:val="footer"/>
    <w:basedOn w:val="Normal"/>
    <w:link w:val="FooterChar"/>
    <w:uiPriority w:val="99"/>
    <w:unhideWhenUsed/>
    <w:rsid w:val="00E76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E97"/>
  </w:style>
  <w:style w:type="character" w:styleId="Hyperlink">
    <w:name w:val="Hyperlink"/>
    <w:basedOn w:val="DefaultParagraphFont"/>
    <w:uiPriority w:val="99"/>
    <w:unhideWhenUsed/>
    <w:rsid w:val="00967123"/>
    <w:rPr>
      <w:color w:val="467886" w:themeColor="hyperlink"/>
      <w:u w:val="single"/>
    </w:rPr>
  </w:style>
  <w:style w:type="character" w:styleId="UnresolvedMention">
    <w:name w:val="Unresolved Mention"/>
    <w:basedOn w:val="DefaultParagraphFont"/>
    <w:uiPriority w:val="99"/>
    <w:semiHidden/>
    <w:unhideWhenUsed/>
    <w:rsid w:val="00967123"/>
    <w:rPr>
      <w:color w:val="605E5C"/>
      <w:shd w:val="clear" w:color="auto" w:fill="E1DFDD"/>
    </w:rPr>
  </w:style>
  <w:style w:type="character" w:styleId="FollowedHyperlink">
    <w:name w:val="FollowedHyperlink"/>
    <w:basedOn w:val="DefaultParagraphFont"/>
    <w:uiPriority w:val="99"/>
    <w:semiHidden/>
    <w:unhideWhenUsed/>
    <w:rsid w:val="00485C05"/>
    <w:rPr>
      <w:color w:val="96607D" w:themeColor="followedHyperlink"/>
      <w:u w:val="single"/>
    </w:rPr>
  </w:style>
  <w:style w:type="character" w:styleId="CommentReference">
    <w:name w:val="annotation reference"/>
    <w:basedOn w:val="DefaultParagraphFont"/>
    <w:uiPriority w:val="99"/>
    <w:unhideWhenUsed/>
    <w:rsid w:val="00983B5A"/>
    <w:rPr>
      <w:sz w:val="16"/>
      <w:szCs w:val="16"/>
    </w:rPr>
  </w:style>
  <w:style w:type="paragraph" w:styleId="CommentText">
    <w:name w:val="annotation text"/>
    <w:aliases w:val="Times New Roman,t"/>
    <w:basedOn w:val="Normal"/>
    <w:link w:val="CommentTextChar"/>
    <w:uiPriority w:val="99"/>
    <w:unhideWhenUsed/>
    <w:qFormat/>
    <w:rsid w:val="00983B5A"/>
    <w:pPr>
      <w:spacing w:line="240" w:lineRule="auto"/>
    </w:pPr>
    <w:rPr>
      <w:sz w:val="20"/>
      <w:szCs w:val="20"/>
    </w:rPr>
  </w:style>
  <w:style w:type="character" w:customStyle="1" w:styleId="CommentTextChar">
    <w:name w:val="Comment Text Char"/>
    <w:aliases w:val="Times New Roman Char,t Char"/>
    <w:basedOn w:val="DefaultParagraphFont"/>
    <w:link w:val="CommentText"/>
    <w:uiPriority w:val="99"/>
    <w:rsid w:val="00983B5A"/>
    <w:rPr>
      <w:sz w:val="20"/>
      <w:szCs w:val="20"/>
    </w:rPr>
  </w:style>
  <w:style w:type="paragraph" w:styleId="CommentSubject">
    <w:name w:val="annotation subject"/>
    <w:basedOn w:val="CommentText"/>
    <w:next w:val="CommentText"/>
    <w:link w:val="CommentSubjectChar"/>
    <w:uiPriority w:val="99"/>
    <w:semiHidden/>
    <w:unhideWhenUsed/>
    <w:rsid w:val="00983B5A"/>
    <w:rPr>
      <w:b/>
      <w:bCs/>
    </w:rPr>
  </w:style>
  <w:style w:type="character" w:customStyle="1" w:styleId="CommentSubjectChar">
    <w:name w:val="Comment Subject Char"/>
    <w:basedOn w:val="CommentTextChar"/>
    <w:link w:val="CommentSubject"/>
    <w:uiPriority w:val="99"/>
    <w:semiHidden/>
    <w:rsid w:val="00983B5A"/>
    <w:rPr>
      <w:b/>
      <w:bCs/>
      <w:sz w:val="20"/>
      <w:szCs w:val="20"/>
    </w:rPr>
  </w:style>
  <w:style w:type="paragraph" w:styleId="Revision">
    <w:name w:val="Revision"/>
    <w:hidden/>
    <w:uiPriority w:val="99"/>
    <w:semiHidden/>
    <w:rsid w:val="00164AE0"/>
    <w:pPr>
      <w:spacing w:after="0" w:line="240" w:lineRule="auto"/>
    </w:pPr>
  </w:style>
  <w:style w:type="character" w:customStyle="1" w:styleId="IntenseReference1">
    <w:name w:val="Intense Reference1"/>
    <w:basedOn w:val="DefaultParagraphFont"/>
    <w:uiPriority w:val="32"/>
    <w:qFormat/>
    <w:rsid w:val="00C85317"/>
    <w:rPr>
      <w:b/>
      <w:bCs/>
      <w:smallCaps/>
      <w:color w:val="0F4761"/>
      <w:spacing w:val="5"/>
    </w:rPr>
  </w:style>
  <w:style w:type="paragraph" w:customStyle="1" w:styleId="Default">
    <w:name w:val="Default"/>
    <w:rsid w:val="00AF2CB6"/>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Mention">
    <w:name w:val="Mention"/>
    <w:basedOn w:val="DefaultParagraphFont"/>
    <w:uiPriority w:val="99"/>
    <w:unhideWhenUsed/>
    <w:rsid w:val="00F904AF"/>
    <w:rPr>
      <w:color w:val="2B579A"/>
      <w:shd w:val="clear" w:color="auto" w:fill="E1DFDD"/>
    </w:rPr>
  </w:style>
  <w:style w:type="character" w:customStyle="1" w:styleId="cf01">
    <w:name w:val="cf01"/>
    <w:basedOn w:val="DefaultParagraphFont"/>
    <w:rsid w:val="00EE263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RARebateandNegotiation@cms.hhs.gov" TargetMode="External" /><Relationship Id="rId9" Type="http://schemas.openxmlformats.org/officeDocument/2006/relationships/hyperlink" Target="https://www.cms.gov/inflation-reduction-act-and-medicare/medicare-drug-price-negoti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CFB001111E0D40A5A5A8E5C8A4E456" ma:contentTypeVersion="2" ma:contentTypeDescription="Create a new document." ma:contentTypeScope="" ma:versionID="ee71fa48bbf7a7812963082943a29fa7">
  <xsd:schema xmlns:xsd="http://www.w3.org/2001/XMLSchema" xmlns:xs="http://www.w3.org/2001/XMLSchema" xmlns:p="http://schemas.microsoft.com/office/2006/metadata/properties" xmlns:ns2="52674ffb-fe2d-4417-be1c-846b3a880163" targetNamespace="http://schemas.microsoft.com/office/2006/metadata/properties" ma:root="true" ma:fieldsID="6d568067832cd0b83d5ba79aa38cdd83" ns2:_="">
    <xsd:import namespace="52674ffb-fe2d-4417-be1c-846b3a8801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C6AE1-B4A7-48BA-872E-794375854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74E563-9483-47A3-B1B2-E83E925687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3D3478-B135-422C-A105-A9D7FDF9E37F}">
  <ds:schemaRefs>
    <ds:schemaRef ds:uri="http://schemas.microsoft.com/sharepoint/v3/contenttype/forms"/>
  </ds:schemaRefs>
</ds:datastoreItem>
</file>

<file path=customXml/itemProps4.xml><?xml version="1.0" encoding="utf-8"?>
<ds:datastoreItem xmlns:ds="http://schemas.openxmlformats.org/officeDocument/2006/customXml" ds:itemID="{604776E4-F718-4E5C-95F4-65D70586D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2098</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Barrs, Mercedes (CMS/CM)</dc:creator>
  <cp:lastModifiedBy>Parham, William (CMS/OSORA)</cp:lastModifiedBy>
  <cp:revision>2</cp:revision>
  <dcterms:created xsi:type="dcterms:W3CDTF">2025-05-09T18:00:00Z</dcterms:created>
  <dcterms:modified xsi:type="dcterms:W3CDTF">2025-05-09T18:00:00Z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0x010100EBCFB001111E0D40A5A5A8E5C8A4E456</vt:lpwstr>
  </property>
  <property fmtid="{D5CDD505-2E9C-101B-9397-08002B2CF9AE}" pid="3" name="GrammarlyDocumentId">
    <vt:lpwstr>2c14a6208ba4e66ee35006a13da0441096b057e2d33d862b4799972f1bcf20e3</vt:lpwstr>
  </property>
  <property fmtid="{D5CDD505-2E9C-101B-9397-08002B2CF9AE}" pid="4" name="MediaServiceImageTags">
    <vt:lpwstr/>
  </property>
</Properties>
</file>