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37E3" w:rsidP="00F13ECB" w14:paraId="367D158A" w14:textId="77777777">
      <w:pPr>
        <w:spacing w:after="0" w:line="240" w:lineRule="auto"/>
        <w:contextualSpacing/>
        <w:rPr>
          <w:rFonts w:ascii="Times New Roman" w:hAnsi="Times New Roman" w:cs="Times New Roman"/>
          <w:color w:val="000000" w:themeColor="text1"/>
          <w:sz w:val="24"/>
          <w:szCs w:val="24"/>
          <w:u w:val="single"/>
        </w:rPr>
      </w:pPr>
      <w:r w:rsidRPr="00F13ECB">
        <w:rPr>
          <w:rFonts w:ascii="Times New Roman" w:hAnsi="Times New Roman" w:cs="Times New Roman"/>
          <w:color w:val="000000" w:themeColor="text1"/>
          <w:sz w:val="24"/>
          <w:szCs w:val="24"/>
        </w:rPr>
        <w:t xml:space="preserve">Part B.  </w:t>
      </w:r>
      <w:r w:rsidRPr="00F13ECB">
        <w:rPr>
          <w:rFonts w:ascii="Times New Roman" w:hAnsi="Times New Roman" w:cs="Times New Roman"/>
          <w:color w:val="000000" w:themeColor="text1"/>
          <w:sz w:val="24"/>
          <w:szCs w:val="24"/>
          <w:u w:val="single"/>
        </w:rPr>
        <w:t>Statistical Methods</w:t>
      </w:r>
    </w:p>
    <w:p w:rsidR="006A6582" w:rsidRPr="00F13ECB" w:rsidP="00F13ECB" w14:paraId="7946C180" w14:textId="77777777">
      <w:pPr>
        <w:spacing w:after="0" w:line="240" w:lineRule="auto"/>
        <w:contextualSpacing/>
        <w:rPr>
          <w:rFonts w:ascii="Times New Roman" w:hAnsi="Times New Roman" w:cs="Times New Roman"/>
          <w:color w:val="000000" w:themeColor="text1"/>
          <w:sz w:val="24"/>
          <w:szCs w:val="24"/>
        </w:rPr>
      </w:pPr>
    </w:p>
    <w:p w:rsidR="002B37E3" w:rsidRPr="00F13ECB" w:rsidP="00F13ECB" w14:paraId="77B0297E" w14:textId="77777777">
      <w:pPr>
        <w:pStyle w:val="ListParagraph"/>
        <w:numPr>
          <w:ilvl w:val="0"/>
          <w:numId w:val="1"/>
        </w:numPr>
        <w:spacing w:after="0" w:line="240" w:lineRule="auto"/>
        <w:ind w:left="1080" w:hanging="54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u w:val="single"/>
        </w:rPr>
        <w:t>Response Universe</w:t>
      </w:r>
    </w:p>
    <w:p w:rsidR="002B37E3" w:rsidRPr="00F13ECB" w:rsidP="00F13ECB" w14:paraId="3C34C939" w14:textId="77777777">
      <w:pPr>
        <w:pStyle w:val="ListParagraph"/>
        <w:spacing w:after="0" w:line="240" w:lineRule="auto"/>
        <w:rPr>
          <w:rFonts w:ascii="Times New Roman" w:hAnsi="Times New Roman" w:cs="Times New Roman"/>
          <w:color w:val="000000" w:themeColor="text1"/>
          <w:sz w:val="24"/>
          <w:szCs w:val="24"/>
          <w:u w:val="single"/>
        </w:rPr>
      </w:pPr>
    </w:p>
    <w:p w:rsidR="002B37E3" w:rsidRPr="00E7439D" w:rsidP="007D415A" w14:paraId="501872B0" w14:textId="4534F729">
      <w:pPr>
        <w:pStyle w:val="ListParagraph"/>
        <w:spacing w:after="0" w:line="240" w:lineRule="auto"/>
        <w:ind w:left="1080" w:right="-9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 xml:space="preserve">The potential respondent universe </w:t>
      </w:r>
      <w:r w:rsidR="000F336F">
        <w:rPr>
          <w:rFonts w:ascii="Times New Roman" w:hAnsi="Times New Roman" w:cs="Times New Roman"/>
          <w:color w:val="000000" w:themeColor="text1"/>
          <w:sz w:val="24"/>
          <w:szCs w:val="24"/>
        </w:rPr>
        <w:t>for</w:t>
      </w:r>
      <w:r w:rsidRPr="00F13ECB">
        <w:rPr>
          <w:rFonts w:ascii="Times New Roman" w:hAnsi="Times New Roman" w:cs="Times New Roman"/>
          <w:color w:val="000000" w:themeColor="text1"/>
          <w:sz w:val="24"/>
          <w:szCs w:val="24"/>
        </w:rPr>
        <w:t xml:space="preserve"> the </w:t>
      </w:r>
      <w:r w:rsidRPr="00F13ECB">
        <w:rPr>
          <w:rFonts w:ascii="Times New Roman" w:hAnsi="Times New Roman" w:cs="Times New Roman"/>
          <w:i/>
          <w:color w:val="000000" w:themeColor="text1"/>
          <w:sz w:val="24"/>
          <w:szCs w:val="24"/>
        </w:rPr>
        <w:t>Number of Law Enforcement Employees as of October 31</w:t>
      </w:r>
      <w:r w:rsidRPr="00F13ECB">
        <w:rPr>
          <w:rFonts w:ascii="Times New Roman" w:hAnsi="Times New Roman" w:cs="Times New Roman"/>
          <w:color w:val="000000" w:themeColor="text1"/>
          <w:sz w:val="24"/>
          <w:szCs w:val="24"/>
        </w:rPr>
        <w:t xml:space="preserve"> </w:t>
      </w:r>
      <w:r w:rsidR="000F336F">
        <w:rPr>
          <w:rFonts w:ascii="Times New Roman" w:hAnsi="Times New Roman" w:cs="Times New Roman"/>
          <w:color w:val="000000" w:themeColor="text1"/>
          <w:sz w:val="24"/>
          <w:szCs w:val="24"/>
        </w:rPr>
        <w:t xml:space="preserve">Data Collection </w:t>
      </w:r>
      <w:r w:rsidRPr="00F13ECB">
        <w:rPr>
          <w:rFonts w:ascii="Times New Roman" w:hAnsi="Times New Roman" w:cs="Times New Roman"/>
          <w:color w:val="000000" w:themeColor="text1"/>
          <w:sz w:val="24"/>
          <w:szCs w:val="24"/>
        </w:rPr>
        <w:t>(OMB No. 1110-0004) includes all United States LEAs submitting data to the FBI</w:t>
      </w:r>
      <w:r w:rsidRPr="00F13ECB" w:rsidR="00F57D3C">
        <w:rPr>
          <w:rFonts w:ascii="Times New Roman" w:hAnsi="Times New Roman" w:cs="Times New Roman"/>
          <w:color w:val="000000" w:themeColor="text1"/>
          <w:sz w:val="24"/>
          <w:szCs w:val="24"/>
        </w:rPr>
        <w:t>’s</w:t>
      </w:r>
      <w:r w:rsidRPr="00F13ECB">
        <w:rPr>
          <w:rFonts w:ascii="Times New Roman" w:hAnsi="Times New Roman" w:cs="Times New Roman"/>
          <w:color w:val="000000" w:themeColor="text1"/>
          <w:sz w:val="24"/>
          <w:szCs w:val="24"/>
        </w:rPr>
        <w:t xml:space="preserve"> UCR Program.  During 202</w:t>
      </w:r>
      <w:r w:rsidR="0030474E">
        <w:rPr>
          <w:rFonts w:ascii="Times New Roman" w:hAnsi="Times New Roman" w:cs="Times New Roman"/>
          <w:color w:val="000000" w:themeColor="text1"/>
          <w:sz w:val="24"/>
          <w:szCs w:val="24"/>
        </w:rPr>
        <w:t>4</w:t>
      </w:r>
      <w:r w:rsidRPr="00F13ECB">
        <w:rPr>
          <w:rFonts w:ascii="Times New Roman" w:hAnsi="Times New Roman" w:cs="Times New Roman"/>
          <w:color w:val="000000" w:themeColor="text1"/>
          <w:sz w:val="24"/>
          <w:szCs w:val="24"/>
        </w:rPr>
        <w:t xml:space="preserve">, </w:t>
      </w:r>
      <w:r w:rsidR="007D415A">
        <w:rPr>
          <w:rFonts w:ascii="Times New Roman" w:hAnsi="Times New Roman" w:cs="Times New Roman"/>
          <w:color w:val="000000" w:themeColor="text1"/>
          <w:sz w:val="24"/>
          <w:szCs w:val="24"/>
        </w:rPr>
        <w:t xml:space="preserve">a total of </w:t>
      </w:r>
      <w:r w:rsidR="000F336F">
        <w:rPr>
          <w:rFonts w:ascii="Times New Roman" w:hAnsi="Times New Roman" w:cs="Times New Roman"/>
          <w:color w:val="000000" w:themeColor="text1"/>
          <w:sz w:val="24"/>
          <w:szCs w:val="24"/>
        </w:rPr>
        <w:t>15,080</w:t>
      </w:r>
      <w:r w:rsidRPr="00F13ECB">
        <w:rPr>
          <w:rFonts w:ascii="Times New Roman" w:hAnsi="Times New Roman" w:cs="Times New Roman"/>
          <w:color w:val="000000" w:themeColor="text1"/>
          <w:sz w:val="24"/>
          <w:szCs w:val="24"/>
        </w:rPr>
        <w:t xml:space="preserve"> LEAs voluntarily participated in the collection.  The LEAs consist of federal, state, local, tribal</w:t>
      </w:r>
      <w:r w:rsidRPr="00F13ECB" w:rsidR="00F57D3C">
        <w:rPr>
          <w:rFonts w:ascii="Times New Roman" w:hAnsi="Times New Roman" w:cs="Times New Roman"/>
          <w:color w:val="000000" w:themeColor="text1"/>
          <w:sz w:val="24"/>
          <w:szCs w:val="24"/>
        </w:rPr>
        <w:t>, and territorial</w:t>
      </w:r>
      <w:r w:rsidRPr="00F13ECB">
        <w:rPr>
          <w:rFonts w:ascii="Times New Roman" w:hAnsi="Times New Roman" w:cs="Times New Roman"/>
          <w:color w:val="000000" w:themeColor="text1"/>
          <w:sz w:val="24"/>
          <w:szCs w:val="24"/>
        </w:rPr>
        <w:t xml:space="preserve"> agencies that correlate to all population group sizes and have many diverse attributes.  These agencies include</w:t>
      </w:r>
      <w:r w:rsidRPr="00F13ECB" w:rsidR="00F57D3C">
        <w:rPr>
          <w:rFonts w:ascii="Times New Roman" w:hAnsi="Times New Roman" w:cs="Times New Roman"/>
          <w:color w:val="000000" w:themeColor="text1"/>
          <w:sz w:val="24"/>
          <w:szCs w:val="24"/>
        </w:rPr>
        <w:t xml:space="preserve"> </w:t>
      </w:r>
      <w:r w:rsidRPr="00F13ECB">
        <w:rPr>
          <w:rFonts w:ascii="Times New Roman" w:hAnsi="Times New Roman" w:cs="Times New Roman"/>
          <w:color w:val="000000" w:themeColor="text1"/>
          <w:sz w:val="24"/>
          <w:szCs w:val="24"/>
        </w:rPr>
        <w:t xml:space="preserve">a mix of population density and degrees of urbanization; various compositions of population; population mobility with respect to residents’ </w:t>
      </w:r>
      <w:r w:rsidRPr="0030474E">
        <w:rPr>
          <w:rFonts w:ascii="Times New Roman" w:hAnsi="Times New Roman" w:cs="Times New Roman"/>
          <w:color w:val="000000" w:themeColor="text1"/>
          <w:sz w:val="24"/>
          <w:szCs w:val="24"/>
        </w:rPr>
        <w:t xml:space="preserve">mobility, commuting patterns, and transient factors; different cultural factors and </w:t>
      </w:r>
      <w:r w:rsidRPr="00E7439D">
        <w:rPr>
          <w:rFonts w:ascii="Times New Roman" w:hAnsi="Times New Roman" w:cs="Times New Roman"/>
          <w:color w:val="000000" w:themeColor="text1"/>
          <w:sz w:val="24"/>
          <w:szCs w:val="24"/>
        </w:rPr>
        <w:t xml:space="preserve">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  </w:t>
      </w:r>
    </w:p>
    <w:p w:rsidR="002B37E3" w:rsidRPr="00E7439D" w:rsidP="00F13ECB" w14:paraId="54F4A1C1" w14:textId="77777777">
      <w:pPr>
        <w:pStyle w:val="ListParagraph"/>
        <w:spacing w:after="0" w:line="240" w:lineRule="auto"/>
        <w:ind w:left="1080"/>
        <w:rPr>
          <w:rFonts w:ascii="Times New Roman" w:hAnsi="Times New Roman" w:cs="Times New Roman"/>
          <w:color w:val="000000" w:themeColor="text1"/>
          <w:sz w:val="24"/>
          <w:szCs w:val="24"/>
        </w:rPr>
      </w:pPr>
    </w:p>
    <w:p w:rsidR="002B37E3" w:rsidRPr="00E7439D" w:rsidP="00F13ECB" w14:paraId="47EE3E75" w14:textId="04F6311B">
      <w:pPr>
        <w:pStyle w:val="ListParagraph"/>
        <w:spacing w:after="0" w:line="240" w:lineRule="auto"/>
        <w:ind w:left="1080"/>
        <w:rPr>
          <w:rFonts w:ascii="Times New Roman" w:hAnsi="Times New Roman" w:cs="Times New Roman"/>
          <w:color w:val="000000" w:themeColor="text1"/>
          <w:sz w:val="24"/>
          <w:szCs w:val="24"/>
        </w:rPr>
      </w:pPr>
      <w:r w:rsidRPr="00E7439D">
        <w:rPr>
          <w:rFonts w:ascii="Times New Roman" w:hAnsi="Times New Roman" w:cs="Times New Roman"/>
          <w:color w:val="000000" w:themeColor="text1"/>
          <w:sz w:val="24"/>
          <w:szCs w:val="24"/>
        </w:rPr>
        <w:t>The table below provides the total number of the UCR agencies wh</w:t>
      </w:r>
      <w:r w:rsidR="009A252C">
        <w:rPr>
          <w:rFonts w:ascii="Times New Roman" w:hAnsi="Times New Roman" w:cs="Times New Roman"/>
          <w:color w:val="000000" w:themeColor="text1"/>
          <w:sz w:val="24"/>
          <w:szCs w:val="24"/>
        </w:rPr>
        <w:t>ich</w:t>
      </w:r>
      <w:r w:rsidRPr="00E7439D">
        <w:rPr>
          <w:rFonts w:ascii="Times New Roman" w:hAnsi="Times New Roman" w:cs="Times New Roman"/>
          <w:color w:val="000000" w:themeColor="text1"/>
          <w:sz w:val="24"/>
          <w:szCs w:val="24"/>
        </w:rPr>
        <w:t xml:space="preserve"> provide</w:t>
      </w:r>
      <w:r w:rsidRPr="00E7439D" w:rsidR="0056470F">
        <w:rPr>
          <w:rFonts w:ascii="Times New Roman" w:hAnsi="Times New Roman" w:cs="Times New Roman"/>
          <w:color w:val="000000" w:themeColor="text1"/>
          <w:sz w:val="24"/>
          <w:szCs w:val="24"/>
        </w:rPr>
        <w:t>d</w:t>
      </w:r>
      <w:r w:rsidRPr="00E7439D">
        <w:rPr>
          <w:rFonts w:ascii="Times New Roman" w:hAnsi="Times New Roman" w:cs="Times New Roman"/>
          <w:color w:val="000000" w:themeColor="text1"/>
          <w:sz w:val="24"/>
          <w:szCs w:val="24"/>
        </w:rPr>
        <w:t xml:space="preserve"> </w:t>
      </w:r>
      <w:r w:rsidR="000F336F">
        <w:rPr>
          <w:rFonts w:ascii="Times New Roman" w:hAnsi="Times New Roman" w:cs="Times New Roman"/>
          <w:color w:val="000000" w:themeColor="text1"/>
          <w:sz w:val="24"/>
          <w:szCs w:val="24"/>
        </w:rPr>
        <w:t xml:space="preserve">law enforcement </w:t>
      </w:r>
      <w:r w:rsidRPr="00E7439D">
        <w:rPr>
          <w:rFonts w:ascii="Times New Roman" w:hAnsi="Times New Roman" w:cs="Times New Roman"/>
          <w:color w:val="000000" w:themeColor="text1"/>
          <w:sz w:val="24"/>
          <w:szCs w:val="24"/>
        </w:rPr>
        <w:t>employee data in 202</w:t>
      </w:r>
      <w:r w:rsidRPr="00E7439D" w:rsidR="0056470F">
        <w:rPr>
          <w:rFonts w:ascii="Times New Roman" w:hAnsi="Times New Roman" w:cs="Times New Roman"/>
          <w:color w:val="000000" w:themeColor="text1"/>
          <w:sz w:val="24"/>
          <w:szCs w:val="24"/>
        </w:rPr>
        <w:t>4.</w:t>
      </w:r>
    </w:p>
    <w:p w:rsidR="002B37E3" w:rsidRPr="00E7439D" w:rsidP="00F13ECB" w14:paraId="19DEE413" w14:textId="77777777">
      <w:pPr>
        <w:pStyle w:val="ListParagraph"/>
        <w:spacing w:after="0" w:line="240" w:lineRule="auto"/>
        <w:rPr>
          <w:rFonts w:ascii="Times New Roman" w:hAnsi="Times New Roman" w:cs="Times New Roman"/>
          <w:color w:val="000000" w:themeColor="text1"/>
          <w:sz w:val="24"/>
          <w:szCs w:val="24"/>
        </w:rPr>
      </w:pPr>
      <w:bookmarkStart w:id="0" w:name="_Hlk77840181"/>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4410"/>
        <w:gridCol w:w="1170"/>
        <w:gridCol w:w="1311"/>
      </w:tblGrid>
      <w:tr w14:paraId="3B5C5E33" w14:textId="77777777" w:rsidTr="00347C8D">
        <w:tblPrEx>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7971" w:type="dxa"/>
            <w:gridSpan w:val="4"/>
            <w:tcBorders>
              <w:left w:val="nil"/>
              <w:right w:val="nil"/>
            </w:tcBorders>
            <w:shd w:val="clear" w:color="auto" w:fill="auto"/>
            <w:vAlign w:val="center"/>
          </w:tcPr>
          <w:p w:rsidR="002B37E3" w:rsidRPr="00E7439D" w:rsidP="00347C8D" w14:paraId="16E07104" w14:textId="1CA7CCC6">
            <w:pPr>
              <w:spacing w:after="0" w:line="240" w:lineRule="auto"/>
              <w:contextualSpacing/>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Law Enforcement</w:t>
            </w:r>
            <w:r w:rsidRPr="00E7439D">
              <w:rPr>
                <w:rFonts w:ascii="Times New Roman" w:hAnsi="Times New Roman" w:cs="Times New Roman"/>
                <w:b/>
                <w:color w:val="000000" w:themeColor="text1"/>
                <w:sz w:val="20"/>
                <w:szCs w:val="20"/>
              </w:rPr>
              <w:t xml:space="preserve"> Employee Agencies, 20</w:t>
            </w:r>
            <w:r w:rsidRPr="00E7439D" w:rsidR="0030474E">
              <w:rPr>
                <w:rFonts w:ascii="Times New Roman" w:hAnsi="Times New Roman" w:cs="Times New Roman"/>
                <w:b/>
                <w:color w:val="000000" w:themeColor="text1"/>
                <w:sz w:val="20"/>
                <w:szCs w:val="20"/>
              </w:rPr>
              <w:t>24</w:t>
            </w:r>
          </w:p>
        </w:tc>
      </w:tr>
      <w:tr w14:paraId="5071C3E1" w14:textId="77777777" w:rsidTr="000D0A86">
        <w:tblPrEx>
          <w:tblW w:w="0" w:type="auto"/>
          <w:tblInd w:w="805" w:type="dxa"/>
          <w:tblLayout w:type="fixed"/>
          <w:tblLook w:val="04A0"/>
        </w:tblPrEx>
        <w:trPr>
          <w:trHeight w:val="288"/>
        </w:trPr>
        <w:tc>
          <w:tcPr>
            <w:tcW w:w="1080" w:type="dxa"/>
            <w:tcBorders>
              <w:left w:val="nil"/>
            </w:tcBorders>
            <w:shd w:val="clear" w:color="auto" w:fill="auto"/>
          </w:tcPr>
          <w:p w:rsidR="002B37E3" w:rsidRPr="00E7439D" w:rsidP="00F13ECB" w14:paraId="6196A9C2" w14:textId="77777777">
            <w:pPr>
              <w:spacing w:after="0" w:line="240" w:lineRule="auto"/>
              <w:contextualSpacing/>
              <w:rPr>
                <w:rFonts w:ascii="Times New Roman" w:hAnsi="Times New Roman" w:cs="Times New Roman"/>
                <w:b/>
                <w:color w:val="000000" w:themeColor="text1"/>
                <w:sz w:val="20"/>
                <w:szCs w:val="20"/>
              </w:rPr>
            </w:pPr>
          </w:p>
        </w:tc>
        <w:tc>
          <w:tcPr>
            <w:tcW w:w="4410" w:type="dxa"/>
            <w:tcBorders>
              <w:bottom w:val="single" w:sz="4" w:space="0" w:color="auto"/>
            </w:tcBorders>
            <w:shd w:val="clear" w:color="auto" w:fill="auto"/>
            <w:vAlign w:val="bottom"/>
          </w:tcPr>
          <w:p w:rsidR="002B37E3" w:rsidRPr="00E7439D" w:rsidP="003F18BC" w14:paraId="6BFB7282" w14:textId="77777777">
            <w:pPr>
              <w:spacing w:after="0" w:line="240" w:lineRule="auto"/>
              <w:contextualSpacing/>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Population Group</w:t>
            </w:r>
          </w:p>
        </w:tc>
        <w:tc>
          <w:tcPr>
            <w:tcW w:w="1170" w:type="dxa"/>
            <w:tcBorders>
              <w:bottom w:val="single" w:sz="4" w:space="0" w:color="auto"/>
            </w:tcBorders>
            <w:shd w:val="clear" w:color="auto" w:fill="auto"/>
            <w:vAlign w:val="bottom"/>
          </w:tcPr>
          <w:p w:rsidR="002B37E3" w:rsidRPr="00E7439D" w:rsidP="003F18BC" w14:paraId="2864C8CF" w14:textId="77777777">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Number of Agencies</w:t>
            </w:r>
          </w:p>
        </w:tc>
        <w:tc>
          <w:tcPr>
            <w:tcW w:w="1311" w:type="dxa"/>
            <w:tcBorders>
              <w:bottom w:val="single" w:sz="4" w:space="0" w:color="auto"/>
              <w:right w:val="nil"/>
            </w:tcBorders>
            <w:shd w:val="clear" w:color="auto" w:fill="auto"/>
            <w:vAlign w:val="bottom"/>
          </w:tcPr>
          <w:p w:rsidR="002B37E3" w:rsidRPr="00E7439D" w:rsidP="003F18BC" w14:paraId="3D78701C" w14:textId="77777777">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Population Covered</w:t>
            </w:r>
          </w:p>
        </w:tc>
      </w:tr>
      <w:tr w14:paraId="1BB4A8F6" w14:textId="77777777" w:rsidTr="000D0A86">
        <w:tblPrEx>
          <w:tblW w:w="0" w:type="auto"/>
          <w:tblInd w:w="805" w:type="dxa"/>
          <w:tblLayout w:type="fixed"/>
          <w:tblLook w:val="04A0"/>
        </w:tblPrEx>
        <w:trPr>
          <w:trHeight w:val="288"/>
        </w:trPr>
        <w:tc>
          <w:tcPr>
            <w:tcW w:w="1080" w:type="dxa"/>
            <w:vMerge w:val="restart"/>
            <w:tcBorders>
              <w:left w:val="nil"/>
            </w:tcBorders>
            <w:shd w:val="clear" w:color="auto" w:fill="auto"/>
          </w:tcPr>
          <w:p w:rsidR="002B37E3" w:rsidRPr="00E7439D" w:rsidP="00F13ECB" w14:paraId="3774632F" w14:textId="77777777">
            <w:pPr>
              <w:spacing w:after="0" w:line="240" w:lineRule="auto"/>
              <w:contextualSpacing/>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Cities</w:t>
            </w:r>
          </w:p>
        </w:tc>
        <w:tc>
          <w:tcPr>
            <w:tcW w:w="4410" w:type="dxa"/>
            <w:tcBorders>
              <w:bottom w:val="nil"/>
            </w:tcBorders>
            <w:shd w:val="clear" w:color="auto" w:fill="auto"/>
            <w:vAlign w:val="center"/>
          </w:tcPr>
          <w:p w:rsidR="002B37E3" w:rsidRPr="00E7439D" w:rsidP="000D0A86" w14:paraId="070DD0C1" w14:textId="77777777">
            <w:pPr>
              <w:spacing w:after="0" w:line="240" w:lineRule="auto"/>
              <w:contextualSpacing/>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Group I (250,000 inhabitants and more)</w:t>
            </w:r>
          </w:p>
        </w:tc>
        <w:tc>
          <w:tcPr>
            <w:tcW w:w="1170" w:type="dxa"/>
            <w:tcBorders>
              <w:bottom w:val="nil"/>
            </w:tcBorders>
            <w:shd w:val="clear" w:color="auto" w:fill="auto"/>
            <w:vAlign w:val="center"/>
          </w:tcPr>
          <w:p w:rsidR="002B37E3" w:rsidRPr="00E7439D" w:rsidP="000D0A86" w14:paraId="380E24F3" w14:textId="3190992B">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87</w:t>
            </w:r>
          </w:p>
        </w:tc>
        <w:tc>
          <w:tcPr>
            <w:tcW w:w="1311" w:type="dxa"/>
            <w:tcBorders>
              <w:bottom w:val="nil"/>
              <w:right w:val="nil"/>
            </w:tcBorders>
            <w:shd w:val="clear" w:color="auto" w:fill="auto"/>
            <w:vAlign w:val="center"/>
          </w:tcPr>
          <w:p w:rsidR="002B37E3" w:rsidRPr="00E7439D" w:rsidP="000D0A86" w14:paraId="11AC57E5" w14:textId="2737C89C">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63</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366</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570</w:t>
            </w:r>
          </w:p>
        </w:tc>
      </w:tr>
      <w:tr w14:paraId="19DE2C9B" w14:textId="77777777" w:rsidTr="000D0A86">
        <w:tblPrEx>
          <w:tblW w:w="0" w:type="auto"/>
          <w:tblInd w:w="805" w:type="dxa"/>
          <w:tblLayout w:type="fixed"/>
          <w:tblLook w:val="04A0"/>
        </w:tblPrEx>
        <w:trPr>
          <w:trHeight w:val="144"/>
        </w:trPr>
        <w:tc>
          <w:tcPr>
            <w:tcW w:w="1080" w:type="dxa"/>
            <w:vMerge/>
            <w:tcBorders>
              <w:left w:val="nil"/>
            </w:tcBorders>
          </w:tcPr>
          <w:p w:rsidR="002B37E3" w:rsidRPr="00E7439D" w:rsidP="00F13ECB" w14:paraId="7CC2A4C1" w14:textId="77777777">
            <w:pPr>
              <w:spacing w:after="0" w:line="240" w:lineRule="auto"/>
              <w:contextualSpacing/>
              <w:rPr>
                <w:rFonts w:ascii="Times New Roman" w:hAnsi="Times New Roman" w:cs="Times New Roman"/>
                <w:b/>
                <w:color w:val="000000" w:themeColor="text1"/>
                <w:sz w:val="20"/>
                <w:szCs w:val="20"/>
              </w:rPr>
            </w:pPr>
          </w:p>
        </w:tc>
        <w:tc>
          <w:tcPr>
            <w:tcW w:w="4410" w:type="dxa"/>
            <w:tcBorders>
              <w:top w:val="nil"/>
              <w:bottom w:val="nil"/>
            </w:tcBorders>
            <w:shd w:val="clear" w:color="auto" w:fill="auto"/>
            <w:vAlign w:val="center"/>
          </w:tcPr>
          <w:p w:rsidR="002B37E3" w:rsidRPr="00E7439D" w:rsidP="000D0A86" w14:paraId="52377394" w14:textId="77777777">
            <w:pPr>
              <w:spacing w:after="0" w:line="240" w:lineRule="auto"/>
              <w:contextualSpacing/>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Group II (100,000 to 249,999 inhabitants)</w:t>
            </w:r>
          </w:p>
        </w:tc>
        <w:tc>
          <w:tcPr>
            <w:tcW w:w="1170" w:type="dxa"/>
            <w:tcBorders>
              <w:top w:val="nil"/>
              <w:bottom w:val="nil"/>
            </w:tcBorders>
            <w:shd w:val="clear" w:color="auto" w:fill="auto"/>
            <w:vAlign w:val="center"/>
          </w:tcPr>
          <w:p w:rsidR="002B37E3" w:rsidRPr="00E7439D" w:rsidP="000D0A86" w14:paraId="3459CB29" w14:textId="593E4CD6">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224</w:t>
            </w:r>
          </w:p>
        </w:tc>
        <w:tc>
          <w:tcPr>
            <w:tcW w:w="1311" w:type="dxa"/>
            <w:tcBorders>
              <w:top w:val="nil"/>
              <w:bottom w:val="nil"/>
              <w:right w:val="nil"/>
            </w:tcBorders>
            <w:shd w:val="clear" w:color="auto" w:fill="auto"/>
            <w:vAlign w:val="center"/>
          </w:tcPr>
          <w:p w:rsidR="002B37E3" w:rsidRPr="00E7439D" w:rsidP="000D0A86" w14:paraId="73D3A7ED" w14:textId="2217D626">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32</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580</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689</w:t>
            </w:r>
          </w:p>
        </w:tc>
      </w:tr>
      <w:tr w14:paraId="62EF6DC1" w14:textId="77777777" w:rsidTr="000D0A86">
        <w:tblPrEx>
          <w:tblW w:w="0" w:type="auto"/>
          <w:tblInd w:w="805" w:type="dxa"/>
          <w:tblLayout w:type="fixed"/>
          <w:tblLook w:val="04A0"/>
        </w:tblPrEx>
        <w:trPr>
          <w:trHeight w:val="288"/>
        </w:trPr>
        <w:tc>
          <w:tcPr>
            <w:tcW w:w="1080" w:type="dxa"/>
            <w:vMerge/>
            <w:tcBorders>
              <w:left w:val="nil"/>
            </w:tcBorders>
          </w:tcPr>
          <w:p w:rsidR="002B37E3" w:rsidRPr="00E7439D" w:rsidP="00F13ECB" w14:paraId="7B61F35F" w14:textId="77777777">
            <w:pPr>
              <w:spacing w:after="0" w:line="240" w:lineRule="auto"/>
              <w:contextualSpacing/>
              <w:rPr>
                <w:rFonts w:ascii="Times New Roman" w:hAnsi="Times New Roman" w:cs="Times New Roman"/>
                <w:b/>
                <w:color w:val="000000" w:themeColor="text1"/>
                <w:sz w:val="20"/>
                <w:szCs w:val="20"/>
              </w:rPr>
            </w:pPr>
          </w:p>
        </w:tc>
        <w:tc>
          <w:tcPr>
            <w:tcW w:w="4410" w:type="dxa"/>
            <w:tcBorders>
              <w:top w:val="nil"/>
              <w:bottom w:val="nil"/>
            </w:tcBorders>
            <w:shd w:val="clear" w:color="auto" w:fill="auto"/>
            <w:vAlign w:val="center"/>
          </w:tcPr>
          <w:p w:rsidR="002B37E3" w:rsidRPr="00E7439D" w:rsidP="000D0A86" w14:paraId="77C28522" w14:textId="77777777">
            <w:pPr>
              <w:spacing w:after="0" w:line="240" w:lineRule="auto"/>
              <w:contextualSpacing/>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Group III (50,000 to 99,999 inhabitants)</w:t>
            </w:r>
          </w:p>
        </w:tc>
        <w:tc>
          <w:tcPr>
            <w:tcW w:w="1170" w:type="dxa"/>
            <w:tcBorders>
              <w:top w:val="nil"/>
              <w:bottom w:val="nil"/>
            </w:tcBorders>
            <w:shd w:val="clear" w:color="auto" w:fill="auto"/>
            <w:vAlign w:val="center"/>
          </w:tcPr>
          <w:p w:rsidR="002B37E3" w:rsidRPr="00E7439D" w:rsidP="000D0A86" w14:paraId="7C7A72D7" w14:textId="513FFF77">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466</w:t>
            </w:r>
          </w:p>
        </w:tc>
        <w:tc>
          <w:tcPr>
            <w:tcW w:w="1311" w:type="dxa"/>
            <w:tcBorders>
              <w:top w:val="nil"/>
              <w:bottom w:val="nil"/>
              <w:right w:val="nil"/>
            </w:tcBorders>
            <w:shd w:val="clear" w:color="auto" w:fill="auto"/>
            <w:vAlign w:val="center"/>
          </w:tcPr>
          <w:p w:rsidR="002B37E3" w:rsidRPr="00E7439D" w:rsidP="000D0A86" w14:paraId="0094AE4D" w14:textId="077F429B">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32</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518</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146</w:t>
            </w:r>
          </w:p>
        </w:tc>
      </w:tr>
      <w:tr w14:paraId="733F3C79" w14:textId="77777777" w:rsidTr="000D0A86">
        <w:tblPrEx>
          <w:tblW w:w="0" w:type="auto"/>
          <w:tblInd w:w="805" w:type="dxa"/>
          <w:tblLayout w:type="fixed"/>
          <w:tblLook w:val="04A0"/>
        </w:tblPrEx>
        <w:trPr>
          <w:trHeight w:val="288"/>
        </w:trPr>
        <w:tc>
          <w:tcPr>
            <w:tcW w:w="1080" w:type="dxa"/>
            <w:vMerge/>
            <w:tcBorders>
              <w:left w:val="nil"/>
            </w:tcBorders>
          </w:tcPr>
          <w:p w:rsidR="002B37E3" w:rsidRPr="00E7439D" w:rsidP="00F13ECB" w14:paraId="16525E48" w14:textId="77777777">
            <w:pPr>
              <w:spacing w:after="0" w:line="240" w:lineRule="auto"/>
              <w:contextualSpacing/>
              <w:rPr>
                <w:rFonts w:ascii="Times New Roman" w:hAnsi="Times New Roman" w:cs="Times New Roman"/>
                <w:b/>
                <w:color w:val="000000" w:themeColor="text1"/>
                <w:sz w:val="20"/>
                <w:szCs w:val="20"/>
              </w:rPr>
            </w:pPr>
          </w:p>
        </w:tc>
        <w:tc>
          <w:tcPr>
            <w:tcW w:w="4410" w:type="dxa"/>
            <w:tcBorders>
              <w:top w:val="nil"/>
              <w:bottom w:val="nil"/>
            </w:tcBorders>
            <w:shd w:val="clear" w:color="auto" w:fill="auto"/>
            <w:vAlign w:val="center"/>
          </w:tcPr>
          <w:p w:rsidR="002B37E3" w:rsidRPr="00E7439D" w:rsidP="000D0A86" w14:paraId="70F7B4F0" w14:textId="77777777">
            <w:pPr>
              <w:spacing w:after="0" w:line="240" w:lineRule="auto"/>
              <w:contextualSpacing/>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Group IV (25,000 to 49,999 inhabitants)</w:t>
            </w:r>
          </w:p>
        </w:tc>
        <w:tc>
          <w:tcPr>
            <w:tcW w:w="1170" w:type="dxa"/>
            <w:tcBorders>
              <w:top w:val="nil"/>
              <w:bottom w:val="nil"/>
            </w:tcBorders>
            <w:shd w:val="clear" w:color="auto" w:fill="auto"/>
            <w:vAlign w:val="center"/>
          </w:tcPr>
          <w:p w:rsidR="002B37E3" w:rsidRPr="00E7439D" w:rsidP="000D0A86" w14:paraId="69E551A6" w14:textId="5561F7D4">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830</w:t>
            </w:r>
          </w:p>
        </w:tc>
        <w:tc>
          <w:tcPr>
            <w:tcW w:w="1311" w:type="dxa"/>
            <w:tcBorders>
              <w:top w:val="nil"/>
              <w:bottom w:val="nil"/>
              <w:right w:val="nil"/>
            </w:tcBorders>
            <w:shd w:val="clear" w:color="auto" w:fill="auto"/>
            <w:vAlign w:val="center"/>
          </w:tcPr>
          <w:p w:rsidR="002B37E3" w:rsidRPr="00E7439D" w:rsidP="000D0A86" w14:paraId="1D7A2DE4" w14:textId="382ADCC5">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28</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668</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691</w:t>
            </w:r>
          </w:p>
        </w:tc>
      </w:tr>
      <w:tr w14:paraId="675FD476" w14:textId="77777777" w:rsidTr="000D0A86">
        <w:tblPrEx>
          <w:tblW w:w="0" w:type="auto"/>
          <w:tblInd w:w="805" w:type="dxa"/>
          <w:tblLayout w:type="fixed"/>
          <w:tblLook w:val="04A0"/>
        </w:tblPrEx>
        <w:trPr>
          <w:trHeight w:val="288"/>
        </w:trPr>
        <w:tc>
          <w:tcPr>
            <w:tcW w:w="1080" w:type="dxa"/>
            <w:vMerge/>
            <w:tcBorders>
              <w:left w:val="nil"/>
            </w:tcBorders>
          </w:tcPr>
          <w:p w:rsidR="002B37E3" w:rsidRPr="00E7439D" w:rsidP="00F13ECB" w14:paraId="5BFFD415" w14:textId="77777777">
            <w:pPr>
              <w:spacing w:after="0" w:line="240" w:lineRule="auto"/>
              <w:contextualSpacing/>
              <w:rPr>
                <w:rFonts w:ascii="Times New Roman" w:hAnsi="Times New Roman" w:cs="Times New Roman"/>
                <w:b/>
                <w:color w:val="000000" w:themeColor="text1"/>
                <w:sz w:val="20"/>
                <w:szCs w:val="20"/>
              </w:rPr>
            </w:pPr>
          </w:p>
        </w:tc>
        <w:tc>
          <w:tcPr>
            <w:tcW w:w="4410" w:type="dxa"/>
            <w:tcBorders>
              <w:top w:val="nil"/>
              <w:bottom w:val="nil"/>
            </w:tcBorders>
            <w:shd w:val="clear" w:color="auto" w:fill="auto"/>
            <w:vAlign w:val="center"/>
          </w:tcPr>
          <w:p w:rsidR="002B37E3" w:rsidRPr="00E7439D" w:rsidP="000D0A86" w14:paraId="007819A7" w14:textId="77777777">
            <w:pPr>
              <w:spacing w:after="0" w:line="240" w:lineRule="auto"/>
              <w:contextualSpacing/>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Group V (10,000 to 24,999 inhabitants)</w:t>
            </w:r>
          </w:p>
        </w:tc>
        <w:tc>
          <w:tcPr>
            <w:tcW w:w="1170" w:type="dxa"/>
            <w:tcBorders>
              <w:top w:val="nil"/>
              <w:bottom w:val="nil"/>
            </w:tcBorders>
            <w:shd w:val="clear" w:color="auto" w:fill="auto"/>
            <w:vAlign w:val="center"/>
          </w:tcPr>
          <w:p w:rsidR="002B37E3" w:rsidRPr="00E7439D" w:rsidP="000D0A86" w14:paraId="1A7CBDFD" w14:textId="498124AA">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1,728</w:t>
            </w:r>
          </w:p>
        </w:tc>
        <w:tc>
          <w:tcPr>
            <w:tcW w:w="1311" w:type="dxa"/>
            <w:tcBorders>
              <w:top w:val="nil"/>
              <w:bottom w:val="nil"/>
              <w:right w:val="nil"/>
            </w:tcBorders>
            <w:shd w:val="clear" w:color="auto" w:fill="auto"/>
            <w:vAlign w:val="center"/>
          </w:tcPr>
          <w:p w:rsidR="002B37E3" w:rsidRPr="00E7439D" w:rsidP="000D0A86" w14:paraId="3E914DBB" w14:textId="5F644EB3">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27</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498</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772</w:t>
            </w:r>
          </w:p>
        </w:tc>
      </w:tr>
      <w:tr w14:paraId="4A949994" w14:textId="77777777" w:rsidTr="000D0A86">
        <w:tblPrEx>
          <w:tblW w:w="0" w:type="auto"/>
          <w:tblInd w:w="805" w:type="dxa"/>
          <w:tblLayout w:type="fixed"/>
          <w:tblLook w:val="04A0"/>
        </w:tblPrEx>
        <w:trPr>
          <w:trHeight w:val="288"/>
        </w:trPr>
        <w:tc>
          <w:tcPr>
            <w:tcW w:w="1080" w:type="dxa"/>
            <w:vMerge/>
            <w:tcBorders>
              <w:left w:val="nil"/>
            </w:tcBorders>
          </w:tcPr>
          <w:p w:rsidR="002B37E3" w:rsidRPr="00E7439D" w:rsidP="00F13ECB" w14:paraId="6266AD00" w14:textId="77777777">
            <w:pPr>
              <w:spacing w:after="0" w:line="240" w:lineRule="auto"/>
              <w:contextualSpacing/>
              <w:rPr>
                <w:rFonts w:ascii="Times New Roman" w:hAnsi="Times New Roman" w:cs="Times New Roman"/>
                <w:b/>
                <w:color w:val="000000" w:themeColor="text1"/>
                <w:sz w:val="20"/>
                <w:szCs w:val="20"/>
              </w:rPr>
            </w:pPr>
          </w:p>
        </w:tc>
        <w:tc>
          <w:tcPr>
            <w:tcW w:w="4410" w:type="dxa"/>
            <w:tcBorders>
              <w:top w:val="nil"/>
              <w:bottom w:val="single" w:sz="4" w:space="0" w:color="auto"/>
            </w:tcBorders>
            <w:shd w:val="clear" w:color="auto" w:fill="auto"/>
            <w:vAlign w:val="center"/>
          </w:tcPr>
          <w:p w:rsidR="002B37E3" w:rsidRPr="00E7439D" w:rsidP="000D0A86" w14:paraId="1807B5B0" w14:textId="77777777">
            <w:pPr>
              <w:spacing w:after="0" w:line="240" w:lineRule="auto"/>
              <w:contextualSpacing/>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 xml:space="preserve">Group VI (Less than 10,000 inhabitants) </w:t>
            </w:r>
            <w:r w:rsidRPr="00E7439D">
              <w:rPr>
                <w:rFonts w:ascii="Times New Roman" w:hAnsi="Times New Roman" w:cs="Times New Roman"/>
                <w:color w:val="000000" w:themeColor="text1"/>
                <w:sz w:val="20"/>
                <w:szCs w:val="20"/>
                <w:vertAlign w:val="superscript"/>
              </w:rPr>
              <w:t>1,2</w:t>
            </w:r>
          </w:p>
        </w:tc>
        <w:tc>
          <w:tcPr>
            <w:tcW w:w="1170" w:type="dxa"/>
            <w:tcBorders>
              <w:top w:val="nil"/>
              <w:bottom w:val="single" w:sz="4" w:space="0" w:color="auto"/>
            </w:tcBorders>
            <w:shd w:val="clear" w:color="auto" w:fill="auto"/>
            <w:vAlign w:val="center"/>
          </w:tcPr>
          <w:p w:rsidR="002B37E3" w:rsidRPr="00E7439D" w:rsidP="000D0A86" w14:paraId="7AD1EEDC" w14:textId="7A687B73">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7,630</w:t>
            </w:r>
          </w:p>
        </w:tc>
        <w:tc>
          <w:tcPr>
            <w:tcW w:w="1311" w:type="dxa"/>
            <w:tcBorders>
              <w:top w:val="nil"/>
              <w:bottom w:val="single" w:sz="4" w:space="0" w:color="auto"/>
              <w:right w:val="nil"/>
            </w:tcBorders>
            <w:shd w:val="clear" w:color="auto" w:fill="auto"/>
            <w:vAlign w:val="center"/>
          </w:tcPr>
          <w:p w:rsidR="002B37E3" w:rsidRPr="00E7439D" w:rsidP="000D0A86" w14:paraId="62C56A87" w14:textId="262C20C4">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21</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583</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925</w:t>
            </w:r>
          </w:p>
        </w:tc>
      </w:tr>
      <w:tr w14:paraId="25B704DD" w14:textId="77777777" w:rsidTr="000D0A86">
        <w:tblPrEx>
          <w:tblW w:w="0" w:type="auto"/>
          <w:tblInd w:w="805" w:type="dxa"/>
          <w:tblLayout w:type="fixed"/>
          <w:tblLook w:val="04A0"/>
        </w:tblPrEx>
        <w:trPr>
          <w:trHeight w:val="288"/>
        </w:trPr>
        <w:tc>
          <w:tcPr>
            <w:tcW w:w="1080" w:type="dxa"/>
            <w:vMerge w:val="restart"/>
            <w:tcBorders>
              <w:left w:val="nil"/>
            </w:tcBorders>
            <w:shd w:val="clear" w:color="auto" w:fill="auto"/>
          </w:tcPr>
          <w:p w:rsidR="002B37E3" w:rsidRPr="00E7439D" w:rsidP="00F13ECB" w14:paraId="41D4A91E" w14:textId="77777777">
            <w:pPr>
              <w:spacing w:after="0" w:line="240" w:lineRule="auto"/>
              <w:contextualSpacing/>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Counties</w:t>
            </w:r>
          </w:p>
        </w:tc>
        <w:tc>
          <w:tcPr>
            <w:tcW w:w="4410" w:type="dxa"/>
            <w:tcBorders>
              <w:bottom w:val="nil"/>
            </w:tcBorders>
            <w:shd w:val="clear" w:color="auto" w:fill="auto"/>
            <w:vAlign w:val="center"/>
          </w:tcPr>
          <w:p w:rsidR="002B37E3" w:rsidRPr="00E7439D" w:rsidP="000D0A86" w14:paraId="1668C263" w14:textId="77777777">
            <w:pPr>
              <w:spacing w:after="0" w:line="240" w:lineRule="auto"/>
              <w:contextualSpacing/>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Group VIII (nonmetropolitan County)</w:t>
            </w:r>
            <w:r w:rsidRPr="00E7439D">
              <w:rPr>
                <w:rFonts w:ascii="Times New Roman" w:hAnsi="Times New Roman" w:cs="Times New Roman"/>
                <w:color w:val="000000" w:themeColor="text1"/>
                <w:sz w:val="20"/>
                <w:szCs w:val="20"/>
                <w:vertAlign w:val="superscript"/>
              </w:rPr>
              <w:t>2</w:t>
            </w:r>
          </w:p>
        </w:tc>
        <w:tc>
          <w:tcPr>
            <w:tcW w:w="1170" w:type="dxa"/>
            <w:tcBorders>
              <w:bottom w:val="nil"/>
            </w:tcBorders>
            <w:shd w:val="clear" w:color="auto" w:fill="auto"/>
            <w:vAlign w:val="center"/>
          </w:tcPr>
          <w:p w:rsidR="002B37E3" w:rsidRPr="00E7439D" w:rsidP="000D0A86" w14:paraId="4BF60550" w14:textId="1554E7FC">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2,326</w:t>
            </w:r>
          </w:p>
        </w:tc>
        <w:tc>
          <w:tcPr>
            <w:tcW w:w="1311" w:type="dxa"/>
            <w:tcBorders>
              <w:bottom w:val="nil"/>
              <w:right w:val="nil"/>
            </w:tcBorders>
            <w:shd w:val="clear" w:color="auto" w:fill="auto"/>
            <w:vAlign w:val="center"/>
          </w:tcPr>
          <w:p w:rsidR="002B37E3" w:rsidRPr="00E7439D" w:rsidP="000D0A86" w14:paraId="3836B47E" w14:textId="6031BAD7">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23</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672</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704</w:t>
            </w:r>
          </w:p>
        </w:tc>
      </w:tr>
      <w:tr w14:paraId="263637E8" w14:textId="77777777" w:rsidTr="000D0A86">
        <w:tblPrEx>
          <w:tblW w:w="0" w:type="auto"/>
          <w:tblInd w:w="805" w:type="dxa"/>
          <w:tblLayout w:type="fixed"/>
          <w:tblLook w:val="04A0"/>
        </w:tblPrEx>
        <w:trPr>
          <w:trHeight w:val="288"/>
        </w:trPr>
        <w:tc>
          <w:tcPr>
            <w:tcW w:w="1080" w:type="dxa"/>
            <w:vMerge/>
            <w:tcBorders>
              <w:left w:val="nil"/>
            </w:tcBorders>
          </w:tcPr>
          <w:p w:rsidR="002B37E3" w:rsidRPr="00E7439D" w:rsidP="00F13ECB" w14:paraId="794269E0" w14:textId="77777777">
            <w:pPr>
              <w:spacing w:after="0" w:line="240" w:lineRule="auto"/>
              <w:contextualSpacing/>
              <w:rPr>
                <w:rFonts w:ascii="Times New Roman" w:hAnsi="Times New Roman" w:cs="Times New Roman"/>
                <w:color w:val="000000" w:themeColor="text1"/>
                <w:sz w:val="20"/>
                <w:szCs w:val="20"/>
              </w:rPr>
            </w:pPr>
          </w:p>
        </w:tc>
        <w:tc>
          <w:tcPr>
            <w:tcW w:w="4410" w:type="dxa"/>
            <w:tcBorders>
              <w:top w:val="nil"/>
            </w:tcBorders>
            <w:shd w:val="clear" w:color="auto" w:fill="auto"/>
            <w:vAlign w:val="center"/>
          </w:tcPr>
          <w:p w:rsidR="002B37E3" w:rsidRPr="00E7439D" w:rsidP="000D0A86" w14:paraId="03E49D2E" w14:textId="77777777">
            <w:pPr>
              <w:spacing w:after="0" w:line="240" w:lineRule="auto"/>
              <w:contextualSpacing/>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Group IX (Metropolitan County)</w:t>
            </w:r>
            <w:r w:rsidRPr="00E7439D">
              <w:rPr>
                <w:rFonts w:ascii="Times New Roman" w:hAnsi="Times New Roman" w:cs="Times New Roman"/>
                <w:color w:val="000000" w:themeColor="text1"/>
                <w:sz w:val="20"/>
                <w:szCs w:val="20"/>
                <w:vertAlign w:val="superscript"/>
              </w:rPr>
              <w:t>2</w:t>
            </w:r>
          </w:p>
        </w:tc>
        <w:tc>
          <w:tcPr>
            <w:tcW w:w="1170" w:type="dxa"/>
            <w:tcBorders>
              <w:top w:val="nil"/>
            </w:tcBorders>
            <w:shd w:val="clear" w:color="auto" w:fill="auto"/>
            <w:vAlign w:val="center"/>
          </w:tcPr>
          <w:p w:rsidR="002B37E3" w:rsidRPr="00E7439D" w:rsidP="000D0A86" w14:paraId="746EA947" w14:textId="7554761A">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1,789</w:t>
            </w:r>
          </w:p>
        </w:tc>
        <w:tc>
          <w:tcPr>
            <w:tcW w:w="1311" w:type="dxa"/>
            <w:tcBorders>
              <w:top w:val="nil"/>
              <w:right w:val="nil"/>
            </w:tcBorders>
            <w:shd w:val="clear" w:color="auto" w:fill="auto"/>
            <w:vAlign w:val="center"/>
          </w:tcPr>
          <w:p w:rsidR="002B37E3" w:rsidRPr="00E7439D" w:rsidP="000D0A86" w14:paraId="5460F224" w14:textId="6ED9A42B">
            <w:pPr>
              <w:spacing w:after="0" w:line="240" w:lineRule="auto"/>
              <w:contextualSpacing/>
              <w:jc w:val="right"/>
              <w:rPr>
                <w:rFonts w:ascii="Times New Roman" w:hAnsi="Times New Roman" w:cs="Times New Roman"/>
                <w:color w:val="000000" w:themeColor="text1"/>
                <w:sz w:val="20"/>
                <w:szCs w:val="20"/>
              </w:rPr>
            </w:pPr>
            <w:r w:rsidRPr="00E7439D">
              <w:rPr>
                <w:rFonts w:ascii="Times New Roman" w:hAnsi="Times New Roman" w:cs="Times New Roman"/>
                <w:color w:val="000000" w:themeColor="text1"/>
                <w:sz w:val="20"/>
                <w:szCs w:val="20"/>
              </w:rPr>
              <w:t>73</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680</w:t>
            </w:r>
            <w:r w:rsidRPr="00E7439D" w:rsidR="00A40751">
              <w:rPr>
                <w:rFonts w:ascii="Times New Roman" w:hAnsi="Times New Roman" w:cs="Times New Roman"/>
                <w:color w:val="000000" w:themeColor="text1"/>
                <w:sz w:val="20"/>
                <w:szCs w:val="20"/>
              </w:rPr>
              <w:t>,</w:t>
            </w:r>
            <w:r w:rsidRPr="00E7439D">
              <w:rPr>
                <w:rFonts w:ascii="Times New Roman" w:hAnsi="Times New Roman" w:cs="Times New Roman"/>
                <w:color w:val="000000" w:themeColor="text1"/>
                <w:sz w:val="20"/>
                <w:szCs w:val="20"/>
              </w:rPr>
              <w:t>049</w:t>
            </w:r>
          </w:p>
        </w:tc>
      </w:tr>
      <w:tr w14:paraId="0E2AAFDB" w14:textId="77777777" w:rsidTr="000D0A86">
        <w:tblPrEx>
          <w:tblW w:w="0" w:type="auto"/>
          <w:tblInd w:w="805" w:type="dxa"/>
          <w:tblLayout w:type="fixed"/>
          <w:tblLook w:val="04A0"/>
        </w:tblPrEx>
        <w:trPr>
          <w:trHeight w:val="288"/>
        </w:trPr>
        <w:tc>
          <w:tcPr>
            <w:tcW w:w="1080" w:type="dxa"/>
            <w:tcBorders>
              <w:left w:val="nil"/>
            </w:tcBorders>
            <w:shd w:val="clear" w:color="auto" w:fill="auto"/>
          </w:tcPr>
          <w:p w:rsidR="002B37E3" w:rsidRPr="00E7439D" w:rsidP="00F13ECB" w14:paraId="090B772E" w14:textId="77777777">
            <w:pPr>
              <w:spacing w:after="0" w:line="240" w:lineRule="auto"/>
              <w:contextualSpacing/>
              <w:rPr>
                <w:rFonts w:ascii="Times New Roman" w:hAnsi="Times New Roman" w:cs="Times New Roman"/>
                <w:b/>
                <w:color w:val="000000" w:themeColor="text1"/>
                <w:sz w:val="16"/>
                <w:szCs w:val="16"/>
              </w:rPr>
            </w:pPr>
          </w:p>
        </w:tc>
        <w:tc>
          <w:tcPr>
            <w:tcW w:w="4410" w:type="dxa"/>
            <w:shd w:val="clear" w:color="auto" w:fill="auto"/>
            <w:vAlign w:val="center"/>
          </w:tcPr>
          <w:p w:rsidR="002B37E3" w:rsidRPr="00E7439D" w:rsidP="000D0A86" w14:paraId="17E7E685" w14:textId="77777777">
            <w:pPr>
              <w:spacing w:after="0" w:line="240" w:lineRule="auto"/>
              <w:contextualSpacing/>
              <w:rPr>
                <w:rFonts w:ascii="Times New Roman" w:hAnsi="Times New Roman" w:cs="Times New Roman"/>
                <w:b/>
                <w:color w:val="000000" w:themeColor="text1"/>
                <w:sz w:val="20"/>
                <w:szCs w:val="20"/>
              </w:rPr>
            </w:pPr>
            <w:r w:rsidRPr="00E7439D">
              <w:rPr>
                <w:rFonts w:ascii="Times New Roman" w:hAnsi="Times New Roman" w:cs="Times New Roman"/>
                <w:b/>
                <w:color w:val="000000" w:themeColor="text1"/>
                <w:sz w:val="20"/>
                <w:szCs w:val="20"/>
              </w:rPr>
              <w:t>Total</w:t>
            </w:r>
          </w:p>
        </w:tc>
        <w:tc>
          <w:tcPr>
            <w:tcW w:w="1170" w:type="dxa"/>
            <w:shd w:val="clear" w:color="auto" w:fill="auto"/>
            <w:vAlign w:val="center"/>
          </w:tcPr>
          <w:p w:rsidR="002B37E3" w:rsidRPr="00E7439D" w:rsidP="000D0A86" w14:paraId="368348BF" w14:textId="16EBFF4F">
            <w:pPr>
              <w:spacing w:after="0" w:line="240" w:lineRule="auto"/>
              <w:contextualSpacing/>
              <w:jc w:val="right"/>
              <w:rPr>
                <w:rFonts w:ascii="Times New Roman" w:hAnsi="Times New Roman" w:cs="Times New Roman"/>
                <w:b/>
                <w:bCs/>
                <w:color w:val="000000" w:themeColor="text1"/>
                <w:sz w:val="20"/>
                <w:szCs w:val="20"/>
              </w:rPr>
            </w:pPr>
            <w:r w:rsidRPr="00E7439D">
              <w:rPr>
                <w:rFonts w:ascii="Times New Roman" w:hAnsi="Times New Roman" w:cs="Times New Roman"/>
                <w:b/>
                <w:bCs/>
                <w:color w:val="000000" w:themeColor="text1"/>
                <w:sz w:val="20"/>
                <w:szCs w:val="20"/>
              </w:rPr>
              <w:t>15,080</w:t>
            </w:r>
          </w:p>
        </w:tc>
        <w:tc>
          <w:tcPr>
            <w:tcW w:w="1311" w:type="dxa"/>
            <w:tcBorders>
              <w:right w:val="nil"/>
            </w:tcBorders>
            <w:shd w:val="clear" w:color="auto" w:fill="auto"/>
            <w:vAlign w:val="center"/>
          </w:tcPr>
          <w:p w:rsidR="002B37E3" w:rsidRPr="00E7439D" w:rsidP="000D0A86" w14:paraId="658A855A" w14:textId="40DA4133">
            <w:pPr>
              <w:spacing w:after="0" w:line="240" w:lineRule="auto"/>
              <w:contextualSpacing/>
              <w:jc w:val="right"/>
              <w:rPr>
                <w:rFonts w:ascii="Times New Roman" w:hAnsi="Times New Roman" w:cs="Times New Roman"/>
                <w:b/>
                <w:color w:val="000000" w:themeColor="text1"/>
                <w:sz w:val="20"/>
                <w:szCs w:val="20"/>
              </w:rPr>
            </w:pPr>
            <w:r w:rsidRPr="00E7439D">
              <w:rPr>
                <w:rFonts w:ascii="Times New Roman" w:hAnsi="Times New Roman" w:cs="Times New Roman"/>
                <w:b/>
                <w:color w:val="000000" w:themeColor="text1"/>
                <w:sz w:val="20"/>
                <w:szCs w:val="20"/>
              </w:rPr>
              <w:t>303,569,546</w:t>
            </w:r>
          </w:p>
        </w:tc>
      </w:tr>
      <w:tr w14:paraId="2473745C" w14:textId="77777777" w:rsidTr="000D0A86">
        <w:tblPrEx>
          <w:tblW w:w="0" w:type="auto"/>
          <w:tblInd w:w="805" w:type="dxa"/>
          <w:tblLayout w:type="fixed"/>
          <w:tblLook w:val="04A0"/>
        </w:tblPrEx>
        <w:trPr>
          <w:trHeight w:val="288"/>
        </w:trPr>
        <w:tc>
          <w:tcPr>
            <w:tcW w:w="7971" w:type="dxa"/>
            <w:gridSpan w:val="4"/>
            <w:tcBorders>
              <w:left w:val="nil"/>
              <w:right w:val="nil"/>
            </w:tcBorders>
            <w:shd w:val="clear" w:color="auto" w:fill="auto"/>
            <w:vAlign w:val="bottom"/>
          </w:tcPr>
          <w:p w:rsidR="005721D5" w:rsidRPr="00E7439D" w:rsidP="005721D5" w14:paraId="17782007" w14:textId="77777777">
            <w:pPr>
              <w:tabs>
                <w:tab w:val="left" w:pos="360"/>
              </w:tabs>
              <w:spacing w:after="0" w:line="240" w:lineRule="auto"/>
              <w:ind w:left="-24"/>
              <w:contextualSpacing/>
              <w:rPr>
                <w:rFonts w:ascii="Times New Roman" w:hAnsi="Times New Roman" w:cs="Times New Roman"/>
                <w:color w:val="000000" w:themeColor="text1"/>
                <w:sz w:val="16"/>
                <w:szCs w:val="16"/>
              </w:rPr>
            </w:pPr>
            <w:r w:rsidRPr="00E7439D">
              <w:rPr>
                <w:rFonts w:ascii="Times New Roman" w:hAnsi="Times New Roman" w:cs="Times New Roman"/>
                <w:color w:val="000000" w:themeColor="text1"/>
                <w:sz w:val="16"/>
                <w:szCs w:val="16"/>
                <w:vertAlign w:val="superscript"/>
              </w:rPr>
              <w:t>1</w:t>
            </w:r>
            <w:r w:rsidRPr="00E7439D">
              <w:rPr>
                <w:rFonts w:ascii="Times New Roman" w:hAnsi="Times New Roman" w:cs="Times New Roman"/>
                <w:color w:val="000000" w:themeColor="text1"/>
                <w:sz w:val="16"/>
                <w:szCs w:val="16"/>
              </w:rPr>
              <w:t xml:space="preserve"> Includes universities and colleges to which no population is attributed.</w:t>
            </w:r>
          </w:p>
          <w:p w:rsidR="005721D5" w:rsidRPr="00E7439D" w:rsidP="000D0A86" w14:paraId="3A6DE192" w14:textId="5E8679EF">
            <w:pPr>
              <w:tabs>
                <w:tab w:val="left" w:pos="360"/>
              </w:tabs>
              <w:spacing w:after="0" w:line="240" w:lineRule="auto"/>
              <w:ind w:left="-24"/>
              <w:contextualSpacing/>
              <w:rPr>
                <w:rFonts w:ascii="Times New Roman" w:hAnsi="Times New Roman" w:cs="Times New Roman"/>
                <w:b/>
                <w:color w:val="000000" w:themeColor="text1"/>
                <w:sz w:val="16"/>
                <w:szCs w:val="16"/>
              </w:rPr>
            </w:pPr>
            <w:r w:rsidRPr="00E7439D">
              <w:rPr>
                <w:rFonts w:ascii="Times New Roman" w:hAnsi="Times New Roman" w:cs="Times New Roman"/>
                <w:color w:val="000000" w:themeColor="text1"/>
                <w:sz w:val="16"/>
                <w:szCs w:val="16"/>
                <w:vertAlign w:val="superscript"/>
              </w:rPr>
              <w:t>2</w:t>
            </w:r>
            <w:r w:rsidRPr="00E7439D">
              <w:rPr>
                <w:rFonts w:ascii="Times New Roman" w:hAnsi="Times New Roman" w:cs="Times New Roman"/>
                <w:color w:val="000000" w:themeColor="text1"/>
                <w:sz w:val="16"/>
                <w:szCs w:val="16"/>
              </w:rPr>
              <w:t xml:space="preserve"> Includes state police to which no population is attributed.</w:t>
            </w:r>
          </w:p>
        </w:tc>
      </w:tr>
    </w:tbl>
    <w:bookmarkEnd w:id="0"/>
    <w:p w:rsidR="002B37E3" w:rsidRPr="00E7439D" w:rsidP="005721D5" w14:paraId="6FC1264D" w14:textId="30B6A067">
      <w:pPr>
        <w:tabs>
          <w:tab w:val="left" w:pos="360"/>
        </w:tabs>
        <w:spacing w:after="0" w:line="240" w:lineRule="auto"/>
        <w:ind w:left="720"/>
        <w:contextualSpacing/>
        <w:rPr>
          <w:rFonts w:ascii="Times New Roman" w:hAnsi="Times New Roman" w:cs="Times New Roman"/>
          <w:color w:val="000000" w:themeColor="text1"/>
          <w:sz w:val="24"/>
          <w:szCs w:val="24"/>
        </w:rPr>
      </w:pPr>
      <w:r w:rsidRPr="00E7439D">
        <w:rPr>
          <w:rFonts w:ascii="Times New Roman" w:hAnsi="Times New Roman" w:cs="Times New Roman"/>
          <w:color w:val="000000" w:themeColor="text1"/>
          <w:sz w:val="24"/>
          <w:szCs w:val="24"/>
          <w:vertAlign w:val="superscript"/>
        </w:rPr>
        <w:tab/>
      </w:r>
    </w:p>
    <w:p w:rsidR="002B37E3" w:rsidRPr="00F13ECB" w:rsidP="00CB778A" w14:paraId="1C45BE2F" w14:textId="73EFB1CA">
      <w:pPr>
        <w:tabs>
          <w:tab w:val="left" w:pos="360"/>
        </w:tabs>
        <w:spacing w:after="0" w:line="240" w:lineRule="auto"/>
        <w:rPr>
          <w:rFonts w:ascii="Times New Roman" w:hAnsi="Times New Roman" w:cs="Times New Roman"/>
          <w:sz w:val="24"/>
          <w:szCs w:val="24"/>
        </w:rPr>
      </w:pPr>
    </w:p>
    <w:p w:rsidR="002B37E3" w:rsidRPr="00C25AA4" w:rsidP="00F13ECB" w14:paraId="3A9DDB67" w14:textId="77777777">
      <w:pPr>
        <w:pStyle w:val="ListParagraph"/>
        <w:numPr>
          <w:ilvl w:val="0"/>
          <w:numId w:val="1"/>
        </w:numPr>
        <w:spacing w:after="0" w:line="240" w:lineRule="auto"/>
        <w:ind w:left="1080" w:hanging="540"/>
        <w:rPr>
          <w:rFonts w:ascii="Times New Roman" w:hAnsi="Times New Roman" w:cs="Times New Roman"/>
          <w:color w:val="000000" w:themeColor="text1"/>
          <w:sz w:val="24"/>
          <w:szCs w:val="24"/>
        </w:rPr>
      </w:pPr>
      <w:r w:rsidRPr="00C25AA4">
        <w:rPr>
          <w:rFonts w:ascii="Times New Roman" w:hAnsi="Times New Roman" w:cs="Times New Roman"/>
          <w:color w:val="000000" w:themeColor="text1"/>
          <w:sz w:val="24"/>
          <w:szCs w:val="24"/>
          <w:u w:val="single"/>
        </w:rPr>
        <w:t>Collection of Information Procedures</w:t>
      </w:r>
    </w:p>
    <w:p w:rsidR="002B37E3" w:rsidRPr="00C25AA4" w:rsidP="00F13ECB" w14:paraId="54F6DF73" w14:textId="77777777">
      <w:pPr>
        <w:pStyle w:val="ListParagraph"/>
        <w:spacing w:after="0" w:line="240" w:lineRule="auto"/>
        <w:rPr>
          <w:rFonts w:ascii="Times New Roman" w:hAnsi="Times New Roman" w:cs="Times New Roman"/>
          <w:color w:val="000000" w:themeColor="text1"/>
          <w:sz w:val="24"/>
          <w:szCs w:val="24"/>
        </w:rPr>
      </w:pPr>
    </w:p>
    <w:p w:rsidR="002B37E3" w:rsidRPr="006B4E5A" w:rsidP="00F13ECB" w14:paraId="1DE7213C" w14:textId="32D0F800">
      <w:pPr>
        <w:pStyle w:val="ListParagraph"/>
        <w:spacing w:after="0" w:line="240" w:lineRule="auto"/>
        <w:ind w:left="1080"/>
        <w:rPr>
          <w:rFonts w:ascii="Times New Roman" w:hAnsi="Times New Roman" w:cs="Times New Roman"/>
          <w:color w:val="000000" w:themeColor="text1"/>
          <w:sz w:val="24"/>
          <w:szCs w:val="24"/>
        </w:rPr>
      </w:pPr>
      <w:r w:rsidRPr="00C25AA4">
        <w:rPr>
          <w:rFonts w:ascii="Times New Roman" w:hAnsi="Times New Roman" w:cs="Times New Roman"/>
          <w:color w:val="000000" w:themeColor="text1"/>
          <w:sz w:val="24"/>
          <w:szCs w:val="24"/>
        </w:rPr>
        <w:t xml:space="preserve">All </w:t>
      </w:r>
      <w:r w:rsidR="000F336F">
        <w:rPr>
          <w:rFonts w:ascii="Times New Roman" w:hAnsi="Times New Roman" w:cs="Times New Roman"/>
          <w:color w:val="000000" w:themeColor="text1"/>
          <w:sz w:val="24"/>
          <w:szCs w:val="24"/>
        </w:rPr>
        <w:t>law enforcement</w:t>
      </w:r>
      <w:r w:rsidRPr="00C25AA4">
        <w:rPr>
          <w:rFonts w:ascii="Times New Roman" w:hAnsi="Times New Roman" w:cs="Times New Roman"/>
          <w:color w:val="000000" w:themeColor="text1"/>
          <w:sz w:val="24"/>
          <w:szCs w:val="24"/>
        </w:rPr>
        <w:t xml:space="preserve"> employee data are collected/received from state UCR program participants on an annual basis.  The FBI</w:t>
      </w:r>
      <w:r w:rsidRPr="00C25AA4" w:rsidR="00F57D3C">
        <w:rPr>
          <w:rFonts w:ascii="Times New Roman" w:hAnsi="Times New Roman" w:cs="Times New Roman"/>
          <w:color w:val="000000" w:themeColor="text1"/>
          <w:sz w:val="24"/>
          <w:szCs w:val="24"/>
        </w:rPr>
        <w:t>’S</w:t>
      </w:r>
      <w:r w:rsidRPr="00C25AA4">
        <w:rPr>
          <w:rFonts w:ascii="Times New Roman" w:hAnsi="Times New Roman" w:cs="Times New Roman"/>
          <w:color w:val="000000" w:themeColor="text1"/>
          <w:sz w:val="24"/>
          <w:szCs w:val="24"/>
        </w:rPr>
        <w:t xml:space="preserve"> UCR Program has established timeframes and deadlines for acquiring the annual data.  Letters are disseminated via email in October to the state UCR program managers and the individual LEAs requesting the completion of information on the current year’s </w:t>
      </w:r>
      <w:r w:rsidR="000F336F">
        <w:rPr>
          <w:rFonts w:ascii="Times New Roman" w:hAnsi="Times New Roman" w:cs="Times New Roman"/>
          <w:color w:val="000000" w:themeColor="text1"/>
          <w:sz w:val="24"/>
          <w:szCs w:val="24"/>
        </w:rPr>
        <w:t>law enforcement</w:t>
      </w:r>
      <w:r w:rsidRPr="00C25AA4">
        <w:rPr>
          <w:rFonts w:ascii="Times New Roman" w:hAnsi="Times New Roman" w:cs="Times New Roman"/>
          <w:color w:val="000000" w:themeColor="text1"/>
          <w:sz w:val="24"/>
          <w:szCs w:val="24"/>
        </w:rPr>
        <w:t xml:space="preserve"> employee counts as of October 31.  The letter specifies the data submission deadline is December 14 of each reporting year.  Prior to December 14, the FBI</w:t>
      </w:r>
      <w:r w:rsidRPr="00C25AA4" w:rsidR="00F57D3C">
        <w:rPr>
          <w:rFonts w:ascii="Times New Roman" w:hAnsi="Times New Roman" w:cs="Times New Roman"/>
          <w:color w:val="000000" w:themeColor="text1"/>
          <w:sz w:val="24"/>
          <w:szCs w:val="24"/>
        </w:rPr>
        <w:t>’S</w:t>
      </w:r>
      <w:r w:rsidRPr="00C25AA4">
        <w:rPr>
          <w:rFonts w:ascii="Times New Roman" w:hAnsi="Times New Roman" w:cs="Times New Roman"/>
          <w:color w:val="000000" w:themeColor="text1"/>
          <w:sz w:val="24"/>
          <w:szCs w:val="24"/>
        </w:rPr>
        <w:t xml:space="preserve"> UCR Program will contact the state UCR program managers and the individual LEAs to inform them the FBI has not received the counts, if necessary.  Annual reports/submissions should be received </w:t>
      </w:r>
      <w:r w:rsidRPr="00C25AA4">
        <w:rPr>
          <w:rFonts w:ascii="Times New Roman" w:hAnsi="Times New Roman" w:cs="Times New Roman"/>
          <w:color w:val="000000" w:themeColor="text1"/>
          <w:sz w:val="24"/>
          <w:szCs w:val="24"/>
        </w:rPr>
        <w:t xml:space="preserve">at the FBI by December 14 of each reporting year.  There are </w:t>
      </w:r>
      <w:r w:rsidRPr="006B4E5A">
        <w:rPr>
          <w:rFonts w:ascii="Times New Roman" w:hAnsi="Times New Roman" w:cs="Times New Roman"/>
          <w:color w:val="000000" w:themeColor="text1"/>
          <w:sz w:val="24"/>
          <w:szCs w:val="24"/>
        </w:rPr>
        <w:t>times when special circumstances may cause an agency to request an extension.  The FBI</w:t>
      </w:r>
      <w:r w:rsidRPr="006B4E5A" w:rsidR="00F57D3C">
        <w:rPr>
          <w:rFonts w:ascii="Times New Roman" w:hAnsi="Times New Roman" w:cs="Times New Roman"/>
          <w:color w:val="000000" w:themeColor="text1"/>
          <w:sz w:val="24"/>
          <w:szCs w:val="24"/>
        </w:rPr>
        <w:t>’S</w:t>
      </w:r>
      <w:r w:rsidRPr="006B4E5A">
        <w:rPr>
          <w:rFonts w:ascii="Times New Roman" w:hAnsi="Times New Roman" w:cs="Times New Roman"/>
          <w:color w:val="000000" w:themeColor="text1"/>
          <w:sz w:val="24"/>
          <w:szCs w:val="24"/>
        </w:rPr>
        <w:t xml:space="preserve"> UCR Program has the authority to grant these extensions. </w:t>
      </w:r>
    </w:p>
    <w:p w:rsidR="002B37E3" w:rsidRPr="006B4E5A" w:rsidP="00F13ECB" w14:paraId="46F2C833" w14:textId="77777777">
      <w:pPr>
        <w:pStyle w:val="ListParagraph"/>
        <w:spacing w:after="0" w:line="240" w:lineRule="auto"/>
        <w:rPr>
          <w:rFonts w:ascii="Times New Roman" w:hAnsi="Times New Roman" w:cs="Times New Roman"/>
          <w:color w:val="000000" w:themeColor="text1"/>
          <w:sz w:val="24"/>
          <w:szCs w:val="24"/>
        </w:rPr>
      </w:pPr>
    </w:p>
    <w:p w:rsidR="002B37E3" w:rsidRPr="006B4E5A" w:rsidP="00F13ECB" w14:paraId="6AF7185A" w14:textId="77777777">
      <w:pPr>
        <w:pStyle w:val="ListParagraph"/>
        <w:numPr>
          <w:ilvl w:val="0"/>
          <w:numId w:val="1"/>
        </w:numPr>
        <w:spacing w:after="0" w:line="240" w:lineRule="auto"/>
        <w:ind w:left="1080" w:hanging="540"/>
        <w:rPr>
          <w:rFonts w:ascii="Times New Roman" w:hAnsi="Times New Roman" w:cs="Times New Roman"/>
          <w:color w:val="000000" w:themeColor="text1"/>
          <w:sz w:val="24"/>
          <w:szCs w:val="24"/>
        </w:rPr>
      </w:pPr>
      <w:r w:rsidRPr="006B4E5A">
        <w:rPr>
          <w:rFonts w:ascii="Times New Roman" w:hAnsi="Times New Roman" w:cs="Times New Roman"/>
          <w:color w:val="000000" w:themeColor="text1"/>
          <w:sz w:val="24"/>
          <w:szCs w:val="24"/>
          <w:u w:val="single"/>
        </w:rPr>
        <w:t>Response Rates/Non-Response</w:t>
      </w:r>
    </w:p>
    <w:p w:rsidR="002B37E3" w:rsidRPr="006B4E5A" w:rsidP="00F13ECB" w14:paraId="246E2E02" w14:textId="77777777">
      <w:pPr>
        <w:pStyle w:val="ListParagraph"/>
        <w:spacing w:after="0" w:line="240" w:lineRule="auto"/>
        <w:ind w:left="0"/>
        <w:rPr>
          <w:rFonts w:ascii="Times New Roman" w:hAnsi="Times New Roman" w:cs="Times New Roman"/>
          <w:color w:val="000000" w:themeColor="text1"/>
          <w:sz w:val="24"/>
          <w:szCs w:val="24"/>
        </w:rPr>
      </w:pPr>
    </w:p>
    <w:p w:rsidR="002B37E3" w:rsidRPr="006B4E5A" w:rsidP="00F13ECB" w14:paraId="31E7B933" w14:textId="53313F42">
      <w:pPr>
        <w:pStyle w:val="ListParagraph"/>
        <w:spacing w:after="0" w:line="240" w:lineRule="auto"/>
        <w:ind w:left="1080"/>
        <w:rPr>
          <w:rFonts w:ascii="Times New Roman" w:hAnsi="Times New Roman" w:cs="Times New Roman"/>
          <w:color w:val="000000" w:themeColor="text1"/>
          <w:sz w:val="24"/>
          <w:szCs w:val="24"/>
        </w:rPr>
      </w:pPr>
      <w:r w:rsidRPr="006B4E5A">
        <w:rPr>
          <w:rFonts w:ascii="Times New Roman" w:hAnsi="Times New Roman" w:cs="Times New Roman"/>
          <w:color w:val="000000" w:themeColor="text1"/>
          <w:sz w:val="24"/>
          <w:szCs w:val="24"/>
        </w:rPr>
        <w:t xml:space="preserve">Response rates are maximized through liaison with the state UCR programs.  The reported </w:t>
      </w:r>
      <w:r w:rsidR="000F336F">
        <w:rPr>
          <w:rFonts w:ascii="Times New Roman" w:hAnsi="Times New Roman" w:cs="Times New Roman"/>
          <w:color w:val="000000" w:themeColor="text1"/>
          <w:sz w:val="24"/>
          <w:szCs w:val="24"/>
        </w:rPr>
        <w:t>law enforcement</w:t>
      </w:r>
      <w:r w:rsidRPr="006B4E5A">
        <w:rPr>
          <w:rFonts w:ascii="Times New Roman" w:hAnsi="Times New Roman" w:cs="Times New Roman"/>
          <w:color w:val="000000" w:themeColor="text1"/>
          <w:sz w:val="24"/>
          <w:szCs w:val="24"/>
        </w:rPr>
        <w:t xml:space="preserve"> employee counts </w:t>
      </w:r>
      <w:r w:rsidR="000F336F">
        <w:rPr>
          <w:rFonts w:ascii="Times New Roman" w:hAnsi="Times New Roman" w:cs="Times New Roman"/>
          <w:color w:val="000000" w:themeColor="text1"/>
          <w:sz w:val="24"/>
          <w:szCs w:val="24"/>
        </w:rPr>
        <w:t>are</w:t>
      </w:r>
      <w:r w:rsidRPr="006B4E5A">
        <w:rPr>
          <w:rFonts w:ascii="Times New Roman" w:hAnsi="Times New Roman" w:cs="Times New Roman"/>
          <w:color w:val="000000" w:themeColor="text1"/>
          <w:sz w:val="24"/>
          <w:szCs w:val="24"/>
        </w:rPr>
        <w:t xml:space="preserve"> collected by contributing agencies and reported to the FBI.  </w:t>
      </w:r>
      <w:r w:rsidRPr="006B4E5A" w:rsidR="0013788F">
        <w:rPr>
          <w:rFonts w:ascii="Times New Roman" w:hAnsi="Times New Roman" w:cs="Times New Roman"/>
          <w:color w:val="000000" w:themeColor="text1"/>
          <w:sz w:val="24"/>
          <w:szCs w:val="24"/>
        </w:rPr>
        <w:t xml:space="preserve">The </w:t>
      </w:r>
      <w:r w:rsidRPr="006B4E5A">
        <w:rPr>
          <w:rFonts w:ascii="Times New Roman" w:hAnsi="Times New Roman" w:cs="Times New Roman"/>
          <w:color w:val="000000" w:themeColor="text1"/>
          <w:sz w:val="24"/>
          <w:szCs w:val="24"/>
        </w:rPr>
        <w:t>FBI</w:t>
      </w:r>
      <w:r w:rsidRPr="006B4E5A" w:rsidR="00D37CDA">
        <w:rPr>
          <w:rFonts w:ascii="Times New Roman" w:hAnsi="Times New Roman" w:cs="Times New Roman"/>
          <w:color w:val="000000" w:themeColor="text1"/>
          <w:sz w:val="24"/>
          <w:szCs w:val="24"/>
        </w:rPr>
        <w:t>’s</w:t>
      </w:r>
      <w:r w:rsidRPr="006B4E5A">
        <w:rPr>
          <w:rFonts w:ascii="Times New Roman" w:hAnsi="Times New Roman" w:cs="Times New Roman"/>
          <w:color w:val="000000" w:themeColor="text1"/>
          <w:sz w:val="24"/>
          <w:szCs w:val="24"/>
        </w:rPr>
        <w:t xml:space="preserve"> UCR Program </w:t>
      </w:r>
      <w:r w:rsidRPr="006B4E5A" w:rsidR="00CB381C">
        <w:rPr>
          <w:rFonts w:ascii="Times New Roman" w:hAnsi="Times New Roman" w:cs="Times New Roman"/>
          <w:color w:val="000000" w:themeColor="text1"/>
          <w:sz w:val="24"/>
          <w:szCs w:val="24"/>
        </w:rPr>
        <w:t xml:space="preserve">assists </w:t>
      </w:r>
      <w:r w:rsidRPr="006B4E5A">
        <w:rPr>
          <w:rFonts w:ascii="Times New Roman" w:hAnsi="Times New Roman" w:cs="Times New Roman"/>
          <w:color w:val="000000" w:themeColor="text1"/>
          <w:sz w:val="24"/>
          <w:szCs w:val="24"/>
        </w:rPr>
        <w:t xml:space="preserve">agencies </w:t>
      </w:r>
      <w:r w:rsidRPr="006B4E5A" w:rsidR="00F351CD">
        <w:rPr>
          <w:rFonts w:ascii="Times New Roman" w:hAnsi="Times New Roman" w:cs="Times New Roman"/>
          <w:color w:val="000000" w:themeColor="text1"/>
          <w:sz w:val="24"/>
          <w:szCs w:val="24"/>
        </w:rPr>
        <w:t xml:space="preserve">with </w:t>
      </w:r>
      <w:r w:rsidR="000F336F">
        <w:rPr>
          <w:rFonts w:ascii="Times New Roman" w:hAnsi="Times New Roman" w:cs="Times New Roman"/>
          <w:color w:val="000000" w:themeColor="text1"/>
          <w:sz w:val="24"/>
          <w:szCs w:val="24"/>
        </w:rPr>
        <w:t>law enforcement</w:t>
      </w:r>
      <w:r w:rsidRPr="006B4E5A" w:rsidR="00F351CD">
        <w:rPr>
          <w:rFonts w:ascii="Times New Roman" w:hAnsi="Times New Roman" w:cs="Times New Roman"/>
          <w:color w:val="000000" w:themeColor="text1"/>
          <w:sz w:val="24"/>
          <w:szCs w:val="24"/>
        </w:rPr>
        <w:t xml:space="preserve"> employee data </w:t>
      </w:r>
      <w:r w:rsidRPr="006B4E5A">
        <w:rPr>
          <w:rFonts w:ascii="Times New Roman" w:hAnsi="Times New Roman" w:cs="Times New Roman"/>
          <w:color w:val="000000" w:themeColor="text1"/>
          <w:sz w:val="24"/>
          <w:szCs w:val="24"/>
        </w:rPr>
        <w:t>collection through active liaisons.  Communications encouraging data submissions occur frequently because of the relationship between the FBI</w:t>
      </w:r>
      <w:r w:rsidRPr="006B4E5A" w:rsidR="00D37CDA">
        <w:rPr>
          <w:rFonts w:ascii="Times New Roman" w:hAnsi="Times New Roman" w:cs="Times New Roman"/>
          <w:color w:val="000000" w:themeColor="text1"/>
          <w:sz w:val="24"/>
          <w:szCs w:val="24"/>
        </w:rPr>
        <w:t>’s</w:t>
      </w:r>
      <w:r w:rsidRPr="006B4E5A">
        <w:rPr>
          <w:rFonts w:ascii="Times New Roman" w:hAnsi="Times New Roman" w:cs="Times New Roman"/>
          <w:color w:val="000000" w:themeColor="text1"/>
          <w:sz w:val="24"/>
          <w:szCs w:val="24"/>
        </w:rPr>
        <w:t xml:space="preserve"> UCR Program</w:t>
      </w:r>
      <w:r w:rsidRPr="006B4E5A" w:rsidR="006B4E5A">
        <w:rPr>
          <w:rFonts w:ascii="Times New Roman" w:hAnsi="Times New Roman" w:cs="Times New Roman"/>
          <w:color w:val="000000" w:themeColor="text1"/>
          <w:sz w:val="24"/>
          <w:szCs w:val="24"/>
        </w:rPr>
        <w:t>’s</w:t>
      </w:r>
      <w:r w:rsidRPr="006B4E5A">
        <w:rPr>
          <w:rFonts w:ascii="Times New Roman" w:hAnsi="Times New Roman" w:cs="Times New Roman"/>
          <w:color w:val="000000" w:themeColor="text1"/>
          <w:sz w:val="24"/>
          <w:szCs w:val="24"/>
        </w:rPr>
        <w:t xml:space="preserve"> staff and LEAs.  The FBI</w:t>
      </w:r>
      <w:r w:rsidRPr="006B4E5A" w:rsidR="00D37CDA">
        <w:rPr>
          <w:rFonts w:ascii="Times New Roman" w:hAnsi="Times New Roman" w:cs="Times New Roman"/>
          <w:color w:val="000000" w:themeColor="text1"/>
          <w:sz w:val="24"/>
          <w:szCs w:val="24"/>
        </w:rPr>
        <w:t>’s</w:t>
      </w:r>
      <w:r w:rsidRPr="006B4E5A">
        <w:rPr>
          <w:rFonts w:ascii="Times New Roman" w:hAnsi="Times New Roman" w:cs="Times New Roman"/>
          <w:color w:val="000000" w:themeColor="text1"/>
          <w:sz w:val="24"/>
          <w:szCs w:val="24"/>
        </w:rPr>
        <w:t xml:space="preserve"> UCR Program staff regularly work to overcome non-response issues when such challenges occur.  The mission of the FBI</w:t>
      </w:r>
      <w:r w:rsidRPr="006B4E5A" w:rsidR="00D37CDA">
        <w:rPr>
          <w:rFonts w:ascii="Times New Roman" w:hAnsi="Times New Roman" w:cs="Times New Roman"/>
          <w:color w:val="000000" w:themeColor="text1"/>
          <w:sz w:val="24"/>
          <w:szCs w:val="24"/>
        </w:rPr>
        <w:t>’s</w:t>
      </w:r>
      <w:r w:rsidRPr="006B4E5A">
        <w:rPr>
          <w:rFonts w:ascii="Times New Roman" w:hAnsi="Times New Roman" w:cs="Times New Roman"/>
          <w:color w:val="000000" w:themeColor="text1"/>
          <w:sz w:val="24"/>
          <w:szCs w:val="24"/>
        </w:rPr>
        <w:t xml:space="preserve"> UCR Program </w:t>
      </w:r>
      <w:r w:rsidRPr="006B4E5A" w:rsidR="00D37CDA">
        <w:rPr>
          <w:rFonts w:ascii="Times New Roman" w:hAnsi="Times New Roman" w:cs="Times New Roman"/>
          <w:color w:val="000000" w:themeColor="text1"/>
          <w:sz w:val="24"/>
          <w:szCs w:val="24"/>
        </w:rPr>
        <w:t>includes</w:t>
      </w:r>
      <w:r w:rsidRPr="006B4E5A">
        <w:rPr>
          <w:rFonts w:ascii="Times New Roman" w:hAnsi="Times New Roman" w:cs="Times New Roman"/>
          <w:color w:val="000000" w:themeColor="text1"/>
          <w:sz w:val="24"/>
          <w:szCs w:val="24"/>
        </w:rPr>
        <w:t xml:space="preserve"> acquir</w:t>
      </w:r>
      <w:r w:rsidRPr="006B4E5A" w:rsidR="00D37CDA">
        <w:rPr>
          <w:rFonts w:ascii="Times New Roman" w:hAnsi="Times New Roman" w:cs="Times New Roman"/>
          <w:color w:val="000000" w:themeColor="text1"/>
          <w:sz w:val="24"/>
          <w:szCs w:val="24"/>
        </w:rPr>
        <w:t>ing</w:t>
      </w:r>
      <w:r w:rsidRPr="006B4E5A">
        <w:rPr>
          <w:rFonts w:ascii="Times New Roman" w:hAnsi="Times New Roman" w:cs="Times New Roman"/>
          <w:color w:val="000000" w:themeColor="text1"/>
          <w:sz w:val="24"/>
          <w:szCs w:val="24"/>
        </w:rPr>
        <w:t xml:space="preserve"> </w:t>
      </w:r>
      <w:r w:rsidR="001A209D">
        <w:rPr>
          <w:rFonts w:ascii="Times New Roman" w:hAnsi="Times New Roman" w:cs="Times New Roman"/>
          <w:color w:val="000000" w:themeColor="text1"/>
          <w:sz w:val="24"/>
          <w:szCs w:val="24"/>
        </w:rPr>
        <w:t>law enforcement e</w:t>
      </w:r>
      <w:r w:rsidRPr="006B4E5A">
        <w:rPr>
          <w:rFonts w:ascii="Times New Roman" w:hAnsi="Times New Roman" w:cs="Times New Roman"/>
          <w:color w:val="000000" w:themeColor="text1"/>
          <w:sz w:val="24"/>
          <w:szCs w:val="24"/>
        </w:rPr>
        <w:t>mployee data, establish</w:t>
      </w:r>
      <w:r w:rsidRPr="006B4E5A" w:rsidR="00D37CDA">
        <w:rPr>
          <w:rFonts w:ascii="Times New Roman" w:hAnsi="Times New Roman" w:cs="Times New Roman"/>
          <w:color w:val="000000" w:themeColor="text1"/>
          <w:sz w:val="24"/>
          <w:szCs w:val="24"/>
        </w:rPr>
        <w:t>ing</w:t>
      </w:r>
      <w:r w:rsidRPr="006B4E5A">
        <w:rPr>
          <w:rFonts w:ascii="Times New Roman" w:hAnsi="Times New Roman" w:cs="Times New Roman"/>
          <w:color w:val="000000" w:themeColor="text1"/>
          <w:sz w:val="24"/>
          <w:szCs w:val="24"/>
        </w:rPr>
        <w:t xml:space="preserve"> guidelines for the collection of such data, and publish</w:t>
      </w:r>
      <w:r w:rsidRPr="006B4E5A" w:rsidR="00D37CDA">
        <w:rPr>
          <w:rFonts w:ascii="Times New Roman" w:hAnsi="Times New Roman" w:cs="Times New Roman"/>
          <w:color w:val="000000" w:themeColor="text1"/>
          <w:sz w:val="24"/>
          <w:szCs w:val="24"/>
        </w:rPr>
        <w:t>ing</w:t>
      </w:r>
      <w:r w:rsidRPr="006B4E5A">
        <w:rPr>
          <w:rFonts w:ascii="Times New Roman" w:hAnsi="Times New Roman" w:cs="Times New Roman"/>
          <w:color w:val="000000" w:themeColor="text1"/>
          <w:sz w:val="24"/>
          <w:szCs w:val="24"/>
        </w:rPr>
        <w:t xml:space="preserve"> </w:t>
      </w:r>
      <w:r w:rsidRPr="006B4E5A" w:rsidR="00D37CDA">
        <w:rPr>
          <w:rFonts w:ascii="Times New Roman" w:hAnsi="Times New Roman" w:cs="Times New Roman"/>
          <w:color w:val="000000" w:themeColor="text1"/>
          <w:sz w:val="24"/>
          <w:szCs w:val="24"/>
        </w:rPr>
        <w:t>the information</w:t>
      </w:r>
      <w:r w:rsidRPr="006B4E5A">
        <w:rPr>
          <w:rFonts w:ascii="Times New Roman" w:hAnsi="Times New Roman" w:cs="Times New Roman"/>
          <w:color w:val="000000" w:themeColor="text1"/>
          <w:sz w:val="24"/>
          <w:szCs w:val="24"/>
        </w:rPr>
        <w:t xml:space="preserve">.  </w:t>
      </w:r>
    </w:p>
    <w:p w:rsidR="002B37E3" w:rsidRPr="006B4E5A" w:rsidP="00F13ECB" w14:paraId="21B8B564" w14:textId="77777777">
      <w:pPr>
        <w:pStyle w:val="ListParagraph"/>
        <w:spacing w:after="0" w:line="240" w:lineRule="auto"/>
        <w:ind w:left="1080"/>
        <w:rPr>
          <w:rFonts w:ascii="Times New Roman" w:hAnsi="Times New Roman" w:cs="Times New Roman"/>
          <w:color w:val="000000" w:themeColor="text1"/>
          <w:sz w:val="24"/>
          <w:szCs w:val="24"/>
        </w:rPr>
      </w:pPr>
    </w:p>
    <w:p w:rsidR="002B37E3" w:rsidRPr="00F13ECB" w:rsidP="00F13ECB" w14:paraId="76D4F2B9" w14:textId="35FF7863">
      <w:pPr>
        <w:pStyle w:val="ListParagraph"/>
        <w:spacing w:after="0" w:line="240" w:lineRule="auto"/>
        <w:ind w:left="1080"/>
        <w:contextualSpacing w:val="0"/>
        <w:rPr>
          <w:rFonts w:ascii="Times New Roman" w:hAnsi="Times New Roman" w:cs="Times New Roman"/>
          <w:sz w:val="24"/>
          <w:szCs w:val="24"/>
        </w:rPr>
      </w:pPr>
      <w:r w:rsidRPr="006B4E5A">
        <w:rPr>
          <w:rFonts w:ascii="Times New Roman" w:hAnsi="Times New Roman" w:cs="Times New Roman"/>
          <w:color w:val="000000" w:themeColor="text1"/>
          <w:sz w:val="24"/>
          <w:szCs w:val="24"/>
        </w:rPr>
        <w:t xml:space="preserve">The CJIS Committees of the IACP and the National Sheriffs’ </w:t>
      </w:r>
      <w:r w:rsidRPr="00F13ECB">
        <w:rPr>
          <w:rFonts w:ascii="Times New Roman" w:hAnsi="Times New Roman" w:cs="Times New Roman"/>
          <w:sz w:val="24"/>
          <w:szCs w:val="24"/>
        </w:rPr>
        <w:t>Association (NSA) provide the FBI</w:t>
      </w:r>
      <w:r w:rsidRPr="00F13ECB" w:rsidR="00D37CDA">
        <w:rPr>
          <w:rFonts w:ascii="Times New Roman" w:hAnsi="Times New Roman" w:cs="Times New Roman"/>
          <w:sz w:val="24"/>
          <w:szCs w:val="24"/>
        </w:rPr>
        <w:t>’s</w:t>
      </w:r>
      <w:r w:rsidRPr="00F13ECB">
        <w:rPr>
          <w:rFonts w:ascii="Times New Roman" w:hAnsi="Times New Roman" w:cs="Times New Roman"/>
          <w:sz w:val="24"/>
          <w:szCs w:val="24"/>
        </w:rPr>
        <w:t xml:space="preserve"> UCR Program with vital links to local law enforcement personnel.  The IACP, </w:t>
      </w:r>
      <w:r w:rsidRPr="00F13ECB" w:rsidR="00D37CDA">
        <w:rPr>
          <w:rFonts w:ascii="Times New Roman" w:hAnsi="Times New Roman" w:cs="Times New Roman"/>
          <w:sz w:val="24"/>
          <w:szCs w:val="24"/>
        </w:rPr>
        <w:t xml:space="preserve">ever </w:t>
      </w:r>
      <w:r w:rsidRPr="00F13ECB">
        <w:rPr>
          <w:rFonts w:ascii="Times New Roman" w:hAnsi="Times New Roman" w:cs="Times New Roman"/>
          <w:sz w:val="24"/>
          <w:szCs w:val="24"/>
        </w:rPr>
        <w:t>since the FBI</w:t>
      </w:r>
      <w:r w:rsidRPr="00F13ECB" w:rsidR="00D37CDA">
        <w:rPr>
          <w:rFonts w:ascii="Times New Roman" w:hAnsi="Times New Roman" w:cs="Times New Roman"/>
          <w:sz w:val="24"/>
          <w:szCs w:val="24"/>
        </w:rPr>
        <w:t>’s</w:t>
      </w:r>
      <w:r w:rsidRPr="00F13ECB">
        <w:rPr>
          <w:rFonts w:ascii="Times New Roman" w:hAnsi="Times New Roman" w:cs="Times New Roman"/>
          <w:sz w:val="24"/>
          <w:szCs w:val="24"/>
        </w:rPr>
        <w:t xml:space="preserve"> UCR Program </w:t>
      </w:r>
      <w:r w:rsidRPr="00F13ECB" w:rsidR="00D37CDA">
        <w:rPr>
          <w:rFonts w:ascii="Times New Roman" w:hAnsi="Times New Roman" w:cs="Times New Roman"/>
          <w:sz w:val="24"/>
          <w:szCs w:val="24"/>
        </w:rPr>
        <w:t>inception</w:t>
      </w:r>
      <w:r w:rsidRPr="00F13ECB">
        <w:rPr>
          <w:rFonts w:ascii="Times New Roman" w:hAnsi="Times New Roman" w:cs="Times New Roman"/>
          <w:sz w:val="24"/>
          <w:szCs w:val="24"/>
        </w:rPr>
        <w:t>, represents the thousands of police departments nationwide.  The NSA encourages sheriffs throughout the country to fully participate in the FBI</w:t>
      </w:r>
      <w:r w:rsidRPr="00F13ECB" w:rsidR="00D37CDA">
        <w:rPr>
          <w:rFonts w:ascii="Times New Roman" w:hAnsi="Times New Roman" w:cs="Times New Roman"/>
          <w:sz w:val="24"/>
          <w:szCs w:val="24"/>
        </w:rPr>
        <w:t>’s</w:t>
      </w:r>
      <w:r w:rsidRPr="00F13ECB">
        <w:rPr>
          <w:rFonts w:ascii="Times New Roman" w:hAnsi="Times New Roman" w:cs="Times New Roman"/>
          <w:sz w:val="24"/>
          <w:szCs w:val="24"/>
        </w:rPr>
        <w:t xml:space="preserve"> UCR Program.  </w:t>
      </w:r>
      <w:r w:rsidR="002B254F">
        <w:rPr>
          <w:rFonts w:ascii="Times New Roman" w:hAnsi="Times New Roman" w:cs="Times New Roman"/>
          <w:sz w:val="24"/>
          <w:szCs w:val="24"/>
        </w:rPr>
        <w:t>Through the CJIS APB, b</w:t>
      </w:r>
      <w:r w:rsidRPr="00F13ECB">
        <w:rPr>
          <w:rFonts w:ascii="Times New Roman" w:hAnsi="Times New Roman" w:cs="Times New Roman"/>
          <w:sz w:val="24"/>
          <w:szCs w:val="24"/>
        </w:rPr>
        <w:t xml:space="preserve">oth committees serve in advisory capacities </w:t>
      </w:r>
      <w:r w:rsidR="002B254F">
        <w:rPr>
          <w:rFonts w:ascii="Times New Roman" w:hAnsi="Times New Roman" w:cs="Times New Roman"/>
          <w:sz w:val="24"/>
          <w:szCs w:val="24"/>
        </w:rPr>
        <w:t>to</w:t>
      </w:r>
      <w:r w:rsidRPr="00F13ECB">
        <w:rPr>
          <w:rFonts w:ascii="Times New Roman" w:hAnsi="Times New Roman" w:cs="Times New Roman"/>
          <w:sz w:val="24"/>
          <w:szCs w:val="24"/>
        </w:rPr>
        <w:t xml:space="preserve"> the FBI</w:t>
      </w:r>
      <w:r w:rsidRPr="00F13ECB" w:rsidR="00D37CDA">
        <w:rPr>
          <w:rFonts w:ascii="Times New Roman" w:hAnsi="Times New Roman" w:cs="Times New Roman"/>
          <w:sz w:val="24"/>
          <w:szCs w:val="24"/>
        </w:rPr>
        <w:t>’s</w:t>
      </w:r>
      <w:r w:rsidRPr="00F13ECB">
        <w:rPr>
          <w:rFonts w:ascii="Times New Roman" w:hAnsi="Times New Roman" w:cs="Times New Roman"/>
          <w:sz w:val="24"/>
          <w:szCs w:val="24"/>
        </w:rPr>
        <w:t xml:space="preserve"> </w:t>
      </w:r>
      <w:r w:rsidR="002B254F">
        <w:rPr>
          <w:rFonts w:ascii="Times New Roman" w:hAnsi="Times New Roman" w:cs="Times New Roman"/>
          <w:sz w:val="24"/>
          <w:szCs w:val="24"/>
        </w:rPr>
        <w:t>CJIS Division and, in turn, the operation of the FBI’s UCR Program</w:t>
      </w:r>
      <w:r w:rsidRPr="00F13ECB">
        <w:rPr>
          <w:rFonts w:ascii="Times New Roman" w:hAnsi="Times New Roman" w:cs="Times New Roman"/>
          <w:sz w:val="24"/>
          <w:szCs w:val="24"/>
        </w:rPr>
        <w:t xml:space="preserve">.  The Association of State Uniform Crime Reporting Programs focuses on the UCR issues within individual state law enforcement associations </w:t>
      </w:r>
      <w:r w:rsidRPr="00F13ECB">
        <w:rPr>
          <w:rFonts w:ascii="Times New Roman" w:hAnsi="Times New Roman" w:cs="Times New Roman"/>
          <w:sz w:val="24"/>
          <w:szCs w:val="24"/>
        </w:rPr>
        <w:t>and also</w:t>
      </w:r>
      <w:r w:rsidRPr="00F13ECB">
        <w:rPr>
          <w:rFonts w:ascii="Times New Roman" w:hAnsi="Times New Roman" w:cs="Times New Roman"/>
          <w:sz w:val="24"/>
          <w:szCs w:val="24"/>
        </w:rPr>
        <w:t xml:space="preserve"> promotes interest in the FBI</w:t>
      </w:r>
      <w:r w:rsidRPr="00F13ECB" w:rsidR="00D37CDA">
        <w:rPr>
          <w:rFonts w:ascii="Times New Roman" w:hAnsi="Times New Roman" w:cs="Times New Roman"/>
          <w:sz w:val="24"/>
          <w:szCs w:val="24"/>
        </w:rPr>
        <w:t>’s</w:t>
      </w:r>
      <w:r w:rsidRPr="00F13ECB">
        <w:rPr>
          <w:rFonts w:ascii="Times New Roman" w:hAnsi="Times New Roman" w:cs="Times New Roman"/>
          <w:sz w:val="24"/>
          <w:szCs w:val="24"/>
        </w:rPr>
        <w:t xml:space="preserve"> UCR Program.  These organizations foster widespread and responsible use of uniform crime statistics and </w:t>
      </w:r>
      <w:r w:rsidRPr="00F13ECB" w:rsidR="00D37CDA">
        <w:rPr>
          <w:rFonts w:ascii="Times New Roman" w:hAnsi="Times New Roman" w:cs="Times New Roman"/>
          <w:sz w:val="24"/>
          <w:szCs w:val="24"/>
        </w:rPr>
        <w:t>assist</w:t>
      </w:r>
      <w:r w:rsidRPr="00F13ECB">
        <w:rPr>
          <w:rFonts w:ascii="Times New Roman" w:hAnsi="Times New Roman" w:cs="Times New Roman"/>
          <w:sz w:val="24"/>
          <w:szCs w:val="24"/>
        </w:rPr>
        <w:t xml:space="preserve"> data contributors when needed.</w:t>
      </w:r>
      <w:r w:rsidRPr="00F13ECB">
        <w:rPr>
          <w:rFonts w:ascii="Times New Roman" w:hAnsi="Times New Roman" w:cs="Times New Roman"/>
          <w:sz w:val="24"/>
          <w:szCs w:val="24"/>
        </w:rPr>
        <w:br/>
      </w:r>
    </w:p>
    <w:p w:rsidR="002B37E3" w:rsidRPr="00F13ECB" w:rsidP="00F13ECB" w14:paraId="6270A1E9" w14:textId="77777777">
      <w:pPr>
        <w:pStyle w:val="ListParagraph"/>
        <w:numPr>
          <w:ilvl w:val="0"/>
          <w:numId w:val="1"/>
        </w:numPr>
        <w:spacing w:after="0" w:line="240" w:lineRule="auto"/>
        <w:ind w:left="1080" w:hanging="540"/>
        <w:rPr>
          <w:rFonts w:ascii="Times New Roman" w:hAnsi="Times New Roman" w:cs="Times New Roman"/>
          <w:sz w:val="24"/>
          <w:szCs w:val="24"/>
        </w:rPr>
      </w:pPr>
      <w:r w:rsidRPr="00F13ECB">
        <w:rPr>
          <w:rFonts w:ascii="Times New Roman" w:hAnsi="Times New Roman" w:cs="Times New Roman"/>
          <w:sz w:val="24"/>
          <w:szCs w:val="24"/>
          <w:u w:val="single"/>
        </w:rPr>
        <w:t>Collection Development</w:t>
      </w:r>
    </w:p>
    <w:p w:rsidR="002B37E3" w:rsidRPr="00F13ECB" w:rsidP="00F13ECB" w14:paraId="1600477B" w14:textId="77777777">
      <w:pPr>
        <w:pStyle w:val="ListParagraph"/>
        <w:spacing w:after="0" w:line="240" w:lineRule="auto"/>
        <w:ind w:left="0"/>
        <w:rPr>
          <w:rFonts w:ascii="Times New Roman" w:hAnsi="Times New Roman" w:cs="Times New Roman"/>
          <w:sz w:val="24"/>
          <w:szCs w:val="24"/>
        </w:rPr>
      </w:pPr>
    </w:p>
    <w:p w:rsidR="002B37E3" w:rsidRPr="00F13ECB" w:rsidP="00F13ECB" w14:paraId="23C2F960" w14:textId="6CB51649">
      <w:pPr>
        <w:pStyle w:val="ListParagraph"/>
        <w:spacing w:after="0" w:line="240" w:lineRule="auto"/>
        <w:ind w:left="1080"/>
        <w:rPr>
          <w:rFonts w:ascii="Times New Roman" w:hAnsi="Times New Roman" w:cs="Times New Roman"/>
          <w:sz w:val="24"/>
          <w:szCs w:val="24"/>
        </w:rPr>
      </w:pPr>
      <w:r w:rsidRPr="00F13ECB">
        <w:rPr>
          <w:rFonts w:ascii="Times New Roman" w:hAnsi="Times New Roman" w:cs="Times New Roman"/>
          <w:sz w:val="24"/>
          <w:szCs w:val="24"/>
        </w:rPr>
        <w:t xml:space="preserve">The FBI has conducted the </w:t>
      </w:r>
      <w:r w:rsidR="001A209D">
        <w:rPr>
          <w:rFonts w:ascii="Times New Roman" w:hAnsi="Times New Roman" w:cs="Times New Roman"/>
          <w:sz w:val="24"/>
          <w:szCs w:val="24"/>
        </w:rPr>
        <w:t>law enforcement</w:t>
      </w:r>
      <w:r w:rsidRPr="00F13ECB">
        <w:rPr>
          <w:rFonts w:ascii="Times New Roman" w:hAnsi="Times New Roman" w:cs="Times New Roman"/>
          <w:sz w:val="24"/>
          <w:szCs w:val="24"/>
        </w:rPr>
        <w:t xml:space="preserve"> employee data collection since 1930 with high rates of response.  Today, the FBI</w:t>
      </w:r>
      <w:r w:rsidRPr="00F13ECB" w:rsidR="00D37CDA">
        <w:rPr>
          <w:rFonts w:ascii="Times New Roman" w:hAnsi="Times New Roman" w:cs="Times New Roman"/>
          <w:sz w:val="24"/>
          <w:szCs w:val="24"/>
        </w:rPr>
        <w:t>’s</w:t>
      </w:r>
      <w:r w:rsidRPr="00F13ECB">
        <w:rPr>
          <w:rFonts w:ascii="Times New Roman" w:hAnsi="Times New Roman" w:cs="Times New Roman"/>
          <w:sz w:val="24"/>
          <w:szCs w:val="24"/>
        </w:rPr>
        <w:t xml:space="preserve"> UCR Program receives </w:t>
      </w:r>
      <w:r w:rsidR="002B254F">
        <w:rPr>
          <w:rFonts w:ascii="Times New Roman" w:hAnsi="Times New Roman" w:cs="Times New Roman"/>
          <w:sz w:val="24"/>
          <w:szCs w:val="24"/>
        </w:rPr>
        <w:t xml:space="preserve">advice and </w:t>
      </w:r>
      <w:r w:rsidRPr="00F13ECB">
        <w:rPr>
          <w:rFonts w:ascii="Times New Roman" w:hAnsi="Times New Roman" w:cs="Times New Roman"/>
          <w:sz w:val="24"/>
          <w:szCs w:val="24"/>
        </w:rPr>
        <w:t xml:space="preserve">guidance for implementing or making changes to a data collection from the CJIS APB.  The APB, which is organized and exists under the Federal Advisory Committee Act, was established to </w:t>
      </w:r>
      <w:r w:rsidR="002B254F">
        <w:rPr>
          <w:rFonts w:ascii="Times New Roman" w:hAnsi="Times New Roman" w:cs="Times New Roman"/>
          <w:sz w:val="24"/>
          <w:szCs w:val="24"/>
        </w:rPr>
        <w:t>implement</w:t>
      </w:r>
      <w:r w:rsidRPr="00F13ECB">
        <w:rPr>
          <w:rFonts w:ascii="Times New Roman" w:hAnsi="Times New Roman" w:cs="Times New Roman"/>
          <w:sz w:val="24"/>
          <w:szCs w:val="24"/>
        </w:rPr>
        <w:t xml:space="preserve"> a “shared management” concept with the nation’s law enforcement community for all criminal justice information systems managed by the </w:t>
      </w:r>
      <w:r w:rsidRPr="00F13ECB" w:rsidR="00D37CDA">
        <w:rPr>
          <w:rFonts w:ascii="Times New Roman" w:hAnsi="Times New Roman" w:cs="Times New Roman"/>
          <w:sz w:val="24"/>
          <w:szCs w:val="24"/>
        </w:rPr>
        <w:t xml:space="preserve">FBI’s </w:t>
      </w:r>
      <w:r w:rsidRPr="00F13ECB">
        <w:rPr>
          <w:rFonts w:ascii="Times New Roman" w:hAnsi="Times New Roman" w:cs="Times New Roman"/>
          <w:sz w:val="24"/>
          <w:szCs w:val="24"/>
        </w:rPr>
        <w:t xml:space="preserve">CJIS Division.  It ensures </w:t>
      </w:r>
      <w:r w:rsidRPr="00F13ECB" w:rsidR="00D37CDA">
        <w:rPr>
          <w:rFonts w:ascii="Times New Roman" w:hAnsi="Times New Roman" w:cs="Times New Roman"/>
          <w:sz w:val="24"/>
          <w:szCs w:val="24"/>
        </w:rPr>
        <w:t>LEAs</w:t>
      </w:r>
      <w:r w:rsidRPr="00F13ECB">
        <w:rPr>
          <w:rFonts w:ascii="Times New Roman" w:hAnsi="Times New Roman" w:cs="Times New Roman"/>
          <w:sz w:val="24"/>
          <w:szCs w:val="24"/>
        </w:rPr>
        <w:t xml:space="preserve"> </w:t>
      </w:r>
      <w:r w:rsidRPr="00F13ECB">
        <w:rPr>
          <w:rFonts w:ascii="Times New Roman" w:hAnsi="Times New Roman" w:cs="Times New Roman"/>
          <w:sz w:val="24"/>
          <w:szCs w:val="24"/>
        </w:rPr>
        <w:t>ha</w:t>
      </w:r>
      <w:r w:rsidRPr="00F13ECB" w:rsidR="00D37CDA">
        <w:rPr>
          <w:rFonts w:ascii="Times New Roman" w:hAnsi="Times New Roman" w:cs="Times New Roman"/>
          <w:sz w:val="24"/>
          <w:szCs w:val="24"/>
        </w:rPr>
        <w:t>ve</w:t>
      </w:r>
      <w:r w:rsidRPr="00F13ECB">
        <w:rPr>
          <w:rFonts w:ascii="Times New Roman" w:hAnsi="Times New Roman" w:cs="Times New Roman"/>
          <w:sz w:val="24"/>
          <w:szCs w:val="24"/>
        </w:rPr>
        <w:t xml:space="preserve"> the opportunity to</w:t>
      </w:r>
      <w:r w:rsidRPr="00F13ECB">
        <w:rPr>
          <w:rFonts w:ascii="Times New Roman" w:hAnsi="Times New Roman" w:cs="Times New Roman"/>
          <w:sz w:val="24"/>
          <w:szCs w:val="24"/>
        </w:rPr>
        <w:t xml:space="preserve"> discuss and vote on any policy or procedural changes to CJIS systems affecting the FBI’s ability to collect, maintain, and share information with the nationwide criminal justice community.  The APB reviews policy, technical, and operational issues related to the CJIS services and recommends appropriate changes to the Director.  In addition to the APB, the CJIS Advisory Process includes five regional working groups, and ten subcommittees, including the UCR subcommittee.  The CJIS Advisory Process is an effective way to discuss proposed concepts and develop the shared systems which support law enforcement and criminal justice agencies.</w:t>
      </w:r>
    </w:p>
    <w:p w:rsidR="002B37E3" w:rsidRPr="00F13ECB" w:rsidP="00F13ECB" w14:paraId="09E59A7D" w14:textId="77777777">
      <w:pPr>
        <w:pStyle w:val="ListParagraph"/>
        <w:spacing w:after="0" w:line="240" w:lineRule="auto"/>
        <w:ind w:left="1080"/>
        <w:rPr>
          <w:rFonts w:ascii="Times New Roman" w:hAnsi="Times New Roman" w:cs="Times New Roman"/>
          <w:sz w:val="24"/>
          <w:szCs w:val="24"/>
        </w:rPr>
      </w:pPr>
    </w:p>
    <w:p w:rsidR="002B37E3" w:rsidRPr="00F13ECB" w:rsidP="00F13ECB" w14:paraId="4864733E" w14:textId="3685C5E0">
      <w:pPr>
        <w:pStyle w:val="ListParagraph"/>
        <w:spacing w:after="0" w:line="240" w:lineRule="auto"/>
        <w:ind w:left="1080"/>
        <w:rPr>
          <w:rFonts w:ascii="Times New Roman" w:hAnsi="Times New Roman" w:cs="Times New Roman"/>
          <w:sz w:val="24"/>
          <w:szCs w:val="24"/>
        </w:rPr>
      </w:pPr>
      <w:r w:rsidRPr="00F13ECB">
        <w:rPr>
          <w:rFonts w:ascii="Times New Roman" w:hAnsi="Times New Roman" w:cs="Times New Roman"/>
          <w:sz w:val="24"/>
          <w:szCs w:val="24"/>
        </w:rPr>
        <w:t xml:space="preserve">With the addition of the </w:t>
      </w:r>
      <w:r w:rsidRPr="00F13ECB">
        <w:rPr>
          <w:rFonts w:ascii="Times New Roman" w:hAnsi="Times New Roman" w:cs="Times New Roman"/>
          <w:sz w:val="24"/>
          <w:szCs w:val="24"/>
        </w:rPr>
        <w:t>UoF</w:t>
      </w:r>
      <w:r w:rsidRPr="00F13ECB">
        <w:rPr>
          <w:rFonts w:ascii="Times New Roman" w:hAnsi="Times New Roman" w:cs="Times New Roman"/>
          <w:sz w:val="24"/>
          <w:szCs w:val="24"/>
        </w:rPr>
        <w:t xml:space="preserve"> data collection, the FBI</w:t>
      </w:r>
      <w:r w:rsidRPr="00F13ECB" w:rsidR="00D37CDA">
        <w:rPr>
          <w:rFonts w:ascii="Times New Roman" w:hAnsi="Times New Roman" w:cs="Times New Roman"/>
          <w:sz w:val="24"/>
          <w:szCs w:val="24"/>
        </w:rPr>
        <w:t>’s</w:t>
      </w:r>
      <w:r w:rsidRPr="00F13ECB">
        <w:rPr>
          <w:rFonts w:ascii="Times New Roman" w:hAnsi="Times New Roman" w:cs="Times New Roman"/>
          <w:sz w:val="24"/>
          <w:szCs w:val="24"/>
        </w:rPr>
        <w:t xml:space="preserve"> UCR Program add</w:t>
      </w:r>
      <w:r w:rsidRPr="00F13ECB" w:rsidR="00D37CDA">
        <w:rPr>
          <w:rFonts w:ascii="Times New Roman" w:hAnsi="Times New Roman" w:cs="Times New Roman"/>
          <w:sz w:val="24"/>
          <w:szCs w:val="24"/>
        </w:rPr>
        <w:t>ed</w:t>
      </w:r>
      <w:r w:rsidRPr="00F13ECB">
        <w:rPr>
          <w:rFonts w:ascii="Times New Roman" w:hAnsi="Times New Roman" w:cs="Times New Roman"/>
          <w:sz w:val="24"/>
          <w:szCs w:val="24"/>
        </w:rPr>
        <w:t xml:space="preserve"> the following data collection elements to the </w:t>
      </w:r>
      <w:r w:rsidR="001A209D">
        <w:rPr>
          <w:rFonts w:ascii="Times New Roman" w:hAnsi="Times New Roman" w:cs="Times New Roman"/>
          <w:sz w:val="24"/>
          <w:szCs w:val="24"/>
        </w:rPr>
        <w:t>law enforcement</w:t>
      </w:r>
      <w:r w:rsidRPr="00F13ECB">
        <w:rPr>
          <w:rFonts w:ascii="Times New Roman" w:hAnsi="Times New Roman" w:cs="Times New Roman"/>
          <w:sz w:val="24"/>
          <w:szCs w:val="24"/>
        </w:rPr>
        <w:t xml:space="preserve"> employee data collection.</w:t>
      </w:r>
      <w:r w:rsidRPr="00F13ECB" w:rsidR="00D37CDA">
        <w:rPr>
          <w:rFonts w:ascii="Times New Roman" w:hAnsi="Times New Roman" w:cs="Times New Roman"/>
          <w:sz w:val="24"/>
          <w:szCs w:val="24"/>
        </w:rPr>
        <w:t xml:space="preserve">  These will create more comprehensive datasets for both collections.</w:t>
      </w:r>
    </w:p>
    <w:p w:rsidR="002B37E3" w:rsidRPr="00F13ECB" w:rsidP="00F13ECB" w14:paraId="50A5F673" w14:textId="77777777">
      <w:pPr>
        <w:pStyle w:val="ListParagraph"/>
        <w:spacing w:after="0" w:line="240" w:lineRule="auto"/>
        <w:ind w:left="1080"/>
        <w:rPr>
          <w:rFonts w:ascii="Times New Roman" w:hAnsi="Times New Roman" w:cs="Times New Roman"/>
          <w:sz w:val="24"/>
          <w:szCs w:val="24"/>
        </w:rPr>
      </w:pPr>
    </w:p>
    <w:p w:rsidR="002B37E3" w:rsidRPr="00F13ECB" w:rsidP="00F13ECB" w14:paraId="09EC8D52" w14:textId="77777777">
      <w:pPr>
        <w:pStyle w:val="ListParagraph"/>
        <w:numPr>
          <w:ilvl w:val="0"/>
          <w:numId w:val="2"/>
        </w:numPr>
        <w:spacing w:after="0" w:line="240" w:lineRule="auto"/>
        <w:rPr>
          <w:rFonts w:ascii="Times New Roman" w:hAnsi="Times New Roman" w:cs="Times New Roman"/>
          <w:sz w:val="24"/>
          <w:szCs w:val="24"/>
        </w:rPr>
      </w:pPr>
      <w:r w:rsidRPr="00F13ECB">
        <w:rPr>
          <w:rFonts w:ascii="Times New Roman" w:hAnsi="Times New Roman" w:cs="Times New Roman"/>
          <w:sz w:val="24"/>
          <w:szCs w:val="24"/>
        </w:rPr>
        <w:t>The ability to capture part-time and reserve/auxiliary/other LEOs</w:t>
      </w:r>
    </w:p>
    <w:p w:rsidR="002B37E3" w:rsidRPr="00F13ECB" w:rsidP="00F13ECB" w14:paraId="52F639B6" w14:textId="77777777">
      <w:pPr>
        <w:pStyle w:val="ListParagraph"/>
        <w:numPr>
          <w:ilvl w:val="0"/>
          <w:numId w:val="2"/>
        </w:numPr>
        <w:spacing w:after="0" w:line="240" w:lineRule="auto"/>
        <w:rPr>
          <w:rFonts w:ascii="Times New Roman" w:hAnsi="Times New Roman" w:cs="Times New Roman"/>
          <w:sz w:val="24"/>
          <w:szCs w:val="24"/>
        </w:rPr>
      </w:pPr>
      <w:r w:rsidRPr="00F13ECB">
        <w:rPr>
          <w:rFonts w:ascii="Times New Roman" w:hAnsi="Times New Roman" w:cs="Times New Roman"/>
          <w:sz w:val="24"/>
          <w:szCs w:val="24"/>
        </w:rPr>
        <w:t>Race and ethnicity categories</w:t>
      </w:r>
    </w:p>
    <w:p w:rsidR="002B37E3" w:rsidRPr="00F13ECB" w:rsidP="00F13ECB" w14:paraId="4B10DA6D" w14:textId="77777777">
      <w:pPr>
        <w:pStyle w:val="ListParagraph"/>
        <w:spacing w:after="0" w:line="240" w:lineRule="auto"/>
        <w:rPr>
          <w:rFonts w:ascii="Times New Roman" w:hAnsi="Times New Roman" w:cs="Times New Roman"/>
          <w:sz w:val="24"/>
          <w:szCs w:val="24"/>
        </w:rPr>
      </w:pPr>
    </w:p>
    <w:p w:rsidR="002B37E3" w:rsidRPr="00F13ECB" w:rsidP="00F13ECB" w14:paraId="635D4C35" w14:textId="79429AB0">
      <w:pPr>
        <w:pStyle w:val="ListParagraph"/>
        <w:numPr>
          <w:ilvl w:val="0"/>
          <w:numId w:val="1"/>
        </w:numPr>
        <w:spacing w:after="0" w:line="240" w:lineRule="auto"/>
        <w:ind w:left="1080" w:hanging="540"/>
        <w:rPr>
          <w:rFonts w:ascii="Times New Roman" w:hAnsi="Times New Roman" w:cs="Times New Roman"/>
          <w:sz w:val="24"/>
          <w:szCs w:val="24"/>
        </w:rPr>
      </w:pPr>
      <w:r w:rsidRPr="00F13ECB">
        <w:rPr>
          <w:rFonts w:ascii="Times New Roman" w:hAnsi="Times New Roman" w:cs="Times New Roman"/>
          <w:sz w:val="24"/>
          <w:szCs w:val="24"/>
          <w:u w:val="single"/>
        </w:rPr>
        <w:t>Contact</w:t>
      </w:r>
      <w:r w:rsidRPr="00F13ECB" w:rsidR="00F13ECB">
        <w:rPr>
          <w:rFonts w:ascii="Times New Roman" w:hAnsi="Times New Roman" w:cs="Times New Roman"/>
          <w:sz w:val="24"/>
          <w:szCs w:val="24"/>
          <w:u w:val="single"/>
        </w:rPr>
        <w:t>s for Statistical Aspects and Data Collection</w:t>
      </w:r>
    </w:p>
    <w:p w:rsidR="002B37E3" w:rsidRPr="00F13ECB" w:rsidP="00F13ECB" w14:paraId="0D417A47" w14:textId="77777777">
      <w:pPr>
        <w:pStyle w:val="ListParagraph"/>
        <w:spacing w:after="0" w:line="240" w:lineRule="auto"/>
        <w:rPr>
          <w:rFonts w:ascii="Times New Roman" w:hAnsi="Times New Roman" w:cs="Times New Roman"/>
          <w:sz w:val="24"/>
          <w:szCs w:val="24"/>
          <w:u w:val="single"/>
        </w:rPr>
      </w:pPr>
    </w:p>
    <w:p w:rsidR="00F13ECB" w:rsidRPr="00F13ECB" w:rsidP="006A6582" w14:paraId="7B92C0A6" w14:textId="77777777">
      <w:pPr>
        <w:spacing w:after="0" w:line="240" w:lineRule="auto"/>
        <w:ind w:left="1080"/>
        <w:rPr>
          <w:rFonts w:ascii="Times New Roman" w:hAnsi="Times New Roman" w:cs="Times New Roman"/>
          <w:color w:val="000000" w:themeColor="text1"/>
          <w:sz w:val="24"/>
          <w:szCs w:val="24"/>
          <w:u w:val="single"/>
        </w:rPr>
      </w:pPr>
      <w:r w:rsidRPr="00F13ECB">
        <w:rPr>
          <w:rFonts w:ascii="Times New Roman" w:hAnsi="Times New Roman" w:cs="Times New Roman"/>
          <w:color w:val="000000" w:themeColor="text1"/>
          <w:sz w:val="24"/>
          <w:szCs w:val="24"/>
        </w:rPr>
        <w:t>Scott E. Schubert</w:t>
      </w:r>
    </w:p>
    <w:p w:rsidR="00F13ECB" w:rsidRPr="00F13ECB" w:rsidP="006A6582" w14:paraId="47F5883B" w14:textId="77777777">
      <w:pPr>
        <w:pStyle w:val="ListParagraph"/>
        <w:spacing w:after="0" w:line="240" w:lineRule="auto"/>
        <w:ind w:left="540" w:firstLine="54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Law Enforcement Engagement and Data Sharing (LEEDS) Section Chief</w:t>
      </w:r>
    </w:p>
    <w:p w:rsidR="00F13ECB" w:rsidRPr="00F13ECB" w:rsidP="006A6582" w14:paraId="317816E0" w14:textId="77777777">
      <w:pPr>
        <w:pStyle w:val="ListParagraph"/>
        <w:spacing w:after="0" w:line="240" w:lineRule="auto"/>
        <w:ind w:left="540" w:firstLine="54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ucr@fbi.gov</w:t>
      </w:r>
    </w:p>
    <w:p w:rsidR="00F13ECB" w:rsidRPr="00F13ECB" w:rsidP="006A6582" w14:paraId="6712683D" w14:textId="77777777">
      <w:pPr>
        <w:pStyle w:val="ListParagraph"/>
        <w:spacing w:after="0" w:line="240" w:lineRule="auto"/>
        <w:ind w:left="540" w:firstLine="54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304-625-4830</w:t>
      </w:r>
    </w:p>
    <w:p w:rsidR="00F13ECB" w:rsidRPr="00F13ECB" w:rsidP="006A6582" w14:paraId="4835D655" w14:textId="77777777">
      <w:pPr>
        <w:pStyle w:val="ListParagraph"/>
        <w:spacing w:after="0" w:line="240" w:lineRule="auto"/>
        <w:ind w:left="540" w:firstLine="540"/>
        <w:rPr>
          <w:rFonts w:ascii="Times New Roman" w:hAnsi="Times New Roman" w:cs="Times New Roman"/>
          <w:color w:val="000000" w:themeColor="text1"/>
          <w:sz w:val="24"/>
          <w:szCs w:val="24"/>
        </w:rPr>
      </w:pPr>
    </w:p>
    <w:p w:rsidR="00F13ECB" w:rsidRPr="00F13ECB" w:rsidP="006A6582" w14:paraId="546C637A" w14:textId="77777777">
      <w:pPr>
        <w:pStyle w:val="ListParagraph"/>
        <w:spacing w:after="0" w:line="240" w:lineRule="auto"/>
        <w:ind w:left="540" w:firstLine="54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 xml:space="preserve">Joey L. </w:t>
      </w:r>
      <w:r w:rsidRPr="00F13ECB">
        <w:rPr>
          <w:rFonts w:ascii="Times New Roman" w:hAnsi="Times New Roman" w:cs="Times New Roman"/>
          <w:color w:val="000000" w:themeColor="text1"/>
          <w:sz w:val="24"/>
          <w:szCs w:val="24"/>
        </w:rPr>
        <w:t>Hixenbaugh</w:t>
      </w:r>
    </w:p>
    <w:p w:rsidR="00F13ECB" w:rsidRPr="00F13ECB" w:rsidP="006A6582" w14:paraId="5D312F09" w14:textId="77777777">
      <w:pPr>
        <w:pStyle w:val="ListParagraph"/>
        <w:spacing w:after="0" w:line="240" w:lineRule="auto"/>
        <w:ind w:left="540" w:firstLine="54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LEEDS Assistant Section Chief</w:t>
      </w:r>
    </w:p>
    <w:p w:rsidR="00F13ECB" w:rsidRPr="00F13ECB" w:rsidP="006A6582" w14:paraId="42E665CE" w14:textId="77777777">
      <w:pPr>
        <w:pStyle w:val="ListParagraph"/>
        <w:spacing w:after="0" w:line="240" w:lineRule="auto"/>
        <w:ind w:left="540" w:firstLine="54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ucr@fbi.gov</w:t>
      </w:r>
    </w:p>
    <w:p w:rsidR="00F13ECB" w:rsidRPr="00F13ECB" w:rsidP="006A6582" w14:paraId="1BDC5B24" w14:textId="77777777">
      <w:pPr>
        <w:pStyle w:val="ListParagraph"/>
        <w:spacing w:after="0" w:line="240" w:lineRule="auto"/>
        <w:ind w:left="540" w:firstLine="54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304-625-4830</w:t>
      </w:r>
    </w:p>
    <w:p w:rsidR="00F13ECB" w:rsidRPr="00F13ECB" w:rsidP="006A6582" w14:paraId="6FA13C9B" w14:textId="77777777">
      <w:pPr>
        <w:pStyle w:val="ListParagraph"/>
        <w:spacing w:after="0" w:line="240" w:lineRule="auto"/>
        <w:ind w:left="540" w:firstLine="540"/>
        <w:rPr>
          <w:rFonts w:ascii="Times New Roman" w:hAnsi="Times New Roman" w:cs="Times New Roman"/>
          <w:color w:val="000000" w:themeColor="text1"/>
          <w:sz w:val="24"/>
          <w:szCs w:val="24"/>
        </w:rPr>
      </w:pPr>
    </w:p>
    <w:p w:rsidR="00F13ECB" w:rsidRPr="00F13ECB" w:rsidP="006A6582" w14:paraId="179EFFEC" w14:textId="674F17B7">
      <w:pPr>
        <w:pStyle w:val="ListParagraph"/>
        <w:spacing w:after="0" w:line="240" w:lineRule="auto"/>
        <w:ind w:left="540"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Linda Shriver</w:t>
      </w:r>
    </w:p>
    <w:p w:rsidR="00F13ECB" w:rsidRPr="00F13ECB" w:rsidP="006A6582" w14:paraId="49CCACB8" w14:textId="36277D3F">
      <w:pPr>
        <w:pStyle w:val="ListParagraph"/>
        <w:spacing w:after="0" w:line="240" w:lineRule="auto"/>
        <w:ind w:left="540" w:firstLine="54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Crime and Law Enforcement Statistics Unit</w:t>
      </w:r>
      <w:r w:rsidR="009860D4">
        <w:rPr>
          <w:rFonts w:ascii="Times New Roman" w:hAnsi="Times New Roman" w:cs="Times New Roman"/>
          <w:color w:val="000000" w:themeColor="text1"/>
          <w:sz w:val="24"/>
          <w:szCs w:val="24"/>
        </w:rPr>
        <w:t>, Acting</w:t>
      </w:r>
      <w:r w:rsidRPr="00F13ECB">
        <w:rPr>
          <w:rFonts w:ascii="Times New Roman" w:hAnsi="Times New Roman" w:cs="Times New Roman"/>
          <w:color w:val="000000" w:themeColor="text1"/>
          <w:sz w:val="24"/>
          <w:szCs w:val="24"/>
        </w:rPr>
        <w:t xml:space="preserve"> Chief</w:t>
      </w:r>
    </w:p>
    <w:p w:rsidR="00F13ECB" w:rsidRPr="00F13ECB" w:rsidP="006A6582" w14:paraId="4C0ADA39" w14:textId="77777777">
      <w:pPr>
        <w:pStyle w:val="ListParagraph"/>
        <w:spacing w:after="0" w:line="240" w:lineRule="auto"/>
        <w:ind w:left="540" w:firstLine="54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ucr@fbi.gov</w:t>
      </w:r>
    </w:p>
    <w:p w:rsidR="00F13ECB" w:rsidRPr="00F13ECB" w:rsidP="006A6582" w14:paraId="57628C34" w14:textId="77777777">
      <w:pPr>
        <w:pStyle w:val="ListParagraph"/>
        <w:spacing w:after="0" w:line="240" w:lineRule="auto"/>
        <w:ind w:left="540" w:firstLine="54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304-625-4830</w:t>
      </w:r>
    </w:p>
    <w:p w:rsidR="00F13ECB" w:rsidRPr="00F13ECB" w:rsidP="00F13ECB" w14:paraId="7AA99C60" w14:textId="77777777">
      <w:pPr>
        <w:pStyle w:val="ListParagraph"/>
        <w:spacing w:after="0" w:line="240" w:lineRule="auto"/>
        <w:rPr>
          <w:rFonts w:ascii="Times New Roman" w:hAnsi="Times New Roman" w:cs="Times New Roman"/>
          <w:color w:val="000000" w:themeColor="text1"/>
          <w:sz w:val="24"/>
          <w:szCs w:val="24"/>
        </w:rPr>
      </w:pPr>
    </w:p>
    <w:p w:rsidR="00F13ECB" w:rsidRPr="00F13ECB" w:rsidP="006A6582" w14:paraId="707E7D90" w14:textId="77777777">
      <w:pPr>
        <w:pStyle w:val="ListParagraph"/>
        <w:spacing w:after="0" w:line="240" w:lineRule="auto"/>
        <w:ind w:left="108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Chad M. Garman</w:t>
      </w:r>
    </w:p>
    <w:p w:rsidR="00F13ECB" w:rsidRPr="00F13ECB" w:rsidP="006A6582" w14:paraId="3FA3F68C" w14:textId="77777777">
      <w:pPr>
        <w:pStyle w:val="ListParagraph"/>
        <w:spacing w:after="0" w:line="240" w:lineRule="auto"/>
        <w:ind w:left="108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Supervisory Survey Statistician</w:t>
      </w:r>
    </w:p>
    <w:p w:rsidR="00F13ECB" w:rsidRPr="00F13ECB" w:rsidP="006A6582" w14:paraId="10362ECE" w14:textId="77777777">
      <w:pPr>
        <w:pStyle w:val="ListParagraph"/>
        <w:spacing w:after="0" w:line="240" w:lineRule="auto"/>
        <w:ind w:left="108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ucr@fbi.gov</w:t>
      </w:r>
    </w:p>
    <w:p w:rsidR="00F13ECB" w:rsidRPr="00F13ECB" w:rsidP="006A6582" w14:paraId="09AE556E" w14:textId="77777777">
      <w:pPr>
        <w:pStyle w:val="ListParagraph"/>
        <w:spacing w:after="0" w:line="240" w:lineRule="auto"/>
        <w:ind w:left="108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304-625-4830</w:t>
      </w:r>
    </w:p>
    <w:p w:rsidR="00F13ECB" w:rsidRPr="00F13ECB" w:rsidP="006A6582" w14:paraId="0010001B" w14:textId="77777777">
      <w:pPr>
        <w:pStyle w:val="ListParagraph"/>
        <w:spacing w:after="0" w:line="240" w:lineRule="auto"/>
        <w:ind w:left="1080"/>
        <w:rPr>
          <w:rFonts w:ascii="Times New Roman" w:hAnsi="Times New Roman" w:cs="Times New Roman"/>
          <w:color w:val="000000" w:themeColor="text1"/>
          <w:sz w:val="24"/>
          <w:szCs w:val="24"/>
        </w:rPr>
      </w:pPr>
    </w:p>
    <w:p w:rsidR="00F13ECB" w:rsidRPr="00F13ECB" w:rsidP="006A6582" w14:paraId="00E0C68E" w14:textId="77777777">
      <w:pPr>
        <w:pStyle w:val="ListParagraph"/>
        <w:spacing w:after="0" w:line="240" w:lineRule="auto"/>
        <w:ind w:left="108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Malissa C. Vavra</w:t>
      </w:r>
    </w:p>
    <w:p w:rsidR="00F13ECB" w:rsidRPr="00F13ECB" w:rsidP="006A6582" w14:paraId="4A2DF8A6" w14:textId="77777777">
      <w:pPr>
        <w:pStyle w:val="ListParagraph"/>
        <w:spacing w:after="0" w:line="240" w:lineRule="auto"/>
        <w:ind w:left="108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Survey Statistician</w:t>
      </w:r>
    </w:p>
    <w:p w:rsidR="00F13ECB" w:rsidRPr="00F13ECB" w:rsidP="006A6582" w14:paraId="60A8CF3D" w14:textId="77777777">
      <w:pPr>
        <w:pStyle w:val="ListParagraph"/>
        <w:spacing w:after="0" w:line="240" w:lineRule="auto"/>
        <w:ind w:left="108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ucr@fbi.gov</w:t>
      </w:r>
    </w:p>
    <w:p w:rsidR="00F13ECB" w:rsidRPr="00F13ECB" w:rsidP="006A6582" w14:paraId="472338A4" w14:textId="77777777">
      <w:pPr>
        <w:pStyle w:val="ListParagraph"/>
        <w:spacing w:after="0" w:line="240" w:lineRule="auto"/>
        <w:ind w:left="1080"/>
        <w:rPr>
          <w:rFonts w:ascii="Times New Roman" w:hAnsi="Times New Roman" w:cs="Times New Roman"/>
          <w:color w:val="000000" w:themeColor="text1"/>
          <w:sz w:val="24"/>
          <w:szCs w:val="24"/>
        </w:rPr>
      </w:pPr>
      <w:r w:rsidRPr="00F13ECB">
        <w:rPr>
          <w:rFonts w:ascii="Times New Roman" w:hAnsi="Times New Roman" w:cs="Times New Roman"/>
          <w:color w:val="000000" w:themeColor="text1"/>
          <w:sz w:val="24"/>
          <w:szCs w:val="24"/>
        </w:rPr>
        <w:t>304-625-4830</w:t>
      </w:r>
    </w:p>
    <w:p w:rsidR="002B37E3" w:rsidRPr="00F13ECB" w:rsidP="00F13ECB" w14:paraId="2C68067E" w14:textId="77777777">
      <w:pPr>
        <w:spacing w:after="0" w:line="240" w:lineRule="auto"/>
        <w:jc w:val="center"/>
        <w:rPr>
          <w:rFonts w:ascii="Times New Roman" w:hAnsi="Times New Roman" w:cs="Times New Roman"/>
          <w:b/>
          <w:sz w:val="24"/>
          <w:szCs w:val="24"/>
        </w:rPr>
      </w:pPr>
    </w:p>
    <w:p w:rsidR="00E60BF1" w:rsidRPr="00F13ECB" w:rsidP="00F13ECB" w14:paraId="6B81947E" w14:textId="77777777">
      <w:pPr>
        <w:spacing w:after="0" w:line="240" w:lineRule="auto"/>
        <w:rPr>
          <w:rFonts w:ascii="Times New Roman" w:hAnsi="Times New Roman" w:cs="Times New Roman"/>
          <w:sz w:val="24"/>
          <w:szCs w:val="24"/>
        </w:rPr>
      </w:pPr>
    </w:p>
    <w:sectPr w:rsidSect="000F336F">
      <w:footerReference w:type="default" r:id="rId8"/>
      <w:footerReference w:type="first" r:id="rId9"/>
      <w:pgSz w:w="12240" w:h="15840"/>
      <w:pgMar w:top="1440" w:right="1440" w:bottom="1440" w:left="1440" w:header="720" w:footer="720" w:gutter="0"/>
      <w:pgNumType w:start="1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3974572"/>
      <w:docPartObj>
        <w:docPartGallery w:val="Page Numbers (Bottom of Page)"/>
        <w:docPartUnique/>
      </w:docPartObj>
    </w:sdtPr>
    <w:sdtEndPr>
      <w:rPr>
        <w:rFonts w:ascii="Times New Roman" w:hAnsi="Times New Roman" w:cs="Times New Roman"/>
        <w:noProof/>
        <w:sz w:val="24"/>
        <w:szCs w:val="24"/>
      </w:rPr>
    </w:sdtEndPr>
    <w:sdtContent>
      <w:p w:rsidR="000F336F" w:rsidRPr="007D415A" w14:paraId="64546EF5" w14:textId="655D3060">
        <w:pPr>
          <w:pStyle w:val="Footer"/>
          <w:jc w:val="center"/>
          <w:rPr>
            <w:rFonts w:ascii="Times New Roman" w:hAnsi="Times New Roman" w:cs="Times New Roman"/>
            <w:sz w:val="24"/>
            <w:szCs w:val="24"/>
          </w:rPr>
        </w:pPr>
        <w:r w:rsidRPr="007D415A">
          <w:rPr>
            <w:rFonts w:ascii="Times New Roman" w:hAnsi="Times New Roman" w:cs="Times New Roman"/>
            <w:sz w:val="24"/>
            <w:szCs w:val="24"/>
          </w:rPr>
          <w:fldChar w:fldCharType="begin"/>
        </w:r>
        <w:r w:rsidRPr="007D415A">
          <w:rPr>
            <w:rFonts w:ascii="Times New Roman" w:hAnsi="Times New Roman" w:cs="Times New Roman"/>
            <w:sz w:val="24"/>
            <w:szCs w:val="24"/>
          </w:rPr>
          <w:instrText xml:space="preserve"> PAGE   \* MERGEFORMAT </w:instrText>
        </w:r>
        <w:r w:rsidRPr="007D415A">
          <w:rPr>
            <w:rFonts w:ascii="Times New Roman" w:hAnsi="Times New Roman" w:cs="Times New Roman"/>
            <w:sz w:val="24"/>
            <w:szCs w:val="24"/>
          </w:rPr>
          <w:fldChar w:fldCharType="separate"/>
        </w:r>
        <w:r w:rsidRPr="007D415A">
          <w:rPr>
            <w:rFonts w:ascii="Times New Roman" w:hAnsi="Times New Roman" w:cs="Times New Roman"/>
            <w:noProof/>
            <w:sz w:val="24"/>
            <w:szCs w:val="24"/>
          </w:rPr>
          <w:t>2</w:t>
        </w:r>
        <w:r w:rsidRPr="007D415A">
          <w:rPr>
            <w:rFonts w:ascii="Times New Roman" w:hAnsi="Times New Roman" w:cs="Times New Roman"/>
            <w:noProof/>
            <w:sz w:val="24"/>
            <w:szCs w:val="24"/>
          </w:rPr>
          <w:fldChar w:fldCharType="end"/>
        </w:r>
      </w:p>
    </w:sdtContent>
  </w:sdt>
  <w:p w:rsidR="00E60BF1" w14:paraId="4E0F6E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2063172"/>
      <w:docPartObj>
        <w:docPartGallery w:val="Page Numbers (Bottom of Page)"/>
        <w:docPartUnique/>
      </w:docPartObj>
    </w:sdtPr>
    <w:sdtEndPr>
      <w:rPr>
        <w:noProof/>
      </w:rPr>
    </w:sdtEndPr>
    <w:sdtContent>
      <w:p w:rsidR="000F336F" w14:paraId="79D4F382" w14:textId="1E44EB5F">
        <w:pPr>
          <w:pStyle w:val="Footer"/>
          <w:jc w:val="center"/>
        </w:pPr>
        <w:r w:rsidRPr="000F336F">
          <w:rPr>
            <w:rFonts w:ascii="Times New Roman" w:hAnsi="Times New Roman" w:cs="Times New Roman"/>
            <w:sz w:val="24"/>
            <w:szCs w:val="24"/>
          </w:rPr>
          <w:fldChar w:fldCharType="begin"/>
        </w:r>
        <w:r w:rsidRPr="000F336F">
          <w:rPr>
            <w:rFonts w:ascii="Times New Roman" w:hAnsi="Times New Roman" w:cs="Times New Roman"/>
            <w:sz w:val="24"/>
            <w:szCs w:val="24"/>
          </w:rPr>
          <w:instrText xml:space="preserve"> PAGE   \* MERGEFORMAT </w:instrText>
        </w:r>
        <w:r w:rsidRPr="000F336F">
          <w:rPr>
            <w:rFonts w:ascii="Times New Roman" w:hAnsi="Times New Roman" w:cs="Times New Roman"/>
            <w:sz w:val="24"/>
            <w:szCs w:val="24"/>
          </w:rPr>
          <w:fldChar w:fldCharType="separate"/>
        </w:r>
        <w:r w:rsidRPr="000F336F">
          <w:rPr>
            <w:rFonts w:ascii="Times New Roman" w:hAnsi="Times New Roman" w:cs="Times New Roman"/>
            <w:noProof/>
            <w:sz w:val="24"/>
            <w:szCs w:val="24"/>
          </w:rPr>
          <w:t>2</w:t>
        </w:r>
        <w:r w:rsidRPr="000F336F">
          <w:rPr>
            <w:rFonts w:ascii="Times New Roman" w:hAnsi="Times New Roman" w:cs="Times New Roman"/>
            <w:noProof/>
            <w:sz w:val="24"/>
            <w:szCs w:val="24"/>
          </w:rPr>
          <w:fldChar w:fldCharType="end"/>
        </w:r>
      </w:p>
    </w:sdtContent>
  </w:sdt>
  <w:p w:rsidR="000F336F" w14:paraId="20550CB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841392"/>
    <w:multiLevelType w:val="hybridMultilevel"/>
    <w:tmpl w:val="F5323D6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569E3DF5"/>
    <w:multiLevelType w:val="hybridMultilevel"/>
    <w:tmpl w:val="9C1A1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0646143">
    <w:abstractNumId w:val="1"/>
  </w:num>
  <w:num w:numId="2" w16cid:durableId="4445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E3"/>
    <w:rsid w:val="000C511C"/>
    <w:rsid w:val="000D0A86"/>
    <w:rsid w:val="000F336F"/>
    <w:rsid w:val="0013788F"/>
    <w:rsid w:val="001A209D"/>
    <w:rsid w:val="00271973"/>
    <w:rsid w:val="002B254F"/>
    <w:rsid w:val="002B37E3"/>
    <w:rsid w:val="0030474E"/>
    <w:rsid w:val="0032380D"/>
    <w:rsid w:val="00347C8D"/>
    <w:rsid w:val="003918FE"/>
    <w:rsid w:val="003F18BC"/>
    <w:rsid w:val="003F343A"/>
    <w:rsid w:val="00452622"/>
    <w:rsid w:val="0056470F"/>
    <w:rsid w:val="005721D5"/>
    <w:rsid w:val="005A6FB6"/>
    <w:rsid w:val="00612420"/>
    <w:rsid w:val="0066608E"/>
    <w:rsid w:val="006A6582"/>
    <w:rsid w:val="006A7F0C"/>
    <w:rsid w:val="006B4E5A"/>
    <w:rsid w:val="00730235"/>
    <w:rsid w:val="007A4E10"/>
    <w:rsid w:val="007D415A"/>
    <w:rsid w:val="008A5F24"/>
    <w:rsid w:val="00922F5D"/>
    <w:rsid w:val="009860D4"/>
    <w:rsid w:val="009A252C"/>
    <w:rsid w:val="009C777F"/>
    <w:rsid w:val="00A40751"/>
    <w:rsid w:val="00A74AF7"/>
    <w:rsid w:val="00B739D7"/>
    <w:rsid w:val="00C25AA4"/>
    <w:rsid w:val="00C664B0"/>
    <w:rsid w:val="00CB381C"/>
    <w:rsid w:val="00CB778A"/>
    <w:rsid w:val="00D37CDA"/>
    <w:rsid w:val="00D47061"/>
    <w:rsid w:val="00D6199F"/>
    <w:rsid w:val="00DD79A1"/>
    <w:rsid w:val="00E0031D"/>
    <w:rsid w:val="00E5464A"/>
    <w:rsid w:val="00E60BF1"/>
    <w:rsid w:val="00E706AC"/>
    <w:rsid w:val="00E7439D"/>
    <w:rsid w:val="00EF3009"/>
    <w:rsid w:val="00F13ECB"/>
    <w:rsid w:val="00F351CD"/>
    <w:rsid w:val="00F53FB4"/>
    <w:rsid w:val="00F57D3C"/>
    <w:rsid w:val="00FA0B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9E5499"/>
  <w15:chartTrackingRefBased/>
  <w15:docId w15:val="{1D4E8CEB-FB00-4FC2-B4F1-6532EBAA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7E3"/>
    <w:pPr>
      <w:ind w:left="720"/>
      <w:contextualSpacing/>
    </w:pPr>
  </w:style>
  <w:style w:type="paragraph" w:styleId="Footer">
    <w:name w:val="footer"/>
    <w:basedOn w:val="Normal"/>
    <w:link w:val="FooterChar"/>
    <w:uiPriority w:val="99"/>
    <w:unhideWhenUsed/>
    <w:rsid w:val="002B3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7E3"/>
  </w:style>
  <w:style w:type="paragraph" w:styleId="Header">
    <w:name w:val="header"/>
    <w:basedOn w:val="Normal"/>
    <w:link w:val="HeaderChar"/>
    <w:uiPriority w:val="99"/>
    <w:unhideWhenUsed/>
    <w:rsid w:val="006A6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aa7e6b3ba68d072ab911b17179a589aa">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c781460319e0523f0e09f0e479dcdf0c"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Props1.xml><?xml version="1.0" encoding="utf-8"?>
<ds:datastoreItem xmlns:ds="http://schemas.openxmlformats.org/officeDocument/2006/customXml" ds:itemID="{41BE757C-0B9B-460F-B2CE-18791125854E}">
  <ds:schemaRefs>
    <ds:schemaRef ds:uri="http://schemas.openxmlformats.org/officeDocument/2006/bibliography"/>
  </ds:schemaRefs>
</ds:datastoreItem>
</file>

<file path=customXml/itemProps2.xml><?xml version="1.0" encoding="utf-8"?>
<ds:datastoreItem xmlns:ds="http://schemas.openxmlformats.org/officeDocument/2006/customXml" ds:itemID="{4C4DAF2E-6C28-4C94-907D-94B14A6D53AE}">
  <ds:schemaRefs/>
</ds:datastoreItem>
</file>

<file path=customXml/itemProps3.xml><?xml version="1.0" encoding="utf-8"?>
<ds:datastoreItem xmlns:ds="http://schemas.openxmlformats.org/officeDocument/2006/customXml" ds:itemID="{BE1E2CBE-AB21-4A29-90A5-96C533B03AAF}">
  <ds:schemaRefs/>
</ds:datastoreItem>
</file>

<file path=customXml/itemProps4.xml><?xml version="1.0" encoding="utf-8"?>
<ds:datastoreItem xmlns:ds="http://schemas.openxmlformats.org/officeDocument/2006/customXml" ds:itemID="{094532D2-DC34-4C82-9CFF-7821B433E856}">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28</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Julian (RPO) (FBI)</dc:creator>
  <cp:lastModifiedBy>Vavra, Malissa C. (CJISD) (FBI)</cp:lastModifiedBy>
  <cp:revision>3</cp:revision>
  <cp:lastPrinted>2025-02-20T16:07:00Z</cp:lastPrinted>
  <dcterms:created xsi:type="dcterms:W3CDTF">2025-02-20T13:49:00Z</dcterms:created>
  <dcterms:modified xsi:type="dcterms:W3CDTF">2025-02-20T16:08:00Z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ies>
</file>