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46E38" w:rsidRPr="0086545A" w:rsidP="00E46E38" w14:paraId="5E9C877D" w14:textId="77777777">
      <w:pPr>
        <w:jc w:val="center"/>
        <w:rPr>
          <w:b/>
        </w:rPr>
      </w:pPr>
      <w:r>
        <w:rPr>
          <w:b/>
        </w:rPr>
        <w:t>SUPPORTING STATEMENT FOR</w:t>
      </w:r>
    </w:p>
    <w:p w:rsidR="00E46E38" w:rsidRPr="0086545A" w:rsidP="00E46E38" w14:paraId="3606AE43" w14:textId="77777777">
      <w:pPr>
        <w:ind w:left="1440" w:firstLine="720"/>
        <w:rPr>
          <w:rFonts w:cs="Shruti"/>
          <w:b/>
        </w:rPr>
      </w:pPr>
      <w:r w:rsidRPr="0086545A">
        <w:rPr>
          <w:rFonts w:cs="Shruti"/>
          <w:b/>
        </w:rPr>
        <w:t>Application for Registration (DEA Form 225)</w:t>
      </w:r>
    </w:p>
    <w:p w:rsidR="00E46E38" w:rsidRPr="0086545A" w:rsidP="00E46E38" w14:paraId="395810BD" w14:textId="77777777">
      <w:pPr>
        <w:jc w:val="center"/>
        <w:rPr>
          <w:rFonts w:cs="Shruti"/>
          <w:b/>
        </w:rPr>
      </w:pPr>
      <w:r w:rsidRPr="0086545A">
        <w:rPr>
          <w:rFonts w:cs="Shruti"/>
          <w:b/>
        </w:rPr>
        <w:t xml:space="preserve"> Application for Registration Renewal (DEA Form 225a)</w:t>
      </w:r>
    </w:p>
    <w:p w:rsidR="00E46E38" w:rsidRPr="0086545A" w:rsidP="00E46E38" w14:paraId="0286F8AF" w14:textId="77777777">
      <w:pPr>
        <w:jc w:val="center"/>
        <w:rPr>
          <w:rFonts w:cs="Shruti"/>
          <w:b/>
        </w:rPr>
      </w:pPr>
      <w:r w:rsidRPr="0086545A">
        <w:rPr>
          <w:rFonts w:cs="Shruti"/>
          <w:b/>
        </w:rPr>
        <w:t>Affidavit for Chain Renewal (DEA Form 225b)</w:t>
      </w:r>
    </w:p>
    <w:p w:rsidR="00E46E38" w:rsidP="00E46E38" w14:paraId="0EFEF2C5" w14:textId="77777777">
      <w:pPr>
        <w:rPr>
          <w:rFonts w:cs="Shruti"/>
          <w:b/>
        </w:rPr>
      </w:pPr>
    </w:p>
    <w:p w:rsidR="00E46E38" w:rsidP="00E46E38" w14:paraId="65B434F3" w14:textId="77777777"/>
    <w:p w:rsidR="00E46E38" w:rsidP="00E46E38" w14:paraId="4D6046C3" w14:textId="77777777">
      <w:r>
        <w:t xml:space="preserve">The Drug Enforcement Administration (DEA) seeks approval by the Office of Management and Budget (OMB) for an existing collection of information that was previously approved by OMB </w:t>
      </w:r>
      <w:r w:rsidRPr="0086545A">
        <w:t xml:space="preserve">– </w:t>
      </w:r>
      <w:r>
        <w:t>OMB Approval #1117-0012, Application for Registration (DEA Form 225), Application for Registration Renewal (DEA Form 225a), and Affidavit for Chain Renewal (DEA Form 225b).</w:t>
      </w:r>
    </w:p>
    <w:p w:rsidR="00E46E38" w:rsidP="00E46E38" w14:paraId="018783AE" w14:textId="77777777"/>
    <w:p w:rsidR="00E46E38" w:rsidRPr="0086545A" w:rsidP="00E46E38" w14:paraId="46D35FB6" w14:textId="77777777">
      <w:pPr>
        <w:rPr>
          <w:b/>
        </w:rPr>
      </w:pPr>
      <w:r>
        <w:rPr>
          <w:b/>
        </w:rPr>
        <w:t>A</w:t>
      </w:r>
      <w:r w:rsidRPr="0086545A">
        <w:rPr>
          <w:b/>
        </w:rPr>
        <w:t xml:space="preserve">.  </w:t>
      </w:r>
      <w:r>
        <w:rPr>
          <w:b/>
        </w:rPr>
        <w:t>JUSTIFICAITION</w:t>
      </w:r>
    </w:p>
    <w:p w:rsidR="00E46E38" w:rsidP="00E46E38" w14:paraId="360B971F" w14:textId="77777777"/>
    <w:p w:rsidR="00E46E38" w:rsidP="00E46E38" w14:paraId="75B14292" w14:textId="77777777">
      <w:r w:rsidRPr="00BE4382">
        <w:rPr>
          <w:b/>
          <w:bCs/>
        </w:rPr>
        <w:t>1.</w:t>
      </w:r>
      <w:r>
        <w:t xml:space="preserve"> The Controlled Substances Act (CSA) </w:t>
      </w:r>
      <w:r w:rsidRPr="0086545A">
        <w:t>(21 U.S.C. 801</w:t>
      </w:r>
      <w:r>
        <w:t>–</w:t>
      </w:r>
      <w:r w:rsidRPr="0086545A">
        <w:t xml:space="preserve">971) </w:t>
      </w:r>
      <w:r>
        <w:t xml:space="preserve">requires all persons that manufacture, distribute, dispense, conduct research with, import, or export any controlled substance to obtain a registration issued by the Attorney General.  21 U.S.C. 822, 823, 957.  This includes persons that reverse </w:t>
      </w:r>
      <w:r>
        <w:t>distribute, or</w:t>
      </w:r>
      <w:r>
        <w:t xml:space="preserve"> conduct research or chemical or other laboratory analysis of any controlled substance (including canine handlers).  See 21 CFR 1301.13.  Generally, any person who is registered may apply to be reregistered no more than 60 days before the expiration date of their registration.  </w:t>
      </w:r>
      <w:r w:rsidRPr="0027139C">
        <w:t xml:space="preserve">21 CFR 1301.13(b).  </w:t>
      </w:r>
      <w:r>
        <w:t>However, a bulk manufacturer of a schedule I or II controlled substance or an importer of a schedule I or II controlled substance may apply to be reregistered no more than 120 days before the expiration date of their registration.  21 CFR 1301.13(b).</w:t>
      </w:r>
    </w:p>
    <w:p w:rsidR="00E46E38" w:rsidP="00E46E38" w14:paraId="2C53D1BA" w14:textId="77777777"/>
    <w:p w:rsidR="00E46E38" w:rsidP="00E46E38" w14:paraId="26A19B9F" w14:textId="77777777">
      <w:r>
        <w:t>Any person who is required to be registered, but is not so registered, must make an application for registration.  Registration is a necessary control measure that helps to detect and prevent diversion by ensuring that the closed system of distribution of controlled substances can be monitored by DEA, and that the businesses and individuals handling controlled substances are accountable.</w:t>
      </w:r>
    </w:p>
    <w:p w:rsidR="00E46E38" w:rsidP="00E46E38" w14:paraId="20DBEE71" w14:textId="77777777"/>
    <w:p w:rsidR="00E46E38" w:rsidP="00E46E38" w14:paraId="30572A10" w14:textId="77777777">
      <w:r w:rsidRPr="00BE4382">
        <w:rPr>
          <w:b/>
          <w:bCs/>
        </w:rPr>
        <w:t>2.</w:t>
      </w:r>
      <w:r>
        <w:t xml:space="preserve"> DEA Form 225 is utilized by applicants seeking to become registered to manufacture, distribute, reverse distribute, import, export, or conduct research (including canine handling) or laboratory analysis with controlled substances.  DEA Form 225a is utilized for renewals of such registrations on an annual basis.  DEA Form 225b may be utilized by chain registrants to renew multiple registrations.  The information submitted is used to identify persons seeking registration and provide information so that DEA can determine whether registration would be in accordance with the CSA.  See 21 U.S.C. 823, 824, 958.  The purpose of registration and reregistration is to ensure the integrity of the closed system distribution and to track/monitor the movement of controlled substances.</w:t>
      </w:r>
    </w:p>
    <w:p w:rsidR="00E46E38" w:rsidP="00E46E38" w14:paraId="1AF56675" w14:textId="77777777"/>
    <w:p w:rsidR="00E46E38" w:rsidP="00E46E38" w14:paraId="53684449" w14:textId="77777777">
      <w:r w:rsidRPr="00BE4382">
        <w:rPr>
          <w:b/>
          <w:bCs/>
        </w:rPr>
        <w:t>3.</w:t>
      </w:r>
      <w:r w:rsidRPr="00406453">
        <w:t xml:space="preserve"> </w:t>
      </w:r>
      <w:r>
        <w:t>Currently, DEA has a system which permits online registration through the secure network application on the DEA Diversion Control Division web site (</w:t>
      </w:r>
      <w:r w:rsidRPr="00E00A7B">
        <w:t>http</w:t>
      </w:r>
      <w:r>
        <w:t>s</w:t>
      </w:r>
      <w:r w:rsidRPr="00E00A7B">
        <w:t>://www.deadiversion.usdoj.gov</w:t>
      </w:r>
      <w:r>
        <w:t xml:space="preserve">).  Applicants may complete and submit the form </w:t>
      </w:r>
      <w:r>
        <w:t>online, along with credit card payment.  This Final Rule will require 100% online submissions.</w:t>
      </w:r>
    </w:p>
    <w:p w:rsidR="00E46E38" w:rsidP="00E46E38" w14:paraId="62107DAF" w14:textId="77777777"/>
    <w:p w:rsidR="00E46E38" w:rsidP="00E46E38" w14:paraId="2DB28242" w14:textId="77777777">
      <w:r>
        <w:t>Aside from these activities, DEA currently permits chain distributors to renew by submitting to DEA an affidavit and a list of all registrations sought to be renewed on data storage media (e.g., a computer disc).</w:t>
      </w:r>
    </w:p>
    <w:p w:rsidR="00E46E38" w:rsidP="00E46E38" w14:paraId="343BF618" w14:textId="77777777"/>
    <w:p w:rsidR="00E46E38" w:rsidRPr="00BE4382" w:rsidP="00E46E38" w14:paraId="7B5CC192" w14:textId="77777777">
      <w:pPr>
        <w:rPr>
          <w:color w:val="000000"/>
        </w:rPr>
      </w:pPr>
      <w:r w:rsidRPr="00BE4382">
        <w:rPr>
          <w:b/>
          <w:bCs/>
          <w:color w:val="000000"/>
        </w:rPr>
        <w:t>4.</w:t>
      </w:r>
      <w:r>
        <w:rPr>
          <w:color w:val="000000"/>
        </w:rPr>
        <w:t xml:space="preserve"> </w:t>
      </w:r>
      <w:r>
        <w:t>DEA has made efforts to identify and prevent duplication of the collection of information.  The existing DEA Forms 225, 225a, and 225b are not duplicative of any other DEA forms.  The collection of this information is unique to the DEA.</w:t>
      </w:r>
    </w:p>
    <w:p w:rsidR="00E46E38" w:rsidP="00E46E38" w14:paraId="307AE97D" w14:textId="77777777"/>
    <w:p w:rsidR="00E46E38" w:rsidP="00E46E38" w14:paraId="765C262A" w14:textId="77777777">
      <w:r w:rsidRPr="00BE4382">
        <w:rPr>
          <w:b/>
          <w:bCs/>
        </w:rPr>
        <w:t>5.</w:t>
      </w:r>
      <w:r>
        <w:t xml:space="preserve"> This collection will not have a significant economic impact on a substantial number of small entities within the meaning and intent of the Regulatory Flexibility Act, 5 U.S.C. 601–612.</w:t>
      </w:r>
    </w:p>
    <w:p w:rsidR="00E46E38" w:rsidP="00E46E38" w14:paraId="48311D95" w14:textId="77777777"/>
    <w:p w:rsidR="00E46E38" w:rsidP="00E46E38" w14:paraId="1F48AE94" w14:textId="77777777">
      <w:r w:rsidRPr="00BE4382">
        <w:rPr>
          <w:b/>
          <w:bCs/>
        </w:rPr>
        <w:t>6.</w:t>
      </w:r>
      <w:r>
        <w:t xml:space="preserve"> The CSA requires those who manufacture or distribute any controlled substance to obtain a registration on an annual basis.  21 U.S.C. 822(a).  It also states that no registration to import or export a controlled substance shall be issued for a period </w:t>
      </w:r>
      <w:r>
        <w:t>in excess of</w:t>
      </w:r>
      <w:r>
        <w:t xml:space="preserve"> one year.  21 U.S.C. 958(e).  Accordingly, DEA has no discretion with respect to less frequent collection in these instances.  The CSA states that registrations for practitioners (e.g., researchers and analytical laboratories) shall not be “issued for less than one year nor for more than three years.”  21 U.S.C. 822(a)(2).  Researchers (including canine handlers) and analytical laboratories are required to register on an annual basis, because requiring registration less frequently (e.g., every three years) would compromise the closed system of distribution of controlled substances.  For example, researchers must submit a statement with their application for registration describing the protocols to be used in the research.  DEA must be vigilant in reviewing these research protocols, which routinely change, to ensure that research activities do not shift into manufacturing activities that require a separate registration.</w:t>
      </w:r>
    </w:p>
    <w:p w:rsidR="00E46E38" w:rsidP="00E46E38" w14:paraId="425E2840" w14:textId="77777777"/>
    <w:p w:rsidR="00E46E38" w:rsidP="00E46E38" w14:paraId="313AF9D7" w14:textId="77777777">
      <w:r w:rsidRPr="00BE4382">
        <w:rPr>
          <w:b/>
          <w:bCs/>
        </w:rPr>
        <w:t>7.</w:t>
      </w:r>
      <w:r>
        <w:t xml:space="preserve"> There are no special circumstances applicable to this information collection.</w:t>
      </w:r>
    </w:p>
    <w:p w:rsidR="00E46E38" w:rsidP="00E46E38" w14:paraId="3E8F77BC" w14:textId="77777777"/>
    <w:p w:rsidR="00E46E38" w:rsidP="00E46E38" w14:paraId="20F13DD7" w14:textId="3C131230">
      <w:r w:rsidRPr="00BE4382">
        <w:rPr>
          <w:b/>
          <w:bCs/>
        </w:rPr>
        <w:t>8.</w:t>
      </w:r>
      <w:r>
        <w:t xml:space="preserve"> </w:t>
      </w:r>
      <w:r w:rsidRPr="001D5272">
        <w:t xml:space="preserve">The 60-Day Notice was published in the Federal Register on </w:t>
      </w:r>
      <w:r w:rsidR="004D64E2">
        <w:t xml:space="preserve">March 24, 2025, </w:t>
      </w:r>
      <w:r w:rsidRPr="001D5272">
        <w:t>(</w:t>
      </w:r>
      <w:r w:rsidR="004D64E2">
        <w:t>90</w:t>
      </w:r>
      <w:r w:rsidRPr="001D5272" w:rsidR="004D64E2">
        <w:t xml:space="preserve"> </w:t>
      </w:r>
      <w:r w:rsidRPr="001D5272">
        <w:t xml:space="preserve">FR </w:t>
      </w:r>
      <w:r w:rsidR="004D64E2">
        <w:t>13627</w:t>
      </w:r>
      <w:r w:rsidRPr="001D5272">
        <w:t>). The comment period ended on</w:t>
      </w:r>
      <w:r w:rsidR="004D64E2">
        <w:t xml:space="preserve"> May 27, 2025</w:t>
      </w:r>
      <w:r w:rsidRPr="001D5272">
        <w:t>. No comments were received.</w:t>
      </w:r>
    </w:p>
    <w:p w:rsidR="00E46E38" w:rsidP="00E46E38" w14:paraId="61DE3313" w14:textId="77777777"/>
    <w:p w:rsidR="00E46E38" w:rsidP="00E46E38" w14:paraId="245A552B" w14:textId="77777777">
      <w:r>
        <w:t>DEA meets regularly with the affected industry to discuss policies, programs, and regulations.  These meetings provide an open forum to discuss matters of mutual concern with representatives of those entities from whom the information is obtained.</w:t>
      </w:r>
    </w:p>
    <w:p w:rsidR="00E46E38" w:rsidP="00E46E38" w14:paraId="3882105D" w14:textId="77777777"/>
    <w:p w:rsidR="00E46E38" w:rsidP="00E46E38" w14:paraId="70BA8D09" w14:textId="77777777">
      <w:r w:rsidRPr="00BE4382">
        <w:rPr>
          <w:b/>
          <w:bCs/>
        </w:rPr>
        <w:t>9.</w:t>
      </w:r>
      <w:r>
        <w:t xml:space="preserve"> This collection of information does not propose to provide any payment or gift to respondents.</w:t>
      </w:r>
    </w:p>
    <w:p w:rsidR="00E46E38" w:rsidP="00E46E38" w14:paraId="3FC17686" w14:textId="77777777"/>
    <w:p w:rsidR="00E46E38" w:rsidRPr="00E761BB" w:rsidP="00E46E38" w14:paraId="7BECCE04" w14:textId="77777777">
      <w:r w:rsidRPr="00BE4382">
        <w:rPr>
          <w:b/>
          <w:bCs/>
        </w:rPr>
        <w:t>10.</w:t>
      </w:r>
      <w:r>
        <w:t xml:space="preserve"> </w:t>
      </w:r>
      <w:r w:rsidRPr="00E719E1">
        <w:t xml:space="preserve">Information requested in this collection may be considered confidential business information if marked as such in accordance with 28 CFR 16.8(c) and Exemption 4 of the Freedom of Information Act (FOIA).  Submitters who are required to furnish commercial </w:t>
      </w:r>
      <w:r w:rsidRPr="00E719E1">
        <w:t>or financial information to the government are protected from the competitive disadvantages that could result from disclosure of such information.  The</w:t>
      </w:r>
      <w:r>
        <w:t xml:space="preserve"> information is protected by</w:t>
      </w:r>
      <w:r w:rsidRPr="00E719E1">
        <w:t xml:space="preserve"> DEA through secure storage, limited access, and federal regulatory and DEA procedures.  In the event a FOIA request is made to obtain information that has </w:t>
      </w:r>
      <w:r w:rsidRPr="00E761BB">
        <w:t>been designated as confidential business information per 28 CFR 16.8(</w:t>
      </w:r>
      <w:r>
        <w:t xml:space="preserve">c) and Exemption 4 of FOIA, </w:t>
      </w:r>
      <w:r w:rsidRPr="00E761BB">
        <w:t>DEA will give written notice to the submitter to allow an opportunity to object within a reasonable time</w:t>
      </w:r>
      <w:r>
        <w:t xml:space="preserve"> prior to any disclosure by </w:t>
      </w:r>
      <w:r w:rsidRPr="00E761BB">
        <w:t>DEA.</w:t>
      </w:r>
    </w:p>
    <w:p w:rsidR="00E46E38" w:rsidRPr="00E761BB" w:rsidP="00E46E38" w14:paraId="46A85967" w14:textId="77777777"/>
    <w:p w:rsidR="00E46E38" w:rsidRPr="00E761BB" w:rsidP="00E46E38" w14:paraId="437A9843" w14:textId="77777777">
      <w:r w:rsidRPr="00BE4382">
        <w:rPr>
          <w:b/>
          <w:bCs/>
        </w:rPr>
        <w:t>11.</w:t>
      </w:r>
      <w:r w:rsidRPr="00E761BB">
        <w:t xml:space="preserve"> This collection of information does not ask any q</w:t>
      </w:r>
      <w:r>
        <w:t>uestions of a sensitive nature.</w:t>
      </w:r>
    </w:p>
    <w:p w:rsidR="00E46E38" w:rsidRPr="00E761BB" w:rsidP="00E46E38" w14:paraId="513025FE" w14:textId="77777777"/>
    <w:p w:rsidR="00E46E38" w:rsidP="00E46E38" w14:paraId="3F2E7171" w14:textId="02988097">
      <w:r w:rsidRPr="00BE4382">
        <w:rPr>
          <w:b/>
          <w:bCs/>
        </w:rPr>
        <w:t>12.</w:t>
      </w:r>
      <w:r w:rsidRPr="005A7B38">
        <w:t xml:space="preserve"> </w:t>
      </w:r>
      <w:bookmarkStart w:id="0" w:name="OLE_LINK3"/>
      <w:bookmarkStart w:id="1" w:name="OLE_LINK4"/>
      <w:r w:rsidRPr="002114E5">
        <w:t>DEA Form 225 is only for registration of controlled substance manufacturers,</w:t>
      </w:r>
      <w:r>
        <w:t xml:space="preserve"> </w:t>
      </w:r>
      <w:r w:rsidRPr="00E761BB">
        <w:t>distributors, reverse distributors, importers, exporters, resear</w:t>
      </w:r>
      <w:r>
        <w:t xml:space="preserve">chers, analytical laboratories, </w:t>
      </w:r>
      <w:r w:rsidRPr="00E761BB">
        <w:t>canine handlers</w:t>
      </w:r>
      <w:r w:rsidRPr="00960E85">
        <w:t>.  DEA Form 225 is submitted on an as-needed basis by persons seeking to become registered</w:t>
      </w:r>
      <w:r>
        <w:t>;</w:t>
      </w:r>
      <w:r w:rsidRPr="00960E85">
        <w:t xml:space="preserve"> DEA Form 225a is submitted annually thereafter to renew existing registrations</w:t>
      </w:r>
      <w:r>
        <w:t xml:space="preserve">; </w:t>
      </w:r>
      <w:r w:rsidRPr="00960E85">
        <w:t>and DEA Form 225b is submitted annually for renewals of chain regi</w:t>
      </w:r>
      <w:r>
        <w:t xml:space="preserve">strants.  Chain registrants are distributors </w:t>
      </w:r>
      <w:r w:rsidRPr="00960E85">
        <w:t>that maintain separate registrations at multiple locations and may renew all their registration</w:t>
      </w:r>
      <w:r>
        <w:t xml:space="preserve">s using a single DEA Form 225b.  DEA estimates </w:t>
      </w:r>
      <w:r w:rsidR="00986632">
        <w:t>7</w:t>
      </w:r>
      <w:r w:rsidRPr="002D6B00">
        <w:t xml:space="preserve"> chains represent</w:t>
      </w:r>
      <w:r>
        <w:t>ing</w:t>
      </w:r>
      <w:r w:rsidRPr="002D6B00">
        <w:t xml:space="preserve"> </w:t>
      </w:r>
      <w:r w:rsidR="00986632">
        <w:t>262</w:t>
      </w:r>
      <w:r w:rsidRPr="002D6B00">
        <w:t xml:space="preserve"> individual registrant locations</w:t>
      </w:r>
      <w:r>
        <w:t xml:space="preserve">.  </w:t>
      </w:r>
    </w:p>
    <w:p w:rsidR="00E46E38" w:rsidRPr="00E761BB" w:rsidP="00E46E38" w14:paraId="73C2D2AA" w14:textId="77777777"/>
    <w:tbl>
      <w:tblPr>
        <w:tblW w:w="9226" w:type="dxa"/>
        <w:tblLayout w:type="fixed"/>
        <w:tblCellMar>
          <w:top w:w="15" w:type="dxa"/>
        </w:tblCellMar>
        <w:tblLook w:val="04A0"/>
      </w:tblPr>
      <w:tblGrid>
        <w:gridCol w:w="1061"/>
        <w:gridCol w:w="1306"/>
        <w:gridCol w:w="1133"/>
        <w:gridCol w:w="1170"/>
        <w:gridCol w:w="1170"/>
        <w:gridCol w:w="900"/>
        <w:gridCol w:w="900"/>
        <w:gridCol w:w="1350"/>
        <w:gridCol w:w="236"/>
      </w:tblGrid>
      <w:tr w14:paraId="7E11B528" w14:textId="77777777" w:rsidTr="00986632">
        <w:tblPrEx>
          <w:tblW w:w="9226" w:type="dxa"/>
          <w:tblLayout w:type="fixed"/>
          <w:tblCellMar>
            <w:top w:w="15" w:type="dxa"/>
          </w:tblCellMar>
          <w:tblLook w:val="04A0"/>
        </w:tblPrEx>
        <w:trPr>
          <w:gridAfter w:val="1"/>
          <w:wAfter w:w="236" w:type="dxa"/>
          <w:trHeight w:val="1035"/>
        </w:trPr>
        <w:tc>
          <w:tcPr>
            <w:tcW w:w="1061"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986632" w14:paraId="57E8DD88" w14:textId="77777777">
            <w:pPr>
              <w:rPr>
                <w:color w:val="000000"/>
                <w:sz w:val="20"/>
                <w:szCs w:val="20"/>
              </w:rPr>
            </w:pPr>
            <w:r>
              <w:rPr>
                <w:color w:val="000000"/>
                <w:sz w:val="20"/>
                <w:szCs w:val="20"/>
              </w:rPr>
              <w:t> </w:t>
            </w:r>
            <w:r>
              <w:rPr>
                <w:b/>
                <w:bCs/>
                <w:color w:val="000000"/>
                <w:sz w:val="20"/>
                <w:szCs w:val="20"/>
              </w:rPr>
              <w:t xml:space="preserve">Activity </w:t>
            </w:r>
          </w:p>
        </w:tc>
        <w:tc>
          <w:tcPr>
            <w:tcW w:w="1306" w:type="dxa"/>
            <w:tcBorders>
              <w:top w:val="single" w:sz="8" w:space="0" w:color="auto"/>
              <w:left w:val="nil"/>
              <w:bottom w:val="single" w:sz="8" w:space="0" w:color="auto"/>
              <w:right w:val="single" w:sz="8" w:space="0" w:color="auto"/>
            </w:tcBorders>
            <w:shd w:val="clear" w:color="000000" w:fill="C5D9F1"/>
            <w:vAlign w:val="center"/>
            <w:hideMark/>
          </w:tcPr>
          <w:p w:rsidR="00986632" w14:paraId="1B878872" w14:textId="77777777">
            <w:pPr>
              <w:jc w:val="center"/>
              <w:rPr>
                <w:b/>
                <w:bCs/>
                <w:color w:val="000000"/>
                <w:sz w:val="20"/>
                <w:szCs w:val="20"/>
              </w:rPr>
            </w:pPr>
            <w:r>
              <w:rPr>
                <w:b/>
                <w:bCs/>
                <w:color w:val="000000"/>
                <w:sz w:val="20"/>
                <w:szCs w:val="20"/>
              </w:rPr>
              <w:t>Number of Respondents</w:t>
            </w:r>
          </w:p>
        </w:tc>
        <w:tc>
          <w:tcPr>
            <w:tcW w:w="1133" w:type="dxa"/>
            <w:tcBorders>
              <w:top w:val="single" w:sz="8" w:space="0" w:color="auto"/>
              <w:left w:val="nil"/>
              <w:bottom w:val="single" w:sz="8" w:space="0" w:color="auto"/>
              <w:right w:val="single" w:sz="8" w:space="0" w:color="auto"/>
            </w:tcBorders>
            <w:shd w:val="clear" w:color="000000" w:fill="C5D9F1"/>
            <w:vAlign w:val="center"/>
            <w:hideMark/>
          </w:tcPr>
          <w:p w:rsidR="00986632" w14:paraId="398A2F51" w14:textId="77777777">
            <w:pPr>
              <w:jc w:val="center"/>
              <w:rPr>
                <w:b/>
                <w:bCs/>
                <w:color w:val="000000"/>
                <w:sz w:val="20"/>
                <w:szCs w:val="20"/>
              </w:rPr>
            </w:pPr>
            <w:r>
              <w:rPr>
                <w:b/>
                <w:bCs/>
                <w:color w:val="000000"/>
                <w:sz w:val="20"/>
                <w:szCs w:val="20"/>
              </w:rPr>
              <w:t>Frequency</w:t>
            </w:r>
          </w:p>
        </w:tc>
        <w:tc>
          <w:tcPr>
            <w:tcW w:w="1170" w:type="dxa"/>
            <w:tcBorders>
              <w:top w:val="single" w:sz="8" w:space="0" w:color="auto"/>
              <w:left w:val="nil"/>
              <w:bottom w:val="single" w:sz="8" w:space="0" w:color="auto"/>
              <w:right w:val="single" w:sz="8" w:space="0" w:color="auto"/>
            </w:tcBorders>
            <w:shd w:val="clear" w:color="000000" w:fill="C5D9F1"/>
            <w:vAlign w:val="center"/>
            <w:hideMark/>
          </w:tcPr>
          <w:p w:rsidR="00986632" w14:paraId="05460F38" w14:textId="77777777">
            <w:pPr>
              <w:jc w:val="center"/>
              <w:rPr>
                <w:b/>
                <w:bCs/>
                <w:color w:val="000000"/>
                <w:sz w:val="20"/>
                <w:szCs w:val="20"/>
              </w:rPr>
            </w:pPr>
            <w:r>
              <w:rPr>
                <w:b/>
                <w:bCs/>
                <w:color w:val="000000"/>
                <w:sz w:val="20"/>
                <w:szCs w:val="20"/>
              </w:rPr>
              <w:t>Total Annual Responses</w:t>
            </w:r>
          </w:p>
        </w:tc>
        <w:tc>
          <w:tcPr>
            <w:tcW w:w="1170" w:type="dxa"/>
            <w:tcBorders>
              <w:top w:val="single" w:sz="8" w:space="0" w:color="auto"/>
              <w:left w:val="nil"/>
              <w:bottom w:val="single" w:sz="8" w:space="0" w:color="auto"/>
              <w:right w:val="single" w:sz="8" w:space="0" w:color="auto"/>
            </w:tcBorders>
            <w:shd w:val="clear" w:color="000000" w:fill="C5D9F1"/>
            <w:vAlign w:val="center"/>
            <w:hideMark/>
          </w:tcPr>
          <w:p w:rsidR="00986632" w14:paraId="6BC2942F" w14:textId="3FDD1430">
            <w:pPr>
              <w:jc w:val="center"/>
              <w:rPr>
                <w:b/>
                <w:bCs/>
                <w:color w:val="000000"/>
                <w:sz w:val="20"/>
                <w:szCs w:val="20"/>
              </w:rPr>
            </w:pPr>
            <w:r>
              <w:rPr>
                <w:b/>
                <w:bCs/>
                <w:color w:val="000000"/>
                <w:sz w:val="20"/>
                <w:szCs w:val="20"/>
              </w:rPr>
              <w:t xml:space="preserve">Time Per Response </w:t>
            </w:r>
          </w:p>
        </w:tc>
        <w:tc>
          <w:tcPr>
            <w:tcW w:w="900" w:type="dxa"/>
            <w:tcBorders>
              <w:top w:val="single" w:sz="8" w:space="0" w:color="auto"/>
              <w:left w:val="nil"/>
              <w:bottom w:val="single" w:sz="8" w:space="0" w:color="auto"/>
              <w:right w:val="single" w:sz="8" w:space="0" w:color="auto"/>
            </w:tcBorders>
            <w:shd w:val="clear" w:color="000000" w:fill="C5D9F1"/>
            <w:vAlign w:val="center"/>
            <w:hideMark/>
          </w:tcPr>
          <w:p w:rsidR="00986632" w14:paraId="22BBBBCC" w14:textId="77777777">
            <w:pPr>
              <w:jc w:val="center"/>
              <w:rPr>
                <w:b/>
                <w:bCs/>
                <w:color w:val="000000"/>
                <w:sz w:val="20"/>
                <w:szCs w:val="20"/>
              </w:rPr>
            </w:pPr>
            <w:r>
              <w:rPr>
                <w:b/>
                <w:bCs/>
                <w:color w:val="000000"/>
                <w:sz w:val="20"/>
                <w:szCs w:val="20"/>
              </w:rPr>
              <w:t>Total Annual Burden (Hours)</w:t>
            </w:r>
          </w:p>
        </w:tc>
        <w:tc>
          <w:tcPr>
            <w:tcW w:w="900" w:type="dxa"/>
            <w:tcBorders>
              <w:top w:val="single" w:sz="8" w:space="0" w:color="auto"/>
              <w:left w:val="nil"/>
              <w:bottom w:val="single" w:sz="8" w:space="0" w:color="auto"/>
              <w:right w:val="single" w:sz="8" w:space="0" w:color="auto"/>
            </w:tcBorders>
            <w:shd w:val="clear" w:color="000000" w:fill="C5D9F1"/>
            <w:vAlign w:val="center"/>
            <w:hideMark/>
          </w:tcPr>
          <w:p w:rsidR="00986632" w14:paraId="17204A2B" w14:textId="77777777">
            <w:pPr>
              <w:jc w:val="center"/>
              <w:rPr>
                <w:b/>
                <w:bCs/>
                <w:color w:val="000000"/>
                <w:sz w:val="20"/>
                <w:szCs w:val="20"/>
              </w:rPr>
            </w:pPr>
            <w:r>
              <w:rPr>
                <w:b/>
                <w:bCs/>
                <w:color w:val="000000"/>
                <w:sz w:val="20"/>
                <w:szCs w:val="20"/>
              </w:rPr>
              <w:t>Hourly Rate*</w:t>
            </w:r>
          </w:p>
        </w:tc>
        <w:tc>
          <w:tcPr>
            <w:tcW w:w="1350" w:type="dxa"/>
            <w:tcBorders>
              <w:top w:val="single" w:sz="8" w:space="0" w:color="auto"/>
              <w:left w:val="nil"/>
              <w:bottom w:val="single" w:sz="8" w:space="0" w:color="auto"/>
              <w:right w:val="single" w:sz="8" w:space="0" w:color="auto"/>
            </w:tcBorders>
            <w:shd w:val="clear" w:color="000000" w:fill="C5D9F1"/>
            <w:vAlign w:val="center"/>
            <w:hideMark/>
          </w:tcPr>
          <w:p w:rsidR="00986632" w14:paraId="4CCA0AEB" w14:textId="77777777">
            <w:pPr>
              <w:jc w:val="center"/>
              <w:rPr>
                <w:b/>
                <w:bCs/>
                <w:color w:val="000000"/>
                <w:sz w:val="20"/>
                <w:szCs w:val="20"/>
              </w:rPr>
            </w:pPr>
            <w:r>
              <w:rPr>
                <w:b/>
                <w:bCs/>
                <w:color w:val="000000"/>
                <w:sz w:val="20"/>
                <w:szCs w:val="20"/>
              </w:rPr>
              <w:t>Monetized Value of Respondent Time</w:t>
            </w:r>
          </w:p>
        </w:tc>
      </w:tr>
      <w:tr w14:paraId="739622AB" w14:textId="77777777" w:rsidTr="00986632">
        <w:tblPrEx>
          <w:tblW w:w="9226" w:type="dxa"/>
          <w:tblLayout w:type="fixed"/>
          <w:tblCellMar>
            <w:top w:w="15" w:type="dxa"/>
          </w:tblCellMar>
          <w:tblLook w:val="04A0"/>
        </w:tblPrEx>
        <w:trPr>
          <w:gridAfter w:val="1"/>
          <w:wAfter w:w="236" w:type="dxa"/>
          <w:trHeight w:val="907"/>
        </w:trPr>
        <w:tc>
          <w:tcPr>
            <w:tcW w:w="1061" w:type="dxa"/>
            <w:tcBorders>
              <w:top w:val="nil"/>
              <w:left w:val="single" w:sz="8" w:space="0" w:color="auto"/>
              <w:bottom w:val="nil"/>
              <w:right w:val="single" w:sz="8" w:space="0" w:color="auto"/>
            </w:tcBorders>
            <w:shd w:val="clear" w:color="auto" w:fill="auto"/>
            <w:vAlign w:val="center"/>
            <w:hideMark/>
          </w:tcPr>
          <w:p w:rsidR="00986632" w14:paraId="085FACEE" w14:textId="77777777">
            <w:pPr>
              <w:rPr>
                <w:b/>
                <w:bCs/>
                <w:color w:val="000000"/>
                <w:sz w:val="20"/>
                <w:szCs w:val="20"/>
              </w:rPr>
            </w:pPr>
            <w:r>
              <w:rPr>
                <w:b/>
                <w:bCs/>
                <w:color w:val="000000"/>
                <w:sz w:val="20"/>
                <w:szCs w:val="20"/>
              </w:rPr>
              <w:t>DEA 225 (new)</w:t>
            </w:r>
          </w:p>
        </w:tc>
        <w:tc>
          <w:tcPr>
            <w:tcW w:w="1306" w:type="dxa"/>
            <w:tcBorders>
              <w:top w:val="nil"/>
              <w:left w:val="nil"/>
              <w:bottom w:val="nil"/>
              <w:right w:val="single" w:sz="8" w:space="0" w:color="auto"/>
            </w:tcBorders>
            <w:shd w:val="clear" w:color="auto" w:fill="auto"/>
            <w:vAlign w:val="center"/>
            <w:hideMark/>
          </w:tcPr>
          <w:p w:rsidR="00986632" w:rsidP="00986632" w14:paraId="5979E16E" w14:textId="13AEFDAF">
            <w:pPr>
              <w:jc w:val="right"/>
              <w:rPr>
                <w:b/>
                <w:bCs/>
                <w:color w:val="000000"/>
                <w:sz w:val="20"/>
                <w:szCs w:val="20"/>
              </w:rPr>
            </w:pPr>
            <w:r>
              <w:rPr>
                <w:b/>
                <w:bCs/>
                <w:color w:val="000000"/>
                <w:sz w:val="20"/>
                <w:szCs w:val="20"/>
              </w:rPr>
              <w:t>2,006</w:t>
            </w:r>
          </w:p>
        </w:tc>
        <w:tc>
          <w:tcPr>
            <w:tcW w:w="1133" w:type="dxa"/>
            <w:tcBorders>
              <w:top w:val="nil"/>
              <w:left w:val="nil"/>
              <w:bottom w:val="nil"/>
              <w:right w:val="single" w:sz="8" w:space="0" w:color="auto"/>
            </w:tcBorders>
            <w:shd w:val="clear" w:color="auto" w:fill="auto"/>
            <w:vAlign w:val="center"/>
            <w:hideMark/>
          </w:tcPr>
          <w:p w:rsidR="00986632" w:rsidP="00986632" w14:paraId="33CA10EE" w14:textId="77777777">
            <w:pPr>
              <w:jc w:val="right"/>
              <w:rPr>
                <w:b/>
                <w:bCs/>
                <w:color w:val="000000"/>
                <w:sz w:val="20"/>
                <w:szCs w:val="20"/>
              </w:rPr>
            </w:pPr>
            <w:r>
              <w:rPr>
                <w:b/>
                <w:bCs/>
                <w:color w:val="000000"/>
                <w:sz w:val="20"/>
                <w:szCs w:val="20"/>
              </w:rPr>
              <w:t>1</w:t>
            </w:r>
          </w:p>
        </w:tc>
        <w:tc>
          <w:tcPr>
            <w:tcW w:w="1170" w:type="dxa"/>
            <w:tcBorders>
              <w:top w:val="nil"/>
              <w:left w:val="nil"/>
              <w:bottom w:val="nil"/>
              <w:right w:val="single" w:sz="8" w:space="0" w:color="auto"/>
            </w:tcBorders>
            <w:shd w:val="clear" w:color="auto" w:fill="auto"/>
            <w:vAlign w:val="center"/>
            <w:hideMark/>
          </w:tcPr>
          <w:p w:rsidR="00986632" w:rsidP="00986632" w14:paraId="69F83760" w14:textId="77777777">
            <w:pPr>
              <w:jc w:val="right"/>
              <w:rPr>
                <w:b/>
                <w:bCs/>
                <w:color w:val="000000"/>
                <w:sz w:val="20"/>
                <w:szCs w:val="20"/>
              </w:rPr>
            </w:pPr>
            <w:r>
              <w:rPr>
                <w:b/>
                <w:bCs/>
                <w:color w:val="000000"/>
                <w:sz w:val="20"/>
                <w:szCs w:val="20"/>
              </w:rPr>
              <w:t>2006</w:t>
            </w:r>
          </w:p>
        </w:tc>
        <w:tc>
          <w:tcPr>
            <w:tcW w:w="1170" w:type="dxa"/>
            <w:tcBorders>
              <w:top w:val="nil"/>
              <w:left w:val="nil"/>
              <w:bottom w:val="nil"/>
              <w:right w:val="single" w:sz="8" w:space="0" w:color="auto"/>
            </w:tcBorders>
            <w:shd w:val="clear" w:color="auto" w:fill="auto"/>
            <w:vAlign w:val="center"/>
            <w:hideMark/>
          </w:tcPr>
          <w:p w:rsidR="00986632" w:rsidP="00986632" w14:paraId="72715190" w14:textId="3B46DDB1">
            <w:pPr>
              <w:jc w:val="right"/>
              <w:rPr>
                <w:b/>
                <w:bCs/>
                <w:color w:val="000000"/>
                <w:sz w:val="20"/>
                <w:szCs w:val="20"/>
              </w:rPr>
            </w:pPr>
            <w:r>
              <w:rPr>
                <w:b/>
                <w:bCs/>
                <w:color w:val="000000"/>
                <w:sz w:val="20"/>
                <w:szCs w:val="20"/>
              </w:rPr>
              <w:t>0.42 hours (25 mins)</w:t>
            </w:r>
          </w:p>
        </w:tc>
        <w:tc>
          <w:tcPr>
            <w:tcW w:w="900" w:type="dxa"/>
            <w:tcBorders>
              <w:top w:val="nil"/>
              <w:left w:val="nil"/>
              <w:bottom w:val="nil"/>
              <w:right w:val="single" w:sz="8" w:space="0" w:color="auto"/>
            </w:tcBorders>
            <w:shd w:val="clear" w:color="auto" w:fill="auto"/>
            <w:vAlign w:val="center"/>
            <w:hideMark/>
          </w:tcPr>
          <w:p w:rsidR="00986632" w:rsidP="00986632" w14:paraId="0052EC8A" w14:textId="77777777">
            <w:pPr>
              <w:jc w:val="right"/>
              <w:rPr>
                <w:b/>
                <w:bCs/>
                <w:color w:val="000000"/>
                <w:sz w:val="20"/>
                <w:szCs w:val="20"/>
              </w:rPr>
            </w:pPr>
            <w:r>
              <w:rPr>
                <w:b/>
                <w:bCs/>
                <w:color w:val="000000"/>
                <w:sz w:val="20"/>
                <w:szCs w:val="20"/>
              </w:rPr>
              <w:t>843</w:t>
            </w:r>
          </w:p>
        </w:tc>
        <w:tc>
          <w:tcPr>
            <w:tcW w:w="900" w:type="dxa"/>
            <w:tcBorders>
              <w:top w:val="nil"/>
              <w:left w:val="nil"/>
              <w:bottom w:val="nil"/>
              <w:right w:val="single" w:sz="8" w:space="0" w:color="auto"/>
            </w:tcBorders>
            <w:shd w:val="clear" w:color="auto" w:fill="auto"/>
            <w:vAlign w:val="center"/>
            <w:hideMark/>
          </w:tcPr>
          <w:p w:rsidR="00986632" w:rsidP="00986632" w14:paraId="08491AEA" w14:textId="4CAC18C1">
            <w:pPr>
              <w:jc w:val="right"/>
              <w:rPr>
                <w:b/>
                <w:bCs/>
                <w:color w:val="000000"/>
                <w:sz w:val="20"/>
                <w:szCs w:val="20"/>
              </w:rPr>
            </w:pPr>
            <w:r>
              <w:rPr>
                <w:b/>
                <w:bCs/>
                <w:color w:val="000000"/>
                <w:sz w:val="20"/>
                <w:szCs w:val="20"/>
              </w:rPr>
              <w:t>$69.14</w:t>
            </w:r>
          </w:p>
        </w:tc>
        <w:tc>
          <w:tcPr>
            <w:tcW w:w="1350" w:type="dxa"/>
            <w:tcBorders>
              <w:top w:val="nil"/>
              <w:left w:val="nil"/>
              <w:bottom w:val="nil"/>
              <w:right w:val="single" w:sz="8" w:space="0" w:color="auto"/>
            </w:tcBorders>
            <w:shd w:val="clear" w:color="auto" w:fill="auto"/>
            <w:vAlign w:val="center"/>
            <w:hideMark/>
          </w:tcPr>
          <w:p w:rsidR="00986632" w:rsidP="00986632" w14:paraId="779A3FFF" w14:textId="22630307">
            <w:pPr>
              <w:jc w:val="right"/>
              <w:rPr>
                <w:b/>
                <w:bCs/>
                <w:color w:val="000000"/>
                <w:sz w:val="20"/>
                <w:szCs w:val="20"/>
              </w:rPr>
            </w:pPr>
            <w:r>
              <w:rPr>
                <w:b/>
                <w:bCs/>
                <w:color w:val="000000"/>
                <w:sz w:val="20"/>
                <w:szCs w:val="20"/>
              </w:rPr>
              <w:t>$ 58,285.02</w:t>
            </w:r>
          </w:p>
        </w:tc>
      </w:tr>
      <w:tr w14:paraId="275C1DD2" w14:textId="77777777" w:rsidTr="00986632">
        <w:tblPrEx>
          <w:tblW w:w="9226" w:type="dxa"/>
          <w:tblLayout w:type="fixed"/>
          <w:tblCellMar>
            <w:top w:w="15" w:type="dxa"/>
          </w:tblCellMar>
          <w:tblLook w:val="04A0"/>
        </w:tblPrEx>
        <w:trPr>
          <w:gridAfter w:val="1"/>
          <w:wAfter w:w="236" w:type="dxa"/>
          <w:trHeight w:val="487"/>
        </w:trPr>
        <w:tc>
          <w:tcPr>
            <w:tcW w:w="10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86632" w14:paraId="61BCF394" w14:textId="77777777">
            <w:pPr>
              <w:rPr>
                <w:b/>
                <w:bCs/>
                <w:color w:val="000000"/>
                <w:sz w:val="20"/>
                <w:szCs w:val="20"/>
              </w:rPr>
            </w:pPr>
            <w:r>
              <w:rPr>
                <w:b/>
                <w:bCs/>
                <w:color w:val="000000"/>
                <w:sz w:val="20"/>
                <w:szCs w:val="20"/>
              </w:rPr>
              <w:t>DEA 225a (renewal)</w:t>
            </w:r>
          </w:p>
        </w:tc>
        <w:tc>
          <w:tcPr>
            <w:tcW w:w="1306" w:type="dxa"/>
            <w:tcBorders>
              <w:top w:val="single" w:sz="8" w:space="0" w:color="auto"/>
              <w:left w:val="nil"/>
              <w:bottom w:val="single" w:sz="8" w:space="0" w:color="auto"/>
              <w:right w:val="single" w:sz="8" w:space="0" w:color="auto"/>
            </w:tcBorders>
            <w:shd w:val="clear" w:color="auto" w:fill="auto"/>
            <w:vAlign w:val="center"/>
            <w:hideMark/>
          </w:tcPr>
          <w:p w:rsidR="00986632" w:rsidP="00986632" w14:paraId="28D95F8A" w14:textId="1EAE0F46">
            <w:pPr>
              <w:jc w:val="right"/>
              <w:rPr>
                <w:b/>
                <w:bCs/>
                <w:color w:val="000000"/>
                <w:sz w:val="20"/>
                <w:szCs w:val="20"/>
              </w:rPr>
            </w:pPr>
            <w:r>
              <w:rPr>
                <w:b/>
                <w:bCs/>
                <w:color w:val="000000"/>
                <w:sz w:val="20"/>
                <w:szCs w:val="20"/>
              </w:rPr>
              <w:t>14,547</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rsidR="00986632" w:rsidP="00986632" w14:paraId="363304C1" w14:textId="77777777">
            <w:pPr>
              <w:jc w:val="right"/>
              <w:rPr>
                <w:b/>
                <w:bCs/>
                <w:color w:val="000000"/>
                <w:sz w:val="20"/>
                <w:szCs w:val="20"/>
              </w:rPr>
            </w:pPr>
            <w:r>
              <w:rPr>
                <w:b/>
                <w:bCs/>
                <w:color w:val="000000"/>
                <w:sz w:val="20"/>
                <w:szCs w:val="20"/>
              </w:rPr>
              <w:t>1</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986632" w:rsidP="00986632" w14:paraId="5E4A2EDD" w14:textId="77777777">
            <w:pPr>
              <w:jc w:val="right"/>
              <w:rPr>
                <w:b/>
                <w:bCs/>
                <w:color w:val="000000"/>
                <w:sz w:val="20"/>
                <w:szCs w:val="20"/>
              </w:rPr>
            </w:pPr>
            <w:r>
              <w:rPr>
                <w:b/>
                <w:bCs/>
                <w:color w:val="000000"/>
                <w:sz w:val="20"/>
                <w:szCs w:val="20"/>
              </w:rPr>
              <w:t>14547</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986632" w:rsidP="00986632" w14:paraId="5EF4AA73" w14:textId="77777777">
            <w:pPr>
              <w:jc w:val="right"/>
              <w:rPr>
                <w:b/>
                <w:bCs/>
                <w:color w:val="000000"/>
                <w:sz w:val="20"/>
                <w:szCs w:val="20"/>
              </w:rPr>
            </w:pPr>
            <w:r>
              <w:rPr>
                <w:b/>
                <w:bCs/>
                <w:color w:val="000000"/>
                <w:sz w:val="20"/>
                <w:szCs w:val="20"/>
              </w:rPr>
              <w:t>0.17 hours (10 mins)</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986632" w:rsidP="00986632" w14:paraId="6B3BF9A2" w14:textId="77777777">
            <w:pPr>
              <w:jc w:val="right"/>
              <w:rPr>
                <w:b/>
                <w:bCs/>
                <w:color w:val="000000"/>
                <w:sz w:val="20"/>
                <w:szCs w:val="20"/>
              </w:rPr>
            </w:pPr>
            <w:r>
              <w:rPr>
                <w:b/>
                <w:bCs/>
                <w:color w:val="000000"/>
                <w:sz w:val="20"/>
                <w:szCs w:val="20"/>
              </w:rPr>
              <w:t>2473</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986632" w:rsidP="00986632" w14:paraId="76E49F5A" w14:textId="579BA4F6">
            <w:pPr>
              <w:jc w:val="right"/>
              <w:rPr>
                <w:b/>
                <w:bCs/>
                <w:color w:val="000000"/>
                <w:sz w:val="20"/>
                <w:szCs w:val="20"/>
              </w:rPr>
            </w:pPr>
            <w:r>
              <w:rPr>
                <w:b/>
                <w:bCs/>
                <w:color w:val="000000"/>
                <w:sz w:val="20"/>
                <w:szCs w:val="20"/>
              </w:rPr>
              <w:t>$69.14</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rsidR="00986632" w:rsidP="00986632" w14:paraId="3BC2484A" w14:textId="6B0CE3CB">
            <w:pPr>
              <w:jc w:val="right"/>
              <w:rPr>
                <w:b/>
                <w:bCs/>
                <w:color w:val="000000"/>
                <w:sz w:val="20"/>
                <w:szCs w:val="20"/>
              </w:rPr>
            </w:pPr>
            <w:r>
              <w:rPr>
                <w:b/>
                <w:bCs/>
                <w:color w:val="000000"/>
                <w:sz w:val="20"/>
                <w:szCs w:val="20"/>
              </w:rPr>
              <w:t>$170,983.22</w:t>
            </w:r>
          </w:p>
        </w:tc>
      </w:tr>
      <w:tr w14:paraId="4A073A7C" w14:textId="77777777" w:rsidTr="00986632">
        <w:tblPrEx>
          <w:tblW w:w="9226" w:type="dxa"/>
          <w:tblLayout w:type="fixed"/>
          <w:tblCellMar>
            <w:top w:w="15" w:type="dxa"/>
          </w:tblCellMar>
          <w:tblLook w:val="04A0"/>
        </w:tblPrEx>
        <w:trPr>
          <w:gridAfter w:val="1"/>
          <w:wAfter w:w="236" w:type="dxa"/>
          <w:trHeight w:val="817"/>
        </w:trPr>
        <w:tc>
          <w:tcPr>
            <w:tcW w:w="1061" w:type="dxa"/>
            <w:tcBorders>
              <w:top w:val="nil"/>
              <w:left w:val="single" w:sz="8" w:space="0" w:color="auto"/>
              <w:bottom w:val="nil"/>
              <w:right w:val="single" w:sz="8" w:space="0" w:color="auto"/>
            </w:tcBorders>
            <w:shd w:val="clear" w:color="auto" w:fill="auto"/>
            <w:vAlign w:val="center"/>
            <w:hideMark/>
          </w:tcPr>
          <w:p w:rsidR="00986632" w14:paraId="13F0BA16" w14:textId="2F89C400">
            <w:pPr>
              <w:rPr>
                <w:b/>
                <w:bCs/>
                <w:color w:val="000000"/>
                <w:sz w:val="20"/>
                <w:szCs w:val="20"/>
              </w:rPr>
            </w:pPr>
            <w:r>
              <w:rPr>
                <w:b/>
                <w:bCs/>
                <w:color w:val="000000"/>
                <w:sz w:val="20"/>
                <w:szCs w:val="20"/>
              </w:rPr>
              <w:t>DEA 225b (chain renewal)</w:t>
            </w:r>
          </w:p>
        </w:tc>
        <w:tc>
          <w:tcPr>
            <w:tcW w:w="1306" w:type="dxa"/>
            <w:tcBorders>
              <w:top w:val="nil"/>
              <w:left w:val="nil"/>
              <w:bottom w:val="nil"/>
              <w:right w:val="single" w:sz="8" w:space="0" w:color="auto"/>
            </w:tcBorders>
            <w:shd w:val="clear" w:color="auto" w:fill="auto"/>
            <w:vAlign w:val="center"/>
            <w:hideMark/>
          </w:tcPr>
          <w:p w:rsidR="00986632" w:rsidP="00986632" w14:paraId="151FABB2" w14:textId="56CE15C8">
            <w:pPr>
              <w:jc w:val="right"/>
              <w:rPr>
                <w:b/>
                <w:bCs/>
                <w:color w:val="000000"/>
                <w:sz w:val="20"/>
                <w:szCs w:val="20"/>
              </w:rPr>
            </w:pPr>
            <w:r>
              <w:rPr>
                <w:b/>
                <w:bCs/>
                <w:color w:val="000000"/>
                <w:sz w:val="20"/>
                <w:szCs w:val="20"/>
              </w:rPr>
              <w:t>7</w:t>
            </w:r>
          </w:p>
        </w:tc>
        <w:tc>
          <w:tcPr>
            <w:tcW w:w="1133" w:type="dxa"/>
            <w:tcBorders>
              <w:top w:val="nil"/>
              <w:left w:val="nil"/>
              <w:bottom w:val="nil"/>
              <w:right w:val="single" w:sz="8" w:space="0" w:color="auto"/>
            </w:tcBorders>
            <w:shd w:val="clear" w:color="auto" w:fill="auto"/>
            <w:vAlign w:val="center"/>
            <w:hideMark/>
          </w:tcPr>
          <w:p w:rsidR="00986632" w:rsidP="00986632" w14:paraId="7B0A8D00" w14:textId="77777777">
            <w:pPr>
              <w:jc w:val="right"/>
              <w:rPr>
                <w:b/>
                <w:bCs/>
                <w:color w:val="000000"/>
                <w:sz w:val="20"/>
                <w:szCs w:val="20"/>
              </w:rPr>
            </w:pPr>
            <w:r>
              <w:rPr>
                <w:b/>
                <w:bCs/>
                <w:color w:val="000000"/>
                <w:sz w:val="20"/>
                <w:szCs w:val="20"/>
              </w:rPr>
              <w:t>1</w:t>
            </w:r>
          </w:p>
        </w:tc>
        <w:tc>
          <w:tcPr>
            <w:tcW w:w="1170" w:type="dxa"/>
            <w:tcBorders>
              <w:top w:val="nil"/>
              <w:left w:val="nil"/>
              <w:bottom w:val="nil"/>
              <w:right w:val="single" w:sz="8" w:space="0" w:color="auto"/>
            </w:tcBorders>
            <w:shd w:val="clear" w:color="auto" w:fill="auto"/>
            <w:vAlign w:val="center"/>
            <w:hideMark/>
          </w:tcPr>
          <w:p w:rsidR="00986632" w:rsidP="00986632" w14:paraId="5ED021D3" w14:textId="77777777">
            <w:pPr>
              <w:jc w:val="right"/>
              <w:rPr>
                <w:b/>
                <w:bCs/>
                <w:color w:val="000000"/>
                <w:sz w:val="20"/>
                <w:szCs w:val="20"/>
              </w:rPr>
            </w:pPr>
            <w:r>
              <w:rPr>
                <w:b/>
                <w:bCs/>
                <w:color w:val="000000"/>
                <w:sz w:val="20"/>
                <w:szCs w:val="20"/>
              </w:rPr>
              <w:t>7</w:t>
            </w:r>
          </w:p>
        </w:tc>
        <w:tc>
          <w:tcPr>
            <w:tcW w:w="1170" w:type="dxa"/>
            <w:tcBorders>
              <w:top w:val="nil"/>
              <w:left w:val="nil"/>
              <w:bottom w:val="nil"/>
              <w:right w:val="single" w:sz="8" w:space="0" w:color="auto"/>
            </w:tcBorders>
            <w:shd w:val="clear" w:color="auto" w:fill="auto"/>
            <w:vAlign w:val="center"/>
            <w:hideMark/>
          </w:tcPr>
          <w:p w:rsidR="00986632" w:rsidP="00986632" w14:paraId="71AE79FC" w14:textId="3B268D32">
            <w:pPr>
              <w:jc w:val="right"/>
              <w:rPr>
                <w:b/>
                <w:bCs/>
                <w:color w:val="000000"/>
                <w:sz w:val="20"/>
                <w:szCs w:val="20"/>
              </w:rPr>
            </w:pPr>
            <w:r>
              <w:rPr>
                <w:b/>
                <w:bCs/>
                <w:color w:val="000000"/>
                <w:sz w:val="20"/>
                <w:szCs w:val="20"/>
              </w:rPr>
              <w:t>1 hour</w:t>
            </w:r>
          </w:p>
        </w:tc>
        <w:tc>
          <w:tcPr>
            <w:tcW w:w="900" w:type="dxa"/>
            <w:tcBorders>
              <w:top w:val="nil"/>
              <w:left w:val="nil"/>
              <w:bottom w:val="nil"/>
              <w:right w:val="single" w:sz="8" w:space="0" w:color="auto"/>
            </w:tcBorders>
            <w:shd w:val="clear" w:color="auto" w:fill="auto"/>
            <w:vAlign w:val="center"/>
            <w:hideMark/>
          </w:tcPr>
          <w:p w:rsidR="00986632" w:rsidP="00986632" w14:paraId="4D8AACAF" w14:textId="77777777">
            <w:pPr>
              <w:jc w:val="right"/>
              <w:rPr>
                <w:b/>
                <w:bCs/>
                <w:color w:val="000000"/>
                <w:sz w:val="20"/>
                <w:szCs w:val="20"/>
              </w:rPr>
            </w:pPr>
            <w:r>
              <w:rPr>
                <w:b/>
                <w:bCs/>
                <w:color w:val="000000"/>
                <w:sz w:val="20"/>
                <w:szCs w:val="20"/>
              </w:rPr>
              <w:t>7</w:t>
            </w:r>
          </w:p>
        </w:tc>
        <w:tc>
          <w:tcPr>
            <w:tcW w:w="900" w:type="dxa"/>
            <w:tcBorders>
              <w:top w:val="nil"/>
              <w:left w:val="nil"/>
              <w:bottom w:val="single" w:sz="8" w:space="0" w:color="auto"/>
              <w:right w:val="single" w:sz="8" w:space="0" w:color="auto"/>
            </w:tcBorders>
            <w:shd w:val="clear" w:color="auto" w:fill="auto"/>
            <w:vAlign w:val="center"/>
            <w:hideMark/>
          </w:tcPr>
          <w:p w:rsidR="00986632" w:rsidP="00986632" w14:paraId="5C0FA464" w14:textId="177F32A3">
            <w:pPr>
              <w:jc w:val="right"/>
              <w:rPr>
                <w:b/>
                <w:bCs/>
                <w:color w:val="000000"/>
                <w:sz w:val="20"/>
                <w:szCs w:val="20"/>
              </w:rPr>
            </w:pPr>
            <w:r>
              <w:rPr>
                <w:b/>
                <w:bCs/>
                <w:color w:val="000000"/>
                <w:sz w:val="20"/>
                <w:szCs w:val="20"/>
              </w:rPr>
              <w:t>$69.14</w:t>
            </w:r>
          </w:p>
        </w:tc>
        <w:tc>
          <w:tcPr>
            <w:tcW w:w="1350" w:type="dxa"/>
            <w:tcBorders>
              <w:top w:val="nil"/>
              <w:left w:val="nil"/>
              <w:bottom w:val="nil"/>
              <w:right w:val="single" w:sz="8" w:space="0" w:color="auto"/>
            </w:tcBorders>
            <w:shd w:val="clear" w:color="auto" w:fill="auto"/>
            <w:vAlign w:val="center"/>
            <w:hideMark/>
          </w:tcPr>
          <w:p w:rsidR="00986632" w:rsidP="00986632" w14:paraId="5F2282F8" w14:textId="5C1141F2">
            <w:pPr>
              <w:jc w:val="right"/>
              <w:rPr>
                <w:b/>
                <w:bCs/>
                <w:color w:val="000000"/>
                <w:sz w:val="20"/>
                <w:szCs w:val="20"/>
              </w:rPr>
            </w:pPr>
            <w:r>
              <w:rPr>
                <w:b/>
                <w:bCs/>
                <w:color w:val="000000"/>
                <w:sz w:val="20"/>
                <w:szCs w:val="20"/>
              </w:rPr>
              <w:t>$        483.98</w:t>
            </w:r>
          </w:p>
        </w:tc>
      </w:tr>
      <w:tr w14:paraId="70BA2665" w14:textId="77777777" w:rsidTr="00986632">
        <w:tblPrEx>
          <w:tblW w:w="9226" w:type="dxa"/>
          <w:tblLayout w:type="fixed"/>
          <w:tblCellMar>
            <w:top w:w="15" w:type="dxa"/>
          </w:tblCellMar>
          <w:tblLook w:val="04A0"/>
        </w:tblPrEx>
        <w:trPr>
          <w:gridAfter w:val="1"/>
          <w:wAfter w:w="236" w:type="dxa"/>
          <w:trHeight w:val="480"/>
        </w:trPr>
        <w:tc>
          <w:tcPr>
            <w:tcW w:w="1061" w:type="dxa"/>
            <w:vMerge w:val="restart"/>
            <w:tcBorders>
              <w:top w:val="single" w:sz="8" w:space="0" w:color="000000"/>
              <w:left w:val="single" w:sz="8" w:space="0" w:color="auto"/>
              <w:bottom w:val="single" w:sz="8" w:space="0" w:color="000000"/>
              <w:right w:val="single" w:sz="8" w:space="0" w:color="auto"/>
            </w:tcBorders>
            <w:shd w:val="clear" w:color="000000" w:fill="C5D9F1"/>
            <w:vAlign w:val="center"/>
            <w:hideMark/>
          </w:tcPr>
          <w:p w:rsidR="00986632" w14:paraId="125B9173" w14:textId="77777777">
            <w:pPr>
              <w:rPr>
                <w:b/>
                <w:bCs/>
                <w:color w:val="000000"/>
                <w:sz w:val="20"/>
                <w:szCs w:val="20"/>
              </w:rPr>
            </w:pPr>
            <w:r>
              <w:rPr>
                <w:b/>
                <w:bCs/>
                <w:color w:val="000000"/>
                <w:sz w:val="20"/>
                <w:szCs w:val="20"/>
              </w:rPr>
              <w:t>Total</w:t>
            </w:r>
          </w:p>
        </w:tc>
        <w:tc>
          <w:tcPr>
            <w:tcW w:w="1306" w:type="dxa"/>
            <w:vMerge w:val="restart"/>
            <w:tcBorders>
              <w:top w:val="single" w:sz="8" w:space="0" w:color="000000"/>
              <w:left w:val="single" w:sz="8" w:space="0" w:color="auto"/>
              <w:bottom w:val="single" w:sz="8" w:space="0" w:color="000000"/>
              <w:right w:val="single" w:sz="8" w:space="0" w:color="auto"/>
            </w:tcBorders>
            <w:shd w:val="clear" w:color="000000" w:fill="C5D9F1"/>
            <w:vAlign w:val="center"/>
            <w:hideMark/>
          </w:tcPr>
          <w:p w:rsidR="00986632" w14:paraId="5DE7998E" w14:textId="77777777">
            <w:pPr>
              <w:jc w:val="right"/>
              <w:rPr>
                <w:b/>
                <w:bCs/>
                <w:color w:val="000000"/>
                <w:sz w:val="20"/>
                <w:szCs w:val="20"/>
              </w:rPr>
            </w:pPr>
            <w:r>
              <w:rPr>
                <w:b/>
                <w:bCs/>
                <w:color w:val="000000"/>
                <w:sz w:val="20"/>
                <w:szCs w:val="20"/>
              </w:rPr>
              <w:t>16,560</w:t>
            </w:r>
          </w:p>
        </w:tc>
        <w:tc>
          <w:tcPr>
            <w:tcW w:w="1133" w:type="dxa"/>
            <w:vMerge w:val="restart"/>
            <w:tcBorders>
              <w:top w:val="single" w:sz="8" w:space="0" w:color="000000"/>
              <w:left w:val="single" w:sz="8" w:space="0" w:color="auto"/>
              <w:bottom w:val="single" w:sz="8" w:space="0" w:color="000000"/>
              <w:right w:val="single" w:sz="8" w:space="0" w:color="auto"/>
            </w:tcBorders>
            <w:shd w:val="clear" w:color="000000" w:fill="C5D9F1"/>
            <w:vAlign w:val="center"/>
            <w:hideMark/>
          </w:tcPr>
          <w:p w:rsidR="00986632" w:rsidP="00986632" w14:paraId="18FABFF2" w14:textId="77777777">
            <w:pPr>
              <w:jc w:val="right"/>
              <w:rPr>
                <w:b/>
                <w:bCs/>
                <w:color w:val="000000"/>
                <w:sz w:val="20"/>
                <w:szCs w:val="20"/>
              </w:rPr>
            </w:pPr>
            <w:r>
              <w:rPr>
                <w:b/>
                <w:bCs/>
                <w:color w:val="000000"/>
                <w:sz w:val="20"/>
                <w:szCs w:val="20"/>
              </w:rPr>
              <w:t>1</w:t>
            </w:r>
          </w:p>
        </w:tc>
        <w:tc>
          <w:tcPr>
            <w:tcW w:w="1170" w:type="dxa"/>
            <w:vMerge w:val="restart"/>
            <w:tcBorders>
              <w:top w:val="single" w:sz="8" w:space="0" w:color="000000"/>
              <w:left w:val="single" w:sz="8" w:space="0" w:color="auto"/>
              <w:bottom w:val="single" w:sz="8" w:space="0" w:color="000000"/>
              <w:right w:val="single" w:sz="8" w:space="0" w:color="auto"/>
            </w:tcBorders>
            <w:shd w:val="clear" w:color="000000" w:fill="C5D9F1"/>
            <w:vAlign w:val="center"/>
            <w:hideMark/>
          </w:tcPr>
          <w:p w:rsidR="00986632" w:rsidP="00986632" w14:paraId="66A254D8" w14:textId="58F9A7EF">
            <w:pPr>
              <w:jc w:val="right"/>
              <w:rPr>
                <w:b/>
                <w:bCs/>
                <w:color w:val="000000"/>
                <w:sz w:val="20"/>
                <w:szCs w:val="20"/>
              </w:rPr>
            </w:pPr>
            <w:r>
              <w:rPr>
                <w:b/>
                <w:bCs/>
                <w:color w:val="000000"/>
                <w:sz w:val="20"/>
                <w:szCs w:val="20"/>
              </w:rPr>
              <w:t>16,560</w:t>
            </w:r>
          </w:p>
        </w:tc>
        <w:tc>
          <w:tcPr>
            <w:tcW w:w="1170" w:type="dxa"/>
            <w:vMerge w:val="restart"/>
            <w:tcBorders>
              <w:top w:val="single" w:sz="8" w:space="0" w:color="000000"/>
              <w:left w:val="single" w:sz="8" w:space="0" w:color="auto"/>
              <w:bottom w:val="single" w:sz="8" w:space="0" w:color="000000"/>
              <w:right w:val="single" w:sz="8" w:space="0" w:color="auto"/>
            </w:tcBorders>
            <w:shd w:val="clear" w:color="000000" w:fill="C5D9F1"/>
            <w:vAlign w:val="center"/>
            <w:hideMark/>
          </w:tcPr>
          <w:p w:rsidR="00986632" w:rsidP="00121DD6" w14:paraId="7C9DC991" w14:textId="711E5E15">
            <w:pPr>
              <w:jc w:val="right"/>
              <w:rPr>
                <w:b/>
                <w:bCs/>
                <w:color w:val="000000"/>
                <w:sz w:val="20"/>
                <w:szCs w:val="20"/>
              </w:rPr>
            </w:pPr>
            <w:r>
              <w:rPr>
                <w:b/>
                <w:bCs/>
                <w:color w:val="000000"/>
                <w:sz w:val="20"/>
                <w:szCs w:val="20"/>
              </w:rPr>
              <w:t> </w:t>
            </w:r>
            <w:r w:rsidR="00D176FC">
              <w:rPr>
                <w:b/>
                <w:bCs/>
                <w:color w:val="000000"/>
                <w:sz w:val="20"/>
                <w:szCs w:val="20"/>
              </w:rPr>
              <w:t>0.20066 hour</w:t>
            </w:r>
          </w:p>
        </w:tc>
        <w:tc>
          <w:tcPr>
            <w:tcW w:w="900" w:type="dxa"/>
            <w:vMerge w:val="restart"/>
            <w:tcBorders>
              <w:top w:val="single" w:sz="8" w:space="0" w:color="000000"/>
              <w:left w:val="single" w:sz="8" w:space="0" w:color="auto"/>
              <w:bottom w:val="single" w:sz="8" w:space="0" w:color="000000"/>
              <w:right w:val="single" w:sz="8" w:space="0" w:color="auto"/>
            </w:tcBorders>
            <w:shd w:val="clear" w:color="000000" w:fill="C5D9F1"/>
            <w:vAlign w:val="center"/>
            <w:hideMark/>
          </w:tcPr>
          <w:p w:rsidR="00986632" w14:paraId="4C4ABD7B" w14:textId="04040952">
            <w:pPr>
              <w:jc w:val="right"/>
              <w:rPr>
                <w:b/>
                <w:bCs/>
                <w:color w:val="000000"/>
                <w:sz w:val="20"/>
                <w:szCs w:val="20"/>
              </w:rPr>
            </w:pPr>
            <w:r>
              <w:rPr>
                <w:b/>
                <w:bCs/>
                <w:color w:val="000000"/>
                <w:sz w:val="20"/>
                <w:szCs w:val="20"/>
              </w:rPr>
              <w:t>3,</w:t>
            </w:r>
            <w:r w:rsidR="00D176FC">
              <w:rPr>
                <w:b/>
                <w:bCs/>
                <w:color w:val="000000"/>
                <w:sz w:val="20"/>
                <w:szCs w:val="20"/>
              </w:rPr>
              <w:t>3</w:t>
            </w:r>
            <w:r>
              <w:rPr>
                <w:b/>
                <w:bCs/>
                <w:color w:val="000000"/>
                <w:sz w:val="20"/>
                <w:szCs w:val="20"/>
              </w:rPr>
              <w:t>23</w:t>
            </w:r>
          </w:p>
        </w:tc>
        <w:tc>
          <w:tcPr>
            <w:tcW w:w="900" w:type="dxa"/>
            <w:vMerge w:val="restart"/>
            <w:tcBorders>
              <w:top w:val="nil"/>
              <w:left w:val="single" w:sz="8" w:space="0" w:color="auto"/>
              <w:bottom w:val="single" w:sz="8" w:space="0" w:color="000000"/>
              <w:right w:val="single" w:sz="8" w:space="0" w:color="auto"/>
            </w:tcBorders>
            <w:shd w:val="clear" w:color="000000" w:fill="C5D9F1"/>
            <w:vAlign w:val="center"/>
            <w:hideMark/>
          </w:tcPr>
          <w:p w:rsidR="00986632" w14:paraId="6A53F09F" w14:textId="12E6C496">
            <w:pPr>
              <w:jc w:val="center"/>
              <w:rPr>
                <w:b/>
                <w:bCs/>
                <w:color w:val="000000"/>
                <w:sz w:val="20"/>
                <w:szCs w:val="20"/>
              </w:rPr>
            </w:pPr>
            <w:r>
              <w:rPr>
                <w:b/>
                <w:bCs/>
                <w:color w:val="000000"/>
                <w:sz w:val="20"/>
                <w:szCs w:val="20"/>
              </w:rPr>
              <w:t> </w:t>
            </w:r>
            <w:r w:rsidR="00D176FC">
              <w:rPr>
                <w:b/>
                <w:bCs/>
                <w:color w:val="000000"/>
                <w:sz w:val="20"/>
                <w:szCs w:val="20"/>
              </w:rPr>
              <w:t>$69.14</w:t>
            </w:r>
          </w:p>
        </w:tc>
        <w:tc>
          <w:tcPr>
            <w:tcW w:w="1350" w:type="dxa"/>
            <w:vMerge w:val="restart"/>
            <w:tcBorders>
              <w:top w:val="single" w:sz="8" w:space="0" w:color="000000"/>
              <w:left w:val="single" w:sz="8" w:space="0" w:color="auto"/>
              <w:bottom w:val="single" w:sz="8" w:space="0" w:color="000000"/>
              <w:right w:val="single" w:sz="8" w:space="0" w:color="auto"/>
            </w:tcBorders>
            <w:shd w:val="clear" w:color="000000" w:fill="C5D9F1"/>
            <w:vAlign w:val="center"/>
            <w:hideMark/>
          </w:tcPr>
          <w:p w:rsidR="00986632" w14:paraId="3142F4E8" w14:textId="1FD38C91">
            <w:pPr>
              <w:jc w:val="center"/>
              <w:rPr>
                <w:b/>
                <w:bCs/>
                <w:color w:val="000000"/>
                <w:sz w:val="20"/>
                <w:szCs w:val="20"/>
              </w:rPr>
            </w:pPr>
            <w:r>
              <w:rPr>
                <w:b/>
                <w:bCs/>
                <w:color w:val="000000"/>
                <w:sz w:val="20"/>
                <w:szCs w:val="20"/>
              </w:rPr>
              <w:t xml:space="preserve"> $     229,752 </w:t>
            </w:r>
          </w:p>
        </w:tc>
      </w:tr>
      <w:tr w14:paraId="28FD3248" w14:textId="77777777" w:rsidTr="00986632">
        <w:tblPrEx>
          <w:tblW w:w="9226" w:type="dxa"/>
          <w:tblLayout w:type="fixed"/>
          <w:tblCellMar>
            <w:top w:w="15" w:type="dxa"/>
          </w:tblCellMar>
          <w:tblLook w:val="04A0"/>
        </w:tblPrEx>
        <w:trPr>
          <w:trHeight w:val="315"/>
        </w:trPr>
        <w:tc>
          <w:tcPr>
            <w:tcW w:w="1061" w:type="dxa"/>
            <w:vMerge/>
            <w:tcBorders>
              <w:top w:val="single" w:sz="8" w:space="0" w:color="000000"/>
              <w:left w:val="single" w:sz="8" w:space="0" w:color="auto"/>
              <w:bottom w:val="single" w:sz="8" w:space="0" w:color="000000"/>
              <w:right w:val="single" w:sz="8" w:space="0" w:color="auto"/>
            </w:tcBorders>
            <w:vAlign w:val="center"/>
            <w:hideMark/>
          </w:tcPr>
          <w:p w:rsidR="00986632" w14:paraId="305FE0C9" w14:textId="77777777">
            <w:pPr>
              <w:rPr>
                <w:b/>
                <w:bCs/>
                <w:color w:val="000000"/>
                <w:sz w:val="20"/>
                <w:szCs w:val="20"/>
              </w:rPr>
            </w:pPr>
          </w:p>
        </w:tc>
        <w:tc>
          <w:tcPr>
            <w:tcW w:w="1306" w:type="dxa"/>
            <w:vMerge/>
            <w:tcBorders>
              <w:top w:val="single" w:sz="8" w:space="0" w:color="000000"/>
              <w:left w:val="single" w:sz="8" w:space="0" w:color="auto"/>
              <w:bottom w:val="single" w:sz="8" w:space="0" w:color="000000"/>
              <w:right w:val="single" w:sz="8" w:space="0" w:color="auto"/>
            </w:tcBorders>
            <w:vAlign w:val="center"/>
            <w:hideMark/>
          </w:tcPr>
          <w:p w:rsidR="00986632" w14:paraId="693F4EAB" w14:textId="77777777">
            <w:pPr>
              <w:rPr>
                <w:b/>
                <w:bCs/>
                <w:color w:val="000000"/>
                <w:sz w:val="20"/>
                <w:szCs w:val="20"/>
              </w:rPr>
            </w:pPr>
          </w:p>
        </w:tc>
        <w:tc>
          <w:tcPr>
            <w:tcW w:w="1133" w:type="dxa"/>
            <w:vMerge/>
            <w:tcBorders>
              <w:top w:val="single" w:sz="8" w:space="0" w:color="000000"/>
              <w:left w:val="single" w:sz="8" w:space="0" w:color="auto"/>
              <w:bottom w:val="single" w:sz="8" w:space="0" w:color="000000"/>
              <w:right w:val="single" w:sz="8" w:space="0" w:color="auto"/>
            </w:tcBorders>
            <w:vAlign w:val="center"/>
            <w:hideMark/>
          </w:tcPr>
          <w:p w:rsidR="00986632" w14:paraId="3CB9D32F" w14:textId="77777777">
            <w:pPr>
              <w:rPr>
                <w:b/>
                <w:bCs/>
                <w:color w:val="000000"/>
                <w:sz w:val="20"/>
                <w:szCs w:val="20"/>
              </w:rPr>
            </w:pPr>
          </w:p>
        </w:tc>
        <w:tc>
          <w:tcPr>
            <w:tcW w:w="1170" w:type="dxa"/>
            <w:vMerge/>
            <w:tcBorders>
              <w:top w:val="single" w:sz="8" w:space="0" w:color="000000"/>
              <w:left w:val="single" w:sz="8" w:space="0" w:color="auto"/>
              <w:bottom w:val="single" w:sz="8" w:space="0" w:color="000000"/>
              <w:right w:val="single" w:sz="8" w:space="0" w:color="auto"/>
            </w:tcBorders>
            <w:vAlign w:val="center"/>
            <w:hideMark/>
          </w:tcPr>
          <w:p w:rsidR="00986632" w14:paraId="3FE77C7A" w14:textId="77777777">
            <w:pPr>
              <w:rPr>
                <w:b/>
                <w:bCs/>
                <w:color w:val="000000"/>
                <w:sz w:val="20"/>
                <w:szCs w:val="20"/>
              </w:rPr>
            </w:pPr>
          </w:p>
        </w:tc>
        <w:tc>
          <w:tcPr>
            <w:tcW w:w="1170" w:type="dxa"/>
            <w:vMerge/>
            <w:tcBorders>
              <w:top w:val="single" w:sz="8" w:space="0" w:color="000000"/>
              <w:left w:val="single" w:sz="8" w:space="0" w:color="auto"/>
              <w:bottom w:val="single" w:sz="8" w:space="0" w:color="000000"/>
              <w:right w:val="single" w:sz="8" w:space="0" w:color="auto"/>
            </w:tcBorders>
            <w:vAlign w:val="center"/>
            <w:hideMark/>
          </w:tcPr>
          <w:p w:rsidR="00986632" w14:paraId="2E9F3C52" w14:textId="77777777">
            <w:pPr>
              <w:rPr>
                <w:b/>
                <w:bCs/>
                <w:color w:val="000000"/>
                <w:sz w:val="20"/>
                <w:szCs w:val="20"/>
              </w:rPr>
            </w:pPr>
          </w:p>
        </w:tc>
        <w:tc>
          <w:tcPr>
            <w:tcW w:w="900" w:type="dxa"/>
            <w:vMerge/>
            <w:tcBorders>
              <w:top w:val="single" w:sz="8" w:space="0" w:color="000000"/>
              <w:left w:val="single" w:sz="8" w:space="0" w:color="auto"/>
              <w:bottom w:val="single" w:sz="8" w:space="0" w:color="000000"/>
              <w:right w:val="single" w:sz="8" w:space="0" w:color="auto"/>
            </w:tcBorders>
            <w:vAlign w:val="center"/>
            <w:hideMark/>
          </w:tcPr>
          <w:p w:rsidR="00986632" w14:paraId="2DD9F420" w14:textId="77777777">
            <w:pPr>
              <w:rPr>
                <w:b/>
                <w:bCs/>
                <w:color w:val="000000"/>
                <w:sz w:val="20"/>
                <w:szCs w:val="20"/>
              </w:rPr>
            </w:pPr>
          </w:p>
        </w:tc>
        <w:tc>
          <w:tcPr>
            <w:tcW w:w="900" w:type="dxa"/>
            <w:vMerge/>
            <w:tcBorders>
              <w:top w:val="nil"/>
              <w:left w:val="single" w:sz="8" w:space="0" w:color="auto"/>
              <w:bottom w:val="single" w:sz="8" w:space="0" w:color="000000"/>
              <w:right w:val="single" w:sz="8" w:space="0" w:color="auto"/>
            </w:tcBorders>
            <w:vAlign w:val="center"/>
            <w:hideMark/>
          </w:tcPr>
          <w:p w:rsidR="00986632" w14:paraId="1D773D67" w14:textId="77777777">
            <w:pPr>
              <w:rPr>
                <w:b/>
                <w:bCs/>
                <w:color w:val="000000"/>
                <w:sz w:val="20"/>
                <w:szCs w:val="20"/>
              </w:rPr>
            </w:pPr>
          </w:p>
        </w:tc>
        <w:tc>
          <w:tcPr>
            <w:tcW w:w="1350" w:type="dxa"/>
            <w:vMerge/>
            <w:tcBorders>
              <w:top w:val="single" w:sz="8" w:space="0" w:color="000000"/>
              <w:left w:val="single" w:sz="8" w:space="0" w:color="auto"/>
              <w:bottom w:val="single" w:sz="8" w:space="0" w:color="000000"/>
              <w:right w:val="single" w:sz="8" w:space="0" w:color="auto"/>
            </w:tcBorders>
            <w:vAlign w:val="center"/>
            <w:hideMark/>
          </w:tcPr>
          <w:p w:rsidR="00986632" w14:paraId="027B60BA" w14:textId="77777777">
            <w:pPr>
              <w:rPr>
                <w:b/>
                <w:bCs/>
                <w:color w:val="000000"/>
                <w:sz w:val="20"/>
                <w:szCs w:val="20"/>
              </w:rPr>
            </w:pPr>
          </w:p>
        </w:tc>
        <w:tc>
          <w:tcPr>
            <w:tcW w:w="236" w:type="dxa"/>
            <w:tcBorders>
              <w:top w:val="nil"/>
              <w:left w:val="nil"/>
              <w:bottom w:val="nil"/>
              <w:right w:val="nil"/>
            </w:tcBorders>
            <w:shd w:val="clear" w:color="auto" w:fill="auto"/>
            <w:noWrap/>
            <w:vAlign w:val="bottom"/>
            <w:hideMark/>
          </w:tcPr>
          <w:p w:rsidR="00986632" w14:paraId="523A7DE9" w14:textId="77777777">
            <w:pPr>
              <w:jc w:val="center"/>
              <w:rPr>
                <w:b/>
                <w:bCs/>
                <w:color w:val="000000"/>
                <w:sz w:val="20"/>
                <w:szCs w:val="20"/>
              </w:rPr>
            </w:pPr>
          </w:p>
        </w:tc>
      </w:tr>
    </w:tbl>
    <w:p w:rsidR="00E46E38" w:rsidP="00E46E38" w14:paraId="150007AB" w14:textId="77777777"/>
    <w:bookmarkEnd w:id="0"/>
    <w:bookmarkEnd w:id="1"/>
    <w:p w:rsidR="00E46E38" w:rsidP="00E46E38" w14:paraId="231BEA0D" w14:textId="77777777"/>
    <w:tbl>
      <w:tblPr>
        <w:tblW w:w="6200" w:type="dxa"/>
        <w:tblLook w:val="04A0"/>
      </w:tblPr>
      <w:tblGrid>
        <w:gridCol w:w="222"/>
        <w:gridCol w:w="5188"/>
        <w:gridCol w:w="960"/>
      </w:tblGrid>
      <w:tr w14:paraId="1C027A62" w14:textId="77777777" w:rsidTr="00986632">
        <w:tblPrEx>
          <w:tblW w:w="6200" w:type="dxa"/>
          <w:tblLook w:val="04A0"/>
        </w:tblPrEx>
        <w:trPr>
          <w:trHeight w:val="300"/>
        </w:trPr>
        <w:tc>
          <w:tcPr>
            <w:tcW w:w="5240" w:type="dxa"/>
            <w:gridSpan w:val="2"/>
            <w:tcBorders>
              <w:top w:val="nil"/>
              <w:left w:val="nil"/>
              <w:bottom w:val="nil"/>
              <w:right w:val="nil"/>
            </w:tcBorders>
            <w:shd w:val="clear" w:color="auto" w:fill="auto"/>
            <w:noWrap/>
            <w:vAlign w:val="bottom"/>
            <w:hideMark/>
          </w:tcPr>
          <w:p w:rsidR="00986632" w14:paraId="655D9C77" w14:textId="77777777">
            <w:pPr>
              <w:rPr>
                <w:color w:val="000000"/>
                <w:sz w:val="22"/>
                <w:szCs w:val="22"/>
              </w:rPr>
            </w:pPr>
            <w:r>
              <w:rPr>
                <w:color w:val="000000"/>
                <w:sz w:val="22"/>
                <w:szCs w:val="22"/>
              </w:rPr>
              <w:t>Hourly Rate*</w:t>
            </w:r>
          </w:p>
        </w:tc>
        <w:tc>
          <w:tcPr>
            <w:tcW w:w="960" w:type="dxa"/>
            <w:tcBorders>
              <w:top w:val="nil"/>
              <w:left w:val="nil"/>
              <w:bottom w:val="nil"/>
              <w:right w:val="nil"/>
            </w:tcBorders>
            <w:shd w:val="clear" w:color="auto" w:fill="auto"/>
            <w:noWrap/>
            <w:vAlign w:val="bottom"/>
            <w:hideMark/>
          </w:tcPr>
          <w:p w:rsidR="00986632" w14:paraId="53486974" w14:textId="77777777">
            <w:pPr>
              <w:rPr>
                <w:color w:val="000000"/>
                <w:sz w:val="22"/>
                <w:szCs w:val="22"/>
              </w:rPr>
            </w:pPr>
          </w:p>
        </w:tc>
      </w:tr>
      <w:tr w14:paraId="5F27AAB4" w14:textId="77777777" w:rsidTr="00986632">
        <w:tblPrEx>
          <w:tblW w:w="6200" w:type="dxa"/>
          <w:tblLook w:val="04A0"/>
        </w:tblPrEx>
        <w:trPr>
          <w:trHeight w:val="300"/>
        </w:trPr>
        <w:tc>
          <w:tcPr>
            <w:tcW w:w="52" w:type="dxa"/>
            <w:tcBorders>
              <w:top w:val="nil"/>
              <w:left w:val="nil"/>
              <w:bottom w:val="nil"/>
              <w:right w:val="nil"/>
            </w:tcBorders>
            <w:shd w:val="clear" w:color="auto" w:fill="auto"/>
            <w:noWrap/>
            <w:vAlign w:val="bottom"/>
            <w:hideMark/>
          </w:tcPr>
          <w:p w:rsidR="00986632" w14:paraId="261DC304" w14:textId="77777777">
            <w:pPr>
              <w:rPr>
                <w:sz w:val="20"/>
                <w:szCs w:val="20"/>
              </w:rPr>
            </w:pPr>
          </w:p>
        </w:tc>
        <w:tc>
          <w:tcPr>
            <w:tcW w:w="5188" w:type="dxa"/>
            <w:tcBorders>
              <w:top w:val="nil"/>
              <w:left w:val="nil"/>
              <w:bottom w:val="nil"/>
              <w:right w:val="nil"/>
            </w:tcBorders>
            <w:shd w:val="clear" w:color="auto" w:fill="auto"/>
            <w:noWrap/>
            <w:vAlign w:val="bottom"/>
            <w:hideMark/>
          </w:tcPr>
          <w:p w:rsidR="00986632" w:rsidRPr="00E75523" w14:paraId="5ECF39E2" w14:textId="776C3186">
            <w:r>
              <w:t>Estimate hourly wage ($/hour):</w:t>
            </w:r>
            <w:r>
              <w:rPr>
                <w:rStyle w:val="FootnoteReference"/>
                <w:rFonts w:eastAsiaTheme="majorEastAsia"/>
                <w:vertAlign w:val="superscript"/>
              </w:rPr>
              <w:footnoteReference w:id="3"/>
            </w:r>
            <w:r>
              <w:t xml:space="preserve"> </w:t>
            </w:r>
          </w:p>
        </w:tc>
        <w:tc>
          <w:tcPr>
            <w:tcW w:w="960" w:type="dxa"/>
            <w:tcBorders>
              <w:top w:val="nil"/>
              <w:left w:val="nil"/>
              <w:bottom w:val="nil"/>
              <w:right w:val="nil"/>
            </w:tcBorders>
            <w:shd w:val="clear" w:color="auto" w:fill="auto"/>
            <w:noWrap/>
            <w:vAlign w:val="bottom"/>
            <w:hideMark/>
          </w:tcPr>
          <w:p w:rsidR="00986632" w14:paraId="4EEC6D3D" w14:textId="14B75CB4">
            <w:pPr>
              <w:jc w:val="right"/>
              <w:rPr>
                <w:color w:val="000000"/>
                <w:sz w:val="22"/>
                <w:szCs w:val="22"/>
              </w:rPr>
            </w:pPr>
            <w:r>
              <w:rPr>
                <w:color w:val="000000"/>
                <w:sz w:val="22"/>
                <w:szCs w:val="22"/>
              </w:rPr>
              <w:t>$48.69</w:t>
            </w:r>
          </w:p>
        </w:tc>
      </w:tr>
      <w:tr w14:paraId="6CA4D7BE" w14:textId="77777777" w:rsidTr="00986632">
        <w:tblPrEx>
          <w:tblW w:w="6200" w:type="dxa"/>
          <w:tblLook w:val="04A0"/>
        </w:tblPrEx>
        <w:trPr>
          <w:trHeight w:val="300"/>
        </w:trPr>
        <w:tc>
          <w:tcPr>
            <w:tcW w:w="52" w:type="dxa"/>
            <w:tcBorders>
              <w:top w:val="nil"/>
              <w:left w:val="nil"/>
              <w:bottom w:val="nil"/>
              <w:right w:val="nil"/>
            </w:tcBorders>
            <w:shd w:val="clear" w:color="auto" w:fill="auto"/>
            <w:noWrap/>
            <w:vAlign w:val="bottom"/>
            <w:hideMark/>
          </w:tcPr>
          <w:p w:rsidR="00986632" w:rsidP="00E75523" w14:paraId="0FCCAAAA" w14:textId="77777777">
            <w:pPr>
              <w:rPr>
                <w:color w:val="000000"/>
                <w:sz w:val="22"/>
                <w:szCs w:val="22"/>
              </w:rPr>
            </w:pPr>
          </w:p>
        </w:tc>
        <w:tc>
          <w:tcPr>
            <w:tcW w:w="5188" w:type="dxa"/>
            <w:tcBorders>
              <w:top w:val="nil"/>
              <w:left w:val="nil"/>
              <w:bottom w:val="nil"/>
              <w:right w:val="nil"/>
            </w:tcBorders>
            <w:shd w:val="clear" w:color="auto" w:fill="auto"/>
            <w:noWrap/>
            <w:vAlign w:val="bottom"/>
            <w:hideMark/>
          </w:tcPr>
          <w:p w:rsidR="00986632" w:rsidRPr="00E75523" w14:paraId="39BBE51E" w14:textId="0FC443DD">
            <w:pPr>
              <w:rPr>
                <w:rFonts w:eastAsia="SimSun"/>
              </w:rPr>
            </w:pPr>
            <w:r>
              <w:t>Load for benefits (percent of labor rate):</w:t>
            </w:r>
            <w:r>
              <w:rPr>
                <w:rStyle w:val="FootnoteReference"/>
                <w:rFonts w:eastAsiaTheme="majorEastAsia"/>
                <w:vertAlign w:val="superscript"/>
              </w:rPr>
              <w:footnoteReference w:id="4"/>
            </w:r>
          </w:p>
        </w:tc>
        <w:tc>
          <w:tcPr>
            <w:tcW w:w="960" w:type="dxa"/>
            <w:tcBorders>
              <w:top w:val="nil"/>
              <w:left w:val="nil"/>
              <w:bottom w:val="single" w:sz="4" w:space="0" w:color="auto"/>
              <w:right w:val="nil"/>
            </w:tcBorders>
            <w:shd w:val="clear" w:color="auto" w:fill="auto"/>
            <w:noWrap/>
            <w:vAlign w:val="bottom"/>
            <w:hideMark/>
          </w:tcPr>
          <w:p w:rsidR="00986632" w14:paraId="785193ED" w14:textId="4C0C737D">
            <w:pPr>
              <w:jc w:val="right"/>
              <w:rPr>
                <w:color w:val="000000"/>
                <w:sz w:val="22"/>
                <w:szCs w:val="22"/>
              </w:rPr>
            </w:pPr>
            <w:r>
              <w:rPr>
                <w:color w:val="000000"/>
                <w:sz w:val="22"/>
                <w:szCs w:val="22"/>
              </w:rPr>
              <w:t>42%</w:t>
            </w:r>
          </w:p>
        </w:tc>
      </w:tr>
      <w:tr w14:paraId="28A7DA8D" w14:textId="77777777" w:rsidTr="00986632">
        <w:tblPrEx>
          <w:tblW w:w="6200" w:type="dxa"/>
          <w:tblLook w:val="04A0"/>
        </w:tblPrEx>
        <w:trPr>
          <w:trHeight w:val="300"/>
        </w:trPr>
        <w:tc>
          <w:tcPr>
            <w:tcW w:w="52" w:type="dxa"/>
            <w:tcBorders>
              <w:top w:val="nil"/>
              <w:left w:val="nil"/>
              <w:bottom w:val="nil"/>
              <w:right w:val="nil"/>
            </w:tcBorders>
            <w:shd w:val="clear" w:color="auto" w:fill="auto"/>
            <w:noWrap/>
            <w:vAlign w:val="bottom"/>
            <w:hideMark/>
          </w:tcPr>
          <w:p w:rsidR="00986632" w14:paraId="0AF57C8D" w14:textId="77777777">
            <w:pPr>
              <w:jc w:val="right"/>
              <w:rPr>
                <w:color w:val="000000"/>
                <w:sz w:val="22"/>
                <w:szCs w:val="22"/>
              </w:rPr>
            </w:pPr>
          </w:p>
        </w:tc>
        <w:tc>
          <w:tcPr>
            <w:tcW w:w="5188" w:type="dxa"/>
            <w:tcBorders>
              <w:top w:val="nil"/>
              <w:left w:val="nil"/>
              <w:bottom w:val="nil"/>
              <w:right w:val="nil"/>
            </w:tcBorders>
            <w:shd w:val="clear" w:color="auto" w:fill="auto"/>
            <w:noWrap/>
            <w:vAlign w:val="bottom"/>
            <w:hideMark/>
          </w:tcPr>
          <w:p w:rsidR="00986632" w14:paraId="06B7EFB0" w14:textId="77777777">
            <w:pPr>
              <w:rPr>
                <w:color w:val="000000"/>
                <w:sz w:val="22"/>
                <w:szCs w:val="22"/>
              </w:rPr>
            </w:pPr>
            <w:r>
              <w:rPr>
                <w:color w:val="000000"/>
                <w:sz w:val="22"/>
                <w:szCs w:val="22"/>
              </w:rPr>
              <w:t>Loaded labor rate ($/hour):</w:t>
            </w:r>
          </w:p>
        </w:tc>
        <w:tc>
          <w:tcPr>
            <w:tcW w:w="960" w:type="dxa"/>
            <w:tcBorders>
              <w:top w:val="nil"/>
              <w:left w:val="nil"/>
              <w:bottom w:val="nil"/>
              <w:right w:val="nil"/>
            </w:tcBorders>
            <w:shd w:val="clear" w:color="auto" w:fill="auto"/>
            <w:noWrap/>
            <w:vAlign w:val="bottom"/>
            <w:hideMark/>
          </w:tcPr>
          <w:p w:rsidR="00986632" w14:paraId="5972EAD5" w14:textId="596C1425">
            <w:pPr>
              <w:jc w:val="right"/>
              <w:rPr>
                <w:color w:val="000000"/>
                <w:sz w:val="22"/>
                <w:szCs w:val="22"/>
              </w:rPr>
            </w:pPr>
            <w:r>
              <w:rPr>
                <w:color w:val="000000"/>
                <w:sz w:val="22"/>
                <w:szCs w:val="22"/>
              </w:rPr>
              <w:t>$69.14</w:t>
            </w:r>
          </w:p>
        </w:tc>
      </w:tr>
    </w:tbl>
    <w:p w:rsidR="00986632" w:rsidP="00E46E38" w14:paraId="1743EF74" w14:textId="77777777"/>
    <w:p w:rsidR="00986632" w:rsidP="00E46E38" w14:paraId="2AE27116" w14:textId="77777777"/>
    <w:p w:rsidR="00E46E38" w:rsidP="00E46E38" w14:paraId="00EEBEFB" w14:textId="77777777">
      <w:r w:rsidRPr="00BE4382">
        <w:rPr>
          <w:b/>
          <w:bCs/>
        </w:rPr>
        <w:t>13.</w:t>
      </w:r>
      <w:r w:rsidRPr="005A7B38">
        <w:t xml:space="preserve"> </w:t>
      </w:r>
      <w:r w:rsidRPr="00DF071F">
        <w:t xml:space="preserve">The estimated annual cost burden is zero.  Respondents are estimated to not incur any    a) additional start-up cost or capital expenditure, or b) additional operation and maintenance costs or purchase services </w:t>
      </w:r>
      <w:r w:rsidRPr="00DF071F">
        <w:t>as a result of</w:t>
      </w:r>
      <w:r w:rsidRPr="00DF071F">
        <w:t xml:space="preserve"> this information collection.</w:t>
      </w:r>
    </w:p>
    <w:p w:rsidR="00E46E38" w:rsidRPr="004E5FBF" w:rsidP="00E46E38" w14:paraId="622156E2" w14:textId="77777777"/>
    <w:p w:rsidR="00E46E38" w:rsidRPr="00BE4382" w:rsidP="00E46E38" w14:paraId="340F02AE" w14:textId="5815D8B8">
      <w:r w:rsidRPr="00BE4382">
        <w:rPr>
          <w:b/>
          <w:bCs/>
        </w:rPr>
        <w:t>14.</w:t>
      </w:r>
      <w:r w:rsidRPr="005A7B38">
        <w:t xml:space="preserve"> </w:t>
      </w:r>
      <w:r w:rsidRPr="008929A7">
        <w:rPr>
          <w:color w:val="000000"/>
        </w:rPr>
        <w:t>Estimated Annual Labor Cost to Government:</w:t>
      </w:r>
      <w:r w:rsidR="005B05F2">
        <w:rPr>
          <w:color w:val="000000"/>
        </w:rPr>
        <w:t xml:space="preserve"> $</w:t>
      </w:r>
      <w:r w:rsidR="003A1DEA">
        <w:rPr>
          <w:color w:val="000000"/>
        </w:rPr>
        <w:t>236,502</w:t>
      </w:r>
    </w:p>
    <w:p w:rsidR="00E46E38" w:rsidP="00E46E38" w14:paraId="62F3F278" w14:textId="77777777"/>
    <w:tbl>
      <w:tblPr>
        <w:tblW w:w="6744" w:type="dxa"/>
        <w:jc w:val="center"/>
        <w:tblLook w:val="04A0"/>
      </w:tblPr>
      <w:tblGrid>
        <w:gridCol w:w="1272"/>
        <w:gridCol w:w="928"/>
        <w:gridCol w:w="1406"/>
        <w:gridCol w:w="731"/>
        <w:gridCol w:w="731"/>
        <w:gridCol w:w="1676"/>
      </w:tblGrid>
      <w:tr w14:paraId="6D967A25" w14:textId="77777777" w:rsidTr="00D12B57">
        <w:tblPrEx>
          <w:tblW w:w="6744" w:type="dxa"/>
          <w:jc w:val="center"/>
          <w:tblLook w:val="04A0"/>
        </w:tblPrEx>
        <w:trPr>
          <w:trHeight w:val="1035"/>
          <w:jc w:val="center"/>
        </w:trPr>
        <w:tc>
          <w:tcPr>
            <w:tcW w:w="1272"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3A1DEA" w14:paraId="1F837C32" w14:textId="77777777">
            <w:pPr>
              <w:rPr>
                <w:b/>
                <w:bCs/>
                <w:color w:val="000000"/>
                <w:sz w:val="20"/>
                <w:szCs w:val="20"/>
              </w:rPr>
            </w:pPr>
            <w:r>
              <w:rPr>
                <w:b/>
                <w:bCs/>
                <w:color w:val="000000"/>
                <w:sz w:val="20"/>
                <w:szCs w:val="20"/>
              </w:rPr>
              <w:t>Labor Category</w:t>
            </w:r>
          </w:p>
        </w:tc>
        <w:tc>
          <w:tcPr>
            <w:tcW w:w="608" w:type="dxa"/>
            <w:tcBorders>
              <w:top w:val="single" w:sz="8" w:space="0" w:color="auto"/>
              <w:left w:val="nil"/>
              <w:bottom w:val="single" w:sz="8" w:space="0" w:color="auto"/>
              <w:right w:val="single" w:sz="8" w:space="0" w:color="auto"/>
            </w:tcBorders>
            <w:shd w:val="clear" w:color="000000" w:fill="C5D9F1"/>
            <w:vAlign w:val="center"/>
            <w:hideMark/>
          </w:tcPr>
          <w:p w:rsidR="003A1DEA" w14:paraId="124042AA" w14:textId="77777777">
            <w:pPr>
              <w:jc w:val="center"/>
              <w:rPr>
                <w:b/>
                <w:bCs/>
                <w:color w:val="000000"/>
                <w:sz w:val="20"/>
                <w:szCs w:val="20"/>
              </w:rPr>
            </w:pPr>
            <w:r>
              <w:rPr>
                <w:b/>
                <w:bCs/>
                <w:color w:val="000000"/>
                <w:sz w:val="20"/>
                <w:szCs w:val="20"/>
              </w:rPr>
              <w:t>Number</w:t>
            </w:r>
          </w:p>
        </w:tc>
        <w:tc>
          <w:tcPr>
            <w:tcW w:w="1536" w:type="dxa"/>
            <w:tcBorders>
              <w:top w:val="single" w:sz="8" w:space="0" w:color="auto"/>
              <w:left w:val="nil"/>
              <w:bottom w:val="single" w:sz="8" w:space="0" w:color="auto"/>
              <w:right w:val="single" w:sz="8" w:space="0" w:color="auto"/>
            </w:tcBorders>
            <w:shd w:val="clear" w:color="000000" w:fill="C5D9F1"/>
            <w:vAlign w:val="center"/>
            <w:hideMark/>
          </w:tcPr>
          <w:p w:rsidR="003A1DEA" w14:paraId="464A2596" w14:textId="77777777">
            <w:pPr>
              <w:jc w:val="center"/>
              <w:rPr>
                <w:b/>
                <w:bCs/>
                <w:color w:val="000000"/>
                <w:sz w:val="20"/>
                <w:szCs w:val="20"/>
              </w:rPr>
            </w:pPr>
            <w:r>
              <w:rPr>
                <w:b/>
                <w:bCs/>
                <w:color w:val="000000"/>
                <w:sz w:val="20"/>
                <w:szCs w:val="20"/>
              </w:rPr>
              <w:t>Annual rate</w:t>
            </w:r>
          </w:p>
        </w:tc>
        <w:tc>
          <w:tcPr>
            <w:tcW w:w="731" w:type="dxa"/>
            <w:tcBorders>
              <w:top w:val="single" w:sz="8" w:space="0" w:color="auto"/>
              <w:left w:val="nil"/>
              <w:bottom w:val="single" w:sz="8" w:space="0" w:color="auto"/>
              <w:right w:val="single" w:sz="8" w:space="0" w:color="auto"/>
            </w:tcBorders>
            <w:shd w:val="clear" w:color="000000" w:fill="C5D9F1"/>
            <w:vAlign w:val="center"/>
            <w:hideMark/>
          </w:tcPr>
          <w:p w:rsidR="003A1DEA" w14:paraId="2590BD51" w14:textId="77777777">
            <w:pPr>
              <w:jc w:val="center"/>
              <w:rPr>
                <w:b/>
                <w:bCs/>
                <w:color w:val="000000"/>
                <w:sz w:val="20"/>
                <w:szCs w:val="20"/>
              </w:rPr>
            </w:pPr>
            <w:r>
              <w:rPr>
                <w:b/>
                <w:bCs/>
                <w:color w:val="000000"/>
                <w:sz w:val="20"/>
                <w:szCs w:val="20"/>
              </w:rPr>
              <w:t>Load</w:t>
            </w:r>
          </w:p>
        </w:tc>
        <w:tc>
          <w:tcPr>
            <w:tcW w:w="731" w:type="dxa"/>
            <w:tcBorders>
              <w:top w:val="single" w:sz="8" w:space="0" w:color="auto"/>
              <w:left w:val="nil"/>
              <w:bottom w:val="single" w:sz="8" w:space="0" w:color="auto"/>
              <w:right w:val="single" w:sz="8" w:space="0" w:color="auto"/>
            </w:tcBorders>
            <w:shd w:val="clear" w:color="000000" w:fill="C5D9F1"/>
            <w:vAlign w:val="center"/>
            <w:hideMark/>
          </w:tcPr>
          <w:p w:rsidR="003A1DEA" w14:paraId="3CBB8D64" w14:textId="77777777">
            <w:pPr>
              <w:jc w:val="center"/>
              <w:rPr>
                <w:b/>
                <w:bCs/>
                <w:color w:val="000000"/>
                <w:sz w:val="20"/>
                <w:szCs w:val="20"/>
              </w:rPr>
            </w:pPr>
            <w:r>
              <w:rPr>
                <w:b/>
                <w:bCs/>
                <w:color w:val="000000"/>
                <w:sz w:val="20"/>
                <w:szCs w:val="20"/>
              </w:rPr>
              <w:t>% of time</w:t>
            </w:r>
          </w:p>
        </w:tc>
        <w:tc>
          <w:tcPr>
            <w:tcW w:w="1866" w:type="dxa"/>
            <w:tcBorders>
              <w:top w:val="single" w:sz="8" w:space="0" w:color="auto"/>
              <w:left w:val="nil"/>
              <w:bottom w:val="single" w:sz="8" w:space="0" w:color="auto"/>
              <w:right w:val="single" w:sz="8" w:space="0" w:color="auto"/>
            </w:tcBorders>
            <w:shd w:val="clear" w:color="000000" w:fill="C5D9F1"/>
            <w:vAlign w:val="center"/>
            <w:hideMark/>
          </w:tcPr>
          <w:p w:rsidR="003A1DEA" w14:paraId="022BFB51" w14:textId="77777777">
            <w:pPr>
              <w:jc w:val="center"/>
              <w:rPr>
                <w:b/>
                <w:bCs/>
                <w:color w:val="000000"/>
                <w:sz w:val="20"/>
                <w:szCs w:val="20"/>
              </w:rPr>
            </w:pPr>
            <w:r>
              <w:rPr>
                <w:b/>
                <w:bCs/>
                <w:color w:val="000000"/>
                <w:sz w:val="20"/>
                <w:szCs w:val="20"/>
              </w:rPr>
              <w:t>Cost</w:t>
            </w:r>
          </w:p>
        </w:tc>
      </w:tr>
      <w:tr w14:paraId="4127C259" w14:textId="77777777" w:rsidTr="00D12B57">
        <w:tblPrEx>
          <w:tblW w:w="6744" w:type="dxa"/>
          <w:jc w:val="center"/>
          <w:tblLook w:val="04A0"/>
        </w:tblPrEx>
        <w:trPr>
          <w:trHeight w:val="1290"/>
          <w:jc w:val="center"/>
        </w:trPr>
        <w:tc>
          <w:tcPr>
            <w:tcW w:w="1272" w:type="dxa"/>
            <w:tcBorders>
              <w:top w:val="nil"/>
              <w:left w:val="single" w:sz="8" w:space="0" w:color="auto"/>
              <w:bottom w:val="single" w:sz="8" w:space="0" w:color="auto"/>
              <w:right w:val="single" w:sz="8" w:space="0" w:color="auto"/>
            </w:tcBorders>
            <w:shd w:val="clear" w:color="000000" w:fill="FFFFFF"/>
            <w:vAlign w:val="center"/>
            <w:hideMark/>
          </w:tcPr>
          <w:p w:rsidR="003A1DEA" w14:paraId="12D0979E" w14:textId="77777777">
            <w:pPr>
              <w:rPr>
                <w:b/>
                <w:bCs/>
                <w:color w:val="000000"/>
                <w:sz w:val="20"/>
                <w:szCs w:val="20"/>
              </w:rPr>
            </w:pPr>
            <w:r>
              <w:rPr>
                <w:b/>
                <w:bCs/>
                <w:color w:val="000000"/>
                <w:sz w:val="20"/>
                <w:szCs w:val="20"/>
              </w:rPr>
              <w:t xml:space="preserve">Registration Program Specialists GS - 9 </w:t>
            </w:r>
          </w:p>
        </w:tc>
        <w:tc>
          <w:tcPr>
            <w:tcW w:w="608" w:type="dxa"/>
            <w:tcBorders>
              <w:top w:val="nil"/>
              <w:left w:val="nil"/>
              <w:bottom w:val="single" w:sz="8" w:space="0" w:color="auto"/>
              <w:right w:val="single" w:sz="8" w:space="0" w:color="auto"/>
            </w:tcBorders>
            <w:shd w:val="clear" w:color="000000" w:fill="FFFFFF"/>
            <w:vAlign w:val="center"/>
            <w:hideMark/>
          </w:tcPr>
          <w:p w:rsidR="003A1DEA" w14:paraId="675530C8" w14:textId="3A43118A">
            <w:pPr>
              <w:jc w:val="center"/>
              <w:rPr>
                <w:b/>
                <w:bCs/>
                <w:color w:val="000000"/>
                <w:sz w:val="20"/>
                <w:szCs w:val="20"/>
              </w:rPr>
            </w:pPr>
            <w:r>
              <w:rPr>
                <w:b/>
                <w:bCs/>
                <w:color w:val="000000"/>
                <w:sz w:val="20"/>
                <w:szCs w:val="20"/>
              </w:rPr>
              <w:t>85</w:t>
            </w:r>
            <w:r>
              <w:rPr>
                <w:rStyle w:val="FootnoteReference"/>
                <w:b/>
                <w:bCs/>
                <w:color w:val="000000"/>
                <w:sz w:val="20"/>
                <w:szCs w:val="20"/>
                <w:vertAlign w:val="superscript"/>
              </w:rPr>
              <w:footnoteReference w:id="5"/>
            </w:r>
          </w:p>
        </w:tc>
        <w:tc>
          <w:tcPr>
            <w:tcW w:w="1536" w:type="dxa"/>
            <w:tcBorders>
              <w:top w:val="nil"/>
              <w:left w:val="nil"/>
              <w:bottom w:val="single" w:sz="8" w:space="0" w:color="auto"/>
              <w:right w:val="single" w:sz="8" w:space="0" w:color="auto"/>
            </w:tcBorders>
            <w:shd w:val="clear" w:color="000000" w:fill="FFFFFF"/>
            <w:vAlign w:val="center"/>
            <w:hideMark/>
          </w:tcPr>
          <w:p w:rsidR="003A1DEA" w14:paraId="4A3D6530" w14:textId="626233B3">
            <w:pPr>
              <w:jc w:val="center"/>
              <w:rPr>
                <w:b/>
                <w:bCs/>
                <w:color w:val="000000"/>
                <w:sz w:val="20"/>
                <w:szCs w:val="20"/>
              </w:rPr>
            </w:pPr>
            <w:r>
              <w:rPr>
                <w:b/>
                <w:bCs/>
                <w:color w:val="000000"/>
                <w:sz w:val="20"/>
                <w:szCs w:val="20"/>
              </w:rPr>
              <w:t xml:space="preserve"> $         79,246</w:t>
            </w:r>
            <w:r>
              <w:rPr>
                <w:rStyle w:val="FootnoteReference"/>
                <w:b/>
                <w:bCs/>
                <w:color w:val="000000"/>
                <w:sz w:val="20"/>
                <w:szCs w:val="20"/>
                <w:vertAlign w:val="superscript"/>
              </w:rPr>
              <w:footnoteReference w:id="6"/>
            </w:r>
            <w:r w:rsidRPr="00D12B57">
              <w:rPr>
                <w:b/>
                <w:bCs/>
                <w:color w:val="000000"/>
                <w:sz w:val="20"/>
                <w:szCs w:val="20"/>
                <w:vertAlign w:val="superscript"/>
              </w:rPr>
              <w:t xml:space="preserve"> </w:t>
            </w:r>
          </w:p>
        </w:tc>
        <w:tc>
          <w:tcPr>
            <w:tcW w:w="731" w:type="dxa"/>
            <w:tcBorders>
              <w:top w:val="nil"/>
              <w:left w:val="nil"/>
              <w:bottom w:val="single" w:sz="8" w:space="0" w:color="auto"/>
              <w:right w:val="single" w:sz="8" w:space="0" w:color="auto"/>
            </w:tcBorders>
            <w:shd w:val="clear" w:color="000000" w:fill="FFFFFF"/>
            <w:vAlign w:val="center"/>
            <w:hideMark/>
          </w:tcPr>
          <w:p w:rsidR="003A1DEA" w14:paraId="305FB7EF" w14:textId="5D3B09ED">
            <w:pPr>
              <w:jc w:val="center"/>
              <w:rPr>
                <w:b/>
                <w:bCs/>
                <w:color w:val="000000"/>
                <w:sz w:val="20"/>
                <w:szCs w:val="20"/>
              </w:rPr>
            </w:pPr>
            <w:r>
              <w:rPr>
                <w:b/>
                <w:bCs/>
                <w:color w:val="000000"/>
                <w:sz w:val="20"/>
                <w:szCs w:val="20"/>
              </w:rPr>
              <w:t>1.618</w:t>
            </w:r>
            <w:r>
              <w:rPr>
                <w:rStyle w:val="FootnoteReference"/>
                <w:b/>
                <w:bCs/>
                <w:color w:val="000000"/>
                <w:sz w:val="20"/>
                <w:szCs w:val="20"/>
                <w:vertAlign w:val="superscript"/>
              </w:rPr>
              <w:footnoteReference w:id="7"/>
            </w:r>
          </w:p>
        </w:tc>
        <w:tc>
          <w:tcPr>
            <w:tcW w:w="731" w:type="dxa"/>
            <w:tcBorders>
              <w:top w:val="nil"/>
              <w:left w:val="nil"/>
              <w:bottom w:val="single" w:sz="8" w:space="0" w:color="auto"/>
              <w:right w:val="single" w:sz="8" w:space="0" w:color="auto"/>
            </w:tcBorders>
            <w:shd w:val="clear" w:color="000000" w:fill="FFFFFF"/>
            <w:vAlign w:val="center"/>
            <w:hideMark/>
          </w:tcPr>
          <w:p w:rsidR="003A1DEA" w14:paraId="632008F7" w14:textId="34220E94">
            <w:pPr>
              <w:jc w:val="center"/>
              <w:rPr>
                <w:b/>
                <w:bCs/>
                <w:color w:val="000000"/>
                <w:sz w:val="20"/>
                <w:szCs w:val="20"/>
              </w:rPr>
            </w:pPr>
            <w:r>
              <w:rPr>
                <w:b/>
                <w:bCs/>
                <w:color w:val="000000"/>
                <w:sz w:val="20"/>
                <w:szCs w:val="20"/>
              </w:rPr>
              <w:t>2.2%</w:t>
            </w:r>
            <w:r>
              <w:rPr>
                <w:rStyle w:val="FootnoteReference"/>
                <w:b/>
                <w:bCs/>
                <w:color w:val="000000"/>
                <w:sz w:val="20"/>
                <w:szCs w:val="20"/>
                <w:vertAlign w:val="superscript"/>
              </w:rPr>
              <w:footnoteReference w:id="8"/>
            </w:r>
          </w:p>
        </w:tc>
        <w:tc>
          <w:tcPr>
            <w:tcW w:w="1866" w:type="dxa"/>
            <w:tcBorders>
              <w:top w:val="nil"/>
              <w:left w:val="nil"/>
              <w:bottom w:val="single" w:sz="8" w:space="0" w:color="auto"/>
              <w:right w:val="single" w:sz="8" w:space="0" w:color="auto"/>
            </w:tcBorders>
            <w:shd w:val="clear" w:color="000000" w:fill="FFFFFF"/>
            <w:vAlign w:val="center"/>
            <w:hideMark/>
          </w:tcPr>
          <w:p w:rsidR="003A1DEA" w14:paraId="5F04CDF6" w14:textId="34FDB95F">
            <w:pPr>
              <w:jc w:val="center"/>
              <w:rPr>
                <w:b/>
                <w:bCs/>
                <w:color w:val="000000"/>
                <w:sz w:val="20"/>
                <w:szCs w:val="20"/>
              </w:rPr>
            </w:pPr>
            <w:r>
              <w:rPr>
                <w:b/>
                <w:bCs/>
                <w:color w:val="000000"/>
                <w:sz w:val="20"/>
                <w:szCs w:val="20"/>
              </w:rPr>
              <w:t xml:space="preserve"> $</w:t>
            </w:r>
            <w:r w:rsidR="00683754">
              <w:rPr>
                <w:b/>
                <w:bCs/>
                <w:color w:val="000000"/>
                <w:sz w:val="20"/>
                <w:szCs w:val="20"/>
              </w:rPr>
              <w:t xml:space="preserve"> </w:t>
            </w:r>
            <w:r w:rsidR="00C664FC">
              <w:rPr>
                <w:b/>
                <w:bCs/>
                <w:color w:val="000000"/>
                <w:sz w:val="20"/>
                <w:szCs w:val="20"/>
              </w:rPr>
              <w:t>239,771</w:t>
            </w:r>
            <w:r>
              <w:rPr>
                <w:b/>
                <w:bCs/>
                <w:color w:val="000000"/>
                <w:sz w:val="20"/>
                <w:szCs w:val="20"/>
              </w:rPr>
              <w:t xml:space="preserve"> </w:t>
            </w:r>
          </w:p>
        </w:tc>
      </w:tr>
      <w:tr w14:paraId="56FDFE54" w14:textId="77777777" w:rsidTr="00D12B57">
        <w:tblPrEx>
          <w:tblW w:w="6744" w:type="dxa"/>
          <w:jc w:val="center"/>
          <w:tblLook w:val="04A0"/>
        </w:tblPrEx>
        <w:trPr>
          <w:trHeight w:val="780"/>
          <w:jc w:val="center"/>
        </w:trPr>
        <w:tc>
          <w:tcPr>
            <w:tcW w:w="1272" w:type="dxa"/>
            <w:tcBorders>
              <w:top w:val="nil"/>
              <w:left w:val="single" w:sz="8" w:space="0" w:color="auto"/>
              <w:bottom w:val="single" w:sz="8" w:space="0" w:color="auto"/>
              <w:right w:val="single" w:sz="8" w:space="0" w:color="auto"/>
            </w:tcBorders>
            <w:shd w:val="clear" w:color="000000" w:fill="C5D9F1"/>
            <w:vAlign w:val="center"/>
            <w:hideMark/>
          </w:tcPr>
          <w:p w:rsidR="003A1DEA" w14:paraId="772CCA42" w14:textId="77777777">
            <w:pPr>
              <w:rPr>
                <w:b/>
                <w:bCs/>
                <w:color w:val="000000"/>
                <w:sz w:val="20"/>
                <w:szCs w:val="20"/>
              </w:rPr>
            </w:pPr>
            <w:r>
              <w:rPr>
                <w:b/>
                <w:bCs/>
                <w:color w:val="000000"/>
                <w:sz w:val="20"/>
                <w:szCs w:val="20"/>
              </w:rPr>
              <w:t>Total</w:t>
            </w:r>
          </w:p>
        </w:tc>
        <w:tc>
          <w:tcPr>
            <w:tcW w:w="608" w:type="dxa"/>
            <w:tcBorders>
              <w:top w:val="nil"/>
              <w:left w:val="nil"/>
              <w:bottom w:val="single" w:sz="8" w:space="0" w:color="auto"/>
              <w:right w:val="single" w:sz="8" w:space="0" w:color="auto"/>
            </w:tcBorders>
            <w:shd w:val="clear" w:color="000000" w:fill="C5D9F1"/>
            <w:vAlign w:val="center"/>
            <w:hideMark/>
          </w:tcPr>
          <w:p w:rsidR="003A1DEA" w14:paraId="0C583E2A" w14:textId="77777777">
            <w:pPr>
              <w:jc w:val="center"/>
              <w:rPr>
                <w:b/>
                <w:bCs/>
                <w:color w:val="000000"/>
                <w:sz w:val="20"/>
                <w:szCs w:val="20"/>
              </w:rPr>
            </w:pPr>
            <w:r>
              <w:rPr>
                <w:b/>
                <w:bCs/>
                <w:color w:val="000000"/>
                <w:sz w:val="20"/>
                <w:szCs w:val="20"/>
              </w:rPr>
              <w:t> </w:t>
            </w:r>
          </w:p>
        </w:tc>
        <w:tc>
          <w:tcPr>
            <w:tcW w:w="1536" w:type="dxa"/>
            <w:tcBorders>
              <w:top w:val="nil"/>
              <w:left w:val="nil"/>
              <w:bottom w:val="single" w:sz="8" w:space="0" w:color="auto"/>
              <w:right w:val="single" w:sz="8" w:space="0" w:color="auto"/>
            </w:tcBorders>
            <w:shd w:val="clear" w:color="000000" w:fill="C5D9F1"/>
            <w:vAlign w:val="center"/>
            <w:hideMark/>
          </w:tcPr>
          <w:p w:rsidR="003A1DEA" w14:paraId="30559239" w14:textId="77777777">
            <w:pPr>
              <w:jc w:val="center"/>
              <w:rPr>
                <w:b/>
                <w:bCs/>
                <w:color w:val="000000"/>
                <w:sz w:val="20"/>
                <w:szCs w:val="20"/>
              </w:rPr>
            </w:pPr>
            <w:r>
              <w:rPr>
                <w:b/>
                <w:bCs/>
                <w:color w:val="000000"/>
                <w:sz w:val="20"/>
                <w:szCs w:val="20"/>
              </w:rPr>
              <w:t> </w:t>
            </w:r>
          </w:p>
        </w:tc>
        <w:tc>
          <w:tcPr>
            <w:tcW w:w="731" w:type="dxa"/>
            <w:tcBorders>
              <w:top w:val="nil"/>
              <w:left w:val="nil"/>
              <w:bottom w:val="single" w:sz="8" w:space="0" w:color="auto"/>
              <w:right w:val="single" w:sz="8" w:space="0" w:color="auto"/>
            </w:tcBorders>
            <w:shd w:val="clear" w:color="000000" w:fill="C5D9F1"/>
            <w:vAlign w:val="center"/>
            <w:hideMark/>
          </w:tcPr>
          <w:p w:rsidR="003A1DEA" w14:paraId="5DD75AB0" w14:textId="77777777">
            <w:pPr>
              <w:jc w:val="center"/>
              <w:rPr>
                <w:b/>
                <w:bCs/>
                <w:color w:val="000000"/>
                <w:sz w:val="20"/>
                <w:szCs w:val="20"/>
              </w:rPr>
            </w:pPr>
            <w:r>
              <w:rPr>
                <w:b/>
                <w:bCs/>
                <w:color w:val="000000"/>
                <w:sz w:val="20"/>
                <w:szCs w:val="20"/>
              </w:rPr>
              <w:t> </w:t>
            </w:r>
          </w:p>
        </w:tc>
        <w:tc>
          <w:tcPr>
            <w:tcW w:w="731" w:type="dxa"/>
            <w:tcBorders>
              <w:top w:val="nil"/>
              <w:left w:val="nil"/>
              <w:bottom w:val="single" w:sz="8" w:space="0" w:color="auto"/>
              <w:right w:val="single" w:sz="8" w:space="0" w:color="auto"/>
            </w:tcBorders>
            <w:shd w:val="clear" w:color="000000" w:fill="C5D9F1"/>
            <w:vAlign w:val="center"/>
            <w:hideMark/>
          </w:tcPr>
          <w:p w:rsidR="003A1DEA" w14:paraId="29BF04CE" w14:textId="77777777">
            <w:pPr>
              <w:jc w:val="center"/>
              <w:rPr>
                <w:b/>
                <w:bCs/>
                <w:color w:val="000000"/>
                <w:sz w:val="20"/>
                <w:szCs w:val="20"/>
              </w:rPr>
            </w:pPr>
            <w:r>
              <w:rPr>
                <w:b/>
                <w:bCs/>
                <w:color w:val="000000"/>
                <w:sz w:val="20"/>
                <w:szCs w:val="20"/>
              </w:rPr>
              <w:t> </w:t>
            </w:r>
          </w:p>
        </w:tc>
        <w:tc>
          <w:tcPr>
            <w:tcW w:w="1866" w:type="dxa"/>
            <w:tcBorders>
              <w:top w:val="nil"/>
              <w:left w:val="nil"/>
              <w:bottom w:val="single" w:sz="8" w:space="0" w:color="auto"/>
              <w:right w:val="single" w:sz="8" w:space="0" w:color="auto"/>
            </w:tcBorders>
            <w:shd w:val="clear" w:color="000000" w:fill="C5D9F1"/>
            <w:vAlign w:val="center"/>
            <w:hideMark/>
          </w:tcPr>
          <w:p w:rsidR="003A1DEA" w14:paraId="202817C6" w14:textId="5043FB09">
            <w:pPr>
              <w:jc w:val="center"/>
              <w:rPr>
                <w:b/>
                <w:bCs/>
                <w:color w:val="000000"/>
                <w:sz w:val="20"/>
                <w:szCs w:val="20"/>
              </w:rPr>
            </w:pPr>
            <w:r>
              <w:rPr>
                <w:b/>
                <w:bCs/>
                <w:color w:val="000000"/>
                <w:sz w:val="20"/>
                <w:szCs w:val="20"/>
              </w:rPr>
              <w:t xml:space="preserve"> $      </w:t>
            </w:r>
            <w:r w:rsidR="00C664FC">
              <w:rPr>
                <w:b/>
                <w:bCs/>
                <w:color w:val="000000"/>
                <w:sz w:val="20"/>
                <w:szCs w:val="20"/>
              </w:rPr>
              <w:t>239,771</w:t>
            </w:r>
            <w:r>
              <w:rPr>
                <w:b/>
                <w:bCs/>
                <w:color w:val="000000"/>
                <w:sz w:val="20"/>
                <w:szCs w:val="20"/>
              </w:rPr>
              <w:t xml:space="preserve"> </w:t>
            </w:r>
          </w:p>
        </w:tc>
      </w:tr>
    </w:tbl>
    <w:p w:rsidR="005B05F2" w:rsidP="00E46E38" w14:paraId="071DC679" w14:textId="77777777"/>
    <w:p w:rsidR="005B05F2" w:rsidRPr="00FD7305" w:rsidP="00E46E38" w14:paraId="51F967F7" w14:textId="77777777"/>
    <w:p w:rsidR="00E46E38" w:rsidP="00E46E38" w14:paraId="43A9C79A" w14:textId="25309A08">
      <w:r w:rsidRPr="00BE4382">
        <w:rPr>
          <w:b/>
          <w:bCs/>
        </w:rPr>
        <w:t>15.</w:t>
      </w:r>
      <w:r w:rsidR="00125CC6">
        <w:rPr>
          <w:b/>
          <w:bCs/>
        </w:rPr>
        <w:t xml:space="preserve"> </w:t>
      </w:r>
      <w:r w:rsidR="00125CC6">
        <w:t xml:space="preserve">The change in annual responses </w:t>
      </w:r>
      <w:r w:rsidR="002C6BE5">
        <w:t>and in annual burden</w:t>
      </w:r>
      <w:r w:rsidR="00C60F88">
        <w:t xml:space="preserve"> </w:t>
      </w:r>
      <w:r w:rsidR="002C6BE5">
        <w:t xml:space="preserve">hours </w:t>
      </w:r>
      <w:r w:rsidR="00125CC6">
        <w:t xml:space="preserve">reflect the increase in DEA’s registrant population. The change in annual cost is due to change in method. Previously, the approved 2022 figure represented the “Monetized Value of Respondent Time” calculated in section 12. The new requested annual cost represents the figure from section 13. The table below summarizes the changes since the last renewal of this information collection. </w:t>
      </w:r>
    </w:p>
    <w:p w:rsidR="00E46E38" w:rsidP="00E46E38" w14:paraId="635B28E6" w14:textId="77777777"/>
    <w:tbl>
      <w:tblPr>
        <w:tblW w:w="5660" w:type="dxa"/>
        <w:jc w:val="center"/>
        <w:tblLook w:val="04A0"/>
      </w:tblPr>
      <w:tblGrid>
        <w:gridCol w:w="1700"/>
        <w:gridCol w:w="1080"/>
        <w:gridCol w:w="1350"/>
        <w:gridCol w:w="1530"/>
      </w:tblGrid>
      <w:tr w14:paraId="52A659A0" w14:textId="77777777" w:rsidTr="005B05F2">
        <w:tblPrEx>
          <w:tblW w:w="5660" w:type="dxa"/>
          <w:jc w:val="center"/>
          <w:tblLook w:val="04A0"/>
        </w:tblPrEx>
        <w:trPr>
          <w:trHeight w:val="745"/>
          <w:jc w:val="center"/>
        </w:trPr>
        <w:tc>
          <w:tcPr>
            <w:tcW w:w="1700"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5B05F2" w14:paraId="315D7A9E" w14:textId="77777777">
            <w:pPr>
              <w:jc w:val="center"/>
              <w:rPr>
                <w:b/>
                <w:bCs/>
                <w:color w:val="000000"/>
                <w:sz w:val="20"/>
                <w:szCs w:val="20"/>
              </w:rPr>
            </w:pPr>
            <w:r>
              <w:rPr>
                <w:b/>
                <w:bCs/>
                <w:color w:val="000000"/>
                <w:sz w:val="20"/>
                <w:szCs w:val="20"/>
              </w:rPr>
              <w:t> </w:t>
            </w:r>
          </w:p>
        </w:tc>
        <w:tc>
          <w:tcPr>
            <w:tcW w:w="1080" w:type="dxa"/>
            <w:tcBorders>
              <w:top w:val="single" w:sz="8" w:space="0" w:color="auto"/>
              <w:left w:val="nil"/>
              <w:bottom w:val="single" w:sz="8" w:space="0" w:color="auto"/>
              <w:right w:val="single" w:sz="8" w:space="0" w:color="auto"/>
            </w:tcBorders>
            <w:shd w:val="clear" w:color="000000" w:fill="C5D9F1"/>
            <w:vAlign w:val="center"/>
            <w:hideMark/>
          </w:tcPr>
          <w:p w:rsidR="005B05F2" w14:paraId="6A35C47B" w14:textId="77777777">
            <w:pPr>
              <w:jc w:val="center"/>
              <w:rPr>
                <w:b/>
                <w:bCs/>
                <w:color w:val="000000"/>
                <w:sz w:val="20"/>
                <w:szCs w:val="20"/>
              </w:rPr>
            </w:pPr>
            <w:r>
              <w:rPr>
                <w:b/>
                <w:bCs/>
                <w:color w:val="000000"/>
                <w:sz w:val="20"/>
                <w:szCs w:val="20"/>
              </w:rPr>
              <w:t>2022 Approved Burden</w:t>
            </w:r>
          </w:p>
        </w:tc>
        <w:tc>
          <w:tcPr>
            <w:tcW w:w="1350" w:type="dxa"/>
            <w:tcBorders>
              <w:top w:val="single" w:sz="8" w:space="0" w:color="auto"/>
              <w:left w:val="nil"/>
              <w:bottom w:val="single" w:sz="8" w:space="0" w:color="auto"/>
              <w:right w:val="single" w:sz="8" w:space="0" w:color="auto"/>
            </w:tcBorders>
            <w:shd w:val="clear" w:color="000000" w:fill="C5D9F1"/>
            <w:vAlign w:val="center"/>
            <w:hideMark/>
          </w:tcPr>
          <w:p w:rsidR="005B05F2" w14:paraId="2BBF8EA8" w14:textId="77777777">
            <w:pPr>
              <w:jc w:val="center"/>
              <w:rPr>
                <w:b/>
                <w:bCs/>
                <w:color w:val="000000"/>
                <w:sz w:val="20"/>
                <w:szCs w:val="20"/>
              </w:rPr>
            </w:pPr>
            <w:r>
              <w:rPr>
                <w:b/>
                <w:bCs/>
                <w:color w:val="000000"/>
                <w:sz w:val="20"/>
                <w:szCs w:val="20"/>
              </w:rPr>
              <w:t>2025 New Requested Burden</w:t>
            </w:r>
          </w:p>
        </w:tc>
        <w:tc>
          <w:tcPr>
            <w:tcW w:w="1530" w:type="dxa"/>
            <w:tcBorders>
              <w:top w:val="single" w:sz="8" w:space="0" w:color="auto"/>
              <w:left w:val="nil"/>
              <w:bottom w:val="single" w:sz="8" w:space="0" w:color="auto"/>
              <w:right w:val="single" w:sz="8" w:space="0" w:color="auto"/>
            </w:tcBorders>
            <w:shd w:val="clear" w:color="000000" w:fill="C5D9F1"/>
            <w:vAlign w:val="center"/>
            <w:hideMark/>
          </w:tcPr>
          <w:p w:rsidR="005B05F2" w14:paraId="6ED0930D" w14:textId="77777777">
            <w:pPr>
              <w:jc w:val="center"/>
              <w:rPr>
                <w:b/>
                <w:bCs/>
                <w:color w:val="000000"/>
                <w:sz w:val="20"/>
                <w:szCs w:val="20"/>
              </w:rPr>
            </w:pPr>
            <w:r>
              <w:rPr>
                <w:b/>
                <w:bCs/>
                <w:color w:val="000000"/>
                <w:sz w:val="20"/>
                <w:szCs w:val="20"/>
              </w:rPr>
              <w:t>Difference</w:t>
            </w:r>
          </w:p>
        </w:tc>
      </w:tr>
      <w:tr w14:paraId="3C850D29" w14:textId="77777777" w:rsidTr="005B05F2">
        <w:tblPrEx>
          <w:tblW w:w="5660" w:type="dxa"/>
          <w:jc w:val="center"/>
          <w:tblLook w:val="04A0"/>
        </w:tblPrEx>
        <w:trPr>
          <w:trHeight w:val="700"/>
          <w:jc w:val="center"/>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5B05F2" w14:paraId="52C92B5C" w14:textId="77777777">
            <w:pPr>
              <w:rPr>
                <w:color w:val="000000"/>
                <w:sz w:val="20"/>
                <w:szCs w:val="20"/>
              </w:rPr>
            </w:pPr>
            <w:r>
              <w:rPr>
                <w:color w:val="000000"/>
                <w:sz w:val="20"/>
                <w:szCs w:val="20"/>
              </w:rPr>
              <w:t>Annual respondents</w:t>
            </w:r>
          </w:p>
        </w:tc>
        <w:tc>
          <w:tcPr>
            <w:tcW w:w="1080" w:type="dxa"/>
            <w:tcBorders>
              <w:top w:val="nil"/>
              <w:left w:val="nil"/>
              <w:bottom w:val="single" w:sz="8" w:space="0" w:color="auto"/>
              <w:right w:val="single" w:sz="8" w:space="0" w:color="auto"/>
            </w:tcBorders>
            <w:shd w:val="clear" w:color="auto" w:fill="auto"/>
            <w:vAlign w:val="center"/>
            <w:hideMark/>
          </w:tcPr>
          <w:p w:rsidR="005B05F2" w14:paraId="0A915944" w14:textId="77777777">
            <w:pPr>
              <w:jc w:val="right"/>
              <w:rPr>
                <w:color w:val="000000"/>
                <w:sz w:val="20"/>
                <w:szCs w:val="20"/>
              </w:rPr>
            </w:pPr>
            <w:r>
              <w:rPr>
                <w:color w:val="000000"/>
                <w:sz w:val="20"/>
                <w:szCs w:val="20"/>
              </w:rPr>
              <w:t>16,338</w:t>
            </w:r>
          </w:p>
        </w:tc>
        <w:tc>
          <w:tcPr>
            <w:tcW w:w="1350" w:type="dxa"/>
            <w:tcBorders>
              <w:top w:val="nil"/>
              <w:left w:val="nil"/>
              <w:bottom w:val="single" w:sz="8" w:space="0" w:color="auto"/>
              <w:right w:val="single" w:sz="8" w:space="0" w:color="auto"/>
            </w:tcBorders>
            <w:shd w:val="clear" w:color="auto" w:fill="auto"/>
            <w:vAlign w:val="center"/>
            <w:hideMark/>
          </w:tcPr>
          <w:p w:rsidR="005B05F2" w14:paraId="051A4E50" w14:textId="77777777">
            <w:pPr>
              <w:jc w:val="right"/>
              <w:rPr>
                <w:color w:val="000000"/>
                <w:sz w:val="20"/>
                <w:szCs w:val="20"/>
              </w:rPr>
            </w:pPr>
            <w:r>
              <w:rPr>
                <w:color w:val="000000"/>
                <w:sz w:val="20"/>
                <w:szCs w:val="20"/>
              </w:rPr>
              <w:t>16,560</w:t>
            </w:r>
          </w:p>
        </w:tc>
        <w:tc>
          <w:tcPr>
            <w:tcW w:w="1530" w:type="dxa"/>
            <w:tcBorders>
              <w:top w:val="nil"/>
              <w:left w:val="nil"/>
              <w:bottom w:val="single" w:sz="8" w:space="0" w:color="auto"/>
              <w:right w:val="single" w:sz="8" w:space="0" w:color="auto"/>
            </w:tcBorders>
            <w:shd w:val="clear" w:color="auto" w:fill="auto"/>
            <w:vAlign w:val="center"/>
            <w:hideMark/>
          </w:tcPr>
          <w:p w:rsidR="005B05F2" w14:paraId="5D3B06E9" w14:textId="77777777">
            <w:pPr>
              <w:jc w:val="right"/>
              <w:rPr>
                <w:color w:val="000000"/>
                <w:sz w:val="20"/>
                <w:szCs w:val="20"/>
              </w:rPr>
            </w:pPr>
            <w:r>
              <w:rPr>
                <w:color w:val="000000"/>
                <w:sz w:val="20"/>
                <w:szCs w:val="20"/>
              </w:rPr>
              <w:t>222</w:t>
            </w:r>
          </w:p>
        </w:tc>
      </w:tr>
      <w:tr w14:paraId="01008C80" w14:textId="77777777" w:rsidTr="005B05F2">
        <w:tblPrEx>
          <w:tblW w:w="5660" w:type="dxa"/>
          <w:jc w:val="center"/>
          <w:tblLook w:val="04A0"/>
        </w:tblPrEx>
        <w:trPr>
          <w:trHeight w:val="780"/>
          <w:jc w:val="center"/>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5B05F2" w14:paraId="5756A2AD" w14:textId="77777777">
            <w:pPr>
              <w:rPr>
                <w:color w:val="000000"/>
                <w:sz w:val="20"/>
                <w:szCs w:val="20"/>
              </w:rPr>
            </w:pPr>
            <w:r>
              <w:rPr>
                <w:color w:val="000000"/>
                <w:sz w:val="20"/>
                <w:szCs w:val="20"/>
              </w:rPr>
              <w:t>Annual burden hours</w:t>
            </w:r>
          </w:p>
        </w:tc>
        <w:tc>
          <w:tcPr>
            <w:tcW w:w="1080" w:type="dxa"/>
            <w:tcBorders>
              <w:top w:val="nil"/>
              <w:left w:val="nil"/>
              <w:bottom w:val="single" w:sz="8" w:space="0" w:color="auto"/>
              <w:right w:val="single" w:sz="8" w:space="0" w:color="auto"/>
            </w:tcBorders>
            <w:shd w:val="clear" w:color="auto" w:fill="auto"/>
            <w:vAlign w:val="center"/>
            <w:hideMark/>
          </w:tcPr>
          <w:p w:rsidR="005B05F2" w14:paraId="31ABBD4F" w14:textId="77777777">
            <w:pPr>
              <w:jc w:val="right"/>
              <w:rPr>
                <w:color w:val="000000"/>
                <w:sz w:val="20"/>
                <w:szCs w:val="20"/>
              </w:rPr>
            </w:pPr>
            <w:r>
              <w:rPr>
                <w:color w:val="000000"/>
                <w:sz w:val="20"/>
                <w:szCs w:val="20"/>
              </w:rPr>
              <w:t>3,253</w:t>
            </w:r>
          </w:p>
        </w:tc>
        <w:tc>
          <w:tcPr>
            <w:tcW w:w="1350" w:type="dxa"/>
            <w:tcBorders>
              <w:top w:val="nil"/>
              <w:left w:val="nil"/>
              <w:bottom w:val="single" w:sz="8" w:space="0" w:color="auto"/>
              <w:right w:val="single" w:sz="8" w:space="0" w:color="auto"/>
            </w:tcBorders>
            <w:shd w:val="clear" w:color="auto" w:fill="auto"/>
            <w:vAlign w:val="center"/>
            <w:hideMark/>
          </w:tcPr>
          <w:p w:rsidR="005B05F2" w14:paraId="248A6035" w14:textId="5491DF33">
            <w:pPr>
              <w:jc w:val="right"/>
              <w:rPr>
                <w:color w:val="000000"/>
                <w:sz w:val="20"/>
                <w:szCs w:val="20"/>
              </w:rPr>
            </w:pPr>
            <w:r>
              <w:rPr>
                <w:color w:val="000000"/>
                <w:sz w:val="20"/>
                <w:szCs w:val="20"/>
              </w:rPr>
              <w:t>3,323</w:t>
            </w:r>
          </w:p>
        </w:tc>
        <w:tc>
          <w:tcPr>
            <w:tcW w:w="1530" w:type="dxa"/>
            <w:tcBorders>
              <w:top w:val="nil"/>
              <w:left w:val="nil"/>
              <w:bottom w:val="single" w:sz="8" w:space="0" w:color="auto"/>
              <w:right w:val="single" w:sz="8" w:space="0" w:color="auto"/>
            </w:tcBorders>
            <w:shd w:val="clear" w:color="auto" w:fill="auto"/>
            <w:vAlign w:val="center"/>
            <w:hideMark/>
          </w:tcPr>
          <w:p w:rsidR="005B05F2" w14:paraId="6B99A94B" w14:textId="315CBA92">
            <w:pPr>
              <w:jc w:val="right"/>
              <w:rPr>
                <w:color w:val="000000"/>
                <w:sz w:val="20"/>
                <w:szCs w:val="20"/>
              </w:rPr>
            </w:pPr>
            <w:r>
              <w:rPr>
                <w:color w:val="000000"/>
                <w:sz w:val="20"/>
                <w:szCs w:val="20"/>
              </w:rPr>
              <w:t>70</w:t>
            </w:r>
          </w:p>
        </w:tc>
      </w:tr>
      <w:tr w14:paraId="2ED9D6C6" w14:textId="77777777" w:rsidTr="005B05F2">
        <w:tblPrEx>
          <w:tblW w:w="5660" w:type="dxa"/>
          <w:jc w:val="center"/>
          <w:tblLook w:val="04A0"/>
        </w:tblPrEx>
        <w:trPr>
          <w:trHeight w:val="780"/>
          <w:jc w:val="center"/>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5B05F2" w14:paraId="0D1AAD7F" w14:textId="77777777">
            <w:pPr>
              <w:rPr>
                <w:color w:val="000000"/>
                <w:sz w:val="20"/>
                <w:szCs w:val="20"/>
              </w:rPr>
            </w:pPr>
            <w:r>
              <w:rPr>
                <w:color w:val="000000"/>
                <w:sz w:val="20"/>
                <w:szCs w:val="20"/>
              </w:rPr>
              <w:t>Annual cost ($)</w:t>
            </w:r>
          </w:p>
        </w:tc>
        <w:tc>
          <w:tcPr>
            <w:tcW w:w="1080" w:type="dxa"/>
            <w:tcBorders>
              <w:top w:val="nil"/>
              <w:left w:val="nil"/>
              <w:bottom w:val="single" w:sz="8" w:space="0" w:color="auto"/>
              <w:right w:val="single" w:sz="8" w:space="0" w:color="auto"/>
            </w:tcBorders>
            <w:shd w:val="clear" w:color="auto" w:fill="auto"/>
            <w:vAlign w:val="center"/>
            <w:hideMark/>
          </w:tcPr>
          <w:p w:rsidR="005B05F2" w14:paraId="537E8DF2" w14:textId="77777777">
            <w:pPr>
              <w:jc w:val="right"/>
              <w:rPr>
                <w:color w:val="000000"/>
                <w:sz w:val="20"/>
                <w:szCs w:val="20"/>
              </w:rPr>
            </w:pPr>
            <w:r>
              <w:rPr>
                <w:color w:val="000000"/>
                <w:sz w:val="20"/>
                <w:szCs w:val="20"/>
              </w:rPr>
              <w:t>225,011</w:t>
            </w:r>
          </w:p>
        </w:tc>
        <w:tc>
          <w:tcPr>
            <w:tcW w:w="1350" w:type="dxa"/>
            <w:tcBorders>
              <w:top w:val="nil"/>
              <w:left w:val="nil"/>
              <w:bottom w:val="single" w:sz="8" w:space="0" w:color="auto"/>
              <w:right w:val="single" w:sz="8" w:space="0" w:color="auto"/>
            </w:tcBorders>
            <w:shd w:val="clear" w:color="auto" w:fill="auto"/>
            <w:vAlign w:val="center"/>
            <w:hideMark/>
          </w:tcPr>
          <w:p w:rsidR="005B05F2" w14:paraId="391853B8" w14:textId="77777777">
            <w:pPr>
              <w:jc w:val="right"/>
              <w:rPr>
                <w:color w:val="000000"/>
                <w:sz w:val="20"/>
                <w:szCs w:val="20"/>
              </w:rPr>
            </w:pPr>
            <w:r>
              <w:rPr>
                <w:color w:val="000000"/>
                <w:sz w:val="20"/>
                <w:szCs w:val="20"/>
              </w:rPr>
              <w:t>0</w:t>
            </w:r>
          </w:p>
        </w:tc>
        <w:tc>
          <w:tcPr>
            <w:tcW w:w="1530" w:type="dxa"/>
            <w:tcBorders>
              <w:top w:val="nil"/>
              <w:left w:val="nil"/>
              <w:bottom w:val="single" w:sz="8" w:space="0" w:color="auto"/>
              <w:right w:val="single" w:sz="8" w:space="0" w:color="auto"/>
            </w:tcBorders>
            <w:shd w:val="clear" w:color="auto" w:fill="auto"/>
            <w:vAlign w:val="center"/>
            <w:hideMark/>
          </w:tcPr>
          <w:p w:rsidR="005B05F2" w14:paraId="7550910F" w14:textId="6FED5D02">
            <w:pPr>
              <w:jc w:val="right"/>
              <w:rPr>
                <w:color w:val="000000"/>
                <w:sz w:val="20"/>
                <w:szCs w:val="20"/>
              </w:rPr>
            </w:pPr>
            <w:r>
              <w:rPr>
                <w:color w:val="000000"/>
                <w:sz w:val="20"/>
                <w:szCs w:val="20"/>
              </w:rPr>
              <w:t>(</w:t>
            </w:r>
            <w:r>
              <w:rPr>
                <w:color w:val="000000"/>
                <w:sz w:val="20"/>
                <w:szCs w:val="20"/>
              </w:rPr>
              <w:t>225,011</w:t>
            </w:r>
            <w:r>
              <w:rPr>
                <w:color w:val="000000"/>
                <w:sz w:val="20"/>
                <w:szCs w:val="20"/>
              </w:rPr>
              <w:t>)</w:t>
            </w:r>
          </w:p>
        </w:tc>
      </w:tr>
    </w:tbl>
    <w:p w:rsidR="005B05F2" w:rsidP="00E46E38" w14:paraId="51A19DBF" w14:textId="77777777"/>
    <w:p w:rsidR="00E46E38" w:rsidP="00E46E38" w14:paraId="02A376A1" w14:textId="77777777"/>
    <w:p w:rsidR="00E46E38" w:rsidP="00E46E38" w14:paraId="540AAF7E" w14:textId="77777777">
      <w:r w:rsidRPr="00BE4382">
        <w:rPr>
          <w:b/>
          <w:bCs/>
        </w:rPr>
        <w:t>16.</w:t>
      </w:r>
      <w:r>
        <w:t xml:space="preserve"> </w:t>
      </w:r>
      <w:r w:rsidRPr="001D5272">
        <w:t>DEA</w:t>
      </w:r>
      <w:r>
        <w:t xml:space="preserve"> will not publish the results of the information collected.</w:t>
      </w:r>
    </w:p>
    <w:p w:rsidR="00E46E38" w:rsidP="00E46E38" w14:paraId="38FB46AC" w14:textId="77777777"/>
    <w:p w:rsidR="00E46E38" w:rsidP="00E46E38" w14:paraId="1AD3136C" w14:textId="77777777">
      <w:r w:rsidRPr="00BE4382">
        <w:rPr>
          <w:b/>
          <w:bCs/>
        </w:rPr>
        <w:t>17.</w:t>
      </w:r>
      <w:r>
        <w:t xml:space="preserve"> </w:t>
      </w:r>
      <w:r w:rsidRPr="003B5737">
        <w:t xml:space="preserve">DEA </w:t>
      </w:r>
      <w:r>
        <w:t>does not object to</w:t>
      </w:r>
      <w:r w:rsidRPr="003B5737">
        <w:t xml:space="preserve"> OMB displaying the expiration date.</w:t>
      </w:r>
    </w:p>
    <w:p w:rsidR="00E46E38" w:rsidP="00E46E38" w14:paraId="2E9CCF08" w14:textId="77777777"/>
    <w:p w:rsidR="00E46E38" w:rsidP="00E46E38" w14:paraId="50BF339B" w14:textId="77777777">
      <w:r w:rsidRPr="00BE4382">
        <w:rPr>
          <w:b/>
          <w:bCs/>
        </w:rPr>
        <w:t>18.</w:t>
      </w:r>
      <w:r>
        <w:t xml:space="preserve"> DEA is not seeking an exception to the certification statement “Certification for Paperwork Reduction Act Submissions” for this collection of information.</w:t>
      </w:r>
    </w:p>
    <w:p w:rsidR="00E46E38" w:rsidP="00E46E38" w14:paraId="522BA902" w14:textId="77777777">
      <w:pPr>
        <w:rPr>
          <w:b/>
        </w:rPr>
      </w:pPr>
    </w:p>
    <w:p w:rsidR="00E46E38" w:rsidRPr="0086545A" w:rsidP="00E46E38" w14:paraId="6FFF9A8C" w14:textId="77777777">
      <w:pPr>
        <w:rPr>
          <w:b/>
        </w:rPr>
      </w:pPr>
      <w:r w:rsidRPr="0086545A">
        <w:rPr>
          <w:b/>
        </w:rPr>
        <w:t>Part B.  Statistical Methods</w:t>
      </w:r>
    </w:p>
    <w:p w:rsidR="00E46E38" w:rsidP="00E46E38" w14:paraId="3BD8F17C" w14:textId="77777777"/>
    <w:p w:rsidR="00E46E38" w:rsidRPr="009B6DB2" w:rsidP="00E46E38" w14:paraId="0CB4E902" w14:textId="77777777">
      <w:r>
        <w:t>DEA does not employ statistical methods in this information collection.</w:t>
      </w:r>
    </w:p>
    <w:p w:rsidR="00E46E38" w14:paraId="3EB83A19" w14:textId="77777777"/>
    <w:sectPr w:rsidSect="00E46E38">
      <w:headerReference w:type="default" r:id="rId9"/>
      <w:footerReference w:type="default" r:id="rId10"/>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4101782"/>
      <w:docPartObj>
        <w:docPartGallery w:val="Page Numbers (Bottom of Page)"/>
        <w:docPartUnique/>
      </w:docPartObj>
    </w:sdtPr>
    <w:sdtEndPr>
      <w:rPr>
        <w:noProof/>
      </w:rPr>
    </w:sdtEndPr>
    <w:sdtContent>
      <w:p w:rsidR="00506291" w14:paraId="7206123B" w14:textId="77777777">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506291" w14:paraId="6DF64E7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46E38" w:rsidP="00E46E38" w14:paraId="54860500" w14:textId="77777777">
      <w:r>
        <w:separator/>
      </w:r>
    </w:p>
  </w:footnote>
  <w:footnote w:type="continuationSeparator" w:id="1">
    <w:p w:rsidR="00E46E38" w:rsidP="00E46E38" w14:paraId="5FE4D831" w14:textId="77777777">
      <w:r>
        <w:continuationSeparator/>
      </w:r>
    </w:p>
  </w:footnote>
  <w:footnote w:type="continuationNotice" w:id="2">
    <w:p w:rsidR="00E72A2E" w14:paraId="58A17655" w14:textId="77777777"/>
  </w:footnote>
  <w:footnote w:id="3">
    <w:p w:rsidR="00E75523" w:rsidP="00E75523" w14:paraId="03DF3682" w14:textId="0AC88399">
      <w:pPr>
        <w:pStyle w:val="FootnoteText"/>
        <w:rPr>
          <w:vertAlign w:val="superscript"/>
        </w:rPr>
      </w:pPr>
      <w:r>
        <w:rPr>
          <w:rStyle w:val="FootnoteReference"/>
          <w:vertAlign w:val="superscript"/>
        </w:rPr>
        <w:footnoteRef/>
      </w:r>
      <w:r>
        <w:rPr>
          <w:rFonts w:ascii="Times New Roman" w:hAnsi="Times New Roman"/>
        </w:rPr>
        <w:t>The median hourly wage for occupation code 11-1021 General and Operations Manager.  Bureau of Labor Statistics, Occupational and Employment and Wages, May 2023 (http://www.bls.gov/oes/current/oes_nat.htm).</w:t>
      </w:r>
    </w:p>
  </w:footnote>
  <w:footnote w:id="4">
    <w:p w:rsidR="00E75523" w:rsidP="00E75523" w14:paraId="71FFF225" w14:textId="3B4F37FA">
      <w:pPr>
        <w:pStyle w:val="FootnoteText"/>
      </w:pPr>
      <w:r>
        <w:rPr>
          <w:rStyle w:val="FootnoteReference"/>
          <w:vertAlign w:val="superscript"/>
        </w:rPr>
        <w:footnoteRef/>
      </w:r>
      <w:r>
        <w:rPr>
          <w:rFonts w:ascii="Times New Roman" w:hAnsi="Times New Roman"/>
        </w:rPr>
        <w:t xml:space="preserve"> Bureau of Labor Statistics, “Employer Costs for Employee Compensation – September 2024” (ECEC) reports that average benefits for private industry is 29.6% of total compensation.  The 29.</w:t>
      </w:r>
      <w:r w:rsidR="005B05F2">
        <w:rPr>
          <w:rFonts w:ascii="Times New Roman" w:hAnsi="Times New Roman"/>
        </w:rPr>
        <w:t>6</w:t>
      </w:r>
      <w:r>
        <w:rPr>
          <w:rFonts w:ascii="Times New Roman" w:hAnsi="Times New Roman"/>
        </w:rPr>
        <w:t>% of total compensation equates to 42% (29.</w:t>
      </w:r>
      <w:r w:rsidR="005B05F2">
        <w:rPr>
          <w:rFonts w:ascii="Times New Roman" w:hAnsi="Times New Roman"/>
        </w:rPr>
        <w:t>6</w:t>
      </w:r>
      <w:r>
        <w:rPr>
          <w:rFonts w:ascii="Times New Roman" w:hAnsi="Times New Roman"/>
        </w:rPr>
        <w:t>% / 70.</w:t>
      </w:r>
      <w:r w:rsidR="005B05F2">
        <w:rPr>
          <w:rFonts w:ascii="Times New Roman" w:hAnsi="Times New Roman"/>
        </w:rPr>
        <w:t>4</w:t>
      </w:r>
      <w:r>
        <w:rPr>
          <w:rFonts w:ascii="Times New Roman" w:hAnsi="Times New Roman"/>
        </w:rPr>
        <w:t>%) load on wages and salaries.</w:t>
      </w:r>
    </w:p>
  </w:footnote>
  <w:footnote w:id="5">
    <w:p w:rsidR="003A1DEA" w:rsidRPr="00D12B57" w:rsidP="00D12B57" w14:paraId="3A04B233" w14:textId="4D6E4DED">
      <w:pPr>
        <w:rPr>
          <w:color w:val="000000"/>
        </w:rPr>
      </w:pPr>
      <w:r w:rsidRPr="00D12B57">
        <w:rPr>
          <w:rStyle w:val="FootnoteReference"/>
          <w:vertAlign w:val="superscript"/>
        </w:rPr>
        <w:footnoteRef/>
      </w:r>
      <w:r w:rsidRPr="00D12B57">
        <w:rPr>
          <w:vertAlign w:val="superscript"/>
        </w:rPr>
        <w:t xml:space="preserve"> </w:t>
      </w:r>
      <w:r>
        <w:rPr>
          <w:rFonts w:ascii="Cambria" w:hAnsi="Cambria"/>
          <w:color w:val="000000"/>
          <w:sz w:val="20"/>
          <w:szCs w:val="20"/>
        </w:rPr>
        <w:t xml:space="preserve">Average </w:t>
      </w:r>
      <w:r>
        <w:rPr>
          <w:color w:val="000000"/>
          <w:sz w:val="20"/>
          <w:szCs w:val="20"/>
        </w:rPr>
        <w:t>number of Registration Program Specialists (RPS) personnel onboard in FY 2024.</w:t>
      </w:r>
    </w:p>
  </w:footnote>
  <w:footnote w:id="6">
    <w:p w:rsidR="00804B31" w:rsidRPr="00D12B57" w:rsidP="00D12B57" w14:paraId="6C663FA1" w14:textId="47096369">
      <w:pPr>
        <w:rPr>
          <w:color w:val="000000"/>
        </w:rPr>
      </w:pPr>
      <w:r w:rsidRPr="00D12B57">
        <w:rPr>
          <w:rStyle w:val="FootnoteReference"/>
          <w:vertAlign w:val="superscript"/>
        </w:rPr>
        <w:footnoteRef/>
      </w:r>
      <w:r>
        <w:rPr>
          <w:color w:val="000000"/>
          <w:sz w:val="20"/>
          <w:szCs w:val="20"/>
        </w:rPr>
        <w:t xml:space="preserve"> Based on 2025 OPM pay scale for GS-9, Step 5, Washington, DC locality as estimate for all. </w:t>
      </w:r>
    </w:p>
  </w:footnote>
  <w:footnote w:id="7">
    <w:p w:rsidR="00804B31" w:rsidRPr="00804B31" w14:paraId="3CF8A290" w14:textId="5BEBE933">
      <w:pPr>
        <w:pStyle w:val="FootnoteText"/>
      </w:pPr>
      <w:r w:rsidRPr="00D12B57">
        <w:rPr>
          <w:rStyle w:val="FootnoteReference"/>
          <w:vertAlign w:val="superscript"/>
        </w:rPr>
        <w:footnoteRef/>
      </w:r>
      <w:r w:rsidRPr="00D12B57">
        <w:rPr>
          <w:vertAlign w:val="superscript"/>
        </w:rPr>
        <w:t xml:space="preserve"> </w:t>
      </w:r>
      <w:r>
        <w:rPr>
          <w:color w:val="000000"/>
        </w:rPr>
        <w:t>Government salary figures include 61.8% load for benefits based on the ECEC for “State and local government.”  The ECEC does not include figures for the Federal Government.</w:t>
      </w:r>
    </w:p>
  </w:footnote>
  <w:footnote w:id="8">
    <w:p w:rsidR="00804B31" w:rsidP="00804B31" w14:paraId="62DEDE9E" w14:textId="4CADE427">
      <w:pPr>
        <w:rPr>
          <w:rFonts w:ascii="Aptos Narrow" w:hAnsi="Aptos Narrow"/>
          <w:color w:val="000000"/>
        </w:rPr>
      </w:pPr>
      <w:r w:rsidRPr="00D12B57">
        <w:rPr>
          <w:rStyle w:val="FootnoteReference"/>
          <w:vertAlign w:val="superscript"/>
        </w:rPr>
        <w:footnoteRef/>
      </w:r>
      <w:r w:rsidRPr="00D12B57">
        <w:rPr>
          <w:vertAlign w:val="superscript"/>
        </w:rPr>
        <w:t xml:space="preserve"> </w:t>
      </w:r>
      <w:r w:rsidRPr="00D12B57">
        <w:rPr>
          <w:color w:val="000000"/>
          <w:sz w:val="20"/>
          <w:szCs w:val="20"/>
        </w:rPr>
        <w:t>Based on percent 225, 225a, and 225b forms of all registration application forms in FY 2024.</w:t>
      </w:r>
    </w:p>
    <w:p w:rsidR="00804B31" w:rsidRPr="00804B31" w14:paraId="19960987" w14:textId="113FA1D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6291" w:rsidRPr="008F613A" w14:paraId="1DDBD077" w14:textId="77777777">
    <w:pPr>
      <w:pStyle w:val="Header"/>
      <w:rPr>
        <w:sz w:val="22"/>
        <w:szCs w:val="22"/>
      </w:rPr>
    </w:pPr>
    <w:r w:rsidRPr="008F613A">
      <w:rPr>
        <w:sz w:val="22"/>
        <w:szCs w:val="22"/>
      </w:rPr>
      <w:t>Application for Registration – DEA Form 225, Application for Registration Renewal – DEA Form 225a, Affidavit for Chain Renewal – DEA Form 225b</w:t>
    </w:r>
  </w:p>
  <w:p w:rsidR="00506291" w:rsidRPr="008F613A" w14:paraId="14D92B97" w14:textId="77777777">
    <w:pPr>
      <w:pStyle w:val="Header"/>
      <w:rPr>
        <w:sz w:val="22"/>
        <w:szCs w:val="22"/>
      </w:rPr>
    </w:pPr>
    <w:r w:rsidRPr="008F613A">
      <w:rPr>
        <w:sz w:val="22"/>
        <w:szCs w:val="22"/>
      </w:rPr>
      <w:t>OMB Control Number:  1117-0012</w:t>
    </w:r>
  </w:p>
  <w:p w:rsidR="00506291" w:rsidRPr="008F613A" w14:paraId="6A6A08D5" w14:textId="77777777">
    <w:pPr>
      <w:pStyle w:val="Header"/>
      <w:rPr>
        <w:sz w:val="22"/>
        <w:szCs w:val="22"/>
      </w:rPr>
    </w:pPr>
    <w:r w:rsidRPr="008F613A">
      <w:rPr>
        <w:sz w:val="22"/>
        <w:szCs w:val="22"/>
      </w:rPr>
      <w:t>OMB Expiration Date:  6/30/2025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38"/>
    <w:rsid w:val="0003738D"/>
    <w:rsid w:val="00070C6A"/>
    <w:rsid w:val="00084148"/>
    <w:rsid w:val="000B21FD"/>
    <w:rsid w:val="001011FE"/>
    <w:rsid w:val="00121DD6"/>
    <w:rsid w:val="00125CC6"/>
    <w:rsid w:val="001D5272"/>
    <w:rsid w:val="001E18D4"/>
    <w:rsid w:val="002114E5"/>
    <w:rsid w:val="002443B9"/>
    <w:rsid w:val="0027139C"/>
    <w:rsid w:val="002C6BE5"/>
    <w:rsid w:val="002D6B00"/>
    <w:rsid w:val="003A1DEA"/>
    <w:rsid w:val="003A58F4"/>
    <w:rsid w:val="003B5737"/>
    <w:rsid w:val="00401B74"/>
    <w:rsid w:val="00406453"/>
    <w:rsid w:val="004153DF"/>
    <w:rsid w:val="00427B38"/>
    <w:rsid w:val="004B715A"/>
    <w:rsid w:val="004D64E2"/>
    <w:rsid w:val="004E5FBF"/>
    <w:rsid w:val="00506291"/>
    <w:rsid w:val="0053246E"/>
    <w:rsid w:val="005A7B38"/>
    <w:rsid w:val="005B05F2"/>
    <w:rsid w:val="005C57C5"/>
    <w:rsid w:val="00683754"/>
    <w:rsid w:val="006D0731"/>
    <w:rsid w:val="00773CB9"/>
    <w:rsid w:val="007D11C2"/>
    <w:rsid w:val="007D3F16"/>
    <w:rsid w:val="00804B31"/>
    <w:rsid w:val="0086545A"/>
    <w:rsid w:val="008929A7"/>
    <w:rsid w:val="008E0D9C"/>
    <w:rsid w:val="008F613A"/>
    <w:rsid w:val="00960E85"/>
    <w:rsid w:val="00986632"/>
    <w:rsid w:val="00994D42"/>
    <w:rsid w:val="009B6DB2"/>
    <w:rsid w:val="00BD35AF"/>
    <w:rsid w:val="00BE4382"/>
    <w:rsid w:val="00C60F88"/>
    <w:rsid w:val="00C664FC"/>
    <w:rsid w:val="00D12B57"/>
    <w:rsid w:val="00D176FC"/>
    <w:rsid w:val="00D92FCC"/>
    <w:rsid w:val="00DF071F"/>
    <w:rsid w:val="00E00A7B"/>
    <w:rsid w:val="00E46E38"/>
    <w:rsid w:val="00E719E1"/>
    <w:rsid w:val="00E72A2E"/>
    <w:rsid w:val="00E75523"/>
    <w:rsid w:val="00E761BB"/>
    <w:rsid w:val="00FD7305"/>
    <w:rsid w:val="00FE2A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4ED8B8"/>
  <w15:chartTrackingRefBased/>
  <w15:docId w15:val="{D199D8DC-C423-420F-A25B-46953679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E3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46E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46E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46E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46E3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46E3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46E3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46E3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46E3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46E3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E38"/>
    <w:rPr>
      <w:rFonts w:eastAsiaTheme="majorEastAsia" w:cstheme="majorBidi"/>
      <w:color w:val="272727" w:themeColor="text1" w:themeTint="D8"/>
    </w:rPr>
  </w:style>
  <w:style w:type="paragraph" w:styleId="Title">
    <w:name w:val="Title"/>
    <w:basedOn w:val="Normal"/>
    <w:next w:val="Normal"/>
    <w:link w:val="TitleChar"/>
    <w:uiPriority w:val="10"/>
    <w:qFormat/>
    <w:rsid w:val="00E46E3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46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E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46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E3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46E38"/>
    <w:rPr>
      <w:i/>
      <w:iCs/>
      <w:color w:val="404040" w:themeColor="text1" w:themeTint="BF"/>
    </w:rPr>
  </w:style>
  <w:style w:type="paragraph" w:styleId="ListParagraph">
    <w:name w:val="List Paragraph"/>
    <w:basedOn w:val="Normal"/>
    <w:uiPriority w:val="34"/>
    <w:qFormat/>
    <w:rsid w:val="00E46E3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46E38"/>
    <w:rPr>
      <w:i/>
      <w:iCs/>
      <w:color w:val="0F4761" w:themeColor="accent1" w:themeShade="BF"/>
    </w:rPr>
  </w:style>
  <w:style w:type="paragraph" w:styleId="IntenseQuote">
    <w:name w:val="Intense Quote"/>
    <w:basedOn w:val="Normal"/>
    <w:next w:val="Normal"/>
    <w:link w:val="IntenseQuoteChar"/>
    <w:uiPriority w:val="30"/>
    <w:qFormat/>
    <w:rsid w:val="00E46E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46E38"/>
    <w:rPr>
      <w:i/>
      <w:iCs/>
      <w:color w:val="0F4761" w:themeColor="accent1" w:themeShade="BF"/>
    </w:rPr>
  </w:style>
  <w:style w:type="character" w:styleId="IntenseReference">
    <w:name w:val="Intense Reference"/>
    <w:basedOn w:val="DefaultParagraphFont"/>
    <w:uiPriority w:val="32"/>
    <w:qFormat/>
    <w:rsid w:val="00E46E38"/>
    <w:rPr>
      <w:b/>
      <w:bCs/>
      <w:smallCaps/>
      <w:color w:val="0F4761" w:themeColor="accent1" w:themeShade="BF"/>
      <w:spacing w:val="5"/>
    </w:rPr>
  </w:style>
  <w:style w:type="table" w:styleId="TableGrid">
    <w:name w:val="Table Grid"/>
    <w:basedOn w:val="TableNormal"/>
    <w:rsid w:val="00E46E38"/>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6E38"/>
    <w:rPr>
      <w:color w:val="467886" w:themeColor="hyperlink"/>
      <w:u w:val="single"/>
    </w:rPr>
  </w:style>
  <w:style w:type="paragraph" w:styleId="FootnoteText">
    <w:name w:val="footnote text"/>
    <w:basedOn w:val="Normal"/>
    <w:link w:val="FootnoteTextChar"/>
    <w:unhideWhenUsed/>
    <w:rsid w:val="00E46E38"/>
    <w:rPr>
      <w:rFonts w:ascii="Cambria" w:hAnsi="Cambria" w:eastAsiaTheme="minorHAnsi"/>
      <w:sz w:val="20"/>
      <w:szCs w:val="20"/>
    </w:rPr>
  </w:style>
  <w:style w:type="character" w:customStyle="1" w:styleId="FootnoteTextChar">
    <w:name w:val="Footnote Text Char"/>
    <w:basedOn w:val="DefaultParagraphFont"/>
    <w:link w:val="FootnoteText"/>
    <w:rsid w:val="00E46E38"/>
    <w:rPr>
      <w:rFonts w:ascii="Cambria" w:hAnsi="Cambria" w:cs="Times New Roman"/>
      <w:kern w:val="0"/>
      <w:sz w:val="20"/>
      <w:szCs w:val="20"/>
      <w14:ligatures w14:val="none"/>
    </w:rPr>
  </w:style>
  <w:style w:type="character" w:styleId="FootnoteReference">
    <w:name w:val="footnote reference"/>
    <w:basedOn w:val="DefaultParagraphFont"/>
    <w:semiHidden/>
    <w:unhideWhenUsed/>
    <w:rsid w:val="00E46E38"/>
  </w:style>
  <w:style w:type="character" w:styleId="CommentReference">
    <w:name w:val="annotation reference"/>
    <w:basedOn w:val="DefaultParagraphFont"/>
    <w:semiHidden/>
    <w:unhideWhenUsed/>
    <w:rsid w:val="00E46E38"/>
    <w:rPr>
      <w:sz w:val="16"/>
      <w:szCs w:val="16"/>
    </w:rPr>
  </w:style>
  <w:style w:type="paragraph" w:styleId="CommentText">
    <w:name w:val="annotation text"/>
    <w:basedOn w:val="Normal"/>
    <w:link w:val="CommentTextChar"/>
    <w:uiPriority w:val="99"/>
    <w:unhideWhenUsed/>
    <w:rsid w:val="00E46E38"/>
    <w:rPr>
      <w:sz w:val="20"/>
      <w:szCs w:val="20"/>
    </w:rPr>
  </w:style>
  <w:style w:type="character" w:customStyle="1" w:styleId="CommentTextChar">
    <w:name w:val="Comment Text Char"/>
    <w:basedOn w:val="DefaultParagraphFont"/>
    <w:link w:val="CommentText"/>
    <w:uiPriority w:val="99"/>
    <w:rsid w:val="00E46E38"/>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E46E38"/>
    <w:pPr>
      <w:tabs>
        <w:tab w:val="center" w:pos="4680"/>
        <w:tab w:val="right" w:pos="9360"/>
      </w:tabs>
    </w:pPr>
  </w:style>
  <w:style w:type="character" w:customStyle="1" w:styleId="HeaderChar">
    <w:name w:val="Header Char"/>
    <w:basedOn w:val="DefaultParagraphFont"/>
    <w:link w:val="Header"/>
    <w:uiPriority w:val="99"/>
    <w:rsid w:val="00E46E3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46E38"/>
    <w:pPr>
      <w:tabs>
        <w:tab w:val="center" w:pos="4680"/>
        <w:tab w:val="right" w:pos="9360"/>
      </w:tabs>
    </w:pPr>
  </w:style>
  <w:style w:type="character" w:customStyle="1" w:styleId="FooterChar">
    <w:name w:val="Footer Char"/>
    <w:basedOn w:val="DefaultParagraphFont"/>
    <w:link w:val="Footer"/>
    <w:uiPriority w:val="99"/>
    <w:rsid w:val="00E46E38"/>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986632"/>
    <w:rPr>
      <w:b/>
      <w:bCs/>
    </w:rPr>
  </w:style>
  <w:style w:type="character" w:customStyle="1" w:styleId="CommentSubjectChar">
    <w:name w:val="Comment Subject Char"/>
    <w:basedOn w:val="CommentTextChar"/>
    <w:link w:val="CommentSubject"/>
    <w:uiPriority w:val="99"/>
    <w:semiHidden/>
    <w:rsid w:val="00986632"/>
    <w:rPr>
      <w:rFonts w:ascii="Times New Roman" w:eastAsia="Times New Roman" w:hAnsi="Times New Roman" w:cs="Times New Roman"/>
      <w:b/>
      <w:bCs/>
      <w:kern w:val="0"/>
      <w:sz w:val="20"/>
      <w:szCs w:val="20"/>
      <w14:ligatures w14:val="none"/>
    </w:rPr>
  </w:style>
  <w:style w:type="paragraph" w:styleId="EndnoteText">
    <w:name w:val="endnote text"/>
    <w:basedOn w:val="Normal"/>
    <w:link w:val="EndnoteTextChar"/>
    <w:uiPriority w:val="99"/>
    <w:semiHidden/>
    <w:unhideWhenUsed/>
    <w:rsid w:val="00E75523"/>
    <w:rPr>
      <w:sz w:val="20"/>
      <w:szCs w:val="20"/>
    </w:rPr>
  </w:style>
  <w:style w:type="character" w:customStyle="1" w:styleId="EndnoteTextChar">
    <w:name w:val="Endnote Text Char"/>
    <w:basedOn w:val="DefaultParagraphFont"/>
    <w:link w:val="EndnoteText"/>
    <w:uiPriority w:val="99"/>
    <w:semiHidden/>
    <w:rsid w:val="00E75523"/>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E75523"/>
    <w:rPr>
      <w:vertAlign w:val="superscript"/>
    </w:rPr>
  </w:style>
  <w:style w:type="paragraph" w:styleId="Revision">
    <w:name w:val="Revision"/>
    <w:hidden/>
    <w:uiPriority w:val="99"/>
    <w:semiHidden/>
    <w:rsid w:val="00E72A2E"/>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D08035B467DA41A1DD2A04B3EC14BB" ma:contentTypeVersion="2" ma:contentTypeDescription="Create a new document." ma:contentTypeScope="" ma:versionID="d0bef64abee424df7e9dfbfb3a29a1fd">
  <xsd:schema xmlns:xsd="http://www.w3.org/2001/XMLSchema" xmlns:xs="http://www.w3.org/2001/XMLSchema" xmlns:p="http://schemas.microsoft.com/office/2006/metadata/properties" xmlns:ns2="c2287735-bcfa-44b1-b621-4f7c9c60dacc" targetNamespace="http://schemas.microsoft.com/office/2006/metadata/properties" ma:root="true" ma:fieldsID="38faf990d6e55ff9d8500dfaac598176" ns2:_="">
    <xsd:import namespace="c2287735-bcfa-44b1-b621-4f7c9c60dac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87735-bcfa-44b1-b621-4f7c9c60da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46259-0A95-44EE-B145-7158749FB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87735-bcfa-44b1-b621-4f7c9c60d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C6FD8-DE0E-4C7B-944F-D3E68DA5509E}">
  <ds:schemaRefs>
    <ds:schemaRef ds:uri="http://schemas.openxmlformats.org/officeDocument/2006/bibliography"/>
  </ds:schemaRefs>
</ds:datastoreItem>
</file>

<file path=customXml/itemProps3.xml><?xml version="1.0" encoding="utf-8"?>
<ds:datastoreItem xmlns:ds="http://schemas.openxmlformats.org/officeDocument/2006/customXml" ds:itemID="{6F7DF4EF-8C38-4FA3-8F45-122EE481F31E}">
  <ds:schemaRef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c2287735-bcfa-44b1-b621-4f7c9c60dacc"/>
    <ds:schemaRef ds:uri="http://www.w3.org/XML/1998/namespace"/>
  </ds:schemaRefs>
</ds:datastoreItem>
</file>

<file path=customXml/itemProps4.xml><?xml version="1.0" encoding="utf-8"?>
<ds:datastoreItem xmlns:ds="http://schemas.openxmlformats.org/officeDocument/2006/customXml" ds:itemID="{72BEDEBA-DE74-490B-9DF6-5824542EC1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1354</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DEA</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 Marieme A</dc:creator>
  <cp:lastModifiedBy>Moore, Alana J</cp:lastModifiedBy>
  <cp:revision>2</cp:revision>
  <dcterms:created xsi:type="dcterms:W3CDTF">2025-06-03T15:02:00Z</dcterms:created>
  <dcterms:modified xsi:type="dcterms:W3CDTF">2025-06-03T15:02:00Z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0x01010086D08035B467DA41A1DD2A04B3EC14BB</vt:lpwstr>
  </property>
</Properties>
</file>