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10441" w:rsidP="00116CD5" w14:paraId="4C554728" w14:textId="77777777">
      <w:pPr>
        <w:widowControl/>
        <w:tabs>
          <w:tab w:val="left" w:pos="720"/>
        </w:tabs>
        <w:ind w:left="720" w:hanging="1440"/>
        <w:jc w:val="center"/>
        <w:rPr>
          <w:rFonts w:ascii="Times New Roman" w:hAnsi="Times New Roman"/>
          <w:b/>
          <w:bCs/>
        </w:rPr>
      </w:pPr>
    </w:p>
    <w:p w:rsidR="00690F56" w:rsidRPr="00A47DA7" w:rsidP="00E86973" w14:paraId="7E97B93F" w14:textId="77777777">
      <w:pPr>
        <w:widowControl/>
        <w:tabs>
          <w:tab w:val="left" w:pos="720"/>
        </w:tabs>
        <w:ind w:left="720" w:hanging="1440"/>
        <w:jc w:val="center"/>
        <w:rPr>
          <w:rFonts w:ascii="Times New Roman" w:hAnsi="Times New Roman"/>
          <w:b/>
          <w:bCs/>
        </w:rPr>
      </w:pPr>
      <w:r w:rsidRPr="00A47DA7">
        <w:rPr>
          <w:rFonts w:ascii="Times New Roman" w:hAnsi="Times New Roman"/>
          <w:b/>
          <w:bCs/>
        </w:rPr>
        <w:t>SUPPORTING STATEMENT FOR</w:t>
      </w:r>
    </w:p>
    <w:p w:rsidR="00E86973" w:rsidRPr="00871CA6" w:rsidP="00E86973" w14:paraId="60089450" w14:textId="150DC237">
      <w:pPr>
        <w:widowControl/>
        <w:jc w:val="center"/>
        <w:rPr>
          <w:rFonts w:ascii="Times New Roman" w:hAnsi="Times New Roman"/>
          <w:b/>
          <w:bCs/>
        </w:rPr>
      </w:pPr>
      <w:r>
        <w:rPr>
          <w:rFonts w:ascii="Times New Roman" w:hAnsi="Times New Roman"/>
          <w:b/>
          <w:bCs/>
        </w:rPr>
        <w:t xml:space="preserve">Explosives </w:t>
      </w:r>
      <w:r w:rsidR="00E466F6">
        <w:rPr>
          <w:rFonts w:ascii="Times New Roman" w:hAnsi="Times New Roman"/>
          <w:b/>
          <w:bCs/>
        </w:rPr>
        <w:t>Responsible Person</w:t>
      </w:r>
      <w:r>
        <w:rPr>
          <w:rFonts w:ascii="Times New Roman" w:hAnsi="Times New Roman"/>
          <w:b/>
          <w:bCs/>
        </w:rPr>
        <w:t xml:space="preserve"> Questionnaire – ATF F 5400.</w:t>
      </w:r>
      <w:r w:rsidR="00E466F6">
        <w:rPr>
          <w:rFonts w:ascii="Times New Roman" w:hAnsi="Times New Roman"/>
          <w:b/>
          <w:bCs/>
        </w:rPr>
        <w:t>13A/5400.16</w:t>
      </w:r>
    </w:p>
    <w:p w:rsidR="000B6FB6" w:rsidRPr="00A47DA7" w:rsidP="00690F56" w14:paraId="1CF8A88F" w14:textId="77777777">
      <w:pPr>
        <w:widowControl/>
        <w:rPr>
          <w:rFonts w:ascii="Times New Roman" w:hAnsi="Times New Roman"/>
          <w:b/>
          <w:bCs/>
        </w:rPr>
      </w:pPr>
    </w:p>
    <w:p w:rsidR="00690F56" w:rsidRPr="00A47DA7" w:rsidP="00242CA0" w14:paraId="0A674873" w14:textId="77777777">
      <w:pPr>
        <w:widowControl/>
        <w:numPr>
          <w:ilvl w:val="0"/>
          <w:numId w:val="8"/>
        </w:numPr>
        <w:ind w:left="540" w:hanging="450"/>
        <w:rPr>
          <w:rFonts w:ascii="Times New Roman" w:hAnsi="Times New Roman"/>
          <w:b/>
          <w:bCs/>
        </w:rPr>
      </w:pPr>
      <w:r w:rsidRPr="00A47DA7">
        <w:rPr>
          <w:rFonts w:ascii="Times New Roman" w:hAnsi="Times New Roman"/>
          <w:b/>
          <w:bCs/>
        </w:rPr>
        <w:t>JUSTIFICATION</w:t>
      </w:r>
    </w:p>
    <w:p w:rsidR="00690F56" w:rsidRPr="00F4518C" w:rsidP="00690F56" w14:paraId="375316BB" w14:textId="77777777">
      <w:pPr>
        <w:widowControl/>
        <w:rPr>
          <w:rFonts w:ascii="Times New Roman" w:hAnsi="Times New Roman"/>
          <w:b/>
          <w:bCs/>
        </w:rPr>
      </w:pPr>
    </w:p>
    <w:p w:rsidR="00690F56" w:rsidP="00690F56" w14:paraId="38CEE6AD" w14:textId="6D3624AE">
      <w:pPr>
        <w:widowControl/>
        <w:rPr>
          <w:rFonts w:ascii="Times New Roman" w:hAnsi="Times New Roman"/>
        </w:rPr>
      </w:pPr>
      <w:r w:rsidRPr="00D53DEB">
        <w:rPr>
          <w:rFonts w:ascii="Times New Roman" w:hAnsi="Times New Roman"/>
          <w:b/>
          <w:bCs/>
        </w:rPr>
        <w:t xml:space="preserve">1.  Explain the circumstances that make the collection of information necessary.  Identify any legal or administrative requirements that </w:t>
      </w:r>
      <w:r w:rsidRPr="00D53DEB">
        <w:rPr>
          <w:rFonts w:ascii="Times New Roman" w:hAnsi="Times New Roman"/>
          <w:b/>
          <w:bCs/>
        </w:rPr>
        <w:t>necessitate the collection.  Attach a copy of the appropriate section of each statute and regulation mandating or authorizing the collection of information.</w:t>
      </w:r>
    </w:p>
    <w:p w:rsidR="00E466F6" w:rsidRPr="00E466F6" w:rsidP="00E466F6" w14:paraId="40DF27C7" w14:textId="77777777">
      <w:pPr>
        <w:pStyle w:val="paragraph"/>
        <w:textAlignment w:val="baseline"/>
        <w:rPr>
          <w:color w:val="000000"/>
        </w:rPr>
      </w:pPr>
      <w:r w:rsidRPr="00E466F6">
        <w:rPr>
          <w:color w:val="000000"/>
        </w:rPr>
        <w:t>The Bureau of Alcohol, Tobacco, Firearms and Explosives (ATF) is charged with enforcing Title XI of</w:t>
      </w:r>
      <w:r w:rsidRPr="00E466F6">
        <w:rPr>
          <w:color w:val="000000"/>
        </w:rPr>
        <w:t xml:space="preserve"> the Organized Crime Control Act of 1970 (the Act) and the implementing regulations contained at 27 CFR, Part 555. Subtitle C of Public Law No. 107-296, the Safe Explosives Act, enacted November 25, 2003, amended the Act to require that certain persons fil</w:t>
      </w:r>
      <w:r w:rsidRPr="00E466F6">
        <w:rPr>
          <w:color w:val="000000"/>
        </w:rPr>
        <w:t xml:space="preserve">e an application for an explosives license or permit with ATF. This requirement also mandates the inclusion of specific information about </w:t>
      </w:r>
      <w:bookmarkStart w:id="0" w:name="_Hlk94789193"/>
      <w:r w:rsidRPr="00E466F6">
        <w:rPr>
          <w:color w:val="000000"/>
        </w:rPr>
        <w:t xml:space="preserve">responsible persons, and those who are authorized to handle explosives </w:t>
      </w:r>
      <w:bookmarkEnd w:id="0"/>
      <w:r w:rsidRPr="00E466F6">
        <w:rPr>
          <w:color w:val="000000"/>
        </w:rPr>
        <w:t>in the course of their duties. Further, 18 U.S.</w:t>
      </w:r>
      <w:r w:rsidRPr="00E466F6">
        <w:rPr>
          <w:color w:val="000000"/>
        </w:rPr>
        <w:t>C. § 843(h) requires the Secretary to conduct background checks on persons whose descriptions are forwarded to ATF as required by this Chapter. This information will help ensure compliance with the provisions of 18 U.S.C § 842(i), which prohibits certain p</w:t>
      </w:r>
      <w:r w:rsidRPr="00E466F6">
        <w:rPr>
          <w:color w:val="000000"/>
        </w:rPr>
        <w:t>ersons from possessing explosive materials.</w:t>
      </w:r>
    </w:p>
    <w:p w:rsidR="00E466F6" w:rsidRPr="00E466F6" w:rsidP="00E466F6" w14:paraId="153DDA7F" w14:textId="77777777">
      <w:pPr>
        <w:pStyle w:val="paragraph"/>
        <w:textAlignment w:val="baseline"/>
        <w:rPr>
          <w:color w:val="000000"/>
        </w:rPr>
      </w:pPr>
      <w:r w:rsidRPr="00E466F6">
        <w:rPr>
          <w:color w:val="000000"/>
        </w:rPr>
        <w:t xml:space="preserve">This information collection is in accordance with the above provisions of law and ensures that persons newly hired by or otherwise added to explosives operations, are not prohibited under 18 U.S.C. § 842(i) from </w:t>
      </w:r>
      <w:r w:rsidRPr="00E466F6">
        <w:rPr>
          <w:color w:val="000000"/>
        </w:rPr>
        <w:t>possessing explosive materials.  27 CFR § 555.57 requires that all persons holding ATF explosives licenses or permits as of May 23, 2003, must report identifying information about their responsible persons and possessors of explosives to ATF. Subsequent ch</w:t>
      </w:r>
      <w:r w:rsidRPr="00E466F6">
        <w:rPr>
          <w:color w:val="000000"/>
        </w:rPr>
        <w:t>anges to their list of persons must also be reported. Further, Section 555.57 requires that copies of these reports be retained in the licensees or permittees' required records, for the period specified in 27 CFR § 555.121.</w:t>
      </w:r>
    </w:p>
    <w:p w:rsidR="00E466F6" w:rsidRPr="00E466F6" w:rsidP="00E466F6" w14:paraId="27E6FD9B" w14:textId="77777777">
      <w:pPr>
        <w:pStyle w:val="paragraph"/>
        <w:textAlignment w:val="baseline"/>
        <w:rPr>
          <w:color w:val="000000"/>
        </w:rPr>
      </w:pPr>
      <w:r w:rsidRPr="00E466F6">
        <w:rPr>
          <w:color w:val="000000"/>
        </w:rPr>
        <w:t>ATF requests approval to make th</w:t>
      </w:r>
      <w:r w:rsidRPr="00E466F6">
        <w:rPr>
          <w:color w:val="000000"/>
        </w:rPr>
        <w:t>e following changes to OMB 1140-0074:</w:t>
      </w:r>
    </w:p>
    <w:p w:rsidR="00B5043F" w:rsidRPr="00D802D6" w:rsidP="00E466F6" w14:paraId="386CE7D5" w14:textId="718DC083">
      <w:pPr>
        <w:pStyle w:val="paragraph"/>
        <w:textAlignment w:val="baseline"/>
        <w:rPr>
          <w:color w:val="000000"/>
        </w:rPr>
      </w:pPr>
      <w:r w:rsidRPr="00E466F6">
        <w:rPr>
          <w:b/>
          <w:bCs/>
          <w:color w:val="000000"/>
        </w:rPr>
        <w:t>New form</w:t>
      </w:r>
      <w:r w:rsidRPr="00E466F6">
        <w:rPr>
          <w:color w:val="000000"/>
        </w:rPr>
        <w:t xml:space="preserve"> – Explosives Responsible Person Questionnaire (ATF Form 5400.13A/5400.16). The information collected on this new form was previously part of the Application for Explosives License or Permit (ATF F 5400.13/5400</w:t>
      </w:r>
      <w:r w:rsidRPr="00E466F6">
        <w:rPr>
          <w:color w:val="000000"/>
        </w:rPr>
        <w:t xml:space="preserve">.16), which is a separate IC. The </w:t>
      </w:r>
      <w:r w:rsidRPr="00E466F6">
        <w:rPr>
          <w:bCs/>
          <w:color w:val="000000"/>
        </w:rPr>
        <w:t>format follows that of other ATF background check forms, including requiring the individual applicant to certify that they are not prohibited.</w:t>
      </w:r>
    </w:p>
    <w:p w:rsidR="00690F56" w:rsidP="00690F56" w14:paraId="2BBF8E2F" w14:textId="12DDB880">
      <w:pPr>
        <w:widowControl/>
        <w:rPr>
          <w:rFonts w:ascii="Times New Roman" w:hAnsi="Times New Roman"/>
          <w:b/>
          <w:bCs/>
        </w:rPr>
      </w:pPr>
      <w:r w:rsidRPr="00D53DEB">
        <w:rPr>
          <w:rFonts w:ascii="Times New Roman" w:hAnsi="Times New Roman"/>
          <w:b/>
          <w:bCs/>
        </w:rPr>
        <w:t xml:space="preserve"> 2.  Indicate how, by whom, and for what purpose the information is to be used.</w:t>
      </w:r>
      <w:r w:rsidRPr="00D53DEB">
        <w:rPr>
          <w:rFonts w:ascii="Times New Roman" w:hAnsi="Times New Roman"/>
          <w:b/>
          <w:bCs/>
        </w:rPr>
        <w:t xml:space="preserve">  Except for a new collection, indicate the actual use the agency has made of the information received from the current collection.</w:t>
      </w:r>
    </w:p>
    <w:p w:rsidR="00C25E66" w:rsidP="00690F56" w14:paraId="5EFBC942" w14:textId="77777777">
      <w:pPr>
        <w:widowControl/>
        <w:rPr>
          <w:rFonts w:ascii="Times New Roman" w:hAnsi="Times New Roman"/>
          <w:b/>
          <w:bCs/>
        </w:rPr>
      </w:pPr>
    </w:p>
    <w:p w:rsidR="00724FCE" w:rsidRPr="00724FCE" w:rsidP="00724FCE" w14:paraId="000BC814" w14:textId="4CC8963A">
      <w:pPr>
        <w:widowControl/>
        <w:rPr>
          <w:rFonts w:ascii="Times New Roman" w:hAnsi="Times New Roman"/>
        </w:rPr>
      </w:pPr>
      <w:r w:rsidRPr="00E466F6">
        <w:rPr>
          <w:rFonts w:ascii="Times New Roman" w:hAnsi="Times New Roman"/>
        </w:rPr>
        <w:t xml:space="preserve">Persons who have the power to direct the management and policies of a Federal Explosives License or Permit pertaining to explosive materials must complete the Explosives Responsible Person Questionnaire - ATF Form 5400.13A/5400.16. The completed form must </w:t>
      </w:r>
      <w:r w:rsidRPr="00E466F6">
        <w:rPr>
          <w:rFonts w:ascii="Times New Roman" w:hAnsi="Times New Roman"/>
        </w:rPr>
        <w:t xml:space="preserve">be submitted to </w:t>
      </w:r>
      <w:r w:rsidRPr="00E466F6">
        <w:rPr>
          <w:rFonts w:ascii="Times New Roman" w:hAnsi="Times New Roman"/>
        </w:rPr>
        <w:t>ATF and will be used to determine if the person who provided the information, is qualified to be a RP in an explosives business. ATF personnel will review the completed ATF Form 5400.13A/5400.16 in order to validate the identity of a RP, an</w:t>
      </w:r>
      <w:r w:rsidRPr="00E466F6">
        <w:rPr>
          <w:rFonts w:ascii="Times New Roman" w:hAnsi="Times New Roman"/>
        </w:rPr>
        <w:t>d verify that they are not prohibited from shipping, transporting, receiving, or possessing explosive materials.</w:t>
      </w:r>
    </w:p>
    <w:p w:rsidR="00802A30" w:rsidRPr="00A47DA7" w:rsidP="00802A30" w14:paraId="34E41BA0" w14:textId="77777777">
      <w:pPr>
        <w:widowControl/>
        <w:rPr>
          <w:rFonts w:ascii="Times New Roman" w:hAnsi="Times New Roman"/>
          <w:u w:val="single"/>
        </w:rPr>
      </w:pPr>
    </w:p>
    <w:p w:rsidR="00690F56" w:rsidRPr="00D53DEB" w:rsidP="00690F56" w14:paraId="1908DC84"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 xml:space="preserve">3.  Describe whether, and to what extent, the collection of information involves the use of automated, electronic, mechanical, or other technological collection techniques or other forms of information technology, e.g., permitting electronic submission of </w:t>
      </w:r>
      <w:r w:rsidRPr="00D53DEB">
        <w:rPr>
          <w:rFonts w:ascii="Times New Roman" w:hAnsi="Times New Roman"/>
          <w:b/>
          <w:bCs/>
        </w:rPr>
        <w:t>responses, and the basis for the decision for adopting this means of collection.  Also</w:t>
      </w:r>
      <w:r w:rsidRPr="00D53DEB" w:rsidR="00237691">
        <w:rPr>
          <w:rFonts w:ascii="Times New Roman" w:hAnsi="Times New Roman"/>
          <w:b/>
          <w:bCs/>
        </w:rPr>
        <w:t>,</w:t>
      </w:r>
      <w:r w:rsidRPr="00D53DEB">
        <w:rPr>
          <w:rFonts w:ascii="Times New Roman" w:hAnsi="Times New Roman"/>
          <w:b/>
          <w:bCs/>
        </w:rPr>
        <w:t xml:space="preserve"> describe any consideration of using information technology to reduce burden.</w:t>
      </w:r>
    </w:p>
    <w:p w:rsidR="00690F56" w:rsidP="00690F56" w14:paraId="04006A6E" w14:textId="7089CA1C">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E466F6" w:rsidRPr="00E466F6" w:rsidP="00E466F6" w14:paraId="4F00BC75"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E466F6">
        <w:rPr>
          <w:rFonts w:ascii="Times New Roman" w:hAnsi="Times New Roman"/>
        </w:rPr>
        <w:t>ATF Form 5400.13A/5400.16 will be available on the ATF website and the respondent can down</w:t>
      </w:r>
      <w:r w:rsidRPr="00E466F6">
        <w:rPr>
          <w:rFonts w:ascii="Times New Roman" w:hAnsi="Times New Roman"/>
        </w:rPr>
        <w:t xml:space="preserve">load and print the form for completion. The form can be submitted via mail, or electronically by fax (304-616-4401) or email (FELCFAX@atf.gov) to the Federal Explosives Licensing Center (FELC) for processing. The wet signature requirement remains in place </w:t>
      </w:r>
      <w:r w:rsidRPr="00E466F6">
        <w:rPr>
          <w:rFonts w:ascii="Times New Roman" w:hAnsi="Times New Roman"/>
        </w:rPr>
        <w:t>primarily because the FELC accepts signed forms. However, in addition to mailing a written and signed form to the FELC, responsible persons (RP) also have the option of completing, scanning, and electronically/ digitally signing (if they possess the capabi</w:t>
      </w:r>
      <w:r w:rsidRPr="00E466F6">
        <w:rPr>
          <w:rFonts w:ascii="Times New Roman" w:hAnsi="Times New Roman"/>
        </w:rPr>
        <w:t>lity) their application. Once signed, these notices can be printed and faxed or emailed to the FELC for processing. The use of electronic /digital signature and the implementation of e-submission capability eliminates the need for mail-in notification. The</w:t>
      </w:r>
      <w:r w:rsidRPr="00E466F6">
        <w:rPr>
          <w:rFonts w:ascii="Times New Roman" w:hAnsi="Times New Roman"/>
        </w:rPr>
        <w:t xml:space="preserve"> form must have the applicant’s signature and must be submitted with a photograph and fingerprint card for processing.  The photograph and fingerprint card do not need to be resubmitted if they were previously submitted and ATF has them on file.  </w:t>
      </w:r>
    </w:p>
    <w:p w:rsidR="00E466F6" w:rsidRPr="00E466F6" w:rsidP="00E466F6" w14:paraId="6A4AB77B"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P="00E466F6" w14:paraId="1EFFB376" w14:textId="4F6DE7DD">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E466F6">
        <w:rPr>
          <w:rFonts w:ascii="Times New Roman" w:hAnsi="Times New Roman"/>
        </w:rPr>
        <w:t>While A</w:t>
      </w:r>
      <w:r w:rsidRPr="00E466F6">
        <w:rPr>
          <w:rFonts w:ascii="Times New Roman" w:hAnsi="Times New Roman"/>
        </w:rPr>
        <w:t>TF does not currently accept electronic fingerprint cards directly from explosives applicants, ATF does scan and transmit fingerprint cards electronically to the FBI for processing. While ATF has no policy prohibiting electronic submission of fingerprint c</w:t>
      </w:r>
      <w:r w:rsidRPr="00E466F6">
        <w:rPr>
          <w:rFonts w:ascii="Times New Roman" w:hAnsi="Times New Roman"/>
        </w:rPr>
        <w:t>ards or its other industry forms, technical and funding barriers currently limit the Bureau’s capacity to implement a fully electronic filing option for more than just a handful of industry forms. ATF has prioritized those applications with the broadest us</w:t>
      </w:r>
      <w:r w:rsidRPr="00E466F6">
        <w:rPr>
          <w:rFonts w:ascii="Times New Roman" w:hAnsi="Times New Roman"/>
        </w:rPr>
        <w:t>age for full electronic conversion. The fingerprint card is used on a limited basis in comparison to other industry forms being embedded with full electronic signature and submission capability. ATF will research options and feasibility of other electronic</w:t>
      </w:r>
      <w:r w:rsidRPr="00E466F6">
        <w:rPr>
          <w:rFonts w:ascii="Times New Roman" w:hAnsi="Times New Roman"/>
        </w:rPr>
        <w:t xml:space="preserve"> submission capabilities for this collection, pending funding availability.</w:t>
      </w:r>
    </w:p>
    <w:p w:rsidR="00E466F6" w:rsidRPr="006A4637" w:rsidP="00E466F6" w14:paraId="7835B852"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P="00690F56" w14:paraId="529483DE"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6A4637">
        <w:rPr>
          <w:rFonts w:ascii="Times New Roman" w:hAnsi="Times New Roman"/>
          <w:b/>
          <w:bCs/>
        </w:rPr>
        <w:t xml:space="preserve"> </w:t>
      </w:r>
      <w:r w:rsidRPr="00D53DEB">
        <w:rPr>
          <w:rFonts w:ascii="Times New Roman" w:hAnsi="Times New Roman"/>
          <w:b/>
          <w:bCs/>
        </w:rPr>
        <w:t>4.  Describe efforts to identify duplication.  Show specifically why any similar information already available cannot be used or modified for use for the purposes described in It</w:t>
      </w:r>
      <w:r w:rsidRPr="00D53DEB">
        <w:rPr>
          <w:rFonts w:ascii="Times New Roman" w:hAnsi="Times New Roman"/>
          <w:b/>
          <w:bCs/>
        </w:rPr>
        <w:t xml:space="preserve">em </w:t>
      </w:r>
      <w:r w:rsidRPr="00D53DEB" w:rsidR="00237691">
        <w:rPr>
          <w:rFonts w:ascii="Times New Roman" w:hAnsi="Times New Roman"/>
          <w:b/>
          <w:bCs/>
        </w:rPr>
        <w:t>A.</w:t>
      </w:r>
      <w:r w:rsidRPr="00D53DEB">
        <w:rPr>
          <w:rFonts w:ascii="Times New Roman" w:hAnsi="Times New Roman"/>
          <w:b/>
          <w:bCs/>
        </w:rPr>
        <w:t>2 above.</w:t>
      </w:r>
    </w:p>
    <w:p w:rsidR="00724FCE" w:rsidRPr="00D53DEB" w:rsidP="00690F56" w14:paraId="67DF2BC4"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E466F6" w:rsidRPr="00E466F6" w:rsidP="00E466F6" w14:paraId="07558317"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E466F6">
        <w:rPr>
          <w:rFonts w:ascii="Times New Roman" w:hAnsi="Times New Roman"/>
        </w:rPr>
        <w:t>ATF uses a uniform subject classification system to identify duplication and to ensure that any similar information already available cannot be used or modified for use for the purpose of this information collection.</w:t>
      </w:r>
    </w:p>
    <w:p w:rsidR="00C25E66" w:rsidRPr="00A973AA" w:rsidP="00690F56" w14:paraId="1F4E2827"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690F56" w14:paraId="686EF219"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A973AA">
        <w:rPr>
          <w:rFonts w:ascii="Times New Roman" w:hAnsi="Times New Roman"/>
          <w:b/>
          <w:bCs/>
        </w:rPr>
        <w:t xml:space="preserve"> </w:t>
      </w:r>
      <w:r w:rsidRPr="00D53DEB">
        <w:rPr>
          <w:rFonts w:ascii="Times New Roman" w:hAnsi="Times New Roman"/>
          <w:b/>
          <w:bCs/>
        </w:rPr>
        <w:t>5.</w:t>
      </w:r>
      <w:r w:rsidRPr="00D53DEB">
        <w:rPr>
          <w:rFonts w:ascii="Times New Roman" w:hAnsi="Times New Roman"/>
        </w:rPr>
        <w:t xml:space="preserve">  </w:t>
      </w:r>
      <w:r w:rsidRPr="00D53DEB">
        <w:rPr>
          <w:rFonts w:ascii="Times New Roman" w:hAnsi="Times New Roman"/>
          <w:b/>
          <w:bCs/>
        </w:rPr>
        <w:t xml:space="preserve">If the collection </w:t>
      </w:r>
      <w:r w:rsidRPr="00D53DEB">
        <w:rPr>
          <w:rFonts w:ascii="Times New Roman" w:hAnsi="Times New Roman"/>
          <w:b/>
          <w:bCs/>
        </w:rPr>
        <w:t>of information impacts small businesses or other small entities</w:t>
      </w:r>
      <w:r w:rsidRPr="00D53DEB" w:rsidR="00237691">
        <w:rPr>
          <w:rFonts w:ascii="Times New Roman" w:hAnsi="Times New Roman"/>
          <w:b/>
          <w:bCs/>
        </w:rPr>
        <w:t>,</w:t>
      </w:r>
      <w:r w:rsidRPr="00D53DEB">
        <w:rPr>
          <w:rFonts w:ascii="Times New Roman" w:hAnsi="Times New Roman"/>
          <w:b/>
          <w:bCs/>
        </w:rPr>
        <w:t xml:space="preserve"> describe any methods used to minimize burden.</w:t>
      </w:r>
    </w:p>
    <w:p w:rsidR="00690F56" w:rsidRPr="00A47DA7" w:rsidP="00690F56" w14:paraId="034A882C"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435E05" w:rsidP="00690F56" w14:paraId="7B476245" w14:textId="7B0E5170">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5622FE">
        <w:rPr>
          <w:rFonts w:ascii="Times New Roman" w:hAnsi="Times New Roman"/>
        </w:rPr>
        <w:t>There is no significant impact on small business or other private entities.</w:t>
      </w:r>
    </w:p>
    <w:p w:rsidR="005622FE" w:rsidRPr="00A973AA" w:rsidP="00690F56" w14:paraId="6F57386F"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P="00690F56" w14:paraId="5F528885" w14:textId="2D188CC5">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 xml:space="preserve"> 6</w:t>
      </w:r>
      <w:r w:rsidRPr="00D53DEB" w:rsidR="00237691">
        <w:rPr>
          <w:rFonts w:ascii="Times New Roman" w:hAnsi="Times New Roman"/>
          <w:b/>
          <w:bCs/>
        </w:rPr>
        <w:t>.  Describe the consequence to f</w:t>
      </w:r>
      <w:r w:rsidRPr="00D53DEB">
        <w:rPr>
          <w:rFonts w:ascii="Times New Roman" w:hAnsi="Times New Roman"/>
          <w:b/>
          <w:bCs/>
        </w:rPr>
        <w:t xml:space="preserve">ederal program or policy </w:t>
      </w:r>
      <w:r w:rsidRPr="00D53DEB">
        <w:rPr>
          <w:rFonts w:ascii="Times New Roman" w:hAnsi="Times New Roman"/>
          <w:b/>
          <w:bCs/>
        </w:rPr>
        <w:t>activities if the collection is not conducted or is conducted less frequently, as well as any technical or legal obstacles to reducing burden.</w:t>
      </w:r>
    </w:p>
    <w:p w:rsidR="00B417B3" w:rsidRPr="00B96E43" w:rsidP="00690F56" w14:paraId="21DD2D8C" w14:textId="06BC862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724FCE" w:rsidRPr="00724FCE" w:rsidP="00724FCE" w14:paraId="4E0562B6" w14:textId="5D5DF56D">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E466F6">
        <w:rPr>
          <w:rFonts w:ascii="Times New Roman" w:hAnsi="Times New Roman"/>
        </w:rPr>
        <w:t>The collection must be conducted to ensure that prohibited persons do not have access to explosives and is neces</w:t>
      </w:r>
      <w:r w:rsidRPr="00E466F6">
        <w:rPr>
          <w:rFonts w:ascii="Times New Roman" w:hAnsi="Times New Roman"/>
        </w:rPr>
        <w:t>sary for compliance with 18 U.S.C. § 843(h).</w:t>
      </w:r>
    </w:p>
    <w:p w:rsidR="00690F56" w:rsidRPr="00A47DA7" w:rsidP="00690F56" w14:paraId="7C4C2F67"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690F56" w14:paraId="11C38180"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D53DEB">
        <w:rPr>
          <w:rFonts w:ascii="Times New Roman" w:hAnsi="Times New Roman"/>
          <w:b/>
          <w:bCs/>
        </w:rPr>
        <w:t>7.  Explain any special circumstances that would cause an information collection to be conducted in a manner:</w:t>
      </w:r>
    </w:p>
    <w:p w:rsidR="00690F56" w:rsidRPr="00D53DEB" w:rsidP="00690F56" w14:paraId="144BC160"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p>
    <w:p w:rsidR="00690F56" w:rsidRPr="00D53DEB" w:rsidP="00690F56" w14:paraId="39464A5B" w14:textId="77777777">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D53DEB">
        <w:rPr>
          <w:b/>
          <w:bCs/>
        </w:rPr>
        <w:t>r</w:t>
      </w:r>
      <w:r w:rsidRPr="00D53DEB">
        <w:rPr>
          <w:b/>
          <w:bCs/>
        </w:rPr>
        <w:t>equiring respondents to report information to the agency more often than quarterly;</w:t>
      </w:r>
    </w:p>
    <w:p w:rsidR="00690F56" w:rsidRPr="00D53DEB" w:rsidP="00690F56" w14:paraId="589F4DAA" w14:textId="7777777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p>
    <w:p w:rsidR="00690F56" w:rsidRPr="00D53DEB" w:rsidP="00690F56" w14:paraId="72734CF8" w14:textId="77777777">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D53DEB">
        <w:rPr>
          <w:b/>
          <w:bCs/>
        </w:rPr>
        <w:t>requiring respondents to prepare a written response to a collection of information in fewer than 30 days after receipt of it;</w:t>
      </w:r>
    </w:p>
    <w:p w:rsidR="00690F56" w:rsidRPr="00D53DEB" w:rsidP="00690F56" w14:paraId="4C5CBA9B" w14:textId="7777777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p>
    <w:p w:rsidR="00690F56" w:rsidRPr="00D53DEB" w:rsidP="00690F56" w14:paraId="1C6FB789" w14:textId="77777777">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D53DEB">
        <w:rPr>
          <w:b/>
          <w:bCs/>
        </w:rPr>
        <w:t>requiring respondents to submit more than an</w:t>
      </w:r>
      <w:r w:rsidRPr="00D53DEB">
        <w:rPr>
          <w:b/>
          <w:bCs/>
        </w:rPr>
        <w:t xml:space="preserve"> original and two copies of any document;</w:t>
      </w:r>
    </w:p>
    <w:p w:rsidR="00690F56" w:rsidRPr="00D53DEB" w:rsidP="00690F56" w14:paraId="04E0B37A" w14:textId="7777777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p>
    <w:p w:rsidR="00690F56" w:rsidRPr="00D53DEB" w:rsidP="00690F56" w14:paraId="3B520558" w14:textId="77777777">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D53DEB">
        <w:rPr>
          <w:b/>
          <w:bCs/>
        </w:rPr>
        <w:t>requiring respondents to retain records, other than health, medical, government contract, grant-in-aid, or tax records for more than three years;</w:t>
      </w:r>
    </w:p>
    <w:p w:rsidR="00690F56" w:rsidRPr="00D53DEB" w:rsidP="00690F56" w14:paraId="54A3D962" w14:textId="7777777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p>
    <w:p w:rsidR="00690F56" w:rsidRPr="00D53DEB" w:rsidP="00690F56" w14:paraId="2CD76B54" w14:textId="77777777">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D53DEB">
        <w:rPr>
          <w:b/>
          <w:bCs/>
        </w:rPr>
        <w:t>in connection with a statistical survey, that is not designed to p</w:t>
      </w:r>
      <w:r w:rsidRPr="00D53DEB">
        <w:rPr>
          <w:b/>
          <w:bCs/>
        </w:rPr>
        <w:t>roduce valid and reliable results that can be generalized to the universe of study;</w:t>
      </w:r>
    </w:p>
    <w:p w:rsidR="00690F56" w:rsidRPr="00D53DEB" w:rsidP="00690F56" w14:paraId="5F3D507A" w14:textId="7777777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p>
    <w:p w:rsidR="00690F56" w:rsidRPr="00D53DEB" w:rsidP="00690F56" w14:paraId="4E4545CA" w14:textId="77777777">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D53DEB">
        <w:rPr>
          <w:b/>
          <w:bCs/>
        </w:rPr>
        <w:t>requiring the use of statistical data classification that has not been reviewed and approved by OMB;</w:t>
      </w:r>
    </w:p>
    <w:p w:rsidR="00690F56" w:rsidRPr="00D53DEB" w:rsidP="00690F56" w14:paraId="52933EAF" w14:textId="77777777">
      <w:pPr>
        <w:pStyle w:val="Level1"/>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rPr>
          <w:b/>
          <w:bCs/>
        </w:rPr>
      </w:pPr>
    </w:p>
    <w:p w:rsidR="00690F56" w:rsidRPr="00D53DEB" w:rsidP="00690F56" w14:paraId="75D8936B" w14:textId="77777777">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D53DEB">
        <w:rPr>
          <w:b/>
          <w:bCs/>
        </w:rPr>
        <w:t xml:space="preserve">that includes a pledge of confidentially that is not </w:t>
      </w:r>
      <w:r w:rsidRPr="00D53DEB">
        <w:rPr>
          <w:b/>
          <w:bCs/>
        </w:rPr>
        <w:t>supported by authority established in statu</w:t>
      </w:r>
      <w:r w:rsidRPr="00D53DEB" w:rsidR="00CD215D">
        <w:rPr>
          <w:b/>
          <w:bCs/>
        </w:rPr>
        <w:t>t</w:t>
      </w:r>
      <w:r w:rsidRPr="00D53DEB">
        <w:rPr>
          <w:b/>
          <w:bCs/>
        </w:rPr>
        <w:t xml:space="preserve">e or regulation, that is not supported by disclosure and data security policies that are consistent with the pledge, or which unnecessarily impedes sharing of data with other agencies for compatible confidential </w:t>
      </w:r>
      <w:r w:rsidRPr="00D53DEB">
        <w:rPr>
          <w:b/>
          <w:bCs/>
        </w:rPr>
        <w:t>use; or</w:t>
      </w:r>
    </w:p>
    <w:p w:rsidR="00690F56" w:rsidRPr="00D53DEB" w:rsidP="00690F56" w14:paraId="109C5387" w14:textId="7777777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p>
    <w:p w:rsidR="00690F56" w:rsidRPr="00D53DEB" w:rsidP="00690F56" w14:paraId="583D2BFF" w14:textId="77777777">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pPr>
      <w:r w:rsidRPr="00D53DEB">
        <w:rPr>
          <w:b/>
          <w:bCs/>
        </w:rPr>
        <w:t>requiring respondents to submit proprietary trade secret, or other confidential information unless the agency can demonstrate</w:t>
      </w:r>
      <w:r w:rsidRPr="00D53DEB">
        <w:rPr>
          <w:b/>
          <w:bCs/>
        </w:rPr>
        <w:t xml:space="preserve"> that it has instituted procedures to protect the information's confidentially to the extent permitted by law.</w:t>
      </w:r>
    </w:p>
    <w:p w:rsidR="00642220" w:rsidRPr="00D53DEB" w:rsidP="00642220" w14:paraId="3DCDBA31" w14:textId="77777777">
      <w:pPr>
        <w:pStyle w:val="Level1"/>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pPr>
    </w:p>
    <w:p w:rsidR="00690F56" w:rsidP="00690F56" w14:paraId="186CBA80" w14:textId="170841FA">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980F8E">
        <w:rPr>
          <w:rFonts w:ascii="Times New Roman" w:hAnsi="Times New Roman"/>
        </w:rPr>
        <w:t>There are no special circumstances associated with this IC. Respondents must provide the requested information as required by explosive laws.</w:t>
      </w:r>
    </w:p>
    <w:p w:rsidR="00980F8E" w:rsidRPr="00871CA6" w:rsidP="00690F56" w14:paraId="7EED27C2"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690F56" w14:paraId="1E3B8C08"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D53DEB">
        <w:rPr>
          <w:rFonts w:ascii="Times New Roman" w:hAnsi="Times New Roman"/>
          <w:b/>
          <w:bCs/>
        </w:rPr>
        <w:t xml:space="preserve"> </w:t>
      </w:r>
      <w:r w:rsidRPr="00D53DEB">
        <w:rPr>
          <w:rFonts w:ascii="Times New Roman" w:hAnsi="Times New Roman"/>
          <w:b/>
          <w:bCs/>
        </w:rPr>
        <w:t xml:space="preserve">8.  If applicable, provide a copy and identify the date and page number of publication in the </w:t>
      </w:r>
      <w:r w:rsidRPr="00D53DEB">
        <w:rPr>
          <w:rStyle w:val="Heading2Char"/>
          <w:rFonts w:ascii="Times New Roman" w:hAnsi="Times New Roman" w:cs="Times New Roman"/>
          <w:bCs w:val="0"/>
          <w:sz w:val="24"/>
          <w:szCs w:val="24"/>
        </w:rPr>
        <w:t>Federal Register</w:t>
      </w:r>
      <w:r w:rsidRPr="00D53DEB">
        <w:rPr>
          <w:rFonts w:ascii="Times New Roman" w:hAnsi="Times New Roman"/>
          <w:b/>
          <w:bCs/>
        </w:rPr>
        <w:t xml:space="preserve"> of the agency's notice, required by 5 CFR 1320.8(d), soliciting comments on the information collection prior to submission to OMB.  Summarize pub</w:t>
      </w:r>
      <w:r w:rsidRPr="00D53DEB">
        <w:rPr>
          <w:rFonts w:ascii="Times New Roman" w:hAnsi="Times New Roman"/>
          <w:b/>
          <w:bCs/>
        </w:rPr>
        <w:t xml:space="preserve">lic comments received in response to that notice and describe actions taken by the agency in </w:t>
      </w:r>
      <w:r w:rsidRPr="00D53DEB">
        <w:rPr>
          <w:rFonts w:ascii="Times New Roman" w:hAnsi="Times New Roman"/>
          <w:b/>
          <w:bCs/>
        </w:rPr>
        <w:t xml:space="preserve">response to these comments.  </w:t>
      </w:r>
      <w:r w:rsidRPr="00D53DEB" w:rsidR="00E46EE5">
        <w:rPr>
          <w:rFonts w:ascii="Times New Roman" w:hAnsi="Times New Roman"/>
          <w:b/>
          <w:bCs/>
        </w:rPr>
        <w:t xml:space="preserve"> </w:t>
      </w:r>
      <w:r w:rsidRPr="00D53DEB">
        <w:rPr>
          <w:rFonts w:ascii="Times New Roman" w:hAnsi="Times New Roman"/>
          <w:b/>
          <w:bCs/>
        </w:rPr>
        <w:t>Specifically address comments received on cost and hour burden.</w:t>
      </w:r>
    </w:p>
    <w:p w:rsidR="00690F56" w:rsidRPr="00D53DEB" w:rsidP="00690F56" w14:paraId="6D77C5FA"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690F56" w14:paraId="26F2F511"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Describe efforts to consult with persons outside the agency to obtai</w:t>
      </w:r>
      <w:r w:rsidRPr="00D53DEB">
        <w:rPr>
          <w:rFonts w:ascii="Times New Roman" w:hAnsi="Times New Roman"/>
          <w:b/>
          <w:bCs/>
        </w:rPr>
        <w:t>n their views on the availability of data, frequency of collection, the clarity of instructions and recordkeeping, disclosure, or reporting format (if any), and on the data elements to be recorded, disclosed, or reported.</w:t>
      </w:r>
    </w:p>
    <w:p w:rsidR="00690F56" w:rsidRPr="00D53DEB" w:rsidP="00690F56" w14:paraId="51B060B8"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690F56" w:rsidRPr="00D53DEB" w:rsidP="00690F56" w14:paraId="767B60FC"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D53DEB">
        <w:rPr>
          <w:rFonts w:ascii="Times New Roman" w:hAnsi="Times New Roman"/>
          <w:b/>
          <w:bCs/>
        </w:rPr>
        <w:t>Consultation with representatives</w:t>
      </w:r>
      <w:r w:rsidRPr="00D53DEB">
        <w:rPr>
          <w:rFonts w:ascii="Times New Roman" w:hAnsi="Times New Roman"/>
          <w:b/>
          <w:bCs/>
        </w:rPr>
        <w:t xml:space="preserve"> of those from whom information is to be obtained or those who must compile records should occur at least once every 3 years</w:t>
      </w:r>
      <w:r w:rsidRPr="00D53DEB" w:rsidR="00901EF6">
        <w:rPr>
          <w:rFonts w:ascii="Times New Roman" w:hAnsi="Times New Roman"/>
          <w:b/>
          <w:bCs/>
        </w:rPr>
        <w:t xml:space="preserve"> --</w:t>
      </w:r>
      <w:r w:rsidRPr="00D53DEB">
        <w:rPr>
          <w:rFonts w:ascii="Times New Roman" w:hAnsi="Times New Roman"/>
          <w:b/>
          <w:bCs/>
        </w:rPr>
        <w:t xml:space="preserve"> even if the collection-of-information activity is the same as in prior periods.  There may be circumstances that may preclude co</w:t>
      </w:r>
      <w:r w:rsidRPr="00D53DEB">
        <w:rPr>
          <w:rFonts w:ascii="Times New Roman" w:hAnsi="Times New Roman"/>
          <w:b/>
          <w:bCs/>
        </w:rPr>
        <w:t>nsultation in a specific situation.  These circumstances should be explained.</w:t>
      </w:r>
    </w:p>
    <w:p w:rsidR="00690F56" w:rsidP="00690F56" w14:paraId="7644A432" w14:textId="1733C275">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60114B" w:rsidP="0060114B" w14:paraId="425C0DB9" w14:textId="40C1A1FB">
      <w:pPr>
        <w:widowControl/>
        <w:autoSpaceDE/>
        <w:autoSpaceDN/>
        <w:adjustRightInd/>
        <w:rPr>
          <w:rFonts w:ascii="Times New Roman" w:hAnsi="Times New Roman"/>
        </w:rPr>
      </w:pPr>
      <w:r w:rsidRPr="00A2391E">
        <w:rPr>
          <w:rFonts w:ascii="Times New Roman" w:hAnsi="Times New Roman"/>
        </w:rPr>
        <w:t xml:space="preserve">The 60-Day Notice was published in the Federal Register on </w:t>
      </w:r>
      <w:r w:rsidR="00980F8E">
        <w:rPr>
          <w:rFonts w:ascii="Times New Roman" w:hAnsi="Times New Roman"/>
        </w:rPr>
        <w:t>May 15, 2023</w:t>
      </w:r>
      <w:r w:rsidRPr="00A2391E">
        <w:rPr>
          <w:rFonts w:ascii="Times New Roman" w:hAnsi="Times New Roman"/>
        </w:rPr>
        <w:t xml:space="preserve"> (</w:t>
      </w:r>
      <w:r w:rsidR="000F1F69">
        <w:rPr>
          <w:rFonts w:ascii="Times New Roman" w:hAnsi="Times New Roman"/>
        </w:rPr>
        <w:t>88</w:t>
      </w:r>
      <w:r w:rsidRPr="005B2697" w:rsidR="005B2697">
        <w:rPr>
          <w:rFonts w:ascii="Times New Roman" w:hAnsi="Times New Roman"/>
        </w:rPr>
        <w:t xml:space="preserve"> FR </w:t>
      </w:r>
      <w:r w:rsidR="000F1F69">
        <w:rPr>
          <w:rFonts w:ascii="Times New Roman" w:hAnsi="Times New Roman"/>
        </w:rPr>
        <w:t>3103</w:t>
      </w:r>
      <w:r w:rsidR="00E466F6">
        <w:rPr>
          <w:rFonts w:ascii="Times New Roman" w:hAnsi="Times New Roman"/>
        </w:rPr>
        <w:t>2</w:t>
      </w:r>
      <w:r w:rsidRPr="00A2391E">
        <w:rPr>
          <w:rFonts w:ascii="Times New Roman" w:hAnsi="Times New Roman"/>
        </w:rPr>
        <w:t>). The comment period ended on</w:t>
      </w:r>
      <w:r w:rsidR="002517E4">
        <w:rPr>
          <w:rFonts w:ascii="Times New Roman" w:hAnsi="Times New Roman"/>
        </w:rPr>
        <w:t xml:space="preserve"> </w:t>
      </w:r>
      <w:r w:rsidR="00980F8E">
        <w:rPr>
          <w:rFonts w:ascii="Times New Roman" w:hAnsi="Times New Roman"/>
        </w:rPr>
        <w:t>July 14, 2023</w:t>
      </w:r>
      <w:r w:rsidR="002517E4">
        <w:rPr>
          <w:rFonts w:ascii="Times New Roman" w:hAnsi="Times New Roman"/>
        </w:rPr>
        <w:t>.</w:t>
      </w:r>
      <w:r w:rsidRPr="00A2391E">
        <w:rPr>
          <w:rFonts w:ascii="Times New Roman" w:hAnsi="Times New Roman"/>
        </w:rPr>
        <w:t xml:space="preserve"> </w:t>
      </w:r>
      <w:r w:rsidR="00943D02">
        <w:rPr>
          <w:rFonts w:ascii="Times New Roman" w:hAnsi="Times New Roman"/>
        </w:rPr>
        <w:t xml:space="preserve">The 30-Day Notice was published in the Federal Register on </w:t>
      </w:r>
      <w:r w:rsidR="000F1F69">
        <w:rPr>
          <w:rFonts w:ascii="Times New Roman" w:hAnsi="Times New Roman"/>
        </w:rPr>
        <w:t>July 20, 2023 (88 FR 4681</w:t>
      </w:r>
      <w:r w:rsidR="00E466F6">
        <w:rPr>
          <w:rFonts w:ascii="Times New Roman" w:hAnsi="Times New Roman"/>
        </w:rPr>
        <w:t>3</w:t>
      </w:r>
      <w:r w:rsidR="000F1F69">
        <w:rPr>
          <w:rFonts w:ascii="Times New Roman" w:hAnsi="Times New Roman"/>
        </w:rPr>
        <w:t xml:space="preserve">). The comment period ended on August 21, 2023. </w:t>
      </w:r>
      <w:r w:rsidR="00980F8E">
        <w:rPr>
          <w:rFonts w:ascii="Times New Roman" w:hAnsi="Times New Roman"/>
        </w:rPr>
        <w:t>All comments received during the notice periods received a response</w:t>
      </w:r>
      <w:r w:rsidRPr="00A2391E">
        <w:rPr>
          <w:rFonts w:ascii="Times New Roman" w:hAnsi="Times New Roman"/>
        </w:rPr>
        <w:t>.</w:t>
      </w:r>
      <w:r w:rsidR="00980F8E">
        <w:rPr>
          <w:rFonts w:ascii="Times New Roman" w:hAnsi="Times New Roman"/>
        </w:rPr>
        <w:t xml:space="preserve"> </w:t>
      </w:r>
    </w:p>
    <w:p w:rsidR="00DA7DC9" w:rsidRPr="00A47DA7" w:rsidP="0060114B" w14:paraId="0C933CDF" w14:textId="77777777">
      <w:pPr>
        <w:widowControl/>
        <w:autoSpaceDE/>
        <w:autoSpaceDN/>
        <w:adjustRightInd/>
        <w:rPr>
          <w:rFonts w:ascii="Times New Roman" w:eastAsia="Calibri" w:hAnsi="Times New Roman"/>
        </w:rPr>
      </w:pPr>
    </w:p>
    <w:p w:rsidR="00690F56" w:rsidRPr="00D53DEB" w:rsidP="00690F56" w14:paraId="608739E9"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9.  Explain any decision to provide any payments or gift</w:t>
      </w:r>
      <w:r w:rsidR="009441E2">
        <w:rPr>
          <w:rFonts w:ascii="Times New Roman" w:hAnsi="Times New Roman"/>
          <w:b/>
          <w:bCs/>
        </w:rPr>
        <w:t>s</w:t>
      </w:r>
      <w:r w:rsidRPr="00D53DEB">
        <w:rPr>
          <w:rFonts w:ascii="Times New Roman" w:hAnsi="Times New Roman"/>
          <w:b/>
          <w:bCs/>
        </w:rPr>
        <w:t xml:space="preserve"> to respondents, other tha</w:t>
      </w:r>
      <w:r w:rsidRPr="00D53DEB">
        <w:rPr>
          <w:rFonts w:ascii="Times New Roman" w:hAnsi="Times New Roman"/>
          <w:b/>
          <w:bCs/>
        </w:rPr>
        <w:t xml:space="preserve">n </w:t>
      </w:r>
      <w:r w:rsidRPr="00D53DEB" w:rsidR="006E1A08">
        <w:rPr>
          <w:rFonts w:ascii="Times New Roman" w:hAnsi="Times New Roman"/>
          <w:b/>
          <w:bCs/>
        </w:rPr>
        <w:t>remuneration</w:t>
      </w:r>
      <w:r w:rsidRPr="00D53DEB">
        <w:rPr>
          <w:rFonts w:ascii="Times New Roman" w:hAnsi="Times New Roman"/>
          <w:b/>
          <w:bCs/>
        </w:rPr>
        <w:t xml:space="preserve"> of contractors or grantees.</w:t>
      </w:r>
    </w:p>
    <w:p w:rsidR="00690F56" w:rsidRPr="00A47DA7" w:rsidP="00690F56" w14:paraId="3EC59954"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262716" w:rsidP="00262716" w14:paraId="47C3F7E4" w14:textId="1AE0089B">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4328D9">
        <w:rPr>
          <w:rFonts w:ascii="Times New Roman" w:hAnsi="Times New Roman"/>
        </w:rPr>
        <w:t>No government funds will be used as payment or for gifts to respondents</w:t>
      </w:r>
      <w:r w:rsidRPr="00262716">
        <w:rPr>
          <w:rFonts w:ascii="Times New Roman" w:hAnsi="Times New Roman"/>
        </w:rPr>
        <w:t>.</w:t>
      </w:r>
    </w:p>
    <w:p w:rsidR="00B64496" w:rsidRPr="00871CA6" w:rsidP="00262716" w14:paraId="3D0608DC"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690F56" w14:paraId="0BFB46C5"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10.  Describe any assurance of confidentiality provided to respondents and the basis for the assurance in statute, regulation, or agency p</w:t>
      </w:r>
      <w:r w:rsidRPr="00D53DEB">
        <w:rPr>
          <w:rFonts w:ascii="Times New Roman" w:hAnsi="Times New Roman"/>
          <w:b/>
          <w:bCs/>
        </w:rPr>
        <w:t>olicy.</w:t>
      </w:r>
    </w:p>
    <w:p w:rsidR="00690F56" w:rsidRPr="00A47DA7" w:rsidP="00690F56" w14:paraId="41D6A133"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0F1F69" w:rsidRPr="000F1F69" w:rsidP="000F1F69" w14:paraId="7C209CE5" w14:textId="6FEB3FE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0F1F69">
        <w:rPr>
          <w:rFonts w:ascii="Times New Roman" w:hAnsi="Times New Roman"/>
        </w:rPr>
        <w:t>Responses are kept in a secured location. ATF employees with suitable security clearance will process submitted ATF Form 5400.</w:t>
      </w:r>
      <w:r w:rsidR="00026BF9">
        <w:rPr>
          <w:rFonts w:ascii="Times New Roman" w:hAnsi="Times New Roman"/>
        </w:rPr>
        <w:t>13A/5400.16</w:t>
      </w:r>
      <w:r w:rsidRPr="000F1F69">
        <w:rPr>
          <w:rFonts w:ascii="Times New Roman" w:hAnsi="Times New Roman"/>
        </w:rPr>
        <w:t>. Confidentiality is not assured.</w:t>
      </w:r>
    </w:p>
    <w:p w:rsidR="004328D9" w:rsidRPr="00871CA6" w:rsidP="00D735B0" w14:paraId="306AC335"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P="00690F56" w14:paraId="3F71900A" w14:textId="20B32529">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11. Provide</w:t>
      </w:r>
      <w:r w:rsidRPr="00D53DEB">
        <w:rPr>
          <w:rFonts w:ascii="Times New Roman" w:hAnsi="Times New Roman"/>
          <w:b/>
          <w:bCs/>
        </w:rPr>
        <w:t xml:space="preserve"> additional justification for any questions of a sensitive nature, such as sexual behavior and attitudes, religious beliefs, and other matters that are commonly considered private.  This justification should include the reasons why the </w:t>
      </w:r>
      <w:r w:rsidRPr="00D53DEB" w:rsidR="00C667F3">
        <w:rPr>
          <w:rFonts w:ascii="Times New Roman" w:hAnsi="Times New Roman"/>
          <w:b/>
          <w:bCs/>
        </w:rPr>
        <w:t>a</w:t>
      </w:r>
      <w:r w:rsidRPr="00D53DEB">
        <w:rPr>
          <w:rFonts w:ascii="Times New Roman" w:hAnsi="Times New Roman"/>
          <w:b/>
          <w:bCs/>
        </w:rPr>
        <w:t>gency considers the</w:t>
      </w:r>
      <w:r w:rsidRPr="00D53DEB">
        <w:rPr>
          <w:rFonts w:ascii="Times New Roman" w:hAnsi="Times New Roman"/>
          <w:b/>
          <w:bCs/>
        </w:rPr>
        <w:t xml:space="preserve"> questions necessary, the specific uses to be made of the information, the explanation to be given to persons from whom the information is requested, and any steps to be taken to obtain their consent.</w:t>
      </w:r>
    </w:p>
    <w:p w:rsidR="00BD21CA" w:rsidRPr="00D53DEB" w:rsidP="00690F56" w14:paraId="13A55570"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690F56" w:rsidP="00690F56" w14:paraId="27A67CE6" w14:textId="423988B0">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5D664F">
        <w:rPr>
          <w:rFonts w:ascii="Times New Roman" w:hAnsi="Times New Roman"/>
        </w:rPr>
        <w:t>Questions about an individual’s criminal history, immi</w:t>
      </w:r>
      <w:r w:rsidRPr="005D664F">
        <w:rPr>
          <w:rFonts w:ascii="Times New Roman" w:hAnsi="Times New Roman"/>
        </w:rPr>
        <w:t>gration status, and mental state are asked, in order to ensure that the provisions of existing explosives legislation are effectively enforced.</w:t>
      </w:r>
    </w:p>
    <w:p w:rsidR="005D664F" w:rsidRPr="00871CA6" w:rsidP="00690F56" w14:paraId="63FF64EF"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690F56" w14:paraId="39124B7D"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12.  Provide estimates of the hour burden of the collection of information.  The statement should:</w:t>
      </w:r>
    </w:p>
    <w:p w:rsidR="00690F56" w:rsidRPr="00D53DEB" w:rsidP="00690F56" w14:paraId="0DE6D347"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690F56" w:rsidRPr="00D53DEB" w:rsidP="00C667F3" w14:paraId="6B440E9A" w14:textId="77777777">
      <w:pPr>
        <w:widowControl/>
        <w:numPr>
          <w:ilvl w:val="0"/>
          <w:numId w:val="4"/>
        </w:num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Indicate the number of respondents, frequency of response, annual hour burden, and an explanation o</w:t>
      </w:r>
      <w:r w:rsidRPr="00D53DEB" w:rsidR="00D2331B">
        <w:rPr>
          <w:rFonts w:ascii="Times New Roman" w:hAnsi="Times New Roman"/>
          <w:b/>
          <w:bCs/>
        </w:rPr>
        <w:t xml:space="preserve">f </w:t>
      </w:r>
      <w:r w:rsidRPr="00D53DEB">
        <w:rPr>
          <w:rFonts w:ascii="Times New Roman" w:hAnsi="Times New Roman"/>
          <w:b/>
          <w:bCs/>
        </w:rPr>
        <w:t xml:space="preserve">how the burden was estimated.  Unless directed to do so, agencies should not conduct special surveys to obtain information on which to </w:t>
      </w:r>
      <w:r w:rsidRPr="00D53DEB">
        <w:rPr>
          <w:rFonts w:ascii="Times New Roman" w:hAnsi="Times New Roman"/>
          <w:b/>
          <w:bCs/>
        </w:rPr>
        <w:t>base hour burden est</w:t>
      </w:r>
      <w:r w:rsidRPr="00D53DEB">
        <w:rPr>
          <w:rFonts w:ascii="Times New Roman" w:hAnsi="Times New Roman"/>
          <w:b/>
          <w:bCs/>
        </w:rPr>
        <w:t>imates.  Consultation with a sample (fewer than 10) of potential respondents is desirable.  If the hour burden on respondents is expected to vary widely because of differences in activity, size, or complexity, show the range of estimated hour burden, and e</w:t>
      </w:r>
      <w:r w:rsidRPr="00D53DEB">
        <w:rPr>
          <w:rFonts w:ascii="Times New Roman" w:hAnsi="Times New Roman"/>
          <w:b/>
          <w:bCs/>
        </w:rPr>
        <w:t>xplain the reasons for the variance.  General, estimates should not include burden hours</w:t>
      </w:r>
      <w:r w:rsidRPr="00D53DEB" w:rsidR="00CD215D">
        <w:rPr>
          <w:rFonts w:ascii="Times New Roman" w:hAnsi="Times New Roman"/>
          <w:b/>
          <w:bCs/>
        </w:rPr>
        <w:t xml:space="preserve"> </w:t>
      </w:r>
      <w:r w:rsidRPr="00D53DEB">
        <w:rPr>
          <w:rFonts w:ascii="Times New Roman" w:hAnsi="Times New Roman"/>
          <w:b/>
          <w:bCs/>
        </w:rPr>
        <w:t>for customary and usual business practices.</w:t>
      </w:r>
    </w:p>
    <w:p w:rsidR="00690F56" w:rsidRPr="00D53DEB" w:rsidP="00690F56" w14:paraId="2CF1128C"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7A7F79" w:rsidRPr="00D53DEB" w:rsidP="007A7F79" w14:paraId="37614E37" w14:textId="77777777">
      <w:pPr>
        <w:pStyle w:val="Level1"/>
        <w:widowControl/>
        <w:numPr>
          <w:ilvl w:val="0"/>
          <w:numId w:val="4"/>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D53DEB">
        <w:rPr>
          <w:b/>
        </w:rPr>
        <w:t xml:space="preserve">If this </w:t>
      </w:r>
      <w:r w:rsidRPr="00D53DEB">
        <w:rPr>
          <w:b/>
          <w:bCs/>
        </w:rPr>
        <w:t>request for approval covers more than one form, provide separate hour burden estimates for each form.</w:t>
      </w:r>
    </w:p>
    <w:p w:rsidR="00882B1D" w:rsidRPr="00D53DEB" w:rsidP="00AF2C11" w14:paraId="2B026727" w14:textId="77777777">
      <w:pPr>
        <w:pStyle w:val="Level1"/>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rPr>
          <w:b/>
          <w:bCs/>
        </w:rPr>
      </w:pPr>
    </w:p>
    <w:p w:rsidR="00CD215D" w:rsidP="00C667F3" w14:paraId="163C0E79" w14:textId="77777777">
      <w:pPr>
        <w:widowControl/>
        <w:numPr>
          <w:ilvl w:val="0"/>
          <w:numId w:val="4"/>
        </w:num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Provide est</w:t>
      </w:r>
      <w:r w:rsidRPr="00D53DEB">
        <w:rPr>
          <w:rFonts w:ascii="Times New Roman" w:hAnsi="Times New Roman"/>
          <w:b/>
          <w:bCs/>
        </w:rPr>
        <w:t>imates of annualized cost to respondents for the hour burdens for collections of information, identifying and using appropriate wage rate categories.  The cost of contracting out or paying outside parties for information collection activities should not be</w:t>
      </w:r>
      <w:r w:rsidRPr="00D53DEB">
        <w:rPr>
          <w:rFonts w:ascii="Times New Roman" w:hAnsi="Times New Roman"/>
          <w:b/>
          <w:bCs/>
        </w:rPr>
        <w:t xml:space="preserve"> included here.  Instead, </w:t>
      </w:r>
      <w:r w:rsidRPr="00D53DEB" w:rsidR="00312124">
        <w:rPr>
          <w:rFonts w:ascii="Times New Roman" w:hAnsi="Times New Roman"/>
          <w:b/>
          <w:bCs/>
        </w:rPr>
        <w:t>this cost</w:t>
      </w:r>
      <w:r w:rsidRPr="00D53DEB" w:rsidR="00C667F3">
        <w:rPr>
          <w:rFonts w:ascii="Times New Roman" w:hAnsi="Times New Roman"/>
          <w:b/>
          <w:bCs/>
        </w:rPr>
        <w:t xml:space="preserve"> should be included in Item 14</w:t>
      </w:r>
      <w:r w:rsidRPr="00D53DEB">
        <w:rPr>
          <w:rFonts w:ascii="Times New Roman" w:hAnsi="Times New Roman"/>
          <w:b/>
          <w:bCs/>
        </w:rPr>
        <w:t>.</w:t>
      </w:r>
    </w:p>
    <w:p w:rsidR="005D664F" w:rsidRPr="00D53DEB" w:rsidP="005D664F" w14:paraId="328403A9"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5D664F" w:rsidRPr="005D664F" w:rsidP="005D664F" w14:paraId="6D921FFA" w14:textId="38CA59AE">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026BF9">
        <w:rPr>
          <w:rFonts w:ascii="Times New Roman" w:hAnsi="Times New Roman"/>
        </w:rPr>
        <w:t>ATF estimates that there are 11,875 respondents associated with this information collection request. As such, the total annual responses are 11,875. We estimate that each respondent will spend approximately 20 minutes completing this form.  The total annua</w:t>
      </w:r>
      <w:r w:rsidRPr="00026BF9">
        <w:rPr>
          <w:rFonts w:ascii="Times New Roman" w:hAnsi="Times New Roman"/>
        </w:rPr>
        <w:t>l burden hours associated with this request is 3,958</w:t>
      </w:r>
      <w:r w:rsidRPr="005D664F">
        <w:rPr>
          <w:rFonts w:ascii="Times New Roman" w:hAnsi="Times New Roman"/>
        </w:rPr>
        <w:t xml:space="preserve">. </w:t>
      </w:r>
    </w:p>
    <w:p w:rsidR="00690F56" w:rsidP="00690F56" w14:paraId="1904007E"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6626FF" w:rsidRPr="006626FF" w:rsidP="006626FF" w14:paraId="49938EA8" w14:textId="77777777">
      <w:pPr>
        <w:ind w:left="720"/>
        <w:rPr>
          <w:rFonts w:ascii="Times New Roman" w:hAnsi="Times New Roman"/>
          <w:i/>
        </w:rPr>
      </w:pPr>
    </w:p>
    <w:p w:rsidR="006626FF" w:rsidRPr="00E60FB0" w:rsidP="006626FF" w14:paraId="3CD4954E" w14:textId="77777777">
      <w:pPr>
        <w:ind w:left="720"/>
        <w:jc w:val="center"/>
        <w:rPr>
          <w:rFonts w:ascii="Times New Roman" w:hAnsi="Times New Roman"/>
          <w:i/>
        </w:rPr>
      </w:pPr>
      <w:r w:rsidRPr="00E60FB0">
        <w:rPr>
          <w:rFonts w:ascii="Times New Roman" w:hAnsi="Times New Roman"/>
          <w:b/>
        </w:rPr>
        <w:t>Estimated Annualized Respondent Cost and Hour Burden</w:t>
      </w:r>
    </w:p>
    <w:tbl>
      <w:tblPr>
        <w:tblStyle w:val="TableGrid"/>
        <w:tblW w:w="7302" w:type="dxa"/>
        <w:jc w:val="center"/>
        <w:tblLook w:val="04A0"/>
      </w:tblPr>
      <w:tblGrid>
        <w:gridCol w:w="1439"/>
        <w:gridCol w:w="1415"/>
        <w:gridCol w:w="1219"/>
        <w:gridCol w:w="1182"/>
        <w:gridCol w:w="1097"/>
        <w:gridCol w:w="950"/>
      </w:tblGrid>
      <w:tr w14:paraId="4AA59B92" w14:textId="77777777" w:rsidTr="00B750C6">
        <w:tblPrEx>
          <w:tblW w:w="7302" w:type="dxa"/>
          <w:jc w:val="center"/>
          <w:tblLook w:val="04A0"/>
        </w:tblPrEx>
        <w:trPr>
          <w:jc w:val="center"/>
        </w:trPr>
        <w:tc>
          <w:tcPr>
            <w:tcW w:w="1439" w:type="dxa"/>
            <w:shd w:val="clear" w:color="auto" w:fill="ADB9CA" w:themeFill="text2" w:themeFillTint="66"/>
          </w:tcPr>
          <w:p w:rsidR="00B750C6" w:rsidRPr="008F47CB" w:rsidP="008C6A87" w14:paraId="7BEB472C" w14:textId="77777777">
            <w:pPr>
              <w:rPr>
                <w:rFonts w:ascii="Times New Roman" w:hAnsi="Times New Roman"/>
                <w:b/>
                <w:sz w:val="22"/>
                <w:szCs w:val="22"/>
              </w:rPr>
            </w:pPr>
            <w:r w:rsidRPr="008F47CB">
              <w:rPr>
                <w:rFonts w:ascii="Times New Roman" w:hAnsi="Times New Roman"/>
                <w:b/>
                <w:sz w:val="22"/>
                <w:szCs w:val="22"/>
              </w:rPr>
              <w:t>Activity</w:t>
            </w:r>
          </w:p>
        </w:tc>
        <w:tc>
          <w:tcPr>
            <w:tcW w:w="1415" w:type="dxa"/>
            <w:shd w:val="clear" w:color="auto" w:fill="ADB9CA" w:themeFill="text2" w:themeFillTint="66"/>
          </w:tcPr>
          <w:p w:rsidR="00B750C6" w:rsidRPr="008F47CB" w:rsidP="008C6A87" w14:paraId="0C165867" w14:textId="77777777">
            <w:pPr>
              <w:rPr>
                <w:rFonts w:ascii="Times New Roman" w:hAnsi="Times New Roman"/>
                <w:b/>
                <w:sz w:val="22"/>
                <w:szCs w:val="22"/>
              </w:rPr>
            </w:pPr>
            <w:r w:rsidRPr="008F47CB">
              <w:rPr>
                <w:rFonts w:ascii="Times New Roman" w:hAnsi="Times New Roman"/>
                <w:b/>
                <w:sz w:val="22"/>
                <w:szCs w:val="22"/>
              </w:rPr>
              <w:t>Number of Respondents</w:t>
            </w:r>
          </w:p>
        </w:tc>
        <w:tc>
          <w:tcPr>
            <w:tcW w:w="1219" w:type="dxa"/>
            <w:shd w:val="clear" w:color="auto" w:fill="ADB9CA" w:themeFill="text2" w:themeFillTint="66"/>
          </w:tcPr>
          <w:p w:rsidR="00B750C6" w:rsidRPr="008F47CB" w:rsidP="008C6A87" w14:paraId="504A0CCE" w14:textId="77777777">
            <w:pPr>
              <w:rPr>
                <w:rFonts w:ascii="Times New Roman" w:hAnsi="Times New Roman"/>
                <w:b/>
                <w:sz w:val="22"/>
                <w:szCs w:val="22"/>
              </w:rPr>
            </w:pPr>
            <w:r w:rsidRPr="008F47CB">
              <w:rPr>
                <w:rFonts w:ascii="Times New Roman" w:hAnsi="Times New Roman"/>
                <w:b/>
                <w:sz w:val="22"/>
                <w:szCs w:val="22"/>
              </w:rPr>
              <w:t>Frequency</w:t>
            </w:r>
          </w:p>
        </w:tc>
        <w:tc>
          <w:tcPr>
            <w:tcW w:w="1182" w:type="dxa"/>
            <w:shd w:val="clear" w:color="auto" w:fill="ADB9CA" w:themeFill="text2" w:themeFillTint="66"/>
          </w:tcPr>
          <w:p w:rsidR="00B750C6" w:rsidRPr="008F47CB" w:rsidP="008C6A87" w14:paraId="43DA2D2D" w14:textId="77777777">
            <w:pPr>
              <w:rPr>
                <w:rFonts w:ascii="Times New Roman" w:hAnsi="Times New Roman"/>
                <w:b/>
                <w:sz w:val="22"/>
                <w:szCs w:val="22"/>
              </w:rPr>
            </w:pPr>
            <w:r w:rsidRPr="008F47CB">
              <w:rPr>
                <w:rFonts w:ascii="Times New Roman" w:hAnsi="Times New Roman"/>
                <w:b/>
                <w:sz w:val="22"/>
                <w:szCs w:val="22"/>
              </w:rPr>
              <w:t>Total Annual Responses</w:t>
            </w:r>
          </w:p>
        </w:tc>
        <w:tc>
          <w:tcPr>
            <w:tcW w:w="1097" w:type="dxa"/>
            <w:shd w:val="clear" w:color="auto" w:fill="ADB9CA" w:themeFill="text2" w:themeFillTint="66"/>
          </w:tcPr>
          <w:p w:rsidR="00B750C6" w:rsidRPr="008F47CB" w:rsidP="008C6A87" w14:paraId="2403F83B" w14:textId="77777777">
            <w:pPr>
              <w:rPr>
                <w:rFonts w:ascii="Times New Roman" w:hAnsi="Times New Roman"/>
                <w:b/>
                <w:sz w:val="22"/>
                <w:szCs w:val="22"/>
              </w:rPr>
            </w:pPr>
            <w:r w:rsidRPr="008F47CB">
              <w:rPr>
                <w:rFonts w:ascii="Times New Roman" w:hAnsi="Times New Roman"/>
                <w:b/>
                <w:sz w:val="22"/>
                <w:szCs w:val="22"/>
              </w:rPr>
              <w:t>Time Per Response</w:t>
            </w:r>
          </w:p>
        </w:tc>
        <w:tc>
          <w:tcPr>
            <w:tcW w:w="950" w:type="dxa"/>
            <w:shd w:val="clear" w:color="auto" w:fill="ADB9CA" w:themeFill="text2" w:themeFillTint="66"/>
          </w:tcPr>
          <w:p w:rsidR="00B750C6" w:rsidRPr="008F47CB" w:rsidP="008C6A87" w14:paraId="4756C3F4" w14:textId="77777777">
            <w:pPr>
              <w:rPr>
                <w:rFonts w:ascii="Times New Roman" w:hAnsi="Times New Roman"/>
                <w:b/>
                <w:sz w:val="22"/>
                <w:szCs w:val="22"/>
              </w:rPr>
            </w:pPr>
            <w:r w:rsidRPr="008F47CB">
              <w:rPr>
                <w:rFonts w:ascii="Times New Roman" w:hAnsi="Times New Roman"/>
                <w:b/>
                <w:sz w:val="22"/>
                <w:szCs w:val="22"/>
              </w:rPr>
              <w:t>Total Annual Burden (Hours)</w:t>
            </w:r>
          </w:p>
        </w:tc>
      </w:tr>
      <w:tr w14:paraId="079EF15D" w14:textId="77777777" w:rsidTr="00B750C6">
        <w:tblPrEx>
          <w:tblW w:w="7302" w:type="dxa"/>
          <w:jc w:val="center"/>
          <w:tblLook w:val="04A0"/>
        </w:tblPrEx>
        <w:trPr>
          <w:jc w:val="center"/>
        </w:trPr>
        <w:tc>
          <w:tcPr>
            <w:tcW w:w="1439" w:type="dxa"/>
            <w:vAlign w:val="bottom"/>
          </w:tcPr>
          <w:p w:rsidR="00B750C6" w:rsidRPr="008F47CB" w:rsidP="008C6A87" w14:paraId="4E4E0FA6" w14:textId="36605D4E">
            <w:pPr>
              <w:jc w:val="right"/>
              <w:rPr>
                <w:rFonts w:ascii="Times New Roman" w:hAnsi="Times New Roman"/>
                <w:sz w:val="22"/>
                <w:szCs w:val="22"/>
              </w:rPr>
            </w:pPr>
          </w:p>
        </w:tc>
        <w:tc>
          <w:tcPr>
            <w:tcW w:w="1415" w:type="dxa"/>
            <w:vAlign w:val="bottom"/>
          </w:tcPr>
          <w:p w:rsidR="00B750C6" w:rsidRPr="008F47CB" w:rsidP="008C6A87" w14:paraId="23BB2474" w14:textId="523E8656">
            <w:pPr>
              <w:jc w:val="right"/>
              <w:rPr>
                <w:rFonts w:ascii="Times New Roman" w:hAnsi="Times New Roman"/>
                <w:sz w:val="22"/>
                <w:szCs w:val="22"/>
              </w:rPr>
            </w:pPr>
            <w:r>
              <w:rPr>
                <w:rFonts w:ascii="Times New Roman" w:hAnsi="Times New Roman"/>
                <w:sz w:val="22"/>
                <w:szCs w:val="22"/>
              </w:rPr>
              <w:t>11,875</w:t>
            </w:r>
          </w:p>
        </w:tc>
        <w:tc>
          <w:tcPr>
            <w:tcW w:w="1219" w:type="dxa"/>
            <w:vAlign w:val="bottom"/>
          </w:tcPr>
          <w:p w:rsidR="00B750C6" w:rsidRPr="008F47CB" w:rsidP="008C6A87" w14:paraId="5D72451D" w14:textId="7C3D6DA2">
            <w:pPr>
              <w:jc w:val="right"/>
              <w:rPr>
                <w:rFonts w:ascii="Times New Roman" w:hAnsi="Times New Roman"/>
                <w:sz w:val="22"/>
                <w:szCs w:val="22"/>
              </w:rPr>
            </w:pPr>
            <w:r>
              <w:rPr>
                <w:rFonts w:ascii="Times New Roman" w:hAnsi="Times New Roman"/>
                <w:sz w:val="22"/>
                <w:szCs w:val="22"/>
              </w:rPr>
              <w:t>1</w:t>
            </w:r>
          </w:p>
        </w:tc>
        <w:tc>
          <w:tcPr>
            <w:tcW w:w="1182" w:type="dxa"/>
            <w:vAlign w:val="bottom"/>
          </w:tcPr>
          <w:p w:rsidR="00B750C6" w:rsidRPr="008F47CB" w:rsidP="008C6A87" w14:paraId="03D2549D" w14:textId="37A3B899">
            <w:pPr>
              <w:jc w:val="right"/>
              <w:rPr>
                <w:rFonts w:ascii="Times New Roman" w:hAnsi="Times New Roman"/>
                <w:sz w:val="22"/>
                <w:szCs w:val="22"/>
              </w:rPr>
            </w:pPr>
            <w:r>
              <w:rPr>
                <w:rFonts w:ascii="Times New Roman" w:hAnsi="Times New Roman"/>
                <w:sz w:val="22"/>
                <w:szCs w:val="22"/>
              </w:rPr>
              <w:t>11,875</w:t>
            </w:r>
          </w:p>
        </w:tc>
        <w:tc>
          <w:tcPr>
            <w:tcW w:w="1097" w:type="dxa"/>
            <w:vAlign w:val="bottom"/>
          </w:tcPr>
          <w:p w:rsidR="00B750C6" w:rsidRPr="008F47CB" w:rsidP="008C6A87" w14:paraId="3704ADCE" w14:textId="1A10062E">
            <w:pPr>
              <w:jc w:val="right"/>
              <w:rPr>
                <w:rFonts w:ascii="Times New Roman" w:hAnsi="Times New Roman"/>
                <w:sz w:val="22"/>
                <w:szCs w:val="22"/>
              </w:rPr>
            </w:pPr>
            <w:r>
              <w:rPr>
                <w:rFonts w:ascii="Times New Roman" w:hAnsi="Times New Roman"/>
                <w:sz w:val="22"/>
                <w:szCs w:val="22"/>
              </w:rPr>
              <w:t>20min</w:t>
            </w:r>
          </w:p>
        </w:tc>
        <w:tc>
          <w:tcPr>
            <w:tcW w:w="950" w:type="dxa"/>
            <w:vAlign w:val="bottom"/>
          </w:tcPr>
          <w:p w:rsidR="00B750C6" w:rsidRPr="008F47CB" w:rsidP="008C6A87" w14:paraId="498C761A" w14:textId="2162B2FB">
            <w:pPr>
              <w:jc w:val="right"/>
              <w:rPr>
                <w:rFonts w:ascii="Times New Roman" w:hAnsi="Times New Roman"/>
                <w:sz w:val="22"/>
                <w:szCs w:val="22"/>
              </w:rPr>
            </w:pPr>
            <w:r>
              <w:rPr>
                <w:rFonts w:ascii="Times New Roman" w:hAnsi="Times New Roman"/>
                <w:sz w:val="22"/>
                <w:szCs w:val="22"/>
              </w:rPr>
              <w:t>3,958</w:t>
            </w:r>
          </w:p>
        </w:tc>
      </w:tr>
      <w:tr w14:paraId="28A27403" w14:textId="77777777" w:rsidTr="00B750C6">
        <w:tblPrEx>
          <w:tblW w:w="7302" w:type="dxa"/>
          <w:jc w:val="center"/>
          <w:tblLook w:val="04A0"/>
        </w:tblPrEx>
        <w:trPr>
          <w:jc w:val="center"/>
        </w:trPr>
        <w:tc>
          <w:tcPr>
            <w:tcW w:w="1439" w:type="dxa"/>
            <w:vAlign w:val="bottom"/>
          </w:tcPr>
          <w:p w:rsidR="00B750C6" w:rsidRPr="008F47CB" w:rsidP="008C6A87" w14:paraId="779E4025" w14:textId="77777777">
            <w:pPr>
              <w:jc w:val="right"/>
              <w:rPr>
                <w:rFonts w:ascii="Times New Roman" w:hAnsi="Times New Roman"/>
                <w:sz w:val="22"/>
                <w:szCs w:val="22"/>
              </w:rPr>
            </w:pPr>
          </w:p>
        </w:tc>
        <w:tc>
          <w:tcPr>
            <w:tcW w:w="1415" w:type="dxa"/>
            <w:vAlign w:val="bottom"/>
          </w:tcPr>
          <w:p w:rsidR="00B750C6" w:rsidRPr="008F47CB" w:rsidP="008C6A87" w14:paraId="0D0FB099" w14:textId="6278F929">
            <w:pPr>
              <w:jc w:val="right"/>
              <w:rPr>
                <w:rFonts w:ascii="Times New Roman" w:hAnsi="Times New Roman"/>
                <w:sz w:val="22"/>
                <w:szCs w:val="22"/>
              </w:rPr>
            </w:pPr>
          </w:p>
        </w:tc>
        <w:tc>
          <w:tcPr>
            <w:tcW w:w="1219" w:type="dxa"/>
            <w:vAlign w:val="bottom"/>
          </w:tcPr>
          <w:p w:rsidR="00B750C6" w:rsidRPr="008F47CB" w:rsidP="008C6A87" w14:paraId="2DF69973" w14:textId="55FB79A7">
            <w:pPr>
              <w:jc w:val="right"/>
              <w:rPr>
                <w:rFonts w:ascii="Times New Roman" w:hAnsi="Times New Roman"/>
                <w:sz w:val="22"/>
                <w:szCs w:val="22"/>
              </w:rPr>
            </w:pPr>
          </w:p>
        </w:tc>
        <w:tc>
          <w:tcPr>
            <w:tcW w:w="1182" w:type="dxa"/>
            <w:vAlign w:val="bottom"/>
          </w:tcPr>
          <w:p w:rsidR="00B750C6" w:rsidRPr="008F47CB" w:rsidP="008C6A87" w14:paraId="6869AFA2" w14:textId="2B76DAC1">
            <w:pPr>
              <w:jc w:val="right"/>
              <w:rPr>
                <w:rFonts w:ascii="Times New Roman" w:hAnsi="Times New Roman"/>
                <w:sz w:val="22"/>
                <w:szCs w:val="22"/>
              </w:rPr>
            </w:pPr>
          </w:p>
        </w:tc>
        <w:tc>
          <w:tcPr>
            <w:tcW w:w="1097" w:type="dxa"/>
            <w:vAlign w:val="bottom"/>
          </w:tcPr>
          <w:p w:rsidR="00B750C6" w:rsidRPr="008F47CB" w:rsidP="008C6A87" w14:paraId="3983D868" w14:textId="09B2E4D9">
            <w:pPr>
              <w:jc w:val="right"/>
              <w:rPr>
                <w:rFonts w:ascii="Times New Roman" w:hAnsi="Times New Roman"/>
                <w:sz w:val="22"/>
                <w:szCs w:val="22"/>
              </w:rPr>
            </w:pPr>
          </w:p>
        </w:tc>
        <w:tc>
          <w:tcPr>
            <w:tcW w:w="950" w:type="dxa"/>
            <w:vAlign w:val="bottom"/>
          </w:tcPr>
          <w:p w:rsidR="00B750C6" w:rsidRPr="008F47CB" w:rsidP="008C6A87" w14:paraId="1211DF9B" w14:textId="2F021E4B">
            <w:pPr>
              <w:jc w:val="right"/>
              <w:rPr>
                <w:rFonts w:ascii="Times New Roman" w:hAnsi="Times New Roman"/>
                <w:sz w:val="22"/>
                <w:szCs w:val="22"/>
              </w:rPr>
            </w:pPr>
          </w:p>
        </w:tc>
      </w:tr>
      <w:tr w14:paraId="7117E8A9" w14:textId="77777777" w:rsidTr="00B750C6">
        <w:tblPrEx>
          <w:tblW w:w="7302" w:type="dxa"/>
          <w:jc w:val="center"/>
          <w:tblLook w:val="04A0"/>
        </w:tblPrEx>
        <w:trPr>
          <w:jc w:val="center"/>
        </w:trPr>
        <w:tc>
          <w:tcPr>
            <w:tcW w:w="1439" w:type="dxa"/>
          </w:tcPr>
          <w:p w:rsidR="00B750C6" w:rsidRPr="008F47CB" w:rsidP="00B750C6" w14:paraId="7B495C05" w14:textId="0AA9E4F4">
            <w:pPr>
              <w:jc w:val="right"/>
              <w:rPr>
                <w:rFonts w:ascii="Times New Roman" w:hAnsi="Times New Roman"/>
                <w:sz w:val="22"/>
                <w:szCs w:val="22"/>
              </w:rPr>
            </w:pPr>
            <w:r w:rsidRPr="008F47CB">
              <w:rPr>
                <w:rFonts w:ascii="Times New Roman" w:hAnsi="Times New Roman"/>
                <w:b/>
                <w:i/>
                <w:sz w:val="22"/>
                <w:szCs w:val="22"/>
              </w:rPr>
              <w:t>Unduplicated Totals</w:t>
            </w:r>
          </w:p>
        </w:tc>
        <w:tc>
          <w:tcPr>
            <w:tcW w:w="1415" w:type="dxa"/>
            <w:vAlign w:val="bottom"/>
          </w:tcPr>
          <w:p w:rsidR="00B750C6" w:rsidRPr="008F47CB" w:rsidP="00B750C6" w14:paraId="485C3037" w14:textId="3ABC5E48">
            <w:pPr>
              <w:jc w:val="right"/>
              <w:rPr>
                <w:rFonts w:ascii="Times New Roman" w:hAnsi="Times New Roman"/>
                <w:sz w:val="22"/>
                <w:szCs w:val="22"/>
              </w:rPr>
            </w:pPr>
            <w:r>
              <w:rPr>
                <w:rFonts w:ascii="Times New Roman" w:hAnsi="Times New Roman"/>
                <w:sz w:val="22"/>
                <w:szCs w:val="22"/>
              </w:rPr>
              <w:t>11,875</w:t>
            </w:r>
          </w:p>
        </w:tc>
        <w:tc>
          <w:tcPr>
            <w:tcW w:w="1219" w:type="dxa"/>
            <w:vAlign w:val="bottom"/>
          </w:tcPr>
          <w:p w:rsidR="00B750C6" w:rsidRPr="008F47CB" w:rsidP="00B750C6" w14:paraId="13B28653" w14:textId="6779B563">
            <w:pPr>
              <w:jc w:val="right"/>
              <w:rPr>
                <w:rFonts w:ascii="Times New Roman" w:hAnsi="Times New Roman"/>
                <w:sz w:val="22"/>
                <w:szCs w:val="22"/>
              </w:rPr>
            </w:pPr>
            <w:r>
              <w:rPr>
                <w:rFonts w:ascii="Times New Roman" w:hAnsi="Times New Roman"/>
                <w:sz w:val="22"/>
                <w:szCs w:val="22"/>
              </w:rPr>
              <w:t>1</w:t>
            </w:r>
          </w:p>
        </w:tc>
        <w:tc>
          <w:tcPr>
            <w:tcW w:w="1182" w:type="dxa"/>
            <w:vAlign w:val="bottom"/>
          </w:tcPr>
          <w:p w:rsidR="00B750C6" w:rsidRPr="008F47CB" w:rsidP="00B750C6" w14:paraId="42D7D78C" w14:textId="433090E0">
            <w:pPr>
              <w:jc w:val="right"/>
              <w:rPr>
                <w:rFonts w:ascii="Times New Roman" w:hAnsi="Times New Roman"/>
                <w:sz w:val="22"/>
                <w:szCs w:val="22"/>
              </w:rPr>
            </w:pPr>
            <w:r>
              <w:rPr>
                <w:rFonts w:ascii="Times New Roman" w:hAnsi="Times New Roman"/>
                <w:sz w:val="22"/>
                <w:szCs w:val="22"/>
              </w:rPr>
              <w:t>11,875</w:t>
            </w:r>
          </w:p>
        </w:tc>
        <w:tc>
          <w:tcPr>
            <w:tcW w:w="1097" w:type="dxa"/>
            <w:vAlign w:val="bottom"/>
          </w:tcPr>
          <w:p w:rsidR="00B750C6" w:rsidRPr="008F47CB" w:rsidP="00B750C6" w14:paraId="6D74F4F1" w14:textId="3932A928">
            <w:pPr>
              <w:jc w:val="right"/>
              <w:rPr>
                <w:rFonts w:ascii="Times New Roman" w:hAnsi="Times New Roman"/>
                <w:sz w:val="22"/>
                <w:szCs w:val="22"/>
              </w:rPr>
            </w:pPr>
            <w:r>
              <w:rPr>
                <w:rFonts w:ascii="Times New Roman" w:hAnsi="Times New Roman"/>
                <w:sz w:val="22"/>
                <w:szCs w:val="22"/>
              </w:rPr>
              <w:t>20min</w:t>
            </w:r>
          </w:p>
        </w:tc>
        <w:tc>
          <w:tcPr>
            <w:tcW w:w="950" w:type="dxa"/>
            <w:vAlign w:val="bottom"/>
          </w:tcPr>
          <w:p w:rsidR="00B750C6" w:rsidRPr="008F47CB" w:rsidP="00B750C6" w14:paraId="3AE5AEA6" w14:textId="67903DD1">
            <w:pPr>
              <w:jc w:val="right"/>
              <w:rPr>
                <w:rFonts w:ascii="Times New Roman" w:hAnsi="Times New Roman"/>
                <w:sz w:val="22"/>
                <w:szCs w:val="22"/>
              </w:rPr>
            </w:pPr>
            <w:r>
              <w:rPr>
                <w:rFonts w:ascii="Times New Roman" w:hAnsi="Times New Roman"/>
                <w:sz w:val="22"/>
                <w:szCs w:val="22"/>
              </w:rPr>
              <w:t>3,958</w:t>
            </w:r>
          </w:p>
        </w:tc>
      </w:tr>
    </w:tbl>
    <w:p w:rsidR="00D472BE" w:rsidP="00E60FB0" w14:paraId="1758C1F3" w14:textId="7C90956B">
      <w:pPr>
        <w:widowControl/>
        <w:autoSpaceDE/>
        <w:autoSpaceDN/>
        <w:adjustRightInd/>
        <w:rPr>
          <w:rFonts w:ascii="Times New Roman" w:hAnsi="Times New Roman"/>
          <w:highlight w:val="yellow"/>
        </w:rPr>
      </w:pPr>
    </w:p>
    <w:p w:rsidR="00EE2223" w:rsidRPr="00EE2223" w:rsidP="00E60FB0" w14:paraId="51C113BE" w14:textId="4093117F">
      <w:pPr>
        <w:widowControl/>
        <w:autoSpaceDE/>
        <w:autoSpaceDN/>
        <w:adjustRightInd/>
        <w:rPr>
          <w:rFonts w:ascii="Times New Roman" w:hAnsi="Times New Roman"/>
          <w:i/>
          <w:iCs/>
        </w:rPr>
      </w:pPr>
      <w:r w:rsidRPr="00EE2223">
        <w:rPr>
          <w:rFonts w:ascii="Times New Roman" w:hAnsi="Times New Roman"/>
          <w:i/>
          <w:iCs/>
        </w:rPr>
        <w:t>Hourly rate source citation</w:t>
      </w:r>
      <w:r w:rsidR="002E6F9C">
        <w:rPr>
          <w:rFonts w:ascii="Times New Roman" w:hAnsi="Times New Roman"/>
          <w:i/>
          <w:iCs/>
        </w:rPr>
        <w:t xml:space="preserve"> or you may enter a footnote</w:t>
      </w:r>
      <w:r w:rsidRPr="00EE2223">
        <w:rPr>
          <w:rFonts w:ascii="Times New Roman" w:hAnsi="Times New Roman"/>
          <w:i/>
          <w:iCs/>
        </w:rPr>
        <w:t xml:space="preserve">: </w:t>
      </w:r>
    </w:p>
    <w:p w:rsidR="00EE2223" w:rsidRPr="00EE2223" w:rsidP="00E60FB0" w14:paraId="73540948" w14:textId="77777777">
      <w:pPr>
        <w:widowControl/>
        <w:autoSpaceDE/>
        <w:autoSpaceDN/>
        <w:adjustRightInd/>
        <w:rPr>
          <w:rFonts w:ascii="Times New Roman" w:hAnsi="Times New Roman"/>
          <w:i/>
          <w:iCs/>
          <w:highlight w:val="yellow"/>
        </w:rPr>
      </w:pPr>
    </w:p>
    <w:p w:rsidR="00CD215D" w:rsidRPr="00D53DEB" w:rsidP="00CD215D" w14:paraId="4F65FC61"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r w:rsidRPr="00D53DEB">
        <w:rPr>
          <w:rFonts w:ascii="Times New Roman" w:hAnsi="Times New Roman"/>
          <w:b/>
        </w:rPr>
        <w:t xml:space="preserve">13.  Provide an estimate of </w:t>
      </w:r>
      <w:r w:rsidRPr="00D53DEB" w:rsidR="00C667F3">
        <w:rPr>
          <w:rFonts w:ascii="Times New Roman" w:hAnsi="Times New Roman"/>
          <w:b/>
        </w:rPr>
        <w:t>the tot</w:t>
      </w:r>
      <w:r w:rsidRPr="00D53DEB">
        <w:rPr>
          <w:rFonts w:ascii="Times New Roman" w:hAnsi="Times New Roman"/>
          <w:b/>
        </w:rPr>
        <w:t xml:space="preserve">al annual cost burden to respondents or recordkeepers resulting from the collection of information.  (Do not include the cost of any hour </w:t>
      </w:r>
      <w:r w:rsidRPr="00D53DEB" w:rsidR="00C667F3">
        <w:rPr>
          <w:rFonts w:ascii="Times New Roman" w:hAnsi="Times New Roman"/>
          <w:b/>
        </w:rPr>
        <w:t>burden shown in Items 12 and 14</w:t>
      </w:r>
      <w:r w:rsidRPr="00D53DEB">
        <w:rPr>
          <w:rFonts w:ascii="Times New Roman" w:hAnsi="Times New Roman"/>
          <w:b/>
        </w:rPr>
        <w:t>)</w:t>
      </w:r>
      <w:r w:rsidRPr="00D53DEB" w:rsidR="00C667F3">
        <w:rPr>
          <w:rFonts w:ascii="Times New Roman" w:hAnsi="Times New Roman"/>
          <w:b/>
        </w:rPr>
        <w:t>.</w:t>
      </w:r>
    </w:p>
    <w:p w:rsidR="00CD215D" w:rsidRPr="00D53DEB" w:rsidP="00CD215D" w14:paraId="168FFC6B"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p>
    <w:p w:rsidR="00584F8D" w:rsidP="00584F8D" w14:paraId="2CD34CEB" w14:textId="77777777">
      <w:pPr>
        <w:widowControl/>
        <w:numPr>
          <w:ilvl w:val="0"/>
          <w:numId w:val="13"/>
        </w:numPr>
        <w:tabs>
          <w:tab w:val="left" w:pos="-360"/>
          <w:tab w:val="left" w:pos="0"/>
          <w:tab w:val="left" w:pos="360"/>
          <w:tab w:val="left" w:pos="90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ind w:left="900"/>
        <w:rPr>
          <w:rFonts w:ascii="Times New Roman" w:hAnsi="Times New Roman"/>
          <w:b/>
        </w:rPr>
      </w:pPr>
      <w:r>
        <w:rPr>
          <w:rFonts w:ascii="Times New Roman" w:hAnsi="Times New Roman"/>
          <w:b/>
        </w:rPr>
        <w:t>T</w:t>
      </w:r>
      <w:r w:rsidRPr="006F6E13" w:rsidR="00CD215D">
        <w:rPr>
          <w:rFonts w:ascii="Times New Roman" w:hAnsi="Times New Roman"/>
          <w:b/>
        </w:rPr>
        <w:t>he cost estimate should be split into two components:</w:t>
      </w:r>
      <w:r w:rsidRPr="006F6E13" w:rsidR="00AB4DC3">
        <w:rPr>
          <w:rFonts w:ascii="Times New Roman" w:hAnsi="Times New Roman"/>
          <w:b/>
        </w:rPr>
        <w:t xml:space="preserve">  (a) a total capital</w:t>
      </w:r>
    </w:p>
    <w:p w:rsidR="006F6E13" w:rsidP="00584F8D" w14:paraId="413AA81E" w14:textId="2A97B18F">
      <w:pPr>
        <w:widowControl/>
        <w:tabs>
          <w:tab w:val="left" w:pos="-360"/>
          <w:tab w:val="left" w:pos="0"/>
          <w:tab w:val="left" w:pos="36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ind w:left="900"/>
        <w:rPr>
          <w:rFonts w:ascii="Times New Roman" w:hAnsi="Times New Roman"/>
          <w:b/>
        </w:rPr>
      </w:pPr>
      <w:r>
        <w:rPr>
          <w:rFonts w:ascii="Times New Roman" w:hAnsi="Times New Roman"/>
          <w:b/>
        </w:rPr>
        <w:t>a</w:t>
      </w:r>
      <w:r w:rsidRPr="006F6E13" w:rsidR="00AB4DC3">
        <w:rPr>
          <w:rFonts w:ascii="Times New Roman" w:hAnsi="Times New Roman"/>
          <w:b/>
        </w:rPr>
        <w:t>nd</w:t>
      </w:r>
      <w:r w:rsidR="00584F8D">
        <w:rPr>
          <w:rFonts w:ascii="Times New Roman" w:hAnsi="Times New Roman"/>
          <w:b/>
        </w:rPr>
        <w:t xml:space="preserve"> </w:t>
      </w:r>
      <w:r w:rsidRPr="006F6E13" w:rsidR="00AB4DC3">
        <w:rPr>
          <w:rFonts w:ascii="Times New Roman" w:hAnsi="Times New Roman"/>
          <w:b/>
        </w:rPr>
        <w:t xml:space="preserve">start </w:t>
      </w:r>
      <w:r w:rsidRPr="006F6E13" w:rsidR="00CD215D">
        <w:rPr>
          <w:rFonts w:ascii="Times New Roman" w:hAnsi="Times New Roman"/>
          <w:b/>
        </w:rPr>
        <w:t xml:space="preserve">up cost component </w:t>
      </w:r>
      <w:r w:rsidRPr="006F6E13" w:rsidR="00C667F3">
        <w:rPr>
          <w:rFonts w:ascii="Times New Roman" w:hAnsi="Times New Roman"/>
          <w:b/>
        </w:rPr>
        <w:t>(</w:t>
      </w:r>
      <w:r w:rsidRPr="006F6E13" w:rsidR="00CD215D">
        <w:rPr>
          <w:rFonts w:ascii="Times New Roman" w:hAnsi="Times New Roman"/>
          <w:b/>
        </w:rPr>
        <w:t>annualized over its expected useful life)</w:t>
      </w:r>
      <w:r w:rsidRPr="006F6E13" w:rsidR="00C667F3">
        <w:rPr>
          <w:rFonts w:ascii="Times New Roman" w:hAnsi="Times New Roman"/>
          <w:b/>
        </w:rPr>
        <w:t>;</w:t>
      </w:r>
      <w:r w:rsidRPr="006F6E13" w:rsidR="00CD215D">
        <w:rPr>
          <w:rFonts w:ascii="Times New Roman" w:hAnsi="Times New Roman"/>
          <w:b/>
        </w:rPr>
        <w:t xml:space="preserve"> and (b) a</w:t>
      </w:r>
    </w:p>
    <w:p w:rsidR="00584F8D" w:rsidP="00584F8D" w14:paraId="02504B16" w14:textId="77777777">
      <w:pPr>
        <w:widowControl/>
        <w:tabs>
          <w:tab w:val="left" w:pos="-360"/>
          <w:tab w:val="left" w:pos="0"/>
          <w:tab w:val="left" w:pos="360"/>
          <w:tab w:val="left" w:pos="99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ind w:left="900"/>
        <w:rPr>
          <w:rFonts w:ascii="Times New Roman" w:hAnsi="Times New Roman"/>
          <w:b/>
        </w:rPr>
      </w:pPr>
      <w:r w:rsidRPr="006F6E13">
        <w:rPr>
          <w:rFonts w:ascii="Times New Roman" w:hAnsi="Times New Roman"/>
          <w:b/>
        </w:rPr>
        <w:t xml:space="preserve">total operation and </w:t>
      </w:r>
      <w:r w:rsidRPr="006F6E13" w:rsidR="006F6E13">
        <w:rPr>
          <w:rFonts w:ascii="Times New Roman" w:hAnsi="Times New Roman"/>
          <w:b/>
        </w:rPr>
        <w:t>m</w:t>
      </w:r>
      <w:r w:rsidRPr="006F6E13">
        <w:rPr>
          <w:rFonts w:ascii="Times New Roman" w:hAnsi="Times New Roman"/>
          <w:b/>
        </w:rPr>
        <w:t>aintenance and purchase of se</w:t>
      </w:r>
      <w:r w:rsidR="006F6E13">
        <w:rPr>
          <w:rFonts w:ascii="Times New Roman" w:hAnsi="Times New Roman"/>
          <w:b/>
        </w:rPr>
        <w:t xml:space="preserve">rvice component.  </w:t>
      </w:r>
    </w:p>
    <w:p w:rsidR="00584F8D" w:rsidP="00584F8D" w14:paraId="5D5D49B5" w14:textId="77777777">
      <w:pPr>
        <w:widowControl/>
        <w:tabs>
          <w:tab w:val="left" w:pos="-360"/>
          <w:tab w:val="left" w:pos="0"/>
          <w:tab w:val="left" w:pos="360"/>
          <w:tab w:val="left" w:pos="90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r>
        <w:rPr>
          <w:rFonts w:ascii="Times New Roman" w:hAnsi="Times New Roman"/>
          <w:b/>
        </w:rPr>
        <w:tab/>
      </w:r>
      <w:r>
        <w:rPr>
          <w:rFonts w:ascii="Times New Roman" w:hAnsi="Times New Roman"/>
          <w:b/>
        </w:rPr>
        <w:tab/>
      </w:r>
      <w:r w:rsidR="006F6E13">
        <w:rPr>
          <w:rFonts w:ascii="Times New Roman" w:hAnsi="Times New Roman"/>
          <w:b/>
        </w:rPr>
        <w:t>The estimates</w:t>
      </w:r>
      <w:r>
        <w:rPr>
          <w:rFonts w:ascii="Times New Roman" w:hAnsi="Times New Roman"/>
          <w:b/>
        </w:rPr>
        <w:t xml:space="preserve"> </w:t>
      </w:r>
      <w:r w:rsidRPr="006F6E13" w:rsidR="00CD215D">
        <w:rPr>
          <w:rFonts w:ascii="Times New Roman" w:hAnsi="Times New Roman"/>
          <w:b/>
        </w:rPr>
        <w:t xml:space="preserve">should take into account costs associated with generating, </w:t>
      </w:r>
    </w:p>
    <w:p w:rsidR="00584F8D" w:rsidP="00584F8D" w14:paraId="5EE17FDE" w14:textId="77777777">
      <w:pPr>
        <w:widowControl/>
        <w:tabs>
          <w:tab w:val="left" w:pos="-360"/>
          <w:tab w:val="left" w:pos="0"/>
          <w:tab w:val="left" w:pos="360"/>
          <w:tab w:val="left" w:pos="90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r>
        <w:rPr>
          <w:rFonts w:ascii="Times New Roman" w:hAnsi="Times New Roman"/>
          <w:b/>
        </w:rPr>
        <w:tab/>
      </w:r>
      <w:r>
        <w:rPr>
          <w:rFonts w:ascii="Times New Roman" w:hAnsi="Times New Roman"/>
          <w:b/>
        </w:rPr>
        <w:tab/>
      </w:r>
      <w:r w:rsidRPr="006F6E13" w:rsidR="00CD215D">
        <w:rPr>
          <w:rFonts w:ascii="Times New Roman" w:hAnsi="Times New Roman"/>
          <w:b/>
        </w:rPr>
        <w:t xml:space="preserve">maintaining, and disclosing or providing the information.  Include descriptions of </w:t>
      </w:r>
    </w:p>
    <w:p w:rsidR="00CD215D" w:rsidRPr="006F6E13" w:rsidP="00584F8D" w14:paraId="0BF353B3" w14:textId="77777777">
      <w:pPr>
        <w:widowControl/>
        <w:tabs>
          <w:tab w:val="left" w:pos="-360"/>
          <w:tab w:val="left" w:pos="0"/>
          <w:tab w:val="left" w:pos="360"/>
          <w:tab w:val="left" w:pos="90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ind w:left="900"/>
        <w:rPr>
          <w:rFonts w:ascii="Times New Roman" w:hAnsi="Times New Roman"/>
          <w:b/>
        </w:rPr>
      </w:pPr>
      <w:r w:rsidRPr="006F6E13">
        <w:rPr>
          <w:rFonts w:ascii="Times New Roman" w:hAnsi="Times New Roman"/>
          <w:b/>
        </w:rPr>
        <w:t>methods used to estimate major cost factors including system and technology acquisition, expected useful life of capital equipment, th</w:t>
      </w:r>
      <w:r w:rsidRPr="006F6E13">
        <w:rPr>
          <w:rFonts w:ascii="Times New Roman" w:hAnsi="Times New Roman"/>
          <w:b/>
        </w:rPr>
        <w:t xml:space="preserve">e discount rate(s), and the time period over which costs will be incurred.  Capital and start-up costs include, </w:t>
      </w:r>
      <w:r w:rsidRPr="006F6E13">
        <w:rPr>
          <w:rFonts w:ascii="Times New Roman" w:hAnsi="Times New Roman"/>
          <w:b/>
        </w:rPr>
        <w:t>among other items, preparations for collecting information such as purchasing computers and software; monitoring, sampling, drilling and testing</w:t>
      </w:r>
      <w:r w:rsidRPr="006F6E13">
        <w:rPr>
          <w:rFonts w:ascii="Times New Roman" w:hAnsi="Times New Roman"/>
          <w:b/>
        </w:rPr>
        <w:t xml:space="preserve"> equipment; and record storage facilities.</w:t>
      </w:r>
    </w:p>
    <w:p w:rsidR="00CD215D" w:rsidRPr="00D53DEB" w:rsidP="00584F8D" w14:paraId="10DEAAA9" w14:textId="77777777">
      <w:pPr>
        <w:widowControl/>
        <w:tabs>
          <w:tab w:val="left" w:pos="-360"/>
          <w:tab w:val="left" w:pos="0"/>
          <w:tab w:val="left" w:pos="360"/>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s>
        <w:ind w:left="540"/>
        <w:rPr>
          <w:rFonts w:ascii="Times New Roman" w:hAnsi="Times New Roman"/>
          <w:b/>
        </w:rPr>
      </w:pPr>
    </w:p>
    <w:p w:rsidR="00CD215D" w:rsidRPr="00D53DEB" w:rsidP="00AB4DC3" w14:paraId="4945C473" w14:textId="77777777">
      <w:pPr>
        <w:widowControl/>
        <w:numPr>
          <w:ilvl w:val="0"/>
          <w:numId w:val="3"/>
        </w:num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r w:rsidRPr="00D53DEB">
        <w:rPr>
          <w:rFonts w:ascii="Times New Roman" w:hAnsi="Times New Roman"/>
          <w:b/>
        </w:rPr>
        <w:t>If cost estimates are expected to vary widely, agencies should present ranges of cost burdens and explain the reasons for the variance.  The cost of purchasing or contracting out information collection services should be a part of this cost burden estimate</w:t>
      </w:r>
      <w:r w:rsidRPr="00D53DEB">
        <w:rPr>
          <w:rFonts w:ascii="Times New Roman" w:hAnsi="Times New Roman"/>
          <w:b/>
        </w:rPr>
        <w:t>.  In developing cost burden estimates, agencies may consult with a sample of respondents (fewer than 10), utilize the 60-day pre-OMB submission public comment process and use existing economic or regulatory impact analysis associated with the rulemaking c</w:t>
      </w:r>
      <w:r w:rsidRPr="00D53DEB">
        <w:rPr>
          <w:rFonts w:ascii="Times New Roman" w:hAnsi="Times New Roman"/>
          <w:b/>
        </w:rPr>
        <w:t>ontaining the information collection, as appropriate.</w:t>
      </w:r>
    </w:p>
    <w:p w:rsidR="00CD215D" w:rsidRPr="00D53DEB" w:rsidP="00CD215D" w14:paraId="148E4C51"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CD215D" w:rsidRPr="00D53DEB" w:rsidP="00CD215D" w14:paraId="32127F6A" w14:textId="77777777">
      <w:pPr>
        <w:widowControl/>
        <w:numPr>
          <w:ilvl w:val="0"/>
          <w:numId w:val="3"/>
        </w:num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r w:rsidRPr="00D53DEB">
        <w:rPr>
          <w:rFonts w:ascii="Times New Roman" w:hAnsi="Times New Roman"/>
          <w:b/>
        </w:rPr>
        <w:t xml:space="preserve">Generally, estimates should not include purchases of equipment or services, or portions thereof, made: (1) prior to October 1, 1995, (2) to achieve regulatory compliance with requirements not </w:t>
      </w:r>
      <w:r w:rsidRPr="00D53DEB">
        <w:rPr>
          <w:rFonts w:ascii="Times New Roman" w:hAnsi="Times New Roman"/>
          <w:b/>
        </w:rPr>
        <w:t>associated with the information collection, (3) for reasons other than to provide information or keep records for the government, or (4) as part of customary and usual business or private practices.</w:t>
      </w:r>
    </w:p>
    <w:p w:rsidR="00690F56" w:rsidP="00690F56" w14:paraId="726D62FC" w14:textId="0DAE8866">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7570DE" w:rsidRPr="007570DE" w:rsidP="007570DE" w14:paraId="4EA4FD88"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bookmarkStart w:id="1" w:name="_Hlk130464039"/>
      <w:r w:rsidRPr="007570DE">
        <w:rPr>
          <w:rFonts w:ascii="Times New Roman" w:hAnsi="Times New Roman"/>
        </w:rPr>
        <w:t>The initial cost associated with this IC is $15.00 for a</w:t>
      </w:r>
      <w:r w:rsidRPr="007570DE">
        <w:rPr>
          <w:rFonts w:ascii="Times New Roman" w:hAnsi="Times New Roman"/>
        </w:rPr>
        <w:t xml:space="preserve"> photograph and $50.00 for fingerprinting, which is equal to $65.00 per first time respondent. Therefore, the cost for this collection is $771,875.00 ($65.00 x 11,875 for first time respondents). </w:t>
      </w:r>
    </w:p>
    <w:p w:rsidR="007570DE" w:rsidRPr="007570DE" w:rsidP="007570DE" w14:paraId="2A9F3854"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7570DE" w:rsidRPr="007570DE" w:rsidP="007570DE" w14:paraId="3940B3E6"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7570DE">
        <w:rPr>
          <w:rFonts w:ascii="Times New Roman" w:hAnsi="Times New Roman"/>
        </w:rPr>
        <w:t>However, photographs and fingerprint cards are not require</w:t>
      </w:r>
      <w:r w:rsidRPr="007570DE">
        <w:rPr>
          <w:rFonts w:ascii="Times New Roman" w:hAnsi="Times New Roman"/>
        </w:rPr>
        <w:t>d with subsequent submissions. Therefore, subsequent submissions of this IC would have no public costs since all applications can be submitted electronically by fax or email to ATF for processing.</w:t>
      </w:r>
      <w:bookmarkEnd w:id="1"/>
    </w:p>
    <w:p w:rsidR="005D664F" w:rsidRPr="00F4518C" w:rsidP="00690F56" w14:paraId="72A0B30F"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690F56" w14:paraId="697B43F9"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D53DEB">
        <w:rPr>
          <w:rFonts w:ascii="Times New Roman" w:hAnsi="Times New Roman"/>
          <w:b/>
          <w:bCs/>
        </w:rPr>
        <w:t>14.  Provide estimates of the annualized cost to the Feder</w:t>
      </w:r>
      <w:r w:rsidRPr="00D53DEB">
        <w:rPr>
          <w:rFonts w:ascii="Times New Roman" w:hAnsi="Times New Roman"/>
          <w:b/>
          <w:bCs/>
        </w:rPr>
        <w:t>al Government.  Also, provide a description of the method used to estimate cost, which should include quantification of hours, operational expenses (such as equipment, overhead, printing, and support staff), any other expense that would not have been incur</w:t>
      </w:r>
      <w:r w:rsidRPr="00D53DEB">
        <w:rPr>
          <w:rFonts w:ascii="Times New Roman" w:hAnsi="Times New Roman"/>
          <w:b/>
          <w:bCs/>
        </w:rPr>
        <w:t>red</w:t>
      </w:r>
      <w:r w:rsidRPr="00D53DEB">
        <w:rPr>
          <w:rFonts w:ascii="Times New Roman" w:hAnsi="Times New Roman"/>
        </w:rPr>
        <w:t xml:space="preserve"> </w:t>
      </w:r>
      <w:r w:rsidRPr="00D53DEB">
        <w:rPr>
          <w:rFonts w:ascii="Times New Roman" w:hAnsi="Times New Roman"/>
          <w:b/>
          <w:bCs/>
        </w:rPr>
        <w:t>without this collection of information.  Agencies also may aggregate cost estimates from Items 12, 13, and 14 into a single table.</w:t>
      </w:r>
    </w:p>
    <w:p w:rsidR="00BB2AA1" w:rsidP="001376D3" w14:paraId="2708E903" w14:textId="2A8C5118">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Pr>
          <w:rFonts w:ascii="Times New Roman" w:hAnsi="Times New Roman"/>
        </w:rPr>
        <w:t xml:space="preserve"> </w:t>
      </w:r>
    </w:p>
    <w:p w:rsidR="007570DE" w:rsidRPr="007570DE" w:rsidP="007570DE" w14:paraId="1566A139"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7570DE">
        <w:rPr>
          <w:rFonts w:ascii="Times New Roman" w:hAnsi="Times New Roman"/>
        </w:rPr>
        <w:t>The annual cost to the Federal government is $120,000.</w:t>
      </w:r>
    </w:p>
    <w:p w:rsidR="005D664F" w:rsidRPr="00871CA6" w:rsidP="00690F56" w14:paraId="4F4BC800"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A47DA7" w:rsidP="00690F56" w14:paraId="0BCEB47E"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ind w:left="360" w:hanging="360"/>
        <w:rPr>
          <w:rFonts w:ascii="Times New Roman" w:hAnsi="Times New Roman"/>
          <w:b/>
          <w:bCs/>
        </w:rPr>
      </w:pPr>
      <w:r w:rsidRPr="00D53DEB">
        <w:rPr>
          <w:rFonts w:ascii="Times New Roman" w:hAnsi="Times New Roman"/>
          <w:b/>
          <w:bCs/>
        </w:rPr>
        <w:t>15.</w:t>
      </w:r>
      <w:r w:rsidRPr="00D53DEB">
        <w:rPr>
          <w:rFonts w:ascii="Times New Roman" w:hAnsi="Times New Roman"/>
          <w:b/>
          <w:bCs/>
        </w:rPr>
        <w:tab/>
        <w:t>Explain the reasons for any</w:t>
      </w:r>
      <w:r w:rsidRPr="00D53DEB" w:rsidR="00882AB5">
        <w:rPr>
          <w:rFonts w:ascii="Times New Roman" w:hAnsi="Times New Roman"/>
          <w:b/>
          <w:bCs/>
        </w:rPr>
        <w:t xml:space="preserve"> program changes or adjustments</w:t>
      </w:r>
      <w:r w:rsidRPr="00A47DA7" w:rsidR="00882AB5">
        <w:rPr>
          <w:rFonts w:ascii="Times New Roman" w:hAnsi="Times New Roman"/>
          <w:b/>
          <w:bCs/>
        </w:rPr>
        <w:t>.</w:t>
      </w:r>
    </w:p>
    <w:p w:rsidR="00690F56" w:rsidP="00690F56" w14:paraId="5321AF4F" w14:textId="256520FA">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A06EED" w:rsidP="00690F56" w14:paraId="728E702C" w14:textId="69392502">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7570DE">
        <w:rPr>
          <w:rFonts w:ascii="Times New Roman" w:hAnsi="Times New Roman"/>
        </w:rPr>
        <w:t>ATF currently processes approximately 95,000 explosives background checks per year, 1/8</w:t>
      </w:r>
      <w:r w:rsidRPr="007570DE">
        <w:rPr>
          <w:rFonts w:ascii="Times New Roman" w:hAnsi="Times New Roman"/>
          <w:vertAlign w:val="superscript"/>
        </w:rPr>
        <w:t xml:space="preserve">ths </w:t>
      </w:r>
      <w:r w:rsidRPr="007570DE">
        <w:rPr>
          <w:rFonts w:ascii="Times New Roman" w:hAnsi="Times New Roman"/>
        </w:rPr>
        <w:t>of those are for responsible persons. Thus, the current number of respondents is estimated to be 11,875 (1/8 x 95,000 = 11,875). Th</w:t>
      </w:r>
      <w:r w:rsidRPr="007570DE">
        <w:rPr>
          <w:rFonts w:ascii="Times New Roman" w:hAnsi="Times New Roman"/>
        </w:rPr>
        <w:t>e estimated time per respondent to complete the form was updated to 20 minutes as the form is similar in length and format of other ATF background check forms that have that same estimated time. The annual burden hours were updated based on the estimated r</w:t>
      </w:r>
      <w:r w:rsidRPr="007570DE">
        <w:rPr>
          <w:rFonts w:ascii="Times New Roman" w:hAnsi="Times New Roman"/>
        </w:rPr>
        <w:t>espondents and estimated completion time.</w:t>
      </w:r>
    </w:p>
    <w:p w:rsidR="007570DE" w:rsidRPr="00F4518C" w:rsidP="00690F56" w14:paraId="2B79C0EA"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690F56" w14:paraId="4E4F3DC5"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D53DEB">
        <w:rPr>
          <w:rFonts w:ascii="Times New Roman" w:hAnsi="Times New Roman"/>
          <w:b/>
          <w:bCs/>
        </w:rPr>
        <w:t>1</w:t>
      </w:r>
      <w:r w:rsidRPr="00D53DEB" w:rsidR="00882AB5">
        <w:rPr>
          <w:rFonts w:ascii="Times New Roman" w:hAnsi="Times New Roman"/>
          <w:b/>
          <w:bCs/>
        </w:rPr>
        <w:t xml:space="preserve">6. </w:t>
      </w:r>
      <w:r w:rsidRPr="00D53DEB">
        <w:rPr>
          <w:rFonts w:ascii="Times New Roman" w:hAnsi="Times New Roman"/>
          <w:b/>
          <w:bCs/>
        </w:rPr>
        <w:t xml:space="preserve">For collections of information whose results will be published, outline plans for tabulations, and publication.  Address any complex analytical techniques that will be used.  </w:t>
      </w:r>
      <w:r w:rsidRPr="00D53DEB">
        <w:rPr>
          <w:rFonts w:ascii="Times New Roman" w:hAnsi="Times New Roman"/>
          <w:b/>
          <w:bCs/>
        </w:rPr>
        <w:t xml:space="preserve">Provide the time schedule for </w:t>
      </w:r>
      <w:r w:rsidRPr="00D53DEB">
        <w:rPr>
          <w:rFonts w:ascii="Times New Roman" w:hAnsi="Times New Roman"/>
          <w:b/>
          <w:bCs/>
        </w:rPr>
        <w:t>the entire project, including beginning and ending dates of the collection of information, completion of report, publication dates, and other actions</w:t>
      </w:r>
      <w:r w:rsidRPr="00D53DEB">
        <w:rPr>
          <w:rFonts w:ascii="Times New Roman" w:hAnsi="Times New Roman"/>
        </w:rPr>
        <w:t>.</w:t>
      </w:r>
    </w:p>
    <w:p w:rsidR="00690F56" w:rsidP="00690F56" w14:paraId="510180C3" w14:textId="25D40EF8">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A06EED" w:rsidRPr="00A06EED" w:rsidP="00A06EED" w14:paraId="5B7AB792"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A06EED">
        <w:rPr>
          <w:rFonts w:ascii="Times New Roman" w:hAnsi="Times New Roman"/>
        </w:rPr>
        <w:t xml:space="preserve">The results of this collection will not be published. </w:t>
      </w:r>
    </w:p>
    <w:p w:rsidR="00690F56" w:rsidRPr="00871CA6" w:rsidP="00690F56" w14:paraId="41B59CA5"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690F56" w14:paraId="6F473DAE"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17.  If seeking approval to not display the expiration date for OMB approval of the information collection, explain the reasons that display would be inappropriate.</w:t>
      </w:r>
    </w:p>
    <w:p w:rsidR="00690F56" w:rsidRPr="00A47DA7" w:rsidP="00690F56" w14:paraId="1B1630F4"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0C3A92" w:rsidP="0014601E" w14:paraId="3D60B41E" w14:textId="3D0CF60B">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A06EED">
        <w:rPr>
          <w:rFonts w:ascii="Times New Roman" w:hAnsi="Times New Roman"/>
        </w:rPr>
        <w:t>ATF requests authorization to avoid displaying the expiration date on the form for this IC</w:t>
      </w:r>
      <w:r w:rsidRPr="00A06EED">
        <w:rPr>
          <w:rFonts w:ascii="Times New Roman" w:hAnsi="Times New Roman"/>
        </w:rPr>
        <w:t xml:space="preserve"> for several reasons. Printing the expiration date on the form will increase Government costs to replace form inventories that become obsolete when a new expiration date for this IC. Use of the current version of the form for this IC can continue unchanged</w:t>
      </w:r>
      <w:r w:rsidRPr="00A06EED">
        <w:rPr>
          <w:rFonts w:ascii="Times New Roman" w:hAnsi="Times New Roman"/>
        </w:rPr>
        <w:t xml:space="preserve"> through several Office of Management and Budget renewal cycles. Additionally, it would be costly to maintain a substantial inventory of forms to meet the demand of the explosives industry if the expiration date is printed on the form.</w:t>
      </w:r>
      <w:r w:rsidR="001C39F6">
        <w:rPr>
          <w:rFonts w:ascii="Times New Roman" w:hAnsi="Times New Roman"/>
        </w:rPr>
        <w:t xml:space="preserve"> </w:t>
      </w:r>
    </w:p>
    <w:p w:rsidR="009B6955" w:rsidRPr="00A973AA" w:rsidP="0014601E" w14:paraId="12701956"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0C3A92" w:rsidRPr="00D53DEB" w:rsidP="00690F56" w14:paraId="41EAB492"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r w:rsidRPr="00D53DEB">
        <w:rPr>
          <w:rFonts w:ascii="Times New Roman" w:hAnsi="Times New Roman"/>
          <w:b/>
        </w:rPr>
        <w:t xml:space="preserve">18.  Explain each </w:t>
      </w:r>
      <w:r w:rsidRPr="00D53DEB">
        <w:rPr>
          <w:rFonts w:ascii="Times New Roman" w:hAnsi="Times New Roman"/>
          <w:b/>
        </w:rPr>
        <w:t>exception to the certification statement.</w:t>
      </w:r>
    </w:p>
    <w:p w:rsidR="000C3A92" w:rsidP="000C3A92" w14:paraId="641E1E6D" w14:textId="35F6F324">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P="00690F56" w14:paraId="7282302F" w14:textId="65AE226D">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A06EED">
        <w:rPr>
          <w:rFonts w:ascii="Times New Roman" w:hAnsi="Times New Roman"/>
        </w:rPr>
        <w:t>There are no exceptions to the certification statement.</w:t>
      </w:r>
    </w:p>
    <w:p w:rsidR="00A06EED" w:rsidRPr="00871CA6" w:rsidP="00690F56" w14:paraId="7C338FB7"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7A7F79" w:rsidRPr="00A973AA" w:rsidP="007A7F79" w14:paraId="077F6D32" w14:textId="77777777">
      <w:pPr>
        <w:widowControl/>
        <w:autoSpaceDE/>
        <w:autoSpaceDN/>
        <w:adjustRightInd/>
        <w:spacing w:after="200" w:line="276" w:lineRule="auto"/>
        <w:rPr>
          <w:rFonts w:ascii="Times New Roman" w:hAnsi="Times New Roman"/>
        </w:rPr>
      </w:pPr>
      <w:r w:rsidRPr="00A973AA">
        <w:rPr>
          <w:rFonts w:ascii="Times New Roman" w:hAnsi="Times New Roman"/>
          <w:b/>
          <w:bCs/>
        </w:rPr>
        <w:t>B. COLLECTIONS OF INFORMATON EMPLOYING STATISTICAL METHODS.</w:t>
      </w:r>
    </w:p>
    <w:p w:rsidR="00A06EED" w:rsidRPr="00A06EED" w:rsidP="00A06EED" w14:paraId="3BCF4866" w14:textId="77777777">
      <w:pPr>
        <w:rPr>
          <w:rFonts w:ascii="Times New Roman" w:hAnsi="Times New Roman"/>
        </w:rPr>
      </w:pPr>
      <w:r w:rsidRPr="00A06EED">
        <w:rPr>
          <w:rFonts w:ascii="Times New Roman" w:hAnsi="Times New Roman"/>
        </w:rPr>
        <w:t>This collection of information employs no statistical methods.</w:t>
      </w:r>
    </w:p>
    <w:p w:rsidR="00332F98" w:rsidRPr="00D53DEB" w:rsidP="00A06EED" w14:paraId="3E8CBCDA" w14:textId="5994C826">
      <w:pPr>
        <w:rPr>
          <w:rFonts w:ascii="Times New Roman" w:hAnsi="Times New Roman"/>
        </w:rPr>
      </w:pPr>
    </w:p>
    <w:sectPr w:rsidSect="00C07F7F">
      <w:headerReference w:type="default" r:id="rId5"/>
      <w:footerReference w:type="even" r:id="rId6"/>
      <w:footerReference w:type="default" r:id="rId7"/>
      <w:headerReference w:type="first" r:id="rId8"/>
      <w:pgSz w:w="12240" w:h="15840" w:code="1"/>
      <w:pgMar w:top="1440" w:right="1440" w:bottom="1440" w:left="1440" w:header="720" w:footer="1008" w:gutter="0"/>
      <w:pgNumType w:start="1"/>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12cpi">
    <w:altName w:val="Courier New"/>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C3A92" w:rsidP="00A21F98" w14:paraId="1CA46638" w14:textId="77777777">
    <w:pPr>
      <w:pStyle w:val="Footer"/>
      <w:framePr w:wrap="around" w:vAnchor="text" w:hAnchor="margin" w:xAlign="center" w:y="1"/>
      <w:jc w:val="right"/>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C3A92" w:rsidP="00A21F98" w14:paraId="69F235C7"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C3A92" w:rsidRPr="00B26E3E" w:rsidP="00A21F98" w14:paraId="5D246377" w14:textId="1067FB91">
    <w:pPr>
      <w:pStyle w:val="Footer"/>
      <w:framePr w:wrap="around" w:vAnchor="text" w:hAnchor="margin" w:xAlign="center" w:y="1"/>
      <w:jc w:val="right"/>
      <w:rPr>
        <w:rStyle w:val="PageNumber"/>
        <w:rFonts w:ascii="Times New Roman" w:hAnsi="Times New Roman"/>
      </w:rPr>
    </w:pPr>
    <w:r w:rsidRPr="00B26E3E">
      <w:rPr>
        <w:rStyle w:val="PageNumber"/>
        <w:rFonts w:ascii="Times New Roman" w:hAnsi="Times New Roman"/>
      </w:rPr>
      <w:fldChar w:fldCharType="begin"/>
    </w:r>
    <w:r w:rsidRPr="00B26E3E">
      <w:rPr>
        <w:rStyle w:val="PageNumber"/>
        <w:rFonts w:ascii="Times New Roman" w:hAnsi="Times New Roman"/>
      </w:rPr>
      <w:instrText xml:space="preserve">PAGE  </w:instrText>
    </w:r>
    <w:r w:rsidRPr="00B26E3E">
      <w:rPr>
        <w:rStyle w:val="PageNumber"/>
        <w:rFonts w:ascii="Times New Roman" w:hAnsi="Times New Roman"/>
      </w:rPr>
      <w:fldChar w:fldCharType="separate"/>
    </w:r>
    <w:r w:rsidR="00094A5E">
      <w:rPr>
        <w:rStyle w:val="PageNumber"/>
        <w:rFonts w:ascii="Times New Roman" w:hAnsi="Times New Roman"/>
        <w:noProof/>
      </w:rPr>
      <w:t>1</w:t>
    </w:r>
    <w:r w:rsidRPr="00B26E3E">
      <w:rPr>
        <w:rStyle w:val="PageNumber"/>
        <w:rFonts w:ascii="Times New Roman" w:hAnsi="Times New Roman"/>
      </w:rPr>
      <w:fldChar w:fldCharType="end"/>
    </w:r>
  </w:p>
  <w:p w:rsidR="000C3A92" w:rsidP="00A21F98" w14:paraId="5808C3E4" w14:textId="77777777">
    <w:pPr>
      <w:pStyle w:val="Footer"/>
      <w:ind w:right="36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86973" w:rsidRPr="006626FF" w:rsidP="00F8164B" w14:paraId="4C516217" w14:textId="456862C0">
    <w:pPr>
      <w:pStyle w:val="Header"/>
      <w:rPr>
        <w:rFonts w:ascii="Times New Roman" w:hAnsi="Times New Roman"/>
        <w:bCs/>
        <w:sz w:val="20"/>
        <w:szCs w:val="20"/>
      </w:rPr>
    </w:pPr>
    <w:r>
      <w:rPr>
        <w:rFonts w:ascii="Times New Roman" w:hAnsi="Times New Roman"/>
        <w:bCs/>
        <w:sz w:val="20"/>
        <w:szCs w:val="20"/>
      </w:rPr>
      <w:t>Explosives</w:t>
    </w:r>
    <w:r w:rsidR="00E466F6">
      <w:rPr>
        <w:rFonts w:ascii="Times New Roman" w:hAnsi="Times New Roman"/>
        <w:bCs/>
        <w:sz w:val="20"/>
        <w:szCs w:val="20"/>
      </w:rPr>
      <w:t xml:space="preserve"> Responsible Person</w:t>
    </w:r>
    <w:r>
      <w:rPr>
        <w:rFonts w:ascii="Times New Roman" w:hAnsi="Times New Roman"/>
        <w:bCs/>
        <w:sz w:val="20"/>
        <w:szCs w:val="20"/>
      </w:rPr>
      <w:t xml:space="preserve"> Questionnaire – ATF F 5400.</w:t>
    </w:r>
    <w:r w:rsidR="00E466F6">
      <w:rPr>
        <w:rFonts w:ascii="Times New Roman" w:hAnsi="Times New Roman"/>
        <w:bCs/>
        <w:sz w:val="20"/>
        <w:szCs w:val="20"/>
      </w:rPr>
      <w:t>13A/5400.16</w:t>
    </w:r>
  </w:p>
  <w:p w:rsidR="00EC0B43" w14:paraId="52F50703" w14:textId="54E5FF1F">
    <w:pPr>
      <w:pStyle w:val="Header"/>
      <w:rPr>
        <w:rFonts w:ascii="Times New Roman" w:hAnsi="Times New Roman"/>
        <w:sz w:val="20"/>
        <w:szCs w:val="20"/>
      </w:rPr>
    </w:pPr>
    <w:r>
      <w:rPr>
        <w:rFonts w:ascii="Times New Roman" w:hAnsi="Times New Roman"/>
        <w:sz w:val="20"/>
        <w:szCs w:val="20"/>
      </w:rPr>
      <w:t xml:space="preserve">OMB Control </w:t>
    </w:r>
    <w:r w:rsidR="006E1A08">
      <w:rPr>
        <w:rFonts w:ascii="Times New Roman" w:hAnsi="Times New Roman"/>
        <w:sz w:val="20"/>
        <w:szCs w:val="20"/>
      </w:rPr>
      <w:t>Number</w:t>
    </w:r>
    <w:r w:rsidR="006626FF">
      <w:rPr>
        <w:rFonts w:ascii="Times New Roman" w:hAnsi="Times New Roman"/>
        <w:sz w:val="20"/>
        <w:szCs w:val="20"/>
      </w:rPr>
      <w:t xml:space="preserve"> </w:t>
    </w:r>
    <w:r w:rsidR="004A2208">
      <w:rPr>
        <w:rFonts w:ascii="Times New Roman" w:hAnsi="Times New Roman"/>
        <w:sz w:val="20"/>
        <w:szCs w:val="20"/>
      </w:rPr>
      <w:t>1140-007</w:t>
    </w:r>
    <w:r w:rsidR="00E466F6">
      <w:rPr>
        <w:rFonts w:ascii="Times New Roman" w:hAnsi="Times New Roman"/>
        <w:sz w:val="20"/>
        <w:szCs w:val="20"/>
      </w:rPr>
      <w:t>4</w:t>
    </w:r>
  </w:p>
  <w:p w:rsidR="00304132" w14:paraId="29EBD65C" w14:textId="02C10ED4">
    <w:pPr>
      <w:pStyle w:val="Header"/>
      <w:rPr>
        <w:rFonts w:ascii="Times New Roman" w:hAnsi="Times New Roman"/>
        <w:sz w:val="20"/>
        <w:szCs w:val="20"/>
      </w:rPr>
    </w:pPr>
    <w:r>
      <w:rPr>
        <w:rFonts w:ascii="Times New Roman" w:hAnsi="Times New Roman"/>
        <w:sz w:val="20"/>
        <w:szCs w:val="20"/>
      </w:rPr>
      <w:t xml:space="preserve">OMB Expiration Date: </w:t>
    </w:r>
    <w:r w:rsidR="00996A5D">
      <w:rPr>
        <w:rFonts w:ascii="Times New Roman" w:hAnsi="Times New Roman"/>
        <w:sz w:val="20"/>
        <w:szCs w:val="20"/>
      </w:rPr>
      <w:t>XX/XX/XXXX</w:t>
    </w:r>
  </w:p>
  <w:p w:rsidR="006E1A08" w14:paraId="578B4815" w14:textId="77777777">
    <w:pPr>
      <w:pStyle w:val="Header"/>
      <w:rPr>
        <w:rFonts w:ascii="Times New Roman" w:hAnsi="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C13C6" w14:paraId="0A20DB7F" w14:textId="77777777">
    <w:pPr>
      <w:pStyle w:val="Header"/>
    </w:pPr>
    <w:r>
      <w:t>[Type text]</w:t>
    </w:r>
  </w:p>
  <w:p w:rsidR="001D67BB" w14:paraId="29913AA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28DA8BC6"/>
    <w:lvl w:ilvl="0">
      <w:start w:val="0"/>
      <w:numFmt w:val="bullet"/>
      <w:lvlText w:val="*"/>
      <w:lvlJc w:val="left"/>
    </w:lvl>
  </w:abstractNum>
  <w:abstractNum w:abstractNumId="1">
    <w:nsid w:val="009D3F26"/>
    <w:multiLevelType w:val="hybridMultilevel"/>
    <w:tmpl w:val="94F4C2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0A06B8E"/>
    <w:multiLevelType w:val="hybridMultilevel"/>
    <w:tmpl w:val="E36C2216"/>
    <w:lvl w:ilvl="0">
      <w:start w:val="18"/>
      <w:numFmt w:val="decimal"/>
      <w:lvlText w:val="%1."/>
      <w:lvlJc w:val="left"/>
      <w:pPr>
        <w:tabs>
          <w:tab w:val="num" w:pos="780"/>
        </w:tabs>
        <w:ind w:left="780" w:hanging="4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16F97328"/>
    <w:multiLevelType w:val="hybridMultilevel"/>
    <w:tmpl w:val="38EAF262"/>
    <w:lvl w:ilvl="0">
      <w:start w:val="1"/>
      <w:numFmt w:val="bullet"/>
      <w:lvlText w:val=""/>
      <w:lvlJc w:val="left"/>
      <w:pPr>
        <w:tabs>
          <w:tab w:val="num" w:pos="900"/>
        </w:tabs>
        <w:ind w:left="900" w:hanging="360"/>
      </w:pPr>
      <w:rPr>
        <w:rFonts w:ascii="Symbol" w:hAnsi="Symbol" w:hint="default"/>
        <w:color w:val="auto"/>
        <w:sz w:val="20"/>
      </w:rPr>
    </w:lvl>
    <w:lvl w:ilvl="1" w:tentative="1">
      <w:start w:val="1"/>
      <w:numFmt w:val="bullet"/>
      <w:lvlText w:val="o"/>
      <w:lvlJc w:val="left"/>
      <w:pPr>
        <w:tabs>
          <w:tab w:val="num" w:pos="1620"/>
        </w:tabs>
        <w:ind w:left="1620" w:hanging="360"/>
      </w:pPr>
      <w:rPr>
        <w:rFonts w:ascii="Courier New" w:hAnsi="Courier New" w:cs="Courier New" w:hint="default"/>
      </w:rPr>
    </w:lvl>
    <w:lvl w:ilvl="2" w:tentative="1">
      <w:start w:val="1"/>
      <w:numFmt w:val="bullet"/>
      <w:lvlText w:val=""/>
      <w:lvlJc w:val="left"/>
      <w:pPr>
        <w:tabs>
          <w:tab w:val="num" w:pos="2340"/>
        </w:tabs>
        <w:ind w:left="2340" w:hanging="360"/>
      </w:pPr>
      <w:rPr>
        <w:rFonts w:ascii="Wingdings" w:hAnsi="Wingdings" w:hint="default"/>
      </w:rPr>
    </w:lvl>
    <w:lvl w:ilvl="3" w:tentative="1">
      <w:start w:val="1"/>
      <w:numFmt w:val="bullet"/>
      <w:lvlText w:val=""/>
      <w:lvlJc w:val="left"/>
      <w:pPr>
        <w:tabs>
          <w:tab w:val="num" w:pos="3060"/>
        </w:tabs>
        <w:ind w:left="3060" w:hanging="360"/>
      </w:pPr>
      <w:rPr>
        <w:rFonts w:ascii="Symbol" w:hAnsi="Symbol" w:hint="default"/>
      </w:rPr>
    </w:lvl>
    <w:lvl w:ilvl="4" w:tentative="1">
      <w:start w:val="1"/>
      <w:numFmt w:val="bullet"/>
      <w:lvlText w:val="o"/>
      <w:lvlJc w:val="left"/>
      <w:pPr>
        <w:tabs>
          <w:tab w:val="num" w:pos="3780"/>
        </w:tabs>
        <w:ind w:left="3780" w:hanging="360"/>
      </w:pPr>
      <w:rPr>
        <w:rFonts w:ascii="Courier New" w:hAnsi="Courier New" w:cs="Courier New" w:hint="default"/>
      </w:rPr>
    </w:lvl>
    <w:lvl w:ilvl="5" w:tentative="1">
      <w:start w:val="1"/>
      <w:numFmt w:val="bullet"/>
      <w:lvlText w:val=""/>
      <w:lvlJc w:val="left"/>
      <w:pPr>
        <w:tabs>
          <w:tab w:val="num" w:pos="4500"/>
        </w:tabs>
        <w:ind w:left="4500" w:hanging="360"/>
      </w:pPr>
      <w:rPr>
        <w:rFonts w:ascii="Wingdings" w:hAnsi="Wingdings" w:hint="default"/>
      </w:rPr>
    </w:lvl>
    <w:lvl w:ilvl="6" w:tentative="1">
      <w:start w:val="1"/>
      <w:numFmt w:val="bullet"/>
      <w:lvlText w:val=""/>
      <w:lvlJc w:val="left"/>
      <w:pPr>
        <w:tabs>
          <w:tab w:val="num" w:pos="5220"/>
        </w:tabs>
        <w:ind w:left="5220" w:hanging="360"/>
      </w:pPr>
      <w:rPr>
        <w:rFonts w:ascii="Symbol" w:hAnsi="Symbol" w:hint="default"/>
      </w:rPr>
    </w:lvl>
    <w:lvl w:ilvl="7" w:tentative="1">
      <w:start w:val="1"/>
      <w:numFmt w:val="bullet"/>
      <w:lvlText w:val="o"/>
      <w:lvlJc w:val="left"/>
      <w:pPr>
        <w:tabs>
          <w:tab w:val="num" w:pos="5940"/>
        </w:tabs>
        <w:ind w:left="5940" w:hanging="360"/>
      </w:pPr>
      <w:rPr>
        <w:rFonts w:ascii="Courier New" w:hAnsi="Courier New" w:cs="Courier New" w:hint="default"/>
      </w:rPr>
    </w:lvl>
    <w:lvl w:ilvl="8" w:tentative="1">
      <w:start w:val="1"/>
      <w:numFmt w:val="bullet"/>
      <w:lvlText w:val=""/>
      <w:lvlJc w:val="left"/>
      <w:pPr>
        <w:tabs>
          <w:tab w:val="num" w:pos="6660"/>
        </w:tabs>
        <w:ind w:left="6660" w:hanging="360"/>
      </w:pPr>
      <w:rPr>
        <w:rFonts w:ascii="Wingdings" w:hAnsi="Wingdings" w:hint="default"/>
      </w:rPr>
    </w:lvl>
  </w:abstractNum>
  <w:abstractNum w:abstractNumId="4">
    <w:nsid w:val="17042950"/>
    <w:multiLevelType w:val="hybridMultilevel"/>
    <w:tmpl w:val="1C507682"/>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2F3D042E"/>
    <w:multiLevelType w:val="hybridMultilevel"/>
    <w:tmpl w:val="05CA8F9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333115A5"/>
    <w:multiLevelType w:val="hybridMultilevel"/>
    <w:tmpl w:val="430CA228"/>
    <w:lvl w:ilvl="0">
      <w:start w:val="1"/>
      <w:numFmt w:val="bullet"/>
      <w:lvlText w:val=""/>
      <w:lvlJc w:val="left"/>
      <w:pPr>
        <w:ind w:left="900" w:hanging="360"/>
      </w:pPr>
      <w:rPr>
        <w:rFonts w:ascii="Symbol" w:hAnsi="Symbol" w:hint="default"/>
      </w:rPr>
    </w:lvl>
    <w:lvl w:ilvl="1" w:tentative="1">
      <w:start w:val="1"/>
      <w:numFmt w:val="bullet"/>
      <w:lvlText w:val="o"/>
      <w:lvlJc w:val="left"/>
      <w:pPr>
        <w:ind w:left="1620" w:hanging="360"/>
      </w:pPr>
      <w:rPr>
        <w:rFonts w:ascii="Courier New" w:hAnsi="Courier New" w:cs="Courier New" w:hint="default"/>
      </w:rPr>
    </w:lvl>
    <w:lvl w:ilvl="2" w:tentative="1">
      <w:start w:val="1"/>
      <w:numFmt w:val="bullet"/>
      <w:lvlText w:val=""/>
      <w:lvlJc w:val="left"/>
      <w:pPr>
        <w:ind w:left="2340" w:hanging="360"/>
      </w:pPr>
      <w:rPr>
        <w:rFonts w:ascii="Wingdings" w:hAnsi="Wingdings" w:hint="default"/>
      </w:rPr>
    </w:lvl>
    <w:lvl w:ilvl="3" w:tentative="1">
      <w:start w:val="1"/>
      <w:numFmt w:val="bullet"/>
      <w:lvlText w:val=""/>
      <w:lvlJc w:val="left"/>
      <w:pPr>
        <w:ind w:left="3060" w:hanging="360"/>
      </w:pPr>
      <w:rPr>
        <w:rFonts w:ascii="Symbol" w:hAnsi="Symbol" w:hint="default"/>
      </w:rPr>
    </w:lvl>
    <w:lvl w:ilvl="4" w:tentative="1">
      <w:start w:val="1"/>
      <w:numFmt w:val="bullet"/>
      <w:lvlText w:val="o"/>
      <w:lvlJc w:val="left"/>
      <w:pPr>
        <w:ind w:left="3780" w:hanging="360"/>
      </w:pPr>
      <w:rPr>
        <w:rFonts w:ascii="Courier New" w:hAnsi="Courier New" w:cs="Courier New" w:hint="default"/>
      </w:rPr>
    </w:lvl>
    <w:lvl w:ilvl="5" w:tentative="1">
      <w:start w:val="1"/>
      <w:numFmt w:val="bullet"/>
      <w:lvlText w:val=""/>
      <w:lvlJc w:val="left"/>
      <w:pPr>
        <w:ind w:left="4500" w:hanging="360"/>
      </w:pPr>
      <w:rPr>
        <w:rFonts w:ascii="Wingdings" w:hAnsi="Wingdings" w:hint="default"/>
      </w:rPr>
    </w:lvl>
    <w:lvl w:ilvl="6" w:tentative="1">
      <w:start w:val="1"/>
      <w:numFmt w:val="bullet"/>
      <w:lvlText w:val=""/>
      <w:lvlJc w:val="left"/>
      <w:pPr>
        <w:ind w:left="5220" w:hanging="360"/>
      </w:pPr>
      <w:rPr>
        <w:rFonts w:ascii="Symbol" w:hAnsi="Symbol" w:hint="default"/>
      </w:rPr>
    </w:lvl>
    <w:lvl w:ilvl="7" w:tentative="1">
      <w:start w:val="1"/>
      <w:numFmt w:val="bullet"/>
      <w:lvlText w:val="o"/>
      <w:lvlJc w:val="left"/>
      <w:pPr>
        <w:ind w:left="5940" w:hanging="360"/>
      </w:pPr>
      <w:rPr>
        <w:rFonts w:ascii="Courier New" w:hAnsi="Courier New" w:cs="Courier New" w:hint="default"/>
      </w:rPr>
    </w:lvl>
    <w:lvl w:ilvl="8" w:tentative="1">
      <w:start w:val="1"/>
      <w:numFmt w:val="bullet"/>
      <w:lvlText w:val=""/>
      <w:lvlJc w:val="left"/>
      <w:pPr>
        <w:ind w:left="6660" w:hanging="360"/>
      </w:pPr>
      <w:rPr>
        <w:rFonts w:ascii="Wingdings" w:hAnsi="Wingdings" w:hint="default"/>
      </w:rPr>
    </w:lvl>
  </w:abstractNum>
  <w:abstractNum w:abstractNumId="7">
    <w:nsid w:val="350960CC"/>
    <w:multiLevelType w:val="hybridMultilevel"/>
    <w:tmpl w:val="DA801BB4"/>
    <w:lvl w:ilvl="0">
      <w:start w:val="1"/>
      <w:numFmt w:val="upperLetter"/>
      <w:lvlText w:val="%1."/>
      <w:lvlJc w:val="left"/>
      <w:pPr>
        <w:tabs>
          <w:tab w:val="num" w:pos="585"/>
        </w:tabs>
        <w:ind w:left="585" w:hanging="585"/>
      </w:pPr>
    </w:lvl>
    <w:lvl w:ilvl="1">
      <w:start w:val="1"/>
      <w:numFmt w:val="decimal"/>
      <w:lvlText w:val="%2."/>
      <w:lvlJc w:val="left"/>
      <w:pPr>
        <w:tabs>
          <w:tab w:val="num" w:pos="1305"/>
        </w:tabs>
        <w:ind w:left="1305" w:hanging="585"/>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8">
    <w:nsid w:val="38530C60"/>
    <w:multiLevelType w:val="hybridMultilevel"/>
    <w:tmpl w:val="C51C58F0"/>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52583172"/>
    <w:multiLevelType w:val="hybridMultilevel"/>
    <w:tmpl w:val="18EEA1C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0">
    <w:nsid w:val="5FC66CD3"/>
    <w:multiLevelType w:val="hybridMultilevel"/>
    <w:tmpl w:val="B1F22090"/>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1">
    <w:nsid w:val="65BA6C40"/>
    <w:multiLevelType w:val="hybridMultilevel"/>
    <w:tmpl w:val="2EF83638"/>
    <w:lvl w:ilvl="0">
      <w:start w:val="1"/>
      <w:numFmt w:val="bullet"/>
      <w:lvlText w:val=""/>
      <w:lvlJc w:val="left"/>
      <w:pPr>
        <w:ind w:left="810" w:hanging="360"/>
      </w:pPr>
      <w:rPr>
        <w:rFonts w:ascii="Symbol" w:hAnsi="Symbol" w:hint="default"/>
      </w:rPr>
    </w:lvl>
    <w:lvl w:ilvl="1" w:tentative="1">
      <w:start w:val="1"/>
      <w:numFmt w:val="bullet"/>
      <w:lvlText w:val="o"/>
      <w:lvlJc w:val="left"/>
      <w:pPr>
        <w:ind w:left="1530" w:hanging="360"/>
      </w:pPr>
      <w:rPr>
        <w:rFonts w:ascii="Courier New" w:hAnsi="Courier New" w:cs="Courier New" w:hint="default"/>
      </w:rPr>
    </w:lvl>
    <w:lvl w:ilvl="2" w:tentative="1">
      <w:start w:val="1"/>
      <w:numFmt w:val="bullet"/>
      <w:lvlText w:val=""/>
      <w:lvlJc w:val="left"/>
      <w:pPr>
        <w:ind w:left="2250" w:hanging="360"/>
      </w:pPr>
      <w:rPr>
        <w:rFonts w:ascii="Wingdings" w:hAnsi="Wingdings" w:hint="default"/>
      </w:rPr>
    </w:lvl>
    <w:lvl w:ilvl="3" w:tentative="1">
      <w:start w:val="1"/>
      <w:numFmt w:val="bullet"/>
      <w:lvlText w:val=""/>
      <w:lvlJc w:val="left"/>
      <w:pPr>
        <w:ind w:left="2970" w:hanging="360"/>
      </w:pPr>
      <w:rPr>
        <w:rFonts w:ascii="Symbol" w:hAnsi="Symbol" w:hint="default"/>
      </w:rPr>
    </w:lvl>
    <w:lvl w:ilvl="4" w:tentative="1">
      <w:start w:val="1"/>
      <w:numFmt w:val="bullet"/>
      <w:lvlText w:val="o"/>
      <w:lvlJc w:val="left"/>
      <w:pPr>
        <w:ind w:left="3690" w:hanging="360"/>
      </w:pPr>
      <w:rPr>
        <w:rFonts w:ascii="Courier New" w:hAnsi="Courier New" w:cs="Courier New" w:hint="default"/>
      </w:rPr>
    </w:lvl>
    <w:lvl w:ilvl="5" w:tentative="1">
      <w:start w:val="1"/>
      <w:numFmt w:val="bullet"/>
      <w:lvlText w:val=""/>
      <w:lvlJc w:val="left"/>
      <w:pPr>
        <w:ind w:left="4410" w:hanging="360"/>
      </w:pPr>
      <w:rPr>
        <w:rFonts w:ascii="Wingdings" w:hAnsi="Wingdings" w:hint="default"/>
      </w:rPr>
    </w:lvl>
    <w:lvl w:ilvl="6" w:tentative="1">
      <w:start w:val="1"/>
      <w:numFmt w:val="bullet"/>
      <w:lvlText w:val=""/>
      <w:lvlJc w:val="left"/>
      <w:pPr>
        <w:ind w:left="5130" w:hanging="360"/>
      </w:pPr>
      <w:rPr>
        <w:rFonts w:ascii="Symbol" w:hAnsi="Symbol" w:hint="default"/>
      </w:rPr>
    </w:lvl>
    <w:lvl w:ilvl="7" w:tentative="1">
      <w:start w:val="1"/>
      <w:numFmt w:val="bullet"/>
      <w:lvlText w:val="o"/>
      <w:lvlJc w:val="left"/>
      <w:pPr>
        <w:ind w:left="5850" w:hanging="360"/>
      </w:pPr>
      <w:rPr>
        <w:rFonts w:ascii="Courier New" w:hAnsi="Courier New" w:cs="Courier New" w:hint="default"/>
      </w:rPr>
    </w:lvl>
    <w:lvl w:ilvl="8" w:tentative="1">
      <w:start w:val="1"/>
      <w:numFmt w:val="bullet"/>
      <w:lvlText w:val=""/>
      <w:lvlJc w:val="left"/>
      <w:pPr>
        <w:ind w:left="6570" w:hanging="360"/>
      </w:pPr>
      <w:rPr>
        <w:rFonts w:ascii="Wingdings" w:hAnsi="Wingdings" w:hint="default"/>
      </w:rPr>
    </w:lvl>
  </w:abstractNum>
  <w:abstractNum w:abstractNumId="12">
    <w:nsid w:val="68CB0CE7"/>
    <w:multiLevelType w:val="hybridMultilevel"/>
    <w:tmpl w:val="0C08060C"/>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6FAB441A"/>
    <w:multiLevelType w:val="hybridMultilevel"/>
    <w:tmpl w:val="A66E6AA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7F152C4B"/>
    <w:multiLevelType w:val="hybridMultilevel"/>
    <w:tmpl w:val="2C7052CA"/>
    <w:lvl w:ilvl="0">
      <w:start w:val="1"/>
      <w:numFmt w:val="bullet"/>
      <w:lvlText w:val=""/>
      <w:lvlJc w:val="left"/>
      <w:pPr>
        <w:ind w:left="1500" w:hanging="360"/>
      </w:pPr>
      <w:rPr>
        <w:rFonts w:ascii="Symbol" w:hAnsi="Symbol" w:hint="default"/>
      </w:rPr>
    </w:lvl>
    <w:lvl w:ilvl="1">
      <w:start w:val="1"/>
      <w:numFmt w:val="bullet"/>
      <w:lvlText w:val="o"/>
      <w:lvlJc w:val="left"/>
      <w:pPr>
        <w:ind w:left="2220" w:hanging="360"/>
      </w:pPr>
      <w:rPr>
        <w:rFonts w:ascii="Courier New" w:hAnsi="Courier New" w:cs="Courier New" w:hint="default"/>
      </w:rPr>
    </w:lvl>
    <w:lvl w:ilvl="2">
      <w:start w:val="1"/>
      <w:numFmt w:val="bullet"/>
      <w:lvlText w:val=""/>
      <w:lvlJc w:val="left"/>
      <w:pPr>
        <w:ind w:left="2940" w:hanging="360"/>
      </w:pPr>
      <w:rPr>
        <w:rFonts w:ascii="Wingdings" w:hAnsi="Wingdings" w:hint="default"/>
      </w:rPr>
    </w:lvl>
    <w:lvl w:ilvl="3">
      <w:start w:val="1"/>
      <w:numFmt w:val="bullet"/>
      <w:lvlText w:val=""/>
      <w:lvlJc w:val="left"/>
      <w:pPr>
        <w:ind w:left="3660" w:hanging="360"/>
      </w:pPr>
      <w:rPr>
        <w:rFonts w:ascii="Symbol" w:hAnsi="Symbol" w:hint="default"/>
      </w:rPr>
    </w:lvl>
    <w:lvl w:ilvl="4">
      <w:start w:val="1"/>
      <w:numFmt w:val="bullet"/>
      <w:lvlText w:val="o"/>
      <w:lvlJc w:val="left"/>
      <w:pPr>
        <w:ind w:left="4380" w:hanging="360"/>
      </w:pPr>
      <w:rPr>
        <w:rFonts w:ascii="Courier New" w:hAnsi="Courier New" w:cs="Courier New" w:hint="default"/>
      </w:rPr>
    </w:lvl>
    <w:lvl w:ilvl="5">
      <w:start w:val="1"/>
      <w:numFmt w:val="bullet"/>
      <w:lvlText w:val=""/>
      <w:lvlJc w:val="left"/>
      <w:pPr>
        <w:ind w:left="5100" w:hanging="360"/>
      </w:pPr>
      <w:rPr>
        <w:rFonts w:ascii="Wingdings" w:hAnsi="Wingdings" w:hint="default"/>
      </w:rPr>
    </w:lvl>
    <w:lvl w:ilvl="6">
      <w:start w:val="1"/>
      <w:numFmt w:val="bullet"/>
      <w:lvlText w:val=""/>
      <w:lvlJc w:val="left"/>
      <w:pPr>
        <w:ind w:left="5820" w:hanging="360"/>
      </w:pPr>
      <w:rPr>
        <w:rFonts w:ascii="Symbol" w:hAnsi="Symbol" w:hint="default"/>
      </w:rPr>
    </w:lvl>
    <w:lvl w:ilvl="7">
      <w:start w:val="1"/>
      <w:numFmt w:val="bullet"/>
      <w:lvlText w:val="o"/>
      <w:lvlJc w:val="left"/>
      <w:pPr>
        <w:ind w:left="6540" w:hanging="360"/>
      </w:pPr>
      <w:rPr>
        <w:rFonts w:ascii="Courier New" w:hAnsi="Courier New" w:cs="Courier New" w:hint="default"/>
      </w:rPr>
    </w:lvl>
    <w:lvl w:ilvl="8">
      <w:start w:val="1"/>
      <w:numFmt w:val="bullet"/>
      <w:lvlText w:val=""/>
      <w:lvlJc w:val="left"/>
      <w:pPr>
        <w:ind w:left="7260" w:hanging="360"/>
      </w:pPr>
      <w:rPr>
        <w:rFonts w:ascii="Wingdings" w:hAnsi="Wingdings" w:hint="default"/>
      </w:rPr>
    </w:lvl>
  </w:abstractNum>
  <w:num w:numId="1" w16cid:durableId="1501039216">
    <w:abstractNumId w:val="0"/>
    <w:lvlOverride w:ilvl="0">
      <w:lvl w:ilvl="0">
        <w:start w:val="0"/>
        <w:numFmt w:val="bullet"/>
        <w:lvlText w:val="·"/>
        <w:legacy w:legacy="1" w:legacySpace="0" w:legacyIndent="360"/>
        <w:lvlJc w:val="left"/>
        <w:pPr>
          <w:ind w:left="720" w:hanging="360"/>
        </w:pPr>
        <w:rPr>
          <w:rFonts w:ascii="Times New Roman" w:hAnsi="Times New Roman" w:cs="Times New Roman" w:hint="default"/>
          <w:b/>
        </w:rPr>
      </w:lvl>
    </w:lvlOverride>
  </w:num>
  <w:num w:numId="2" w16cid:durableId="1160078296">
    <w:abstractNumId w:val="0"/>
    <w:lvlOverride w:ilvl="0">
      <w:lvl w:ilvl="0">
        <w:start w:val="0"/>
        <w:numFmt w:val="bullet"/>
        <w:lvlText w:val="·"/>
        <w:legacy w:legacy="1" w:legacySpace="0" w:legacyIndent="270"/>
        <w:lvlJc w:val="left"/>
        <w:pPr>
          <w:ind w:left="990" w:hanging="270"/>
        </w:pPr>
        <w:rPr>
          <w:rFonts w:ascii="Times New Roman" w:hAnsi="Times New Roman" w:cs="Times New Roman" w:hint="default"/>
        </w:rPr>
      </w:lvl>
    </w:lvlOverride>
  </w:num>
  <w:num w:numId="3" w16cid:durableId="685441913">
    <w:abstractNumId w:val="3"/>
  </w:num>
  <w:num w:numId="4" w16cid:durableId="188491091">
    <w:abstractNumId w:val="10"/>
  </w:num>
  <w:num w:numId="5" w16cid:durableId="2103139837">
    <w:abstractNumId w:val="2"/>
  </w:num>
  <w:num w:numId="6" w16cid:durableId="1756973642">
    <w:abstractNumId w:val="4"/>
  </w:num>
  <w:num w:numId="7" w16cid:durableId="991567385">
    <w:abstractNumId w:val="0"/>
    <w:lvlOverride w:ilvl="0">
      <w:lvl w:ilvl="0">
        <w:start w:val="0"/>
        <w:numFmt w:val="bullet"/>
        <w:lvlText w:val="·"/>
        <w:legacy w:legacy="1" w:legacySpace="0" w:legacyIndent="360"/>
        <w:lvlJc w:val="left"/>
        <w:pPr>
          <w:ind w:left="720" w:hanging="360"/>
        </w:pPr>
        <w:rPr>
          <w:rFonts w:ascii="Times New Roman" w:hAnsi="Times New Roman" w:cs="Times New Roman" w:hint="default"/>
        </w:rPr>
      </w:lvl>
    </w:lvlOverride>
  </w:num>
  <w:num w:numId="8" w16cid:durableId="1665233710">
    <w:abstractNumId w:val="12"/>
  </w:num>
  <w:num w:numId="9" w16cid:durableId="312102842">
    <w:abstractNumId w:val="1"/>
  </w:num>
  <w:num w:numId="10" w16cid:durableId="1376466984">
    <w:abstractNumId w:val="11"/>
  </w:num>
  <w:num w:numId="11" w16cid:durableId="1904831391">
    <w:abstractNumId w:val="6"/>
  </w:num>
  <w:num w:numId="12" w16cid:durableId="1478107046">
    <w:abstractNumId w:val="9"/>
  </w:num>
  <w:num w:numId="13" w16cid:durableId="1542084800">
    <w:abstractNumId w:val="5"/>
  </w:num>
  <w:num w:numId="14" w16cid:durableId="136800702">
    <w:abstractNumId w:val="13"/>
  </w:num>
  <w:num w:numId="15" w16cid:durableId="1217090383">
    <w:abstractNumId w:val="8"/>
  </w:num>
  <w:num w:numId="16" w16cid:durableId="292102667">
    <w:abstractNumId w:val="14"/>
  </w:num>
  <w:num w:numId="17" w16cid:durableId="123466027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2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0F56"/>
    <w:rsid w:val="0000482B"/>
    <w:rsid w:val="00007F1C"/>
    <w:rsid w:val="000114C0"/>
    <w:rsid w:val="000133FD"/>
    <w:rsid w:val="00014158"/>
    <w:rsid w:val="00020F69"/>
    <w:rsid w:val="00022303"/>
    <w:rsid w:val="00026BF9"/>
    <w:rsid w:val="0003073D"/>
    <w:rsid w:val="0004107F"/>
    <w:rsid w:val="00042CBD"/>
    <w:rsid w:val="00052174"/>
    <w:rsid w:val="00061F6C"/>
    <w:rsid w:val="00064E28"/>
    <w:rsid w:val="000655CC"/>
    <w:rsid w:val="0007383F"/>
    <w:rsid w:val="00094A5E"/>
    <w:rsid w:val="00095C30"/>
    <w:rsid w:val="00097C15"/>
    <w:rsid w:val="000A7853"/>
    <w:rsid w:val="000B0391"/>
    <w:rsid w:val="000B4875"/>
    <w:rsid w:val="000B6FB6"/>
    <w:rsid w:val="000C257C"/>
    <w:rsid w:val="000C3A92"/>
    <w:rsid w:val="000C74FB"/>
    <w:rsid w:val="000D7F95"/>
    <w:rsid w:val="000E1C64"/>
    <w:rsid w:val="000F1F69"/>
    <w:rsid w:val="000F6836"/>
    <w:rsid w:val="001040D4"/>
    <w:rsid w:val="001078BB"/>
    <w:rsid w:val="00116CD5"/>
    <w:rsid w:val="00117CA5"/>
    <w:rsid w:val="00133C47"/>
    <w:rsid w:val="00133E3D"/>
    <w:rsid w:val="001376D3"/>
    <w:rsid w:val="0014556E"/>
    <w:rsid w:val="0014601E"/>
    <w:rsid w:val="0015322B"/>
    <w:rsid w:val="0015365E"/>
    <w:rsid w:val="00157A90"/>
    <w:rsid w:val="00167AD4"/>
    <w:rsid w:val="00180E5A"/>
    <w:rsid w:val="00192711"/>
    <w:rsid w:val="001A47D9"/>
    <w:rsid w:val="001B4BB9"/>
    <w:rsid w:val="001C39F6"/>
    <w:rsid w:val="001D10ED"/>
    <w:rsid w:val="001D2D09"/>
    <w:rsid w:val="001D67BB"/>
    <w:rsid w:val="001E0E7F"/>
    <w:rsid w:val="001E2932"/>
    <w:rsid w:val="001E3596"/>
    <w:rsid w:val="001E5213"/>
    <w:rsid w:val="001F056F"/>
    <w:rsid w:val="001F2E8E"/>
    <w:rsid w:val="001F552E"/>
    <w:rsid w:val="002036A1"/>
    <w:rsid w:val="00210A61"/>
    <w:rsid w:val="002134B4"/>
    <w:rsid w:val="002203C9"/>
    <w:rsid w:val="00234341"/>
    <w:rsid w:val="00237691"/>
    <w:rsid w:val="00242CA0"/>
    <w:rsid w:val="00243432"/>
    <w:rsid w:val="0024438F"/>
    <w:rsid w:val="00247146"/>
    <w:rsid w:val="002517E4"/>
    <w:rsid w:val="00262716"/>
    <w:rsid w:val="00273D58"/>
    <w:rsid w:val="00277C1F"/>
    <w:rsid w:val="002866AD"/>
    <w:rsid w:val="00286BE3"/>
    <w:rsid w:val="00287ACB"/>
    <w:rsid w:val="00287B7D"/>
    <w:rsid w:val="0029135D"/>
    <w:rsid w:val="00292951"/>
    <w:rsid w:val="00293CD1"/>
    <w:rsid w:val="002A3962"/>
    <w:rsid w:val="002A5972"/>
    <w:rsid w:val="002A6FB5"/>
    <w:rsid w:val="002C5AE9"/>
    <w:rsid w:val="002E238B"/>
    <w:rsid w:val="002E4200"/>
    <w:rsid w:val="002E6DF9"/>
    <w:rsid w:val="002E6F9C"/>
    <w:rsid w:val="002F3BB8"/>
    <w:rsid w:val="00304132"/>
    <w:rsid w:val="00304EAD"/>
    <w:rsid w:val="00312124"/>
    <w:rsid w:val="00313820"/>
    <w:rsid w:val="00313AC0"/>
    <w:rsid w:val="00322C1B"/>
    <w:rsid w:val="00326129"/>
    <w:rsid w:val="0032649A"/>
    <w:rsid w:val="00332F98"/>
    <w:rsid w:val="0033578D"/>
    <w:rsid w:val="003430A6"/>
    <w:rsid w:val="003448FC"/>
    <w:rsid w:val="003548D8"/>
    <w:rsid w:val="00363CC2"/>
    <w:rsid w:val="00370C9A"/>
    <w:rsid w:val="00371EEC"/>
    <w:rsid w:val="003876F3"/>
    <w:rsid w:val="00390426"/>
    <w:rsid w:val="003908B9"/>
    <w:rsid w:val="00394AEB"/>
    <w:rsid w:val="003A4476"/>
    <w:rsid w:val="003A6353"/>
    <w:rsid w:val="003B2F28"/>
    <w:rsid w:val="003C13C6"/>
    <w:rsid w:val="003D5958"/>
    <w:rsid w:val="003D6AC7"/>
    <w:rsid w:val="003E15A0"/>
    <w:rsid w:val="003E49A6"/>
    <w:rsid w:val="003E5E34"/>
    <w:rsid w:val="003E6021"/>
    <w:rsid w:val="003F53FB"/>
    <w:rsid w:val="00400B4D"/>
    <w:rsid w:val="00401F18"/>
    <w:rsid w:val="00403B06"/>
    <w:rsid w:val="004056B7"/>
    <w:rsid w:val="00410AC8"/>
    <w:rsid w:val="00414664"/>
    <w:rsid w:val="004172C1"/>
    <w:rsid w:val="00423E3A"/>
    <w:rsid w:val="004328D9"/>
    <w:rsid w:val="00435E05"/>
    <w:rsid w:val="0043771F"/>
    <w:rsid w:val="00442410"/>
    <w:rsid w:val="00443460"/>
    <w:rsid w:val="0044773C"/>
    <w:rsid w:val="00461B8A"/>
    <w:rsid w:val="004672B5"/>
    <w:rsid w:val="004844D1"/>
    <w:rsid w:val="0048559D"/>
    <w:rsid w:val="0049001D"/>
    <w:rsid w:val="00494A93"/>
    <w:rsid w:val="00494D75"/>
    <w:rsid w:val="004A1763"/>
    <w:rsid w:val="004A2208"/>
    <w:rsid w:val="004B1E83"/>
    <w:rsid w:val="004D1C78"/>
    <w:rsid w:val="004D441E"/>
    <w:rsid w:val="004D46D1"/>
    <w:rsid w:val="004E1D9E"/>
    <w:rsid w:val="004E5B39"/>
    <w:rsid w:val="004E6476"/>
    <w:rsid w:val="00501A15"/>
    <w:rsid w:val="005164DC"/>
    <w:rsid w:val="00522B8D"/>
    <w:rsid w:val="0052585C"/>
    <w:rsid w:val="00530EBD"/>
    <w:rsid w:val="005622FE"/>
    <w:rsid w:val="00567912"/>
    <w:rsid w:val="00570098"/>
    <w:rsid w:val="005805E7"/>
    <w:rsid w:val="005825A4"/>
    <w:rsid w:val="00583F5D"/>
    <w:rsid w:val="0058424C"/>
    <w:rsid w:val="00584F8D"/>
    <w:rsid w:val="005A0350"/>
    <w:rsid w:val="005A7D9E"/>
    <w:rsid w:val="005B2697"/>
    <w:rsid w:val="005B5990"/>
    <w:rsid w:val="005C6147"/>
    <w:rsid w:val="005D5F8C"/>
    <w:rsid w:val="005D664F"/>
    <w:rsid w:val="005E5148"/>
    <w:rsid w:val="0060114B"/>
    <w:rsid w:val="00603D4A"/>
    <w:rsid w:val="00611DE2"/>
    <w:rsid w:val="00614A1C"/>
    <w:rsid w:val="006227B3"/>
    <w:rsid w:val="00627B1F"/>
    <w:rsid w:val="00642220"/>
    <w:rsid w:val="0065148D"/>
    <w:rsid w:val="00652ED1"/>
    <w:rsid w:val="006626FF"/>
    <w:rsid w:val="006650A8"/>
    <w:rsid w:val="0067772C"/>
    <w:rsid w:val="00683A96"/>
    <w:rsid w:val="00685435"/>
    <w:rsid w:val="00687746"/>
    <w:rsid w:val="00690F56"/>
    <w:rsid w:val="006A4637"/>
    <w:rsid w:val="006C39F8"/>
    <w:rsid w:val="006E1A08"/>
    <w:rsid w:val="006E4433"/>
    <w:rsid w:val="006E54FE"/>
    <w:rsid w:val="006E604F"/>
    <w:rsid w:val="006E63C6"/>
    <w:rsid w:val="006F2132"/>
    <w:rsid w:val="006F66F9"/>
    <w:rsid w:val="006F6E13"/>
    <w:rsid w:val="007010C5"/>
    <w:rsid w:val="007011F1"/>
    <w:rsid w:val="007127A1"/>
    <w:rsid w:val="00713ACE"/>
    <w:rsid w:val="00715F82"/>
    <w:rsid w:val="0071749C"/>
    <w:rsid w:val="00721E05"/>
    <w:rsid w:val="00724FCE"/>
    <w:rsid w:val="007412B6"/>
    <w:rsid w:val="00753389"/>
    <w:rsid w:val="00755761"/>
    <w:rsid w:val="007570DE"/>
    <w:rsid w:val="007636EC"/>
    <w:rsid w:val="00767D37"/>
    <w:rsid w:val="00774503"/>
    <w:rsid w:val="007754A0"/>
    <w:rsid w:val="00777CD2"/>
    <w:rsid w:val="00780272"/>
    <w:rsid w:val="0078038F"/>
    <w:rsid w:val="0078153B"/>
    <w:rsid w:val="00785FE9"/>
    <w:rsid w:val="00786E04"/>
    <w:rsid w:val="007A7F79"/>
    <w:rsid w:val="007C124D"/>
    <w:rsid w:val="007D46C2"/>
    <w:rsid w:val="007E3065"/>
    <w:rsid w:val="007F3B38"/>
    <w:rsid w:val="007F3C02"/>
    <w:rsid w:val="00802605"/>
    <w:rsid w:val="00802A30"/>
    <w:rsid w:val="008043E5"/>
    <w:rsid w:val="00804A1A"/>
    <w:rsid w:val="0081073D"/>
    <w:rsid w:val="00813CC0"/>
    <w:rsid w:val="008323ED"/>
    <w:rsid w:val="00835955"/>
    <w:rsid w:val="00846701"/>
    <w:rsid w:val="008624D5"/>
    <w:rsid w:val="00871CA6"/>
    <w:rsid w:val="00882AB5"/>
    <w:rsid w:val="00882B1D"/>
    <w:rsid w:val="0088672C"/>
    <w:rsid w:val="008A1F0C"/>
    <w:rsid w:val="008A40D1"/>
    <w:rsid w:val="008B3128"/>
    <w:rsid w:val="008B541B"/>
    <w:rsid w:val="008C656B"/>
    <w:rsid w:val="008C6A87"/>
    <w:rsid w:val="008F47CB"/>
    <w:rsid w:val="00901003"/>
    <w:rsid w:val="0090158E"/>
    <w:rsid w:val="00901EF6"/>
    <w:rsid w:val="0090413E"/>
    <w:rsid w:val="00923B37"/>
    <w:rsid w:val="009271B1"/>
    <w:rsid w:val="0093485F"/>
    <w:rsid w:val="009407FC"/>
    <w:rsid w:val="00943D02"/>
    <w:rsid w:val="009441E2"/>
    <w:rsid w:val="00963680"/>
    <w:rsid w:val="00964D3F"/>
    <w:rsid w:val="009700D9"/>
    <w:rsid w:val="00980F8E"/>
    <w:rsid w:val="00983CA7"/>
    <w:rsid w:val="00985369"/>
    <w:rsid w:val="00985C15"/>
    <w:rsid w:val="00996A5D"/>
    <w:rsid w:val="009A6DCA"/>
    <w:rsid w:val="009B00FD"/>
    <w:rsid w:val="009B38D1"/>
    <w:rsid w:val="009B4116"/>
    <w:rsid w:val="009B689F"/>
    <w:rsid w:val="009B6955"/>
    <w:rsid w:val="009C2A10"/>
    <w:rsid w:val="009D0BBA"/>
    <w:rsid w:val="009D1EA2"/>
    <w:rsid w:val="009E0141"/>
    <w:rsid w:val="009E234B"/>
    <w:rsid w:val="009F52F3"/>
    <w:rsid w:val="00A06EED"/>
    <w:rsid w:val="00A10441"/>
    <w:rsid w:val="00A15094"/>
    <w:rsid w:val="00A217C3"/>
    <w:rsid w:val="00A21F98"/>
    <w:rsid w:val="00A2391E"/>
    <w:rsid w:val="00A33AAC"/>
    <w:rsid w:val="00A41C21"/>
    <w:rsid w:val="00A47DA7"/>
    <w:rsid w:val="00A52DE7"/>
    <w:rsid w:val="00A55023"/>
    <w:rsid w:val="00A56B86"/>
    <w:rsid w:val="00A632EF"/>
    <w:rsid w:val="00A677E9"/>
    <w:rsid w:val="00A740AB"/>
    <w:rsid w:val="00A834BF"/>
    <w:rsid w:val="00A90769"/>
    <w:rsid w:val="00A973AA"/>
    <w:rsid w:val="00AA177A"/>
    <w:rsid w:val="00AA418C"/>
    <w:rsid w:val="00AB4DC3"/>
    <w:rsid w:val="00AC775D"/>
    <w:rsid w:val="00AD022F"/>
    <w:rsid w:val="00AD113F"/>
    <w:rsid w:val="00AD75AC"/>
    <w:rsid w:val="00AE0D00"/>
    <w:rsid w:val="00AF2C11"/>
    <w:rsid w:val="00AF3788"/>
    <w:rsid w:val="00AF5262"/>
    <w:rsid w:val="00AF7928"/>
    <w:rsid w:val="00B13844"/>
    <w:rsid w:val="00B26E3E"/>
    <w:rsid w:val="00B35DAD"/>
    <w:rsid w:val="00B417B3"/>
    <w:rsid w:val="00B47443"/>
    <w:rsid w:val="00B5043F"/>
    <w:rsid w:val="00B5377A"/>
    <w:rsid w:val="00B6181C"/>
    <w:rsid w:val="00B64496"/>
    <w:rsid w:val="00B66231"/>
    <w:rsid w:val="00B674DE"/>
    <w:rsid w:val="00B67A3F"/>
    <w:rsid w:val="00B750C6"/>
    <w:rsid w:val="00B9439C"/>
    <w:rsid w:val="00B96E43"/>
    <w:rsid w:val="00BA6A42"/>
    <w:rsid w:val="00BA6C9C"/>
    <w:rsid w:val="00BB2AA1"/>
    <w:rsid w:val="00BB3BEF"/>
    <w:rsid w:val="00BC5F22"/>
    <w:rsid w:val="00BD21CA"/>
    <w:rsid w:val="00BD34F2"/>
    <w:rsid w:val="00BF0E96"/>
    <w:rsid w:val="00BF1BEC"/>
    <w:rsid w:val="00C02E4A"/>
    <w:rsid w:val="00C05B4B"/>
    <w:rsid w:val="00C05B88"/>
    <w:rsid w:val="00C07F7F"/>
    <w:rsid w:val="00C12530"/>
    <w:rsid w:val="00C14429"/>
    <w:rsid w:val="00C16FA7"/>
    <w:rsid w:val="00C247D8"/>
    <w:rsid w:val="00C25486"/>
    <w:rsid w:val="00C25E66"/>
    <w:rsid w:val="00C34009"/>
    <w:rsid w:val="00C4763A"/>
    <w:rsid w:val="00C63D1E"/>
    <w:rsid w:val="00C667F3"/>
    <w:rsid w:val="00C712D2"/>
    <w:rsid w:val="00C77B5C"/>
    <w:rsid w:val="00C824C6"/>
    <w:rsid w:val="00C8275F"/>
    <w:rsid w:val="00C87068"/>
    <w:rsid w:val="00C9162F"/>
    <w:rsid w:val="00CA2F0A"/>
    <w:rsid w:val="00CB1ECE"/>
    <w:rsid w:val="00CB3579"/>
    <w:rsid w:val="00CB5C31"/>
    <w:rsid w:val="00CC0731"/>
    <w:rsid w:val="00CC1B60"/>
    <w:rsid w:val="00CC770C"/>
    <w:rsid w:val="00CD215D"/>
    <w:rsid w:val="00CD4F92"/>
    <w:rsid w:val="00CD6628"/>
    <w:rsid w:val="00D00B48"/>
    <w:rsid w:val="00D2331B"/>
    <w:rsid w:val="00D36BB6"/>
    <w:rsid w:val="00D472BE"/>
    <w:rsid w:val="00D53DEB"/>
    <w:rsid w:val="00D57DE8"/>
    <w:rsid w:val="00D735B0"/>
    <w:rsid w:val="00D73AAD"/>
    <w:rsid w:val="00D75842"/>
    <w:rsid w:val="00D802D6"/>
    <w:rsid w:val="00D86A15"/>
    <w:rsid w:val="00D86FF7"/>
    <w:rsid w:val="00DA7DC9"/>
    <w:rsid w:val="00DB7B7C"/>
    <w:rsid w:val="00DD6DF0"/>
    <w:rsid w:val="00E0031C"/>
    <w:rsid w:val="00E0138A"/>
    <w:rsid w:val="00E06430"/>
    <w:rsid w:val="00E13DE5"/>
    <w:rsid w:val="00E163CF"/>
    <w:rsid w:val="00E20D5B"/>
    <w:rsid w:val="00E22463"/>
    <w:rsid w:val="00E23871"/>
    <w:rsid w:val="00E322E9"/>
    <w:rsid w:val="00E400EA"/>
    <w:rsid w:val="00E466F6"/>
    <w:rsid w:val="00E46EE5"/>
    <w:rsid w:val="00E57F5E"/>
    <w:rsid w:val="00E60FB0"/>
    <w:rsid w:val="00E614A1"/>
    <w:rsid w:val="00E674A9"/>
    <w:rsid w:val="00E700AD"/>
    <w:rsid w:val="00E74ABD"/>
    <w:rsid w:val="00E81C88"/>
    <w:rsid w:val="00E829F2"/>
    <w:rsid w:val="00E83023"/>
    <w:rsid w:val="00E83271"/>
    <w:rsid w:val="00E833E4"/>
    <w:rsid w:val="00E86973"/>
    <w:rsid w:val="00E909D5"/>
    <w:rsid w:val="00E92EED"/>
    <w:rsid w:val="00E93A0F"/>
    <w:rsid w:val="00EA3E66"/>
    <w:rsid w:val="00EC0B43"/>
    <w:rsid w:val="00EC4383"/>
    <w:rsid w:val="00EC5D7E"/>
    <w:rsid w:val="00ED49C1"/>
    <w:rsid w:val="00EE2223"/>
    <w:rsid w:val="00EF70DB"/>
    <w:rsid w:val="00F11AA8"/>
    <w:rsid w:val="00F12F81"/>
    <w:rsid w:val="00F24787"/>
    <w:rsid w:val="00F27223"/>
    <w:rsid w:val="00F3623C"/>
    <w:rsid w:val="00F41116"/>
    <w:rsid w:val="00F44D20"/>
    <w:rsid w:val="00F4518C"/>
    <w:rsid w:val="00F4529D"/>
    <w:rsid w:val="00F53F09"/>
    <w:rsid w:val="00F56B20"/>
    <w:rsid w:val="00F6219B"/>
    <w:rsid w:val="00F64E0B"/>
    <w:rsid w:val="00F72D66"/>
    <w:rsid w:val="00F8164B"/>
    <w:rsid w:val="00F935EE"/>
    <w:rsid w:val="00F96885"/>
    <w:rsid w:val="00FA3D8C"/>
    <w:rsid w:val="00FB026D"/>
    <w:rsid w:val="00FB587F"/>
    <w:rsid w:val="00FD35DD"/>
    <w:rsid w:val="00FD5326"/>
    <w:rsid w:val="00FF42E2"/>
    <w:rsid w:val="00FF4C58"/>
    <w:rsid w:val="00FF61D3"/>
    <w:rsid w:val="00FF6C7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B443247"/>
  <w15:chartTrackingRefBased/>
  <w15:docId w15:val="{38B7AAEB-AA9F-428E-9FC6-F8E4AEA40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90F56"/>
    <w:pPr>
      <w:widowControl w:val="0"/>
      <w:autoSpaceDE w:val="0"/>
      <w:autoSpaceDN w:val="0"/>
      <w:adjustRightInd w:val="0"/>
    </w:pPr>
    <w:rPr>
      <w:rFonts w:ascii="Courier 12cpi" w:hAnsi="Courier 12cpi"/>
      <w:sz w:val="24"/>
      <w:szCs w:val="24"/>
    </w:rPr>
  </w:style>
  <w:style w:type="paragraph" w:styleId="Heading2">
    <w:name w:val="heading 2"/>
    <w:basedOn w:val="Normal"/>
    <w:next w:val="Normal"/>
    <w:link w:val="Heading2Char"/>
    <w:qFormat/>
    <w:rsid w:val="0014556E"/>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AutoList1">
    <w:name w:val="1AutoList1"/>
    <w:rsid w:val="00690F56"/>
    <w:pPr>
      <w:widowControl w:val="0"/>
      <w:tabs>
        <w:tab w:val="left" w:pos="720"/>
      </w:tabs>
      <w:autoSpaceDE w:val="0"/>
      <w:autoSpaceDN w:val="0"/>
      <w:adjustRightInd w:val="0"/>
      <w:ind w:left="720" w:hanging="720"/>
      <w:jc w:val="both"/>
    </w:pPr>
    <w:rPr>
      <w:rFonts w:ascii="Courier 12cpi" w:hAnsi="Courier 12cpi"/>
      <w:sz w:val="24"/>
      <w:szCs w:val="24"/>
    </w:rPr>
  </w:style>
  <w:style w:type="paragraph" w:styleId="Footer">
    <w:name w:val="footer"/>
    <w:basedOn w:val="Normal"/>
    <w:rsid w:val="00690F56"/>
    <w:pPr>
      <w:tabs>
        <w:tab w:val="center" w:pos="4320"/>
        <w:tab w:val="right" w:pos="8640"/>
      </w:tabs>
    </w:pPr>
  </w:style>
  <w:style w:type="character" w:styleId="PageNumber">
    <w:name w:val="page number"/>
    <w:basedOn w:val="DefaultParagraphFont"/>
    <w:rsid w:val="00690F56"/>
  </w:style>
  <w:style w:type="character" w:styleId="FootnoteReference">
    <w:name w:val="footnote reference"/>
    <w:semiHidden/>
    <w:rsid w:val="00690F56"/>
    <w:rPr>
      <w:vertAlign w:val="superscript"/>
    </w:rPr>
  </w:style>
  <w:style w:type="paragraph" w:customStyle="1" w:styleId="Level1">
    <w:name w:val="Level 1"/>
    <w:basedOn w:val="Normal"/>
    <w:rsid w:val="00690F56"/>
    <w:pPr>
      <w:ind w:left="360" w:hanging="360"/>
    </w:pPr>
    <w:rPr>
      <w:rFonts w:ascii="Times New Roman" w:hAnsi="Times New Roman"/>
    </w:rPr>
  </w:style>
  <w:style w:type="paragraph" w:customStyle="1" w:styleId="Level2">
    <w:name w:val="Level 2"/>
    <w:basedOn w:val="Normal"/>
    <w:rsid w:val="00CD215D"/>
    <w:pPr>
      <w:ind w:left="990" w:hanging="270"/>
    </w:pPr>
    <w:rPr>
      <w:rFonts w:ascii="Times New Roman" w:hAnsi="Times New Roman"/>
    </w:rPr>
  </w:style>
  <w:style w:type="character" w:customStyle="1" w:styleId="Heading2Char">
    <w:name w:val="Heading 2 Char"/>
    <w:link w:val="Heading2"/>
    <w:rsid w:val="0014556E"/>
    <w:rPr>
      <w:rFonts w:ascii="Arial" w:hAnsi="Arial" w:cs="Arial"/>
      <w:b/>
      <w:bCs/>
      <w:i/>
      <w:iCs/>
      <w:sz w:val="28"/>
      <w:szCs w:val="28"/>
      <w:lang w:val="en-US" w:eastAsia="en-US" w:bidi="ar-SA"/>
    </w:rPr>
  </w:style>
  <w:style w:type="paragraph" w:styleId="BalloonText">
    <w:name w:val="Balloon Text"/>
    <w:basedOn w:val="Normal"/>
    <w:semiHidden/>
    <w:rsid w:val="000B6FB6"/>
    <w:rPr>
      <w:rFonts w:ascii="Tahoma" w:hAnsi="Tahoma" w:cs="Tahoma"/>
      <w:sz w:val="16"/>
      <w:szCs w:val="16"/>
    </w:rPr>
  </w:style>
  <w:style w:type="character" w:styleId="FollowedHyperlink">
    <w:name w:val="FollowedHyperlink"/>
    <w:rsid w:val="00777CD2"/>
    <w:rPr>
      <w:color w:val="800080"/>
      <w:u w:val="single"/>
    </w:rPr>
  </w:style>
  <w:style w:type="paragraph" w:styleId="NormalWeb">
    <w:name w:val="Normal (Web)"/>
    <w:basedOn w:val="Normal"/>
    <w:uiPriority w:val="99"/>
    <w:unhideWhenUsed/>
    <w:rsid w:val="005E5148"/>
    <w:pPr>
      <w:widowControl/>
      <w:autoSpaceDE/>
      <w:autoSpaceDN/>
      <w:adjustRightInd/>
      <w:spacing w:before="100" w:beforeAutospacing="1" w:after="100" w:afterAutospacing="1"/>
      <w:ind w:firstLine="480"/>
    </w:pPr>
    <w:rPr>
      <w:rFonts w:ascii="Times New Roman" w:hAnsi="Times New Roman"/>
    </w:rPr>
  </w:style>
  <w:style w:type="paragraph" w:styleId="ListParagraph">
    <w:name w:val="List Paragraph"/>
    <w:basedOn w:val="Normal"/>
    <w:uiPriority w:val="34"/>
    <w:qFormat/>
    <w:rsid w:val="00882B1D"/>
    <w:pPr>
      <w:ind w:left="720"/>
    </w:pPr>
  </w:style>
  <w:style w:type="paragraph" w:styleId="Header">
    <w:name w:val="header"/>
    <w:basedOn w:val="Normal"/>
    <w:link w:val="HeaderChar"/>
    <w:uiPriority w:val="99"/>
    <w:rsid w:val="00D36BB6"/>
    <w:pPr>
      <w:tabs>
        <w:tab w:val="center" w:pos="4680"/>
        <w:tab w:val="right" w:pos="9360"/>
      </w:tabs>
    </w:pPr>
  </w:style>
  <w:style w:type="character" w:customStyle="1" w:styleId="HeaderChar">
    <w:name w:val="Header Char"/>
    <w:link w:val="Header"/>
    <w:uiPriority w:val="99"/>
    <w:rsid w:val="00D36BB6"/>
    <w:rPr>
      <w:rFonts w:ascii="Courier 12cpi" w:hAnsi="Courier 12cpi"/>
      <w:sz w:val="24"/>
      <w:szCs w:val="24"/>
    </w:rPr>
  </w:style>
  <w:style w:type="character" w:styleId="CommentReference">
    <w:name w:val="annotation reference"/>
    <w:rsid w:val="00C07F7F"/>
    <w:rPr>
      <w:sz w:val="16"/>
      <w:szCs w:val="16"/>
    </w:rPr>
  </w:style>
  <w:style w:type="paragraph" w:styleId="CommentText">
    <w:name w:val="annotation text"/>
    <w:basedOn w:val="Normal"/>
    <w:link w:val="CommentTextChar"/>
    <w:rsid w:val="00C07F7F"/>
    <w:rPr>
      <w:sz w:val="20"/>
      <w:szCs w:val="20"/>
    </w:rPr>
  </w:style>
  <w:style w:type="character" w:customStyle="1" w:styleId="CommentTextChar">
    <w:name w:val="Comment Text Char"/>
    <w:link w:val="CommentText"/>
    <w:rsid w:val="00C07F7F"/>
    <w:rPr>
      <w:rFonts w:ascii="Courier 12cpi" w:hAnsi="Courier 12cpi"/>
    </w:rPr>
  </w:style>
  <w:style w:type="paragraph" w:styleId="CommentSubject">
    <w:name w:val="annotation subject"/>
    <w:basedOn w:val="CommentText"/>
    <w:next w:val="CommentText"/>
    <w:link w:val="CommentSubjectChar"/>
    <w:rsid w:val="00C07F7F"/>
    <w:rPr>
      <w:b/>
      <w:bCs/>
    </w:rPr>
  </w:style>
  <w:style w:type="character" w:customStyle="1" w:styleId="CommentSubjectChar">
    <w:name w:val="Comment Subject Char"/>
    <w:link w:val="CommentSubject"/>
    <w:rsid w:val="00C07F7F"/>
    <w:rPr>
      <w:rFonts w:ascii="Courier 12cpi" w:hAnsi="Courier 12cpi"/>
      <w:b/>
      <w:bCs/>
    </w:rPr>
  </w:style>
  <w:style w:type="paragraph" w:styleId="Revision">
    <w:name w:val="Revision"/>
    <w:hidden/>
    <w:uiPriority w:val="99"/>
    <w:semiHidden/>
    <w:rsid w:val="00567912"/>
    <w:rPr>
      <w:rFonts w:ascii="Courier 12cpi" w:hAnsi="Courier 12cpi"/>
      <w:sz w:val="24"/>
      <w:szCs w:val="24"/>
    </w:rPr>
  </w:style>
  <w:style w:type="character" w:customStyle="1" w:styleId="InternetLink">
    <w:name w:val="Internet Link"/>
    <w:rsid w:val="00D57DE8"/>
    <w:rPr>
      <w:color w:val="0000FF"/>
      <w:u w:val="single"/>
    </w:rPr>
  </w:style>
  <w:style w:type="table" w:styleId="TableGrid">
    <w:name w:val="Table Grid"/>
    <w:basedOn w:val="TableNormal"/>
    <w:uiPriority w:val="59"/>
    <w:rsid w:val="003908B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D472BE"/>
    <w:rPr>
      <w:color w:val="0563C1" w:themeColor="hyperlink"/>
      <w:u w:val="single"/>
    </w:rPr>
  </w:style>
  <w:style w:type="character" w:styleId="UnresolvedMention">
    <w:name w:val="Unresolved Mention"/>
    <w:basedOn w:val="DefaultParagraphFont"/>
    <w:uiPriority w:val="99"/>
    <w:semiHidden/>
    <w:unhideWhenUsed/>
    <w:rsid w:val="00D472BE"/>
    <w:rPr>
      <w:color w:val="605E5C"/>
      <w:shd w:val="clear" w:color="auto" w:fill="E1DFDD"/>
    </w:rPr>
  </w:style>
  <w:style w:type="paragraph" w:styleId="FootnoteText">
    <w:name w:val="footnote text"/>
    <w:basedOn w:val="Normal"/>
    <w:link w:val="FootnoteTextChar"/>
    <w:rsid w:val="00BC5F22"/>
    <w:rPr>
      <w:sz w:val="20"/>
      <w:szCs w:val="20"/>
    </w:rPr>
  </w:style>
  <w:style w:type="character" w:customStyle="1" w:styleId="FootnoteTextChar">
    <w:name w:val="Footnote Text Char"/>
    <w:basedOn w:val="DefaultParagraphFont"/>
    <w:link w:val="FootnoteText"/>
    <w:rsid w:val="00BC5F22"/>
    <w:rPr>
      <w:rFonts w:ascii="Courier 12cpi" w:hAnsi="Courier 12cpi"/>
    </w:rPr>
  </w:style>
  <w:style w:type="character" w:customStyle="1" w:styleId="normaltextrun">
    <w:name w:val="normaltextrun"/>
    <w:basedOn w:val="DefaultParagraphFont"/>
    <w:rsid w:val="00D802D6"/>
  </w:style>
  <w:style w:type="paragraph" w:customStyle="1" w:styleId="paragraph">
    <w:name w:val="paragraph"/>
    <w:basedOn w:val="Normal"/>
    <w:rsid w:val="00D802D6"/>
    <w:pPr>
      <w:widowControl/>
      <w:autoSpaceDE/>
      <w:autoSpaceDN/>
      <w:adjustRightInd/>
      <w:spacing w:before="100" w:beforeAutospacing="1" w:after="100" w:afterAutospacing="1"/>
    </w:pPr>
    <w:rPr>
      <w:rFonts w:ascii="Times New Roman" w:hAnsi="Times New Roman"/>
    </w:rPr>
  </w:style>
  <w:style w:type="paragraph" w:styleId="EndnoteText">
    <w:name w:val="endnote text"/>
    <w:basedOn w:val="Normal"/>
    <w:link w:val="EndnoteTextChar"/>
    <w:rsid w:val="002E6F9C"/>
    <w:rPr>
      <w:sz w:val="20"/>
      <w:szCs w:val="20"/>
    </w:rPr>
  </w:style>
  <w:style w:type="character" w:customStyle="1" w:styleId="EndnoteTextChar">
    <w:name w:val="Endnote Text Char"/>
    <w:basedOn w:val="DefaultParagraphFont"/>
    <w:link w:val="EndnoteText"/>
    <w:rsid w:val="002E6F9C"/>
    <w:rPr>
      <w:rFonts w:ascii="Courier 12cpi" w:hAnsi="Courier 12cpi"/>
    </w:rPr>
  </w:style>
  <w:style w:type="character" w:styleId="EndnoteReference">
    <w:name w:val="endnote reference"/>
    <w:basedOn w:val="DefaultParagraphFont"/>
    <w:rsid w:val="002E6F9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2.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DA8E58-838E-4B5D-929C-D0D768473A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Pages>
  <Words>2658</Words>
  <Characters>14970</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March 6, 2007</vt:lpstr>
    </vt:vector>
  </TitlesOfParts>
  <Company>OSHA</Company>
  <LinksUpToDate>false</LinksUpToDate>
  <CharactersWithSpaces>17593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March 6, 2007</dc:title>
  <dc:creator>Theda Kenney</dc:creator>
  <cp:lastModifiedBy>Amoah, Mammyaa (JMD) (CTR)</cp:lastModifiedBy>
  <cp:revision>2</cp:revision>
  <cp:lastPrinted>2020-02-19T15:46:00Z</cp:lastPrinted>
  <dcterms:created xsi:type="dcterms:W3CDTF">2023-09-25T22:24:00Z</dcterms:created>
  <dcterms:modified xsi:type="dcterms:W3CDTF">2023-09-25T22:24:00Z</dcterms:modified>
</cp:coreProperties>
</file>