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187D" w:rsidP="002C187D" w14:paraId="0FCB36BC" w14:textId="77777777">
      <w:pPr>
        <w:jc w:val="center"/>
      </w:pPr>
      <w:r w:rsidRPr="007678FD">
        <w:t>Department of Justice</w:t>
      </w:r>
    </w:p>
    <w:p w:rsidR="002C187D" w:rsidRPr="007678FD" w:rsidP="002C187D" w14:paraId="01FF93A8" w14:textId="3C2463E9">
      <w:pPr>
        <w:jc w:val="center"/>
      </w:pPr>
      <w:r w:rsidRPr="007678FD">
        <w:t>Bureau of Alcohol, Tobacco, Firearms</w:t>
      </w:r>
      <w:r w:rsidR="00B8736D">
        <w:t>,</w:t>
      </w:r>
      <w:r w:rsidRPr="007678FD">
        <w:t xml:space="preserve"> and Explosives</w:t>
      </w:r>
      <w:r w:rsidR="00B8736D">
        <w:t xml:space="preserve"> (ATF)</w:t>
      </w:r>
    </w:p>
    <w:p w:rsidR="002C187D" w:rsidRPr="007678FD" w:rsidP="002C187D" w14:paraId="44D040D7" w14:textId="2DC0D57D">
      <w:pPr>
        <w:jc w:val="center"/>
      </w:pPr>
      <w:r w:rsidRPr="007678FD">
        <w:t>Information Collection Request</w:t>
      </w:r>
      <w:r w:rsidR="007656CC">
        <w:t xml:space="preserve"> (ICR)</w:t>
      </w:r>
    </w:p>
    <w:p w:rsidR="002C187D" w:rsidP="002C187D" w14:paraId="0454436A" w14:textId="4E7D8591">
      <w:pPr>
        <w:jc w:val="center"/>
      </w:pPr>
      <w:r>
        <w:t xml:space="preserve">OMB </w:t>
      </w:r>
      <w:r w:rsidRPr="007678FD">
        <w:t>1140-</w:t>
      </w:r>
      <w:r w:rsidR="00A75929">
        <w:t>0120</w:t>
      </w:r>
    </w:p>
    <w:p w:rsidR="002C187D" w:rsidP="002C187D" w14:paraId="4C2CC764" w14:textId="019A5E71">
      <w:pPr>
        <w:jc w:val="center"/>
      </w:pPr>
      <w:r>
        <w:t xml:space="preserve">Visitor Access </w:t>
      </w:r>
      <w:r w:rsidR="00F665FD">
        <w:t>Request</w:t>
      </w:r>
      <w:r w:rsidR="00312D8A">
        <w:t xml:space="preserve"> </w:t>
      </w:r>
      <w:r w:rsidR="00381063">
        <w:t>(</w:t>
      </w:r>
      <w:r w:rsidR="00853844">
        <w:t>ATF F</w:t>
      </w:r>
      <w:r w:rsidR="00B9324E">
        <w:t>orm</w:t>
      </w:r>
      <w:r w:rsidR="00853844">
        <w:t xml:space="preserve"> 8620.</w:t>
      </w:r>
      <w:r w:rsidR="00F665FD">
        <w:t>7</w:t>
      </w:r>
      <w:r>
        <w:t>1</w:t>
      </w:r>
      <w:r w:rsidR="00381063">
        <w:t>)</w:t>
      </w:r>
    </w:p>
    <w:p w:rsidR="002C187D" w:rsidP="002C187D" w14:paraId="6CEA1A6C" w14:textId="77777777">
      <w:pPr>
        <w:jc w:val="center"/>
      </w:pPr>
    </w:p>
    <w:p w:rsidR="002C187D" w:rsidRPr="007678FD" w:rsidP="002C187D" w14:paraId="6C048BEE" w14:textId="21CADA95">
      <w:pPr>
        <w:jc w:val="center"/>
        <w:rPr>
          <w:b/>
        </w:rPr>
      </w:pPr>
      <w:r w:rsidRPr="007678FD">
        <w:rPr>
          <w:b/>
        </w:rPr>
        <w:t>SUPPORTING STATEMENT</w:t>
      </w:r>
    </w:p>
    <w:p w:rsidR="002C187D" w:rsidRPr="007678FD" w:rsidP="002C187D" w14:paraId="05791C7B" w14:textId="77777777">
      <w:pPr>
        <w:jc w:val="center"/>
        <w:rPr>
          <w:b/>
        </w:rPr>
      </w:pPr>
    </w:p>
    <w:p w:rsidR="002C187D" w:rsidRPr="007678FD" w:rsidP="00CE2FF4" w14:paraId="12464745" w14:textId="77777777">
      <w:pPr>
        <w:ind w:hanging="720"/>
        <w:rPr>
          <w:b/>
        </w:rPr>
      </w:pPr>
      <w:r w:rsidRPr="007678FD">
        <w:rPr>
          <w:b/>
        </w:rPr>
        <w:t>A.</w:t>
      </w:r>
      <w:r w:rsidRPr="007678FD">
        <w:rPr>
          <w:b/>
        </w:rPr>
        <w:tab/>
        <w:t>JUSTIFICATION</w:t>
      </w:r>
    </w:p>
    <w:p w:rsidR="002C187D" w:rsidRPr="007678FD" w:rsidP="002C187D" w14:paraId="2D28D877" w14:textId="77777777">
      <w:pPr>
        <w:rPr>
          <w:b/>
        </w:rPr>
      </w:pPr>
    </w:p>
    <w:p w:rsidR="002C187D" w:rsidRPr="007678FD" w:rsidP="00CE2FF4" w14:paraId="13052221" w14:textId="67D4E819">
      <w:pPr>
        <w:rPr>
          <w:u w:val="single"/>
        </w:rPr>
      </w:pPr>
      <w:r w:rsidRPr="00DE7A27">
        <w:rPr>
          <w:b/>
          <w:bCs/>
        </w:rPr>
        <w:t>1.</w:t>
      </w:r>
      <w:r w:rsidR="00DE7A27">
        <w:t xml:space="preserve">  </w:t>
      </w:r>
      <w:r w:rsidRPr="006F07A5" w:rsidR="00E46520">
        <w:rPr>
          <w:b/>
          <w:bCs/>
        </w:rPr>
        <w:t xml:space="preserve">Explain the circumstances that make the </w:t>
      </w:r>
      <w:r w:rsidR="00E46520">
        <w:rPr>
          <w:b/>
          <w:bCs/>
        </w:rPr>
        <w:t>information collection</w:t>
      </w:r>
      <w:r w:rsidRPr="006F07A5" w:rsidR="00E46520">
        <w:rPr>
          <w:b/>
          <w:bCs/>
        </w:rPr>
        <w:t xml:space="preserve"> necessary.</w:t>
      </w:r>
    </w:p>
    <w:p w:rsidR="002C187D" w:rsidRPr="007678FD" w:rsidP="002C187D" w14:paraId="46FAF7BF" w14:textId="77777777">
      <w:pPr>
        <w:rPr>
          <w:u w:val="single"/>
        </w:rPr>
      </w:pPr>
    </w:p>
    <w:p w:rsidR="002C187D" w:rsidP="00DE7A27" w14:paraId="37B118EB" w14:textId="2016A3BE">
      <w:r w:rsidRPr="00C742C9">
        <w:t xml:space="preserve">Pursuant to </w:t>
      </w:r>
      <w:r w:rsidR="003819FF">
        <w:t>a</w:t>
      </w:r>
      <w:r w:rsidRPr="00C742C9" w:rsidR="003819FF">
        <w:t xml:space="preserve"> </w:t>
      </w:r>
      <w:r w:rsidRPr="00C742C9">
        <w:t>Memorandum of Understanding between ATF and the Office of Personnel Management, dated March 3, 2000, ATF is authorized to conduct security and suitability background investigations.</w:t>
      </w:r>
      <w:r w:rsidR="00DF697D">
        <w:t xml:space="preserve"> </w:t>
      </w:r>
      <w:r w:rsidR="008148B6">
        <w:t>ATF routinely work</w:t>
      </w:r>
      <w:r w:rsidR="003C7A07">
        <w:t>s with</w:t>
      </w:r>
      <w:r w:rsidR="008148B6">
        <w:t xml:space="preserve"> </w:t>
      </w:r>
      <w:r w:rsidR="00EF0B2C">
        <w:t xml:space="preserve">representatives from </w:t>
      </w:r>
      <w:r w:rsidR="00717683">
        <w:t xml:space="preserve">other </w:t>
      </w:r>
      <w:r w:rsidR="0071569E">
        <w:t>f</w:t>
      </w:r>
      <w:r w:rsidR="00717683">
        <w:t xml:space="preserve">ederal, </w:t>
      </w:r>
      <w:r w:rsidR="0071569E">
        <w:t>s</w:t>
      </w:r>
      <w:r w:rsidR="008148B6">
        <w:t>tate</w:t>
      </w:r>
      <w:r w:rsidR="00C00FBB">
        <w:t>,</w:t>
      </w:r>
      <w:r w:rsidR="008148B6">
        <w:t xml:space="preserve"> and local law enforcement agencies</w:t>
      </w:r>
      <w:r w:rsidR="003C7A07">
        <w:t xml:space="preserve">, </w:t>
      </w:r>
      <w:r w:rsidR="008148B6">
        <w:t>participat</w:t>
      </w:r>
      <w:r w:rsidR="003C7A07">
        <w:t xml:space="preserve">ing </w:t>
      </w:r>
      <w:r w:rsidR="008148B6">
        <w:t>in mult</w:t>
      </w:r>
      <w:r w:rsidR="00B57E3C">
        <w:t>i</w:t>
      </w:r>
      <w:r w:rsidR="008148B6">
        <w:t>-juri</w:t>
      </w:r>
      <w:r w:rsidR="00B57E3C">
        <w:t>s</w:t>
      </w:r>
      <w:r w:rsidR="008148B6">
        <w:t xml:space="preserve">dictional approaches to combat crime. </w:t>
      </w:r>
      <w:r w:rsidR="00B57E3C">
        <w:t xml:space="preserve">To </w:t>
      </w:r>
      <w:r w:rsidR="00BD2054">
        <w:t xml:space="preserve">protect ATF assets and </w:t>
      </w:r>
      <w:r w:rsidR="00B57E3C">
        <w:t xml:space="preserve">ensure </w:t>
      </w:r>
      <w:r w:rsidR="00BD2054">
        <w:t>ATF facilities are only accessed by eligible individuals</w:t>
      </w:r>
      <w:r w:rsidR="00B57E3C">
        <w:t xml:space="preserve">, </w:t>
      </w:r>
      <w:r w:rsidR="00BD2054">
        <w:t xml:space="preserve">ATF will conduct record checks on </w:t>
      </w:r>
      <w:r w:rsidR="00100F6C">
        <w:t>these representatives</w:t>
      </w:r>
      <w:r w:rsidR="00EF0B2C">
        <w:t xml:space="preserve"> prior to granting </w:t>
      </w:r>
      <w:r w:rsidR="00ED1AE1">
        <w:t xml:space="preserve">them </w:t>
      </w:r>
      <w:r w:rsidR="00EF0B2C">
        <w:t>access to</w:t>
      </w:r>
      <w:r w:rsidR="00BE6B6C">
        <w:t xml:space="preserve"> ATF facilities</w:t>
      </w:r>
      <w:r w:rsidR="00EF0B2C">
        <w:t xml:space="preserve"> for offi</w:t>
      </w:r>
      <w:r w:rsidR="00BD2054">
        <w:t>cial business</w:t>
      </w:r>
      <w:r w:rsidR="00717683">
        <w:t xml:space="preserve">. ATF will </w:t>
      </w:r>
      <w:r w:rsidR="00EF0B2C">
        <w:t xml:space="preserve">review record results and </w:t>
      </w:r>
      <w:r w:rsidR="00717683">
        <w:t xml:space="preserve">determine if </w:t>
      </w:r>
      <w:r w:rsidR="005C359E">
        <w:t xml:space="preserve">a </w:t>
      </w:r>
      <w:r w:rsidR="004F10A6">
        <w:t>law enforcement</w:t>
      </w:r>
      <w:r w:rsidR="00ED1AE1">
        <w:t xml:space="preserve"> </w:t>
      </w:r>
      <w:r w:rsidR="00100F6C">
        <w:t xml:space="preserve">representative </w:t>
      </w:r>
      <w:r w:rsidR="003A512C">
        <w:t xml:space="preserve">may be granted access to ATF facilities </w:t>
      </w:r>
      <w:r w:rsidR="00100F6C">
        <w:t>and</w:t>
      </w:r>
      <w:r w:rsidR="00717683">
        <w:t xml:space="preserve"> the </w:t>
      </w:r>
      <w:r w:rsidR="00165050">
        <w:t xml:space="preserve">level </w:t>
      </w:r>
      <w:r w:rsidR="00717683">
        <w:t xml:space="preserve">of access </w:t>
      </w:r>
      <w:r w:rsidR="00EF0B2C">
        <w:t>to be granted</w:t>
      </w:r>
      <w:r w:rsidR="00717683">
        <w:t>.</w:t>
      </w:r>
      <w:r w:rsidR="00BD2054">
        <w:t xml:space="preserve">  </w:t>
      </w:r>
      <w:r w:rsidR="00B57E3C">
        <w:t xml:space="preserve">  </w:t>
      </w:r>
      <w:r w:rsidR="003C7A07">
        <w:t xml:space="preserve"> </w:t>
      </w:r>
      <w:r w:rsidR="008148B6">
        <w:t xml:space="preserve">  </w:t>
      </w:r>
    </w:p>
    <w:p w:rsidR="008148B6" w:rsidP="00DE7A27" w14:paraId="2578C9F8" w14:textId="77777777"/>
    <w:p w:rsidR="002C187D" w:rsidRPr="001F6592" w:rsidP="002C187D" w14:paraId="2015CEAF" w14:textId="2E8922C2">
      <w:r w:rsidRPr="00DE7A27">
        <w:rPr>
          <w:b/>
          <w:bCs/>
        </w:rPr>
        <w:t>2.</w:t>
      </w:r>
      <w:r w:rsidR="00DE7A27">
        <w:t xml:space="preserve">  </w:t>
      </w:r>
      <w:r w:rsidRPr="00D53DEB" w:rsidR="007D491C">
        <w:rPr>
          <w:b/>
          <w:bCs/>
        </w:rPr>
        <w:t>Indicate how, by whom, and for what purpose the information is to be used.</w:t>
      </w:r>
    </w:p>
    <w:p w:rsidR="002C187D" w:rsidRPr="001F6592" w:rsidP="002C187D" w14:paraId="7FA6C4D8" w14:textId="77777777">
      <w:r w:rsidRPr="001F6592">
        <w:tab/>
      </w:r>
    </w:p>
    <w:p w:rsidR="00E77193" w:rsidP="00DE7A27" w14:paraId="3BDA984B" w14:textId="20E49B03">
      <w:r>
        <w:t xml:space="preserve">Applicants use the </w:t>
      </w:r>
      <w:r w:rsidR="00642F35">
        <w:t xml:space="preserve">Visitor Access </w:t>
      </w:r>
      <w:r w:rsidR="009B74F2">
        <w:t xml:space="preserve">Request </w:t>
      </w:r>
      <w:r w:rsidR="005C359E">
        <w:t>(ATF Form 8620.71)</w:t>
      </w:r>
      <w:r w:rsidR="009B74F2">
        <w:t xml:space="preserve"> </w:t>
      </w:r>
      <w:r>
        <w:t>to inform ATF that they</w:t>
      </w:r>
      <w:r w:rsidR="00E24975">
        <w:t xml:space="preserve"> have a need to enter ATF facilities and to request access. They must provide identifying information and information on the event/need for access</w:t>
      </w:r>
      <w:r w:rsidR="000B588D">
        <w:t xml:space="preserve">, which ATF uses to </w:t>
      </w:r>
      <w:r w:rsidR="009A0F8C">
        <w:t xml:space="preserve">identify who </w:t>
      </w:r>
      <w:r w:rsidR="00C0705C">
        <w:t xml:space="preserve">wishes to enter the facility, whether they </w:t>
      </w:r>
      <w:r w:rsidR="00035456">
        <w:t>meet eligibility criteria, and when they will need access.</w:t>
      </w:r>
      <w:r w:rsidR="00EE7451">
        <w:t xml:space="preserve"> </w:t>
      </w:r>
      <w:r w:rsidR="00035456">
        <w:t>ATF uses the</w:t>
      </w:r>
      <w:r w:rsidR="00642F35">
        <w:t xml:space="preserve"> </w:t>
      </w:r>
      <w:r w:rsidR="00181713">
        <w:t xml:space="preserve">personally identifiable information (PII) to begin </w:t>
      </w:r>
      <w:r w:rsidR="00CD1085">
        <w:t xml:space="preserve">the </w:t>
      </w:r>
      <w:r w:rsidR="00181713">
        <w:t>eli</w:t>
      </w:r>
      <w:r w:rsidR="00502987">
        <w:t xml:space="preserve">gibility determination process </w:t>
      </w:r>
      <w:r w:rsidR="00CD1085">
        <w:t xml:space="preserve">to grant a representative (respondent) from a Federal, </w:t>
      </w:r>
      <w:r w:rsidR="003A512C">
        <w:t>S</w:t>
      </w:r>
      <w:r w:rsidR="00CD1085">
        <w:t>tate, or local agency</w:t>
      </w:r>
      <w:r w:rsidR="00502987">
        <w:t xml:space="preserve"> </w:t>
      </w:r>
      <w:r w:rsidR="0086263C">
        <w:t xml:space="preserve">access </w:t>
      </w:r>
      <w:r w:rsidR="009E6AE0">
        <w:t xml:space="preserve">to </w:t>
      </w:r>
      <w:r w:rsidR="0086263C">
        <w:t>ATF facilit</w:t>
      </w:r>
      <w:r w:rsidR="00BE6B6C">
        <w:t>ies</w:t>
      </w:r>
      <w:r w:rsidR="00181713">
        <w:t xml:space="preserve"> for official business</w:t>
      </w:r>
      <w:r w:rsidR="0086263C">
        <w:t>.</w:t>
      </w:r>
      <w:r>
        <w:t xml:space="preserve"> </w:t>
      </w:r>
      <w:r w:rsidR="009B74F2">
        <w:t xml:space="preserve"> </w:t>
      </w:r>
    </w:p>
    <w:p w:rsidR="00E77193" w:rsidP="00DE7A27" w14:paraId="4C11389B" w14:textId="77777777"/>
    <w:p w:rsidR="000673B8" w:rsidP="00DE7A27" w14:paraId="22FC0299" w14:textId="409B76C4">
      <w:r>
        <w:t xml:space="preserve">ATF’s Personnel Security Division (PSD) staff </w:t>
      </w:r>
      <w:r w:rsidR="00EE7451">
        <w:t xml:space="preserve">approve </w:t>
      </w:r>
      <w:r w:rsidR="008F578D">
        <w:t xml:space="preserve">or </w:t>
      </w:r>
      <w:r w:rsidR="00BE6B6C">
        <w:t xml:space="preserve">deny </w:t>
      </w:r>
      <w:r w:rsidR="008F578D">
        <w:t>facility access</w:t>
      </w:r>
      <w:r w:rsidR="00EE7451">
        <w:t xml:space="preserve"> </w:t>
      </w:r>
      <w:r w:rsidR="008F578D">
        <w:t>based on the results of applicable record checks. If access is approved, PSD designate</w:t>
      </w:r>
      <w:r w:rsidR="006C49CE">
        <w:t>s</w:t>
      </w:r>
      <w:r w:rsidR="008F578D">
        <w:t xml:space="preserve"> the level of approved access (</w:t>
      </w:r>
      <w:r w:rsidRPr="00471CB0" w:rsidR="00BE6B6C">
        <w:rPr>
          <w:i/>
          <w:iCs/>
        </w:rPr>
        <w:t>i.e.</w:t>
      </w:r>
      <w:r w:rsidR="00BE6B6C">
        <w:t xml:space="preserve">, </w:t>
      </w:r>
      <w:r w:rsidR="008F578D">
        <w:t xml:space="preserve">escorted or unescorted). </w:t>
      </w:r>
      <w:r w:rsidR="00A4415C">
        <w:t xml:space="preserve">Non-Federal agency representatives </w:t>
      </w:r>
      <w:r w:rsidR="003A512C">
        <w:t xml:space="preserve">can </w:t>
      </w:r>
      <w:r w:rsidR="00A4415C">
        <w:t xml:space="preserve">be granted </w:t>
      </w:r>
      <w:r w:rsidR="006C49CE">
        <w:t xml:space="preserve">only </w:t>
      </w:r>
      <w:r w:rsidR="00A4415C">
        <w:t xml:space="preserve">escorted facility access.  </w:t>
      </w:r>
    </w:p>
    <w:p w:rsidR="000673B8" w:rsidP="002C187D" w14:paraId="499C224E" w14:textId="77777777">
      <w:pPr>
        <w:ind w:left="720"/>
      </w:pPr>
    </w:p>
    <w:p w:rsidR="002C187D" w:rsidRPr="007678FD" w:rsidP="00DE7A27" w14:paraId="0BB4CBF4" w14:textId="27A326C1">
      <w:pPr>
        <w:rPr>
          <w:u w:val="single"/>
        </w:rPr>
      </w:pPr>
      <w:r w:rsidRPr="00DE7A27">
        <w:rPr>
          <w:b/>
          <w:bCs/>
        </w:rPr>
        <w:t>3.</w:t>
      </w:r>
      <w:r w:rsidR="00DE7A27">
        <w:t xml:space="preserve">  </w:t>
      </w:r>
      <w:r w:rsidRPr="00D53DEB" w:rsidR="00D259C2">
        <w:rPr>
          <w:b/>
          <w:bCs/>
        </w:rPr>
        <w:t xml:space="preserve">Describe whether, and to what extent, the </w:t>
      </w:r>
      <w:r w:rsidR="00D259C2">
        <w:rPr>
          <w:b/>
          <w:bCs/>
        </w:rPr>
        <w:t>information collection</w:t>
      </w:r>
      <w:r w:rsidRPr="00D53DEB" w:rsidR="00D259C2">
        <w:rPr>
          <w:b/>
          <w:bCs/>
        </w:rPr>
        <w:t xml:space="preserve"> involves the use of automated, electronic, mechanical, or other technological collection techniques or other forms of information technology, </w:t>
      </w:r>
      <w:r w:rsidRPr="009505C5" w:rsidR="00D259C2">
        <w:rPr>
          <w:b/>
          <w:bCs/>
          <w:i/>
          <w:iCs/>
        </w:rPr>
        <w:t>e.g.</w:t>
      </w:r>
      <w:r w:rsidRPr="00D53DEB" w:rsidR="00D259C2">
        <w:rPr>
          <w:b/>
          <w:bCs/>
        </w:rPr>
        <w:t>, permitting electronic submission of responses, and the basis for the decision for adopting this means of collection.</w:t>
      </w:r>
    </w:p>
    <w:p w:rsidR="002C187D" w:rsidRPr="007678FD" w:rsidP="002C187D" w14:paraId="3200FA33" w14:textId="77777777">
      <w:pPr>
        <w:rPr>
          <w:u w:val="single"/>
        </w:rPr>
      </w:pPr>
    </w:p>
    <w:p w:rsidR="004D1FAA" w:rsidP="00DE7A27" w14:paraId="6A8B56F5" w14:textId="26501582">
      <w:pPr>
        <w:contextualSpacing/>
      </w:pPr>
      <w:r>
        <w:t xml:space="preserve">ATF makes every effort to take advantage of electronic collection and dissemination capabilities available. This fillable </w:t>
      </w:r>
      <w:r>
        <w:t>ATF Form 8620.</w:t>
      </w:r>
      <w:r w:rsidR="007E63A1">
        <w:t>7</w:t>
      </w:r>
      <w:r w:rsidR="00DD72FE">
        <w:t>1</w:t>
      </w:r>
      <w:r>
        <w:t xml:space="preserve"> (with electronic signature capability) </w:t>
      </w:r>
      <w:r w:rsidR="006C49CE">
        <w:t>is</w:t>
      </w:r>
      <w:r>
        <w:t xml:space="preserve"> available </w:t>
      </w:r>
      <w:r w:rsidR="00B076E2">
        <w:t>for respondents to download from</w:t>
      </w:r>
      <w:r>
        <w:t xml:space="preserve"> the ATF portal. The form </w:t>
      </w:r>
      <w:r>
        <w:t xml:space="preserve">will be </w:t>
      </w:r>
      <w:r>
        <w:t xml:space="preserve">emailed to respondents along with submission instructions for returning </w:t>
      </w:r>
      <w:r w:rsidR="003A512C">
        <w:t>the completed form</w:t>
      </w:r>
      <w:r w:rsidR="00DD72FE">
        <w:t xml:space="preserve"> </w:t>
      </w:r>
      <w:r>
        <w:t xml:space="preserve">to ATF for processing. Respondents </w:t>
      </w:r>
      <w:r w:rsidR="009E630E">
        <w:t>may</w:t>
      </w:r>
      <w:r w:rsidR="0085629E">
        <w:t xml:space="preserve"> </w:t>
      </w:r>
      <w:r>
        <w:t>electronically complete the form</w:t>
      </w:r>
      <w:r w:rsidR="00DD72FE">
        <w:t>, have it certified by the</w:t>
      </w:r>
      <w:r w:rsidR="00012D19">
        <w:t>ir</w:t>
      </w:r>
      <w:r w:rsidR="00DD72FE">
        <w:t xml:space="preserve"> agency</w:t>
      </w:r>
      <w:r w:rsidR="00BE6B6C">
        <w:t>’s</w:t>
      </w:r>
      <w:r w:rsidR="00DD72FE">
        <w:t xml:space="preserve"> security </w:t>
      </w:r>
      <w:r w:rsidR="00DD72FE">
        <w:t>office</w:t>
      </w:r>
      <w:r w:rsidR="00BE6B6C">
        <w:t xml:space="preserve"> point of contact</w:t>
      </w:r>
      <w:r w:rsidR="00DD72FE">
        <w:t>, and</w:t>
      </w:r>
      <w:r>
        <w:t xml:space="preserve"> </w:t>
      </w:r>
      <w:r w:rsidR="00323175">
        <w:t xml:space="preserve">submit it </w:t>
      </w:r>
      <w:r w:rsidR="00012D19">
        <w:t>to a specific email address provided by ATF</w:t>
      </w:r>
      <w:r w:rsidR="003A512C">
        <w:t xml:space="preserve"> for processing</w:t>
      </w:r>
      <w:r w:rsidR="00012D19">
        <w:t xml:space="preserve">. </w:t>
      </w:r>
      <w:r w:rsidRPr="00012D19">
        <w:t xml:space="preserve">Individuals with disabilities </w:t>
      </w:r>
      <w:r w:rsidR="009E630E">
        <w:t>can</w:t>
      </w:r>
      <w:r w:rsidRPr="00012D19">
        <w:t xml:space="preserve"> </w:t>
      </w:r>
      <w:r w:rsidR="009E630E">
        <w:t xml:space="preserve">also </w:t>
      </w:r>
      <w:r w:rsidRPr="00012D19">
        <w:t xml:space="preserve">access </w:t>
      </w:r>
      <w:r w:rsidRPr="00012D19">
        <w:t xml:space="preserve">and complete </w:t>
      </w:r>
      <w:r w:rsidRPr="00012D19">
        <w:t>this form</w:t>
      </w:r>
      <w:r w:rsidR="009E630E">
        <w:t xml:space="preserve"> because it is 508 compliant</w:t>
      </w:r>
      <w:r w:rsidRPr="00012D19">
        <w:t>.</w:t>
      </w:r>
    </w:p>
    <w:p w:rsidR="00267BE8" w:rsidP="00DE7A27" w14:paraId="7E93EC70" w14:textId="77777777">
      <w:pPr>
        <w:contextualSpacing/>
      </w:pPr>
    </w:p>
    <w:p w:rsidR="002C187D" w:rsidRPr="007678FD" w:rsidP="00DE7A27" w14:paraId="0BE2730F" w14:textId="4CB1D599">
      <w:pPr>
        <w:rPr>
          <w:u w:val="single"/>
        </w:rPr>
      </w:pPr>
      <w:r w:rsidRPr="00DE7A27">
        <w:rPr>
          <w:b/>
          <w:bCs/>
        </w:rPr>
        <w:t>4.</w:t>
      </w:r>
      <w:r w:rsidR="00DE7A27">
        <w:t xml:space="preserve">  </w:t>
      </w:r>
      <w:r w:rsidRPr="00D53DEB" w:rsidR="00BF122D">
        <w:rPr>
          <w:b/>
          <w:bCs/>
        </w:rPr>
        <w:t>Describe efforts to identify duplication.</w:t>
      </w:r>
    </w:p>
    <w:p w:rsidR="002C187D" w:rsidP="00DE7A27" w14:paraId="0964CF5C" w14:textId="77777777">
      <w:pPr>
        <w:rPr>
          <w:u w:val="single"/>
        </w:rPr>
      </w:pPr>
    </w:p>
    <w:p w:rsidR="004E188C" w:rsidRPr="004E188C" w:rsidP="00DE7A27" w14:paraId="7B73A5C7" w14:textId="437893FE">
      <w:r w:rsidRPr="00853F61">
        <w:t xml:space="preserve">This information is not duplicative and </w:t>
      </w:r>
      <w:r w:rsidR="00B26102">
        <w:t xml:space="preserve">asks for identifying </w:t>
      </w:r>
      <w:r w:rsidR="00AA40B5">
        <w:t>and event/date information</w:t>
      </w:r>
      <w:r w:rsidR="0079316A">
        <w:t xml:space="preserve"> needed so that </w:t>
      </w:r>
      <w:r w:rsidR="00D41A97">
        <w:t>people who wish access to secure facilities can let ATF know of their interest</w:t>
      </w:r>
      <w:r w:rsidR="00FE2730">
        <w:t xml:space="preserve"> and so ATF can determine if they meet</w:t>
      </w:r>
      <w:r w:rsidR="00883705">
        <w:t xml:space="preserve"> entry criteria</w:t>
      </w:r>
      <w:r w:rsidRPr="00853F61">
        <w:t xml:space="preserve">. </w:t>
      </w:r>
      <w:r w:rsidR="00883705">
        <w:t xml:space="preserve">The information therefore cannot be </w:t>
      </w:r>
      <w:r w:rsidR="006D645A">
        <w:t xml:space="preserve">acquired </w:t>
      </w:r>
      <w:r w:rsidR="007B54F8">
        <w:t xml:space="preserve">from another source. </w:t>
      </w:r>
      <w:r w:rsidRPr="00853F61">
        <w:t xml:space="preserve">ATF uses a uniform subject classification system for forms to identify duplication and to ensure that any similar information already available cannot be used or modified </w:t>
      </w:r>
      <w:r w:rsidR="0038620A">
        <w:t xml:space="preserve">to </w:t>
      </w:r>
      <w:r w:rsidRPr="00853F61">
        <w:t>use for the purpose of this information collection.</w:t>
      </w:r>
    </w:p>
    <w:p w:rsidR="004E188C" w:rsidRPr="004E188C" w:rsidP="00DE7A27" w14:paraId="1EABCDB0" w14:textId="77777777"/>
    <w:p w:rsidR="006823A0" w:rsidRPr="007678FD" w:rsidP="00DE7A27" w14:paraId="3FFE9F4C" w14:textId="2AEB9B7A">
      <w:pPr>
        <w:rPr>
          <w:u w:val="single"/>
        </w:rPr>
      </w:pPr>
      <w:r w:rsidRPr="00DE7A27">
        <w:rPr>
          <w:b/>
          <w:bCs/>
        </w:rPr>
        <w:t>5.</w:t>
      </w:r>
      <w:r w:rsidR="00DE7A27">
        <w:t xml:space="preserve">  </w:t>
      </w:r>
      <w:r w:rsidRPr="00D53DEB" w:rsidR="009F7CE4">
        <w:rPr>
          <w:b/>
          <w:bCs/>
        </w:rPr>
        <w:t xml:space="preserve">If the </w:t>
      </w:r>
      <w:r w:rsidR="009F7CE4">
        <w:rPr>
          <w:b/>
          <w:bCs/>
        </w:rPr>
        <w:t>information collection</w:t>
      </w:r>
      <w:r w:rsidRPr="00D53DEB" w:rsidR="009F7CE4">
        <w:rPr>
          <w:b/>
          <w:bCs/>
        </w:rPr>
        <w:t xml:space="preserve"> impacts small businesses or other small entities, describe any methods used to minimize burden.</w:t>
      </w:r>
    </w:p>
    <w:p w:rsidR="006823A0" w:rsidRPr="007678FD" w:rsidP="00DE7A27" w14:paraId="2631EF97" w14:textId="77777777">
      <w:pPr>
        <w:rPr>
          <w:u w:val="single"/>
        </w:rPr>
      </w:pPr>
    </w:p>
    <w:p w:rsidR="004D361D" w:rsidP="00DE7A27" w14:paraId="64C14A8C" w14:textId="0C0CEAE4">
      <w:pPr>
        <w:rPr>
          <w:szCs w:val="20"/>
        </w:rPr>
      </w:pPr>
      <w:r w:rsidRPr="007678FD">
        <w:t>Th</w:t>
      </w:r>
      <w:r w:rsidR="006047AB">
        <w:t>is</w:t>
      </w:r>
      <w:r w:rsidR="004E188C">
        <w:t xml:space="preserve"> </w:t>
      </w:r>
      <w:r w:rsidRPr="007678FD">
        <w:t xml:space="preserve">information </w:t>
      </w:r>
      <w:r w:rsidR="000438C6">
        <w:t>coll</w:t>
      </w:r>
      <w:r w:rsidR="00E231BF">
        <w:t xml:space="preserve">ection </w:t>
      </w:r>
      <w:r w:rsidR="001A5575">
        <w:t xml:space="preserve">does not have a significant </w:t>
      </w:r>
      <w:r w:rsidR="004E188C">
        <w:t>impact</w:t>
      </w:r>
      <w:r w:rsidRPr="007678FD">
        <w:t xml:space="preserve"> on small </w:t>
      </w:r>
      <w:r w:rsidR="00E231BF">
        <w:t>entities</w:t>
      </w:r>
      <w:r w:rsidRPr="007678FD">
        <w:t>.</w:t>
      </w:r>
      <w:r>
        <w:t xml:space="preserve"> </w:t>
      </w:r>
    </w:p>
    <w:p w:rsidR="006823A0" w:rsidRPr="007678FD" w:rsidP="00DE7A27" w14:paraId="6655BCC4" w14:textId="61B230F4">
      <w:r w:rsidRPr="007678FD">
        <w:t xml:space="preserve"> </w:t>
      </w:r>
    </w:p>
    <w:p w:rsidR="006823A0" w:rsidRPr="00E352F0" w:rsidP="00DE7A27" w14:paraId="0237983A" w14:textId="2BD4FCBF">
      <w:pPr>
        <w:rPr>
          <w:u w:val="single"/>
        </w:rPr>
      </w:pPr>
      <w:r w:rsidRPr="00DE7A27">
        <w:rPr>
          <w:b/>
          <w:bCs/>
        </w:rPr>
        <w:t>6.</w:t>
      </w:r>
      <w:bookmarkStart w:id="0" w:name="_Hlk176863417"/>
      <w:r w:rsidR="00DE7A27">
        <w:t xml:space="preserve">  </w:t>
      </w:r>
      <w:r w:rsidRPr="00247D56" w:rsidR="00E27BB9">
        <w:rPr>
          <w:b/>
          <w:bCs/>
        </w:rPr>
        <w:t>Describe the consequence to federal program or policy activities if the collection is not conducted or is conducted less frequently, as well as any technical or legal obstacles to reducing burden.</w:t>
      </w:r>
      <w:bookmarkEnd w:id="0"/>
    </w:p>
    <w:p w:rsidR="006823A0" w:rsidRPr="00E352F0" w:rsidP="00DE7A27" w14:paraId="29D7A790" w14:textId="77777777">
      <w:pPr>
        <w:rPr>
          <w:u w:val="single"/>
        </w:rPr>
      </w:pPr>
    </w:p>
    <w:p w:rsidR="006823A0" w:rsidRPr="007678FD" w:rsidP="00DE7A27" w14:paraId="51440586" w14:textId="664E63F4">
      <w:r w:rsidRPr="00E352F0">
        <w:t xml:space="preserve">ATF </w:t>
      </w:r>
      <w:r w:rsidR="0024162E">
        <w:t xml:space="preserve">must ensure </w:t>
      </w:r>
      <w:r w:rsidR="00006C82">
        <w:t xml:space="preserve">the safety and security of its government </w:t>
      </w:r>
      <w:r w:rsidR="0082236F">
        <w:t>f</w:t>
      </w:r>
      <w:r w:rsidR="00006C82">
        <w:t xml:space="preserve">acilities, information, and </w:t>
      </w:r>
      <w:r w:rsidR="0082236F">
        <w:t>IT</w:t>
      </w:r>
      <w:r w:rsidR="00006C82">
        <w:t xml:space="preserve"> systems. </w:t>
      </w:r>
      <w:bookmarkStart w:id="1" w:name="_Hlk87365821"/>
      <w:r w:rsidR="002C44EA">
        <w:t xml:space="preserve">We use </w:t>
      </w:r>
      <w:r w:rsidR="00006C82">
        <w:t xml:space="preserve">ATF Form 8620.71 </w:t>
      </w:r>
      <w:bookmarkEnd w:id="1"/>
      <w:r w:rsidR="00006C82">
        <w:t xml:space="preserve">to gather </w:t>
      </w:r>
      <w:r w:rsidR="002C44EA">
        <w:t>information</w:t>
      </w:r>
      <w:r w:rsidR="00006C82">
        <w:t xml:space="preserve"> </w:t>
      </w:r>
      <w:r w:rsidR="0082236F">
        <w:t xml:space="preserve">necessary to conduct </w:t>
      </w:r>
      <w:r w:rsidR="006D5C58">
        <w:t>record checks for</w:t>
      </w:r>
      <w:r w:rsidR="0082236F">
        <w:t xml:space="preserve"> those </w:t>
      </w:r>
      <w:r w:rsidR="002C44EA">
        <w:t>f</w:t>
      </w:r>
      <w:r w:rsidR="0082236F">
        <w:t xml:space="preserve">ederal, </w:t>
      </w:r>
      <w:r w:rsidR="002C44EA">
        <w:t>s</w:t>
      </w:r>
      <w:r w:rsidR="0082236F">
        <w:t>tate, and local agency representative</w:t>
      </w:r>
      <w:r w:rsidR="006D5C58">
        <w:t xml:space="preserve">s requesting </w:t>
      </w:r>
      <w:r w:rsidR="0082236F">
        <w:t xml:space="preserve">access to ATF facilities </w:t>
      </w:r>
      <w:r w:rsidR="006D5C58">
        <w:t xml:space="preserve">to conduct </w:t>
      </w:r>
      <w:r w:rsidR="0082236F">
        <w:t xml:space="preserve">official business. </w:t>
      </w:r>
      <w:r w:rsidR="00ED46A2">
        <w:t xml:space="preserve">ATF would be unable to </w:t>
      </w:r>
      <w:r w:rsidRPr="00E352F0">
        <w:t>ensur</w:t>
      </w:r>
      <w:r w:rsidR="00ED46A2">
        <w:t>e</w:t>
      </w:r>
      <w:r w:rsidRPr="00E352F0">
        <w:t xml:space="preserve"> the</w:t>
      </w:r>
      <w:r w:rsidRPr="007678FD">
        <w:t xml:space="preserve"> safety and security of its resources</w:t>
      </w:r>
      <w:r w:rsidR="002C44EA">
        <w:t>, or would not be able to permit visitors for official business purposes,</w:t>
      </w:r>
      <w:r w:rsidR="000D5120">
        <w:t xml:space="preserve"> without this information collection</w:t>
      </w:r>
      <w:r w:rsidR="00ED46A2">
        <w:t xml:space="preserve">. </w:t>
      </w:r>
    </w:p>
    <w:p w:rsidR="006823A0" w:rsidRPr="007678FD" w:rsidP="00DE7A27" w14:paraId="3994B7BA" w14:textId="77777777">
      <w:pPr>
        <w:rPr>
          <w:u w:val="single"/>
        </w:rPr>
      </w:pPr>
    </w:p>
    <w:p w:rsidR="006823A0" w:rsidRPr="007678FD" w:rsidP="00DE7A27" w14:paraId="19593071" w14:textId="5454FBDC">
      <w:pPr>
        <w:rPr>
          <w:u w:val="single"/>
        </w:rPr>
      </w:pPr>
      <w:r w:rsidRPr="00DE7A27">
        <w:rPr>
          <w:b/>
          <w:bCs/>
        </w:rPr>
        <w:t>7.</w:t>
      </w:r>
      <w:r w:rsidR="00DE7A27">
        <w:t xml:space="preserve">  </w:t>
      </w:r>
      <w:r w:rsidRPr="00180A3F" w:rsidR="00E32EA8">
        <w:rPr>
          <w:b/>
          <w:bCs/>
        </w:rPr>
        <w:t xml:space="preserve">Explain any special circumstances that would cause </w:t>
      </w:r>
      <w:r w:rsidR="005D2A6B">
        <w:rPr>
          <w:b/>
          <w:bCs/>
        </w:rPr>
        <w:t>the</w:t>
      </w:r>
      <w:r w:rsidRPr="00180A3F" w:rsidR="00E32EA8">
        <w:rPr>
          <w:b/>
          <w:bCs/>
        </w:rPr>
        <w:t xml:space="preserve"> information collection to be conducted in a manner</w:t>
      </w:r>
      <w:r w:rsidR="00E32EA8">
        <w:rPr>
          <w:b/>
          <w:bCs/>
        </w:rPr>
        <w:t xml:space="preserve"> inconsistent with 5 CFR 1320.6.</w:t>
      </w:r>
    </w:p>
    <w:p w:rsidR="006823A0" w:rsidRPr="007678FD" w:rsidP="00DE7A27" w14:paraId="0DA418AD" w14:textId="77777777">
      <w:pPr>
        <w:rPr>
          <w:u w:val="single"/>
        </w:rPr>
      </w:pPr>
    </w:p>
    <w:p w:rsidR="00E73EC8" w:rsidP="00114D5A" w14:paraId="2558B5F1" w14:textId="07EF50A9">
      <w:r w:rsidRPr="00783EAE">
        <w:t>There are no special circumstances associated with this information collection, which is conducted in a manner consistent with 5 CFR 1320.6. </w:t>
      </w:r>
      <w:r w:rsidR="000D5120">
        <w:t xml:space="preserve"> </w:t>
      </w:r>
    </w:p>
    <w:p w:rsidR="006823A0" w:rsidP="00DE7A27" w14:paraId="57489BD7" w14:textId="77777777"/>
    <w:p w:rsidR="006823A0" w:rsidRPr="007678FD" w:rsidP="00DE7A27" w14:paraId="178F7747" w14:textId="2BC90CCC">
      <w:pPr>
        <w:rPr>
          <w:u w:val="single"/>
        </w:rPr>
      </w:pPr>
      <w:r w:rsidRPr="00AC4CCD">
        <w:rPr>
          <w:b/>
          <w:bCs/>
        </w:rPr>
        <w:t>8.</w:t>
      </w:r>
      <w:r w:rsidR="00AC4CCD">
        <w:rPr>
          <w:b/>
          <w:bCs/>
        </w:rPr>
        <w:t xml:space="preserve">  </w:t>
      </w:r>
      <w:r w:rsidRPr="00D53DEB" w:rsidR="002C6B21">
        <w:rPr>
          <w:b/>
          <w:bCs/>
        </w:rPr>
        <w:t xml:space="preserve">If applicable, provide a copy and identify the date and page number of publication in </w:t>
      </w:r>
      <w:r w:rsidRPr="00180A3F" w:rsidR="002C6B21">
        <w:rPr>
          <w:b/>
          <w:bCs/>
        </w:rPr>
        <w:t>the</w:t>
      </w:r>
      <w:r w:rsidR="002C6B21">
        <w:rPr>
          <w:b/>
          <w:bCs/>
        </w:rPr>
        <w:t xml:space="preserve"> </w:t>
      </w:r>
      <w:r w:rsidRPr="00180A3F" w:rsidR="002C6B21">
        <w:rPr>
          <w:b/>
          <w:bCs/>
          <w:i/>
          <w:iCs/>
        </w:rPr>
        <w:t>Federal Register</w:t>
      </w:r>
      <w:r w:rsidRPr="00180A3F" w:rsidR="002C6B21">
        <w:rPr>
          <w:b/>
          <w:bCs/>
        </w:rPr>
        <w:t xml:space="preserve"> of the agency's </w:t>
      </w:r>
      <w:r w:rsidRPr="00D53DEB" w:rsidR="002C6B21">
        <w:rPr>
          <w:b/>
          <w:bCs/>
        </w:rPr>
        <w:t>notice, required by 5 CFR 1320.8(d), soliciting comments on the information collection prior to submission to OMB.</w:t>
      </w:r>
    </w:p>
    <w:p w:rsidR="006823A0" w:rsidRPr="007678FD" w:rsidP="00DE7A27" w14:paraId="75DF8F0B" w14:textId="77777777">
      <w:pPr>
        <w:rPr>
          <w:u w:val="single"/>
        </w:rPr>
      </w:pPr>
    </w:p>
    <w:p w:rsidR="006823A0" w:rsidRPr="00B875D0" w:rsidP="00DE7A27" w14:paraId="1C7F984D" w14:textId="26E6C910">
      <w:r w:rsidRPr="00B776ED">
        <w:t xml:space="preserve">The 60-Day Notice was published in the </w:t>
      </w:r>
      <w:r w:rsidRPr="00B776ED">
        <w:rPr>
          <w:i/>
          <w:iCs/>
        </w:rPr>
        <w:t>Federal Register</w:t>
      </w:r>
      <w:r w:rsidRPr="00B776ED">
        <w:t xml:space="preserve"> on </w:t>
      </w:r>
      <w:r w:rsidRPr="00B776ED" w:rsidR="00B776ED">
        <w:t>January 10, 2025</w:t>
      </w:r>
      <w:r w:rsidRPr="00B776ED">
        <w:t xml:space="preserve"> (</w:t>
      </w:r>
      <w:r w:rsidRPr="00B776ED" w:rsidR="00B776ED">
        <w:t>90</w:t>
      </w:r>
      <w:r w:rsidRPr="00B776ED">
        <w:t xml:space="preserve"> FR </w:t>
      </w:r>
      <w:r w:rsidRPr="00B776ED" w:rsidR="00B776ED">
        <w:t>2031</w:t>
      </w:r>
      <w:r w:rsidRPr="00B776ED">
        <w:t>).</w:t>
      </w:r>
      <w:r w:rsidRPr="00AC4CCD">
        <w:t xml:space="preserve"> The comment period ended on </w:t>
      </w:r>
      <w:r w:rsidR="00B776ED">
        <w:t>March 11, 2025</w:t>
      </w:r>
      <w:r w:rsidRPr="00AC4CCD">
        <w:t>. ATF received no comments. </w:t>
      </w:r>
      <w:r w:rsidRPr="00B875D0">
        <w:t xml:space="preserve">  </w:t>
      </w:r>
    </w:p>
    <w:p w:rsidR="006823A0" w:rsidRPr="007678FD" w:rsidP="00DE7A27" w14:paraId="66028CD3" w14:textId="77777777">
      <w:pPr>
        <w:rPr>
          <w:u w:val="single"/>
        </w:rPr>
      </w:pPr>
    </w:p>
    <w:p w:rsidR="006823A0" w:rsidRPr="007678FD" w:rsidP="00DE7A27" w14:paraId="0AE1661A" w14:textId="12E1112C">
      <w:pPr>
        <w:rPr>
          <w:u w:val="single"/>
        </w:rPr>
      </w:pPr>
      <w:r w:rsidRPr="00AC4CCD">
        <w:rPr>
          <w:b/>
          <w:bCs/>
        </w:rPr>
        <w:t>9.</w:t>
      </w:r>
      <w:r w:rsidR="00AC4CCD">
        <w:t xml:space="preserve">  </w:t>
      </w:r>
      <w:r w:rsidRPr="0047530A" w:rsidR="00453DBA">
        <w:rPr>
          <w:b/>
          <w:bCs/>
        </w:rPr>
        <w:t>Explain any decision to provide any payments or gifts to respondents, other than remuneration of contractors or grantees.</w:t>
      </w:r>
    </w:p>
    <w:p w:rsidR="006823A0" w:rsidRPr="007678FD" w:rsidP="00DE7A27" w14:paraId="0416B90F" w14:textId="77777777">
      <w:pPr>
        <w:rPr>
          <w:u w:val="single"/>
        </w:rPr>
      </w:pPr>
    </w:p>
    <w:p w:rsidR="006823A0" w:rsidP="00DE7A27" w14:paraId="297DF1B7" w14:textId="379D5DED">
      <w:r w:rsidRPr="00C027C5">
        <w:t>No payment or gift is associated with this information collection.</w:t>
      </w:r>
    </w:p>
    <w:p w:rsidR="00C027C5" w:rsidP="00DE7A27" w14:paraId="4F63A2B7" w14:textId="77777777"/>
    <w:p w:rsidR="006823A0" w:rsidRPr="007678FD" w:rsidP="00DE7A27" w14:paraId="5FAEAF5A" w14:textId="555DE00F">
      <w:pPr>
        <w:rPr>
          <w:u w:val="single"/>
        </w:rPr>
      </w:pPr>
      <w:r w:rsidRPr="00AC4CCD">
        <w:rPr>
          <w:b/>
          <w:bCs/>
        </w:rPr>
        <w:t>10.</w:t>
      </w:r>
      <w:r w:rsidR="00AC4CCD">
        <w:t xml:space="preserve">  </w:t>
      </w:r>
      <w:r w:rsidRPr="00D53DEB" w:rsidR="00B47DC4">
        <w:rPr>
          <w:b/>
          <w:bCs/>
        </w:rPr>
        <w:t>Describe any assurance of confidentiality provided to respondents and the basis for the assurance in statute, regulation, or agency policy.</w:t>
      </w:r>
    </w:p>
    <w:p w:rsidR="006823A0" w:rsidRPr="007678FD" w:rsidP="00DE7A27" w14:paraId="4B8A0089" w14:textId="77777777">
      <w:pPr>
        <w:rPr>
          <w:u w:val="single"/>
        </w:rPr>
      </w:pPr>
    </w:p>
    <w:p w:rsidR="00415475" w:rsidP="00DE7A27" w14:paraId="084376BE" w14:textId="3A8DC667">
      <w:r w:rsidRPr="00D33EAD">
        <w:t>ATF has not assured respondents of confidentiality. However, the information being collected includes PII and is thus protected by the Privacy Act. The information is maintained by ATF in</w:t>
      </w:r>
      <w:r w:rsidR="00D47FCE">
        <w:t xml:space="preserve"> </w:t>
      </w:r>
      <w:r w:rsidRPr="00D47FCE" w:rsidR="00D47FCE">
        <w:t>the</w:t>
      </w:r>
      <w:r w:rsidRPr="00D47FCE">
        <w:t xml:space="preserve"> system of records</w:t>
      </w:r>
      <w:r w:rsidR="00D47FCE">
        <w:t>:</w:t>
      </w:r>
      <w:r w:rsidRPr="00D47FCE">
        <w:t xml:space="preserve"> </w:t>
      </w:r>
      <w:r w:rsidRPr="00D47FCE" w:rsidR="00C51EB8">
        <w:t>Justice/ATF-006</w:t>
      </w:r>
      <w:r w:rsidRPr="00D47FCE" w:rsidR="00D47FCE">
        <w:t xml:space="preserve"> Internal Security Record System</w:t>
      </w:r>
      <w:r w:rsidRPr="00D47FCE">
        <w:t>. The form that</w:t>
      </w:r>
      <w:r w:rsidRPr="00D33EAD">
        <w:t xml:space="preserve"> accompanies this ICR includes a Privacy Act statement that covers this information and informs respondents of the system of records, routine uses, </w:t>
      </w:r>
      <w:r w:rsidR="00D47FCE">
        <w:t xml:space="preserve">and disclosure </w:t>
      </w:r>
      <w:r w:rsidR="00876C3B">
        <w:t>options</w:t>
      </w:r>
      <w:r w:rsidRPr="00D33EAD">
        <w:t>.</w:t>
      </w:r>
    </w:p>
    <w:p w:rsidR="006823A0" w:rsidRPr="00954A31" w:rsidP="00DE7A27" w14:paraId="1F2F0AE0" w14:textId="77777777">
      <w:pPr>
        <w:rPr>
          <w:u w:val="single"/>
        </w:rPr>
      </w:pPr>
      <w:r>
        <w:t xml:space="preserve">  </w:t>
      </w:r>
    </w:p>
    <w:p w:rsidR="006823A0" w:rsidRPr="007678FD" w:rsidP="00DE7A27" w14:paraId="6AC10186" w14:textId="1A705664">
      <w:pPr>
        <w:rPr>
          <w:u w:val="single"/>
        </w:rPr>
      </w:pPr>
      <w:r w:rsidRPr="00D61314">
        <w:rPr>
          <w:b/>
          <w:bCs/>
        </w:rPr>
        <w:t>11.</w:t>
      </w:r>
      <w:r w:rsidR="00D61314">
        <w:rPr>
          <w:b/>
          <w:bCs/>
        </w:rPr>
        <w:t xml:space="preserve">  </w:t>
      </w:r>
      <w:r w:rsidRPr="00D53DEB" w:rsidR="00CC7F37">
        <w:rPr>
          <w:b/>
          <w:bCs/>
        </w:rPr>
        <w:t>Provide additional justification for any questions of a sensitive nature, such as sexual behavior and attitudes, religious beliefs, and other matters that are commonly considered private</w:t>
      </w:r>
      <w:r w:rsidR="00CC7F37">
        <w:rPr>
          <w:b/>
          <w:bCs/>
        </w:rPr>
        <w:t>.</w:t>
      </w:r>
    </w:p>
    <w:p w:rsidR="006823A0" w:rsidRPr="007678FD" w:rsidP="00DE7A27" w14:paraId="09645CD5" w14:textId="77777777">
      <w:pPr>
        <w:rPr>
          <w:u w:val="single"/>
        </w:rPr>
      </w:pPr>
    </w:p>
    <w:p w:rsidR="006823A0" w:rsidRPr="007678FD" w:rsidP="00DE7A27" w14:paraId="6A4A011D" w14:textId="64141318">
      <w:r w:rsidRPr="00F81A98">
        <w:t>This information collection does not ask questions or require information of a sensitive nature.</w:t>
      </w:r>
    </w:p>
    <w:p w:rsidR="006823A0" w:rsidRPr="007678FD" w:rsidP="00DE7A27" w14:paraId="3419960B" w14:textId="77777777">
      <w:pPr>
        <w:rPr>
          <w:u w:val="single"/>
        </w:rPr>
      </w:pPr>
    </w:p>
    <w:p w:rsidR="006823A0" w:rsidRPr="007678FD" w:rsidP="00DE7A27" w14:paraId="549DFC09" w14:textId="7B0AD29D">
      <w:pPr>
        <w:rPr>
          <w:u w:val="single"/>
        </w:rPr>
      </w:pPr>
      <w:r w:rsidRPr="00D61314">
        <w:rPr>
          <w:b/>
          <w:bCs/>
        </w:rPr>
        <w:t>12.</w:t>
      </w:r>
      <w:r w:rsidR="00D61314">
        <w:rPr>
          <w:b/>
          <w:bCs/>
        </w:rPr>
        <w:t xml:space="preserve">  </w:t>
      </w:r>
      <w:r w:rsidRPr="00260AAF" w:rsidR="00EE71FA">
        <w:rPr>
          <w:b/>
          <w:bCs/>
        </w:rPr>
        <w:t xml:space="preserve">Provide estimates of the </w:t>
      </w:r>
      <w:r w:rsidR="00EE71FA">
        <w:rPr>
          <w:b/>
          <w:bCs/>
        </w:rPr>
        <w:t>information collection’s hour burden</w:t>
      </w:r>
      <w:r w:rsidRPr="00260AAF" w:rsidR="00EE71FA">
        <w:rPr>
          <w:b/>
          <w:bCs/>
        </w:rPr>
        <w:t>.</w:t>
      </w:r>
    </w:p>
    <w:p w:rsidR="006823A0" w:rsidRPr="007678FD" w:rsidP="00DE7A27" w14:paraId="4BDACF84" w14:textId="77777777">
      <w:pPr>
        <w:rPr>
          <w:u w:val="single"/>
        </w:rPr>
      </w:pPr>
    </w:p>
    <w:p w:rsidR="008E72FC" w:rsidP="00DE7A27" w14:paraId="2457EA86" w14:textId="2DEEE5C6">
      <w:r>
        <w:t>ATF anticipates</w:t>
      </w:r>
      <w:r w:rsidR="000C5CE1">
        <w:t>, based on past numbers,</w:t>
      </w:r>
      <w:r w:rsidRPr="00956C61">
        <w:t xml:space="preserve"> that </w:t>
      </w:r>
      <w:r w:rsidR="007621FF">
        <w:t>900</w:t>
      </w:r>
      <w:r w:rsidRPr="00956C61">
        <w:t xml:space="preserve"> respondents will complete this </w:t>
      </w:r>
      <w:r w:rsidR="000C5CE1">
        <w:t>application</w:t>
      </w:r>
      <w:r w:rsidR="000C5048">
        <w:t xml:space="preserve"> for access to </w:t>
      </w:r>
      <w:r w:rsidR="000C4A0F">
        <w:t xml:space="preserve">a </w:t>
      </w:r>
      <w:r w:rsidR="000C5048">
        <w:t>specific ATF facility</w:t>
      </w:r>
      <w:r w:rsidRPr="00956C61">
        <w:t>.</w:t>
      </w:r>
      <w:r>
        <w:t xml:space="preserve"> </w:t>
      </w:r>
      <w:r w:rsidR="000C5048">
        <w:t xml:space="preserve">However, </w:t>
      </w:r>
      <w:r w:rsidR="00026316">
        <w:t xml:space="preserve">a </w:t>
      </w:r>
      <w:r w:rsidR="000C5CE1">
        <w:t xml:space="preserve">given person must complete a </w:t>
      </w:r>
      <w:r w:rsidR="00026316">
        <w:t xml:space="preserve">new form </w:t>
      </w:r>
      <w:r w:rsidR="000C5048">
        <w:t xml:space="preserve">if the same individual requires </w:t>
      </w:r>
      <w:r w:rsidR="00026316">
        <w:t xml:space="preserve">long-term access to </w:t>
      </w:r>
      <w:r w:rsidR="000C5048">
        <w:t>an</w:t>
      </w:r>
      <w:r w:rsidR="00026316">
        <w:t xml:space="preserve"> </w:t>
      </w:r>
      <w:r w:rsidR="007A6E0F">
        <w:t>ATF facility</w:t>
      </w:r>
      <w:r w:rsidR="00026316">
        <w:t xml:space="preserve"> </w:t>
      </w:r>
      <w:r w:rsidR="000C5048">
        <w:t>for more than a year</w:t>
      </w:r>
      <w:r w:rsidR="00BE6B6C">
        <w:t xml:space="preserve">. </w:t>
      </w:r>
      <w:r w:rsidR="000C5CE1">
        <w:t>We estimate</w:t>
      </w:r>
      <w:r w:rsidRPr="00956C61">
        <w:t xml:space="preserve"> that it takes </w:t>
      </w:r>
      <w:r w:rsidR="000C5CE1">
        <w:t>five</w:t>
      </w:r>
      <w:r w:rsidRPr="00956C61">
        <w:t xml:space="preserve"> minutes</w:t>
      </w:r>
      <w:r w:rsidR="005E630F">
        <w:t xml:space="preserve"> (or 0.0833 hours)</w:t>
      </w:r>
      <w:r w:rsidRPr="00956C61">
        <w:t xml:space="preserve"> to complete the form. The </w:t>
      </w:r>
      <w:r w:rsidRPr="00AD2274">
        <w:t xml:space="preserve">total annual burden hours associated with this collection is </w:t>
      </w:r>
      <w:r w:rsidR="000C5CE1">
        <w:t xml:space="preserve">therefore </w:t>
      </w:r>
      <w:r w:rsidR="004C0B68">
        <w:t>75</w:t>
      </w:r>
      <w:r w:rsidRPr="00AD2274">
        <w:t xml:space="preserve"> hours</w:t>
      </w:r>
      <w:r w:rsidR="000C5CE1">
        <w:t xml:space="preserve"> (900 respondents *</w:t>
      </w:r>
      <w:r w:rsidR="00BC26C9">
        <w:t xml:space="preserve"> 0.0833)</w:t>
      </w:r>
      <w:r w:rsidRPr="00AD2274">
        <w:t xml:space="preserve">. </w:t>
      </w:r>
    </w:p>
    <w:p w:rsidR="008E72FC" w:rsidP="00DE7A27" w14:paraId="5BCCDBE9" w14:textId="77777777"/>
    <w:p w:rsidR="00EB2EE1" w:rsidRPr="00EB2EE1" w:rsidP="001A1D38" w14:paraId="48D85CBE" w14:textId="107C2410">
      <w:pPr>
        <w:jc w:val="center"/>
      </w:pPr>
      <w:r w:rsidRPr="00EB2EE1">
        <w:rPr>
          <w:b/>
          <w:bCs/>
        </w:rPr>
        <w:t>Table.</w:t>
      </w:r>
      <w:r w:rsidR="00055566">
        <w:rPr>
          <w:b/>
          <w:bCs/>
        </w:rPr>
        <w:t xml:space="preserve"> </w:t>
      </w:r>
      <w:r w:rsidRPr="00EB2EE1">
        <w:rPr>
          <w:b/>
          <w:bCs/>
        </w:rPr>
        <w:t xml:space="preserve"> Estimated Annualized Respondent Cost and Hour Burden</w:t>
      </w:r>
    </w:p>
    <w:tbl>
      <w:tblPr>
        <w:tblW w:w="8378" w:type="dxa"/>
        <w:jc w:val="center"/>
        <w:tblBorders>
          <w:top w:val="outset" w:sz="6" w:space="0" w:color="auto"/>
          <w:left w:val="outset" w:sz="6" w:space="0" w:color="auto"/>
          <w:bottom w:val="outset" w:sz="6" w:space="0" w:color="auto"/>
          <w:right w:val="outset" w:sz="6" w:space="0" w:color="auto"/>
        </w:tblBorders>
        <w:tblCellMar>
          <w:left w:w="29" w:type="dxa"/>
          <w:right w:w="0" w:type="dxa"/>
        </w:tblCellMar>
        <w:tblLook w:val="04A0"/>
      </w:tblPr>
      <w:tblGrid>
        <w:gridCol w:w="2171"/>
        <w:gridCol w:w="1270"/>
        <w:gridCol w:w="1261"/>
        <w:gridCol w:w="1424"/>
        <w:gridCol w:w="1080"/>
        <w:gridCol w:w="1172"/>
      </w:tblGrid>
      <w:tr w14:paraId="5FFD9AE4" w14:textId="77777777" w:rsidTr="00B776ED">
        <w:tblPrEx>
          <w:tblW w:w="8378" w:type="dxa"/>
          <w:jc w:val="center"/>
          <w:tblBorders>
            <w:top w:val="outset" w:sz="6" w:space="0" w:color="auto"/>
            <w:left w:val="outset" w:sz="6" w:space="0" w:color="auto"/>
            <w:bottom w:val="outset" w:sz="6" w:space="0" w:color="auto"/>
            <w:right w:val="outset" w:sz="6" w:space="0" w:color="auto"/>
          </w:tblBorders>
          <w:tblCellMar>
            <w:left w:w="29" w:type="dxa"/>
            <w:right w:w="0" w:type="dxa"/>
          </w:tblCellMar>
          <w:tblLook w:val="04A0"/>
        </w:tblPrEx>
        <w:trPr>
          <w:trHeight w:val="300"/>
          <w:jc w:val="center"/>
        </w:trPr>
        <w:tc>
          <w:tcPr>
            <w:tcW w:w="2206"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2F6AB3D9" w14:textId="154F0253">
            <w:pPr>
              <w:jc w:val="center"/>
            </w:pPr>
            <w:r w:rsidRPr="00EB2EE1">
              <w:rPr>
                <w:b/>
                <w:bCs/>
              </w:rPr>
              <w:t>Activity</w:t>
            </w:r>
          </w:p>
        </w:tc>
        <w:tc>
          <w:tcPr>
            <w:tcW w:w="1206"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2B8268F8" w14:textId="32C5068A">
            <w:pPr>
              <w:jc w:val="center"/>
            </w:pPr>
            <w:r w:rsidRPr="00EB2EE1">
              <w:rPr>
                <w:b/>
                <w:bCs/>
              </w:rPr>
              <w:t>Number of respondents</w:t>
            </w:r>
          </w:p>
        </w:tc>
        <w:tc>
          <w:tcPr>
            <w:tcW w:w="126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4501C377" w14:textId="3BCD3D3B">
            <w:pPr>
              <w:jc w:val="center"/>
            </w:pPr>
            <w:r w:rsidRPr="00EB2EE1">
              <w:rPr>
                <w:b/>
                <w:bCs/>
              </w:rPr>
              <w:t>Frequency</w:t>
            </w:r>
          </w:p>
        </w:tc>
        <w:tc>
          <w:tcPr>
            <w:tcW w:w="143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6FB4901B" w14:textId="4BB2CF08">
            <w:pPr>
              <w:jc w:val="center"/>
            </w:pPr>
            <w:r w:rsidRPr="00EB2EE1">
              <w:rPr>
                <w:b/>
                <w:bCs/>
              </w:rPr>
              <w:t>Total annual responses</w:t>
            </w:r>
          </w:p>
        </w:tc>
        <w:tc>
          <w:tcPr>
            <w:tcW w:w="1084"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7D0960E1" w14:textId="25BD5481">
            <w:pPr>
              <w:jc w:val="center"/>
            </w:pPr>
            <w:r w:rsidRPr="00EB2EE1">
              <w:rPr>
                <w:b/>
                <w:bCs/>
              </w:rPr>
              <w:t>Time per response</w:t>
            </w:r>
          </w:p>
        </w:tc>
        <w:tc>
          <w:tcPr>
            <w:tcW w:w="1182"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0802CD" w:rsidRPr="00EB2EE1" w:rsidP="00027F08" w14:paraId="6BD6885A" w14:textId="6B5F903C">
            <w:pPr>
              <w:jc w:val="center"/>
            </w:pPr>
            <w:r w:rsidRPr="00EB2EE1">
              <w:rPr>
                <w:b/>
                <w:bCs/>
              </w:rPr>
              <w:t>Total annual burden (hours)</w:t>
            </w:r>
          </w:p>
        </w:tc>
      </w:tr>
      <w:tr w14:paraId="04837BC7" w14:textId="77777777" w:rsidTr="00B776ED">
        <w:tblPrEx>
          <w:tblW w:w="8378" w:type="dxa"/>
          <w:jc w:val="center"/>
          <w:tblCellMar>
            <w:left w:w="29" w:type="dxa"/>
            <w:right w:w="0" w:type="dxa"/>
          </w:tblCellMar>
          <w:tblLook w:val="04A0"/>
        </w:tblPrEx>
        <w:trPr>
          <w:trHeight w:val="300"/>
          <w:jc w:val="center"/>
        </w:trPr>
        <w:tc>
          <w:tcPr>
            <w:tcW w:w="22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1F2C0ECC" w14:textId="746DE274">
            <w:pPr>
              <w:rPr>
                <w:sz w:val="20"/>
                <w:szCs w:val="20"/>
              </w:rPr>
            </w:pPr>
            <w:r w:rsidRPr="00AE6BDC">
              <w:rPr>
                <w:sz w:val="20"/>
                <w:szCs w:val="20"/>
              </w:rPr>
              <w:t>Filling out Visitor Access Request</w:t>
            </w:r>
            <w:r>
              <w:rPr>
                <w:sz w:val="20"/>
                <w:szCs w:val="20"/>
              </w:rPr>
              <w:t xml:space="preserve"> form</w:t>
            </w:r>
          </w:p>
        </w:tc>
        <w:tc>
          <w:tcPr>
            <w:tcW w:w="12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78406626" w14:textId="7D3F37F6">
            <w:pPr>
              <w:jc w:val="center"/>
              <w:rPr>
                <w:sz w:val="20"/>
                <w:szCs w:val="20"/>
              </w:rPr>
            </w:pPr>
            <w:r>
              <w:rPr>
                <w:sz w:val="20"/>
                <w:szCs w:val="20"/>
              </w:rPr>
              <w:t>900</w:t>
            </w:r>
          </w:p>
        </w:tc>
        <w:tc>
          <w:tcPr>
            <w:tcW w:w="12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599BA8EE" w14:textId="7D52D3F5">
            <w:pPr>
              <w:jc w:val="center"/>
              <w:rPr>
                <w:sz w:val="20"/>
                <w:szCs w:val="20"/>
              </w:rPr>
            </w:pPr>
            <w:r>
              <w:rPr>
                <w:sz w:val="20"/>
                <w:szCs w:val="20"/>
              </w:rPr>
              <w:t>1</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43AC864E" w14:textId="6D9A4E9E">
            <w:pPr>
              <w:jc w:val="center"/>
              <w:rPr>
                <w:sz w:val="20"/>
                <w:szCs w:val="20"/>
              </w:rPr>
            </w:pPr>
            <w:r>
              <w:rPr>
                <w:sz w:val="20"/>
                <w:szCs w:val="20"/>
              </w:rPr>
              <w:t>900</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4CA941FD" w14:textId="53C703E6">
            <w:pPr>
              <w:jc w:val="center"/>
              <w:rPr>
                <w:sz w:val="20"/>
                <w:szCs w:val="20"/>
              </w:rPr>
            </w:pPr>
            <w:r>
              <w:rPr>
                <w:sz w:val="20"/>
                <w:szCs w:val="20"/>
              </w:rPr>
              <w:t>0.0833</w:t>
            </w:r>
          </w:p>
        </w:tc>
        <w:tc>
          <w:tcPr>
            <w:tcW w:w="11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802CD" w:rsidRPr="00EB2EE1" w:rsidP="00055566" w14:paraId="14557715" w14:textId="14ED7C2D">
            <w:pPr>
              <w:jc w:val="center"/>
              <w:rPr>
                <w:sz w:val="20"/>
                <w:szCs w:val="20"/>
              </w:rPr>
            </w:pPr>
            <w:r>
              <w:rPr>
                <w:sz w:val="20"/>
                <w:szCs w:val="20"/>
              </w:rPr>
              <w:t>75</w:t>
            </w:r>
          </w:p>
        </w:tc>
      </w:tr>
    </w:tbl>
    <w:p w:rsidR="00EB2EE1" w:rsidRPr="00AD2274" w:rsidP="00DE7A27" w14:paraId="341063B0" w14:textId="77777777"/>
    <w:p w:rsidR="006823A0" w:rsidRPr="00AD2274" w:rsidP="00DE7A27" w14:paraId="5D1D738D" w14:textId="3B0C464E">
      <w:pPr>
        <w:rPr>
          <w:u w:val="single"/>
        </w:rPr>
      </w:pPr>
      <w:r w:rsidRPr="00D61314">
        <w:rPr>
          <w:b/>
          <w:bCs/>
        </w:rPr>
        <w:t>13.</w:t>
      </w:r>
      <w:r w:rsidR="00D61314">
        <w:rPr>
          <w:b/>
          <w:bCs/>
        </w:rPr>
        <w:t xml:space="preserve">  </w:t>
      </w:r>
      <w:r w:rsidRPr="00746F5B" w:rsidR="007C7388">
        <w:rPr>
          <w:b/>
        </w:rPr>
        <w:t>Provide an estimate of the total annual cost burden to respondents or record</w:t>
      </w:r>
      <w:r w:rsidR="007C7388">
        <w:rPr>
          <w:b/>
        </w:rPr>
        <w:t>-</w:t>
      </w:r>
      <w:r w:rsidRPr="00746F5B" w:rsidR="007C7388">
        <w:rPr>
          <w:b/>
        </w:rPr>
        <w:t xml:space="preserve">keepers resulting from the </w:t>
      </w:r>
      <w:r w:rsidR="007C7388">
        <w:rPr>
          <w:b/>
        </w:rPr>
        <w:t>information collection</w:t>
      </w:r>
      <w:r w:rsidRPr="00746F5B" w:rsidR="007C7388">
        <w:rPr>
          <w:b/>
        </w:rPr>
        <w:t>.</w:t>
      </w:r>
      <w:r w:rsidR="007C7388">
        <w:rPr>
          <w:b/>
        </w:rPr>
        <w:t xml:space="preserve"> </w:t>
      </w:r>
      <w:r w:rsidRPr="00746F5B" w:rsidR="007C7388">
        <w:rPr>
          <w:b/>
        </w:rPr>
        <w:t>(Do not include the cost of any hour burden shown in Items 12 and 14).</w:t>
      </w:r>
    </w:p>
    <w:p w:rsidR="006823A0" w:rsidRPr="00AD2274" w:rsidP="00DE7A27" w14:paraId="4DE6D65E" w14:textId="77777777">
      <w:pPr>
        <w:rPr>
          <w:u w:val="single"/>
        </w:rPr>
      </w:pPr>
    </w:p>
    <w:p w:rsidR="006823A0" w:rsidRPr="000C69BA" w:rsidP="00DE7A27" w14:paraId="2BBAAE70" w14:textId="7D09D810">
      <w:pPr>
        <w:rPr>
          <w:b/>
          <w:bCs/>
        </w:rPr>
      </w:pPr>
      <w:r>
        <w:t xml:space="preserve">There </w:t>
      </w:r>
      <w:r w:rsidR="004A4D9B">
        <w:t>are</w:t>
      </w:r>
      <w:r>
        <w:t xml:space="preserve"> no</w:t>
      </w:r>
      <w:r w:rsidR="0040080D">
        <w:t xml:space="preserve"> additional</w:t>
      </w:r>
      <w:r>
        <w:t xml:space="preserve"> public cost</w:t>
      </w:r>
      <w:r w:rsidR="004A4D9B">
        <w:t>s</w:t>
      </w:r>
      <w:r>
        <w:t xml:space="preserve"> associated with this </w:t>
      </w:r>
      <w:r w:rsidR="004A4D9B">
        <w:t>information collection</w:t>
      </w:r>
      <w:r>
        <w:t xml:space="preserve">. </w:t>
      </w:r>
    </w:p>
    <w:p w:rsidR="006823A0" w:rsidP="00DE7A27" w14:paraId="33C2D3CF" w14:textId="77777777"/>
    <w:p w:rsidR="006823A0" w:rsidRPr="007678FD" w:rsidP="00DE7A27" w14:paraId="54446CDD" w14:textId="18171B64">
      <w:pPr>
        <w:rPr>
          <w:u w:val="single"/>
        </w:rPr>
      </w:pPr>
      <w:r w:rsidRPr="00D61314">
        <w:rPr>
          <w:b/>
          <w:bCs/>
        </w:rPr>
        <w:t>14.</w:t>
      </w:r>
      <w:r w:rsidR="00D61314">
        <w:rPr>
          <w:b/>
          <w:bCs/>
        </w:rPr>
        <w:t xml:space="preserve">  </w:t>
      </w:r>
      <w:r w:rsidRPr="00D53DEB" w:rsidR="00FB29DE">
        <w:rPr>
          <w:b/>
          <w:bCs/>
        </w:rPr>
        <w:t xml:space="preserve">Provide estimates of the annualized cost to the </w:t>
      </w:r>
      <w:r w:rsidR="00FB29DE">
        <w:rPr>
          <w:b/>
          <w:bCs/>
        </w:rPr>
        <w:t>f</w:t>
      </w:r>
      <w:r w:rsidRPr="00D53DEB" w:rsidR="00FB29DE">
        <w:rPr>
          <w:b/>
          <w:bCs/>
        </w:rPr>
        <w:t xml:space="preserve">ederal </w:t>
      </w:r>
      <w:r w:rsidR="00FB29DE">
        <w:rPr>
          <w:b/>
          <w:bCs/>
        </w:rPr>
        <w:t>g</w:t>
      </w:r>
      <w:r w:rsidRPr="00D53DEB" w:rsidR="00FB29DE">
        <w:rPr>
          <w:b/>
          <w:bCs/>
        </w:rPr>
        <w:t>overnment.</w:t>
      </w:r>
    </w:p>
    <w:p w:rsidR="006823A0" w:rsidRPr="007678FD" w:rsidP="00DE7A27" w14:paraId="60112AC2" w14:textId="77777777">
      <w:pPr>
        <w:rPr>
          <w:u w:val="single"/>
        </w:rPr>
      </w:pPr>
    </w:p>
    <w:p w:rsidR="00384CFC" w:rsidRPr="007678FD" w:rsidP="00DE7A27" w14:paraId="6AD82FCD" w14:textId="5F48FBD3">
      <w:r>
        <w:t>There is not cost to the federal government associated with this information collection.</w:t>
      </w:r>
      <w:r w:rsidR="00D0505A">
        <w:t xml:space="preserve"> </w:t>
      </w:r>
    </w:p>
    <w:p w:rsidR="006823A0" w:rsidRPr="007678FD" w:rsidP="00DE7A27" w14:paraId="225065AB" w14:textId="77777777">
      <w:pPr>
        <w:rPr>
          <w:u w:val="single"/>
        </w:rPr>
      </w:pPr>
    </w:p>
    <w:p w:rsidR="006823A0" w:rsidRPr="007678FD" w:rsidP="00DE7A27" w14:paraId="015916E2" w14:textId="2F930F00">
      <w:pPr>
        <w:rPr>
          <w:u w:val="single"/>
        </w:rPr>
      </w:pPr>
      <w:r w:rsidRPr="00D61314">
        <w:rPr>
          <w:b/>
          <w:bCs/>
        </w:rPr>
        <w:t>15.</w:t>
      </w:r>
      <w:r w:rsidR="00D61314">
        <w:t xml:space="preserve">  </w:t>
      </w:r>
      <w:r w:rsidRPr="00D53DEB" w:rsidR="003A5B43">
        <w:rPr>
          <w:b/>
          <w:bCs/>
        </w:rPr>
        <w:t>Explain the reasons for any program changes or adjustments</w:t>
      </w:r>
      <w:r w:rsidRPr="00A47DA7" w:rsidR="003A5B43">
        <w:rPr>
          <w:b/>
          <w:bCs/>
        </w:rPr>
        <w:t>.</w:t>
      </w:r>
    </w:p>
    <w:p w:rsidR="006823A0" w:rsidRPr="007678FD" w:rsidP="00DE7A27" w14:paraId="51CF93B3" w14:textId="77777777">
      <w:pPr>
        <w:rPr>
          <w:u w:val="single"/>
        </w:rPr>
      </w:pPr>
    </w:p>
    <w:p w:rsidR="006823A0" w:rsidRPr="007678FD" w:rsidP="00DE7A27" w14:paraId="23620B54" w14:textId="53B7C7AA">
      <w:r>
        <w:t>There have been no program changes. However, t</w:t>
      </w:r>
      <w:r w:rsidR="00B8583D">
        <w:t>he number of</w:t>
      </w:r>
      <w:r w:rsidR="0040080D">
        <w:t xml:space="preserve"> respondents </w:t>
      </w:r>
      <w:r w:rsidR="00B8583D">
        <w:t xml:space="preserve">has decreased since the last time this ICR was renewed, from </w:t>
      </w:r>
      <w:r w:rsidR="0040080D">
        <w:t>2,000</w:t>
      </w:r>
      <w:r w:rsidR="00B8583D">
        <w:t xml:space="preserve"> to</w:t>
      </w:r>
      <w:r w:rsidR="0040080D">
        <w:t xml:space="preserve"> </w:t>
      </w:r>
      <w:r w:rsidR="00D0505A">
        <w:t>900</w:t>
      </w:r>
      <w:r w:rsidR="00B8583D">
        <w:t>, based on the number of responses we’ve received annually during the past three years</w:t>
      </w:r>
      <w:r w:rsidR="00102D0F">
        <w:t>, resulting in a corresponding decrease in collective burden hours from 167 to 75</w:t>
      </w:r>
      <w:r w:rsidR="002F3588">
        <w:t>.</w:t>
      </w:r>
    </w:p>
    <w:p w:rsidR="006823A0" w:rsidRPr="007678FD" w:rsidP="00DE7A27" w14:paraId="03595788" w14:textId="77777777">
      <w:pPr>
        <w:rPr>
          <w:u w:val="single"/>
        </w:rPr>
      </w:pPr>
    </w:p>
    <w:p w:rsidR="006823A0" w:rsidRPr="007678FD" w:rsidP="00DE7A27" w14:paraId="157FB0DC" w14:textId="580DB5EF">
      <w:pPr>
        <w:rPr>
          <w:u w:val="single"/>
        </w:rPr>
      </w:pPr>
      <w:r w:rsidRPr="00E93734">
        <w:rPr>
          <w:b/>
          <w:bCs/>
        </w:rPr>
        <w:t>16.</w:t>
      </w:r>
      <w:r w:rsidR="00E93734">
        <w:t xml:space="preserve">  </w:t>
      </w:r>
      <w:r w:rsidRPr="00D53DEB" w:rsidR="00493722">
        <w:rPr>
          <w:b/>
          <w:bCs/>
        </w:rPr>
        <w:t xml:space="preserve">For </w:t>
      </w:r>
      <w:r w:rsidR="00493722">
        <w:rPr>
          <w:b/>
          <w:bCs/>
        </w:rPr>
        <w:t>information collections</w:t>
      </w:r>
      <w:r w:rsidRPr="00D53DEB" w:rsidR="00493722">
        <w:rPr>
          <w:b/>
          <w:bCs/>
        </w:rPr>
        <w:t xml:space="preserve"> whose results will be published, outline plans for tabulations and publication</w:t>
      </w:r>
      <w:r w:rsidRPr="00D53DEB" w:rsidR="00493722">
        <w:t>.</w:t>
      </w:r>
    </w:p>
    <w:p w:rsidR="006823A0" w:rsidRPr="007678FD" w:rsidP="00DE7A27" w14:paraId="5EB0A117" w14:textId="77777777">
      <w:pPr>
        <w:rPr>
          <w:u w:val="single"/>
        </w:rPr>
      </w:pPr>
    </w:p>
    <w:p w:rsidR="006823A0" w:rsidRPr="007678FD" w:rsidP="00DE7A27" w14:paraId="3920DFE6" w14:textId="5A2964FE">
      <w:r>
        <w:t>ATF will not publish the result of this collection</w:t>
      </w:r>
      <w:r w:rsidRPr="007678FD">
        <w:t>.</w:t>
      </w:r>
    </w:p>
    <w:p w:rsidR="006823A0" w:rsidRPr="007678FD" w:rsidP="00DE7A27" w14:paraId="3D3A4DA7" w14:textId="77777777">
      <w:pPr>
        <w:rPr>
          <w:u w:val="single"/>
        </w:rPr>
      </w:pPr>
    </w:p>
    <w:p w:rsidR="006823A0" w:rsidRPr="007678FD" w:rsidP="00DE7A27" w14:paraId="00C1C402" w14:textId="5E293EDB">
      <w:pPr>
        <w:rPr>
          <w:u w:val="single"/>
        </w:rPr>
      </w:pPr>
      <w:r w:rsidRPr="00E93734">
        <w:rPr>
          <w:b/>
          <w:bCs/>
        </w:rPr>
        <w:t>17.</w:t>
      </w:r>
      <w:r w:rsidR="00E93734">
        <w:t xml:space="preserve">  </w:t>
      </w:r>
      <w:r w:rsidRPr="00A35074" w:rsidR="00E432AF">
        <w:rPr>
          <w:b/>
          <w:bCs/>
        </w:rPr>
        <w:t>If seeking approval to not display the expiration date for OMB approval of the information collection, explain the reasons that display would be inappropriate.</w:t>
      </w:r>
    </w:p>
    <w:p w:rsidR="006823A0" w:rsidRPr="007678FD" w:rsidP="00DE7A27" w14:paraId="24892704" w14:textId="77777777">
      <w:pPr>
        <w:rPr>
          <w:u w:val="single"/>
        </w:rPr>
      </w:pPr>
    </w:p>
    <w:p w:rsidR="006823A0" w:rsidRPr="007678FD" w:rsidP="00DE7A27" w14:paraId="3CAA9753" w14:textId="07467A82">
      <w:r w:rsidRPr="002E784A">
        <w:t>ATF intends to display the OMB expiration date for this information collection.</w:t>
      </w:r>
    </w:p>
    <w:p w:rsidR="006823A0" w:rsidRPr="007678FD" w:rsidP="00DE7A27" w14:paraId="777C2C72" w14:textId="77777777"/>
    <w:p w:rsidR="006823A0" w:rsidRPr="007678FD" w:rsidP="00DE7A27" w14:paraId="71C1F91D" w14:textId="0F2C0482">
      <w:pPr>
        <w:rPr>
          <w:u w:val="single"/>
        </w:rPr>
      </w:pPr>
      <w:r w:rsidRPr="00E93734">
        <w:rPr>
          <w:b/>
          <w:bCs/>
        </w:rPr>
        <w:t>18.</w:t>
      </w:r>
      <w:r w:rsidR="00E93734">
        <w:t xml:space="preserve">  </w:t>
      </w:r>
      <w:r w:rsidRPr="0060369B" w:rsidR="004D7FB1">
        <w:rPr>
          <w:b/>
          <w:bCs/>
        </w:rPr>
        <w:t>Explain each exception to the certification statement.</w:t>
      </w:r>
    </w:p>
    <w:p w:rsidR="006823A0" w:rsidRPr="007678FD" w:rsidP="00DE7A27" w14:paraId="397EB65C" w14:textId="77777777">
      <w:pPr>
        <w:rPr>
          <w:u w:val="single"/>
        </w:rPr>
      </w:pPr>
    </w:p>
    <w:p w:rsidR="006823A0" w:rsidRPr="007678FD" w:rsidP="00DE7A27" w14:paraId="4D26C5C2" w14:textId="38560BF8">
      <w:r w:rsidRPr="006C35B6">
        <w:t>This information collection does not include any exceptions to the certification statement.</w:t>
      </w:r>
    </w:p>
    <w:p w:rsidR="006823A0" w:rsidRPr="007678FD" w:rsidP="00DE7A27" w14:paraId="637D7140" w14:textId="77777777"/>
    <w:p w:rsidR="006823A0" w:rsidRPr="002D582A" w:rsidP="00DE7A27" w14:paraId="5E6E92EB" w14:textId="63420EC2">
      <w:pPr>
        <w:rPr>
          <w:b/>
        </w:rPr>
      </w:pPr>
      <w:r w:rsidRPr="002D582A">
        <w:rPr>
          <w:b/>
        </w:rPr>
        <w:t xml:space="preserve">B.  </w:t>
      </w:r>
      <w:r>
        <w:rPr>
          <w:b/>
        </w:rPr>
        <w:tab/>
      </w:r>
      <w:r w:rsidR="0073327C">
        <w:rPr>
          <w:b/>
        </w:rPr>
        <w:t>COLLECTIONS</w:t>
      </w:r>
      <w:r w:rsidR="00D33938">
        <w:rPr>
          <w:b/>
        </w:rPr>
        <w:t xml:space="preserve"> OF INFORMATION EMPLOYING STATISTICAL METHODS.</w:t>
      </w:r>
    </w:p>
    <w:p w:rsidR="006823A0" w:rsidRPr="007678FD" w:rsidP="00DE7A27" w14:paraId="53072613" w14:textId="77777777"/>
    <w:p w:rsidR="006823A0" w:rsidRPr="003B6D98" w:rsidP="00DE7A27" w14:paraId="544C8589" w14:textId="7919C362">
      <w:r w:rsidRPr="00D61314">
        <w:t>This collection does not employ statistical methods. </w:t>
      </w:r>
    </w:p>
    <w:sectPr w:rsidSect="00F511C8">
      <w:footerReference w:type="default" r:id="rId8"/>
      <w:headerReference w:type="first" r:id="rId9"/>
      <w:pgSz w:w="12240" w:h="15840"/>
      <w:pgMar w:top="1440" w:right="1440" w:bottom="1440" w:left="1440"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542427"/>
      <w:docPartObj>
        <w:docPartGallery w:val="Page Numbers (Bottom of Page)"/>
        <w:docPartUnique/>
      </w:docPartObj>
    </w:sdtPr>
    <w:sdtEndPr>
      <w:rPr>
        <w:noProof/>
      </w:rPr>
    </w:sdtEndPr>
    <w:sdtContent>
      <w:p w:rsidR="00F511C8" w14:paraId="45E3469E" w14:textId="46BE9F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11C8" w14:paraId="3E33F1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6CC" w:rsidRPr="007656CC" w:rsidP="007656CC" w14:paraId="62E4CE61" w14:textId="77777777">
    <w:pPr>
      <w:pStyle w:val="Header"/>
      <w:rPr>
        <w:sz w:val="20"/>
        <w:szCs w:val="20"/>
      </w:rPr>
    </w:pPr>
    <w:r w:rsidRPr="007656CC">
      <w:rPr>
        <w:sz w:val="20"/>
        <w:szCs w:val="20"/>
      </w:rPr>
      <w:t>Visitor Access Request (ATF Form 8620.71)</w:t>
    </w:r>
  </w:p>
  <w:p w:rsidR="007656CC" w:rsidRPr="007656CC" w:rsidP="007656CC" w14:paraId="5ADC66B4" w14:textId="05CE6985">
    <w:pPr>
      <w:pStyle w:val="Header"/>
      <w:rPr>
        <w:sz w:val="20"/>
        <w:szCs w:val="20"/>
      </w:rPr>
    </w:pPr>
    <w:r w:rsidRPr="007656CC">
      <w:rPr>
        <w:sz w:val="20"/>
        <w:szCs w:val="20"/>
      </w:rPr>
      <w:t>OMB Control Number 1140-0120 </w:t>
    </w:r>
  </w:p>
  <w:p w:rsidR="007656CC" w:rsidRPr="007656CC" w:rsidP="007656CC" w14:paraId="545CFC47" w14:textId="17DC30E1">
    <w:pPr>
      <w:pStyle w:val="Header"/>
      <w:rPr>
        <w:sz w:val="20"/>
        <w:szCs w:val="20"/>
      </w:rPr>
    </w:pPr>
    <w:r w:rsidRPr="007656CC">
      <w:rPr>
        <w:sz w:val="20"/>
        <w:szCs w:val="20"/>
      </w:rPr>
      <w:t>OMB Expiration Date: </w:t>
    </w:r>
    <w:r w:rsidRPr="007656CC" w:rsidR="00324108">
      <w:rPr>
        <w:sz w:val="20"/>
        <w:szCs w:val="20"/>
      </w:rPr>
      <w:t>0</w:t>
    </w:r>
    <w:r w:rsidR="00324108">
      <w:rPr>
        <w:sz w:val="20"/>
        <w:szCs w:val="20"/>
      </w:rPr>
      <w:t>5</w:t>
    </w:r>
    <w:r w:rsidRPr="007656CC">
      <w:rPr>
        <w:sz w:val="20"/>
        <w:szCs w:val="20"/>
      </w:rPr>
      <w:t>/31/2025 </w:t>
    </w:r>
  </w:p>
  <w:p w:rsidR="007656CC" w14:paraId="37FBE7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C3292E"/>
    <w:multiLevelType w:val="hybridMultilevel"/>
    <w:tmpl w:val="05529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E66B71"/>
    <w:multiLevelType w:val="hybridMultilevel"/>
    <w:tmpl w:val="4EC42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351156">
    <w:abstractNumId w:val="1"/>
  </w:num>
  <w:num w:numId="2" w16cid:durableId="82235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01090"/>
    <w:rsid w:val="000066CD"/>
    <w:rsid w:val="00006C82"/>
    <w:rsid w:val="00006F46"/>
    <w:rsid w:val="00012D19"/>
    <w:rsid w:val="00015B30"/>
    <w:rsid w:val="00015FF6"/>
    <w:rsid w:val="00025AD7"/>
    <w:rsid w:val="00026316"/>
    <w:rsid w:val="0002710A"/>
    <w:rsid w:val="000274C1"/>
    <w:rsid w:val="00027F08"/>
    <w:rsid w:val="00030366"/>
    <w:rsid w:val="00032865"/>
    <w:rsid w:val="00035456"/>
    <w:rsid w:val="00037466"/>
    <w:rsid w:val="000438C6"/>
    <w:rsid w:val="00046382"/>
    <w:rsid w:val="000474B2"/>
    <w:rsid w:val="00055190"/>
    <w:rsid w:val="00055566"/>
    <w:rsid w:val="00061612"/>
    <w:rsid w:val="000669B9"/>
    <w:rsid w:val="000673B8"/>
    <w:rsid w:val="00071743"/>
    <w:rsid w:val="000802CD"/>
    <w:rsid w:val="00092A11"/>
    <w:rsid w:val="00094214"/>
    <w:rsid w:val="00095BA4"/>
    <w:rsid w:val="00097C11"/>
    <w:rsid w:val="000A633E"/>
    <w:rsid w:val="000A7834"/>
    <w:rsid w:val="000B53F5"/>
    <w:rsid w:val="000B588D"/>
    <w:rsid w:val="000B6018"/>
    <w:rsid w:val="000B72DB"/>
    <w:rsid w:val="000C16C4"/>
    <w:rsid w:val="000C4A0F"/>
    <w:rsid w:val="000C5048"/>
    <w:rsid w:val="000C5CE1"/>
    <w:rsid w:val="000C69BA"/>
    <w:rsid w:val="000D0B41"/>
    <w:rsid w:val="000D124B"/>
    <w:rsid w:val="000D5120"/>
    <w:rsid w:val="000D696D"/>
    <w:rsid w:val="000D77DA"/>
    <w:rsid w:val="000D7966"/>
    <w:rsid w:val="000E213B"/>
    <w:rsid w:val="000E2EFC"/>
    <w:rsid w:val="000E46D9"/>
    <w:rsid w:val="000E599D"/>
    <w:rsid w:val="000F110E"/>
    <w:rsid w:val="000F6FB4"/>
    <w:rsid w:val="00100F6C"/>
    <w:rsid w:val="0010247A"/>
    <w:rsid w:val="001026D4"/>
    <w:rsid w:val="00102BFC"/>
    <w:rsid w:val="00102D0F"/>
    <w:rsid w:val="0010580B"/>
    <w:rsid w:val="001103F7"/>
    <w:rsid w:val="001105B0"/>
    <w:rsid w:val="00111C18"/>
    <w:rsid w:val="00112977"/>
    <w:rsid w:val="00114D5A"/>
    <w:rsid w:val="001201DC"/>
    <w:rsid w:val="0013071B"/>
    <w:rsid w:val="001416A5"/>
    <w:rsid w:val="001428F2"/>
    <w:rsid w:val="00146991"/>
    <w:rsid w:val="0014744F"/>
    <w:rsid w:val="0015624C"/>
    <w:rsid w:val="00156346"/>
    <w:rsid w:val="001646D9"/>
    <w:rsid w:val="00165050"/>
    <w:rsid w:val="001809A1"/>
    <w:rsid w:val="00180A3F"/>
    <w:rsid w:val="00181713"/>
    <w:rsid w:val="001835D9"/>
    <w:rsid w:val="001847D9"/>
    <w:rsid w:val="00191688"/>
    <w:rsid w:val="001A1D38"/>
    <w:rsid w:val="001A524A"/>
    <w:rsid w:val="001A5575"/>
    <w:rsid w:val="001B4B75"/>
    <w:rsid w:val="001B73C9"/>
    <w:rsid w:val="001D447A"/>
    <w:rsid w:val="001D77F6"/>
    <w:rsid w:val="001E319A"/>
    <w:rsid w:val="001E4387"/>
    <w:rsid w:val="001F5A8F"/>
    <w:rsid w:val="001F6592"/>
    <w:rsid w:val="00200185"/>
    <w:rsid w:val="002008DF"/>
    <w:rsid w:val="00200F77"/>
    <w:rsid w:val="00202622"/>
    <w:rsid w:val="0021355C"/>
    <w:rsid w:val="0022727F"/>
    <w:rsid w:val="00232352"/>
    <w:rsid w:val="00237F26"/>
    <w:rsid w:val="002408B0"/>
    <w:rsid w:val="0024162E"/>
    <w:rsid w:val="002432C2"/>
    <w:rsid w:val="00243B23"/>
    <w:rsid w:val="0024693F"/>
    <w:rsid w:val="00247D56"/>
    <w:rsid w:val="00250666"/>
    <w:rsid w:val="002508A2"/>
    <w:rsid w:val="002540C7"/>
    <w:rsid w:val="00256800"/>
    <w:rsid w:val="00260AAF"/>
    <w:rsid w:val="00267BE8"/>
    <w:rsid w:val="0027042B"/>
    <w:rsid w:val="00271C20"/>
    <w:rsid w:val="00280607"/>
    <w:rsid w:val="00287576"/>
    <w:rsid w:val="00291DA9"/>
    <w:rsid w:val="00296A0C"/>
    <w:rsid w:val="002A1E25"/>
    <w:rsid w:val="002A6592"/>
    <w:rsid w:val="002B0B45"/>
    <w:rsid w:val="002B40E2"/>
    <w:rsid w:val="002C187D"/>
    <w:rsid w:val="002C279E"/>
    <w:rsid w:val="002C44EA"/>
    <w:rsid w:val="002C6251"/>
    <w:rsid w:val="002C663B"/>
    <w:rsid w:val="002C6B21"/>
    <w:rsid w:val="002D582A"/>
    <w:rsid w:val="002E5ACC"/>
    <w:rsid w:val="002E784A"/>
    <w:rsid w:val="002F3588"/>
    <w:rsid w:val="002F4EA4"/>
    <w:rsid w:val="002F7A2D"/>
    <w:rsid w:val="00312075"/>
    <w:rsid w:val="00312D8A"/>
    <w:rsid w:val="0031636D"/>
    <w:rsid w:val="00317CB6"/>
    <w:rsid w:val="003227C2"/>
    <w:rsid w:val="00323175"/>
    <w:rsid w:val="00324108"/>
    <w:rsid w:val="003261C7"/>
    <w:rsid w:val="003279DD"/>
    <w:rsid w:val="00332F06"/>
    <w:rsid w:val="0033664F"/>
    <w:rsid w:val="00361183"/>
    <w:rsid w:val="003706AD"/>
    <w:rsid w:val="003756BA"/>
    <w:rsid w:val="00381063"/>
    <w:rsid w:val="003819FF"/>
    <w:rsid w:val="00384CFC"/>
    <w:rsid w:val="00384F17"/>
    <w:rsid w:val="0038620A"/>
    <w:rsid w:val="0038711E"/>
    <w:rsid w:val="0039308C"/>
    <w:rsid w:val="00397667"/>
    <w:rsid w:val="003A411A"/>
    <w:rsid w:val="003A4F40"/>
    <w:rsid w:val="003A512C"/>
    <w:rsid w:val="003A58BB"/>
    <w:rsid w:val="003A5B43"/>
    <w:rsid w:val="003A6956"/>
    <w:rsid w:val="003B0F6C"/>
    <w:rsid w:val="003B6808"/>
    <w:rsid w:val="003B6D98"/>
    <w:rsid w:val="003C4D5F"/>
    <w:rsid w:val="003C7A07"/>
    <w:rsid w:val="003D1DAC"/>
    <w:rsid w:val="003D53D3"/>
    <w:rsid w:val="003E227E"/>
    <w:rsid w:val="003E33DB"/>
    <w:rsid w:val="003E4CF7"/>
    <w:rsid w:val="003F04FC"/>
    <w:rsid w:val="003F617E"/>
    <w:rsid w:val="0040018E"/>
    <w:rsid w:val="0040080D"/>
    <w:rsid w:val="00403D96"/>
    <w:rsid w:val="00406035"/>
    <w:rsid w:val="004062B2"/>
    <w:rsid w:val="00413AD8"/>
    <w:rsid w:val="00415475"/>
    <w:rsid w:val="004306A4"/>
    <w:rsid w:val="004454CA"/>
    <w:rsid w:val="004519CC"/>
    <w:rsid w:val="0045343B"/>
    <w:rsid w:val="00453DBA"/>
    <w:rsid w:val="00462544"/>
    <w:rsid w:val="00471808"/>
    <w:rsid w:val="00471CB0"/>
    <w:rsid w:val="00474433"/>
    <w:rsid w:val="0047530A"/>
    <w:rsid w:val="0048311A"/>
    <w:rsid w:val="00483FB7"/>
    <w:rsid w:val="004876A2"/>
    <w:rsid w:val="00493422"/>
    <w:rsid w:val="00493722"/>
    <w:rsid w:val="00497282"/>
    <w:rsid w:val="004A4D9B"/>
    <w:rsid w:val="004A5C64"/>
    <w:rsid w:val="004A6F86"/>
    <w:rsid w:val="004C0B68"/>
    <w:rsid w:val="004C3D22"/>
    <w:rsid w:val="004C437C"/>
    <w:rsid w:val="004C52D0"/>
    <w:rsid w:val="004C5896"/>
    <w:rsid w:val="004D1FAA"/>
    <w:rsid w:val="004D361D"/>
    <w:rsid w:val="004D7FB1"/>
    <w:rsid w:val="004E024D"/>
    <w:rsid w:val="004E188C"/>
    <w:rsid w:val="004E47CF"/>
    <w:rsid w:val="004E7AAC"/>
    <w:rsid w:val="004F0955"/>
    <w:rsid w:val="004F10A6"/>
    <w:rsid w:val="005002CF"/>
    <w:rsid w:val="0050056E"/>
    <w:rsid w:val="00501F83"/>
    <w:rsid w:val="00502987"/>
    <w:rsid w:val="00506FED"/>
    <w:rsid w:val="00513050"/>
    <w:rsid w:val="00522206"/>
    <w:rsid w:val="005226F6"/>
    <w:rsid w:val="00525A04"/>
    <w:rsid w:val="00535869"/>
    <w:rsid w:val="005370E3"/>
    <w:rsid w:val="005406B7"/>
    <w:rsid w:val="00542CE1"/>
    <w:rsid w:val="00551EF3"/>
    <w:rsid w:val="00573F14"/>
    <w:rsid w:val="00577CAF"/>
    <w:rsid w:val="00580669"/>
    <w:rsid w:val="00584052"/>
    <w:rsid w:val="005853E8"/>
    <w:rsid w:val="005C0EBE"/>
    <w:rsid w:val="005C307E"/>
    <w:rsid w:val="005C359E"/>
    <w:rsid w:val="005C561A"/>
    <w:rsid w:val="005C6D6C"/>
    <w:rsid w:val="005D2A6B"/>
    <w:rsid w:val="005D713E"/>
    <w:rsid w:val="005E2E6D"/>
    <w:rsid w:val="005E2FC6"/>
    <w:rsid w:val="005E3CBA"/>
    <w:rsid w:val="005E54AD"/>
    <w:rsid w:val="005E630F"/>
    <w:rsid w:val="00600D0F"/>
    <w:rsid w:val="0060369B"/>
    <w:rsid w:val="006047AB"/>
    <w:rsid w:val="00607FD3"/>
    <w:rsid w:val="006111B6"/>
    <w:rsid w:val="00614589"/>
    <w:rsid w:val="00620830"/>
    <w:rsid w:val="00620E7F"/>
    <w:rsid w:val="006273A8"/>
    <w:rsid w:val="0063001C"/>
    <w:rsid w:val="00635410"/>
    <w:rsid w:val="006362E2"/>
    <w:rsid w:val="00642F35"/>
    <w:rsid w:val="006520FC"/>
    <w:rsid w:val="00656F4C"/>
    <w:rsid w:val="00665BE0"/>
    <w:rsid w:val="00681FAD"/>
    <w:rsid w:val="006823A0"/>
    <w:rsid w:val="00683A3C"/>
    <w:rsid w:val="00684A99"/>
    <w:rsid w:val="006A0A9B"/>
    <w:rsid w:val="006A2165"/>
    <w:rsid w:val="006C2BC6"/>
    <w:rsid w:val="006C35B6"/>
    <w:rsid w:val="006C476D"/>
    <w:rsid w:val="006C49CE"/>
    <w:rsid w:val="006D5C58"/>
    <w:rsid w:val="006D645A"/>
    <w:rsid w:val="006D748A"/>
    <w:rsid w:val="006F07A5"/>
    <w:rsid w:val="006F45A2"/>
    <w:rsid w:val="006F4CEE"/>
    <w:rsid w:val="00707302"/>
    <w:rsid w:val="00707687"/>
    <w:rsid w:val="0071226A"/>
    <w:rsid w:val="0071569E"/>
    <w:rsid w:val="00717683"/>
    <w:rsid w:val="00720C03"/>
    <w:rsid w:val="0072361F"/>
    <w:rsid w:val="00727CBC"/>
    <w:rsid w:val="00733239"/>
    <w:rsid w:val="0073327C"/>
    <w:rsid w:val="007409C7"/>
    <w:rsid w:val="00746F5B"/>
    <w:rsid w:val="00751F09"/>
    <w:rsid w:val="00753334"/>
    <w:rsid w:val="0076119D"/>
    <w:rsid w:val="007621FF"/>
    <w:rsid w:val="007656CC"/>
    <w:rsid w:val="007678FD"/>
    <w:rsid w:val="00772511"/>
    <w:rsid w:val="007752D2"/>
    <w:rsid w:val="00781E79"/>
    <w:rsid w:val="00783EAE"/>
    <w:rsid w:val="007900B8"/>
    <w:rsid w:val="0079316A"/>
    <w:rsid w:val="00795F76"/>
    <w:rsid w:val="007A081F"/>
    <w:rsid w:val="007A67E7"/>
    <w:rsid w:val="007A6E0F"/>
    <w:rsid w:val="007A7D0E"/>
    <w:rsid w:val="007B1722"/>
    <w:rsid w:val="007B3CED"/>
    <w:rsid w:val="007B4253"/>
    <w:rsid w:val="007B54F8"/>
    <w:rsid w:val="007B79CF"/>
    <w:rsid w:val="007C14B1"/>
    <w:rsid w:val="007C7388"/>
    <w:rsid w:val="007D4512"/>
    <w:rsid w:val="007D477E"/>
    <w:rsid w:val="007D491C"/>
    <w:rsid w:val="007D5779"/>
    <w:rsid w:val="007E63A1"/>
    <w:rsid w:val="007F1903"/>
    <w:rsid w:val="007F79B0"/>
    <w:rsid w:val="00800714"/>
    <w:rsid w:val="008052B6"/>
    <w:rsid w:val="00806C43"/>
    <w:rsid w:val="00807600"/>
    <w:rsid w:val="0081125D"/>
    <w:rsid w:val="00812993"/>
    <w:rsid w:val="00812F3B"/>
    <w:rsid w:val="00813C7F"/>
    <w:rsid w:val="00814241"/>
    <w:rsid w:val="008148B6"/>
    <w:rsid w:val="008208FA"/>
    <w:rsid w:val="0082236F"/>
    <w:rsid w:val="00826EBB"/>
    <w:rsid w:val="00831F14"/>
    <w:rsid w:val="00833A2C"/>
    <w:rsid w:val="008422D6"/>
    <w:rsid w:val="00845F42"/>
    <w:rsid w:val="00851EF5"/>
    <w:rsid w:val="008524C1"/>
    <w:rsid w:val="00853844"/>
    <w:rsid w:val="00853F61"/>
    <w:rsid w:val="00854E10"/>
    <w:rsid w:val="00855EE6"/>
    <w:rsid w:val="0085629E"/>
    <w:rsid w:val="0086263C"/>
    <w:rsid w:val="008643D2"/>
    <w:rsid w:val="00876C3B"/>
    <w:rsid w:val="00881774"/>
    <w:rsid w:val="008818AC"/>
    <w:rsid w:val="00883705"/>
    <w:rsid w:val="00894F94"/>
    <w:rsid w:val="00896256"/>
    <w:rsid w:val="008A325B"/>
    <w:rsid w:val="008A56A5"/>
    <w:rsid w:val="008A73F8"/>
    <w:rsid w:val="008A7AEE"/>
    <w:rsid w:val="008B63FE"/>
    <w:rsid w:val="008B6A01"/>
    <w:rsid w:val="008B7873"/>
    <w:rsid w:val="008B7C44"/>
    <w:rsid w:val="008B7EF1"/>
    <w:rsid w:val="008C29D0"/>
    <w:rsid w:val="008D65A1"/>
    <w:rsid w:val="008E72FC"/>
    <w:rsid w:val="008E7D7F"/>
    <w:rsid w:val="008F578D"/>
    <w:rsid w:val="008F7F8A"/>
    <w:rsid w:val="00907558"/>
    <w:rsid w:val="00924E1E"/>
    <w:rsid w:val="009254EF"/>
    <w:rsid w:val="0094384F"/>
    <w:rsid w:val="00947D5B"/>
    <w:rsid w:val="009505C5"/>
    <w:rsid w:val="00953158"/>
    <w:rsid w:val="00954A31"/>
    <w:rsid w:val="00956C61"/>
    <w:rsid w:val="00960E34"/>
    <w:rsid w:val="00962217"/>
    <w:rsid w:val="0097105E"/>
    <w:rsid w:val="009712D9"/>
    <w:rsid w:val="009730E0"/>
    <w:rsid w:val="00975D14"/>
    <w:rsid w:val="009849DB"/>
    <w:rsid w:val="00985870"/>
    <w:rsid w:val="00991A39"/>
    <w:rsid w:val="0099440C"/>
    <w:rsid w:val="00995F7E"/>
    <w:rsid w:val="009A0F8C"/>
    <w:rsid w:val="009A2008"/>
    <w:rsid w:val="009B74F2"/>
    <w:rsid w:val="009C26FD"/>
    <w:rsid w:val="009C3F9D"/>
    <w:rsid w:val="009E031B"/>
    <w:rsid w:val="009E5B52"/>
    <w:rsid w:val="009E630E"/>
    <w:rsid w:val="009E6AE0"/>
    <w:rsid w:val="009F1869"/>
    <w:rsid w:val="009F278D"/>
    <w:rsid w:val="009F5813"/>
    <w:rsid w:val="009F6D89"/>
    <w:rsid w:val="009F7CE4"/>
    <w:rsid w:val="00A0302B"/>
    <w:rsid w:val="00A17A05"/>
    <w:rsid w:val="00A21C95"/>
    <w:rsid w:val="00A22327"/>
    <w:rsid w:val="00A24488"/>
    <w:rsid w:val="00A31937"/>
    <w:rsid w:val="00A34DEE"/>
    <w:rsid w:val="00A35074"/>
    <w:rsid w:val="00A37C94"/>
    <w:rsid w:val="00A427A3"/>
    <w:rsid w:val="00A4415C"/>
    <w:rsid w:val="00A47B60"/>
    <w:rsid w:val="00A47DA7"/>
    <w:rsid w:val="00A537CD"/>
    <w:rsid w:val="00A53FD8"/>
    <w:rsid w:val="00A622F7"/>
    <w:rsid w:val="00A655BD"/>
    <w:rsid w:val="00A70627"/>
    <w:rsid w:val="00A75929"/>
    <w:rsid w:val="00A92972"/>
    <w:rsid w:val="00A97B1D"/>
    <w:rsid w:val="00AA363E"/>
    <w:rsid w:val="00AA40B5"/>
    <w:rsid w:val="00AC4CCD"/>
    <w:rsid w:val="00AC58B0"/>
    <w:rsid w:val="00AC6A67"/>
    <w:rsid w:val="00AD2274"/>
    <w:rsid w:val="00AE5CDC"/>
    <w:rsid w:val="00AE6BDC"/>
    <w:rsid w:val="00AE7FF9"/>
    <w:rsid w:val="00B012F8"/>
    <w:rsid w:val="00B076E2"/>
    <w:rsid w:val="00B17311"/>
    <w:rsid w:val="00B204FF"/>
    <w:rsid w:val="00B23E27"/>
    <w:rsid w:val="00B25726"/>
    <w:rsid w:val="00B26102"/>
    <w:rsid w:val="00B264CA"/>
    <w:rsid w:val="00B34936"/>
    <w:rsid w:val="00B3587D"/>
    <w:rsid w:val="00B36783"/>
    <w:rsid w:val="00B3737B"/>
    <w:rsid w:val="00B431AE"/>
    <w:rsid w:val="00B45588"/>
    <w:rsid w:val="00B46E17"/>
    <w:rsid w:val="00B47DC4"/>
    <w:rsid w:val="00B507B4"/>
    <w:rsid w:val="00B51098"/>
    <w:rsid w:val="00B52B58"/>
    <w:rsid w:val="00B5470D"/>
    <w:rsid w:val="00B5558A"/>
    <w:rsid w:val="00B57E3C"/>
    <w:rsid w:val="00B62E37"/>
    <w:rsid w:val="00B65DB3"/>
    <w:rsid w:val="00B67717"/>
    <w:rsid w:val="00B776ED"/>
    <w:rsid w:val="00B8583D"/>
    <w:rsid w:val="00B860C3"/>
    <w:rsid w:val="00B8736D"/>
    <w:rsid w:val="00B875D0"/>
    <w:rsid w:val="00B87890"/>
    <w:rsid w:val="00B9324E"/>
    <w:rsid w:val="00B94B57"/>
    <w:rsid w:val="00BA12E5"/>
    <w:rsid w:val="00BB109C"/>
    <w:rsid w:val="00BB17E2"/>
    <w:rsid w:val="00BB43EA"/>
    <w:rsid w:val="00BC0180"/>
    <w:rsid w:val="00BC26C9"/>
    <w:rsid w:val="00BC38B9"/>
    <w:rsid w:val="00BC5E9D"/>
    <w:rsid w:val="00BD0EE8"/>
    <w:rsid w:val="00BD2054"/>
    <w:rsid w:val="00BD58C3"/>
    <w:rsid w:val="00BE6B6C"/>
    <w:rsid w:val="00BF122D"/>
    <w:rsid w:val="00C00FBB"/>
    <w:rsid w:val="00C01666"/>
    <w:rsid w:val="00C01A51"/>
    <w:rsid w:val="00C027C5"/>
    <w:rsid w:val="00C0705C"/>
    <w:rsid w:val="00C13BD6"/>
    <w:rsid w:val="00C14519"/>
    <w:rsid w:val="00C17509"/>
    <w:rsid w:val="00C17646"/>
    <w:rsid w:val="00C23F07"/>
    <w:rsid w:val="00C32559"/>
    <w:rsid w:val="00C33C08"/>
    <w:rsid w:val="00C47C33"/>
    <w:rsid w:val="00C51EB8"/>
    <w:rsid w:val="00C612C5"/>
    <w:rsid w:val="00C742C9"/>
    <w:rsid w:val="00C775ED"/>
    <w:rsid w:val="00C77FE1"/>
    <w:rsid w:val="00C824AA"/>
    <w:rsid w:val="00C824D4"/>
    <w:rsid w:val="00C829BF"/>
    <w:rsid w:val="00C83B31"/>
    <w:rsid w:val="00C97D25"/>
    <w:rsid w:val="00C97D3C"/>
    <w:rsid w:val="00CA39BF"/>
    <w:rsid w:val="00CB1F2D"/>
    <w:rsid w:val="00CB3984"/>
    <w:rsid w:val="00CB6C0C"/>
    <w:rsid w:val="00CC2D9E"/>
    <w:rsid w:val="00CC7F37"/>
    <w:rsid w:val="00CD1085"/>
    <w:rsid w:val="00CD43C1"/>
    <w:rsid w:val="00CD5FC4"/>
    <w:rsid w:val="00CE0160"/>
    <w:rsid w:val="00CE2FF4"/>
    <w:rsid w:val="00CE5330"/>
    <w:rsid w:val="00D0505A"/>
    <w:rsid w:val="00D057AD"/>
    <w:rsid w:val="00D1145F"/>
    <w:rsid w:val="00D13D36"/>
    <w:rsid w:val="00D204B1"/>
    <w:rsid w:val="00D259C2"/>
    <w:rsid w:val="00D313EC"/>
    <w:rsid w:val="00D32D64"/>
    <w:rsid w:val="00D33938"/>
    <w:rsid w:val="00D33EAD"/>
    <w:rsid w:val="00D343B6"/>
    <w:rsid w:val="00D37B6E"/>
    <w:rsid w:val="00D41A97"/>
    <w:rsid w:val="00D41DD3"/>
    <w:rsid w:val="00D425A5"/>
    <w:rsid w:val="00D47FCE"/>
    <w:rsid w:val="00D53DEB"/>
    <w:rsid w:val="00D5764D"/>
    <w:rsid w:val="00D57B55"/>
    <w:rsid w:val="00D6053F"/>
    <w:rsid w:val="00D61314"/>
    <w:rsid w:val="00D615AF"/>
    <w:rsid w:val="00D63189"/>
    <w:rsid w:val="00D65396"/>
    <w:rsid w:val="00D674D1"/>
    <w:rsid w:val="00D74898"/>
    <w:rsid w:val="00D8271F"/>
    <w:rsid w:val="00D83E11"/>
    <w:rsid w:val="00D87FDF"/>
    <w:rsid w:val="00D96622"/>
    <w:rsid w:val="00DA15B0"/>
    <w:rsid w:val="00DB32F2"/>
    <w:rsid w:val="00DB4749"/>
    <w:rsid w:val="00DB7356"/>
    <w:rsid w:val="00DC55A1"/>
    <w:rsid w:val="00DD0E0A"/>
    <w:rsid w:val="00DD72FE"/>
    <w:rsid w:val="00DE23C1"/>
    <w:rsid w:val="00DE23C4"/>
    <w:rsid w:val="00DE2FD1"/>
    <w:rsid w:val="00DE7957"/>
    <w:rsid w:val="00DE7A27"/>
    <w:rsid w:val="00DF50EE"/>
    <w:rsid w:val="00DF5300"/>
    <w:rsid w:val="00DF57DF"/>
    <w:rsid w:val="00DF6181"/>
    <w:rsid w:val="00DF6451"/>
    <w:rsid w:val="00DF697D"/>
    <w:rsid w:val="00E12D48"/>
    <w:rsid w:val="00E231BF"/>
    <w:rsid w:val="00E24975"/>
    <w:rsid w:val="00E26596"/>
    <w:rsid w:val="00E26A44"/>
    <w:rsid w:val="00E26D73"/>
    <w:rsid w:val="00E27BB9"/>
    <w:rsid w:val="00E32C14"/>
    <w:rsid w:val="00E32EA8"/>
    <w:rsid w:val="00E33BA9"/>
    <w:rsid w:val="00E352F0"/>
    <w:rsid w:val="00E35AF5"/>
    <w:rsid w:val="00E36C05"/>
    <w:rsid w:val="00E40328"/>
    <w:rsid w:val="00E409DD"/>
    <w:rsid w:val="00E42A9D"/>
    <w:rsid w:val="00E432AF"/>
    <w:rsid w:val="00E46520"/>
    <w:rsid w:val="00E469C5"/>
    <w:rsid w:val="00E56DFE"/>
    <w:rsid w:val="00E57BB6"/>
    <w:rsid w:val="00E60DF3"/>
    <w:rsid w:val="00E73EC8"/>
    <w:rsid w:val="00E76102"/>
    <w:rsid w:val="00E77193"/>
    <w:rsid w:val="00E86685"/>
    <w:rsid w:val="00E90C8B"/>
    <w:rsid w:val="00E9271C"/>
    <w:rsid w:val="00E93734"/>
    <w:rsid w:val="00EA4542"/>
    <w:rsid w:val="00EA64CE"/>
    <w:rsid w:val="00EA797C"/>
    <w:rsid w:val="00EB2EE1"/>
    <w:rsid w:val="00EC74B4"/>
    <w:rsid w:val="00ED1AE1"/>
    <w:rsid w:val="00ED1AEB"/>
    <w:rsid w:val="00ED1D9C"/>
    <w:rsid w:val="00ED46A2"/>
    <w:rsid w:val="00ED7CD8"/>
    <w:rsid w:val="00EE321B"/>
    <w:rsid w:val="00EE6903"/>
    <w:rsid w:val="00EE6B8B"/>
    <w:rsid w:val="00EE71FA"/>
    <w:rsid w:val="00EE7451"/>
    <w:rsid w:val="00EF0B2C"/>
    <w:rsid w:val="00EF2930"/>
    <w:rsid w:val="00F16410"/>
    <w:rsid w:val="00F24D3E"/>
    <w:rsid w:val="00F26145"/>
    <w:rsid w:val="00F352D1"/>
    <w:rsid w:val="00F4293B"/>
    <w:rsid w:val="00F43EED"/>
    <w:rsid w:val="00F511C8"/>
    <w:rsid w:val="00F57E22"/>
    <w:rsid w:val="00F66127"/>
    <w:rsid w:val="00F665FD"/>
    <w:rsid w:val="00F71972"/>
    <w:rsid w:val="00F747CD"/>
    <w:rsid w:val="00F77C4B"/>
    <w:rsid w:val="00F80D68"/>
    <w:rsid w:val="00F811CF"/>
    <w:rsid w:val="00F81A98"/>
    <w:rsid w:val="00F81B2C"/>
    <w:rsid w:val="00F92BE5"/>
    <w:rsid w:val="00FB29DE"/>
    <w:rsid w:val="00FB7FB6"/>
    <w:rsid w:val="00FC02CF"/>
    <w:rsid w:val="00FD5AEF"/>
    <w:rsid w:val="00FD7DE0"/>
    <w:rsid w:val="00FE2730"/>
    <w:rsid w:val="00FE2F5E"/>
    <w:rsid w:val="00FE49BE"/>
    <w:rsid w:val="00FE72B7"/>
    <w:rsid w:val="00FF3072"/>
    <w:rsid w:val="00FF3688"/>
    <w:rsid w:val="00FF5335"/>
    <w:rsid w:val="0A827C4A"/>
    <w:rsid w:val="6E3D1E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CD47D"/>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 w:type="paragraph" w:styleId="Revision">
    <w:name w:val="Revision"/>
    <w:hidden/>
    <w:uiPriority w:val="99"/>
    <w:semiHidden/>
    <w:rsid w:val="00854E1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1090"/>
    <w:rPr>
      <w:color w:val="0563C1" w:themeColor="hyperlink"/>
      <w:u w:val="single"/>
    </w:rPr>
  </w:style>
  <w:style w:type="character" w:styleId="UnresolvedMention">
    <w:name w:val="Unresolved Mention"/>
    <w:basedOn w:val="DefaultParagraphFont"/>
    <w:uiPriority w:val="99"/>
    <w:semiHidden/>
    <w:unhideWhenUsed/>
    <w:rsid w:val="00001090"/>
    <w:rPr>
      <w:color w:val="605E5C"/>
      <w:shd w:val="clear" w:color="auto" w:fill="E1DFDD"/>
    </w:rPr>
  </w:style>
  <w:style w:type="character" w:styleId="CommentReference">
    <w:name w:val="annotation reference"/>
    <w:basedOn w:val="DefaultParagraphFont"/>
    <w:uiPriority w:val="99"/>
    <w:semiHidden/>
    <w:unhideWhenUsed/>
    <w:rsid w:val="009712D9"/>
    <w:rPr>
      <w:sz w:val="16"/>
      <w:szCs w:val="16"/>
    </w:rPr>
  </w:style>
  <w:style w:type="paragraph" w:styleId="CommentText">
    <w:name w:val="annotation text"/>
    <w:basedOn w:val="Normal"/>
    <w:link w:val="CommentTextChar"/>
    <w:uiPriority w:val="99"/>
    <w:unhideWhenUsed/>
    <w:rsid w:val="009712D9"/>
    <w:rPr>
      <w:sz w:val="20"/>
      <w:szCs w:val="20"/>
    </w:rPr>
  </w:style>
  <w:style w:type="character" w:customStyle="1" w:styleId="CommentTextChar">
    <w:name w:val="Comment Text Char"/>
    <w:basedOn w:val="DefaultParagraphFont"/>
    <w:link w:val="CommentText"/>
    <w:uiPriority w:val="99"/>
    <w:rsid w:val="009712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2D9"/>
    <w:rPr>
      <w:b/>
      <w:bCs/>
    </w:rPr>
  </w:style>
  <w:style w:type="character" w:customStyle="1" w:styleId="CommentSubjectChar">
    <w:name w:val="Comment Subject Char"/>
    <w:basedOn w:val="CommentTextChar"/>
    <w:link w:val="CommentSubject"/>
    <w:uiPriority w:val="99"/>
    <w:semiHidden/>
    <w:rsid w:val="009712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F34FE-409F-4F04-8F20-C28D1D79B344}">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D24ADC0C-CC29-40C5-A0BF-BB5222ED6F44}">
  <ds:schemaRefs>
    <ds:schemaRef ds:uri="http://schemas.microsoft.com/sharepoint/v3/contenttype/forms"/>
  </ds:schemaRefs>
</ds:datastoreItem>
</file>

<file path=customXml/itemProps3.xml><?xml version="1.0" encoding="utf-8"?>
<ds:datastoreItem xmlns:ds="http://schemas.openxmlformats.org/officeDocument/2006/customXml" ds:itemID="{99A18934-EE13-4CE0-AA0F-E590DB7F8523}">
  <ds:schemaRefs>
    <ds:schemaRef ds:uri="http://schemas.openxmlformats.org/officeDocument/2006/bibliography"/>
  </ds:schemaRefs>
</ds:datastoreItem>
</file>

<file path=customXml/itemProps4.xml><?xml version="1.0" encoding="utf-8"?>
<ds:datastoreItem xmlns:ds="http://schemas.openxmlformats.org/officeDocument/2006/customXml" ds:itemID="{9CCA1C55-EB8E-44E2-A813-7A094FE7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1280</Words>
  <Characters>7296</Characters>
  <Application>Microsoft Office Word</Application>
  <DocSecurity>0</DocSecurity>
  <Lines>60</Lines>
  <Paragraphs>17</Paragraphs>
  <ScaleCrop>false</ScaleCrop>
  <Company>Bureau of Alcohol, Tobacco, Firearms and Explosives</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Cates, Gwen R. (Contractor)</dc:creator>
  <cp:lastModifiedBy>Kimberly Keravuori</cp:lastModifiedBy>
  <cp:revision>8</cp:revision>
  <dcterms:created xsi:type="dcterms:W3CDTF">2025-02-28T02:14:00Z</dcterms:created>
  <dcterms:modified xsi:type="dcterms:W3CDTF">2025-03-10T21:32:00Z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