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1B3F" w:rsidRPr="00FC7D73" w:rsidP="00FC7D73" w14:paraId="137D7255" w14:textId="6464308A">
      <w:pPr>
        <w:suppressAutoHyphens/>
        <w:jc w:val="center"/>
        <w:rPr>
          <w:b/>
        </w:rPr>
      </w:pPr>
      <w:bookmarkStart w:id="0" w:name="_Hlk114563386"/>
      <w:r w:rsidRPr="00FC7D73">
        <w:rPr>
          <w:b/>
          <w:bCs/>
        </w:rPr>
        <w:t>Supporting Statement</w:t>
      </w:r>
      <w:r w:rsidRPr="00FC7D73">
        <w:rPr>
          <w:b/>
        </w:rPr>
        <w:t xml:space="preserve"> for</w:t>
      </w:r>
    </w:p>
    <w:p w:rsidR="008F334D" w:rsidRPr="00FC7D73" w:rsidP="00FC7D73" w14:paraId="680E4FA9" w14:textId="4CA6D02A">
      <w:pPr>
        <w:suppressAutoHyphens/>
        <w:jc w:val="center"/>
        <w:rPr>
          <w:b/>
          <w:bCs/>
          <w:color w:val="FF0000"/>
        </w:rPr>
      </w:pPr>
      <w:r w:rsidRPr="00FC7D73">
        <w:rPr>
          <w:b/>
        </w:rPr>
        <w:t>Coal Mine Dust Sampling Devices</w:t>
      </w:r>
      <w:r w:rsidRPr="00FC7D73">
        <w:rPr>
          <w:b/>
          <w:bCs/>
          <w:color w:val="FF0000"/>
        </w:rPr>
        <w:t xml:space="preserve"> </w:t>
      </w:r>
    </w:p>
    <w:p w:rsidR="00861B3F" w:rsidRPr="00FC7D73" w:rsidP="00FC7D73" w14:paraId="33F0F79A" w14:textId="0D55E054">
      <w:pPr>
        <w:suppressAutoHyphens/>
        <w:jc w:val="center"/>
        <w:rPr>
          <w:b/>
          <w:color w:val="FF0000"/>
        </w:rPr>
      </w:pPr>
      <w:r w:rsidRPr="00FC7D73">
        <w:rPr>
          <w:b/>
        </w:rPr>
        <w:t>Paperwork Reduction Act Submission</w:t>
      </w:r>
    </w:p>
    <w:p w:rsidR="00861B3F" w:rsidRPr="00FC7D73" w:rsidP="00FC7D73" w14:paraId="3E579288" w14:textId="77777777">
      <w:pPr>
        <w:suppressAutoHyphens/>
        <w:jc w:val="center"/>
        <w:rPr>
          <w:b/>
        </w:rPr>
      </w:pPr>
    </w:p>
    <w:p w:rsidR="00861B3F" w:rsidRPr="00FC7D73" w:rsidP="00FC7D73" w14:paraId="409D3F1A" w14:textId="6532B620">
      <w:pPr>
        <w:widowControl/>
        <w:autoSpaceDE/>
        <w:autoSpaceDN/>
        <w:adjustRightInd/>
        <w:rPr>
          <w:rFonts w:eastAsiaTheme="minorHAnsi"/>
          <w:szCs w:val="22"/>
        </w:rPr>
      </w:pPr>
      <w:r w:rsidRPr="00FC7D73">
        <w:rPr>
          <w:bCs/>
        </w:rPr>
        <w:t xml:space="preserve">This </w:t>
      </w:r>
      <w:r w:rsidRPr="00FC7D73" w:rsidR="00B227F0">
        <w:rPr>
          <w:bCs/>
        </w:rPr>
        <w:t>information collection request (</w:t>
      </w:r>
      <w:r w:rsidRPr="00FC7D73" w:rsidR="00B227F0">
        <w:t>ICR)</w:t>
      </w:r>
      <w:r w:rsidRPr="00FC7D73">
        <w:rPr>
          <w:bCs/>
        </w:rPr>
        <w:t xml:space="preserve"> seeks to extend, without chang</w:t>
      </w:r>
      <w:r w:rsidRPr="00FC7D73" w:rsidR="00BC060A">
        <w:rPr>
          <w:bCs/>
        </w:rPr>
        <w:t>e</w:t>
      </w:r>
      <w:r w:rsidRPr="00FC7D73" w:rsidR="002D0F05">
        <w:t>,</w:t>
      </w:r>
      <w:r w:rsidRPr="00FC7D73" w:rsidR="00BC060A">
        <w:t xml:space="preserve"> </w:t>
      </w:r>
      <w:r w:rsidRPr="00FC7D73" w:rsidR="002D0F05">
        <w:rPr>
          <w:bCs/>
        </w:rPr>
        <w:t xml:space="preserve">a currently approved </w:t>
      </w:r>
      <w:r w:rsidRPr="00FC7D73">
        <w:rPr>
          <w:bCs/>
        </w:rPr>
        <w:t>information collection.</w:t>
      </w:r>
    </w:p>
    <w:p w:rsidR="00861B3F" w:rsidRPr="00FC7D73" w:rsidP="00FC7D73" w14:paraId="6B8A9E29" w14:textId="77777777"/>
    <w:p w:rsidR="00861B3F" w:rsidRPr="00FC7D73" w:rsidP="00FC7D73" w14:paraId="3FE2834E" w14:textId="368CA909">
      <w:pPr>
        <w:tabs>
          <w:tab w:val="left" w:pos="-720"/>
        </w:tabs>
        <w:suppressAutoHyphens/>
        <w:rPr>
          <w:b/>
        </w:rPr>
      </w:pPr>
      <w:r w:rsidRPr="00FC7D73">
        <w:rPr>
          <w:b/>
          <w:u w:val="single"/>
        </w:rPr>
        <w:t>OMB Control Number</w:t>
      </w:r>
      <w:r w:rsidRPr="00FC7D73">
        <w:t>: 1219-</w:t>
      </w:r>
      <w:r w:rsidRPr="00FC7D73" w:rsidR="008F334D">
        <w:t>0147</w:t>
      </w:r>
    </w:p>
    <w:p w:rsidR="00861B3F" w:rsidRPr="00FC7D73" w:rsidP="00FC7D73" w14:paraId="6FD41D47" w14:textId="77777777">
      <w:pPr>
        <w:tabs>
          <w:tab w:val="left" w:pos="-720"/>
        </w:tabs>
        <w:suppressAutoHyphens/>
        <w:rPr>
          <w:b/>
        </w:rPr>
      </w:pPr>
    </w:p>
    <w:p w:rsidR="00861B3F" w:rsidRPr="00FC7D73" w:rsidP="00FC7D73" w14:paraId="377413BF" w14:textId="4D3D8693">
      <w:pPr>
        <w:tabs>
          <w:tab w:val="left" w:pos="-720"/>
        </w:tabs>
        <w:suppressAutoHyphens/>
        <w:rPr>
          <w:b/>
        </w:rPr>
      </w:pPr>
      <w:r w:rsidRPr="00FC7D73">
        <w:rPr>
          <w:b/>
          <w:u w:val="single"/>
        </w:rPr>
        <w:t>Information Collection Request Title</w:t>
      </w:r>
      <w:r w:rsidRPr="00FC7D73">
        <w:rPr>
          <w:b/>
        </w:rPr>
        <w:t xml:space="preserve">: </w:t>
      </w:r>
      <w:bookmarkStart w:id="1" w:name="_Hlk103349820"/>
      <w:r w:rsidRPr="00FC7D73" w:rsidR="008F334D">
        <w:t>Coal Mine Dust Sampling Devices</w:t>
      </w:r>
      <w:r w:rsidRPr="00FC7D73" w:rsidR="008F334D">
        <w:rPr>
          <w:bCs/>
          <w:color w:val="FF0000"/>
        </w:rPr>
        <w:t xml:space="preserve"> </w:t>
      </w:r>
    </w:p>
    <w:bookmarkEnd w:id="1"/>
    <w:p w:rsidR="00861B3F" w:rsidRPr="00FC7D73" w:rsidP="00FC7D73" w14:paraId="7B26500A" w14:textId="77777777">
      <w:pPr>
        <w:tabs>
          <w:tab w:val="left" w:pos="-720"/>
        </w:tabs>
        <w:suppressAutoHyphens/>
        <w:rPr>
          <w:b/>
        </w:rPr>
      </w:pPr>
    </w:p>
    <w:p w:rsidR="00861B3F" w:rsidRPr="00FC7D73" w:rsidP="00FC7D73" w14:paraId="07D97EAE" w14:textId="7AF3E136">
      <w:pPr>
        <w:tabs>
          <w:tab w:val="left" w:pos="-720"/>
        </w:tabs>
        <w:suppressAutoHyphens/>
        <w:rPr>
          <w:b/>
        </w:rPr>
      </w:pPr>
      <w:r w:rsidRPr="00FC7D73">
        <w:rPr>
          <w:b/>
          <w:u w:val="single"/>
        </w:rPr>
        <w:t xml:space="preserve">Type of </w:t>
      </w:r>
      <w:r w:rsidRPr="00FC7D73" w:rsidR="00541732">
        <w:rPr>
          <w:b/>
          <w:u w:val="single"/>
        </w:rPr>
        <w:t xml:space="preserve">OMB </w:t>
      </w:r>
      <w:r w:rsidRPr="00FC7D73">
        <w:rPr>
          <w:b/>
          <w:u w:val="single"/>
        </w:rPr>
        <w:t>Review</w:t>
      </w:r>
      <w:r w:rsidRPr="00FC7D73">
        <w:rPr>
          <w:b/>
        </w:rPr>
        <w:t>:</w:t>
      </w:r>
      <w:r w:rsidRPr="00FC7D73" w:rsidR="008F334D">
        <w:rPr>
          <w:b/>
        </w:rPr>
        <w:t xml:space="preserve"> </w:t>
      </w:r>
      <w:r w:rsidRPr="00FC7D73" w:rsidR="00AA68DD">
        <w:rPr>
          <w:bCs/>
          <w:color w:val="000000" w:themeColor="text1"/>
        </w:rPr>
        <w:t>Extension</w:t>
      </w:r>
      <w:r w:rsidRPr="00FC7D73" w:rsidR="00B108CA">
        <w:rPr>
          <w:bCs/>
          <w:color w:val="000000" w:themeColor="text1"/>
        </w:rPr>
        <w:t xml:space="preserve"> </w:t>
      </w:r>
    </w:p>
    <w:p w:rsidR="00861B3F" w:rsidRPr="00FC7D73" w:rsidP="00FC7D73" w14:paraId="3DDD942E" w14:textId="77777777">
      <w:pPr>
        <w:tabs>
          <w:tab w:val="left" w:pos="-720"/>
        </w:tabs>
        <w:suppressAutoHyphens/>
        <w:rPr>
          <w:b/>
        </w:rPr>
      </w:pPr>
    </w:p>
    <w:p w:rsidR="00F01060" w:rsidRPr="00FC7D73" w:rsidP="00FC7D73" w14:paraId="7F0C89A8" w14:textId="7913BCFD">
      <w:pPr>
        <w:rPr>
          <w:b/>
        </w:rPr>
      </w:pPr>
      <w:r w:rsidRPr="00FC7D73">
        <w:rPr>
          <w:b/>
          <w:u w:val="single"/>
        </w:rPr>
        <w:t>Authority</w:t>
      </w:r>
      <w:r w:rsidRPr="00FC7D73">
        <w:rPr>
          <w:b/>
        </w:rPr>
        <w:t>:</w:t>
      </w:r>
      <w:r w:rsidRPr="00FC7D73" w:rsidR="00BA12DF">
        <w:rPr>
          <w:b/>
        </w:rPr>
        <w:t xml:space="preserve"> </w:t>
      </w:r>
    </w:p>
    <w:p w:rsidR="008F334D" w:rsidRPr="00FC7D73" w:rsidP="00FC7D73" w14:paraId="3A4DEE48" w14:textId="3BE15CC9">
      <w:pPr>
        <w:rPr>
          <w:bCs/>
        </w:rPr>
      </w:pPr>
      <w:r w:rsidRPr="00FC7D73">
        <w:rPr>
          <w:bCs/>
        </w:rPr>
        <w:t>Part 74 - Coal Mine Dust Sampling Devices</w:t>
      </w:r>
    </w:p>
    <w:p w:rsidR="007E5736" w:rsidRPr="00FC7D73" w:rsidP="00FC7D73" w14:paraId="3E1A40FC" w14:textId="542E5128">
      <w:pPr>
        <w:rPr>
          <w:bCs/>
        </w:rPr>
      </w:pPr>
      <w:r w:rsidRPr="00FC7D73">
        <w:rPr>
          <w:bCs/>
        </w:rPr>
        <w:t xml:space="preserve">     Subpart B - Approval Requirements for Coal Mine Dust Personal Sampler Unit</w:t>
      </w:r>
    </w:p>
    <w:p w:rsidR="007E5736" w:rsidRPr="00FC7D73" w:rsidP="00FC7D73" w14:paraId="7B3C95C5" w14:textId="3AAD4640">
      <w:pPr>
        <w:rPr>
          <w:bCs/>
        </w:rPr>
      </w:pPr>
      <w:r w:rsidRPr="00FC7D73">
        <w:rPr>
          <w:bCs/>
        </w:rPr>
        <w:t xml:space="preserve">          30 CFR 74.5 - Tests of coal mine dust personal sampler units.</w:t>
      </w:r>
    </w:p>
    <w:p w:rsidR="007E5736" w:rsidRPr="00FC7D73" w:rsidP="00FC7D73" w14:paraId="21FFB3D5" w14:textId="741CAE84">
      <w:pPr>
        <w:rPr>
          <w:bCs/>
        </w:rPr>
      </w:pPr>
      <w:r w:rsidRPr="00FC7D73">
        <w:rPr>
          <w:bCs/>
        </w:rPr>
        <w:t xml:space="preserve">          30 CFR 74.6 - Quality control.</w:t>
      </w:r>
    </w:p>
    <w:p w:rsidR="007E5736" w:rsidRPr="00FC7D73" w:rsidP="00FC7D73" w14:paraId="29ACADEF" w14:textId="77777777">
      <w:pPr>
        <w:rPr>
          <w:bCs/>
        </w:rPr>
      </w:pPr>
    </w:p>
    <w:p w:rsidR="008F334D" w:rsidRPr="00FC7D73" w:rsidP="00FC7D73" w14:paraId="5ABB1250" w14:textId="5BE92CEE">
      <w:pPr>
        <w:rPr>
          <w:bCs/>
        </w:rPr>
      </w:pPr>
      <w:r w:rsidRPr="00FC7D73">
        <w:rPr>
          <w:bCs/>
        </w:rPr>
        <w:t xml:space="preserve">     </w:t>
      </w:r>
      <w:r w:rsidRPr="00FC7D73">
        <w:rPr>
          <w:bCs/>
        </w:rPr>
        <w:t>Subpart C</w:t>
      </w:r>
      <w:r w:rsidRPr="00FC7D73">
        <w:rPr>
          <w:bCs/>
        </w:rPr>
        <w:t xml:space="preserve"> - </w:t>
      </w:r>
      <w:r w:rsidRPr="00FC7D73">
        <w:rPr>
          <w:bCs/>
        </w:rPr>
        <w:t>Requirements for Continuous Personal Dust Monitors</w:t>
      </w:r>
    </w:p>
    <w:p w:rsidR="000B7696" w:rsidRPr="00FC7D73" w:rsidP="00FC7D73" w14:paraId="6F408792" w14:textId="73A86979">
      <w:pPr>
        <w:rPr>
          <w:bCs/>
        </w:rPr>
      </w:pPr>
      <w:bookmarkStart w:id="2" w:name="_Hlk182560262"/>
      <w:r w:rsidRPr="00FC7D73">
        <w:rPr>
          <w:bCs/>
        </w:rPr>
        <w:t xml:space="preserve">          </w:t>
      </w:r>
      <w:bookmarkEnd w:id="2"/>
      <w:r w:rsidRPr="00FC7D73">
        <w:rPr>
          <w:rFonts w:eastAsia="Arial"/>
          <w:bCs/>
        </w:rPr>
        <w:t>30 CFR 74.9 - Quality assurance.</w:t>
      </w:r>
    </w:p>
    <w:p w:rsidR="008F334D" w:rsidRPr="00FC7D73" w:rsidP="00FC7D73" w14:paraId="0FF51150" w14:textId="0E9E751A">
      <w:pPr>
        <w:rPr>
          <w:rFonts w:eastAsia="Arial"/>
          <w:bCs/>
        </w:rPr>
      </w:pPr>
      <w:bookmarkStart w:id="3" w:name="_Hlk182557821"/>
      <w:r w:rsidRPr="00FC7D73">
        <w:rPr>
          <w:bCs/>
        </w:rPr>
        <w:t xml:space="preserve">          </w:t>
      </w:r>
      <w:r w:rsidRPr="00FC7D73">
        <w:rPr>
          <w:rFonts w:eastAsia="Arial"/>
          <w:bCs/>
        </w:rPr>
        <w:t>30 CFR 74.11 - Tests of the continuous personal dust monitor</w:t>
      </w:r>
      <w:bookmarkEnd w:id="3"/>
      <w:r w:rsidRPr="00FC7D73">
        <w:rPr>
          <w:rFonts w:eastAsia="Arial"/>
          <w:bCs/>
        </w:rPr>
        <w:t>.</w:t>
      </w:r>
    </w:p>
    <w:p w:rsidR="008F334D" w:rsidRPr="00FC7D73" w:rsidP="00FC7D73" w14:paraId="47A5DF69" w14:textId="77777777">
      <w:pPr>
        <w:rPr>
          <w:rFonts w:eastAsia="Arial"/>
          <w:bCs/>
        </w:rPr>
      </w:pPr>
    </w:p>
    <w:p w:rsidR="008F334D" w:rsidRPr="00FC7D73" w:rsidP="00FC7D73" w14:paraId="4178A592" w14:textId="2E1730E3">
      <w:pPr>
        <w:rPr>
          <w:bCs/>
        </w:rPr>
      </w:pPr>
      <w:r w:rsidRPr="00FC7D73">
        <w:rPr>
          <w:bCs/>
        </w:rPr>
        <w:t xml:space="preserve">     </w:t>
      </w:r>
      <w:r w:rsidRPr="00FC7D73">
        <w:rPr>
          <w:bCs/>
        </w:rPr>
        <w:t>Subpart D</w:t>
      </w:r>
      <w:r w:rsidRPr="00FC7D73">
        <w:rPr>
          <w:bCs/>
        </w:rPr>
        <w:t xml:space="preserve"> - </w:t>
      </w:r>
      <w:r w:rsidRPr="00FC7D73">
        <w:rPr>
          <w:bCs/>
        </w:rPr>
        <w:t>General Requirements for All Devices</w:t>
      </w:r>
    </w:p>
    <w:p w:rsidR="008F334D" w:rsidRPr="00FC7D73" w:rsidP="00FC7D73" w14:paraId="4C74B77E" w14:textId="7F1235CD">
      <w:pPr>
        <w:rPr>
          <w:rFonts w:eastAsia="Arial"/>
          <w:bCs/>
        </w:rPr>
      </w:pPr>
      <w:bookmarkStart w:id="4" w:name="_Hlk182557912"/>
      <w:r w:rsidRPr="00FC7D73">
        <w:rPr>
          <w:bCs/>
        </w:rPr>
        <w:t xml:space="preserve">          </w:t>
      </w:r>
      <w:r w:rsidRPr="00FC7D73">
        <w:rPr>
          <w:rFonts w:eastAsia="Arial"/>
          <w:bCs/>
        </w:rPr>
        <w:t>30 CFR 74.13 - Applications</w:t>
      </w:r>
      <w:bookmarkEnd w:id="4"/>
      <w:r w:rsidRPr="00FC7D73">
        <w:rPr>
          <w:rFonts w:eastAsia="Arial"/>
          <w:bCs/>
        </w:rPr>
        <w:t>.</w:t>
      </w:r>
    </w:p>
    <w:p w:rsidR="00DD21B0" w:rsidRPr="00FC7D73" w:rsidP="00FC7D73" w14:paraId="296C2115" w14:textId="7D280494">
      <w:pPr>
        <w:rPr>
          <w:bCs/>
        </w:rPr>
      </w:pPr>
      <w:r w:rsidRPr="00FC7D73">
        <w:rPr>
          <w:bCs/>
        </w:rPr>
        <w:t xml:space="preserve">          </w:t>
      </w:r>
      <w:r w:rsidRPr="00FC7D73">
        <w:rPr>
          <w:rFonts w:eastAsia="Arial"/>
          <w:bCs/>
        </w:rPr>
        <w:t>30 CFR 74.14 - Certificate of approval.</w:t>
      </w:r>
    </w:p>
    <w:p w:rsidR="008F334D" w:rsidRPr="00FC7D73" w:rsidP="00FC7D73" w14:paraId="34B0345E" w14:textId="49DB11DC">
      <w:pPr>
        <w:rPr>
          <w:rFonts w:eastAsia="Arial"/>
          <w:bCs/>
        </w:rPr>
      </w:pPr>
      <w:bookmarkStart w:id="5" w:name="_Hlk182557957"/>
      <w:r w:rsidRPr="00FC7D73">
        <w:rPr>
          <w:bCs/>
        </w:rPr>
        <w:t xml:space="preserve">          </w:t>
      </w:r>
      <w:r w:rsidRPr="00FC7D73">
        <w:rPr>
          <w:rFonts w:eastAsia="Arial"/>
          <w:bCs/>
        </w:rPr>
        <w:t>30 CFR 74.16 - Material required for record</w:t>
      </w:r>
      <w:bookmarkEnd w:id="5"/>
      <w:r w:rsidRPr="00FC7D73">
        <w:rPr>
          <w:rFonts w:eastAsia="Arial"/>
          <w:bCs/>
        </w:rPr>
        <w:t>.</w:t>
      </w:r>
    </w:p>
    <w:p w:rsidR="004C7FFE" w:rsidRPr="00FC7D73" w:rsidP="00FC7D73" w14:paraId="0360E2A9" w14:textId="5A6F0392">
      <w:pPr>
        <w:rPr>
          <w:rFonts w:eastAsia="Arial"/>
          <w:bCs/>
        </w:rPr>
      </w:pPr>
      <w:r w:rsidRPr="00FC7D73">
        <w:rPr>
          <w:bCs/>
        </w:rPr>
        <w:t xml:space="preserve">          </w:t>
      </w:r>
      <w:r w:rsidRPr="00FC7D73">
        <w:rPr>
          <w:rFonts w:eastAsia="Arial"/>
          <w:bCs/>
        </w:rPr>
        <w:t>30 CFR 74.17 - Changes after certification.</w:t>
      </w:r>
    </w:p>
    <w:p w:rsidR="00F01060" w:rsidRPr="00FC7D73" w:rsidP="00FC7D73" w14:paraId="423F7EE8" w14:textId="77777777">
      <w:pPr>
        <w:rPr>
          <w:rFonts w:eastAsia="Arial"/>
          <w:bCs/>
        </w:rPr>
      </w:pPr>
    </w:p>
    <w:p w:rsidR="00F01060" w:rsidRPr="00FC7D73" w:rsidP="00FC7D73" w14:paraId="1E70DF75" w14:textId="77777777">
      <w:pPr>
        <w:rPr>
          <w:bCs/>
        </w:rPr>
      </w:pPr>
      <w:r w:rsidRPr="00FC7D73">
        <w:rPr>
          <w:bCs/>
        </w:rPr>
        <w:t>Part 18 - Electric Motor-Driven Mine Equipment and Accessories</w:t>
      </w:r>
    </w:p>
    <w:p w:rsidR="008F334D" w:rsidRPr="00FC7D73" w:rsidP="00FC7D73" w14:paraId="3063EE6D" w14:textId="594DF305">
      <w:pPr>
        <w:rPr>
          <w:bCs/>
        </w:rPr>
      </w:pPr>
      <w:r w:rsidRPr="00FC7D73">
        <w:rPr>
          <w:bCs/>
        </w:rPr>
        <w:t xml:space="preserve">     </w:t>
      </w:r>
      <w:r w:rsidRPr="00FC7D73">
        <w:rPr>
          <w:bCs/>
        </w:rPr>
        <w:t>Subpart C</w:t>
      </w:r>
      <w:r w:rsidRPr="00FC7D73">
        <w:rPr>
          <w:bCs/>
        </w:rPr>
        <w:t xml:space="preserve"> - </w:t>
      </w:r>
      <w:r w:rsidRPr="00FC7D73">
        <w:rPr>
          <w:bCs/>
        </w:rPr>
        <w:t>Inspections and Tests</w:t>
      </w:r>
    </w:p>
    <w:p w:rsidR="008F334D" w:rsidRPr="00FC7D73" w:rsidP="00FC7D73" w14:paraId="04BE8E96" w14:textId="7D5E9F59">
      <w:pPr>
        <w:rPr>
          <w:bCs/>
        </w:rPr>
      </w:pPr>
      <w:bookmarkStart w:id="6" w:name="_Hlk182558101"/>
      <w:r w:rsidRPr="00FC7D73">
        <w:rPr>
          <w:bCs/>
        </w:rPr>
        <w:t xml:space="preserve">          </w:t>
      </w:r>
      <w:r w:rsidRPr="00FC7D73">
        <w:rPr>
          <w:bCs/>
        </w:rPr>
        <w:t>30 CFR 18.68</w:t>
      </w:r>
      <w:r w:rsidRPr="00FC7D73">
        <w:rPr>
          <w:bCs/>
        </w:rPr>
        <w:t xml:space="preserve"> -</w:t>
      </w:r>
      <w:r w:rsidRPr="00FC7D73">
        <w:rPr>
          <w:bCs/>
        </w:rPr>
        <w:t xml:space="preserve"> Tests for intrinsic safety</w:t>
      </w:r>
      <w:bookmarkEnd w:id="6"/>
      <w:r w:rsidRPr="00FC7D73">
        <w:rPr>
          <w:bCs/>
        </w:rPr>
        <w:t>.</w:t>
      </w:r>
    </w:p>
    <w:p w:rsidR="00861B3F" w:rsidRPr="00FC7D73" w:rsidP="00FC7D73" w14:paraId="2F93BBBA" w14:textId="77777777">
      <w:pPr>
        <w:tabs>
          <w:tab w:val="left" w:pos="-720"/>
        </w:tabs>
        <w:suppressAutoHyphens/>
        <w:rPr>
          <w:b/>
        </w:rPr>
      </w:pPr>
    </w:p>
    <w:p w:rsidR="00861B3F" w:rsidRPr="00FC7D73" w:rsidP="00FC7D73" w14:paraId="7777C6C5" w14:textId="44E76DA2">
      <w:pPr>
        <w:rPr>
          <w:b/>
        </w:rPr>
      </w:pPr>
      <w:r w:rsidRPr="00FC7D73">
        <w:rPr>
          <w:b/>
          <w:u w:val="single"/>
        </w:rPr>
        <w:t>Collection Instrument(s)</w:t>
      </w:r>
      <w:r w:rsidRPr="00FC7D73">
        <w:rPr>
          <w:b/>
        </w:rPr>
        <w:t>:</w:t>
      </w:r>
      <w:r w:rsidRPr="00FC7D73">
        <w:t xml:space="preserve"> </w:t>
      </w:r>
      <w:r w:rsidRPr="00FC7D73" w:rsidR="008F334D">
        <w:rPr>
          <w:color w:val="000000" w:themeColor="text1"/>
        </w:rPr>
        <w:t>None</w:t>
      </w:r>
    </w:p>
    <w:p w:rsidR="00861B3F" w:rsidRPr="00FC7D73" w:rsidP="00FC7D73" w14:paraId="3BE9B174" w14:textId="77777777">
      <w:pPr>
        <w:rPr>
          <w:b/>
          <w:bCs/>
          <w:color w:val="000000"/>
        </w:rPr>
      </w:pPr>
    </w:p>
    <w:p w:rsidR="00B227F0" w:rsidRPr="00FC7D73" w:rsidP="00FC7D73" w14:paraId="3261DED4" w14:textId="77777777">
      <w:pPr>
        <w:pStyle w:val="Default"/>
        <w:rPr>
          <w:rFonts w:ascii="Times New Roman" w:hAnsi="Times New Roman" w:cs="Times New Roman"/>
          <w:b/>
          <w:color w:val="auto"/>
        </w:rPr>
      </w:pPr>
      <w:r w:rsidRPr="00FC7D73">
        <w:rPr>
          <w:rFonts w:ascii="Times New Roman" w:hAnsi="Times New Roman" w:cs="Times New Roman"/>
          <w:b/>
          <w:color w:val="auto"/>
        </w:rPr>
        <w:t>General Instructions</w:t>
      </w:r>
    </w:p>
    <w:p w:rsidR="00B227F0" w:rsidRPr="00FC7D73" w:rsidP="00FC7D73" w14:paraId="6FAE27B4" w14:textId="77777777">
      <w:pPr>
        <w:pStyle w:val="Default"/>
        <w:rPr>
          <w:rFonts w:ascii="Times New Roman" w:hAnsi="Times New Roman" w:cs="Times New Roman"/>
          <w:b/>
          <w:color w:val="auto"/>
        </w:rPr>
      </w:pPr>
    </w:p>
    <w:p w:rsidR="00B227F0" w:rsidRPr="00FC7D73" w:rsidP="00FC7D73" w14:paraId="0736298B" w14:textId="7B557826">
      <w:pPr>
        <w:pStyle w:val="Default"/>
        <w:rPr>
          <w:rFonts w:ascii="Times New Roman" w:hAnsi="Times New Roman" w:cs="Times New Roman"/>
          <w:b/>
          <w:color w:val="auto"/>
        </w:rPr>
      </w:pPr>
      <w:r w:rsidRPr="00FC7D73">
        <w:rPr>
          <w:rFonts w:ascii="Times New Roman" w:hAnsi="Times New Roman" w:cs="Times New Roman"/>
          <w:b/>
          <w:color w:val="auto"/>
        </w:rP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w:t>
      </w:r>
      <w:r w:rsidRPr="00FC7D73">
        <w:rPr>
          <w:rFonts w:ascii="Times New Roman" w:hAnsi="Times New Roman" w:cs="Times New Roman"/>
          <w:b/>
          <w:color w:val="auto"/>
        </w:rPr>
        <w:t>completed. OMB reserves the right to require the submission of additional information with respect to any request for approval.</w:t>
      </w:r>
    </w:p>
    <w:p w:rsidR="00B227F0" w:rsidRPr="00FC7D73" w:rsidP="00FC7D73" w14:paraId="43E4646E" w14:textId="77777777">
      <w:pPr>
        <w:pStyle w:val="Default"/>
        <w:rPr>
          <w:rFonts w:ascii="Times New Roman" w:hAnsi="Times New Roman" w:cs="Times New Roman"/>
          <w:b/>
          <w:color w:val="auto"/>
        </w:rPr>
      </w:pPr>
    </w:p>
    <w:p w:rsidR="00B227F0" w:rsidRPr="00FC7D73" w:rsidP="00FC7D73" w14:paraId="2BEDACE0" w14:textId="77777777">
      <w:pPr>
        <w:pStyle w:val="Default"/>
        <w:rPr>
          <w:rFonts w:ascii="Times New Roman" w:hAnsi="Times New Roman" w:cs="Times New Roman"/>
          <w:b/>
          <w:color w:val="auto"/>
        </w:rPr>
      </w:pPr>
      <w:r w:rsidRPr="00FC7D73">
        <w:rPr>
          <w:rFonts w:ascii="Times New Roman" w:hAnsi="Times New Roman" w:cs="Times New Roman"/>
          <w:b/>
          <w:color w:val="auto"/>
        </w:rPr>
        <w:t>Specific Instructions</w:t>
      </w:r>
    </w:p>
    <w:p w:rsidR="00B227F0" w:rsidRPr="00FC7D73" w:rsidP="00FC7D73" w14:paraId="580DC9D7" w14:textId="77777777">
      <w:pPr>
        <w:pStyle w:val="Default"/>
        <w:rPr>
          <w:rFonts w:ascii="Times New Roman" w:hAnsi="Times New Roman" w:cs="Times New Roman"/>
          <w:b/>
          <w:color w:val="auto"/>
        </w:rPr>
      </w:pPr>
    </w:p>
    <w:p w:rsidR="00B227F0" w:rsidRPr="00FC7D73" w:rsidP="00FC7D73" w14:paraId="24052D5A" w14:textId="77777777">
      <w:pPr>
        <w:pStyle w:val="Default"/>
        <w:rPr>
          <w:rFonts w:ascii="Times New Roman" w:hAnsi="Times New Roman" w:cs="Times New Roman"/>
          <w:color w:val="auto"/>
        </w:rPr>
      </w:pPr>
      <w:r w:rsidRPr="00FC7D73">
        <w:rPr>
          <w:rFonts w:ascii="Times New Roman" w:hAnsi="Times New Roman" w:cs="Times New Roman"/>
          <w:b/>
          <w:color w:val="auto"/>
        </w:rPr>
        <w:t>A.  Justification</w:t>
      </w:r>
      <w:r w:rsidRPr="00FC7D73">
        <w:rPr>
          <w:rFonts w:ascii="Times New Roman" w:hAnsi="Times New Roman" w:cs="Times New Roman"/>
          <w:color w:val="auto"/>
        </w:rPr>
        <w:t xml:space="preserve"> </w:t>
      </w:r>
    </w:p>
    <w:p w:rsidR="00B227F0" w:rsidRPr="00FC7D73" w:rsidP="00FC7D73" w14:paraId="75A98CEA" w14:textId="77777777">
      <w:pPr>
        <w:pStyle w:val="Default"/>
        <w:rPr>
          <w:rFonts w:ascii="Times New Roman" w:hAnsi="Times New Roman" w:cs="Times New Roman"/>
          <w:color w:val="auto"/>
        </w:rPr>
      </w:pPr>
      <w:r w:rsidRPr="00FC7D73">
        <w:rPr>
          <w:rFonts w:ascii="Times New Roman" w:hAnsi="Times New Roman" w:cs="Times New Roman"/>
          <w:color w:val="auto"/>
        </w:rPr>
        <w:t xml:space="preserve"> </w:t>
      </w:r>
    </w:p>
    <w:p w:rsidR="00B227F0" w:rsidRPr="00FC7D73" w:rsidP="00FC7D73" w14:paraId="048FE832" w14:textId="354F97C7">
      <w:pPr>
        <w:pStyle w:val="Default"/>
        <w:rPr>
          <w:rFonts w:ascii="Times New Roman" w:hAnsi="Times New Roman" w:cs="Times New Roman"/>
          <w:color w:val="auto"/>
        </w:rPr>
      </w:pPr>
      <w:r w:rsidRPr="00FC7D73">
        <w:rPr>
          <w:rFonts w:ascii="Times New Roman" w:hAnsi="Times New Roman" w:cs="Times New Roman"/>
          <w:b/>
          <w:color w:val="auto"/>
        </w:rPr>
        <w:t>1.</w:t>
      </w:r>
      <w:r w:rsidRPr="00FC7D73">
        <w:rPr>
          <w:rFonts w:ascii="Times New Roman" w:hAnsi="Times New Roman" w:cs="Times New Roman"/>
          <w:color w:val="auto"/>
        </w:rPr>
        <w:t xml:space="preserve">   </w:t>
      </w:r>
      <w:r w:rsidRPr="00FC7D73">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FC7D73" w:rsidR="00AA68DD">
        <w:rPr>
          <w:rFonts w:ascii="Times New Roman" w:hAnsi="Times New Roman" w:cs="Times New Roman"/>
          <w:b/>
          <w:color w:val="auto"/>
        </w:rPr>
        <w:t xml:space="preserve"> </w:t>
      </w:r>
      <w:r w:rsidRPr="00FC7D73">
        <w:rPr>
          <w:rFonts w:ascii="Times New Roman" w:hAnsi="Times New Roman" w:cs="Times New Roman"/>
          <w:b/>
          <w:color w:val="auto"/>
        </w:rPr>
        <w:t xml:space="preserve">the appropriate section of each statute and regulation mandating or authorizing the collection of information. </w:t>
      </w:r>
    </w:p>
    <w:p w:rsidR="00B227F0" w:rsidRPr="00FC7D73" w:rsidP="00FC7D73" w14:paraId="1FCB6AF5" w14:textId="77777777">
      <w:pPr>
        <w:pStyle w:val="Default"/>
        <w:rPr>
          <w:rFonts w:ascii="Times New Roman" w:hAnsi="Times New Roman" w:cs="Times New Roman"/>
          <w:color w:val="auto"/>
        </w:rPr>
      </w:pPr>
      <w:r w:rsidRPr="00FC7D73">
        <w:rPr>
          <w:rFonts w:ascii="Times New Roman" w:hAnsi="Times New Roman" w:cs="Times New Roman"/>
          <w:b/>
          <w:color w:val="auto"/>
        </w:rPr>
        <w:t xml:space="preserve"> </w:t>
      </w:r>
    </w:p>
    <w:p w:rsidR="00CB3898" w:rsidRPr="00FC7D73" w:rsidP="00FC7D73" w14:paraId="30E722ED" w14:textId="78AB085E">
      <w:pPr>
        <w:pStyle w:val="Default"/>
        <w:rPr>
          <w:rFonts w:ascii="Times New Roman" w:hAnsi="Times New Roman" w:cs="Times New Roman"/>
          <w:color w:val="auto"/>
        </w:rPr>
      </w:pPr>
      <w:r w:rsidRPr="00FC7D73">
        <w:rPr>
          <w:rFonts w:ascii="Times New Roman" w:hAnsi="Times New Roman" w:cs="Times New Roman"/>
          <w:color w:val="auto"/>
        </w:rPr>
        <w:t>Section 103(h) of the Federal Mine Safety and Health Act of 1977</w:t>
      </w:r>
      <w:r w:rsidRPr="00FC7D73" w:rsidR="006A05E7">
        <w:rPr>
          <w:rFonts w:ascii="Times New Roman" w:hAnsi="Times New Roman" w:cs="Times New Roman"/>
          <w:color w:val="auto"/>
        </w:rPr>
        <w:t xml:space="preserve"> (Mine Act)</w:t>
      </w:r>
      <w:r w:rsidRPr="00FC7D73">
        <w:rPr>
          <w:rFonts w:ascii="Times New Roman" w:hAnsi="Times New Roman" w:cs="Times New Roman"/>
        </w:rPr>
        <w:t xml:space="preserve"> as amended</w:t>
      </w:r>
      <w:r w:rsidRPr="00FC7D73">
        <w:rPr>
          <w:rFonts w:ascii="Times New Roman" w:hAnsi="Times New Roman" w:cs="Times New Roman"/>
          <w:color w:val="auto"/>
        </w:rPr>
        <w:t xml:space="preserve">, 30 U.S.C. 813(h), authorizes the Mine Safety and Health Administration (MSHA) to collect information necessary to carry out its duty in protecting the safety and health of miners. Further, </w:t>
      </w:r>
      <w:bookmarkStart w:id="7" w:name="_Hlk157593570"/>
      <w:r w:rsidRPr="00FC7D73">
        <w:rPr>
          <w:rFonts w:ascii="Times New Roman" w:hAnsi="Times New Roman" w:cs="Times New Roman"/>
          <w:color w:val="auto"/>
        </w:rPr>
        <w:t xml:space="preserve">section 101(a) of the Mine Act, 30 U.S.C. 811(a), authorizes the Secretary of Labor (Secretary) </w:t>
      </w:r>
      <w:bookmarkEnd w:id="7"/>
      <w:r w:rsidRPr="00FC7D73">
        <w:rPr>
          <w:rFonts w:ascii="Times New Roman" w:hAnsi="Times New Roman" w:cs="Times New Roman"/>
          <w:color w:val="auto"/>
        </w:rPr>
        <w:t>to develop, promulgate, and revise as may be appropriate, improved mandatory health or safety standards for the protection of life and prevention of injuries in coal, metal, and nonmetal mines.</w:t>
      </w:r>
    </w:p>
    <w:p w:rsidR="00F70C76" w:rsidRPr="00FC7D73" w:rsidP="00FC7D73" w14:paraId="308C7C3D" w14:textId="77777777">
      <w:pPr>
        <w:pStyle w:val="Default"/>
        <w:rPr>
          <w:rFonts w:ascii="Times New Roman" w:hAnsi="Times New Roman" w:cs="Times New Roman"/>
          <w:color w:val="auto"/>
        </w:rPr>
      </w:pPr>
    </w:p>
    <w:p w:rsidR="00B03537" w:rsidRPr="00FC7D73" w:rsidP="00FC7D73" w14:paraId="095B437B" w14:textId="7A4E3D7A">
      <w:pPr>
        <w:pStyle w:val="Default"/>
        <w:rPr>
          <w:rFonts w:ascii="Times New Roman" w:hAnsi="Times New Roman" w:cs="Times New Roman"/>
        </w:rPr>
      </w:pPr>
      <w:bookmarkStart w:id="8" w:name="_Hlk196997247"/>
      <w:r w:rsidRPr="00FC7D73">
        <w:rPr>
          <w:rFonts w:ascii="Times New Roman" w:hAnsi="Times New Roman" w:cs="Times New Roman"/>
        </w:rPr>
        <w:t xml:space="preserve">The Paperwork Reduction Act </w:t>
      </w:r>
      <w:r w:rsidRPr="00FC7D73" w:rsidR="00D82508">
        <w:rPr>
          <w:rFonts w:ascii="Times New Roman" w:hAnsi="Times New Roman" w:cs="Times New Roman"/>
        </w:rPr>
        <w:t xml:space="preserve">of 1995 </w:t>
      </w:r>
      <w:r w:rsidRPr="00FC7D73">
        <w:rPr>
          <w:rFonts w:ascii="Times New Roman" w:hAnsi="Times New Roman" w:cs="Times New Roman"/>
        </w:rPr>
        <w:t xml:space="preserve">(PRA) governs paperwork burdens imposed by Federal agencies on the public for using identical questions to collect information from 10 or more persons. </w:t>
      </w:r>
      <w:r w:rsidRPr="00FC7D73" w:rsidR="00D82508">
        <w:rPr>
          <w:rFonts w:ascii="Times New Roman" w:hAnsi="Times New Roman" w:cs="Times New Roman"/>
        </w:rPr>
        <w:t>The PRA defines p</w:t>
      </w:r>
      <w:r w:rsidRPr="00FC7D73">
        <w:rPr>
          <w:rFonts w:ascii="Times New Roman" w:hAnsi="Times New Roman" w:cs="Times New Roman"/>
        </w:rPr>
        <w:t xml:space="preserve">aperwork burden is defined in 44 U.S.C. 3502(2) as time, effort, or financial resources expended to generate, maintain, or provide information to or for a Federal agency. </w:t>
      </w:r>
      <w:r w:rsidRPr="00FC7D73" w:rsidR="002B4F89">
        <w:rPr>
          <w:rFonts w:ascii="Times New Roman" w:hAnsi="Times New Roman" w:cs="Times New Roman"/>
        </w:rPr>
        <w:t xml:space="preserve">Under 44 U.S.C. 3507, the PRA also establishes policies and procedures of information collection for controlling paperwork burdens imposed by Federal agencies on the public, including evaluating public comments. </w:t>
      </w:r>
    </w:p>
    <w:bookmarkEnd w:id="8"/>
    <w:p w:rsidR="00B03537" w:rsidRPr="00FC7D73" w:rsidP="00FC7D73" w14:paraId="522C5757" w14:textId="77777777">
      <w:pPr>
        <w:pStyle w:val="Default"/>
        <w:rPr>
          <w:rFonts w:ascii="Times New Roman" w:hAnsi="Times New Roman" w:cs="Times New Roman"/>
          <w:color w:val="auto"/>
        </w:rPr>
      </w:pPr>
    </w:p>
    <w:p w:rsidR="00057069" w:rsidRPr="00FC7D73" w:rsidP="00FC7D73" w14:paraId="355E7F51" w14:textId="5025102E">
      <w:pPr>
        <w:pStyle w:val="Default"/>
        <w:rPr>
          <w:rFonts w:ascii="Times New Roman" w:hAnsi="Times New Roman" w:cs="Times New Roman"/>
          <w:color w:val="auto"/>
        </w:rPr>
      </w:pPr>
      <w:bookmarkStart w:id="9" w:name="_Hlk169763927"/>
      <w:r w:rsidRPr="00FC7D73">
        <w:rPr>
          <w:rFonts w:ascii="Times New Roman" w:hAnsi="Times New Roman" w:cs="Times New Roman"/>
          <w:color w:val="auto"/>
        </w:rPr>
        <w:t>T</w:t>
      </w:r>
      <w:r w:rsidRPr="00FC7D73" w:rsidR="00F70C76">
        <w:rPr>
          <w:rFonts w:ascii="Times New Roman" w:hAnsi="Times New Roman" w:cs="Times New Roman"/>
          <w:color w:val="auto"/>
        </w:rPr>
        <w:t xml:space="preserve">o fulfill the statutory mandates to promote miners’ health and safety, MSHA requires </w:t>
      </w:r>
      <w:r w:rsidRPr="00FC7D73" w:rsidR="003A3CD0">
        <w:rPr>
          <w:rFonts w:ascii="Times New Roman" w:hAnsi="Times New Roman" w:cs="Times New Roman"/>
          <w:color w:val="auto"/>
        </w:rPr>
        <w:t xml:space="preserve">the </w:t>
      </w:r>
      <w:r w:rsidRPr="00FC7D73" w:rsidR="00F70C76">
        <w:rPr>
          <w:rFonts w:ascii="Times New Roman" w:hAnsi="Times New Roman" w:cs="Times New Roman"/>
          <w:color w:val="auto"/>
        </w:rPr>
        <w:t>information</w:t>
      </w:r>
      <w:r w:rsidRPr="00FC7D73" w:rsidR="00522EC1">
        <w:rPr>
          <w:rFonts w:ascii="Times New Roman" w:hAnsi="Times New Roman" w:cs="Times New Roman"/>
          <w:color w:val="auto"/>
        </w:rPr>
        <w:t xml:space="preserve"> under the </w:t>
      </w:r>
      <w:r w:rsidRPr="00FC7D73">
        <w:rPr>
          <w:rFonts w:ascii="Times New Roman" w:hAnsi="Times New Roman" w:cs="Times New Roman"/>
          <w:color w:val="auto"/>
        </w:rPr>
        <w:t xml:space="preserve">ICR </w:t>
      </w:r>
      <w:r w:rsidRPr="00FC7D73" w:rsidR="003752D3">
        <w:rPr>
          <w:rFonts w:ascii="Times New Roman" w:hAnsi="Times New Roman" w:cs="Times New Roman"/>
          <w:color w:val="auto"/>
        </w:rPr>
        <w:t>titled</w:t>
      </w:r>
      <w:r w:rsidRPr="00FC7D73" w:rsidR="00F50585">
        <w:rPr>
          <w:rFonts w:ascii="Times New Roman" w:hAnsi="Times New Roman" w:cs="Times New Roman"/>
          <w:color w:val="auto"/>
        </w:rPr>
        <w:t xml:space="preserve"> </w:t>
      </w:r>
      <w:r w:rsidRPr="00FC7D73" w:rsidR="000C4082">
        <w:rPr>
          <w:rFonts w:ascii="Times New Roman" w:hAnsi="Times New Roman" w:cs="Times New Roman"/>
          <w:color w:val="auto"/>
        </w:rPr>
        <w:t>“</w:t>
      </w:r>
      <w:r w:rsidRPr="00FC7D73" w:rsidR="008F334D">
        <w:rPr>
          <w:rFonts w:ascii="Times New Roman" w:hAnsi="Times New Roman" w:cs="Times New Roman"/>
        </w:rPr>
        <w:t>Coal Mine Dust Sampling Devices</w:t>
      </w:r>
      <w:r w:rsidRPr="00FC7D73" w:rsidR="00F275B5">
        <w:rPr>
          <w:rFonts w:ascii="Times New Roman" w:hAnsi="Times New Roman" w:cs="Times New Roman"/>
        </w:rPr>
        <w:t>.</w:t>
      </w:r>
      <w:r w:rsidRPr="00FC7D73" w:rsidR="008F334D">
        <w:rPr>
          <w:rFonts w:ascii="Times New Roman" w:hAnsi="Times New Roman" w:cs="Times New Roman"/>
        </w:rPr>
        <w:t>”</w:t>
      </w:r>
      <w:r w:rsidRPr="00FC7D73" w:rsidR="00F70C76">
        <w:rPr>
          <w:rFonts w:ascii="Times New Roman" w:hAnsi="Times New Roman" w:cs="Times New Roman"/>
          <w:color w:val="auto"/>
        </w:rPr>
        <w:t xml:space="preserve"> The information collection</w:t>
      </w:r>
      <w:r w:rsidRPr="00FC7D73" w:rsidR="00F70C76">
        <w:rPr>
          <w:rFonts w:ascii="Times New Roman" w:hAnsi="Times New Roman" w:cs="Times New Roman"/>
          <w:color w:val="000000" w:themeColor="text1"/>
        </w:rPr>
        <w:t xml:space="preserve"> is intended </w:t>
      </w:r>
      <w:r w:rsidRPr="00FC7D73" w:rsidR="000E02BA">
        <w:rPr>
          <w:rFonts w:ascii="Times New Roman" w:hAnsi="Times New Roman" w:cs="Times New Roman"/>
        </w:rPr>
        <w:t xml:space="preserve">to determine if </w:t>
      </w:r>
      <w:r w:rsidRPr="00FC7D73" w:rsidR="00576E78">
        <w:rPr>
          <w:rFonts w:ascii="Times New Roman" w:hAnsi="Times New Roman" w:cs="Times New Roman"/>
        </w:rPr>
        <w:t xml:space="preserve">coal mine dust sampling devices </w:t>
      </w:r>
      <w:r w:rsidRPr="00FC7D73" w:rsidR="000E02BA">
        <w:rPr>
          <w:rFonts w:ascii="Times New Roman" w:hAnsi="Times New Roman" w:cs="Times New Roman"/>
        </w:rPr>
        <w:t xml:space="preserve">meet established </w:t>
      </w:r>
      <w:r w:rsidRPr="00FC7D73" w:rsidR="00576E78">
        <w:rPr>
          <w:rFonts w:ascii="Times New Roman" w:hAnsi="Times New Roman" w:cs="Times New Roman"/>
        </w:rPr>
        <w:t xml:space="preserve">safety </w:t>
      </w:r>
      <w:r w:rsidRPr="00FC7D73" w:rsidR="000E02BA">
        <w:rPr>
          <w:rFonts w:ascii="Times New Roman" w:hAnsi="Times New Roman" w:cs="Times New Roman"/>
        </w:rPr>
        <w:t>criteria for use in coal mine</w:t>
      </w:r>
      <w:r w:rsidRPr="00FC7D73" w:rsidR="00013DCB">
        <w:rPr>
          <w:rFonts w:ascii="Times New Roman" w:hAnsi="Times New Roman" w:cs="Times New Roman"/>
        </w:rPr>
        <w:t>s</w:t>
      </w:r>
      <w:r w:rsidRPr="00FC7D73" w:rsidR="000E02BA">
        <w:rPr>
          <w:rFonts w:ascii="Times New Roman" w:hAnsi="Times New Roman" w:cs="Times New Roman"/>
        </w:rPr>
        <w:t>.</w:t>
      </w:r>
    </w:p>
    <w:p w:rsidR="00057069" w:rsidRPr="00FC7D73" w:rsidP="00FC7D73" w14:paraId="61CFCABB" w14:textId="77777777">
      <w:pPr>
        <w:pStyle w:val="Default"/>
        <w:rPr>
          <w:rFonts w:ascii="Times New Roman" w:hAnsi="Times New Roman" w:cs="Times New Roman"/>
          <w:color w:val="auto"/>
        </w:rPr>
      </w:pPr>
    </w:p>
    <w:p w:rsidR="00525B2A" w:rsidRPr="00FC7D73" w:rsidP="00FC7D73" w14:paraId="580992D7" w14:textId="478F0464">
      <w:r w:rsidRPr="00FC7D73">
        <w:t xml:space="preserve">Coal mine sampling devices include continuous personal dust monitors (CPDMs) and coal mine dust personal sampler units (CMDPSUs). </w:t>
      </w:r>
      <w:r w:rsidRPr="00FC7D73" w:rsidR="005740AA">
        <w:t>CPDMs</w:t>
      </w:r>
      <w:r w:rsidRPr="00FC7D73" w:rsidR="004D2845">
        <w:t xml:space="preserve"> and CMDPSU</w:t>
      </w:r>
      <w:r w:rsidRPr="00FC7D73" w:rsidR="00360A2D">
        <w:t>s</w:t>
      </w:r>
      <w:r w:rsidRPr="00FC7D73" w:rsidR="005740AA">
        <w:t xml:space="preserve"> </w:t>
      </w:r>
      <w:r w:rsidRPr="00FC7D73">
        <w:t>measure</w:t>
      </w:r>
      <w:r w:rsidRPr="00FC7D73" w:rsidR="005740AA">
        <w:t xml:space="preserve"> the concentration of respirable dust in coal mines. </w:t>
      </w:r>
      <w:r w:rsidRPr="00FC7D73" w:rsidR="004D2845">
        <w:t>These devices</w:t>
      </w:r>
      <w:r w:rsidRPr="00FC7D73" w:rsidR="005740AA">
        <w:t xml:space="preserve"> must be designed and constructed for coal miners to wear and operate without impeding their ability to perform work safely and effectively. </w:t>
      </w:r>
      <w:r w:rsidRPr="00FC7D73" w:rsidR="004D2845">
        <w:t>They</w:t>
      </w:r>
      <w:r w:rsidRPr="00FC7D73" w:rsidR="005740AA">
        <w:t xml:space="preserve"> must be durable to perform reliably in the normal working conditions of coal mines. </w:t>
      </w:r>
    </w:p>
    <w:p w:rsidR="00525B2A" w:rsidRPr="00FC7D73" w:rsidP="00FC7D73" w14:paraId="344A5252" w14:textId="77777777"/>
    <w:p w:rsidR="00F275B5" w:rsidRPr="00FC7D73" w:rsidP="00FC7D73" w14:paraId="6C6639E2" w14:textId="77777777">
      <w:pPr>
        <w:pStyle w:val="Default"/>
        <w:rPr>
          <w:rFonts w:ascii="Times New Roman" w:hAnsi="Times New Roman" w:cs="Times New Roman"/>
          <w:color w:val="auto"/>
        </w:rPr>
      </w:pPr>
      <w:r w:rsidRPr="00FC7D73">
        <w:rPr>
          <w:rFonts w:ascii="Times New Roman" w:hAnsi="Times New Roman" w:cs="Times New Roman"/>
          <w:color w:val="auto"/>
        </w:rPr>
        <w:t>Under 30 CFR part 74, the requirements for approval of coal mine dust sampling devices are set forth for determining the concentrations of respirable dust in coal mine atmospheres. It also outlines procedures for applying for approval and testing.</w:t>
      </w:r>
    </w:p>
    <w:p w:rsidR="00F275B5" w:rsidRPr="00FC7D73" w:rsidP="00FC7D73" w14:paraId="28C78D16" w14:textId="77777777">
      <w:pPr>
        <w:pStyle w:val="Default"/>
        <w:rPr>
          <w:rFonts w:ascii="Times New Roman" w:hAnsi="Times New Roman" w:cs="Times New Roman"/>
          <w:color w:val="auto"/>
        </w:rPr>
      </w:pPr>
    </w:p>
    <w:p w:rsidR="00057069" w:rsidRPr="00FC7D73" w:rsidP="00FC7D73" w14:paraId="6A596CA3" w14:textId="7193466A">
      <w:pPr>
        <w:pStyle w:val="Default"/>
        <w:rPr>
          <w:rFonts w:ascii="Times New Roman" w:hAnsi="Times New Roman" w:cs="Times New Roman"/>
          <w:color w:val="auto"/>
        </w:rPr>
      </w:pPr>
      <w:r w:rsidRPr="00FC7D73">
        <w:rPr>
          <w:rFonts w:ascii="Times New Roman" w:hAnsi="Times New Roman" w:cs="Times New Roman"/>
          <w:color w:val="auto"/>
        </w:rPr>
        <w:t xml:space="preserve">Burden costs associated with the ICR include: </w:t>
      </w:r>
    </w:p>
    <w:p w:rsidR="00057069" w:rsidRPr="00FC7D73" w:rsidP="00FC7D73" w14:paraId="0A9E22DD" w14:textId="1292CAA2">
      <w:pPr>
        <w:pStyle w:val="Default"/>
        <w:numPr>
          <w:ilvl w:val="0"/>
          <w:numId w:val="11"/>
        </w:numPr>
        <w:rPr>
          <w:rFonts w:ascii="Times New Roman" w:hAnsi="Times New Roman" w:cs="Times New Roman"/>
          <w:color w:val="auto"/>
        </w:rPr>
      </w:pPr>
      <w:r w:rsidRPr="00FC7D73">
        <w:rPr>
          <w:rFonts w:ascii="Times New Roman" w:hAnsi="Times New Roman" w:cs="Times New Roman"/>
          <w:color w:val="auto"/>
        </w:rPr>
        <w:t>M</w:t>
      </w:r>
      <w:r w:rsidRPr="00FC7D73" w:rsidR="00E6787F">
        <w:rPr>
          <w:rFonts w:ascii="Times New Roman" w:hAnsi="Times New Roman" w:cs="Times New Roman"/>
          <w:color w:val="auto"/>
        </w:rPr>
        <w:t xml:space="preserve">anufacturers </w:t>
      </w:r>
      <w:r w:rsidRPr="00FC7D73" w:rsidR="006B02C7">
        <w:rPr>
          <w:rFonts w:ascii="Times New Roman" w:hAnsi="Times New Roman" w:cs="Times New Roman"/>
          <w:color w:val="auto"/>
        </w:rPr>
        <w:t xml:space="preserve">preparing and </w:t>
      </w:r>
      <w:r w:rsidRPr="00FC7D73" w:rsidR="0065064F">
        <w:rPr>
          <w:rFonts w:ascii="Times New Roman" w:hAnsi="Times New Roman" w:cs="Times New Roman"/>
          <w:color w:val="auto"/>
        </w:rPr>
        <w:t>submit</w:t>
      </w:r>
      <w:r w:rsidRPr="00FC7D73" w:rsidR="00E6787F">
        <w:rPr>
          <w:rFonts w:ascii="Times New Roman" w:hAnsi="Times New Roman" w:cs="Times New Roman"/>
          <w:color w:val="auto"/>
        </w:rPr>
        <w:t>ting</w:t>
      </w:r>
      <w:r w:rsidRPr="00FC7D73" w:rsidR="00E22BBD">
        <w:rPr>
          <w:rFonts w:ascii="Times New Roman" w:hAnsi="Times New Roman" w:cs="Times New Roman"/>
          <w:color w:val="auto"/>
        </w:rPr>
        <w:t xml:space="preserve"> application</w:t>
      </w:r>
      <w:r w:rsidRPr="00FC7D73" w:rsidR="009C17E2">
        <w:rPr>
          <w:rFonts w:ascii="Times New Roman" w:hAnsi="Times New Roman" w:cs="Times New Roman"/>
          <w:color w:val="auto"/>
        </w:rPr>
        <w:t>s</w:t>
      </w:r>
      <w:r w:rsidRPr="00FC7D73" w:rsidR="00E22BBD">
        <w:rPr>
          <w:rFonts w:ascii="Times New Roman" w:hAnsi="Times New Roman" w:cs="Times New Roman"/>
          <w:color w:val="auto"/>
        </w:rPr>
        <w:t xml:space="preserve"> </w:t>
      </w:r>
      <w:r w:rsidRPr="00FC7D73" w:rsidR="004E3476">
        <w:rPr>
          <w:rFonts w:ascii="Times New Roman" w:hAnsi="Times New Roman" w:cs="Times New Roman"/>
          <w:color w:val="auto"/>
        </w:rPr>
        <w:t>for</w:t>
      </w:r>
      <w:r w:rsidRPr="00FC7D73" w:rsidR="00E22BBD">
        <w:rPr>
          <w:rFonts w:ascii="Times New Roman" w:hAnsi="Times New Roman" w:cs="Times New Roman"/>
          <w:color w:val="auto"/>
        </w:rPr>
        <w:t xml:space="preserve"> MSHA</w:t>
      </w:r>
      <w:r w:rsidRPr="00FC7D73" w:rsidR="00AD5448">
        <w:rPr>
          <w:rFonts w:ascii="Times New Roman" w:hAnsi="Times New Roman" w:cs="Times New Roman"/>
          <w:color w:val="auto"/>
        </w:rPr>
        <w:t xml:space="preserve">’s approval of the </w:t>
      </w:r>
      <w:r w:rsidRPr="00FC7D73" w:rsidR="00AD5448">
        <w:rPr>
          <w:rFonts w:ascii="Times New Roman" w:hAnsi="Times New Roman" w:cs="Times New Roman"/>
          <w:color w:val="auto"/>
        </w:rPr>
        <w:t>pump unit of a CMDPSU</w:t>
      </w:r>
      <w:r w:rsidRPr="00FC7D73" w:rsidR="00E6787F">
        <w:rPr>
          <w:rFonts w:ascii="Times New Roman" w:hAnsi="Times New Roman" w:cs="Times New Roman"/>
          <w:color w:val="auto"/>
        </w:rPr>
        <w:t>;</w:t>
      </w:r>
      <w:r w:rsidRPr="00FC7D73" w:rsidR="00E22BBD">
        <w:rPr>
          <w:rFonts w:ascii="Times New Roman" w:hAnsi="Times New Roman" w:cs="Times New Roman"/>
          <w:color w:val="auto"/>
        </w:rPr>
        <w:t xml:space="preserve"> </w:t>
      </w:r>
    </w:p>
    <w:p w:rsidR="00E22BBD" w:rsidRPr="00FC7D73" w:rsidP="00FC7D73" w14:paraId="443739E4" w14:textId="78A5A34D">
      <w:pPr>
        <w:pStyle w:val="Default"/>
        <w:numPr>
          <w:ilvl w:val="0"/>
          <w:numId w:val="11"/>
        </w:numPr>
        <w:rPr>
          <w:rFonts w:ascii="Times New Roman" w:hAnsi="Times New Roman" w:cs="Times New Roman"/>
          <w:color w:val="auto"/>
        </w:rPr>
      </w:pPr>
      <w:r w:rsidRPr="00FC7D73">
        <w:rPr>
          <w:rFonts w:ascii="Times New Roman" w:hAnsi="Times New Roman" w:cs="Times New Roman"/>
          <w:color w:val="auto"/>
        </w:rPr>
        <w:t>M</w:t>
      </w:r>
      <w:r w:rsidRPr="00FC7D73" w:rsidR="00E6787F">
        <w:rPr>
          <w:rFonts w:ascii="Times New Roman" w:hAnsi="Times New Roman" w:cs="Times New Roman"/>
          <w:color w:val="auto"/>
        </w:rPr>
        <w:t xml:space="preserve">anufacturers </w:t>
      </w:r>
      <w:r w:rsidRPr="00FC7D73" w:rsidR="00AD5448">
        <w:rPr>
          <w:rFonts w:ascii="Times New Roman" w:hAnsi="Times New Roman" w:cs="Times New Roman"/>
          <w:color w:val="auto"/>
        </w:rPr>
        <w:t xml:space="preserve">preparing and submitting </w:t>
      </w:r>
      <w:r w:rsidRPr="00FC7D73" w:rsidR="00A77306">
        <w:rPr>
          <w:rFonts w:ascii="Times New Roman" w:hAnsi="Times New Roman" w:cs="Times New Roman"/>
          <w:color w:val="auto"/>
        </w:rPr>
        <w:t>a</w:t>
      </w:r>
      <w:r w:rsidRPr="00FC7D73">
        <w:rPr>
          <w:rFonts w:ascii="Times New Roman" w:hAnsi="Times New Roman" w:cs="Times New Roman"/>
          <w:color w:val="auto"/>
        </w:rPr>
        <w:t>pplications</w:t>
      </w:r>
      <w:r w:rsidRPr="00FC7D73" w:rsidR="00AD5448">
        <w:rPr>
          <w:rFonts w:ascii="Times New Roman" w:hAnsi="Times New Roman" w:cs="Times New Roman"/>
          <w:color w:val="auto"/>
        </w:rPr>
        <w:t xml:space="preserve"> </w:t>
      </w:r>
      <w:r w:rsidRPr="00FC7D73" w:rsidR="004E3476">
        <w:rPr>
          <w:rFonts w:ascii="Times New Roman" w:hAnsi="Times New Roman" w:cs="Times New Roman"/>
          <w:color w:val="auto"/>
        </w:rPr>
        <w:t>for</w:t>
      </w:r>
      <w:r w:rsidRPr="00FC7D73" w:rsidR="00AD5448">
        <w:rPr>
          <w:rFonts w:ascii="Times New Roman" w:hAnsi="Times New Roman" w:cs="Times New Roman"/>
          <w:color w:val="auto"/>
        </w:rPr>
        <w:t xml:space="preserve"> MSHA’s approval of intrinsic safety testing</w:t>
      </w:r>
      <w:r w:rsidRPr="00FC7D73" w:rsidR="00877098">
        <w:rPr>
          <w:rFonts w:ascii="Times New Roman" w:hAnsi="Times New Roman" w:cs="Times New Roman"/>
          <w:color w:val="auto"/>
        </w:rPr>
        <w:t xml:space="preserve"> of </w:t>
      </w:r>
      <w:r w:rsidRPr="00FC7D73" w:rsidR="006B02C7">
        <w:rPr>
          <w:rFonts w:ascii="Times New Roman" w:hAnsi="Times New Roman" w:cs="Times New Roman"/>
          <w:color w:val="auto"/>
        </w:rPr>
        <w:t>a CPDM</w:t>
      </w:r>
      <w:r w:rsidRPr="00FC7D73" w:rsidR="00E6787F">
        <w:rPr>
          <w:rFonts w:ascii="Times New Roman" w:hAnsi="Times New Roman" w:cs="Times New Roman"/>
          <w:color w:val="auto"/>
        </w:rPr>
        <w:t>;</w:t>
      </w:r>
    </w:p>
    <w:p w:rsidR="005B585C" w:rsidRPr="00FC7D73" w:rsidP="00FC7D73" w14:paraId="4EC3E8DA" w14:textId="004C1E47">
      <w:pPr>
        <w:pStyle w:val="Default"/>
        <w:numPr>
          <w:ilvl w:val="0"/>
          <w:numId w:val="11"/>
        </w:numPr>
        <w:rPr>
          <w:rFonts w:ascii="Times New Roman" w:hAnsi="Times New Roman" w:cs="Times New Roman"/>
          <w:color w:val="auto"/>
        </w:rPr>
      </w:pPr>
      <w:r w:rsidRPr="00FC7D73">
        <w:rPr>
          <w:rFonts w:ascii="Times New Roman" w:hAnsi="Times New Roman" w:cs="Times New Roman"/>
          <w:color w:val="auto"/>
        </w:rPr>
        <w:t xml:space="preserve">Manufacturers </w:t>
      </w:r>
      <w:r w:rsidRPr="00FC7D73" w:rsidR="000B1607">
        <w:rPr>
          <w:rFonts w:ascii="Times New Roman" w:hAnsi="Times New Roman" w:cs="Times New Roman"/>
          <w:color w:val="auto"/>
        </w:rPr>
        <w:t>p</w:t>
      </w:r>
      <w:r w:rsidRPr="00FC7D73">
        <w:rPr>
          <w:rFonts w:ascii="Times New Roman" w:hAnsi="Times New Roman" w:cs="Times New Roman"/>
          <w:color w:val="auto"/>
        </w:rPr>
        <w:t xml:space="preserve">roviding CMDPSU </w:t>
      </w:r>
      <w:r w:rsidRPr="00FC7D73" w:rsidR="00CC06F9">
        <w:rPr>
          <w:rFonts w:ascii="Times New Roman" w:hAnsi="Times New Roman" w:cs="Times New Roman"/>
          <w:color w:val="auto"/>
        </w:rPr>
        <w:t>or</w:t>
      </w:r>
      <w:r w:rsidRPr="00FC7D73">
        <w:rPr>
          <w:rFonts w:ascii="Times New Roman" w:hAnsi="Times New Roman" w:cs="Times New Roman"/>
          <w:color w:val="auto"/>
        </w:rPr>
        <w:t xml:space="preserve"> CPDM </w:t>
      </w:r>
      <w:r w:rsidRPr="00FC7D73" w:rsidR="000B1607">
        <w:rPr>
          <w:rFonts w:ascii="Times New Roman" w:hAnsi="Times New Roman" w:cs="Times New Roman"/>
          <w:color w:val="auto"/>
        </w:rPr>
        <w:t>d</w:t>
      </w:r>
      <w:r w:rsidRPr="00FC7D73">
        <w:rPr>
          <w:rFonts w:ascii="Times New Roman" w:hAnsi="Times New Roman" w:cs="Times New Roman"/>
          <w:color w:val="auto"/>
        </w:rPr>
        <w:t>evices</w:t>
      </w:r>
      <w:r w:rsidRPr="00FC7D73" w:rsidR="005A4401">
        <w:rPr>
          <w:rFonts w:ascii="Times New Roman" w:hAnsi="Times New Roman" w:cs="Times New Roman"/>
          <w:color w:val="auto"/>
        </w:rPr>
        <w:t xml:space="preserve"> to MSHA</w:t>
      </w:r>
      <w:r w:rsidRPr="00FC7D73" w:rsidR="004E3476">
        <w:rPr>
          <w:rFonts w:ascii="Times New Roman" w:hAnsi="Times New Roman" w:cs="Times New Roman"/>
          <w:color w:val="auto"/>
        </w:rPr>
        <w:t>;</w:t>
      </w:r>
    </w:p>
    <w:p w:rsidR="00EA72FE" w:rsidRPr="00FC7D73" w:rsidP="00FC7D73" w14:paraId="67219727" w14:textId="54A8442C">
      <w:pPr>
        <w:pStyle w:val="Default"/>
        <w:numPr>
          <w:ilvl w:val="0"/>
          <w:numId w:val="11"/>
        </w:numPr>
        <w:rPr>
          <w:rFonts w:ascii="Times New Roman" w:hAnsi="Times New Roman" w:cs="Times New Roman"/>
          <w:color w:val="auto"/>
        </w:rPr>
      </w:pPr>
      <w:r w:rsidRPr="00FC7D73">
        <w:rPr>
          <w:rFonts w:ascii="Times New Roman" w:hAnsi="Times New Roman" w:cs="Times New Roman"/>
          <w:color w:val="auto"/>
        </w:rPr>
        <w:t xml:space="preserve">MSHA </w:t>
      </w:r>
      <w:r w:rsidRPr="00FC7D73" w:rsidR="00506C12">
        <w:rPr>
          <w:rFonts w:ascii="Times New Roman" w:hAnsi="Times New Roman" w:cs="Times New Roman"/>
          <w:color w:val="auto"/>
        </w:rPr>
        <w:t>issu</w:t>
      </w:r>
      <w:r w:rsidRPr="00FC7D73" w:rsidR="005A4401">
        <w:rPr>
          <w:rFonts w:ascii="Times New Roman" w:hAnsi="Times New Roman" w:cs="Times New Roman"/>
          <w:color w:val="auto"/>
        </w:rPr>
        <w:t>ing</w:t>
      </w:r>
      <w:r w:rsidRPr="00FC7D73" w:rsidR="00506C12">
        <w:rPr>
          <w:rFonts w:ascii="Times New Roman" w:hAnsi="Times New Roman" w:cs="Times New Roman"/>
          <w:color w:val="auto"/>
        </w:rPr>
        <w:t xml:space="preserve"> certificate</w:t>
      </w:r>
      <w:r w:rsidRPr="00FC7D73" w:rsidR="005A4401">
        <w:rPr>
          <w:rFonts w:ascii="Times New Roman" w:hAnsi="Times New Roman" w:cs="Times New Roman"/>
          <w:color w:val="auto"/>
        </w:rPr>
        <w:t>s</w:t>
      </w:r>
      <w:r w:rsidRPr="00FC7D73" w:rsidR="00506C12">
        <w:rPr>
          <w:rFonts w:ascii="Times New Roman" w:hAnsi="Times New Roman" w:cs="Times New Roman"/>
          <w:color w:val="auto"/>
        </w:rPr>
        <w:t xml:space="preserve"> of approval or disapproval</w:t>
      </w:r>
      <w:r w:rsidRPr="00FC7D73" w:rsidR="004E3476">
        <w:rPr>
          <w:rFonts w:ascii="Times New Roman" w:hAnsi="Times New Roman" w:cs="Times New Roman"/>
          <w:color w:val="auto"/>
        </w:rPr>
        <w:t>;</w:t>
      </w:r>
      <w:r w:rsidRPr="00FC7D73" w:rsidR="005A4401">
        <w:rPr>
          <w:rFonts w:ascii="Times New Roman" w:hAnsi="Times New Roman" w:cs="Times New Roman"/>
          <w:color w:val="auto"/>
        </w:rPr>
        <w:t xml:space="preserve"> </w:t>
      </w:r>
    </w:p>
    <w:p w:rsidR="0067615C" w:rsidRPr="00FC7D73" w:rsidP="00FC7D73" w14:paraId="08B30803" w14:textId="17C9E6C7">
      <w:pPr>
        <w:pStyle w:val="Default"/>
        <w:numPr>
          <w:ilvl w:val="0"/>
          <w:numId w:val="11"/>
        </w:numPr>
        <w:rPr>
          <w:rFonts w:ascii="Times New Roman" w:hAnsi="Times New Roman" w:cs="Times New Roman"/>
          <w:color w:val="auto"/>
        </w:rPr>
      </w:pPr>
      <w:r w:rsidRPr="00FC7D73">
        <w:rPr>
          <w:rFonts w:ascii="Times New Roman" w:hAnsi="Times New Roman" w:cs="Times New Roman"/>
          <w:color w:val="auto"/>
        </w:rPr>
        <w:t>Manufacturers keeping records; and</w:t>
      </w:r>
    </w:p>
    <w:p w:rsidR="00B96614" w:rsidRPr="00FC7D73" w:rsidP="00FC7D73" w14:paraId="564C4304" w14:textId="37A7151E">
      <w:pPr>
        <w:pStyle w:val="Default"/>
        <w:numPr>
          <w:ilvl w:val="0"/>
          <w:numId w:val="11"/>
        </w:numPr>
        <w:rPr>
          <w:rFonts w:ascii="Times New Roman" w:hAnsi="Times New Roman" w:cs="Times New Roman"/>
          <w:color w:val="auto"/>
        </w:rPr>
      </w:pPr>
      <w:r w:rsidRPr="00FC7D73">
        <w:rPr>
          <w:rFonts w:ascii="Times New Roman" w:hAnsi="Times New Roman" w:cs="Times New Roman"/>
          <w:color w:val="auto"/>
        </w:rPr>
        <w:t>Manufacturers making c</w:t>
      </w:r>
      <w:r w:rsidRPr="00FC7D73">
        <w:rPr>
          <w:rFonts w:ascii="Times New Roman" w:hAnsi="Times New Roman" w:cs="Times New Roman"/>
          <w:color w:val="auto"/>
        </w:rPr>
        <w:t>hanges after certification</w:t>
      </w:r>
      <w:r w:rsidRPr="00FC7D73" w:rsidR="00063595">
        <w:rPr>
          <w:rFonts w:ascii="Times New Roman" w:hAnsi="Times New Roman" w:cs="Times New Roman"/>
          <w:color w:val="auto"/>
        </w:rPr>
        <w:t>.</w:t>
      </w:r>
    </w:p>
    <w:bookmarkEnd w:id="9"/>
    <w:p w:rsidR="00C73040" w:rsidRPr="00FC7D73" w:rsidP="00FC7D73" w14:paraId="66A14350" w14:textId="77777777">
      <w:pPr>
        <w:pStyle w:val="Default"/>
        <w:rPr>
          <w:rFonts w:ascii="Times New Roman" w:hAnsi="Times New Roman" w:cs="Times New Roman"/>
          <w:color w:val="auto"/>
        </w:rPr>
      </w:pPr>
    </w:p>
    <w:p w:rsidR="00D624F4" w:rsidRPr="00FC7D73" w:rsidP="00FC7D73" w14:paraId="6A1AB28A" w14:textId="3AB1E09B">
      <w:pPr>
        <w:pStyle w:val="Default"/>
        <w:rPr>
          <w:rFonts w:ascii="Times New Roman" w:hAnsi="Times New Roman" w:cs="Times New Roman"/>
          <w:color w:val="auto"/>
        </w:rPr>
      </w:pPr>
      <w:r w:rsidRPr="00FC7D73">
        <w:rPr>
          <w:rFonts w:ascii="Times New Roman" w:hAnsi="Times New Roman" w:cs="Times New Roman"/>
          <w:color w:val="auto"/>
        </w:rPr>
        <w:t>Authorization and the associated rule text are described below.</w:t>
      </w:r>
    </w:p>
    <w:p w:rsidR="00232278" w:rsidRPr="00FC7D73" w:rsidP="00FC7D73" w14:paraId="3C4F0C4F" w14:textId="77777777">
      <w:pPr>
        <w:pStyle w:val="Default"/>
        <w:rPr>
          <w:rFonts w:ascii="Times New Roman" w:hAnsi="Times New Roman" w:cs="Times New Roman"/>
          <w:b/>
          <w:bCs/>
        </w:rPr>
      </w:pPr>
    </w:p>
    <w:p w:rsidR="00232278" w:rsidRPr="00FC7D73" w:rsidP="00B844D7" w14:paraId="52FDAD92" w14:textId="3DC4C418">
      <w:pPr>
        <w:pStyle w:val="Default"/>
        <w:numPr>
          <w:ilvl w:val="0"/>
          <w:numId w:val="46"/>
        </w:numPr>
        <w:rPr>
          <w:rFonts w:ascii="Times New Roman" w:hAnsi="Times New Roman" w:cs="Times New Roman"/>
          <w:b/>
          <w:bCs/>
          <w:color w:val="auto"/>
        </w:rPr>
      </w:pPr>
      <w:bookmarkStart w:id="10" w:name="_Hlk193294444"/>
      <w:r w:rsidRPr="00FC7D73">
        <w:rPr>
          <w:rFonts w:ascii="Times New Roman" w:hAnsi="Times New Roman" w:cs="Times New Roman"/>
          <w:b/>
          <w:bCs/>
          <w:color w:val="auto"/>
        </w:rPr>
        <w:t xml:space="preserve">Manufacturers </w:t>
      </w:r>
      <w:r w:rsidRPr="00FC7D73" w:rsidR="004E3476">
        <w:rPr>
          <w:rFonts w:ascii="Times New Roman" w:hAnsi="Times New Roman" w:cs="Times New Roman"/>
          <w:b/>
          <w:bCs/>
          <w:color w:val="auto"/>
        </w:rPr>
        <w:t xml:space="preserve">Preparing and </w:t>
      </w:r>
      <w:r w:rsidRPr="00FC7D73">
        <w:rPr>
          <w:rFonts w:ascii="Times New Roman" w:hAnsi="Times New Roman" w:cs="Times New Roman"/>
          <w:b/>
          <w:bCs/>
          <w:color w:val="auto"/>
        </w:rPr>
        <w:t>Submitting Applications for Pump Units of CMDPSUs</w:t>
      </w:r>
    </w:p>
    <w:p w:rsidR="00347DD1" w:rsidRPr="00FC7D73" w:rsidP="00FC7D73" w14:paraId="1E622612" w14:textId="77777777"/>
    <w:p w:rsidR="000B0812" w:rsidRPr="00FC7D73" w:rsidP="00FC7D73" w14:paraId="1E9D9D4C" w14:textId="18FF8E15">
      <w:pPr>
        <w:rPr>
          <w:b/>
          <w:bCs/>
        </w:rPr>
      </w:pPr>
      <w:r w:rsidRPr="00FC7D73">
        <w:rPr>
          <w:b/>
          <w:bCs/>
        </w:rPr>
        <w:t xml:space="preserve">I-1. </w:t>
      </w:r>
      <w:r w:rsidRPr="00FC7D73" w:rsidR="002D7BE7">
        <w:rPr>
          <w:b/>
          <w:bCs/>
        </w:rPr>
        <w:t xml:space="preserve">MSHA </w:t>
      </w:r>
      <w:r w:rsidRPr="00FC7D73">
        <w:rPr>
          <w:b/>
          <w:bCs/>
        </w:rPr>
        <w:t>Testing</w:t>
      </w:r>
      <w:r w:rsidRPr="00FC7D73" w:rsidR="0069788D">
        <w:rPr>
          <w:b/>
          <w:bCs/>
        </w:rPr>
        <w:t xml:space="preserve"> Pump Units of CMDPSUs</w:t>
      </w:r>
    </w:p>
    <w:p w:rsidR="000B0812" w:rsidRPr="00FC7D73" w:rsidP="00FC7D73" w14:paraId="3D985208" w14:textId="77777777"/>
    <w:p w:rsidR="00CE7AD8" w:rsidRPr="00FC7D73" w:rsidP="00FC7D73" w14:paraId="4146FCAB" w14:textId="02602A18">
      <w:pPr>
        <w:pStyle w:val="Default"/>
        <w:rPr>
          <w:rFonts w:ascii="Times New Roman" w:hAnsi="Times New Roman" w:cs="Times New Roman"/>
          <w:color w:val="auto"/>
        </w:rPr>
      </w:pPr>
      <w:r w:rsidRPr="00FC7D73">
        <w:rPr>
          <w:rFonts w:ascii="Times New Roman" w:hAnsi="Times New Roman" w:cs="Times New Roman"/>
          <w:color w:val="auto"/>
        </w:rPr>
        <w:t>Under 30 CFR 74.5(b)</w:t>
      </w:r>
      <w:r w:rsidRPr="00FC7D73" w:rsidR="000B0812">
        <w:rPr>
          <w:rFonts w:ascii="Times New Roman" w:hAnsi="Times New Roman" w:cs="Times New Roman"/>
          <w:color w:val="auto"/>
        </w:rPr>
        <w:t xml:space="preserve"> and 74.13(a)</w:t>
      </w:r>
      <w:r w:rsidRPr="00FC7D73">
        <w:rPr>
          <w:rFonts w:ascii="Times New Roman" w:hAnsi="Times New Roman" w:cs="Times New Roman"/>
          <w:color w:val="auto"/>
        </w:rPr>
        <w:t xml:space="preserve">, MSHA will conduct tests and evaluations to determine whether the pump unit of a CMDPSU </w:t>
      </w:r>
      <w:r w:rsidRPr="00FC7D73" w:rsidR="00525B2A">
        <w:rPr>
          <w:rFonts w:ascii="Times New Roman" w:hAnsi="Times New Roman" w:cs="Times New Roman"/>
          <w:color w:val="auto"/>
        </w:rPr>
        <w:t xml:space="preserve">that is submitted for approval </w:t>
      </w:r>
      <w:r w:rsidRPr="00FC7D73">
        <w:rPr>
          <w:rFonts w:ascii="Times New Roman" w:hAnsi="Times New Roman" w:cs="Times New Roman"/>
          <w:color w:val="auto"/>
        </w:rPr>
        <w:t>complies with the applicable permissibility provisions.</w:t>
      </w:r>
    </w:p>
    <w:p w:rsidR="00CE7AD8" w:rsidRPr="00FC7D73" w:rsidP="00FC7D73" w14:paraId="5B57F147" w14:textId="77777777">
      <w:pPr>
        <w:pStyle w:val="Default"/>
        <w:rPr>
          <w:rFonts w:ascii="Times New Roman" w:hAnsi="Times New Roman" w:cs="Times New Roman"/>
          <w:color w:val="auto"/>
        </w:rPr>
      </w:pPr>
    </w:p>
    <w:p w:rsidR="000B0812" w:rsidRPr="00FC7D73" w:rsidP="00FC7D73" w14:paraId="58DFD212" w14:textId="3B91D4EF">
      <w:pPr>
        <w:pStyle w:val="Default"/>
        <w:rPr>
          <w:rFonts w:ascii="Times New Roman" w:hAnsi="Times New Roman" w:cs="Times New Roman"/>
          <w:b/>
          <w:bCs/>
          <w:color w:val="auto"/>
        </w:rPr>
      </w:pPr>
      <w:r w:rsidRPr="00FC7D73">
        <w:rPr>
          <w:rFonts w:ascii="Times New Roman" w:hAnsi="Times New Roman" w:cs="Times New Roman"/>
          <w:b/>
          <w:bCs/>
          <w:color w:val="auto"/>
        </w:rPr>
        <w:t xml:space="preserve">I-2. </w:t>
      </w:r>
      <w:r w:rsidRPr="00FC7D73" w:rsidR="002D7BE7">
        <w:rPr>
          <w:rFonts w:ascii="Times New Roman" w:hAnsi="Times New Roman" w:cs="Times New Roman"/>
          <w:b/>
          <w:bCs/>
          <w:color w:val="auto"/>
        </w:rPr>
        <w:t xml:space="preserve">Manufacturers </w:t>
      </w:r>
      <w:r w:rsidRPr="00FC7D73" w:rsidR="00C9151F">
        <w:rPr>
          <w:rFonts w:ascii="Times New Roman" w:hAnsi="Times New Roman" w:cs="Times New Roman"/>
          <w:b/>
          <w:bCs/>
          <w:color w:val="auto"/>
        </w:rPr>
        <w:t xml:space="preserve">Preparing and </w:t>
      </w:r>
      <w:r w:rsidRPr="00FC7D73" w:rsidR="002D7BE7">
        <w:rPr>
          <w:rFonts w:ascii="Times New Roman" w:hAnsi="Times New Roman" w:cs="Times New Roman"/>
          <w:b/>
          <w:bCs/>
          <w:color w:val="auto"/>
        </w:rPr>
        <w:t xml:space="preserve">Submitting </w:t>
      </w:r>
      <w:r w:rsidRPr="00FC7D73">
        <w:rPr>
          <w:rFonts w:ascii="Times New Roman" w:hAnsi="Times New Roman" w:cs="Times New Roman"/>
          <w:b/>
          <w:bCs/>
          <w:color w:val="auto"/>
        </w:rPr>
        <w:t>Application</w:t>
      </w:r>
      <w:r w:rsidRPr="00FC7D73" w:rsidR="002D7BE7">
        <w:rPr>
          <w:rFonts w:ascii="Times New Roman" w:hAnsi="Times New Roman" w:cs="Times New Roman"/>
          <w:b/>
          <w:bCs/>
          <w:color w:val="auto"/>
        </w:rPr>
        <w:t>s</w:t>
      </w:r>
      <w:r w:rsidRPr="00FC7D73" w:rsidR="0069788D">
        <w:rPr>
          <w:rFonts w:ascii="Times New Roman" w:hAnsi="Times New Roman" w:cs="Times New Roman"/>
          <w:b/>
          <w:bCs/>
          <w:color w:val="auto"/>
        </w:rPr>
        <w:t xml:space="preserve"> for CMDPSUs</w:t>
      </w:r>
    </w:p>
    <w:p w:rsidR="000B0812" w:rsidRPr="00FC7D73" w:rsidP="00FC7D73" w14:paraId="115DE919" w14:textId="77777777"/>
    <w:p w:rsidR="000B0812" w:rsidRPr="00FC7D73" w:rsidP="00FC7D73" w14:paraId="04EB139C" w14:textId="2E92093B">
      <w:r w:rsidRPr="00FC7D73">
        <w:t>Under 30 CFR 74.13(a), the applicant must submit a written application</w:t>
      </w:r>
      <w:r w:rsidRPr="00FC7D73" w:rsidR="00391EDA">
        <w:t xml:space="preserve"> </w:t>
      </w:r>
      <w:r w:rsidRPr="00FC7D73">
        <w:t xml:space="preserve">to MSHA. Each copy of the application must be accompanied by complete scale drawings, specifications, and a description of materials. </w:t>
      </w:r>
      <w:r w:rsidRPr="00FC7D73" w:rsidR="00AD120A">
        <w:t xml:space="preserve">One </w:t>
      </w:r>
      <w:r w:rsidRPr="00FC7D73" w:rsidR="009030BF">
        <w:t xml:space="preserve">complete </w:t>
      </w:r>
      <w:r w:rsidRPr="00FC7D73" w:rsidR="00A01044">
        <w:t>pump unit of</w:t>
      </w:r>
      <w:r w:rsidRPr="00FC7D73">
        <w:t xml:space="preserve"> </w:t>
      </w:r>
      <w:r w:rsidRPr="00FC7D73" w:rsidR="00A01044">
        <w:t xml:space="preserve">a </w:t>
      </w:r>
      <w:r w:rsidRPr="00FC7D73">
        <w:t xml:space="preserve">CMDPSU must be submitted to </w:t>
      </w:r>
      <w:r w:rsidRPr="00FC7D73" w:rsidR="00AD120A">
        <w:t xml:space="preserve">MSHA </w:t>
      </w:r>
      <w:r w:rsidRPr="00FC7D73">
        <w:t>with the application.</w:t>
      </w:r>
    </w:p>
    <w:p w:rsidR="000B0812" w:rsidRPr="00FC7D73" w:rsidP="00FC7D73" w14:paraId="68D6B3FE" w14:textId="495C026A">
      <w:pPr>
        <w:pStyle w:val="Default"/>
        <w:rPr>
          <w:rFonts w:ascii="Times New Roman" w:hAnsi="Times New Roman" w:cs="Times New Roman"/>
          <w:color w:val="auto"/>
        </w:rPr>
      </w:pPr>
    </w:p>
    <w:p w:rsidR="00F332D8" w:rsidRPr="00FC7D73" w:rsidP="00FC7D73" w14:paraId="2B6B9AD1" w14:textId="6735CC52">
      <w:r w:rsidRPr="00FC7D73">
        <w:t>Under 30 CFR 74.13(c), complete drawings and specifications accompanying each copy of the application must be fully detailed to identify the design of the CMDPSU</w:t>
      </w:r>
      <w:r w:rsidRPr="00FC7D73" w:rsidR="00002C9A">
        <w:t xml:space="preserve"> or pump unit</w:t>
      </w:r>
      <w:r w:rsidRPr="00FC7D73">
        <w:t xml:space="preserve"> and </w:t>
      </w:r>
      <w:r w:rsidRPr="00FC7D73" w:rsidR="00A01044">
        <w:t xml:space="preserve">to </w:t>
      </w:r>
      <w:r w:rsidRPr="00FC7D73">
        <w:t>disclose the dimensions and materials of all component parts.</w:t>
      </w:r>
    </w:p>
    <w:p w:rsidR="004910CC" w:rsidRPr="00FC7D73" w:rsidP="00FC7D73" w14:paraId="573C5306" w14:textId="77777777"/>
    <w:p w:rsidR="00D12923" w:rsidRPr="00FC7D73" w:rsidP="00FC7D73" w14:paraId="5743DE22" w14:textId="45E4EB81">
      <w:pPr>
        <w:pStyle w:val="Default"/>
        <w:rPr>
          <w:rFonts w:ascii="Times New Roman" w:hAnsi="Times New Roman" w:cs="Times New Roman"/>
          <w:color w:val="auto"/>
        </w:rPr>
      </w:pPr>
      <w:r w:rsidRPr="00FC7D73">
        <w:rPr>
          <w:rFonts w:ascii="Times New Roman" w:hAnsi="Times New Roman" w:cs="Times New Roman"/>
          <w:color w:val="auto"/>
        </w:rPr>
        <w:t xml:space="preserve">Under 30 CFR 74.6, </w:t>
      </w:r>
      <w:r w:rsidRPr="00FC7D73" w:rsidR="00A01044">
        <w:rPr>
          <w:rFonts w:ascii="Times New Roman" w:hAnsi="Times New Roman" w:cs="Times New Roman"/>
          <w:color w:val="auto"/>
        </w:rPr>
        <w:t xml:space="preserve">the applicant must describe the way in which each lot of components will be sampled and tested to maintain its quality prior to assembly of each sampler unit. </w:t>
      </w:r>
      <w:r w:rsidRPr="00FC7D73" w:rsidR="00506115">
        <w:rPr>
          <w:rFonts w:ascii="Times New Roman" w:hAnsi="Times New Roman" w:cs="Times New Roman"/>
          <w:color w:val="auto"/>
        </w:rPr>
        <w:t xml:space="preserve">In order to assure that the quality of the CMDPSU will be maintained in production through adequate quality control procedures, MSHA reserves the right to have their qualified personnel inspect each applicant's control-test equipment procedures and records and to interview the employees who conduct the control tests. </w:t>
      </w:r>
      <w:r w:rsidRPr="00FC7D73" w:rsidR="00A01044">
        <w:rPr>
          <w:rFonts w:ascii="Times New Roman" w:hAnsi="Times New Roman" w:cs="Times New Roman"/>
          <w:color w:val="auto"/>
        </w:rPr>
        <w:t>T</w:t>
      </w:r>
      <w:r w:rsidRPr="00FC7D73">
        <w:rPr>
          <w:rFonts w:ascii="Times New Roman" w:hAnsi="Times New Roman" w:cs="Times New Roman"/>
          <w:color w:val="auto"/>
        </w:rPr>
        <w:t>wo copies of the results of any tests made by the applicant on the CMDPSU or the pump unit must accompany an application.</w:t>
      </w:r>
    </w:p>
    <w:p w:rsidR="00CE7AD8" w:rsidRPr="00FC7D73" w:rsidP="00FC7D73" w14:paraId="65539F95" w14:textId="77777777"/>
    <w:p w:rsidR="005740AA" w:rsidRPr="00FC7D73" w:rsidP="00B844D7" w14:paraId="6D8B60FF" w14:textId="53F1260A">
      <w:pPr>
        <w:pStyle w:val="Default"/>
        <w:numPr>
          <w:ilvl w:val="0"/>
          <w:numId w:val="46"/>
        </w:numPr>
        <w:rPr>
          <w:rFonts w:ascii="Times New Roman" w:hAnsi="Times New Roman" w:cs="Times New Roman"/>
          <w:b/>
          <w:bCs/>
          <w:color w:val="auto"/>
        </w:rPr>
      </w:pPr>
      <w:r w:rsidRPr="00FC7D73">
        <w:rPr>
          <w:rFonts w:ascii="Times New Roman" w:hAnsi="Times New Roman" w:cs="Times New Roman"/>
          <w:b/>
          <w:bCs/>
          <w:color w:val="auto"/>
        </w:rPr>
        <w:t>Manufacture</w:t>
      </w:r>
      <w:r w:rsidRPr="00FC7D73" w:rsidR="006B02C7">
        <w:rPr>
          <w:rFonts w:ascii="Times New Roman" w:hAnsi="Times New Roman" w:cs="Times New Roman"/>
          <w:b/>
          <w:bCs/>
          <w:color w:val="auto"/>
        </w:rPr>
        <w:t>r</w:t>
      </w:r>
      <w:r w:rsidRPr="00FC7D73">
        <w:rPr>
          <w:rFonts w:ascii="Times New Roman" w:hAnsi="Times New Roman" w:cs="Times New Roman"/>
          <w:b/>
          <w:bCs/>
          <w:color w:val="auto"/>
        </w:rPr>
        <w:t>s</w:t>
      </w:r>
      <w:r w:rsidRPr="00FC7D73" w:rsidR="004E3476">
        <w:rPr>
          <w:rFonts w:ascii="Times New Roman" w:hAnsi="Times New Roman" w:cs="Times New Roman"/>
          <w:b/>
          <w:bCs/>
          <w:color w:val="auto"/>
        </w:rPr>
        <w:t xml:space="preserve"> Preparing and</w:t>
      </w:r>
      <w:r w:rsidRPr="00FC7D73">
        <w:rPr>
          <w:rFonts w:ascii="Times New Roman" w:hAnsi="Times New Roman" w:cs="Times New Roman"/>
          <w:b/>
          <w:bCs/>
          <w:color w:val="auto"/>
        </w:rPr>
        <w:t xml:space="preserve"> </w:t>
      </w:r>
      <w:r w:rsidRPr="00FC7D73" w:rsidR="000B0812">
        <w:rPr>
          <w:rFonts w:ascii="Times New Roman" w:hAnsi="Times New Roman" w:cs="Times New Roman"/>
          <w:b/>
          <w:bCs/>
          <w:color w:val="auto"/>
        </w:rPr>
        <w:t xml:space="preserve">Submitting Applications </w:t>
      </w:r>
      <w:r w:rsidRPr="00FC7D73">
        <w:rPr>
          <w:rFonts w:ascii="Times New Roman" w:hAnsi="Times New Roman" w:cs="Times New Roman"/>
          <w:b/>
          <w:bCs/>
          <w:color w:val="auto"/>
        </w:rPr>
        <w:t xml:space="preserve">for </w:t>
      </w:r>
      <w:r w:rsidRPr="00FC7D73" w:rsidR="006B02C7">
        <w:rPr>
          <w:rFonts w:ascii="Times New Roman" w:hAnsi="Times New Roman" w:cs="Times New Roman"/>
          <w:b/>
          <w:bCs/>
          <w:color w:val="auto"/>
        </w:rPr>
        <w:t xml:space="preserve">Intrinsic Safety Testing of </w:t>
      </w:r>
      <w:r w:rsidRPr="00FC7D73" w:rsidR="003C7AF9">
        <w:rPr>
          <w:rFonts w:ascii="Times New Roman" w:hAnsi="Times New Roman" w:cs="Times New Roman"/>
          <w:b/>
          <w:bCs/>
          <w:color w:val="auto"/>
        </w:rPr>
        <w:t>CPDM</w:t>
      </w:r>
      <w:r w:rsidRPr="00FC7D73" w:rsidR="00B8034F">
        <w:rPr>
          <w:rFonts w:ascii="Times New Roman" w:hAnsi="Times New Roman" w:cs="Times New Roman"/>
          <w:b/>
          <w:bCs/>
          <w:color w:val="auto"/>
        </w:rPr>
        <w:t>s</w:t>
      </w:r>
      <w:r w:rsidRPr="00FC7D73" w:rsidR="003C7AF9">
        <w:rPr>
          <w:rFonts w:ascii="Times New Roman" w:hAnsi="Times New Roman" w:cs="Times New Roman"/>
          <w:b/>
          <w:bCs/>
          <w:color w:val="auto"/>
        </w:rPr>
        <w:t xml:space="preserve"> </w:t>
      </w:r>
    </w:p>
    <w:p w:rsidR="005740AA" w:rsidRPr="00FC7D73" w:rsidP="00FC7D73" w14:paraId="1715187E" w14:textId="77777777"/>
    <w:p w:rsidR="00CC65BB" w:rsidRPr="00FC7D73" w:rsidP="00FC7D73" w14:paraId="3FE03F36" w14:textId="0CDA268C">
      <w:pPr>
        <w:rPr>
          <w:b/>
          <w:bCs/>
        </w:rPr>
      </w:pPr>
      <w:r w:rsidRPr="00FC7D73">
        <w:rPr>
          <w:b/>
          <w:bCs/>
        </w:rPr>
        <w:t xml:space="preserve">II-1. </w:t>
      </w:r>
      <w:r w:rsidRPr="00FC7D73" w:rsidR="002D7BE7">
        <w:rPr>
          <w:b/>
          <w:bCs/>
        </w:rPr>
        <w:t xml:space="preserve">Manufacturers </w:t>
      </w:r>
      <w:r w:rsidRPr="00FC7D73" w:rsidR="0069788D">
        <w:rPr>
          <w:b/>
          <w:bCs/>
        </w:rPr>
        <w:t>Testing Intrinsic Safety</w:t>
      </w:r>
      <w:r w:rsidRPr="00FC7D73" w:rsidR="00C9151F">
        <w:rPr>
          <w:b/>
          <w:bCs/>
        </w:rPr>
        <w:t xml:space="preserve"> of CPDMs </w:t>
      </w:r>
    </w:p>
    <w:p w:rsidR="00467AF3" w:rsidRPr="00FC7D73" w:rsidP="00FC7D73" w14:paraId="5A7F9D0C" w14:textId="77777777"/>
    <w:p w:rsidR="005740AA" w:rsidRPr="00FC7D73" w:rsidP="00FC7D73" w14:paraId="1F594502" w14:textId="229F119D">
      <w:r w:rsidRPr="00FC7D73">
        <w:t>Under 30 CFR 74.11</w:t>
      </w:r>
      <w:r w:rsidRPr="00FC7D73" w:rsidR="00A20F05">
        <w:t>(a)</w:t>
      </w:r>
      <w:r w:rsidRPr="00FC7D73">
        <w:t xml:space="preserve">, </w:t>
      </w:r>
      <w:r w:rsidRPr="00FC7D73" w:rsidR="002C7EF3">
        <w:t xml:space="preserve">the applicant must conduct tests to determine whether a CPDM </w:t>
      </w:r>
      <w:r w:rsidRPr="00FC7D73" w:rsidR="00A831D1">
        <w:t xml:space="preserve">that is </w:t>
      </w:r>
      <w:r w:rsidRPr="00FC7D73" w:rsidR="00A831D1">
        <w:t xml:space="preserve">submitted for approval </w:t>
      </w:r>
      <w:r w:rsidRPr="00FC7D73" w:rsidR="002C7EF3">
        <w:t>meets the requirements, with the exception of durability testing, which must be conducted by NIOSH. Applicant testing must be performed by an independent testing entity approved by NIOSH.</w:t>
      </w:r>
    </w:p>
    <w:p w:rsidR="002415C4" w:rsidRPr="00FC7D73" w:rsidP="00FC7D73" w14:paraId="13265CB8" w14:textId="77777777"/>
    <w:p w:rsidR="00007A90" w:rsidRPr="00FC7D73" w:rsidP="00FC7D73" w14:paraId="0782F23A" w14:textId="41B3F0DF">
      <w:r w:rsidRPr="00FC7D73">
        <w:t>Under 30 CFR 74.11(d), the applicant must submit the CPDM to MSHA for testing and evaluation</w:t>
      </w:r>
      <w:r w:rsidRPr="00FC7D73" w:rsidR="00CE7AD8">
        <w:t xml:space="preserve"> for intrinsic safety</w:t>
      </w:r>
      <w:r w:rsidRPr="00FC7D73">
        <w:t xml:space="preserve">, to determine whether the electronic components of the CPDM meet </w:t>
      </w:r>
      <w:r w:rsidRPr="00FC7D73" w:rsidR="00910862">
        <w:t xml:space="preserve">the applicable </w:t>
      </w:r>
      <w:r w:rsidRPr="00FC7D73">
        <w:t>permissibility provisions.</w:t>
      </w:r>
      <w:r w:rsidRPr="00FC7D73" w:rsidR="00877098">
        <w:t xml:space="preserve"> </w:t>
      </w:r>
    </w:p>
    <w:p w:rsidR="00D42237" w:rsidRPr="00FC7D73" w:rsidP="00FC7D73" w14:paraId="4572F4BC" w14:textId="77777777"/>
    <w:p w:rsidR="00D42237" w:rsidRPr="00FC7D73" w:rsidP="00FC7D73" w14:paraId="21C56634" w14:textId="30C7E60E">
      <w:r w:rsidRPr="00FC7D73">
        <w:t>Under 30 CFR 74.13(b), testing of a CPDM will be performed by the applicant to determine whether it meets the requirements.</w:t>
      </w:r>
    </w:p>
    <w:p w:rsidR="005740AA" w:rsidRPr="00FC7D73" w:rsidP="00FC7D73" w14:paraId="3EB93026" w14:textId="77777777"/>
    <w:p w:rsidR="00E5112D" w:rsidRPr="00FC7D73" w:rsidP="00FC7D73" w14:paraId="705010F7" w14:textId="151747E3">
      <w:r w:rsidRPr="00FC7D73">
        <w:rPr>
          <w:color w:val="000000" w:themeColor="text1"/>
        </w:rPr>
        <w:t>Under 30 CFR 18.68(a), tests for intrinsic safety will be conducted under the general concepts of “intrinsically safe</w:t>
      </w:r>
      <w:r w:rsidRPr="00FC7D73" w:rsidR="00E01C82">
        <w:rPr>
          <w:color w:val="000000" w:themeColor="text1"/>
        </w:rPr>
        <w:t>”</w:t>
      </w:r>
      <w:r w:rsidRPr="00FC7D73" w:rsidR="00A01044">
        <w:rPr>
          <w:color w:val="000000" w:themeColor="text1"/>
        </w:rPr>
        <w:t>, which is</w:t>
      </w:r>
      <w:r w:rsidRPr="00FC7D73" w:rsidR="00E01C82">
        <w:rPr>
          <w:color w:val="000000" w:themeColor="text1"/>
        </w:rPr>
        <w:t xml:space="preserve"> defined </w:t>
      </w:r>
      <w:r w:rsidRPr="00FC7D73" w:rsidR="00BC0998">
        <w:t>in section 18.2</w:t>
      </w:r>
      <w:r w:rsidRPr="00FC7D73" w:rsidR="003C3DB0">
        <w:t xml:space="preserve"> as</w:t>
      </w:r>
      <w:r w:rsidRPr="00FC7D73" w:rsidR="00BC0998">
        <w:t xml:space="preserve"> </w:t>
      </w:r>
      <w:r w:rsidRPr="00FC7D73" w:rsidR="00A01044">
        <w:t>“</w:t>
      </w:r>
      <w:r w:rsidRPr="00FC7D73">
        <w:t>incapable of releasing enough electrical or thermal energy under normal or abnormal conditions to cause ignition of a flammable mixture of methane or natural gas and air of the most easily ignitable composition.</w:t>
      </w:r>
      <w:r w:rsidRPr="00FC7D73" w:rsidR="00BC0998">
        <w:t>”</w:t>
      </w:r>
      <w:r w:rsidRPr="00FC7D73">
        <w:t xml:space="preserve"> </w:t>
      </w:r>
      <w:r w:rsidRPr="00FC7D73">
        <w:rPr>
          <w:color w:val="000000" w:themeColor="text1"/>
        </w:rPr>
        <w:t xml:space="preserve">Further tests or requirements for intrinsic safety may be added at any time if features of construction or use or both indicate them to be necessary. </w:t>
      </w:r>
    </w:p>
    <w:p w:rsidR="00E5112D" w:rsidRPr="00FC7D73" w:rsidP="00FC7D73" w14:paraId="0E766441" w14:textId="77777777"/>
    <w:p w:rsidR="00CC65BB" w:rsidRPr="00FC7D73" w:rsidP="00FC7D73" w14:paraId="007B901B" w14:textId="75A02C09">
      <w:pPr>
        <w:pStyle w:val="Default"/>
        <w:rPr>
          <w:rFonts w:ascii="Times New Roman" w:hAnsi="Times New Roman" w:cs="Times New Roman"/>
          <w:b/>
          <w:bCs/>
          <w:color w:val="auto"/>
        </w:rPr>
      </w:pPr>
      <w:r w:rsidRPr="00FC7D73">
        <w:rPr>
          <w:rFonts w:ascii="Times New Roman" w:hAnsi="Times New Roman" w:cs="Times New Roman"/>
          <w:b/>
          <w:bCs/>
          <w:color w:val="auto"/>
        </w:rPr>
        <w:t xml:space="preserve">II-2. </w:t>
      </w:r>
      <w:r w:rsidRPr="00FC7D73" w:rsidR="002D7BE7">
        <w:rPr>
          <w:rFonts w:ascii="Times New Roman" w:hAnsi="Times New Roman" w:cs="Times New Roman"/>
          <w:b/>
          <w:bCs/>
          <w:color w:val="auto"/>
        </w:rPr>
        <w:t xml:space="preserve">Manufacturers </w:t>
      </w:r>
      <w:r w:rsidRPr="00FC7D73" w:rsidR="00C9151F">
        <w:rPr>
          <w:rFonts w:ascii="Times New Roman" w:hAnsi="Times New Roman" w:cs="Times New Roman"/>
          <w:b/>
          <w:bCs/>
          <w:color w:val="auto"/>
        </w:rPr>
        <w:t xml:space="preserve">Preparing and </w:t>
      </w:r>
      <w:r w:rsidRPr="00FC7D73" w:rsidR="002D7BE7">
        <w:rPr>
          <w:rFonts w:ascii="Times New Roman" w:hAnsi="Times New Roman" w:cs="Times New Roman"/>
          <w:b/>
          <w:bCs/>
          <w:color w:val="auto"/>
        </w:rPr>
        <w:t xml:space="preserve">Submitting </w:t>
      </w:r>
      <w:r w:rsidRPr="00FC7D73">
        <w:rPr>
          <w:rFonts w:ascii="Times New Roman" w:hAnsi="Times New Roman" w:cs="Times New Roman"/>
          <w:b/>
          <w:bCs/>
          <w:color w:val="auto"/>
        </w:rPr>
        <w:t>Application</w:t>
      </w:r>
      <w:r w:rsidRPr="00FC7D73" w:rsidR="002D7BE7">
        <w:rPr>
          <w:rFonts w:ascii="Times New Roman" w:hAnsi="Times New Roman" w:cs="Times New Roman"/>
          <w:b/>
          <w:bCs/>
          <w:color w:val="auto"/>
        </w:rPr>
        <w:t>s</w:t>
      </w:r>
      <w:r w:rsidRPr="00FC7D73" w:rsidR="0069788D">
        <w:rPr>
          <w:rFonts w:ascii="Times New Roman" w:hAnsi="Times New Roman" w:cs="Times New Roman"/>
          <w:b/>
          <w:bCs/>
          <w:color w:val="auto"/>
        </w:rPr>
        <w:t xml:space="preserve"> for CPDMs</w:t>
      </w:r>
    </w:p>
    <w:p w:rsidR="00467AF3" w:rsidRPr="00FC7D73" w:rsidP="00FC7D73" w14:paraId="40F890E3" w14:textId="77777777"/>
    <w:p w:rsidR="00CE7AD8" w:rsidRPr="00FC7D73" w:rsidP="00FC7D73" w14:paraId="135FA241" w14:textId="088239A6">
      <w:r w:rsidRPr="00FC7D73">
        <w:t xml:space="preserve">Under 30 CFR 74.13(b), </w:t>
      </w:r>
      <w:r w:rsidRPr="00FC7D73" w:rsidR="00D42237">
        <w:t>t</w:t>
      </w:r>
      <w:r w:rsidRPr="00FC7D73">
        <w:t xml:space="preserve">he applicant must submit a written application </w:t>
      </w:r>
      <w:r w:rsidRPr="00FC7D73" w:rsidR="00A451CD">
        <w:t>in duplicate</w:t>
      </w:r>
      <w:r w:rsidRPr="00FC7D73" w:rsidR="00A451CD">
        <w:t xml:space="preserve"> </w:t>
      </w:r>
      <w:r w:rsidRPr="00FC7D73">
        <w:t xml:space="preserve">to MSHA. Each copy of the application must be accompanied by complete scale drawings, specifications, a description of materials, and a copy of the testing protocol and test results which were provided by an independent testing entity. </w:t>
      </w:r>
      <w:r w:rsidRPr="00FC7D73" w:rsidR="00BC0998">
        <w:t>O</w:t>
      </w:r>
      <w:r w:rsidRPr="00FC7D73">
        <w:t xml:space="preserve">ne </w:t>
      </w:r>
      <w:r w:rsidRPr="00FC7D73" w:rsidR="00ED2E5C">
        <w:t xml:space="preserve">complete </w:t>
      </w:r>
      <w:r w:rsidRPr="00FC7D73">
        <w:t>CPDM device must be sent to MSHA</w:t>
      </w:r>
      <w:r w:rsidRPr="00FC7D73" w:rsidR="00BC0998">
        <w:t xml:space="preserve"> with the application</w:t>
      </w:r>
      <w:r w:rsidRPr="00FC7D73">
        <w:t>.</w:t>
      </w:r>
    </w:p>
    <w:p w:rsidR="00CE7AD8" w:rsidRPr="00FC7D73" w:rsidP="00FC7D73" w14:paraId="56E05CFF" w14:textId="77777777"/>
    <w:p w:rsidR="00F332D8" w:rsidRPr="00FC7D73" w:rsidP="00FC7D73" w14:paraId="6A3107E6" w14:textId="32128E02">
      <w:r w:rsidRPr="00FC7D73">
        <w:t>Under 30 CFR 74.13(c), complete drawings and specifications accompanying each copy of the application must be fully detailed to identify the design of the CPDM and to disclose the dimensions and materials of all component parts.</w:t>
      </w:r>
    </w:p>
    <w:p w:rsidR="00506115" w:rsidRPr="00FC7D73" w:rsidP="00FC7D73" w14:paraId="3F9F7830" w14:textId="77777777"/>
    <w:p w:rsidR="00506115" w:rsidRPr="00FC7D73" w:rsidP="00FC7D73" w14:paraId="35096A7F" w14:textId="64B2FA7B">
      <w:r w:rsidRPr="00FC7D73">
        <w:t>Under 30 CFR 74.9(a)(1)(i), the applicant must establish and maintain a quality control system that assures that CPDM devices produced under the applicant's certificate of approval meet the required specifications and are reliable, safe, effective, and otherwise suitable for their intended use. To establish and to maintain an approval, the applicant must submit with the application a copy of the most recent registration under International Organization for Standardization (ISO) Q9001-2000, American National Standard, Quality Management Systems-Requirements.</w:t>
      </w:r>
    </w:p>
    <w:p w:rsidR="00F332D8" w:rsidRPr="00FC7D73" w:rsidP="00FC7D73" w14:paraId="76090228" w14:textId="77777777">
      <w:pPr>
        <w:pStyle w:val="Default"/>
        <w:rPr>
          <w:rFonts w:ascii="Times New Roman" w:hAnsi="Times New Roman" w:cs="Times New Roman"/>
          <w:color w:val="auto"/>
        </w:rPr>
      </w:pPr>
    </w:p>
    <w:p w:rsidR="006B02C7" w:rsidRPr="00FC7D73" w:rsidP="00B844D7" w14:paraId="7C575A8C" w14:textId="48F2B0ED">
      <w:pPr>
        <w:pStyle w:val="Default"/>
        <w:numPr>
          <w:ilvl w:val="0"/>
          <w:numId w:val="46"/>
        </w:numPr>
        <w:rPr>
          <w:rFonts w:ascii="Times New Roman" w:hAnsi="Times New Roman" w:cs="Times New Roman"/>
          <w:b/>
          <w:bCs/>
          <w:color w:val="auto"/>
        </w:rPr>
      </w:pPr>
      <w:r w:rsidRPr="00FC7D73">
        <w:rPr>
          <w:rFonts w:ascii="Times New Roman" w:hAnsi="Times New Roman" w:cs="Times New Roman"/>
          <w:b/>
          <w:bCs/>
          <w:color w:val="auto"/>
        </w:rPr>
        <w:t xml:space="preserve">Manufacturers Providing </w:t>
      </w:r>
      <w:r w:rsidRPr="00FC7D73" w:rsidR="0047509F">
        <w:rPr>
          <w:rFonts w:ascii="Times New Roman" w:hAnsi="Times New Roman" w:cs="Times New Roman"/>
          <w:b/>
          <w:bCs/>
          <w:color w:val="auto"/>
        </w:rPr>
        <w:t>C</w:t>
      </w:r>
      <w:r w:rsidRPr="00FC7D73">
        <w:rPr>
          <w:rFonts w:ascii="Times New Roman" w:hAnsi="Times New Roman" w:cs="Times New Roman"/>
          <w:b/>
          <w:bCs/>
          <w:color w:val="auto"/>
        </w:rPr>
        <w:t xml:space="preserve">MDPSU </w:t>
      </w:r>
      <w:r w:rsidRPr="00FC7D73" w:rsidR="00C45EEF">
        <w:rPr>
          <w:rFonts w:ascii="Times New Roman" w:hAnsi="Times New Roman" w:cs="Times New Roman"/>
          <w:b/>
          <w:bCs/>
          <w:color w:val="auto"/>
        </w:rPr>
        <w:t>or</w:t>
      </w:r>
      <w:r w:rsidRPr="00FC7D73">
        <w:rPr>
          <w:rFonts w:ascii="Times New Roman" w:hAnsi="Times New Roman" w:cs="Times New Roman"/>
          <w:b/>
          <w:bCs/>
          <w:color w:val="auto"/>
        </w:rPr>
        <w:t xml:space="preserve"> CPDM Devices</w:t>
      </w:r>
    </w:p>
    <w:p w:rsidR="006B02C7" w:rsidRPr="00FC7D73" w:rsidP="00FC7D73" w14:paraId="3E39B335" w14:textId="77777777">
      <w:pPr>
        <w:pStyle w:val="NoSpacing"/>
      </w:pPr>
    </w:p>
    <w:p w:rsidR="006B02C7" w:rsidRPr="00FC7D73" w:rsidP="00FC7D73" w14:paraId="07630958" w14:textId="3E8B4DBA">
      <w:r w:rsidRPr="00FC7D73">
        <w:t xml:space="preserve">Under 30 CFR 74.16(a), as part of the permanent record of the approval application process, </w:t>
      </w:r>
      <w:r w:rsidRPr="00FC7D73" w:rsidR="00643E6B">
        <w:t>MSHA</w:t>
      </w:r>
      <w:r w:rsidRPr="00FC7D73">
        <w:t xml:space="preserve"> will retain a complete CMDPSU or CPDM, </w:t>
      </w:r>
      <w:r w:rsidRPr="00FC7D73" w:rsidR="00BC0998">
        <w:t xml:space="preserve">as appropriate, </w:t>
      </w:r>
      <w:r w:rsidRPr="00FC7D73">
        <w:t xml:space="preserve">that has been tested and certified. Material not required for record purposes will be returned to the applicant at the applicant's request and expense upon receipt of written shipping instructions by MSHA.  </w:t>
      </w:r>
    </w:p>
    <w:p w:rsidR="006B02C7" w:rsidRPr="00FC7D73" w:rsidP="00FC7D73" w14:paraId="6EDD5538" w14:textId="77777777">
      <w:pPr>
        <w:pStyle w:val="Default"/>
        <w:rPr>
          <w:rFonts w:ascii="Times New Roman" w:hAnsi="Times New Roman" w:cs="Times New Roman"/>
          <w:color w:val="auto"/>
        </w:rPr>
      </w:pPr>
    </w:p>
    <w:p w:rsidR="001E4067" w:rsidRPr="00FC7D73" w:rsidP="00B844D7" w14:paraId="379B4380" w14:textId="632E4604">
      <w:pPr>
        <w:pStyle w:val="Default"/>
        <w:numPr>
          <w:ilvl w:val="0"/>
          <w:numId w:val="46"/>
        </w:numPr>
        <w:rPr>
          <w:rFonts w:ascii="Times New Roman" w:hAnsi="Times New Roman" w:cs="Times New Roman"/>
          <w:b/>
          <w:bCs/>
          <w:color w:val="auto"/>
        </w:rPr>
      </w:pPr>
      <w:r w:rsidRPr="00FC7D73">
        <w:rPr>
          <w:rFonts w:ascii="Times New Roman" w:hAnsi="Times New Roman" w:cs="Times New Roman"/>
          <w:b/>
          <w:bCs/>
          <w:color w:val="auto"/>
        </w:rPr>
        <w:t xml:space="preserve">MSHA </w:t>
      </w:r>
      <w:r w:rsidRPr="00FC7D73" w:rsidR="00D62DC7">
        <w:rPr>
          <w:rFonts w:ascii="Times New Roman" w:hAnsi="Times New Roman" w:cs="Times New Roman"/>
          <w:b/>
          <w:bCs/>
          <w:color w:val="auto"/>
        </w:rPr>
        <w:t>Issu</w:t>
      </w:r>
      <w:r w:rsidRPr="00FC7D73" w:rsidR="00487082">
        <w:rPr>
          <w:rFonts w:ascii="Times New Roman" w:hAnsi="Times New Roman" w:cs="Times New Roman"/>
          <w:b/>
          <w:bCs/>
          <w:color w:val="auto"/>
        </w:rPr>
        <w:t>ing</w:t>
      </w:r>
      <w:r w:rsidRPr="00FC7D73" w:rsidR="00D62DC7">
        <w:rPr>
          <w:rFonts w:ascii="Times New Roman" w:hAnsi="Times New Roman" w:cs="Times New Roman"/>
          <w:b/>
          <w:bCs/>
          <w:color w:val="auto"/>
        </w:rPr>
        <w:t xml:space="preserve"> C</w:t>
      </w:r>
      <w:r w:rsidRPr="00FC7D73">
        <w:rPr>
          <w:rFonts w:ascii="Times New Roman" w:hAnsi="Times New Roman" w:cs="Times New Roman"/>
          <w:b/>
          <w:bCs/>
          <w:color w:val="auto"/>
        </w:rPr>
        <w:t>ertificate</w:t>
      </w:r>
      <w:r w:rsidRPr="00FC7D73" w:rsidR="00487082">
        <w:rPr>
          <w:rFonts w:ascii="Times New Roman" w:hAnsi="Times New Roman" w:cs="Times New Roman"/>
          <w:b/>
          <w:bCs/>
          <w:color w:val="auto"/>
        </w:rPr>
        <w:t>s</w:t>
      </w:r>
      <w:r w:rsidRPr="00FC7D73">
        <w:rPr>
          <w:rFonts w:ascii="Times New Roman" w:hAnsi="Times New Roman" w:cs="Times New Roman"/>
          <w:b/>
          <w:bCs/>
          <w:color w:val="auto"/>
        </w:rPr>
        <w:t xml:space="preserve"> of </w:t>
      </w:r>
      <w:r w:rsidRPr="00FC7D73" w:rsidR="00D62DC7">
        <w:rPr>
          <w:rFonts w:ascii="Times New Roman" w:hAnsi="Times New Roman" w:cs="Times New Roman"/>
          <w:b/>
          <w:bCs/>
          <w:color w:val="auto"/>
        </w:rPr>
        <w:t>A</w:t>
      </w:r>
      <w:r w:rsidRPr="00FC7D73">
        <w:rPr>
          <w:rFonts w:ascii="Times New Roman" w:hAnsi="Times New Roman" w:cs="Times New Roman"/>
          <w:b/>
          <w:bCs/>
          <w:color w:val="auto"/>
        </w:rPr>
        <w:t xml:space="preserve">pproval </w:t>
      </w:r>
      <w:r w:rsidRPr="00FC7D73" w:rsidR="009316DE">
        <w:rPr>
          <w:rFonts w:ascii="Times New Roman" w:hAnsi="Times New Roman" w:cs="Times New Roman"/>
          <w:b/>
          <w:bCs/>
          <w:color w:val="auto"/>
        </w:rPr>
        <w:t xml:space="preserve">or </w:t>
      </w:r>
      <w:r w:rsidRPr="00FC7D73" w:rsidR="00C9151F">
        <w:rPr>
          <w:rFonts w:ascii="Times New Roman" w:hAnsi="Times New Roman" w:cs="Times New Roman"/>
          <w:b/>
          <w:bCs/>
          <w:color w:val="auto"/>
        </w:rPr>
        <w:t xml:space="preserve">Notices of </w:t>
      </w:r>
      <w:r w:rsidRPr="00FC7D73" w:rsidR="009316DE">
        <w:rPr>
          <w:rFonts w:ascii="Times New Roman" w:hAnsi="Times New Roman" w:cs="Times New Roman"/>
          <w:b/>
          <w:bCs/>
          <w:color w:val="auto"/>
        </w:rPr>
        <w:t>Disapproval</w:t>
      </w:r>
    </w:p>
    <w:p w:rsidR="00347DD1" w:rsidRPr="00FC7D73" w:rsidP="00FC7D73" w14:paraId="7961B6EF" w14:textId="77777777"/>
    <w:p w:rsidR="001E4067" w:rsidRPr="00FC7D73" w:rsidP="00FC7D73" w14:paraId="31A57E84" w14:textId="0B60E1A6">
      <w:r w:rsidRPr="00FC7D73">
        <w:t xml:space="preserve">Under 30 CFR 74.14(a), upon completion of the testing of </w:t>
      </w:r>
      <w:r w:rsidRPr="00FC7D73" w:rsidR="0035013A">
        <w:t xml:space="preserve">the pump unit of </w:t>
      </w:r>
      <w:r w:rsidRPr="00FC7D73">
        <w:t>a CMDPSU or after review of testing protocols and testing results for the CPDM, MSHA must issue to the applicant either a certificate of approval or a written notice of disapproval. If a certificate of approval is issued, no test data or detailed results of tests will accompany such approval. If a notice of disapproval is issued, it will be accompanied by details of the defects, resulting in disapproval, with a view to possible correction.</w:t>
      </w:r>
    </w:p>
    <w:p w:rsidR="001E4067" w:rsidRPr="00FC7D73" w:rsidP="00FC7D73" w14:paraId="7F4E9EA7" w14:textId="77777777"/>
    <w:p w:rsidR="00A831D1" w:rsidRPr="00FC7D73" w:rsidP="00B844D7" w14:paraId="5143FAF8" w14:textId="5294064B">
      <w:pPr>
        <w:pStyle w:val="Default"/>
        <w:numPr>
          <w:ilvl w:val="0"/>
          <w:numId w:val="46"/>
        </w:numPr>
        <w:rPr>
          <w:rFonts w:ascii="Times New Roman" w:hAnsi="Times New Roman" w:cs="Times New Roman"/>
          <w:b/>
          <w:bCs/>
          <w:color w:val="auto"/>
        </w:rPr>
      </w:pPr>
      <w:r w:rsidRPr="00FC7D73">
        <w:rPr>
          <w:rFonts w:ascii="Times New Roman" w:hAnsi="Times New Roman" w:cs="Times New Roman"/>
          <w:b/>
          <w:bCs/>
          <w:color w:val="auto"/>
        </w:rPr>
        <w:t>Manufacturers</w:t>
      </w:r>
      <w:r w:rsidRPr="00FC7D73">
        <w:rPr>
          <w:rFonts w:ascii="Times New Roman" w:hAnsi="Times New Roman" w:cs="Times New Roman"/>
          <w:b/>
          <w:bCs/>
          <w:color w:val="auto"/>
        </w:rPr>
        <w:t xml:space="preserve"> </w:t>
      </w:r>
      <w:r w:rsidRPr="00FC7D73">
        <w:rPr>
          <w:rFonts w:ascii="Times New Roman" w:hAnsi="Times New Roman" w:cs="Times New Roman"/>
          <w:b/>
          <w:bCs/>
          <w:color w:val="auto"/>
        </w:rPr>
        <w:t xml:space="preserve">Recordkeeping </w:t>
      </w:r>
      <w:r w:rsidRPr="00FC7D73">
        <w:rPr>
          <w:rFonts w:ascii="Times New Roman" w:hAnsi="Times New Roman" w:cs="Times New Roman"/>
          <w:b/>
          <w:bCs/>
          <w:color w:val="auto"/>
        </w:rPr>
        <w:t xml:space="preserve">Certificates </w:t>
      </w:r>
    </w:p>
    <w:p w:rsidR="00A831D1" w:rsidRPr="00FC7D73" w:rsidP="00FC7D73" w14:paraId="08BD57A3" w14:textId="77777777">
      <w:pPr>
        <w:rPr>
          <w:b/>
          <w:bCs/>
        </w:rPr>
      </w:pPr>
    </w:p>
    <w:p w:rsidR="006B02C7" w:rsidRPr="00FC7D73" w:rsidP="00FC7D73" w14:paraId="11C7126F" w14:textId="7D07E931">
      <w:r w:rsidRPr="00FC7D73">
        <w:t>Under 30 CFR 74.14(b), a certificate of approval will be accompanied by a list of the drawings and specifications covering the details of design and construction of the pump unit</w:t>
      </w:r>
      <w:r w:rsidRPr="00FC7D73" w:rsidR="0035013A">
        <w:t xml:space="preserve"> of a CMDPSU</w:t>
      </w:r>
      <w:r w:rsidRPr="00FC7D73">
        <w:t xml:space="preserve"> or of the CPDM, upon which the certificate of approval is based. </w:t>
      </w:r>
      <w:bookmarkStart w:id="11" w:name="_Hlk192764364"/>
      <w:r w:rsidRPr="00FC7D73">
        <w:t xml:space="preserve">The applicant must keep exact duplicates of the drawings and specifications submitted to MSHA relating to </w:t>
      </w:r>
      <w:r w:rsidRPr="00FC7D73" w:rsidR="00E42925">
        <w:t xml:space="preserve">the pump unit of </w:t>
      </w:r>
      <w:r w:rsidRPr="00FC7D73">
        <w:t xml:space="preserve">the CMDPSU or the CPDM, which has received a certificate of approval. </w:t>
      </w:r>
      <w:bookmarkEnd w:id="11"/>
      <w:r w:rsidRPr="00FC7D73">
        <w:t xml:space="preserve">The approved drawings and specifications must </w:t>
      </w:r>
      <w:r w:rsidRPr="00FC7D73" w:rsidR="00D1072B">
        <w:t>adhere</w:t>
      </w:r>
      <w:r w:rsidRPr="00FC7D73">
        <w:t xml:space="preserve"> exactly </w:t>
      </w:r>
      <w:r w:rsidRPr="00FC7D73" w:rsidR="00D1072B">
        <w:t>to</w:t>
      </w:r>
      <w:r w:rsidRPr="00FC7D73">
        <w:t xml:space="preserve"> the production of the certified CMDPSU including the pump unit</w:t>
      </w:r>
      <w:r w:rsidRPr="00FC7D73" w:rsidR="00E42925">
        <w:t>,</w:t>
      </w:r>
      <w:r w:rsidRPr="00FC7D73">
        <w:t xml:space="preserve"> or of the CPDM</w:t>
      </w:r>
      <w:r w:rsidRPr="00FC7D73" w:rsidR="00E42925">
        <w:t>, for commercial purposes</w:t>
      </w:r>
      <w:r w:rsidRPr="00FC7D73">
        <w:t xml:space="preserve">. In addition, the applicant </w:t>
      </w:r>
      <w:r w:rsidRPr="00FC7D73" w:rsidR="004E3476">
        <w:t>must</w:t>
      </w:r>
      <w:r w:rsidRPr="00FC7D73">
        <w:t xml:space="preserve"> observe </w:t>
      </w:r>
      <w:r w:rsidRPr="00FC7D73" w:rsidR="00F275B5">
        <w:t xml:space="preserve">the </w:t>
      </w:r>
      <w:r w:rsidRPr="00FC7D73">
        <w:t>procedures for, and keep records of, the control of component parts as MSHA may in writing require as a condition of approval</w:t>
      </w:r>
      <w:r w:rsidRPr="00FC7D73" w:rsidR="00002C9A">
        <w:t>.</w:t>
      </w:r>
    </w:p>
    <w:p w:rsidR="00E75547" w:rsidRPr="00FC7D73" w:rsidP="00FC7D73" w14:paraId="72A92D57" w14:textId="2EEA440E"/>
    <w:p w:rsidR="00E75547" w:rsidRPr="00FC7D73" w:rsidP="00B844D7" w14:paraId="76A25BD9" w14:textId="42668E06">
      <w:pPr>
        <w:pStyle w:val="ListParagraph"/>
        <w:numPr>
          <w:ilvl w:val="0"/>
          <w:numId w:val="46"/>
        </w:numPr>
        <w:spacing w:after="0" w:line="240" w:lineRule="auto"/>
        <w:rPr>
          <w:b/>
          <w:bCs/>
        </w:rPr>
      </w:pPr>
      <w:r w:rsidRPr="00FC7D73">
        <w:rPr>
          <w:b/>
          <w:bCs/>
        </w:rPr>
        <w:t xml:space="preserve">Manufacturers Making Changes </w:t>
      </w:r>
      <w:r w:rsidRPr="00FC7D73" w:rsidR="004F38C1">
        <w:rPr>
          <w:b/>
          <w:bCs/>
        </w:rPr>
        <w:t>A</w:t>
      </w:r>
      <w:r w:rsidRPr="00FC7D73">
        <w:rPr>
          <w:b/>
          <w:bCs/>
        </w:rPr>
        <w:t>fter Certification</w:t>
      </w:r>
    </w:p>
    <w:p w:rsidR="007F7891" w:rsidRPr="00FC7D73" w:rsidP="00FC7D73" w14:paraId="6030361D" w14:textId="0085AE7F">
      <w:r w:rsidRPr="00FC7D73">
        <w:t xml:space="preserve">Under 30 CFR 74.17(b), if </w:t>
      </w:r>
      <w:r w:rsidRPr="00FC7D73" w:rsidR="00347DD1">
        <w:t xml:space="preserve">a change is proposed in </w:t>
      </w:r>
      <w:r w:rsidRPr="00FC7D73">
        <w:t xml:space="preserve">a pump unit of a certified CMDPSU or in electrical components of a CPDM, the approval of MSHA with respect to intrinsic safety </w:t>
      </w:r>
      <w:r w:rsidRPr="00FC7D73" w:rsidR="00C17904">
        <w:t>must</w:t>
      </w:r>
      <w:r w:rsidRPr="00FC7D73">
        <w:t xml:space="preserve"> be obtained</w:t>
      </w:r>
      <w:r w:rsidRPr="00FC7D73" w:rsidR="00347DD1">
        <w:t xml:space="preserve"> in accordance with the required procedures</w:t>
      </w:r>
      <w:r w:rsidRPr="00FC7D73">
        <w:t xml:space="preserve">. </w:t>
      </w:r>
    </w:p>
    <w:bookmarkEnd w:id="10"/>
    <w:p w:rsidR="006B02C7" w:rsidRPr="00FC7D73" w:rsidP="00FC7D73" w14:paraId="5D5FBECB" w14:textId="77777777"/>
    <w:p w:rsidR="00220B2D" w:rsidRPr="00FC7D73" w:rsidP="00FC7D73" w14:paraId="477DC1D2" w14:textId="35894EA9">
      <w:r w:rsidRPr="00FC7D73">
        <w:rPr>
          <w:bCs/>
        </w:rPr>
        <w:t>Mine operator’</w:t>
      </w:r>
      <w:r w:rsidRPr="00FC7D73" w:rsidR="004546D1">
        <w:t xml:space="preserve"> burden and costs associated with recordkeeping and reporting requirements of CMDPSU and CPDM sampling are included in a separate </w:t>
      </w:r>
      <w:r w:rsidRPr="00FC7D73" w:rsidR="00565110">
        <w:t>ICR</w:t>
      </w:r>
      <w:r w:rsidRPr="00FC7D73" w:rsidR="004546D1">
        <w:t xml:space="preserve"> under OMB Control Number 1219-0011 titled “Respirable Coal Mine Dust Sampling.”</w:t>
      </w:r>
    </w:p>
    <w:p w:rsidR="0087148B" w:rsidRPr="00FC7D73" w:rsidP="00FC7D73" w14:paraId="3BB8B66F" w14:textId="77777777"/>
    <w:p w:rsidR="00CB3898" w:rsidRPr="00FC7D73" w:rsidP="00FC7D73" w14:paraId="0CA1ECF3" w14:textId="64DF92C8">
      <w:pPr>
        <w:pStyle w:val="Default"/>
        <w:keepNext/>
        <w:widowControl/>
        <w:rPr>
          <w:rFonts w:ascii="Times New Roman" w:hAnsi="Times New Roman" w:cs="Times New Roman"/>
          <w:b/>
          <w:bCs/>
          <w:color w:val="auto"/>
        </w:rPr>
      </w:pPr>
      <w:r w:rsidRPr="00FC7D73">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FC7D73" w:rsidP="00FC7D73" w14:paraId="6C9C34C2" w14:textId="77777777">
      <w:pPr>
        <w:pStyle w:val="Default"/>
        <w:keepNext/>
        <w:widowControl/>
        <w:rPr>
          <w:rFonts w:ascii="Times New Roman" w:hAnsi="Times New Roman" w:cs="Times New Roman"/>
          <w:b/>
          <w:bCs/>
          <w:color w:val="auto"/>
        </w:rPr>
      </w:pPr>
    </w:p>
    <w:p w:rsidR="00AB0223" w:rsidRPr="00FC7D73" w:rsidP="00FC7D73" w14:paraId="0D14756F" w14:textId="2DAA2609">
      <w:pPr>
        <w:widowControl/>
        <w:tabs>
          <w:tab w:val="left" w:pos="360"/>
        </w:tabs>
        <w:rPr>
          <w:rFonts w:eastAsia="Arial"/>
        </w:rPr>
      </w:pPr>
      <w:bookmarkStart w:id="12" w:name="_Hlk171489049"/>
      <w:r w:rsidRPr="00FC7D73">
        <w:rPr>
          <w:rFonts w:eastAsia="Arial"/>
        </w:rPr>
        <w:t xml:space="preserve">MSHA </w:t>
      </w:r>
      <w:bookmarkEnd w:id="12"/>
      <w:r w:rsidRPr="00FC7D73">
        <w:rPr>
          <w:rFonts w:eastAsia="Arial"/>
        </w:rPr>
        <w:t xml:space="preserve">will use the </w:t>
      </w:r>
      <w:bookmarkStart w:id="13" w:name="_Hlk171489074"/>
      <w:r w:rsidRPr="00FC7D73">
        <w:rPr>
          <w:rFonts w:eastAsia="Arial"/>
        </w:rPr>
        <w:t xml:space="preserve">information submitted by the applicant </w:t>
      </w:r>
      <w:bookmarkEnd w:id="13"/>
      <w:r w:rsidRPr="00FC7D73">
        <w:rPr>
          <w:rFonts w:eastAsia="Arial"/>
        </w:rPr>
        <w:t xml:space="preserve">to determine if </w:t>
      </w:r>
      <w:r w:rsidRPr="00FC7D73" w:rsidR="002D7BE7">
        <w:rPr>
          <w:rFonts w:eastAsia="Arial"/>
        </w:rPr>
        <w:t xml:space="preserve">a </w:t>
      </w:r>
      <w:r w:rsidRPr="00FC7D73" w:rsidR="00C25976">
        <w:t xml:space="preserve">CMDPSU or </w:t>
      </w:r>
      <w:r w:rsidRPr="00FC7D73">
        <w:rPr>
          <w:rFonts w:eastAsia="Arial"/>
        </w:rPr>
        <w:t xml:space="preserve">CPDM </w:t>
      </w:r>
      <w:r w:rsidRPr="00FC7D73" w:rsidR="002D7BE7">
        <w:rPr>
          <w:rFonts w:eastAsia="Arial"/>
        </w:rPr>
        <w:t xml:space="preserve">device </w:t>
      </w:r>
      <w:r w:rsidRPr="00FC7D73">
        <w:rPr>
          <w:rFonts w:eastAsia="Arial"/>
        </w:rPr>
        <w:t>meets established criteria for use in coal mines.</w:t>
      </w:r>
    </w:p>
    <w:p w:rsidR="00B227F0" w:rsidRPr="00FC7D73" w:rsidP="00FC7D73" w14:paraId="59D2F399" w14:textId="3B0BEDD6">
      <w:pPr>
        <w:pStyle w:val="Default"/>
        <w:rPr>
          <w:rFonts w:ascii="Times New Roman" w:hAnsi="Times New Roman" w:cs="Times New Roman"/>
          <w:color w:val="auto"/>
        </w:rPr>
      </w:pPr>
    </w:p>
    <w:p w:rsidR="00CB3898" w:rsidRPr="00FC7D73" w:rsidP="00FC7D73" w14:paraId="440B4438" w14:textId="77777777">
      <w:pPr>
        <w:pStyle w:val="Default"/>
        <w:keepNext/>
        <w:widowControl/>
        <w:rPr>
          <w:rFonts w:ascii="Times New Roman" w:hAnsi="Times New Roman" w:cs="Times New Roman"/>
          <w:b/>
          <w:bCs/>
          <w:color w:val="auto"/>
        </w:rPr>
      </w:pPr>
      <w:r w:rsidRPr="00FC7D73">
        <w:rPr>
          <w:rFonts w:ascii="Times New Roman" w:hAnsi="Times New Roman" w:cs="Times New Roman"/>
          <w:b/>
          <w:bCs/>
          <w:color w:val="auto"/>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w:t>
      </w:r>
      <w:r w:rsidRPr="00FC7D73">
        <w:rPr>
          <w:rFonts w:ascii="Times New Roman" w:hAnsi="Times New Roman" w:cs="Times New Roman"/>
          <w:b/>
          <w:bCs/>
          <w:color w:val="auto"/>
        </w:rPr>
        <w:t>the basis for the decision for adopting this means of collection. Also, describe any consideration of using information technology to reduce burden.</w:t>
      </w:r>
    </w:p>
    <w:p w:rsidR="005C0294" w:rsidRPr="00FC7D73" w:rsidP="00FC7D73" w14:paraId="33312318" w14:textId="6DCF436E">
      <w:pPr>
        <w:pStyle w:val="Default"/>
        <w:keepNext/>
        <w:widowControl/>
        <w:rPr>
          <w:rFonts w:ascii="Times New Roman" w:hAnsi="Times New Roman" w:cs="Times New Roman"/>
          <w:b/>
          <w:bCs/>
          <w:color w:val="auto"/>
        </w:rPr>
      </w:pPr>
      <w:r w:rsidRPr="00FC7D73">
        <w:rPr>
          <w:rFonts w:ascii="Times New Roman" w:hAnsi="Times New Roman" w:cs="Times New Roman"/>
          <w:b/>
          <w:bCs/>
          <w:color w:val="auto"/>
        </w:rPr>
        <w:t xml:space="preserve"> </w:t>
      </w:r>
    </w:p>
    <w:p w:rsidR="00854849" w:rsidRPr="00FC7D73" w:rsidP="00FC7D73" w14:paraId="7D371FE6" w14:textId="1AA43D94">
      <w:pPr>
        <w:pStyle w:val="BodyText12pt"/>
        <w:rPr>
          <w:szCs w:val="24"/>
        </w:rPr>
      </w:pPr>
      <w:r w:rsidRPr="00FC7D73">
        <w:rPr>
          <w:szCs w:val="24"/>
        </w:rPr>
        <w:t>No improved information technology has been identified that would reduce the burden</w:t>
      </w:r>
      <w:r w:rsidRPr="00FC7D73" w:rsidR="00F275B5">
        <w:rPr>
          <w:szCs w:val="24"/>
        </w:rPr>
        <w:t xml:space="preserve"> of this collection</w:t>
      </w:r>
      <w:r w:rsidRPr="00FC7D73">
        <w:rPr>
          <w:szCs w:val="24"/>
        </w:rPr>
        <w:t xml:space="preserve">. </w:t>
      </w:r>
      <w:r w:rsidRPr="00FC7D73" w:rsidR="00F275B5">
        <w:rPr>
          <w:szCs w:val="24"/>
        </w:rPr>
        <w:t>T</w:t>
      </w:r>
      <w:r w:rsidRPr="00FC7D73">
        <w:rPr>
          <w:szCs w:val="24"/>
        </w:rPr>
        <w:t>o comply with the Government Paperwork Elimination Act, mine operator</w:t>
      </w:r>
      <w:r w:rsidRPr="00FC7D73" w:rsidR="00A420D7">
        <w:rPr>
          <w:szCs w:val="24"/>
        </w:rPr>
        <w:t>s</w:t>
      </w:r>
      <w:r w:rsidRPr="00FC7D73">
        <w:rPr>
          <w:szCs w:val="24"/>
        </w:rPr>
        <w:t xml:space="preserve"> may </w:t>
      </w:r>
      <w:r w:rsidRPr="00FC7D73" w:rsidR="00F275B5">
        <w:rPr>
          <w:szCs w:val="24"/>
        </w:rPr>
        <w:t xml:space="preserve">submit or </w:t>
      </w:r>
      <w:r w:rsidRPr="00FC7D73">
        <w:rPr>
          <w:szCs w:val="24"/>
        </w:rPr>
        <w:t>retain records in whatever method they choose, includ</w:t>
      </w:r>
      <w:r w:rsidRPr="00FC7D73" w:rsidR="00F275B5">
        <w:rPr>
          <w:szCs w:val="24"/>
        </w:rPr>
        <w:t>ing</w:t>
      </w:r>
      <w:r w:rsidRPr="00FC7D73">
        <w:rPr>
          <w:szCs w:val="24"/>
        </w:rPr>
        <w:t xml:space="preserve"> u</w:t>
      </w:r>
      <w:r w:rsidRPr="00FC7D73" w:rsidR="00F275B5">
        <w:rPr>
          <w:szCs w:val="24"/>
        </w:rPr>
        <w:t>s</w:t>
      </w:r>
      <w:r w:rsidRPr="00FC7D73">
        <w:rPr>
          <w:szCs w:val="24"/>
        </w:rPr>
        <w:t xml:space="preserve">ing computer technology to store records electronically. </w:t>
      </w:r>
    </w:p>
    <w:p w:rsidR="00854849" w:rsidRPr="00FC7D73" w:rsidP="00FC7D73" w14:paraId="0447D6E6" w14:textId="77777777">
      <w:pPr>
        <w:pStyle w:val="BodyText12pt"/>
        <w:rPr>
          <w:szCs w:val="24"/>
        </w:rPr>
      </w:pPr>
    </w:p>
    <w:p w:rsidR="00854849" w:rsidRPr="00FC7D73" w:rsidP="00FC7D73" w14:paraId="46CFAA6C" w14:textId="0E4526EA">
      <w:pPr>
        <w:pStyle w:val="BodyText12pt"/>
        <w:rPr>
          <w:szCs w:val="24"/>
        </w:rPr>
      </w:pPr>
      <w:r w:rsidRPr="00FC7D73">
        <w:rPr>
          <w:szCs w:val="24"/>
        </w:rPr>
        <w:t xml:space="preserve">MSHA accepts applications, correspondence, and information electronically via </w:t>
      </w:r>
      <w:r w:rsidRPr="00FC7D73" w:rsidR="00B27C80">
        <w:rPr>
          <w:szCs w:val="24"/>
        </w:rPr>
        <w:t>email. Coal mine operators can transmit CPDM sample files to MSHA and check the status of previously uploaded files</w:t>
      </w:r>
      <w:r w:rsidRPr="00FC7D73">
        <w:rPr>
          <w:szCs w:val="24"/>
        </w:rPr>
        <w:t xml:space="preserve"> at </w:t>
      </w:r>
      <w:hyperlink r:id="rId6" w:history="1">
        <w:r w:rsidRPr="00FC7D73">
          <w:rPr>
            <w:rStyle w:val="Hyperlink"/>
            <w:szCs w:val="24"/>
          </w:rPr>
          <w:t>https://www.msha.gov/cpdm-sample-file-transmission</w:t>
        </w:r>
      </w:hyperlink>
      <w:r w:rsidRPr="00FC7D73">
        <w:rPr>
          <w:szCs w:val="24"/>
        </w:rPr>
        <w:t xml:space="preserve">.  Applicants are able to upload engineering drawings (images) and files directly to the Arlington File Transfer Protocol (FTP) site server or via the </w:t>
      </w:r>
      <w:hyperlink r:id="rId7" w:history="1">
        <w:r w:rsidRPr="00FC7D73">
          <w:rPr>
            <w:rStyle w:val="Hyperlink"/>
            <w:szCs w:val="24"/>
          </w:rPr>
          <w:t>IPSO@dol.gov</w:t>
        </w:r>
      </w:hyperlink>
      <w:r w:rsidRPr="00FC7D73">
        <w:rPr>
          <w:szCs w:val="24"/>
        </w:rPr>
        <w:t xml:space="preserve"> email account.  </w:t>
      </w:r>
    </w:p>
    <w:p w:rsidR="007E46B8" w:rsidRPr="00FC7D73" w:rsidP="00FC7D73" w14:paraId="2FB0A05F" w14:textId="77777777">
      <w:pPr>
        <w:pStyle w:val="BodyText12pt"/>
        <w:rPr>
          <w:szCs w:val="24"/>
        </w:rPr>
      </w:pPr>
    </w:p>
    <w:p w:rsidR="00CB3898" w:rsidRPr="00FC7D73" w:rsidP="00FC7D73" w14:paraId="60804496" w14:textId="77777777">
      <w:pPr>
        <w:pStyle w:val="Default"/>
        <w:keepNext/>
        <w:widowControl/>
        <w:rPr>
          <w:rFonts w:ascii="Times New Roman" w:hAnsi="Times New Roman" w:cs="Times New Roman"/>
          <w:color w:val="auto"/>
        </w:rPr>
      </w:pPr>
      <w:r w:rsidRPr="00FC7D73">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FC7D73" w:rsidP="00FC7D73" w14:paraId="081BAF24" w14:textId="77777777">
      <w:pPr>
        <w:pStyle w:val="Default"/>
        <w:rPr>
          <w:rFonts w:ascii="Times New Roman" w:hAnsi="Times New Roman" w:cs="Times New Roman"/>
          <w:color w:val="auto"/>
        </w:rPr>
      </w:pPr>
    </w:p>
    <w:p w:rsidR="00C73040" w:rsidRPr="00FC7D73" w:rsidP="00FC7D73" w14:paraId="77B859EC" w14:textId="0BF15E18">
      <w:pPr>
        <w:pStyle w:val="Default"/>
        <w:rPr>
          <w:rFonts w:ascii="Times New Roman" w:hAnsi="Times New Roman" w:cs="Times New Roman"/>
          <w:color w:val="auto"/>
        </w:rPr>
      </w:pPr>
      <w:r w:rsidRPr="00FC7D73">
        <w:rPr>
          <w:rFonts w:ascii="Times New Roman" w:hAnsi="Times New Roman" w:cs="Times New Roman"/>
          <w:color w:val="auto"/>
        </w:rPr>
        <w:t xml:space="preserve">No similar </w:t>
      </w:r>
      <w:bookmarkStart w:id="14" w:name="_Hlk172026587"/>
      <w:r w:rsidRPr="00FC7D73" w:rsidR="00052BD8">
        <w:rPr>
          <w:rFonts w:ascii="Times New Roman" w:hAnsi="Times New Roman" w:cs="Times New Roman"/>
          <w:color w:val="auto"/>
        </w:rPr>
        <w:t xml:space="preserve">or duplicate </w:t>
      </w:r>
      <w:bookmarkEnd w:id="14"/>
      <w:r w:rsidRPr="00FC7D73">
        <w:rPr>
          <w:rFonts w:ascii="Times New Roman" w:hAnsi="Times New Roman" w:cs="Times New Roman"/>
          <w:color w:val="auto"/>
        </w:rPr>
        <w:t>information is available or submitted to MSHA.</w:t>
      </w:r>
    </w:p>
    <w:p w:rsidR="00B227F0" w:rsidRPr="00FC7D73" w:rsidP="00FC7D73" w14:paraId="2D29A9BF" w14:textId="77777777">
      <w:pPr>
        <w:rPr>
          <w:b/>
          <w:bCs/>
          <w:color w:val="000000"/>
        </w:rPr>
      </w:pPr>
    </w:p>
    <w:p w:rsidR="00B227F0" w:rsidRPr="00FC7D73" w:rsidP="00FC7D73" w14:paraId="156335B6" w14:textId="77777777">
      <w:pPr>
        <w:pStyle w:val="Default"/>
        <w:rPr>
          <w:rFonts w:ascii="Times New Roman" w:hAnsi="Times New Roman" w:cs="Times New Roman"/>
          <w:color w:val="auto"/>
        </w:rPr>
      </w:pPr>
      <w:r w:rsidRPr="00FC7D73">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FC7D73" w:rsidP="00FC7D73" w14:paraId="1A103BF2" w14:textId="77777777">
      <w:pPr>
        <w:pStyle w:val="Default"/>
        <w:rPr>
          <w:rFonts w:ascii="Times New Roman" w:hAnsi="Times New Roman" w:cs="Times New Roman"/>
          <w:color w:val="auto"/>
        </w:rPr>
      </w:pPr>
      <w:r w:rsidRPr="00FC7D73">
        <w:rPr>
          <w:rFonts w:ascii="Times New Roman" w:hAnsi="Times New Roman" w:cs="Times New Roman"/>
          <w:color w:val="auto"/>
        </w:rPr>
        <w:t xml:space="preserve"> </w:t>
      </w:r>
    </w:p>
    <w:p w:rsidR="00B227F0" w:rsidRPr="00FC7D73" w:rsidP="00FC7D73" w14:paraId="6A189E0E" w14:textId="29DB27EA">
      <w:pPr>
        <w:rPr>
          <w:b/>
          <w:bCs/>
          <w:color w:val="000000"/>
        </w:rPr>
      </w:pPr>
      <w:bookmarkStart w:id="15" w:name="_Hlk161038748"/>
      <w:r w:rsidRPr="00FC7D73">
        <w:t>The information collection provisions apply to all mine operat</w:t>
      </w:r>
      <w:r w:rsidRPr="00FC7D73" w:rsidR="00D4281C">
        <w:t>or</w:t>
      </w:r>
      <w:r w:rsidRPr="00FC7D73">
        <w:t xml:space="preserve">s, </w:t>
      </w:r>
      <w:bookmarkStart w:id="16" w:name="_Hlk184192506"/>
      <w:r w:rsidRPr="00FC7D73">
        <w:t>both large and small</w:t>
      </w:r>
      <w:bookmarkEnd w:id="16"/>
      <w:r w:rsidRPr="00FC7D73">
        <w:t>. Congress intended that the Secretary enforce the law at all mining operat</w:t>
      </w:r>
      <w:r w:rsidRPr="00FC7D73" w:rsidR="00F275B5">
        <w:t>i</w:t>
      </w:r>
      <w:r w:rsidRPr="00FC7D73">
        <w:t>o</w:t>
      </w:r>
      <w:r w:rsidRPr="00FC7D73" w:rsidR="00F275B5">
        <w:t>n</w:t>
      </w:r>
      <w:r w:rsidRPr="00FC7D73">
        <w:t>s within the Agency’s jurisdiction regardless of size and that information collection and recordkeeping requirements be consistent with efficient and effective enforcement of the Mine Act. [S</w:t>
      </w:r>
      <w:r w:rsidRPr="00FC7D73" w:rsidR="005D1278">
        <w:t>.</w:t>
      </w:r>
      <w:r w:rsidRPr="00FC7D73">
        <w:t xml:space="preserve"> Rep</w:t>
      </w:r>
      <w:r w:rsidRPr="00FC7D73" w:rsidR="005D1278">
        <w:t>.</w:t>
      </w:r>
      <w:r w:rsidRPr="00FC7D73">
        <w:t xml:space="preserve"> No. 95-181 (1977)]. Section 103(e) of the Mine Act</w:t>
      </w:r>
      <w:bookmarkStart w:id="17" w:name="_Hlk172026654"/>
      <w:r w:rsidRPr="00FC7D73" w:rsidR="007E5D54">
        <w:t>, 30 U.S.C. 813(e),</w:t>
      </w:r>
      <w:r w:rsidRPr="00FC7D73">
        <w:t xml:space="preserve"> </w:t>
      </w:r>
      <w:bookmarkEnd w:id="17"/>
      <w:r w:rsidRPr="00FC7D73">
        <w:t>directs the Secretary not to impose an unreasonable burden on small businesses when obtaining any information under the Mine Act. MSHA considered the burden on small mines when developing the collection</w:t>
      </w:r>
      <w:r w:rsidRPr="00FC7D73" w:rsidR="00D4281C">
        <w:t xml:space="preserve"> and</w:t>
      </w:r>
      <w:r w:rsidRPr="00FC7D73" w:rsidR="00052BD8">
        <w:t xml:space="preserve"> believes that these information collection requirements are imposed on all mining operat</w:t>
      </w:r>
      <w:r w:rsidRPr="00FC7D73" w:rsidR="004E6A42">
        <w:t>or</w:t>
      </w:r>
      <w:r w:rsidRPr="00FC7D73" w:rsidR="00052BD8">
        <w:t>s and do not have a significant impact on a substantial number of small business</w:t>
      </w:r>
      <w:r w:rsidRPr="00FC7D73" w:rsidR="00007B00">
        <w:t>es</w:t>
      </w:r>
      <w:r w:rsidRPr="00FC7D73" w:rsidR="00052BD8">
        <w:t xml:space="preserve"> or </w:t>
      </w:r>
      <w:r w:rsidRPr="00FC7D73" w:rsidR="00F50585">
        <w:t>other</w:t>
      </w:r>
      <w:r w:rsidRPr="00FC7D73" w:rsidR="00052BD8">
        <w:t xml:space="preserve"> small entities. </w:t>
      </w:r>
    </w:p>
    <w:bookmarkEnd w:id="15"/>
    <w:p w:rsidR="00B227F0" w:rsidRPr="00FC7D73" w:rsidP="00FC7D73" w14:paraId="7C2F69CC" w14:textId="77777777">
      <w:pPr>
        <w:rPr>
          <w:b/>
          <w:bCs/>
          <w:color w:val="000000"/>
        </w:rPr>
      </w:pPr>
    </w:p>
    <w:p w:rsidR="00CB3898" w:rsidRPr="00FC7D73" w:rsidP="00FC7D73" w14:paraId="7D497CB0" w14:textId="77777777">
      <w:pPr>
        <w:pStyle w:val="Default"/>
        <w:keepNext/>
        <w:widowControl/>
        <w:rPr>
          <w:rFonts w:ascii="Times New Roman" w:hAnsi="Times New Roman" w:cs="Times New Roman"/>
          <w:b/>
          <w:bCs/>
          <w:color w:val="auto"/>
        </w:rPr>
      </w:pPr>
      <w:r w:rsidRPr="00FC7D73">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FC7D73" w:rsidP="00FC7D73" w14:paraId="5D0EEA43" w14:textId="77777777">
      <w:pPr>
        <w:pStyle w:val="Default"/>
        <w:keepNext/>
        <w:widowControl/>
        <w:rPr>
          <w:rFonts w:ascii="Times New Roman" w:hAnsi="Times New Roman" w:cs="Times New Roman"/>
          <w:b/>
          <w:bCs/>
          <w:color w:val="auto"/>
        </w:rPr>
      </w:pPr>
    </w:p>
    <w:p w:rsidR="007E46B8" w:rsidRPr="00FC7D73" w:rsidP="00FC7D73" w14:paraId="31CDC9F1" w14:textId="377A1845">
      <w:pPr>
        <w:pStyle w:val="BodyText12pt"/>
        <w:rPr>
          <w:color w:val="000000"/>
          <w:szCs w:val="24"/>
        </w:rPr>
      </w:pPr>
      <w:r w:rsidRPr="00FC7D73">
        <w:rPr>
          <w:color w:val="000000"/>
          <w:szCs w:val="24"/>
        </w:rPr>
        <w:t xml:space="preserve">Before </w:t>
      </w:r>
      <w:r w:rsidRPr="00FC7D73" w:rsidR="00C25976">
        <w:t xml:space="preserve">CMDPSUs and </w:t>
      </w:r>
      <w:r w:rsidRPr="00FC7D73">
        <w:rPr>
          <w:color w:val="000000"/>
          <w:szCs w:val="24"/>
        </w:rPr>
        <w:t xml:space="preserve">CPDMs can be introduced in coal mines, they must be approved for use by MSHA. The approval criteria established in 30 CFR </w:t>
      </w:r>
      <w:r w:rsidRPr="00FC7D73" w:rsidR="00A449E0">
        <w:rPr>
          <w:color w:val="000000"/>
          <w:szCs w:val="24"/>
        </w:rPr>
        <w:t xml:space="preserve">part </w:t>
      </w:r>
      <w:r w:rsidRPr="00FC7D73">
        <w:rPr>
          <w:color w:val="000000"/>
          <w:szCs w:val="24"/>
        </w:rPr>
        <w:t xml:space="preserve">74 requires manufacturers to demonstrate that </w:t>
      </w:r>
      <w:r w:rsidRPr="00FC7D73" w:rsidR="00C25976">
        <w:rPr>
          <w:color w:val="000000"/>
          <w:szCs w:val="24"/>
        </w:rPr>
        <w:t xml:space="preserve">devices </w:t>
      </w:r>
      <w:r w:rsidRPr="00FC7D73">
        <w:rPr>
          <w:color w:val="000000"/>
          <w:szCs w:val="24"/>
        </w:rPr>
        <w:t>are durable enough to withstand the mine environment, can be worn by miners performing normal tasks for an entire work shift, provide accurate and precise measurements, and can be safely used in mine atmospheres where explosive mixtures of gases may occur.</w:t>
      </w:r>
    </w:p>
    <w:p w:rsidR="007E46B8" w:rsidRPr="00FC7D73" w:rsidP="00FC7D73" w14:paraId="3EC8FB31" w14:textId="77777777">
      <w:pPr>
        <w:pStyle w:val="BodyText12pt"/>
        <w:ind w:left="360"/>
        <w:rPr>
          <w:color w:val="000000"/>
          <w:szCs w:val="24"/>
        </w:rPr>
      </w:pPr>
    </w:p>
    <w:p w:rsidR="007E46B8" w:rsidRPr="00FC7D73" w:rsidP="00FC7D73" w14:paraId="3F595C12" w14:textId="77777777">
      <w:pPr>
        <w:pStyle w:val="BodyText12pt"/>
        <w:rPr>
          <w:color w:val="000000"/>
          <w:szCs w:val="24"/>
        </w:rPr>
      </w:pPr>
      <w:r w:rsidRPr="00FC7D73">
        <w:rPr>
          <w:color w:val="000000"/>
          <w:szCs w:val="24"/>
        </w:rPr>
        <w:t>If MSHA does not conduct this information collection or conducts it less frequently, the Agency may not adequately protect the health and safety of our nation’s miners, which is required by the Mine Act.</w:t>
      </w:r>
    </w:p>
    <w:p w:rsidR="00B227F0" w:rsidRPr="00FC7D73" w:rsidP="00FC7D73" w14:paraId="4BE11804" w14:textId="77777777">
      <w:pPr>
        <w:rPr>
          <w:b/>
          <w:bCs/>
          <w:color w:val="000000"/>
        </w:rPr>
      </w:pPr>
    </w:p>
    <w:p w:rsidR="00CB3898" w:rsidRPr="00FC7D73" w:rsidP="00FC7D73" w14:paraId="010929AC" w14:textId="77777777">
      <w:pPr>
        <w:pStyle w:val="Default"/>
        <w:widowControl/>
        <w:rPr>
          <w:rFonts w:ascii="Times New Roman" w:hAnsi="Times New Roman" w:cs="Times New Roman"/>
          <w:b/>
          <w:bCs/>
          <w:color w:val="auto"/>
        </w:rPr>
      </w:pPr>
      <w:r w:rsidRPr="00FC7D73">
        <w:rPr>
          <w:rFonts w:ascii="Times New Roman" w:hAnsi="Times New Roman" w:cs="Times New Roman"/>
          <w:b/>
          <w:bCs/>
          <w:color w:val="auto"/>
        </w:rPr>
        <w:t>7. Explain any special circumstances that would cause an information collection to be conducted in a manner:</w:t>
      </w:r>
    </w:p>
    <w:p w:rsidR="00CB3898" w:rsidRPr="00FC7D73" w:rsidP="00FC7D73" w14:paraId="5790525F" w14:textId="77777777">
      <w:pPr>
        <w:pStyle w:val="ListParagraph"/>
        <w:tabs>
          <w:tab w:val="left" w:pos="720"/>
        </w:tabs>
        <w:spacing w:after="0" w:line="240" w:lineRule="auto"/>
        <w:ind w:left="0"/>
        <w:rPr>
          <w:b/>
          <w:bCs/>
        </w:rPr>
      </w:pPr>
    </w:p>
    <w:p w:rsidR="00CB3898" w:rsidRPr="00FC7D73" w:rsidP="00FC7D73" w14:paraId="56B4EAC4" w14:textId="77777777">
      <w:pPr>
        <w:pStyle w:val="ListParagraph"/>
        <w:numPr>
          <w:ilvl w:val="0"/>
          <w:numId w:val="10"/>
        </w:numPr>
        <w:autoSpaceDE w:val="0"/>
        <w:autoSpaceDN w:val="0"/>
        <w:adjustRightInd w:val="0"/>
        <w:spacing w:after="0" w:line="240" w:lineRule="auto"/>
        <w:ind w:left="360"/>
        <w:rPr>
          <w:b/>
          <w:bCs/>
        </w:rPr>
      </w:pPr>
      <w:r w:rsidRPr="00FC7D73">
        <w:rPr>
          <w:b/>
          <w:bCs/>
        </w:rPr>
        <w:t>Requiring respondents to report information to the agency more often than quarterly;</w:t>
      </w:r>
    </w:p>
    <w:p w:rsidR="00CB3898" w:rsidRPr="00FC7D73" w:rsidP="00FC7D73" w14:paraId="759F47DA" w14:textId="77777777">
      <w:pPr>
        <w:pStyle w:val="Default"/>
        <w:widowControl/>
        <w:tabs>
          <w:tab w:val="left" w:pos="720"/>
        </w:tabs>
        <w:ind w:left="360"/>
        <w:rPr>
          <w:rFonts w:ascii="Times New Roman" w:hAnsi="Times New Roman" w:cs="Times New Roman"/>
          <w:b/>
          <w:bCs/>
          <w:color w:val="auto"/>
        </w:rPr>
      </w:pPr>
    </w:p>
    <w:p w:rsidR="00CB3898" w:rsidRPr="00FC7D73" w:rsidP="00FC7D73"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FC7D73">
        <w:rPr>
          <w:rFonts w:ascii="Times New Roman" w:hAnsi="Times New Roman" w:cs="Times New Roman"/>
          <w:b/>
          <w:bCs/>
          <w:color w:val="auto"/>
        </w:rPr>
        <w:t>Requiring respondents to prepare a written response to a collection of information in fewer than 30 days after receipt of it;</w:t>
      </w:r>
    </w:p>
    <w:p w:rsidR="00CB3898" w:rsidRPr="00FC7D73" w:rsidP="00FC7D73" w14:paraId="2BAEC2E4" w14:textId="77777777">
      <w:pPr>
        <w:pStyle w:val="Default"/>
        <w:widowControl/>
        <w:tabs>
          <w:tab w:val="left" w:pos="720"/>
        </w:tabs>
        <w:ind w:left="360"/>
        <w:rPr>
          <w:rFonts w:ascii="Times New Roman" w:hAnsi="Times New Roman" w:cs="Times New Roman"/>
          <w:b/>
          <w:bCs/>
          <w:color w:val="auto"/>
        </w:rPr>
      </w:pPr>
    </w:p>
    <w:p w:rsidR="00CB3898" w:rsidRPr="00FC7D73" w:rsidP="00FC7D73"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FC7D73">
        <w:rPr>
          <w:rFonts w:ascii="Times New Roman" w:hAnsi="Times New Roman" w:cs="Times New Roman"/>
          <w:b/>
          <w:bCs/>
          <w:color w:val="auto"/>
        </w:rPr>
        <w:t>Requiring respondents to submit more than an original and two copies of any document;</w:t>
      </w:r>
    </w:p>
    <w:p w:rsidR="00CB3898" w:rsidRPr="00FC7D73" w:rsidP="00FC7D73" w14:paraId="02AE158B" w14:textId="77777777">
      <w:pPr>
        <w:pStyle w:val="Default"/>
        <w:widowControl/>
        <w:tabs>
          <w:tab w:val="left" w:pos="720"/>
        </w:tabs>
        <w:ind w:left="360"/>
        <w:rPr>
          <w:rFonts w:ascii="Times New Roman" w:hAnsi="Times New Roman" w:cs="Times New Roman"/>
          <w:b/>
          <w:bCs/>
          <w:color w:val="auto"/>
        </w:rPr>
      </w:pPr>
    </w:p>
    <w:p w:rsidR="00CB3898" w:rsidRPr="00FC7D73" w:rsidP="00FC7D73"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FC7D73">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FC7D73" w:rsidP="00FC7D73" w14:paraId="39D93E4F" w14:textId="77777777">
      <w:pPr>
        <w:pStyle w:val="Default"/>
        <w:widowControl/>
        <w:tabs>
          <w:tab w:val="left" w:pos="720"/>
        </w:tabs>
        <w:ind w:left="360"/>
        <w:rPr>
          <w:rFonts w:ascii="Times New Roman" w:hAnsi="Times New Roman" w:cs="Times New Roman"/>
          <w:b/>
          <w:bCs/>
          <w:color w:val="auto"/>
        </w:rPr>
      </w:pPr>
    </w:p>
    <w:p w:rsidR="00CB3898" w:rsidRPr="00FC7D73" w:rsidP="00FC7D73"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FC7D73">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FC7D73" w:rsidP="00FC7D73" w14:paraId="29D10900" w14:textId="77777777">
      <w:pPr>
        <w:pStyle w:val="Default"/>
        <w:widowControl/>
        <w:tabs>
          <w:tab w:val="left" w:pos="720"/>
        </w:tabs>
        <w:ind w:left="360"/>
        <w:rPr>
          <w:rFonts w:ascii="Times New Roman" w:hAnsi="Times New Roman" w:cs="Times New Roman"/>
          <w:b/>
          <w:bCs/>
          <w:color w:val="auto"/>
        </w:rPr>
      </w:pPr>
    </w:p>
    <w:p w:rsidR="00CB3898" w:rsidRPr="00FC7D73" w:rsidP="00FC7D73"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FC7D73">
        <w:rPr>
          <w:rFonts w:ascii="Times New Roman" w:hAnsi="Times New Roman" w:cs="Times New Roman"/>
          <w:b/>
          <w:bCs/>
          <w:color w:val="auto"/>
        </w:rPr>
        <w:t>Requiring the use of a statistical data classification that has not been reviewed and approved by OMB;</w:t>
      </w:r>
    </w:p>
    <w:p w:rsidR="00CB3898" w:rsidRPr="00FC7D73" w:rsidP="00FC7D73" w14:paraId="360F7893" w14:textId="77777777">
      <w:pPr>
        <w:pStyle w:val="Default"/>
        <w:widowControl/>
        <w:tabs>
          <w:tab w:val="left" w:pos="720"/>
        </w:tabs>
        <w:ind w:left="360"/>
        <w:rPr>
          <w:rFonts w:ascii="Times New Roman" w:hAnsi="Times New Roman" w:cs="Times New Roman"/>
          <w:b/>
          <w:bCs/>
          <w:color w:val="auto"/>
        </w:rPr>
      </w:pPr>
    </w:p>
    <w:p w:rsidR="00CB3898" w:rsidRPr="00FC7D73" w:rsidP="00FC7D73"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FC7D73">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FC7D73" w:rsidP="00FC7D73" w14:paraId="05D48004" w14:textId="77777777">
      <w:pPr>
        <w:pStyle w:val="Default"/>
        <w:widowControl/>
        <w:tabs>
          <w:tab w:val="left" w:pos="720"/>
        </w:tabs>
        <w:ind w:left="360"/>
        <w:rPr>
          <w:rFonts w:ascii="Times New Roman" w:hAnsi="Times New Roman" w:cs="Times New Roman"/>
          <w:color w:val="auto"/>
        </w:rPr>
      </w:pPr>
    </w:p>
    <w:p w:rsidR="00CB3898" w:rsidRPr="00FC7D73" w:rsidP="00FC7D73" w14:paraId="443FC822" w14:textId="77777777">
      <w:pPr>
        <w:pStyle w:val="Default"/>
        <w:widowControl/>
        <w:numPr>
          <w:ilvl w:val="0"/>
          <w:numId w:val="10"/>
        </w:numPr>
        <w:tabs>
          <w:tab w:val="left" w:pos="720"/>
        </w:tabs>
        <w:ind w:left="360"/>
        <w:rPr>
          <w:rFonts w:ascii="Times New Roman" w:hAnsi="Times New Roman" w:cs="Times New Roman"/>
          <w:color w:val="auto"/>
        </w:rPr>
      </w:pPr>
      <w:r w:rsidRPr="00FC7D73">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FC7D73" w:rsidP="00FC7D73" w14:paraId="01316DB1" w14:textId="77777777">
      <w:pPr>
        <w:rPr>
          <w:b/>
          <w:bCs/>
          <w:color w:val="000000"/>
        </w:rPr>
      </w:pPr>
    </w:p>
    <w:p w:rsidR="00337135" w:rsidRPr="00FC7D73" w:rsidP="00FC7D73" w14:paraId="1812B0F0" w14:textId="15F9E166">
      <w:pPr>
        <w:pStyle w:val="Default"/>
        <w:keepNext/>
        <w:widowControl/>
        <w:rPr>
          <w:rFonts w:ascii="Times New Roman" w:hAnsi="Times New Roman" w:cs="Times New Roman"/>
          <w:color w:val="auto"/>
        </w:rPr>
      </w:pPr>
      <w:r w:rsidRPr="00FC7D73">
        <w:rPr>
          <w:rFonts w:ascii="Times New Roman" w:hAnsi="Times New Roman" w:cs="Times New Roman"/>
          <w:color w:val="auto"/>
        </w:rPr>
        <w:t xml:space="preserve">This collection of information is consistent with the guidelines in </w:t>
      </w:r>
      <w:r w:rsidRPr="00FC7D73" w:rsidR="00EB338F">
        <w:rPr>
          <w:rFonts w:ascii="Times New Roman" w:hAnsi="Times New Roman" w:cs="Times New Roman"/>
          <w:color w:val="auto"/>
        </w:rPr>
        <w:t>5 CFR 1320.5</w:t>
      </w:r>
      <w:r w:rsidRPr="00FC7D73">
        <w:rPr>
          <w:rFonts w:ascii="Times New Roman" w:hAnsi="Times New Roman" w:cs="Times New Roman"/>
          <w:color w:val="auto"/>
        </w:rPr>
        <w:t>.</w:t>
      </w:r>
    </w:p>
    <w:p w:rsidR="00A663DB" w:rsidRPr="00FC7D73" w:rsidP="00FC7D73" w14:paraId="0E3CEBFF" w14:textId="77777777">
      <w:pPr>
        <w:pStyle w:val="Default"/>
        <w:keepNext/>
        <w:widowControl/>
        <w:rPr>
          <w:rFonts w:ascii="Times New Roman" w:hAnsi="Times New Roman" w:cs="Times New Roman"/>
          <w:color w:val="auto"/>
        </w:rPr>
      </w:pPr>
    </w:p>
    <w:p w:rsidR="00CB3898" w:rsidRPr="00FC7D73" w:rsidP="00FC7D73" w14:paraId="69FD13C8" w14:textId="0CD2D613">
      <w:pPr>
        <w:pStyle w:val="Default"/>
        <w:keepNext/>
        <w:widowControl/>
        <w:rPr>
          <w:rFonts w:ascii="Times New Roman" w:hAnsi="Times New Roman" w:cs="Times New Roman"/>
          <w:b/>
          <w:bCs/>
        </w:rPr>
      </w:pPr>
      <w:r w:rsidRPr="00FC7D73">
        <w:rPr>
          <w:rFonts w:ascii="Times New Roman" w:hAnsi="Times New Roman" w:cs="Times New Roman"/>
          <w:b/>
          <w:bCs/>
          <w:color w:val="auto"/>
        </w:rPr>
        <w:t>8. I</w:t>
      </w:r>
      <w:r w:rsidRPr="00FC7D73">
        <w:rPr>
          <w:rFonts w:ascii="Times New Roman" w:hAnsi="Times New Roman" w:cs="Times New Roman"/>
          <w:b/>
          <w:bCs/>
        </w:rPr>
        <w:t xml:space="preserve">f applicable, provide a copy and identify the date and page number of publication in the </w:t>
      </w:r>
      <w:r w:rsidRPr="00FC7D73">
        <w:rPr>
          <w:rFonts w:ascii="Times New Roman" w:hAnsi="Times New Roman" w:cs="Times New Roman"/>
          <w:b/>
          <w:bCs/>
          <w:i/>
        </w:rPr>
        <w:t>Federal Register</w:t>
      </w:r>
      <w:r w:rsidRPr="00FC7D73">
        <w:rPr>
          <w:rFonts w:ascii="Times New Roman" w:hAnsi="Times New Roman" w:cs="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EF6FFF" w:rsidRPr="00FC7D73" w:rsidP="00FC7D73" w14:paraId="48D6FD4D" w14:textId="77777777">
      <w:pPr>
        <w:pStyle w:val="Default"/>
        <w:keepNext/>
        <w:tabs>
          <w:tab w:val="left" w:pos="720"/>
        </w:tabs>
        <w:rPr>
          <w:rFonts w:ascii="Times New Roman" w:hAnsi="Times New Roman" w:cs="Times New Roman"/>
          <w:b/>
          <w:bCs/>
        </w:rPr>
      </w:pPr>
    </w:p>
    <w:p w:rsidR="00EF6FFF" w:rsidRPr="00FC7D73" w:rsidP="00FC7D73" w14:paraId="602969DA" w14:textId="77777777">
      <w:pPr>
        <w:pStyle w:val="Default"/>
        <w:keepNext/>
        <w:tabs>
          <w:tab w:val="left" w:pos="720"/>
        </w:tabs>
        <w:rPr>
          <w:rFonts w:ascii="Times New Roman" w:hAnsi="Times New Roman" w:cs="Times New Roman"/>
          <w:b/>
          <w:bCs/>
        </w:rPr>
      </w:pPr>
    </w:p>
    <w:p w:rsidR="00EF6FFF" w:rsidRPr="00FC7D73" w:rsidP="00FC7D73" w14:paraId="43666C2A" w14:textId="77777777">
      <w:pPr>
        <w:pStyle w:val="Default"/>
        <w:keepNext/>
        <w:tabs>
          <w:tab w:val="left" w:pos="720"/>
        </w:tabs>
        <w:rPr>
          <w:rFonts w:ascii="Times New Roman" w:hAnsi="Times New Roman" w:cs="Times New Roman"/>
          <w:b/>
          <w:bCs/>
        </w:rPr>
      </w:pPr>
    </w:p>
    <w:p w:rsidR="00EF6FFF" w:rsidRPr="00FC7D73" w:rsidP="00FC7D73" w14:paraId="7A8B24C9" w14:textId="77777777">
      <w:pPr>
        <w:widowControl/>
        <w:autoSpaceDE/>
        <w:autoSpaceDN/>
        <w:adjustRightInd/>
        <w:rPr>
          <w:b/>
          <w:bCs/>
          <w:color w:val="000000"/>
        </w:rPr>
      </w:pPr>
      <w:r w:rsidRPr="00FC7D73">
        <w:rPr>
          <w:b/>
          <w:bCs/>
        </w:rPr>
        <w:br w:type="page"/>
      </w:r>
    </w:p>
    <w:p w:rsidR="00CB3898" w:rsidRPr="00FC7D73" w:rsidP="00FC7D73" w14:paraId="14F05CA2" w14:textId="0380AD75">
      <w:pPr>
        <w:pStyle w:val="Default"/>
        <w:keepNext/>
        <w:tabs>
          <w:tab w:val="left" w:pos="720"/>
        </w:tabs>
        <w:rPr>
          <w:rFonts w:ascii="Times New Roman" w:hAnsi="Times New Roman" w:cs="Times New Roman"/>
          <w:b/>
          <w:bCs/>
        </w:rPr>
      </w:pPr>
      <w:r w:rsidRPr="00FC7D73">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FC7D73" w:rsidP="00FC7D73" w14:paraId="641E722A" w14:textId="77777777">
      <w:pPr>
        <w:pStyle w:val="Default"/>
        <w:keepNext/>
        <w:tabs>
          <w:tab w:val="left" w:pos="720"/>
        </w:tabs>
        <w:ind w:hanging="360"/>
        <w:rPr>
          <w:rFonts w:ascii="Times New Roman" w:hAnsi="Times New Roman" w:cs="Times New Roman"/>
          <w:b/>
          <w:bCs/>
        </w:rPr>
      </w:pPr>
    </w:p>
    <w:p w:rsidR="00CB3898" w:rsidRPr="00FC7D73" w:rsidP="00FC7D73" w14:paraId="7F0EA1C0" w14:textId="77777777">
      <w:pPr>
        <w:pStyle w:val="Default"/>
        <w:keepNext/>
        <w:tabs>
          <w:tab w:val="left" w:pos="720"/>
        </w:tabs>
        <w:rPr>
          <w:rFonts w:ascii="Times New Roman" w:hAnsi="Times New Roman" w:cs="Times New Roman"/>
          <w:b/>
          <w:bCs/>
        </w:rPr>
      </w:pPr>
      <w:r w:rsidRPr="00FC7D73">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3898" w:rsidRPr="00FC7D73" w:rsidP="00FC7D73" w14:paraId="03F0FACA" w14:textId="77777777">
      <w:pPr>
        <w:rPr>
          <w:b/>
          <w:bCs/>
          <w:color w:val="000000"/>
        </w:rPr>
      </w:pPr>
    </w:p>
    <w:p w:rsidR="007A6FD8" w:rsidRPr="00FC7D73" w:rsidP="00FC7D73" w14:paraId="6531B369" w14:textId="006D0648">
      <w:pPr>
        <w:rPr>
          <w:color w:val="000000"/>
        </w:rPr>
      </w:pPr>
      <w:bookmarkStart w:id="18" w:name="_Hlk165286212"/>
      <w:r w:rsidRPr="00FC7D73">
        <w:rPr>
          <w:color w:val="000000"/>
        </w:rPr>
        <w:t xml:space="preserve">In accordance with 5 CFR 1320.8(d), MSHA will publish the proposed information collection requirements in the </w:t>
      </w:r>
      <w:r w:rsidRPr="00FC7D73">
        <w:rPr>
          <w:i/>
          <w:iCs/>
          <w:color w:val="000000"/>
        </w:rPr>
        <w:t>Federal Register</w:t>
      </w:r>
      <w:r w:rsidRPr="00FC7D73">
        <w:rPr>
          <w:color w:val="000000"/>
        </w:rPr>
        <w:t xml:space="preserve">, notify the public that these information collection requirements are being reviewed in accordance with the </w:t>
      </w:r>
      <w:r w:rsidRPr="00FC7D73" w:rsidR="00F275B5">
        <w:rPr>
          <w:color w:val="000000"/>
        </w:rPr>
        <w:t>PRA</w:t>
      </w:r>
      <w:r w:rsidRPr="00FC7D73">
        <w:rPr>
          <w:color w:val="000000"/>
        </w:rPr>
        <w:t>, and provid</w:t>
      </w:r>
      <w:r w:rsidRPr="00FC7D73" w:rsidR="00F275B5">
        <w:rPr>
          <w:color w:val="000000"/>
        </w:rPr>
        <w:t>e</w:t>
      </w:r>
      <w:r w:rsidRPr="00FC7D73">
        <w:rPr>
          <w:color w:val="000000"/>
        </w:rPr>
        <w:t xml:space="preserve"> 60 days for the public to submit comments.</w:t>
      </w:r>
      <w:r w:rsidR="00046EF9">
        <w:rPr>
          <w:color w:val="000000"/>
        </w:rPr>
        <w:t xml:space="preserve"> </w:t>
      </w:r>
      <w:r w:rsidRPr="00046EF9" w:rsidR="00046EF9">
        <w:rPr>
          <w:color w:val="000000"/>
        </w:rPr>
        <w:t>MSHA published a 60-day Federal Register notice on July 3, 2025 (90 FR 29577</w:t>
      </w:r>
      <w:r w:rsidR="00046EF9">
        <w:rPr>
          <w:color w:val="000000"/>
        </w:rPr>
        <w:t>).</w:t>
      </w:r>
      <w:r w:rsidR="003A5DF6">
        <w:rPr>
          <w:color w:val="000000"/>
        </w:rPr>
        <w:t xml:space="preserve"> MSHA received no comments.</w:t>
      </w:r>
    </w:p>
    <w:bookmarkEnd w:id="18"/>
    <w:p w:rsidR="00C73040" w:rsidRPr="00FC7D73" w:rsidP="00FC7D73" w14:paraId="724A9986" w14:textId="77777777">
      <w:pPr>
        <w:rPr>
          <w:b/>
          <w:bCs/>
          <w:color w:val="000000"/>
        </w:rPr>
      </w:pPr>
    </w:p>
    <w:p w:rsidR="00CB3898" w:rsidRPr="00FC7D73" w:rsidP="00FC7D73" w14:paraId="0473FBF4" w14:textId="77777777">
      <w:pPr>
        <w:pStyle w:val="Default"/>
        <w:keepNext/>
        <w:widowControl/>
        <w:rPr>
          <w:rFonts w:ascii="Times New Roman" w:hAnsi="Times New Roman" w:cs="Times New Roman"/>
          <w:color w:val="auto"/>
        </w:rPr>
      </w:pPr>
      <w:r w:rsidRPr="00FC7D73">
        <w:rPr>
          <w:rFonts w:ascii="Times New Roman" w:hAnsi="Times New Roman" w:cs="Times New Roman"/>
          <w:b/>
          <w:bCs/>
          <w:color w:val="auto"/>
        </w:rPr>
        <w:t>9. Explain any decision to provide any payments or gifts to respondents, other than remuneration of contractors or grantees.</w:t>
      </w:r>
    </w:p>
    <w:p w:rsidR="00CB3898" w:rsidRPr="00FC7D73" w:rsidP="00FC7D73" w14:paraId="70958373" w14:textId="77777777">
      <w:pPr>
        <w:pStyle w:val="Default"/>
        <w:keepNext/>
        <w:widowControl/>
        <w:tabs>
          <w:tab w:val="left" w:pos="720"/>
        </w:tabs>
        <w:rPr>
          <w:rFonts w:ascii="Times New Roman" w:hAnsi="Times New Roman" w:cs="Times New Roman"/>
          <w:color w:val="auto"/>
        </w:rPr>
      </w:pPr>
    </w:p>
    <w:p w:rsidR="00CB3898" w:rsidRPr="00FC7D73" w:rsidP="00FC7D73" w14:paraId="32E0BB61" w14:textId="77777777">
      <w:pPr>
        <w:pStyle w:val="Default"/>
        <w:widowControl/>
        <w:tabs>
          <w:tab w:val="left" w:pos="720"/>
        </w:tabs>
        <w:rPr>
          <w:rFonts w:ascii="Times New Roman" w:hAnsi="Times New Roman" w:cs="Times New Roman"/>
          <w:color w:val="auto"/>
        </w:rPr>
      </w:pPr>
      <w:r w:rsidRPr="00FC7D73">
        <w:rPr>
          <w:rFonts w:ascii="Times New Roman" w:hAnsi="Times New Roman" w:cs="Times New Roman"/>
          <w:color w:val="auto"/>
        </w:rPr>
        <w:t>MSHA does not provide payment or gifts to respondents.</w:t>
      </w:r>
    </w:p>
    <w:p w:rsidR="00CB3898" w:rsidRPr="00FC7D73" w:rsidP="00FC7D73" w14:paraId="1CB014CE" w14:textId="77777777">
      <w:pPr>
        <w:rPr>
          <w:b/>
          <w:bCs/>
          <w:color w:val="000000"/>
        </w:rPr>
      </w:pPr>
    </w:p>
    <w:p w:rsidR="00CB3898" w:rsidRPr="00FC7D73" w:rsidP="00FC7D73" w14:paraId="45EC017F" w14:textId="77777777">
      <w:pPr>
        <w:pStyle w:val="Default"/>
        <w:keepNext/>
        <w:widowControl/>
        <w:rPr>
          <w:rFonts w:ascii="Times New Roman" w:hAnsi="Times New Roman" w:cs="Times New Roman"/>
          <w:b/>
          <w:bCs/>
          <w:color w:val="auto"/>
        </w:rPr>
      </w:pPr>
      <w:r w:rsidRPr="00FC7D73">
        <w:rPr>
          <w:rFonts w:ascii="Times New Roman" w:hAnsi="Times New Roman" w:cs="Times New Roman"/>
          <w:b/>
          <w:bCs/>
          <w:color w:val="auto"/>
        </w:rPr>
        <w:t>10. Describe any assurance of confidentiality provided to respondents and the basis for the assurance in statute, regulation, or agency policy.</w:t>
      </w:r>
    </w:p>
    <w:p w:rsidR="00C33930" w:rsidRPr="00FC7D73" w:rsidP="00FC7D73" w14:paraId="0A5414E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C0294" w:rsidRPr="00FC7D73" w:rsidP="00FC7D73" w14:paraId="2F9B2DD5" w14:textId="17A75A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C7D73">
        <w:t xml:space="preserve">There is no assurance of confidentiality provided to respondents.  </w:t>
      </w:r>
    </w:p>
    <w:p w:rsidR="00B27C80" w:rsidRPr="00FC7D73" w:rsidP="00FC7D73" w14:paraId="4F3DD0A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7C80" w:rsidRPr="00FC7D73" w:rsidP="00FC7D73" w14:paraId="2E6DD655" w14:textId="57278D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C7D73">
        <w:t>Under 30 CFR 74.12(a), prior to the issuance of a certificate of approval, only personnel of MSHA, representatives of the applicant, and other persons mutually agreed upon may observe the tests conducted. MSHA must hold as confidential and must not disclose principles of patentable features or any details of the applicant's drawings</w:t>
      </w:r>
      <w:r w:rsidRPr="00FC7D73" w:rsidR="00207CA8">
        <w:t>,</w:t>
      </w:r>
      <w:r w:rsidRPr="00FC7D73" w:rsidR="005D2D44">
        <w:t xml:space="preserve"> </w:t>
      </w:r>
      <w:r w:rsidRPr="00FC7D73">
        <w:t>specifications</w:t>
      </w:r>
      <w:r w:rsidRPr="00FC7D73" w:rsidR="00CB31D9">
        <w:t>,</w:t>
      </w:r>
      <w:r w:rsidRPr="00FC7D73">
        <w:t xml:space="preserve"> or other related material. </w:t>
      </w:r>
    </w:p>
    <w:p w:rsidR="00B27C80" w:rsidRPr="00FC7D73" w:rsidP="00FC7D73" w14:paraId="2A9F859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27C80" w:rsidRPr="00FC7D73" w:rsidP="00FC7D73" w14:paraId="08EE0136" w14:textId="4735B85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FC7D73">
        <w:t>Documentation submitted by manufacturers is retained in secured areas</w:t>
      </w:r>
      <w:r w:rsidRPr="00FC7D73" w:rsidR="00C807A4">
        <w:t>,</w:t>
      </w:r>
      <w:r w:rsidRPr="00FC7D73">
        <w:t xml:space="preserve"> including locked rooms and filing cabinets, as well as in limited access electronic data storage. </w:t>
      </w:r>
    </w:p>
    <w:p w:rsidR="000E39D5" w:rsidRPr="00FC7D73" w:rsidP="00FC7D73" w14:paraId="28DFCBC7" w14:textId="77777777">
      <w:pPr>
        <w:pStyle w:val="Default"/>
        <w:keepNext/>
        <w:widowControl/>
        <w:rPr>
          <w:rFonts w:ascii="Times New Roman" w:hAnsi="Times New Roman" w:cs="Times New Roman"/>
          <w:b/>
          <w:bCs/>
          <w:color w:val="auto"/>
        </w:rPr>
      </w:pPr>
    </w:p>
    <w:p w:rsidR="00CB3898" w:rsidRPr="00FC7D73" w:rsidP="00FC7D73" w14:paraId="19B20D5D" w14:textId="2683C9C2">
      <w:pPr>
        <w:pStyle w:val="Default"/>
        <w:keepNext/>
        <w:widowControl/>
        <w:rPr>
          <w:rFonts w:ascii="Times New Roman" w:hAnsi="Times New Roman" w:cs="Times New Roman"/>
          <w:color w:val="auto"/>
        </w:rPr>
      </w:pPr>
      <w:r w:rsidRPr="00FC7D73">
        <w:rPr>
          <w:rFonts w:ascii="Times New Roman" w:hAnsi="Times New Roman" w:cs="Times New Roman"/>
          <w:b/>
          <w:bCs/>
          <w:color w:val="auto"/>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B3898" w:rsidRPr="00FC7D73" w:rsidP="00FC7D73" w14:paraId="0E3FE669" w14:textId="77777777">
      <w:pPr>
        <w:rPr>
          <w:b/>
          <w:bCs/>
          <w:color w:val="000000"/>
        </w:rPr>
      </w:pPr>
    </w:p>
    <w:p w:rsidR="00CB3898" w:rsidRPr="00FC7D73" w:rsidP="00FC7D73" w14:paraId="5D221538" w14:textId="28A3D02E">
      <w:pPr>
        <w:rPr>
          <w:color w:val="000000"/>
        </w:rPr>
      </w:pPr>
      <w:r w:rsidRPr="00FC7D73">
        <w:rPr>
          <w:color w:val="000000"/>
        </w:rPr>
        <w:t>There are no questions of a sensitive nature.</w:t>
      </w:r>
    </w:p>
    <w:p w:rsidR="00CB3898" w:rsidRPr="00FC7D73" w:rsidP="00FC7D73" w14:paraId="45ED85A8" w14:textId="77777777">
      <w:pPr>
        <w:rPr>
          <w:b/>
          <w:bCs/>
          <w:color w:val="000000"/>
        </w:rPr>
      </w:pPr>
    </w:p>
    <w:p w:rsidR="008F7DDE" w:rsidRPr="00FC7D73" w:rsidP="00FC7D73" w14:paraId="4D2FF76B" w14:textId="3A215E41">
      <w:pPr>
        <w:rPr>
          <w:b/>
          <w:bCs/>
          <w:color w:val="000000"/>
        </w:rPr>
      </w:pPr>
      <w:r w:rsidRPr="00FC7D73">
        <w:rPr>
          <w:b/>
          <w:bCs/>
          <w:color w:val="000000"/>
        </w:rPr>
        <w:t>12.  Provide estimates of the hour burden of the collection of information.  The statement should:</w:t>
      </w:r>
    </w:p>
    <w:p w:rsidR="008F7DDE" w:rsidRPr="00FC7D73" w:rsidP="00FC7D73" w14:paraId="443392FF" w14:textId="77777777">
      <w:pPr>
        <w:rPr>
          <w:b/>
          <w:bCs/>
          <w:color w:val="000000"/>
        </w:rPr>
      </w:pPr>
    </w:p>
    <w:p w:rsidR="008F7DDE" w:rsidRPr="00FC7D73" w:rsidP="00FC7D73" w14:paraId="099B1349" w14:textId="77777777">
      <w:pPr>
        <w:pStyle w:val="ListParagraph"/>
        <w:numPr>
          <w:ilvl w:val="0"/>
          <w:numId w:val="1"/>
        </w:numPr>
        <w:tabs>
          <w:tab w:val="left" w:pos="-1440"/>
        </w:tabs>
        <w:spacing w:after="0" w:line="240" w:lineRule="auto"/>
        <w:rPr>
          <w:b/>
          <w:bCs/>
          <w:color w:val="000000"/>
          <w:szCs w:val="24"/>
        </w:rPr>
      </w:pPr>
      <w:r w:rsidRPr="00FC7D73">
        <w:rPr>
          <w:b/>
          <w:bCs/>
          <w:color w:val="000000"/>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1D65E9" w:rsidRPr="00FC7D73" w:rsidP="00FC7D73" w14:paraId="00253108" w14:textId="77777777">
      <w:pPr>
        <w:pStyle w:val="ListParagraph"/>
        <w:tabs>
          <w:tab w:val="left" w:pos="-1440"/>
        </w:tabs>
        <w:spacing w:after="0" w:line="240" w:lineRule="auto"/>
        <w:rPr>
          <w:b/>
          <w:bCs/>
          <w:color w:val="000000"/>
          <w:szCs w:val="24"/>
        </w:rPr>
      </w:pPr>
    </w:p>
    <w:p w:rsidR="008F7DDE" w:rsidRPr="00FC7D73" w:rsidP="00FC7D73" w14:paraId="1D3F9869" w14:textId="77777777">
      <w:pPr>
        <w:pStyle w:val="ListParagraph"/>
        <w:numPr>
          <w:ilvl w:val="0"/>
          <w:numId w:val="1"/>
        </w:numPr>
        <w:tabs>
          <w:tab w:val="left" w:pos="-1440"/>
        </w:tabs>
        <w:spacing w:after="0" w:line="240" w:lineRule="auto"/>
        <w:rPr>
          <w:b/>
          <w:bCs/>
          <w:color w:val="000000"/>
          <w:szCs w:val="24"/>
        </w:rPr>
      </w:pPr>
      <w:r w:rsidRPr="00FC7D73">
        <w:rPr>
          <w:b/>
          <w:bCs/>
          <w:color w:val="000000"/>
          <w:szCs w:val="24"/>
        </w:rPr>
        <w:t>If this request for approval covers more than one form, provide separate hour burden estimates for each form and aggregate the hour burdens.</w:t>
      </w:r>
    </w:p>
    <w:p w:rsidR="001D65E9" w:rsidRPr="00FC7D73" w:rsidP="00FC7D73" w14:paraId="1E753881" w14:textId="77777777">
      <w:pPr>
        <w:pStyle w:val="ListParagraph"/>
        <w:tabs>
          <w:tab w:val="left" w:pos="-1440"/>
        </w:tabs>
        <w:spacing w:after="0" w:line="240" w:lineRule="auto"/>
        <w:rPr>
          <w:b/>
          <w:bCs/>
          <w:color w:val="000000"/>
          <w:szCs w:val="24"/>
        </w:rPr>
      </w:pPr>
    </w:p>
    <w:p w:rsidR="008F7DDE" w:rsidRPr="00FC7D73" w:rsidP="00FC7D73" w14:paraId="2BC6B329" w14:textId="77777777">
      <w:pPr>
        <w:pStyle w:val="ListParagraph"/>
        <w:numPr>
          <w:ilvl w:val="0"/>
          <w:numId w:val="1"/>
        </w:numPr>
        <w:tabs>
          <w:tab w:val="left" w:pos="-1440"/>
        </w:tabs>
        <w:spacing w:after="0" w:line="240" w:lineRule="auto"/>
        <w:rPr>
          <w:b/>
          <w:bCs/>
          <w:color w:val="000000"/>
          <w:szCs w:val="24"/>
        </w:rPr>
      </w:pPr>
      <w:r w:rsidRPr="00FC7D73">
        <w:rPr>
          <w:b/>
          <w:bCs/>
          <w:color w:val="000000"/>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rsidR="00013AE9" w:rsidRPr="00FC7D73" w:rsidP="00FC7D73" w14:paraId="26F54DD5" w14:textId="77777777"/>
    <w:p w:rsidR="008F7DDE" w:rsidRPr="00FC7D73" w:rsidP="00FC7D73" w14:paraId="7315BACB" w14:textId="66111699">
      <w:pPr>
        <w:rPr>
          <w:b/>
          <w:bCs/>
          <w:iCs/>
        </w:rPr>
      </w:pPr>
      <w:r w:rsidRPr="00FC7D73">
        <w:rPr>
          <w:b/>
          <w:bCs/>
          <w:iCs/>
        </w:rPr>
        <w:t>Respondents</w:t>
      </w:r>
    </w:p>
    <w:p w:rsidR="008F7DDE" w:rsidRPr="00FC7D73" w:rsidP="00FC7D73" w14:paraId="23ABF329" w14:textId="77777777">
      <w:pPr>
        <w:rPr>
          <w:b/>
          <w:bCs/>
          <w:iCs/>
        </w:rPr>
      </w:pPr>
    </w:p>
    <w:p w:rsidR="00BF32A1" w:rsidRPr="00FC7D73" w:rsidP="00FC7D73" w14:paraId="1D935101" w14:textId="5FF2C4A5">
      <w:pPr>
        <w:contextualSpacing/>
      </w:pPr>
      <w:bookmarkStart w:id="19" w:name="_Hlk171945184"/>
      <w:r w:rsidRPr="00FC7D73">
        <w:t xml:space="preserve">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 the number of mines and employment, and from this information MSHA tracks the number of active and inactive mines and mine types throughout the United States. </w:t>
      </w:r>
      <w:bookmarkEnd w:id="19"/>
    </w:p>
    <w:p w:rsidR="00BF32A1" w:rsidRPr="00FC7D73" w:rsidP="00FC7D73" w14:paraId="37975514" w14:textId="77777777"/>
    <w:p w:rsidR="00A908FE" w:rsidRPr="00FC7D73" w:rsidP="00FC7D73" w14:paraId="5C5EAADB" w14:textId="3FFC9784">
      <w:pPr>
        <w:widowControl/>
        <w:autoSpaceDE/>
        <w:autoSpaceDN/>
        <w:adjustRightInd/>
        <w:rPr>
          <w:rFonts w:eastAsia="Calibri"/>
          <w:color w:val="000000"/>
          <w:szCs w:val="22"/>
          <w14:ligatures w14:val="standardContextual"/>
        </w:rPr>
      </w:pPr>
      <w:r w:rsidRPr="00FC7D73">
        <w:rPr>
          <w:rFonts w:eastAsia="Calibri"/>
          <w:szCs w:val="22"/>
          <w14:ligatures w14:val="standardContextual"/>
        </w:rPr>
        <w:t xml:space="preserve">Based on </w:t>
      </w:r>
      <w:r w:rsidRPr="00FC7D73" w:rsidR="00941378">
        <w:rPr>
          <w:rFonts w:eastAsia="Calibri"/>
          <w:szCs w:val="22"/>
          <w14:ligatures w14:val="standardContextual"/>
        </w:rPr>
        <w:t>internal</w:t>
      </w:r>
      <w:r w:rsidRPr="00FC7D73" w:rsidR="005A435B">
        <w:rPr>
          <w:rFonts w:eastAsia="Calibri"/>
          <w:szCs w:val="22"/>
          <w14:ligatures w14:val="standardContextual"/>
        </w:rPr>
        <w:t xml:space="preserve"> data</w:t>
      </w:r>
      <w:r w:rsidRPr="00FC7D73" w:rsidR="00941378">
        <w:rPr>
          <w:rFonts w:eastAsia="Calibri"/>
          <w:szCs w:val="22"/>
          <w14:ligatures w14:val="standardContextual"/>
        </w:rPr>
        <w:t>,</w:t>
      </w:r>
      <w:r w:rsidRPr="00FC7D73" w:rsidR="005A435B">
        <w:rPr>
          <w:rFonts w:eastAsia="Calibri"/>
          <w:szCs w:val="22"/>
          <w14:ligatures w14:val="standardContextual"/>
        </w:rPr>
        <w:t xml:space="preserve"> MSHA estimates there will be </w:t>
      </w:r>
      <w:r w:rsidRPr="00FC7D73" w:rsidR="00E00ED3">
        <w:rPr>
          <w:rFonts w:eastAsia="Calibri"/>
          <w:szCs w:val="22"/>
          <w14:ligatures w14:val="standardContextual"/>
        </w:rPr>
        <w:t>one</w:t>
      </w:r>
      <w:r w:rsidRPr="00FC7D73" w:rsidR="005A435B">
        <w:rPr>
          <w:rFonts w:eastAsia="Calibri"/>
          <w:szCs w:val="22"/>
          <w14:ligatures w14:val="standardContextual"/>
        </w:rPr>
        <w:t xml:space="preserve"> submission of </w:t>
      </w:r>
      <w:r w:rsidRPr="00FC7D73" w:rsidR="00FC266A">
        <w:rPr>
          <w:rFonts w:eastAsia="Calibri"/>
          <w:szCs w:val="22"/>
          <w14:ligatures w14:val="standardContextual"/>
        </w:rPr>
        <w:t>e</w:t>
      </w:r>
      <w:r w:rsidRPr="00FC7D73" w:rsidR="00943108">
        <w:rPr>
          <w:rFonts w:eastAsia="Calibri"/>
          <w:szCs w:val="22"/>
          <w14:ligatures w14:val="standardContextual"/>
        </w:rPr>
        <w:t xml:space="preserve">ither a </w:t>
      </w:r>
      <w:r w:rsidRPr="00FC7D73" w:rsidR="00973EC4">
        <w:rPr>
          <w:rFonts w:eastAsia="Calibri"/>
          <w:szCs w:val="22"/>
          <w14:ligatures w14:val="standardContextual"/>
        </w:rPr>
        <w:t xml:space="preserve">CMDPSU </w:t>
      </w:r>
      <w:r w:rsidRPr="00FC7D73" w:rsidR="00943108">
        <w:rPr>
          <w:rFonts w:eastAsia="Calibri"/>
          <w:szCs w:val="22"/>
          <w14:ligatures w14:val="standardContextual"/>
        </w:rPr>
        <w:t xml:space="preserve">or </w:t>
      </w:r>
      <w:r w:rsidRPr="00FC7D73" w:rsidR="00216948">
        <w:rPr>
          <w:rFonts w:eastAsia="Calibri"/>
          <w:szCs w:val="22"/>
          <w14:ligatures w14:val="standardContextual"/>
        </w:rPr>
        <w:t>a CMPD</w:t>
      </w:r>
      <w:r w:rsidRPr="00FC7D73" w:rsidR="005A435B">
        <w:rPr>
          <w:rFonts w:eastAsia="Calibri"/>
          <w:szCs w:val="22"/>
          <w14:ligatures w14:val="standardContextual"/>
        </w:rPr>
        <w:t xml:space="preserve"> each year</w:t>
      </w:r>
      <w:r w:rsidRPr="00FC7D73" w:rsidR="00943108">
        <w:rPr>
          <w:rFonts w:eastAsia="Calibri"/>
          <w:szCs w:val="22"/>
          <w14:ligatures w14:val="standardContextual"/>
        </w:rPr>
        <w:t xml:space="preserve">. As </w:t>
      </w:r>
      <w:r w:rsidRPr="00FC7D73" w:rsidR="006D0CDA">
        <w:rPr>
          <w:rFonts w:eastAsia="Calibri"/>
          <w:szCs w:val="22"/>
          <w14:ligatures w14:val="standardContextual"/>
        </w:rPr>
        <w:t>the</w:t>
      </w:r>
      <w:r w:rsidRPr="00FC7D73" w:rsidR="00943108">
        <w:rPr>
          <w:rFonts w:eastAsia="Calibri"/>
          <w:szCs w:val="22"/>
          <w14:ligatures w14:val="standardContextual"/>
        </w:rPr>
        <w:t xml:space="preserve"> submission process of each device is similar</w:t>
      </w:r>
      <w:r w:rsidRPr="00FC7D73" w:rsidR="00941378">
        <w:rPr>
          <w:rFonts w:eastAsia="Calibri"/>
          <w:szCs w:val="22"/>
          <w14:ligatures w14:val="standardContextual"/>
        </w:rPr>
        <w:t>,</w:t>
      </w:r>
      <w:r w:rsidRPr="00FC7D73" w:rsidR="00943108">
        <w:rPr>
          <w:rFonts w:eastAsia="Calibri"/>
          <w:szCs w:val="22"/>
          <w14:ligatures w14:val="standardContextual"/>
        </w:rPr>
        <w:t xml:space="preserve"> MSHA assumes that the cost is similar regardless of which </w:t>
      </w:r>
      <w:r w:rsidRPr="00FC7D73" w:rsidR="00941378">
        <w:rPr>
          <w:rFonts w:eastAsia="Calibri"/>
          <w:szCs w:val="22"/>
          <w14:ligatures w14:val="standardContextual"/>
        </w:rPr>
        <w:t xml:space="preserve">device </w:t>
      </w:r>
      <w:r w:rsidRPr="00FC7D73" w:rsidR="00943108">
        <w:rPr>
          <w:rFonts w:eastAsia="Calibri"/>
          <w:szCs w:val="22"/>
          <w14:ligatures w14:val="standardContextual"/>
        </w:rPr>
        <w:t xml:space="preserve">is submitted for approval. </w:t>
      </w:r>
      <w:r w:rsidRPr="00FC7D73" w:rsidR="00943108">
        <w:rPr>
          <w:rFonts w:eastAsia="Calibri"/>
          <w:szCs w:val="22"/>
          <w14:ligatures w14:val="standardContextual"/>
        </w:rPr>
        <w:t xml:space="preserve"> </w:t>
      </w:r>
      <w:r w:rsidRPr="00FC7D73">
        <w:rPr>
          <w:rFonts w:eastAsia="Calibri"/>
          <w:color w:val="000000"/>
          <w:szCs w:val="22"/>
          <w14:ligatures w14:val="standardContextual"/>
        </w:rPr>
        <w:t xml:space="preserve"> </w:t>
      </w:r>
    </w:p>
    <w:p w:rsidR="008F7DDE" w:rsidRPr="00FC7D73" w:rsidP="00FC7D73" w14:paraId="2D91560A" w14:textId="77777777">
      <w:pPr>
        <w:rPr>
          <w:iCs/>
        </w:rPr>
      </w:pPr>
    </w:p>
    <w:p w:rsidR="00B227F0" w:rsidRPr="00FC7D73" w:rsidP="00FC7D73" w14:paraId="73FF745E" w14:textId="566D5B1F">
      <w:pPr>
        <w:rPr>
          <w:b/>
        </w:rPr>
      </w:pPr>
      <w:bookmarkStart w:id="20" w:name="_Hlk189055170"/>
      <w:r w:rsidRPr="00FC7D73">
        <w:rPr>
          <w:b/>
        </w:rPr>
        <w:t>Wage Rates Determination</w:t>
      </w:r>
      <w:r>
        <w:rPr>
          <w:rStyle w:val="FootnoteReference"/>
          <w:b/>
        </w:rPr>
        <w:footnoteReference w:id="3"/>
      </w:r>
    </w:p>
    <w:bookmarkEnd w:id="20"/>
    <w:p w:rsidR="00B227F0" w:rsidRPr="00FC7D73" w:rsidP="00FC7D73" w14:paraId="2A20346F" w14:textId="77777777"/>
    <w:p w:rsidR="008F7DDE" w:rsidRPr="00FC7D73" w:rsidP="00FC7D73" w14:paraId="095FE9F1" w14:textId="38F7595C">
      <w:bookmarkStart w:id="23" w:name="_Hlk189054988"/>
      <w:r w:rsidRPr="00FC7D73">
        <w:t>MSHA use</w:t>
      </w:r>
      <w:r w:rsidRPr="00FC7D73" w:rsidR="004E6A42">
        <w:t>s</w:t>
      </w:r>
      <w:r w:rsidRPr="00FC7D73">
        <w:t xml:space="preserve"> data from the May 202</w:t>
      </w:r>
      <w:r w:rsidRPr="00FC7D73" w:rsidR="009A3438">
        <w:t>3</w:t>
      </w:r>
      <w:r w:rsidRPr="00FC7D73">
        <w:t xml:space="preserve"> Occupational Employment and Wage Statistics (OEWS) </w:t>
      </w:r>
      <w:r w:rsidRPr="00FC7D73">
        <w:t>published by the Bureau of Labor Statistics (BLS) for hourly wage rates</w:t>
      </w:r>
      <w:r>
        <w:rPr>
          <w:vertAlign w:val="superscript"/>
        </w:rPr>
        <w:footnoteReference w:id="4"/>
      </w:r>
      <w:r w:rsidRPr="00FC7D73">
        <w:t xml:space="preserve"> and adjust</w:t>
      </w:r>
      <w:r w:rsidRPr="00FC7D73" w:rsidR="00F74113">
        <w:t>s</w:t>
      </w:r>
      <w:r w:rsidRPr="00FC7D73">
        <w:t xml:space="preserve"> the rates for benefits</w:t>
      </w:r>
      <w:r w:rsidRPr="00FC7D73" w:rsidR="00EC1441">
        <w:t>,</w:t>
      </w:r>
      <w:r>
        <w:rPr>
          <w:vertAlign w:val="superscript"/>
        </w:rPr>
        <w:footnoteReference w:id="5"/>
      </w:r>
      <w:r w:rsidRPr="00FC7D73">
        <w:t xml:space="preserve"> wage inflation,</w:t>
      </w:r>
      <w:r>
        <w:rPr>
          <w:vertAlign w:val="superscript"/>
        </w:rPr>
        <w:footnoteReference w:id="6"/>
      </w:r>
      <w:r w:rsidRPr="00FC7D73">
        <w:t xml:space="preserve"> </w:t>
      </w:r>
      <w:r w:rsidRPr="00FC7D73" w:rsidR="008C0F50">
        <w:t>and overhead costs</w:t>
      </w:r>
      <w:r w:rsidRPr="00FC7D73" w:rsidR="005D15DB">
        <w:t>.</w:t>
      </w:r>
      <w:r>
        <w:rPr>
          <w:rStyle w:val="FootnoteReference"/>
        </w:rPr>
        <w:footnoteReference w:id="7"/>
      </w:r>
      <w:r w:rsidRPr="00FC7D73">
        <w:t xml:space="preserve"> The occupations listed below in Table 12-1 are those that were determined to be relevant for the cost calculations.</w:t>
      </w:r>
    </w:p>
    <w:bookmarkEnd w:id="23"/>
    <w:p w:rsidR="008F7DDE" w:rsidRPr="00FC7D73" w:rsidP="00FC7D73" w14:paraId="3F9E7700" w14:textId="77777777">
      <w:pPr>
        <w:rPr>
          <w:iCs/>
        </w:rPr>
      </w:pPr>
    </w:p>
    <w:p w:rsidR="008F7DDE" w:rsidRPr="00FC7D73" w:rsidP="00FC7D73" w14:paraId="27201460" w14:textId="308B3065">
      <w:pPr>
        <w:rPr>
          <w:b/>
          <w:bCs/>
        </w:rPr>
      </w:pPr>
      <w:bookmarkStart w:id="25" w:name="_Hlk114568286"/>
      <w:r w:rsidRPr="00FC7D73">
        <w:rPr>
          <w:b/>
          <w:bCs/>
          <w:iCs/>
        </w:rPr>
        <w:t>Table 12-1</w:t>
      </w:r>
      <w:r w:rsidRPr="00FC7D73" w:rsidR="00B227F0">
        <w:rPr>
          <w:b/>
          <w:bCs/>
          <w:iCs/>
        </w:rPr>
        <w:t xml:space="preserve">. </w:t>
      </w:r>
      <w:r w:rsidRPr="00FC7D73">
        <w:rPr>
          <w:b/>
          <w:bCs/>
          <w:iCs/>
        </w:rPr>
        <w:t>Hourly Wage Rates</w:t>
      </w:r>
    </w:p>
    <w:tbl>
      <w:tblPr>
        <w:tblStyle w:val="TableGrid"/>
        <w:tblW w:w="0" w:type="auto"/>
        <w:tblLook w:val="04A0"/>
      </w:tblPr>
      <w:tblGrid>
        <w:gridCol w:w="1805"/>
        <w:gridCol w:w="865"/>
        <w:gridCol w:w="1003"/>
        <w:gridCol w:w="1123"/>
        <w:gridCol w:w="1166"/>
        <w:gridCol w:w="1571"/>
        <w:gridCol w:w="1817"/>
      </w:tblGrid>
      <w:tr w14:paraId="079B285C" w14:textId="77777777" w:rsidTr="00CE4405">
        <w:tblPrEx>
          <w:tblW w:w="0" w:type="auto"/>
          <w:tblLook w:val="04A0"/>
        </w:tblPrEx>
        <w:tc>
          <w:tcPr>
            <w:tcW w:w="1805" w:type="dxa"/>
            <w:shd w:val="clear" w:color="auto" w:fill="8EAADB" w:themeFill="accent1" w:themeFillTint="99"/>
            <w:vAlign w:val="center"/>
          </w:tcPr>
          <w:bookmarkEnd w:id="25"/>
          <w:p w:rsidR="006C29C4" w:rsidRPr="00FC7D73" w:rsidP="00FC7D73" w14:paraId="1EE2587D" w14:textId="77777777">
            <w:pPr>
              <w:rPr>
                <w:iCs/>
                <w:sz w:val="20"/>
                <w:szCs w:val="20"/>
              </w:rPr>
            </w:pPr>
            <w:r w:rsidRPr="00FC7D73">
              <w:rPr>
                <w:iCs/>
                <w:sz w:val="20"/>
                <w:szCs w:val="20"/>
              </w:rPr>
              <w:t>Occupation</w:t>
            </w:r>
          </w:p>
        </w:tc>
        <w:tc>
          <w:tcPr>
            <w:tcW w:w="865" w:type="dxa"/>
            <w:shd w:val="clear" w:color="auto" w:fill="8EAADB" w:themeFill="accent1" w:themeFillTint="99"/>
            <w:vAlign w:val="center"/>
          </w:tcPr>
          <w:p w:rsidR="006C29C4" w:rsidRPr="00FC7D73" w:rsidP="00FC7D73" w14:paraId="6C697F9C" w14:textId="77777777">
            <w:pPr>
              <w:jc w:val="center"/>
              <w:rPr>
                <w:iCs/>
                <w:sz w:val="20"/>
                <w:szCs w:val="20"/>
              </w:rPr>
            </w:pPr>
            <w:r w:rsidRPr="00FC7D73">
              <w:rPr>
                <w:iCs/>
                <w:sz w:val="20"/>
                <w:szCs w:val="20"/>
              </w:rPr>
              <w:t>NAICS Code</w:t>
            </w:r>
          </w:p>
        </w:tc>
        <w:tc>
          <w:tcPr>
            <w:tcW w:w="1003" w:type="dxa"/>
            <w:shd w:val="clear" w:color="auto" w:fill="8EAADB" w:themeFill="accent1" w:themeFillTint="99"/>
            <w:vAlign w:val="center"/>
          </w:tcPr>
          <w:p w:rsidR="006C29C4" w:rsidRPr="00FC7D73" w:rsidP="00FC7D73" w14:paraId="26517976" w14:textId="5AB890C3">
            <w:pPr>
              <w:jc w:val="center"/>
              <w:rPr>
                <w:iCs/>
                <w:sz w:val="20"/>
                <w:szCs w:val="20"/>
              </w:rPr>
            </w:pPr>
            <w:r w:rsidRPr="00FC7D73">
              <w:rPr>
                <w:iCs/>
                <w:sz w:val="20"/>
                <w:szCs w:val="20"/>
              </w:rPr>
              <w:t xml:space="preserve">Mean </w:t>
            </w:r>
            <w:r w:rsidRPr="00FC7D73" w:rsidR="009F163B">
              <w:rPr>
                <w:iCs/>
                <w:sz w:val="20"/>
                <w:szCs w:val="20"/>
              </w:rPr>
              <w:t>Hourl</w:t>
            </w:r>
            <w:r w:rsidRPr="00FC7D73" w:rsidR="00831DFE">
              <w:rPr>
                <w:iCs/>
                <w:sz w:val="20"/>
                <w:szCs w:val="20"/>
              </w:rPr>
              <w:t xml:space="preserve">y </w:t>
            </w:r>
            <w:r w:rsidRPr="00FC7D73">
              <w:rPr>
                <w:iCs/>
                <w:sz w:val="20"/>
                <w:szCs w:val="20"/>
              </w:rPr>
              <w:t>Wage Rate</w:t>
            </w:r>
          </w:p>
        </w:tc>
        <w:tc>
          <w:tcPr>
            <w:tcW w:w="1123" w:type="dxa"/>
            <w:shd w:val="clear" w:color="auto" w:fill="8EAADB" w:themeFill="accent1" w:themeFillTint="99"/>
            <w:vAlign w:val="center"/>
          </w:tcPr>
          <w:p w:rsidR="006C29C4" w:rsidRPr="00FC7D73" w:rsidP="00FC7D73" w14:paraId="1EAD6C07" w14:textId="77777777">
            <w:pPr>
              <w:jc w:val="center"/>
              <w:rPr>
                <w:iCs/>
                <w:sz w:val="20"/>
                <w:szCs w:val="20"/>
              </w:rPr>
            </w:pPr>
            <w:r w:rsidRPr="00FC7D73">
              <w:rPr>
                <w:iCs/>
                <w:sz w:val="20"/>
                <w:szCs w:val="20"/>
              </w:rPr>
              <w:t>Benefit Multiplier</w:t>
            </w:r>
          </w:p>
        </w:tc>
        <w:tc>
          <w:tcPr>
            <w:tcW w:w="1166" w:type="dxa"/>
            <w:shd w:val="clear" w:color="auto" w:fill="8EAADB" w:themeFill="accent1" w:themeFillTint="99"/>
            <w:vAlign w:val="center"/>
          </w:tcPr>
          <w:p w:rsidR="006C29C4" w:rsidRPr="00FC7D73" w:rsidP="00FC7D73" w14:paraId="7E15F8F1" w14:textId="77777777">
            <w:pPr>
              <w:jc w:val="center"/>
              <w:rPr>
                <w:iCs/>
                <w:sz w:val="20"/>
                <w:szCs w:val="20"/>
              </w:rPr>
            </w:pPr>
            <w:r w:rsidRPr="00FC7D73">
              <w:rPr>
                <w:iCs/>
                <w:sz w:val="20"/>
                <w:szCs w:val="20"/>
              </w:rPr>
              <w:t>Inflation Multiplier</w:t>
            </w:r>
          </w:p>
        </w:tc>
        <w:tc>
          <w:tcPr>
            <w:tcW w:w="1571" w:type="dxa"/>
            <w:shd w:val="clear" w:color="auto" w:fill="8EAADB" w:themeFill="accent1" w:themeFillTint="99"/>
            <w:vAlign w:val="center"/>
          </w:tcPr>
          <w:p w:rsidR="006C29C4" w:rsidRPr="00FC7D73" w:rsidP="00FC7D73" w14:paraId="3B2CC1CA" w14:textId="707B7DE7">
            <w:pPr>
              <w:jc w:val="center"/>
              <w:rPr>
                <w:iCs/>
                <w:sz w:val="20"/>
                <w:szCs w:val="20"/>
              </w:rPr>
            </w:pPr>
            <w:r w:rsidRPr="00FC7D73">
              <w:rPr>
                <w:iCs/>
                <w:sz w:val="20"/>
                <w:szCs w:val="20"/>
              </w:rPr>
              <w:t>Overhead Cost Multiplier</w:t>
            </w:r>
          </w:p>
        </w:tc>
        <w:tc>
          <w:tcPr>
            <w:tcW w:w="1817" w:type="dxa"/>
            <w:shd w:val="clear" w:color="auto" w:fill="8EAADB" w:themeFill="accent1" w:themeFillTint="99"/>
            <w:vAlign w:val="center"/>
          </w:tcPr>
          <w:p w:rsidR="006C29C4" w:rsidRPr="00FC7D73" w:rsidP="00FC7D73" w14:paraId="2BFC42CB" w14:textId="6C8B684A">
            <w:pPr>
              <w:jc w:val="center"/>
              <w:rPr>
                <w:iCs/>
                <w:sz w:val="20"/>
                <w:szCs w:val="20"/>
              </w:rPr>
            </w:pPr>
            <w:r w:rsidRPr="00FC7D73">
              <w:rPr>
                <w:iCs/>
                <w:sz w:val="20"/>
                <w:szCs w:val="20"/>
              </w:rPr>
              <w:t>Loaded Hourly Wage Rate</w:t>
            </w:r>
          </w:p>
        </w:tc>
      </w:tr>
      <w:tr w14:paraId="692A2EF1" w14:textId="77777777" w:rsidTr="00CE4405">
        <w:tblPrEx>
          <w:tblW w:w="0" w:type="auto"/>
          <w:tblLook w:val="04A0"/>
        </w:tblPrEx>
        <w:tc>
          <w:tcPr>
            <w:tcW w:w="1805" w:type="dxa"/>
            <w:shd w:val="clear" w:color="auto" w:fill="8EAADB" w:themeFill="accent1" w:themeFillTint="99"/>
            <w:vAlign w:val="center"/>
          </w:tcPr>
          <w:p w:rsidR="009A3438" w:rsidRPr="00FC7D73" w:rsidP="00FC7D73" w14:paraId="077030A5" w14:textId="77777777">
            <w:pPr>
              <w:jc w:val="center"/>
              <w:rPr>
                <w:iCs/>
                <w:sz w:val="20"/>
                <w:szCs w:val="20"/>
              </w:rPr>
            </w:pPr>
          </w:p>
        </w:tc>
        <w:tc>
          <w:tcPr>
            <w:tcW w:w="865" w:type="dxa"/>
            <w:shd w:val="clear" w:color="auto" w:fill="8EAADB" w:themeFill="accent1" w:themeFillTint="99"/>
            <w:vAlign w:val="center"/>
          </w:tcPr>
          <w:p w:rsidR="009A3438" w:rsidRPr="00FC7D73" w:rsidP="00FC7D73" w14:paraId="7606DB2B" w14:textId="77777777">
            <w:pPr>
              <w:jc w:val="center"/>
              <w:rPr>
                <w:iCs/>
                <w:sz w:val="20"/>
                <w:szCs w:val="20"/>
              </w:rPr>
            </w:pPr>
          </w:p>
        </w:tc>
        <w:tc>
          <w:tcPr>
            <w:tcW w:w="1003" w:type="dxa"/>
            <w:shd w:val="clear" w:color="auto" w:fill="8EAADB" w:themeFill="accent1" w:themeFillTint="99"/>
          </w:tcPr>
          <w:p w:rsidR="009A3438" w:rsidRPr="00FC7D73" w:rsidP="00FC7D73" w14:paraId="0012E76D" w14:textId="6E1F14B4">
            <w:pPr>
              <w:jc w:val="center"/>
              <w:rPr>
                <w:iCs/>
                <w:sz w:val="20"/>
                <w:szCs w:val="20"/>
              </w:rPr>
            </w:pPr>
            <w:r w:rsidRPr="00FC7D73">
              <w:rPr>
                <w:iCs/>
                <w:sz w:val="20"/>
                <w:szCs w:val="20"/>
              </w:rPr>
              <w:t>A</w:t>
            </w:r>
          </w:p>
        </w:tc>
        <w:tc>
          <w:tcPr>
            <w:tcW w:w="1123" w:type="dxa"/>
            <w:shd w:val="clear" w:color="auto" w:fill="8EAADB" w:themeFill="accent1" w:themeFillTint="99"/>
          </w:tcPr>
          <w:p w:rsidR="009A3438" w:rsidRPr="00FC7D73" w:rsidP="00FC7D73" w14:paraId="7044FC2A" w14:textId="396A3CFF">
            <w:pPr>
              <w:jc w:val="center"/>
              <w:rPr>
                <w:iCs/>
                <w:sz w:val="20"/>
                <w:szCs w:val="20"/>
              </w:rPr>
            </w:pPr>
            <w:r w:rsidRPr="00FC7D73">
              <w:rPr>
                <w:iCs/>
                <w:sz w:val="20"/>
                <w:szCs w:val="20"/>
              </w:rPr>
              <w:t>B</w:t>
            </w:r>
          </w:p>
        </w:tc>
        <w:tc>
          <w:tcPr>
            <w:tcW w:w="1166" w:type="dxa"/>
            <w:shd w:val="clear" w:color="auto" w:fill="8EAADB" w:themeFill="accent1" w:themeFillTint="99"/>
          </w:tcPr>
          <w:p w:rsidR="009A3438" w:rsidRPr="00FC7D73" w:rsidP="00FC7D73" w14:paraId="218AC09C" w14:textId="3BB2C300">
            <w:pPr>
              <w:jc w:val="center"/>
              <w:rPr>
                <w:iCs/>
                <w:sz w:val="20"/>
                <w:szCs w:val="20"/>
              </w:rPr>
            </w:pPr>
            <w:r w:rsidRPr="00FC7D73">
              <w:rPr>
                <w:iCs/>
                <w:sz w:val="20"/>
                <w:szCs w:val="20"/>
              </w:rPr>
              <w:t>C</w:t>
            </w:r>
          </w:p>
        </w:tc>
        <w:tc>
          <w:tcPr>
            <w:tcW w:w="1571" w:type="dxa"/>
            <w:shd w:val="clear" w:color="auto" w:fill="8EAADB" w:themeFill="accent1" w:themeFillTint="99"/>
          </w:tcPr>
          <w:p w:rsidR="009A3438" w:rsidRPr="00FC7D73" w:rsidP="00FC7D73" w14:paraId="630BF0C5" w14:textId="53EFB1F6">
            <w:pPr>
              <w:jc w:val="center"/>
              <w:rPr>
                <w:iCs/>
                <w:sz w:val="20"/>
                <w:szCs w:val="20"/>
              </w:rPr>
            </w:pPr>
            <w:r w:rsidRPr="00FC7D73">
              <w:rPr>
                <w:iCs/>
                <w:sz w:val="20"/>
                <w:szCs w:val="20"/>
              </w:rPr>
              <w:t>D</w:t>
            </w:r>
          </w:p>
        </w:tc>
        <w:tc>
          <w:tcPr>
            <w:tcW w:w="1817" w:type="dxa"/>
            <w:shd w:val="clear" w:color="auto" w:fill="8EAADB" w:themeFill="accent1" w:themeFillTint="99"/>
          </w:tcPr>
          <w:p w:rsidR="009A3438" w:rsidRPr="00FC7D73" w:rsidP="00FC7D73" w14:paraId="5C209613" w14:textId="2D8B17D7">
            <w:pPr>
              <w:jc w:val="center"/>
              <w:rPr>
                <w:iCs/>
                <w:sz w:val="20"/>
                <w:szCs w:val="20"/>
              </w:rPr>
            </w:pPr>
            <w:r w:rsidRPr="00FC7D73">
              <w:rPr>
                <w:iCs/>
                <w:sz w:val="20"/>
                <w:szCs w:val="20"/>
              </w:rPr>
              <w:t>A x B x C x D</w:t>
            </w:r>
          </w:p>
        </w:tc>
      </w:tr>
      <w:tr w14:paraId="4E50488C" w14:textId="77777777" w:rsidTr="00063595">
        <w:tblPrEx>
          <w:tblW w:w="0" w:type="auto"/>
          <w:tblLook w:val="04A0"/>
        </w:tblPrEx>
        <w:tc>
          <w:tcPr>
            <w:tcW w:w="1805" w:type="dxa"/>
            <w:vAlign w:val="center"/>
          </w:tcPr>
          <w:p w:rsidR="00CE4405" w:rsidRPr="00FC7D73" w:rsidP="00FC7D73" w14:paraId="66681741" w14:textId="18D00083">
            <w:pPr>
              <w:rPr>
                <w:iCs/>
                <w:sz w:val="20"/>
                <w:szCs w:val="20"/>
              </w:rPr>
            </w:pPr>
            <w:r w:rsidRPr="00FC7D73">
              <w:rPr>
                <w:iCs/>
                <w:sz w:val="20"/>
                <w:szCs w:val="20"/>
              </w:rPr>
              <w:t>Engineer [a]</w:t>
            </w:r>
          </w:p>
        </w:tc>
        <w:tc>
          <w:tcPr>
            <w:tcW w:w="865" w:type="dxa"/>
            <w:vAlign w:val="bottom"/>
          </w:tcPr>
          <w:p w:rsidR="00CE4405" w:rsidRPr="00FC7D73" w:rsidP="00FC7D73" w14:paraId="4250FD8B" w14:textId="4EAFC564">
            <w:pPr>
              <w:jc w:val="center"/>
              <w:rPr>
                <w:iCs/>
                <w:sz w:val="20"/>
                <w:szCs w:val="20"/>
              </w:rPr>
            </w:pPr>
            <w:r w:rsidRPr="00FC7D73">
              <w:rPr>
                <w:color w:val="000000"/>
                <w:sz w:val="20"/>
                <w:szCs w:val="20"/>
              </w:rPr>
              <w:t>212100</w:t>
            </w:r>
          </w:p>
        </w:tc>
        <w:tc>
          <w:tcPr>
            <w:tcW w:w="1003" w:type="dxa"/>
            <w:vAlign w:val="bottom"/>
          </w:tcPr>
          <w:p w:rsidR="00CE4405" w:rsidRPr="00FC7D73" w:rsidP="00FC7D73" w14:paraId="381B8AAC" w14:textId="7EB056EF">
            <w:pPr>
              <w:jc w:val="center"/>
              <w:rPr>
                <w:iCs/>
                <w:sz w:val="20"/>
                <w:szCs w:val="20"/>
              </w:rPr>
            </w:pPr>
            <w:r w:rsidRPr="00FC7D73">
              <w:rPr>
                <w:color w:val="000000"/>
                <w:sz w:val="20"/>
                <w:szCs w:val="20"/>
              </w:rPr>
              <w:t xml:space="preserve">$50.59 </w:t>
            </w:r>
          </w:p>
        </w:tc>
        <w:tc>
          <w:tcPr>
            <w:tcW w:w="1123" w:type="dxa"/>
            <w:vAlign w:val="bottom"/>
          </w:tcPr>
          <w:p w:rsidR="00CE4405" w:rsidRPr="00FC7D73" w:rsidP="00FC7D73" w14:paraId="13A3C5C6" w14:textId="4E041B9D">
            <w:pPr>
              <w:jc w:val="center"/>
              <w:rPr>
                <w:iCs/>
                <w:sz w:val="20"/>
                <w:szCs w:val="20"/>
              </w:rPr>
            </w:pPr>
            <w:r w:rsidRPr="00FC7D73">
              <w:rPr>
                <w:color w:val="000000"/>
                <w:sz w:val="20"/>
                <w:szCs w:val="20"/>
              </w:rPr>
              <w:t>1.456</w:t>
            </w:r>
          </w:p>
        </w:tc>
        <w:tc>
          <w:tcPr>
            <w:tcW w:w="1166" w:type="dxa"/>
            <w:vAlign w:val="bottom"/>
          </w:tcPr>
          <w:p w:rsidR="00CE4405" w:rsidRPr="00FC7D73" w:rsidP="00FC7D73" w14:paraId="0CE6F5E1" w14:textId="0EA43B91">
            <w:pPr>
              <w:jc w:val="center"/>
              <w:rPr>
                <w:iCs/>
                <w:sz w:val="20"/>
                <w:szCs w:val="20"/>
              </w:rPr>
            </w:pPr>
            <w:r w:rsidRPr="00FC7D73">
              <w:rPr>
                <w:color w:val="000000"/>
                <w:sz w:val="20"/>
                <w:szCs w:val="20"/>
              </w:rPr>
              <w:t>1.048</w:t>
            </w:r>
          </w:p>
        </w:tc>
        <w:tc>
          <w:tcPr>
            <w:tcW w:w="1571" w:type="dxa"/>
            <w:vAlign w:val="bottom"/>
          </w:tcPr>
          <w:p w:rsidR="00CE4405" w:rsidRPr="00FC7D73" w:rsidP="00FC7D73" w14:paraId="5EA137E5" w14:textId="4D8DE1DF">
            <w:pPr>
              <w:jc w:val="center"/>
              <w:rPr>
                <w:iCs/>
                <w:sz w:val="20"/>
                <w:szCs w:val="20"/>
              </w:rPr>
            </w:pPr>
            <w:r w:rsidRPr="00FC7D73">
              <w:rPr>
                <w:color w:val="000000"/>
                <w:sz w:val="20"/>
                <w:szCs w:val="20"/>
              </w:rPr>
              <w:t>1.01</w:t>
            </w:r>
          </w:p>
        </w:tc>
        <w:tc>
          <w:tcPr>
            <w:tcW w:w="1817" w:type="dxa"/>
            <w:vAlign w:val="bottom"/>
          </w:tcPr>
          <w:p w:rsidR="00CE4405" w:rsidRPr="00FC7D73" w:rsidP="00FC7D73" w14:paraId="13736E04" w14:textId="571F0AB1">
            <w:pPr>
              <w:jc w:val="center"/>
              <w:rPr>
                <w:iCs/>
                <w:sz w:val="20"/>
                <w:szCs w:val="20"/>
              </w:rPr>
            </w:pPr>
            <w:r w:rsidRPr="00FC7D73">
              <w:rPr>
                <w:color w:val="000000"/>
                <w:sz w:val="20"/>
                <w:szCs w:val="20"/>
              </w:rPr>
              <w:t xml:space="preserve">$77.97 </w:t>
            </w:r>
          </w:p>
        </w:tc>
      </w:tr>
      <w:tr w14:paraId="2116D62F" w14:textId="77777777" w:rsidTr="00063595">
        <w:tblPrEx>
          <w:tblW w:w="0" w:type="auto"/>
          <w:tblLook w:val="04A0"/>
        </w:tblPrEx>
        <w:tc>
          <w:tcPr>
            <w:tcW w:w="1805" w:type="dxa"/>
            <w:vAlign w:val="center"/>
          </w:tcPr>
          <w:p w:rsidR="00CE4405" w:rsidRPr="00FC7D73" w:rsidP="00FC7D73" w14:paraId="78FC0C6E" w14:textId="10B56EDC">
            <w:pPr>
              <w:rPr>
                <w:iCs/>
                <w:sz w:val="20"/>
                <w:szCs w:val="20"/>
              </w:rPr>
            </w:pPr>
            <w:r w:rsidRPr="00FC7D73">
              <w:rPr>
                <w:iCs/>
                <w:sz w:val="20"/>
                <w:szCs w:val="20"/>
              </w:rPr>
              <w:t>Clerk [b]</w:t>
            </w:r>
          </w:p>
        </w:tc>
        <w:tc>
          <w:tcPr>
            <w:tcW w:w="865" w:type="dxa"/>
            <w:vAlign w:val="bottom"/>
          </w:tcPr>
          <w:p w:rsidR="00CE4405" w:rsidRPr="00FC7D73" w:rsidP="00FC7D73" w14:paraId="7875D58A" w14:textId="08075475">
            <w:pPr>
              <w:jc w:val="center"/>
              <w:rPr>
                <w:iCs/>
                <w:sz w:val="20"/>
                <w:szCs w:val="20"/>
              </w:rPr>
            </w:pPr>
            <w:r w:rsidRPr="00FC7D73">
              <w:rPr>
                <w:color w:val="000000"/>
                <w:sz w:val="20"/>
                <w:szCs w:val="20"/>
              </w:rPr>
              <w:t>212100</w:t>
            </w:r>
          </w:p>
        </w:tc>
        <w:tc>
          <w:tcPr>
            <w:tcW w:w="1003" w:type="dxa"/>
            <w:vAlign w:val="bottom"/>
          </w:tcPr>
          <w:p w:rsidR="00CE4405" w:rsidRPr="00FC7D73" w:rsidP="00FC7D73" w14:paraId="5B8DF974" w14:textId="5CEA0A9B">
            <w:pPr>
              <w:jc w:val="center"/>
              <w:rPr>
                <w:iCs/>
                <w:sz w:val="20"/>
                <w:szCs w:val="20"/>
              </w:rPr>
            </w:pPr>
            <w:r w:rsidRPr="00FC7D73">
              <w:rPr>
                <w:color w:val="000000"/>
                <w:sz w:val="20"/>
                <w:szCs w:val="20"/>
              </w:rPr>
              <w:t xml:space="preserve">$22.81 </w:t>
            </w:r>
          </w:p>
        </w:tc>
        <w:tc>
          <w:tcPr>
            <w:tcW w:w="1123" w:type="dxa"/>
            <w:vAlign w:val="bottom"/>
          </w:tcPr>
          <w:p w:rsidR="00CE4405" w:rsidRPr="00FC7D73" w:rsidP="00FC7D73" w14:paraId="70A7CDC0" w14:textId="19A5C224">
            <w:pPr>
              <w:jc w:val="center"/>
              <w:rPr>
                <w:iCs/>
                <w:sz w:val="20"/>
                <w:szCs w:val="20"/>
              </w:rPr>
            </w:pPr>
            <w:r w:rsidRPr="00FC7D73">
              <w:rPr>
                <w:color w:val="000000"/>
                <w:sz w:val="20"/>
                <w:szCs w:val="20"/>
              </w:rPr>
              <w:t>1.456</w:t>
            </w:r>
          </w:p>
        </w:tc>
        <w:tc>
          <w:tcPr>
            <w:tcW w:w="1166" w:type="dxa"/>
            <w:vAlign w:val="bottom"/>
          </w:tcPr>
          <w:p w:rsidR="00CE4405" w:rsidRPr="00FC7D73" w:rsidP="00FC7D73" w14:paraId="708D2D31" w14:textId="07158CCA">
            <w:pPr>
              <w:jc w:val="center"/>
              <w:rPr>
                <w:iCs/>
                <w:sz w:val="20"/>
                <w:szCs w:val="20"/>
              </w:rPr>
            </w:pPr>
            <w:r w:rsidRPr="00FC7D73">
              <w:rPr>
                <w:color w:val="000000"/>
                <w:sz w:val="20"/>
                <w:szCs w:val="20"/>
              </w:rPr>
              <w:t>1.048</w:t>
            </w:r>
          </w:p>
        </w:tc>
        <w:tc>
          <w:tcPr>
            <w:tcW w:w="1571" w:type="dxa"/>
            <w:vAlign w:val="bottom"/>
          </w:tcPr>
          <w:p w:rsidR="00CE4405" w:rsidRPr="00FC7D73" w:rsidP="00FC7D73" w14:paraId="5BCF5861" w14:textId="60C6CD37">
            <w:pPr>
              <w:jc w:val="center"/>
              <w:rPr>
                <w:iCs/>
                <w:sz w:val="20"/>
                <w:szCs w:val="20"/>
              </w:rPr>
            </w:pPr>
            <w:r w:rsidRPr="00FC7D73">
              <w:rPr>
                <w:color w:val="000000"/>
                <w:sz w:val="20"/>
                <w:szCs w:val="20"/>
              </w:rPr>
              <w:t>1.01</w:t>
            </w:r>
          </w:p>
        </w:tc>
        <w:tc>
          <w:tcPr>
            <w:tcW w:w="1817" w:type="dxa"/>
            <w:vAlign w:val="bottom"/>
          </w:tcPr>
          <w:p w:rsidR="00CE4405" w:rsidRPr="00FC7D73" w:rsidP="00FC7D73" w14:paraId="730BA71C" w14:textId="45BB9AC9">
            <w:pPr>
              <w:jc w:val="center"/>
              <w:rPr>
                <w:iCs/>
                <w:sz w:val="20"/>
                <w:szCs w:val="20"/>
              </w:rPr>
            </w:pPr>
            <w:r w:rsidRPr="00FC7D73">
              <w:rPr>
                <w:color w:val="000000"/>
                <w:sz w:val="20"/>
                <w:szCs w:val="20"/>
              </w:rPr>
              <w:t xml:space="preserve">$35.16 </w:t>
            </w:r>
          </w:p>
        </w:tc>
      </w:tr>
    </w:tbl>
    <w:p w:rsidR="008C1F83" w:rsidRPr="00FC7D73" w:rsidP="00FC7D73" w14:paraId="7E422526" w14:textId="77777777">
      <w:pPr>
        <w:pStyle w:val="Default"/>
        <w:rPr>
          <w:rFonts w:ascii="Times New Roman" w:hAnsi="Times New Roman" w:cs="Times New Roman"/>
          <w:sz w:val="20"/>
          <w:szCs w:val="20"/>
        </w:rPr>
      </w:pPr>
      <w:bookmarkStart w:id="26" w:name="_Hlk114568297"/>
      <w:r w:rsidRPr="00FC7D73">
        <w:rPr>
          <w:rFonts w:ascii="Times New Roman" w:hAnsi="Times New Roman" w:cs="Times New Roman"/>
          <w:sz w:val="20"/>
          <w:szCs w:val="20"/>
        </w:rPr>
        <w:t xml:space="preserve">Notes: </w:t>
      </w:r>
    </w:p>
    <w:p w:rsidR="008C1F83" w:rsidRPr="00FC7D73" w:rsidP="00FC7D73" w14:paraId="1B810AB0" w14:textId="49F8A007">
      <w:pPr>
        <w:pStyle w:val="Default"/>
        <w:rPr>
          <w:rFonts w:ascii="Times New Roman" w:hAnsi="Times New Roman" w:cs="Times New Roman"/>
          <w:sz w:val="20"/>
          <w:szCs w:val="20"/>
        </w:rPr>
      </w:pPr>
      <w:r w:rsidRPr="00FC7D73">
        <w:rPr>
          <w:rFonts w:ascii="Times New Roman" w:hAnsi="Times New Roman" w:cs="Times New Roman"/>
          <w:sz w:val="20"/>
          <w:szCs w:val="20"/>
        </w:rPr>
        <w:t xml:space="preserve">Benefit Multiplier – </w:t>
      </w:r>
      <w:r w:rsidRPr="00FC7D73" w:rsidR="00B227F0">
        <w:rPr>
          <w:rFonts w:ascii="Times New Roman" w:hAnsi="Times New Roman" w:cs="Times New Roman"/>
          <w:sz w:val="20"/>
          <w:szCs w:val="20"/>
        </w:rPr>
        <w:t>MSHA use</w:t>
      </w:r>
      <w:r w:rsidRPr="00FC7D73" w:rsidR="0045114A">
        <w:rPr>
          <w:rFonts w:ascii="Times New Roman" w:hAnsi="Times New Roman" w:cs="Times New Roman"/>
          <w:sz w:val="20"/>
          <w:szCs w:val="20"/>
        </w:rPr>
        <w:t>s</w:t>
      </w:r>
      <w:r w:rsidRPr="00FC7D73" w:rsidR="00B227F0">
        <w:rPr>
          <w:rFonts w:ascii="Times New Roman" w:hAnsi="Times New Roman" w:cs="Times New Roman"/>
          <w:sz w:val="20"/>
          <w:szCs w:val="20"/>
        </w:rPr>
        <w:t xml:space="preserve"> the latest 4-quarter moving average 202</w:t>
      </w:r>
      <w:r w:rsidRPr="00FC7D73" w:rsidR="009A3438">
        <w:rPr>
          <w:rFonts w:ascii="Times New Roman" w:hAnsi="Times New Roman" w:cs="Times New Roman"/>
          <w:sz w:val="20"/>
          <w:szCs w:val="20"/>
        </w:rPr>
        <w:t>3</w:t>
      </w:r>
      <w:r w:rsidRPr="00FC7D73" w:rsidR="00B227F0">
        <w:rPr>
          <w:rFonts w:ascii="Times New Roman" w:hAnsi="Times New Roman" w:cs="Times New Roman"/>
          <w:sz w:val="20"/>
          <w:szCs w:val="20"/>
        </w:rPr>
        <w:t>Q</w:t>
      </w:r>
      <w:r w:rsidRPr="00FC7D73" w:rsidR="00C9513A">
        <w:rPr>
          <w:rFonts w:ascii="Times New Roman" w:hAnsi="Times New Roman" w:cs="Times New Roman"/>
          <w:sz w:val="20"/>
          <w:szCs w:val="20"/>
        </w:rPr>
        <w:t>4</w:t>
      </w:r>
      <w:r w:rsidRPr="00FC7D73" w:rsidR="00B227F0">
        <w:rPr>
          <w:rFonts w:ascii="Times New Roman" w:hAnsi="Times New Roman" w:cs="Times New Roman"/>
          <w:sz w:val="20"/>
          <w:szCs w:val="20"/>
        </w:rPr>
        <w:t>-202</w:t>
      </w:r>
      <w:r w:rsidRPr="00FC7D73" w:rsidR="00EC1441">
        <w:rPr>
          <w:rFonts w:ascii="Times New Roman" w:hAnsi="Times New Roman" w:cs="Times New Roman"/>
          <w:sz w:val="20"/>
          <w:szCs w:val="20"/>
        </w:rPr>
        <w:t>4</w:t>
      </w:r>
      <w:r w:rsidRPr="00FC7D73" w:rsidR="00B227F0">
        <w:rPr>
          <w:rFonts w:ascii="Times New Roman" w:hAnsi="Times New Roman" w:cs="Times New Roman"/>
          <w:sz w:val="20"/>
          <w:szCs w:val="20"/>
        </w:rPr>
        <w:t>Q</w:t>
      </w:r>
      <w:r w:rsidRPr="00FC7D73" w:rsidR="00C9513A">
        <w:rPr>
          <w:rFonts w:ascii="Times New Roman" w:hAnsi="Times New Roman" w:cs="Times New Roman"/>
          <w:sz w:val="20"/>
          <w:szCs w:val="20"/>
        </w:rPr>
        <w:t>3</w:t>
      </w:r>
      <w:r w:rsidRPr="00FC7D73" w:rsidR="00B227F0">
        <w:rPr>
          <w:rFonts w:ascii="Times New Roman" w:hAnsi="Times New Roman" w:cs="Times New Roman"/>
          <w:sz w:val="20"/>
          <w:szCs w:val="20"/>
        </w:rPr>
        <w:t xml:space="preserve"> to determine that 3</w:t>
      </w:r>
      <w:r w:rsidRPr="00FC7D73" w:rsidR="00EC1441">
        <w:rPr>
          <w:rFonts w:ascii="Times New Roman" w:hAnsi="Times New Roman" w:cs="Times New Roman"/>
          <w:sz w:val="20"/>
          <w:szCs w:val="20"/>
        </w:rPr>
        <w:t>1</w:t>
      </w:r>
      <w:r w:rsidRPr="00FC7D73" w:rsidR="00B227F0">
        <w:rPr>
          <w:rFonts w:ascii="Times New Roman" w:hAnsi="Times New Roman" w:cs="Times New Roman"/>
          <w:sz w:val="20"/>
          <w:szCs w:val="20"/>
        </w:rPr>
        <w:t>.</w:t>
      </w:r>
      <w:r w:rsidRPr="00FC7D73" w:rsidR="00C9513A">
        <w:rPr>
          <w:rFonts w:ascii="Times New Roman" w:hAnsi="Times New Roman" w:cs="Times New Roman"/>
          <w:sz w:val="20"/>
          <w:szCs w:val="20"/>
        </w:rPr>
        <w:t>3</w:t>
      </w:r>
      <w:r w:rsidRPr="00FC7D73" w:rsidR="00B227F0">
        <w:rPr>
          <w:rFonts w:ascii="Times New Roman" w:hAnsi="Times New Roman" w:cs="Times New Roman"/>
          <w:sz w:val="20"/>
          <w:szCs w:val="20"/>
        </w:rPr>
        <w:t xml:space="preserve"> percent of total loaded wages are benefits for private industry workers in construction, extraction, farming, fishing, and forestry occupations. The benefit multiplier is 1.4</w:t>
      </w:r>
      <w:r w:rsidRPr="00FC7D73" w:rsidR="00C9513A">
        <w:rPr>
          <w:rFonts w:ascii="Times New Roman" w:hAnsi="Times New Roman" w:cs="Times New Roman"/>
          <w:sz w:val="20"/>
          <w:szCs w:val="20"/>
        </w:rPr>
        <w:t>56</w:t>
      </w:r>
      <w:r w:rsidRPr="00FC7D73" w:rsidR="00D60D9E">
        <w:rPr>
          <w:rFonts w:ascii="Times New Roman" w:hAnsi="Times New Roman" w:cs="Times New Roman"/>
          <w:sz w:val="20"/>
          <w:szCs w:val="20"/>
        </w:rPr>
        <w:t xml:space="preserve"> </w:t>
      </w:r>
      <w:r w:rsidRPr="00FC7D73" w:rsidR="00B227F0">
        <w:rPr>
          <w:rFonts w:ascii="Times New Roman" w:hAnsi="Times New Roman" w:cs="Times New Roman"/>
          <w:sz w:val="20"/>
          <w:szCs w:val="20"/>
        </w:rPr>
        <w:t>= 1+(0.3</w:t>
      </w:r>
      <w:r w:rsidRPr="00FC7D73" w:rsidR="00EC1441">
        <w:rPr>
          <w:rFonts w:ascii="Times New Roman" w:hAnsi="Times New Roman" w:cs="Times New Roman"/>
          <w:sz w:val="20"/>
          <w:szCs w:val="20"/>
        </w:rPr>
        <w:t>1</w:t>
      </w:r>
      <w:r w:rsidRPr="00FC7D73" w:rsidR="00C9513A">
        <w:rPr>
          <w:rFonts w:ascii="Times New Roman" w:hAnsi="Times New Roman" w:cs="Times New Roman"/>
          <w:sz w:val="20"/>
          <w:szCs w:val="20"/>
        </w:rPr>
        <w:t>3</w:t>
      </w:r>
      <w:r w:rsidRPr="00FC7D73" w:rsidR="002D454B">
        <w:rPr>
          <w:rFonts w:ascii="Times New Roman" w:hAnsi="Times New Roman" w:cs="Times New Roman"/>
          <w:sz w:val="20"/>
          <w:szCs w:val="20"/>
        </w:rPr>
        <w:t>/ (</w:t>
      </w:r>
      <w:r w:rsidRPr="00FC7D73" w:rsidR="00B227F0">
        <w:rPr>
          <w:rFonts w:ascii="Times New Roman" w:hAnsi="Times New Roman" w:cs="Times New Roman"/>
          <w:sz w:val="20"/>
          <w:szCs w:val="20"/>
        </w:rPr>
        <w:t>1-0.3</w:t>
      </w:r>
      <w:r w:rsidRPr="00FC7D73" w:rsidR="00EC1441">
        <w:rPr>
          <w:rFonts w:ascii="Times New Roman" w:hAnsi="Times New Roman" w:cs="Times New Roman"/>
          <w:sz w:val="20"/>
          <w:szCs w:val="20"/>
        </w:rPr>
        <w:t>1</w:t>
      </w:r>
      <w:r w:rsidRPr="00FC7D73" w:rsidR="00C9513A">
        <w:rPr>
          <w:rFonts w:ascii="Times New Roman" w:hAnsi="Times New Roman" w:cs="Times New Roman"/>
          <w:sz w:val="20"/>
          <w:szCs w:val="20"/>
        </w:rPr>
        <w:t>3</w:t>
      </w:r>
      <w:r w:rsidRPr="00FC7D73" w:rsidR="00B227F0">
        <w:rPr>
          <w:rFonts w:ascii="Times New Roman" w:hAnsi="Times New Roman" w:cs="Times New Roman"/>
          <w:sz w:val="20"/>
          <w:szCs w:val="20"/>
        </w:rPr>
        <w:t xml:space="preserve">)). </w:t>
      </w:r>
    </w:p>
    <w:p w:rsidR="008C1F83" w:rsidRPr="00FC7D73" w:rsidP="00FC7D73" w14:paraId="73F07397" w14:textId="487E3452">
      <w:pPr>
        <w:pStyle w:val="Default"/>
        <w:rPr>
          <w:rFonts w:ascii="Times New Roman" w:hAnsi="Times New Roman" w:cs="Times New Roman"/>
          <w:sz w:val="20"/>
          <w:szCs w:val="20"/>
        </w:rPr>
      </w:pPr>
      <w:r w:rsidRPr="00FC7D73">
        <w:rPr>
          <w:rFonts w:ascii="Times New Roman" w:hAnsi="Times New Roman" w:cs="Times New Roman"/>
          <w:sz w:val="20"/>
          <w:szCs w:val="20"/>
        </w:rPr>
        <w:t xml:space="preserve">Inflation Multiplier – </w:t>
      </w:r>
      <w:r w:rsidRPr="00FC7D73" w:rsidR="00B227F0">
        <w:rPr>
          <w:rFonts w:ascii="Times New Roman" w:hAnsi="Times New Roman" w:cs="Times New Roman"/>
          <w:sz w:val="20"/>
          <w:szCs w:val="20"/>
        </w:rPr>
        <w:t xml:space="preserve">The inflation multiplier </w:t>
      </w:r>
      <w:r w:rsidRPr="00FC7D73" w:rsidR="0045114A">
        <w:rPr>
          <w:rFonts w:ascii="Times New Roman" w:hAnsi="Times New Roman" w:cs="Times New Roman"/>
          <w:sz w:val="20"/>
          <w:szCs w:val="20"/>
        </w:rPr>
        <w:t>i</w:t>
      </w:r>
      <w:r w:rsidRPr="00FC7D73" w:rsidR="00B227F0">
        <w:rPr>
          <w:rFonts w:ascii="Times New Roman" w:hAnsi="Times New Roman" w:cs="Times New Roman"/>
          <w:sz w:val="20"/>
          <w:szCs w:val="20"/>
        </w:rPr>
        <w:t>s determined by using the employment price index from the most current quarter, 202</w:t>
      </w:r>
      <w:r w:rsidRPr="00FC7D73" w:rsidR="00EC1441">
        <w:rPr>
          <w:rFonts w:ascii="Times New Roman" w:hAnsi="Times New Roman" w:cs="Times New Roman"/>
          <w:sz w:val="20"/>
          <w:szCs w:val="20"/>
        </w:rPr>
        <w:t>4</w:t>
      </w:r>
      <w:r w:rsidRPr="00FC7D73" w:rsidR="00B227F0">
        <w:rPr>
          <w:rFonts w:ascii="Times New Roman" w:hAnsi="Times New Roman" w:cs="Times New Roman"/>
          <w:sz w:val="20"/>
          <w:szCs w:val="20"/>
        </w:rPr>
        <w:t>Q</w:t>
      </w:r>
      <w:r w:rsidRPr="00FC7D73" w:rsidR="00C9513A">
        <w:rPr>
          <w:rFonts w:ascii="Times New Roman" w:hAnsi="Times New Roman" w:cs="Times New Roman"/>
          <w:sz w:val="20"/>
          <w:szCs w:val="20"/>
        </w:rPr>
        <w:t>3</w:t>
      </w:r>
      <w:r w:rsidRPr="00FC7D73" w:rsidR="00B227F0">
        <w:rPr>
          <w:rFonts w:ascii="Times New Roman" w:hAnsi="Times New Roman" w:cs="Times New Roman"/>
          <w:sz w:val="20"/>
          <w:szCs w:val="20"/>
        </w:rPr>
        <w:t>, divided by the base year and quarter of the OEWS employment and wage statistics, 20</w:t>
      </w:r>
      <w:r w:rsidRPr="00FC7D73" w:rsidR="009A3438">
        <w:rPr>
          <w:rFonts w:ascii="Times New Roman" w:hAnsi="Times New Roman" w:cs="Times New Roman"/>
          <w:sz w:val="20"/>
          <w:szCs w:val="20"/>
        </w:rPr>
        <w:t>23</w:t>
      </w:r>
      <w:r w:rsidRPr="00FC7D73" w:rsidR="00B227F0">
        <w:rPr>
          <w:rFonts w:ascii="Times New Roman" w:hAnsi="Times New Roman" w:cs="Times New Roman"/>
          <w:sz w:val="20"/>
          <w:szCs w:val="20"/>
        </w:rPr>
        <w:t>Q2, for private industry workers in construction, extraction, farming, fishing, and forestry occupations, current dollar index. The inflation multiplier is 1.0</w:t>
      </w:r>
      <w:r w:rsidRPr="00FC7D73" w:rsidR="00C9513A">
        <w:rPr>
          <w:rFonts w:ascii="Times New Roman" w:hAnsi="Times New Roman" w:cs="Times New Roman"/>
          <w:sz w:val="20"/>
          <w:szCs w:val="20"/>
        </w:rPr>
        <w:t>48</w:t>
      </w:r>
      <w:r w:rsidRPr="00FC7D73" w:rsidR="00B227F0">
        <w:rPr>
          <w:rFonts w:ascii="Times New Roman" w:hAnsi="Times New Roman" w:cs="Times New Roman"/>
          <w:sz w:val="20"/>
          <w:szCs w:val="20"/>
        </w:rPr>
        <w:t xml:space="preserve"> = </w:t>
      </w:r>
      <w:r w:rsidRPr="00FC7D73" w:rsidR="009A3438">
        <w:rPr>
          <w:rFonts w:ascii="Times New Roman" w:hAnsi="Times New Roman" w:cs="Times New Roman"/>
          <w:sz w:val="20"/>
          <w:szCs w:val="20"/>
        </w:rPr>
        <w:t>16</w:t>
      </w:r>
      <w:r w:rsidRPr="00FC7D73" w:rsidR="00C9513A">
        <w:rPr>
          <w:rFonts w:ascii="Times New Roman" w:hAnsi="Times New Roman" w:cs="Times New Roman"/>
          <w:sz w:val="20"/>
          <w:szCs w:val="20"/>
        </w:rPr>
        <w:t>4.8</w:t>
      </w:r>
      <w:r w:rsidRPr="00FC7D73" w:rsidR="00B227F0">
        <w:rPr>
          <w:rFonts w:ascii="Times New Roman" w:hAnsi="Times New Roman" w:cs="Times New Roman"/>
          <w:sz w:val="20"/>
          <w:szCs w:val="20"/>
        </w:rPr>
        <w:t>/</w:t>
      </w:r>
      <w:r w:rsidRPr="00FC7D73" w:rsidR="009A3438">
        <w:rPr>
          <w:rFonts w:ascii="Times New Roman" w:hAnsi="Times New Roman" w:cs="Times New Roman"/>
          <w:sz w:val="20"/>
          <w:szCs w:val="20"/>
        </w:rPr>
        <w:t>157.3</w:t>
      </w:r>
      <w:r w:rsidRPr="00FC7D73" w:rsidR="00B227F0">
        <w:rPr>
          <w:rFonts w:ascii="Times New Roman" w:hAnsi="Times New Roman" w:cs="Times New Roman"/>
          <w:sz w:val="20"/>
          <w:szCs w:val="20"/>
        </w:rPr>
        <w:t xml:space="preserve">. </w:t>
      </w:r>
    </w:p>
    <w:p w:rsidR="00B227F0" w:rsidRPr="00FC7D73" w:rsidP="00FC7D73" w14:paraId="79FBD567" w14:textId="662A61F9">
      <w:pPr>
        <w:pStyle w:val="Default"/>
        <w:rPr>
          <w:rFonts w:ascii="Times New Roman" w:hAnsi="Times New Roman" w:cs="Times New Roman"/>
          <w:sz w:val="20"/>
          <w:szCs w:val="20"/>
        </w:rPr>
      </w:pPr>
      <w:bookmarkStart w:id="27" w:name="_Hlk190781081"/>
      <w:r w:rsidRPr="00FC7D73">
        <w:rPr>
          <w:rFonts w:ascii="Times New Roman" w:hAnsi="Times New Roman" w:cs="Times New Roman"/>
          <w:sz w:val="20"/>
          <w:szCs w:val="20"/>
        </w:rPr>
        <w:t xml:space="preserve">Overhead Multiplier – </w:t>
      </w:r>
      <w:r w:rsidRPr="00FC7D73">
        <w:rPr>
          <w:rFonts w:ascii="Times New Roman" w:hAnsi="Times New Roman" w:cs="Times New Roman"/>
          <w:sz w:val="20"/>
          <w:szCs w:val="20"/>
        </w:rPr>
        <w:t>MSHA use</w:t>
      </w:r>
      <w:r w:rsidRPr="00FC7D73" w:rsidR="0045114A">
        <w:rPr>
          <w:rFonts w:ascii="Times New Roman" w:hAnsi="Times New Roman" w:cs="Times New Roman"/>
          <w:sz w:val="20"/>
          <w:szCs w:val="20"/>
        </w:rPr>
        <w:t>s</w:t>
      </w:r>
      <w:r w:rsidRPr="00FC7D73">
        <w:rPr>
          <w:rFonts w:ascii="Times New Roman" w:hAnsi="Times New Roman" w:cs="Times New Roman"/>
          <w:sz w:val="20"/>
          <w:szCs w:val="20"/>
        </w:rPr>
        <w:t xml:space="preserve"> the overhead multiplier of 1.</w:t>
      </w:r>
      <w:r w:rsidRPr="00FC7D73" w:rsidR="00F430D7">
        <w:rPr>
          <w:rFonts w:ascii="Times New Roman" w:hAnsi="Times New Roman" w:cs="Times New Roman"/>
          <w:sz w:val="20"/>
          <w:szCs w:val="20"/>
        </w:rPr>
        <w:t>01</w:t>
      </w:r>
      <w:r w:rsidRPr="00FC7D73">
        <w:rPr>
          <w:rFonts w:ascii="Times New Roman" w:hAnsi="Times New Roman" w:cs="Times New Roman"/>
          <w:sz w:val="20"/>
          <w:szCs w:val="20"/>
        </w:rPr>
        <w:t>.</w:t>
      </w:r>
    </w:p>
    <w:bookmarkEnd w:id="27"/>
    <w:p w:rsidR="008F7DDE" w:rsidRPr="00FC7D73" w:rsidP="00FC7D73" w14:paraId="04238A0B" w14:textId="27B6CAAC">
      <w:pPr>
        <w:rPr>
          <w:sz w:val="20"/>
          <w:szCs w:val="20"/>
        </w:rPr>
      </w:pPr>
      <w:r w:rsidRPr="00FC7D73">
        <w:rPr>
          <w:sz w:val="20"/>
          <w:szCs w:val="20"/>
        </w:rPr>
        <w:t xml:space="preserve">[a] </w:t>
      </w:r>
      <w:r w:rsidRPr="00FC7D73">
        <w:rPr>
          <w:sz w:val="20"/>
          <w:szCs w:val="20"/>
        </w:rPr>
        <w:t>The Standard Occupation Codes (SOC</w:t>
      </w:r>
      <w:r w:rsidRPr="00FC7D73" w:rsidR="00200E84">
        <w:rPr>
          <w:sz w:val="20"/>
          <w:szCs w:val="20"/>
        </w:rPr>
        <w:t>s</w:t>
      </w:r>
      <w:r w:rsidRPr="00FC7D73">
        <w:rPr>
          <w:sz w:val="20"/>
          <w:szCs w:val="20"/>
        </w:rPr>
        <w:t xml:space="preserve">) used for this occupation are </w:t>
      </w:r>
      <w:r w:rsidRPr="00FC7D73" w:rsidR="00CE4405">
        <w:rPr>
          <w:sz w:val="20"/>
          <w:szCs w:val="20"/>
        </w:rPr>
        <w:t>(17-2071), (17-2081), (17-2112), (17-2141), and (17-2151).</w:t>
      </w:r>
    </w:p>
    <w:p w:rsidR="008F7DDE" w:rsidRPr="00FC7D73" w:rsidP="00FC7D73" w14:paraId="6273679D" w14:textId="7B4C816B">
      <w:pPr>
        <w:rPr>
          <w:sz w:val="20"/>
          <w:szCs w:val="20"/>
        </w:rPr>
      </w:pPr>
      <w:r w:rsidRPr="00FC7D73">
        <w:rPr>
          <w:sz w:val="20"/>
          <w:szCs w:val="20"/>
        </w:rPr>
        <w:t>[b]</w:t>
      </w:r>
      <w:r w:rsidRPr="00FC7D73">
        <w:rPr>
          <w:sz w:val="20"/>
          <w:szCs w:val="20"/>
        </w:rPr>
        <w:t xml:space="preserve"> The SOC</w:t>
      </w:r>
      <w:r w:rsidRPr="00FC7D73" w:rsidR="00236BA7">
        <w:rPr>
          <w:sz w:val="20"/>
          <w:szCs w:val="20"/>
        </w:rPr>
        <w:t>s</w:t>
      </w:r>
      <w:r w:rsidRPr="00FC7D73">
        <w:rPr>
          <w:sz w:val="20"/>
          <w:szCs w:val="20"/>
        </w:rPr>
        <w:t xml:space="preserve"> used for this occupation are</w:t>
      </w:r>
      <w:r w:rsidRPr="00FC7D73" w:rsidR="009A3438">
        <w:rPr>
          <w:sz w:val="20"/>
          <w:szCs w:val="20"/>
        </w:rPr>
        <w:t xml:space="preserve"> </w:t>
      </w:r>
      <w:r w:rsidRPr="00FC7D73">
        <w:rPr>
          <w:sz w:val="20"/>
          <w:szCs w:val="20"/>
        </w:rPr>
        <w:t>(43-3031),</w:t>
      </w:r>
      <w:r w:rsidRPr="00FC7D73" w:rsidR="009A3438">
        <w:rPr>
          <w:sz w:val="20"/>
          <w:szCs w:val="20"/>
        </w:rPr>
        <w:t xml:space="preserve"> (43-3051), (43-3061), </w:t>
      </w:r>
      <w:r w:rsidRPr="00FC7D73">
        <w:rPr>
          <w:sz w:val="20"/>
          <w:szCs w:val="20"/>
        </w:rPr>
        <w:t>(43-5071), and (43-9061).</w:t>
      </w:r>
    </w:p>
    <w:bookmarkEnd w:id="26"/>
    <w:p w:rsidR="008F7DDE" w:rsidRPr="00FC7D73" w:rsidP="00FC7D73" w14:paraId="005AE4E8" w14:textId="77777777"/>
    <w:p w:rsidR="00EF6FFF" w:rsidRPr="00FC7D73" w:rsidP="00FC7D73" w14:paraId="1DD45F20" w14:textId="047E1DAF">
      <w:pPr>
        <w:widowControl/>
        <w:autoSpaceDE/>
        <w:autoSpaceDN/>
        <w:adjustRightInd/>
        <w:rPr>
          <w:b/>
          <w:bCs/>
          <w:color w:val="000000"/>
        </w:rPr>
      </w:pPr>
      <w:bookmarkStart w:id="28" w:name="_Hlk114568327"/>
    </w:p>
    <w:p w:rsidR="00EA6474" w:rsidRPr="00FC7D73" w:rsidP="00FC7D73" w14:paraId="18F91EEC" w14:textId="6E5068E1">
      <w:pPr>
        <w:pStyle w:val="Default"/>
        <w:rPr>
          <w:rFonts w:ascii="Times New Roman" w:hAnsi="Times New Roman" w:cs="Times New Roman"/>
          <w:b/>
          <w:bCs/>
        </w:rPr>
      </w:pPr>
      <w:r w:rsidRPr="00FC7D73">
        <w:rPr>
          <w:rFonts w:ascii="Times New Roman" w:hAnsi="Times New Roman" w:cs="Times New Roman"/>
          <w:b/>
          <w:bCs/>
        </w:rPr>
        <w:t>Hour Burden</w:t>
      </w:r>
    </w:p>
    <w:p w:rsidR="00EA6474" w:rsidRPr="00FC7D73" w:rsidP="00FC7D73" w14:paraId="4E72742E" w14:textId="77777777">
      <w:pPr>
        <w:pStyle w:val="Default"/>
        <w:rPr>
          <w:rFonts w:ascii="Times New Roman" w:hAnsi="Times New Roman" w:cs="Times New Roman"/>
          <w:b/>
          <w:bCs/>
        </w:rPr>
      </w:pPr>
    </w:p>
    <w:p w:rsidR="0005598E" w:rsidRPr="00FC7D73" w:rsidP="00FC7D73" w14:paraId="3BD81922" w14:textId="25BEE29C">
      <w:pPr>
        <w:pStyle w:val="Default"/>
        <w:rPr>
          <w:rFonts w:ascii="Times New Roman" w:hAnsi="Times New Roman" w:cs="Times New Roman"/>
          <w:b/>
          <w:bCs/>
          <w:color w:val="auto"/>
        </w:rPr>
      </w:pPr>
      <w:r w:rsidRPr="00FC7D73">
        <w:rPr>
          <w:rFonts w:ascii="Times New Roman" w:hAnsi="Times New Roman" w:cs="Times New Roman"/>
          <w:b/>
          <w:bCs/>
          <w:color w:val="auto"/>
        </w:rPr>
        <w:t>I-2. Manufacturers Preparing and Submitting Applications for CMDPSUs</w:t>
      </w:r>
    </w:p>
    <w:p w:rsidR="0005598E" w:rsidRPr="00FC7D73" w:rsidP="00FC7D73" w14:paraId="24D5F628" w14:textId="17FA5907">
      <w:pPr>
        <w:pStyle w:val="Default"/>
        <w:rPr>
          <w:rFonts w:ascii="Times New Roman" w:hAnsi="Times New Roman" w:cs="Times New Roman"/>
          <w:b/>
          <w:bCs/>
          <w:color w:val="auto"/>
        </w:rPr>
      </w:pPr>
      <w:r w:rsidRPr="00FC7D73">
        <w:rPr>
          <w:rFonts w:ascii="Times New Roman" w:hAnsi="Times New Roman" w:cs="Times New Roman"/>
          <w:b/>
          <w:bCs/>
          <w:color w:val="auto"/>
        </w:rPr>
        <w:t>II-2. Manufacturers Preparing and Submitting Applications for CPDMs</w:t>
      </w:r>
    </w:p>
    <w:p w:rsidR="00C9151F" w:rsidRPr="00FC7D73" w:rsidP="00FC7D73" w14:paraId="606B33B9" w14:textId="77777777">
      <w:pPr>
        <w:rPr>
          <w:b/>
          <w:bCs/>
        </w:rPr>
      </w:pPr>
    </w:p>
    <w:p w:rsidR="003C11A4" w:rsidRPr="00FC7D73" w:rsidP="00FC7D73" w14:paraId="79F0A812" w14:textId="416CEAB9">
      <w:pPr>
        <w:pStyle w:val="BodyText"/>
        <w:spacing w:after="0"/>
      </w:pPr>
      <w:r w:rsidRPr="00FC7D73">
        <w:t>Under 30 CFR</w:t>
      </w:r>
      <w:r w:rsidRPr="00FC7D73" w:rsidR="00A53152">
        <w:t xml:space="preserve"> </w:t>
      </w:r>
      <w:r w:rsidRPr="00FC7D73">
        <w:t>74.13</w:t>
      </w:r>
      <w:r w:rsidRPr="00FC7D73" w:rsidR="00A53152">
        <w:t>(a)</w:t>
      </w:r>
      <w:r w:rsidRPr="00FC7D73" w:rsidR="009E6C3C">
        <w:t xml:space="preserve"> and </w:t>
      </w:r>
      <w:r w:rsidRPr="00FC7D73">
        <w:t>(b), an engineer must submit a written application for approval</w:t>
      </w:r>
      <w:r w:rsidRPr="00FC7D73" w:rsidR="00216948">
        <w:t xml:space="preserve"> of a </w:t>
      </w:r>
      <w:r w:rsidRPr="00FC7D73" w:rsidR="006D0CDA">
        <w:t>device</w:t>
      </w:r>
      <w:r w:rsidRPr="00FC7D73">
        <w:t xml:space="preserve"> to MSHA. </w:t>
      </w:r>
    </w:p>
    <w:p w:rsidR="003C11A4" w:rsidRPr="00FC7D73" w:rsidP="00FC7D73" w14:paraId="19E0FAC7" w14:textId="77777777">
      <w:pPr>
        <w:pStyle w:val="BodyText"/>
        <w:spacing w:after="0"/>
      </w:pPr>
    </w:p>
    <w:p w:rsidR="00A85130" w:rsidRPr="00FC7D73" w:rsidP="00FC7D73" w14:paraId="751D87F8" w14:textId="7A361CE2">
      <w:pPr>
        <w:pStyle w:val="BodyText"/>
        <w:spacing w:after="0"/>
      </w:pPr>
      <w:r w:rsidRPr="00FC7D73">
        <w:t xml:space="preserve">MSHA </w:t>
      </w:r>
      <w:r w:rsidRPr="00FC7D73" w:rsidR="00ED50FE">
        <w:t xml:space="preserve">assumes </w:t>
      </w:r>
      <w:r w:rsidRPr="00FC7D73">
        <w:t xml:space="preserve">that there is one application submission </w:t>
      </w:r>
      <w:r w:rsidRPr="00FC7D73" w:rsidR="00C9151F">
        <w:t xml:space="preserve">for either a CMDPSU or a CPDM device </w:t>
      </w:r>
      <w:r w:rsidRPr="00FC7D73">
        <w:t xml:space="preserve">annually. </w:t>
      </w:r>
      <w:r w:rsidRPr="00FC7D73">
        <w:t xml:space="preserve">MSHA estimates that it takes an engineer, earning $77.97 per hour, a total of 40 hours to prepare and compile the materials needed to accompany an application. </w:t>
      </w:r>
    </w:p>
    <w:p w:rsidR="00A85130" w:rsidRPr="00FC7D73" w:rsidP="00FC7D73" w14:paraId="08F62604" w14:textId="77777777">
      <w:pPr>
        <w:pStyle w:val="BodyText"/>
        <w:spacing w:after="0"/>
      </w:pPr>
    </w:p>
    <w:p w:rsidR="00A85130" w:rsidRPr="00FC7D73" w:rsidP="00FC7D73" w14:paraId="661D10BD" w14:textId="0166A244">
      <w:pPr>
        <w:pStyle w:val="BodyText"/>
        <w:spacing w:after="0"/>
      </w:pPr>
      <w:r w:rsidRPr="00FC7D73">
        <w:t xml:space="preserve">MSHA also assumes that the clerical worker will compile the </w:t>
      </w:r>
      <w:r w:rsidRPr="00FC7D73" w:rsidR="0027285F">
        <w:t>application material, including testing results</w:t>
      </w:r>
      <w:r w:rsidRPr="00FC7D73">
        <w:t xml:space="preserve">. MSHA estimates that </w:t>
      </w:r>
      <w:r w:rsidRPr="00FC7D73" w:rsidR="00EF6E6E">
        <w:t>for each application</w:t>
      </w:r>
      <w:r w:rsidRPr="00FC7D73" w:rsidR="00885BB5">
        <w:t>,</w:t>
      </w:r>
      <w:r w:rsidRPr="00FC7D73" w:rsidR="00EF6E6E">
        <w:t xml:space="preserve"> four copies will be </w:t>
      </w:r>
      <w:r w:rsidRPr="00FC7D73" w:rsidR="002838E6">
        <w:t>made, including a written application in duplicate sent to MSHA and two duplicates for recordkeeping</w:t>
      </w:r>
      <w:r w:rsidRPr="00FC7D73">
        <w:t xml:space="preserve">. </w:t>
      </w:r>
      <w:r w:rsidRPr="00FC7D73">
        <w:t>MSHA estimates that it takes a clerical employee, earning $35.16 per hour, 15 minute</w:t>
      </w:r>
      <w:r w:rsidRPr="00FC7D73" w:rsidR="00D37760">
        <w:t xml:space="preserve">s </w:t>
      </w:r>
      <w:r w:rsidRPr="00FC7D73" w:rsidR="00333DD6">
        <w:t xml:space="preserve">to </w:t>
      </w:r>
      <w:r w:rsidRPr="00FC7D73">
        <w:t xml:space="preserve">copy and </w:t>
      </w:r>
      <w:r w:rsidRPr="00FC7D73" w:rsidR="005E4A1F">
        <w:t xml:space="preserve">mail </w:t>
      </w:r>
      <w:r w:rsidRPr="00FC7D73">
        <w:t>a</w:t>
      </w:r>
      <w:r w:rsidRPr="00FC7D73">
        <w:t xml:space="preserve"> copy </w:t>
      </w:r>
      <w:r w:rsidRPr="00FC7D73" w:rsidR="002838E6">
        <w:t xml:space="preserve">of </w:t>
      </w:r>
      <w:r w:rsidRPr="00FC7D73" w:rsidR="005E4A1F">
        <w:t xml:space="preserve">each </w:t>
      </w:r>
      <w:r w:rsidRPr="00FC7D73">
        <w:t xml:space="preserve">application. </w:t>
      </w:r>
    </w:p>
    <w:bookmarkEnd w:id="28"/>
    <w:p w:rsidR="008F7DDE" w:rsidRPr="00FC7D73" w:rsidP="00FC7D73" w14:paraId="75BF07C9" w14:textId="77777777">
      <w:pPr>
        <w:autoSpaceDE/>
        <w:autoSpaceDN/>
        <w:adjustRightInd/>
      </w:pPr>
    </w:p>
    <w:p w:rsidR="00052BD8" w:rsidRPr="00FC7D73" w:rsidP="00FC7D73" w14:paraId="7FF16E26" w14:textId="5A13857A">
      <w:pPr>
        <w:widowControl/>
        <w:autoSpaceDE/>
        <w:autoSpaceDN/>
        <w:adjustRightInd/>
        <w:rPr>
          <w:b/>
          <w:bCs/>
          <w:color w:val="000000"/>
        </w:rPr>
      </w:pPr>
      <w:bookmarkStart w:id="29" w:name="_Hlk114568917"/>
      <w:r w:rsidRPr="00FC7D73">
        <w:rPr>
          <w:b/>
          <w:bCs/>
          <w:color w:val="000000"/>
        </w:rPr>
        <w:t>Table 12-</w:t>
      </w:r>
      <w:r w:rsidRPr="00FC7D73" w:rsidR="00C152CB">
        <w:rPr>
          <w:b/>
          <w:bCs/>
          <w:color w:val="000000"/>
        </w:rPr>
        <w:t>2</w:t>
      </w:r>
      <w:r w:rsidRPr="00FC7D73">
        <w:rPr>
          <w:b/>
          <w:bCs/>
          <w:color w:val="000000"/>
        </w:rPr>
        <w:t xml:space="preserve">. Estimated Annual Respondent Hour and Cost Burden, </w:t>
      </w:r>
      <w:r w:rsidRPr="00FC7D73" w:rsidR="0006793E">
        <w:rPr>
          <w:b/>
          <w:bCs/>
        </w:rPr>
        <w:t>Prepar</w:t>
      </w:r>
      <w:r w:rsidRPr="00FC7D73" w:rsidR="00C152CB">
        <w:rPr>
          <w:b/>
          <w:bCs/>
        </w:rPr>
        <w:t>ing</w:t>
      </w:r>
      <w:r w:rsidRPr="00FC7D73" w:rsidR="0006793E">
        <w:rPr>
          <w:b/>
          <w:bCs/>
        </w:rPr>
        <w:t xml:space="preserve"> and </w:t>
      </w:r>
      <w:r w:rsidRPr="00FC7D73" w:rsidR="00C152CB">
        <w:rPr>
          <w:b/>
          <w:bCs/>
        </w:rPr>
        <w:t xml:space="preserve">Submitting </w:t>
      </w:r>
      <w:r w:rsidRPr="00FC7D73" w:rsidR="0006793E">
        <w:rPr>
          <w:b/>
          <w:bCs/>
        </w:rPr>
        <w:t>Applications</w:t>
      </w:r>
      <w:r w:rsidRPr="00FC7D73" w:rsidR="0006793E">
        <w:rPr>
          <w:b/>
          <w:bCs/>
          <w:color w:val="000000"/>
        </w:rPr>
        <w:t xml:space="preserve"> </w:t>
      </w:r>
      <w:r w:rsidRPr="00FC7D73" w:rsidR="00B34543">
        <w:rPr>
          <w:b/>
          <w:bCs/>
          <w:color w:val="000000"/>
        </w:rPr>
        <w:t>(30 CFR 74.13</w:t>
      </w:r>
      <w:r w:rsidRPr="00FC7D73" w:rsidR="009E6C3C">
        <w:rPr>
          <w:b/>
          <w:bCs/>
          <w:color w:val="000000"/>
        </w:rPr>
        <w:t xml:space="preserve">(a) and </w:t>
      </w:r>
      <w:r w:rsidRPr="00FC7D73" w:rsidR="00B34543">
        <w:rPr>
          <w:b/>
          <w:bCs/>
          <w:color w:val="000000"/>
        </w:rPr>
        <w:t>(b))</w:t>
      </w:r>
    </w:p>
    <w:tbl>
      <w:tblPr>
        <w:tblStyle w:val="TableGrid"/>
        <w:tblW w:w="9715" w:type="dxa"/>
        <w:tblLayout w:type="fixed"/>
        <w:tblLook w:val="04A0"/>
      </w:tblPr>
      <w:tblGrid>
        <w:gridCol w:w="1345"/>
        <w:gridCol w:w="1530"/>
        <w:gridCol w:w="1260"/>
        <w:gridCol w:w="1440"/>
        <w:gridCol w:w="1080"/>
        <w:gridCol w:w="990"/>
        <w:gridCol w:w="990"/>
        <w:gridCol w:w="1080"/>
      </w:tblGrid>
      <w:tr w14:paraId="25A98629" w14:textId="77777777" w:rsidTr="00487082">
        <w:tblPrEx>
          <w:tblW w:w="9715" w:type="dxa"/>
          <w:tblLayout w:type="fixed"/>
          <w:tblLook w:val="04A0"/>
        </w:tblPrEx>
        <w:trPr>
          <w:trHeight w:val="747"/>
        </w:trPr>
        <w:tc>
          <w:tcPr>
            <w:tcW w:w="1345" w:type="dxa"/>
            <w:shd w:val="clear" w:color="auto" w:fill="8EAADB" w:themeFill="accent1" w:themeFillTint="99"/>
            <w:vAlign w:val="center"/>
            <w:hideMark/>
          </w:tcPr>
          <w:p w:rsidR="008F7DDE" w:rsidRPr="00FC7D73" w:rsidP="00FC7D73" w14:paraId="77F9E0DB" w14:textId="62C65A13">
            <w:pPr>
              <w:widowControl/>
              <w:autoSpaceDE/>
              <w:autoSpaceDN/>
              <w:adjustRightInd/>
              <w:rPr>
                <w:rFonts w:eastAsiaTheme="minorHAnsi"/>
                <w:sz w:val="20"/>
                <w:szCs w:val="20"/>
              </w:rPr>
            </w:pPr>
            <w:bookmarkStart w:id="30" w:name="_Hlk114568834"/>
            <w:bookmarkEnd w:id="29"/>
            <w:r w:rsidRPr="00FC7D73">
              <w:rPr>
                <w:rFonts w:eastAsiaTheme="minorHAnsi"/>
                <w:sz w:val="20"/>
                <w:szCs w:val="20"/>
              </w:rPr>
              <w:t>Activity (</w:t>
            </w:r>
            <w:r w:rsidRPr="00FC7D73">
              <w:rPr>
                <w:rFonts w:eastAsiaTheme="minorHAnsi"/>
                <w:sz w:val="20"/>
                <w:szCs w:val="20"/>
              </w:rPr>
              <w:t>Occupation</w:t>
            </w:r>
            <w:r w:rsidRPr="00FC7D73">
              <w:rPr>
                <w:rFonts w:eastAsiaTheme="minorHAnsi"/>
                <w:sz w:val="20"/>
                <w:szCs w:val="20"/>
              </w:rPr>
              <w:t>)</w:t>
            </w:r>
          </w:p>
        </w:tc>
        <w:tc>
          <w:tcPr>
            <w:tcW w:w="1530" w:type="dxa"/>
            <w:shd w:val="clear" w:color="auto" w:fill="8EAADB" w:themeFill="accent1" w:themeFillTint="99"/>
            <w:vAlign w:val="center"/>
            <w:hideMark/>
          </w:tcPr>
          <w:p w:rsidR="008F7DDE" w:rsidRPr="00FC7D73" w:rsidP="00FC7D73" w14:paraId="03098F4A" w14:textId="77777777">
            <w:pPr>
              <w:widowControl/>
              <w:autoSpaceDE/>
              <w:autoSpaceDN/>
              <w:adjustRightInd/>
              <w:jc w:val="center"/>
              <w:rPr>
                <w:rFonts w:eastAsiaTheme="minorHAnsi"/>
                <w:sz w:val="20"/>
                <w:szCs w:val="20"/>
              </w:rPr>
            </w:pPr>
            <w:r w:rsidRPr="00FC7D73">
              <w:rPr>
                <w:rFonts w:eastAsiaTheme="minorHAnsi"/>
                <w:sz w:val="20"/>
                <w:szCs w:val="20"/>
              </w:rPr>
              <w:t xml:space="preserve">Number of </w:t>
            </w:r>
            <w:r w:rsidRPr="00FC7D73">
              <w:rPr>
                <w:rFonts w:eastAsiaTheme="minorHAnsi"/>
                <w:sz w:val="20"/>
                <w:szCs w:val="20"/>
              </w:rPr>
              <w:t>Respondents</w:t>
            </w:r>
          </w:p>
          <w:p w:rsidR="00FA0B6E" w:rsidRPr="00FC7D73" w:rsidP="00FC7D73" w14:paraId="48341AAF" w14:textId="39F46D9E">
            <w:pPr>
              <w:widowControl/>
              <w:autoSpaceDE/>
              <w:autoSpaceDN/>
              <w:adjustRightInd/>
              <w:jc w:val="center"/>
              <w:rPr>
                <w:rFonts w:eastAsiaTheme="minorHAnsi"/>
                <w:sz w:val="20"/>
                <w:szCs w:val="20"/>
              </w:rPr>
            </w:pPr>
            <w:r w:rsidRPr="00FC7D73">
              <w:rPr>
                <w:rFonts w:eastAsiaTheme="minorHAnsi"/>
                <w:sz w:val="20"/>
                <w:szCs w:val="20"/>
              </w:rPr>
              <w:t>(</w:t>
            </w:r>
            <w:r w:rsidRPr="00FC7D73" w:rsidR="00B34543">
              <w:rPr>
                <w:rFonts w:eastAsiaTheme="minorHAnsi"/>
                <w:sz w:val="20"/>
                <w:szCs w:val="20"/>
              </w:rPr>
              <w:t>Manufacturers</w:t>
            </w:r>
            <w:r w:rsidRPr="00FC7D73">
              <w:rPr>
                <w:rFonts w:eastAsiaTheme="minorHAnsi"/>
                <w:sz w:val="20"/>
                <w:szCs w:val="20"/>
              </w:rPr>
              <w:t>)</w:t>
            </w:r>
          </w:p>
        </w:tc>
        <w:tc>
          <w:tcPr>
            <w:tcW w:w="1260" w:type="dxa"/>
            <w:shd w:val="clear" w:color="auto" w:fill="8EAADB" w:themeFill="accent1" w:themeFillTint="99"/>
            <w:vAlign w:val="center"/>
          </w:tcPr>
          <w:p w:rsidR="008F7DDE" w:rsidRPr="00FC7D73" w:rsidP="00FC7D73" w14:paraId="11F0965A" w14:textId="5D77E492">
            <w:pPr>
              <w:widowControl/>
              <w:autoSpaceDE/>
              <w:autoSpaceDN/>
              <w:adjustRightInd/>
              <w:jc w:val="center"/>
              <w:rPr>
                <w:rFonts w:eastAsiaTheme="minorHAnsi"/>
                <w:sz w:val="20"/>
                <w:szCs w:val="20"/>
              </w:rPr>
            </w:pPr>
            <w:r w:rsidRPr="00FC7D73">
              <w:rPr>
                <w:rFonts w:eastAsiaTheme="minorHAnsi"/>
                <w:sz w:val="20"/>
                <w:szCs w:val="20"/>
              </w:rPr>
              <w:t xml:space="preserve">Number of </w:t>
            </w:r>
            <w:r w:rsidRPr="00FC7D73">
              <w:rPr>
                <w:rFonts w:eastAsiaTheme="minorHAnsi"/>
                <w:sz w:val="20"/>
                <w:szCs w:val="20"/>
              </w:rPr>
              <w:t>Responses per Respondent</w:t>
            </w:r>
          </w:p>
        </w:tc>
        <w:tc>
          <w:tcPr>
            <w:tcW w:w="1440" w:type="dxa"/>
            <w:shd w:val="clear" w:color="auto" w:fill="8EAADB" w:themeFill="accent1" w:themeFillTint="99"/>
            <w:vAlign w:val="center"/>
          </w:tcPr>
          <w:p w:rsidR="008F7DDE" w:rsidRPr="00FC7D73" w:rsidP="00FC7D73" w14:paraId="55C4A7F3" w14:textId="711E0722">
            <w:pPr>
              <w:widowControl/>
              <w:autoSpaceDE/>
              <w:autoSpaceDN/>
              <w:adjustRightInd/>
              <w:jc w:val="center"/>
              <w:rPr>
                <w:rFonts w:eastAsiaTheme="minorHAnsi"/>
                <w:sz w:val="20"/>
                <w:szCs w:val="20"/>
              </w:rPr>
            </w:pPr>
            <w:r w:rsidRPr="00FC7D73">
              <w:rPr>
                <w:rFonts w:eastAsiaTheme="minorHAnsi"/>
                <w:sz w:val="20"/>
                <w:szCs w:val="20"/>
              </w:rPr>
              <w:t>Total Responses</w:t>
            </w:r>
            <w:r w:rsidRPr="00FC7D73" w:rsidR="007863E3">
              <w:rPr>
                <w:rFonts w:eastAsiaTheme="minorHAnsi"/>
                <w:sz w:val="20"/>
                <w:szCs w:val="20"/>
              </w:rPr>
              <w:t xml:space="preserve"> (</w:t>
            </w:r>
            <w:r w:rsidRPr="00FC7D73" w:rsidR="0065064F">
              <w:rPr>
                <w:rFonts w:eastAsiaTheme="minorHAnsi"/>
                <w:sz w:val="20"/>
                <w:szCs w:val="20"/>
              </w:rPr>
              <w:t>Applications</w:t>
            </w:r>
            <w:r w:rsidRPr="00FC7D73" w:rsidR="007863E3">
              <w:rPr>
                <w:rFonts w:eastAsiaTheme="minorHAnsi"/>
                <w:sz w:val="20"/>
                <w:szCs w:val="20"/>
              </w:rPr>
              <w:t>)</w:t>
            </w:r>
          </w:p>
        </w:tc>
        <w:tc>
          <w:tcPr>
            <w:tcW w:w="1080" w:type="dxa"/>
            <w:shd w:val="clear" w:color="auto" w:fill="8EAADB" w:themeFill="accent1" w:themeFillTint="99"/>
            <w:vAlign w:val="center"/>
          </w:tcPr>
          <w:p w:rsidR="008F7DDE" w:rsidRPr="00FC7D73" w:rsidP="00FC7D73" w14:paraId="746C0A63" w14:textId="707A020B">
            <w:pPr>
              <w:widowControl/>
              <w:autoSpaceDE/>
              <w:autoSpaceDN/>
              <w:adjustRightInd/>
              <w:jc w:val="center"/>
              <w:rPr>
                <w:rFonts w:eastAsiaTheme="minorHAnsi"/>
                <w:sz w:val="20"/>
                <w:szCs w:val="20"/>
              </w:rPr>
            </w:pPr>
            <w:r w:rsidRPr="00FC7D73">
              <w:rPr>
                <w:rFonts w:eastAsiaTheme="minorHAnsi"/>
                <w:sz w:val="20"/>
                <w:szCs w:val="20"/>
              </w:rPr>
              <w:t xml:space="preserve">Average </w:t>
            </w:r>
            <w:r w:rsidRPr="00FC7D73">
              <w:rPr>
                <w:rFonts w:eastAsiaTheme="minorHAnsi"/>
                <w:sz w:val="20"/>
                <w:szCs w:val="20"/>
              </w:rPr>
              <w:t>Burden (</w:t>
            </w:r>
            <w:r w:rsidRPr="00FC7D73" w:rsidR="009A3438">
              <w:rPr>
                <w:rFonts w:eastAsiaTheme="minorHAnsi"/>
                <w:sz w:val="20"/>
                <w:szCs w:val="20"/>
              </w:rPr>
              <w:t>Hours</w:t>
            </w:r>
            <w:r w:rsidRPr="00FC7D73">
              <w:rPr>
                <w:rFonts w:eastAsiaTheme="minorHAnsi"/>
                <w:sz w:val="20"/>
                <w:szCs w:val="20"/>
              </w:rPr>
              <w:t>)</w:t>
            </w:r>
          </w:p>
        </w:tc>
        <w:tc>
          <w:tcPr>
            <w:tcW w:w="990" w:type="dxa"/>
            <w:shd w:val="clear" w:color="auto" w:fill="8EAADB" w:themeFill="accent1" w:themeFillTint="99"/>
            <w:vAlign w:val="center"/>
            <w:hideMark/>
          </w:tcPr>
          <w:p w:rsidR="008F7DDE" w:rsidRPr="00FC7D73" w:rsidP="00FC7D73" w14:paraId="6FD7747E" w14:textId="1AB100CF">
            <w:pPr>
              <w:widowControl/>
              <w:autoSpaceDE/>
              <w:autoSpaceDN/>
              <w:adjustRightInd/>
              <w:jc w:val="center"/>
              <w:rPr>
                <w:rFonts w:eastAsiaTheme="minorHAnsi"/>
                <w:sz w:val="20"/>
                <w:szCs w:val="20"/>
              </w:rPr>
            </w:pPr>
            <w:r w:rsidRPr="00FC7D73">
              <w:rPr>
                <w:rFonts w:eastAsiaTheme="minorHAnsi"/>
                <w:sz w:val="20"/>
                <w:szCs w:val="20"/>
              </w:rPr>
              <w:t xml:space="preserve">Total </w:t>
            </w:r>
            <w:r w:rsidRPr="00FC7D73">
              <w:rPr>
                <w:rFonts w:eastAsiaTheme="minorHAnsi"/>
                <w:sz w:val="20"/>
                <w:szCs w:val="20"/>
              </w:rPr>
              <w:t>Burden (Hours)</w:t>
            </w:r>
          </w:p>
        </w:tc>
        <w:tc>
          <w:tcPr>
            <w:tcW w:w="990" w:type="dxa"/>
            <w:shd w:val="clear" w:color="auto" w:fill="8EAADB" w:themeFill="accent1" w:themeFillTint="99"/>
            <w:vAlign w:val="center"/>
            <w:hideMark/>
          </w:tcPr>
          <w:p w:rsidR="008F7DDE" w:rsidRPr="00FC7D73" w:rsidP="00FC7D73" w14:paraId="379D01C8" w14:textId="3FA62A27">
            <w:pPr>
              <w:widowControl/>
              <w:autoSpaceDE/>
              <w:autoSpaceDN/>
              <w:adjustRightInd/>
              <w:jc w:val="center"/>
              <w:rPr>
                <w:rFonts w:eastAsiaTheme="minorHAnsi"/>
                <w:sz w:val="20"/>
                <w:szCs w:val="20"/>
              </w:rPr>
            </w:pPr>
            <w:r w:rsidRPr="00FC7D73">
              <w:rPr>
                <w:rFonts w:eastAsiaTheme="minorHAnsi"/>
                <w:sz w:val="20"/>
                <w:szCs w:val="20"/>
              </w:rPr>
              <w:t>Hourly Wage Rate</w:t>
            </w:r>
          </w:p>
        </w:tc>
        <w:tc>
          <w:tcPr>
            <w:tcW w:w="1080" w:type="dxa"/>
            <w:shd w:val="clear" w:color="auto" w:fill="8EAADB" w:themeFill="accent1" w:themeFillTint="99"/>
            <w:vAlign w:val="center"/>
            <w:hideMark/>
          </w:tcPr>
          <w:p w:rsidR="008F7DDE" w:rsidRPr="00FC7D73" w:rsidP="00FC7D73" w14:paraId="1D5A20D0" w14:textId="049CFAA1">
            <w:pPr>
              <w:widowControl/>
              <w:autoSpaceDE/>
              <w:autoSpaceDN/>
              <w:adjustRightInd/>
              <w:jc w:val="center"/>
              <w:rPr>
                <w:rFonts w:eastAsiaTheme="minorHAnsi"/>
                <w:sz w:val="20"/>
                <w:szCs w:val="20"/>
              </w:rPr>
            </w:pPr>
            <w:r w:rsidRPr="00FC7D73">
              <w:rPr>
                <w:rFonts w:eastAsiaTheme="minorHAnsi"/>
                <w:sz w:val="20"/>
                <w:szCs w:val="20"/>
              </w:rPr>
              <w:t xml:space="preserve">Total </w:t>
            </w:r>
            <w:r w:rsidRPr="00FC7D73">
              <w:rPr>
                <w:rFonts w:eastAsiaTheme="minorHAnsi"/>
                <w:sz w:val="20"/>
                <w:szCs w:val="20"/>
              </w:rPr>
              <w:t>Burden Cost</w:t>
            </w:r>
          </w:p>
        </w:tc>
      </w:tr>
      <w:tr w14:paraId="317ADA85" w14:textId="77777777" w:rsidTr="0037372C">
        <w:tblPrEx>
          <w:tblW w:w="9715" w:type="dxa"/>
          <w:tblLayout w:type="fixed"/>
          <w:tblLook w:val="04A0"/>
        </w:tblPrEx>
        <w:trPr>
          <w:trHeight w:val="363"/>
        </w:trPr>
        <w:tc>
          <w:tcPr>
            <w:tcW w:w="1345" w:type="dxa"/>
            <w:noWrap/>
            <w:vAlign w:val="bottom"/>
            <w:hideMark/>
          </w:tcPr>
          <w:p w:rsidR="00B34543" w:rsidRPr="00FC7D73" w:rsidP="00FC7D73" w14:paraId="738C8804" w14:textId="49F7B922">
            <w:pPr>
              <w:widowControl/>
              <w:autoSpaceDE/>
              <w:autoSpaceDN/>
              <w:adjustRightInd/>
              <w:rPr>
                <w:rFonts w:eastAsiaTheme="minorHAnsi"/>
                <w:bCs/>
                <w:sz w:val="20"/>
                <w:szCs w:val="20"/>
              </w:rPr>
            </w:pPr>
            <w:r w:rsidRPr="00FC7D73">
              <w:rPr>
                <w:color w:val="000000"/>
                <w:sz w:val="20"/>
                <w:szCs w:val="20"/>
              </w:rPr>
              <w:t>Prepar</w:t>
            </w:r>
            <w:r w:rsidRPr="00FC7D73" w:rsidR="00487082">
              <w:rPr>
                <w:color w:val="000000"/>
                <w:sz w:val="20"/>
                <w:szCs w:val="20"/>
              </w:rPr>
              <w:t>ing</w:t>
            </w:r>
            <w:r w:rsidRPr="00FC7D73">
              <w:rPr>
                <w:color w:val="000000"/>
                <w:sz w:val="20"/>
                <w:szCs w:val="20"/>
              </w:rPr>
              <w:t xml:space="preserve"> Application</w:t>
            </w:r>
            <w:r w:rsidRPr="00FC7D73" w:rsidR="00CC65BB">
              <w:rPr>
                <w:color w:val="000000"/>
                <w:sz w:val="20"/>
                <w:szCs w:val="20"/>
              </w:rPr>
              <w:t>s</w:t>
            </w:r>
            <w:r w:rsidRPr="00FC7D73">
              <w:rPr>
                <w:color w:val="000000"/>
                <w:sz w:val="20"/>
                <w:szCs w:val="20"/>
              </w:rPr>
              <w:t xml:space="preserve"> (Engineer)</w:t>
            </w:r>
          </w:p>
        </w:tc>
        <w:tc>
          <w:tcPr>
            <w:tcW w:w="1530" w:type="dxa"/>
            <w:noWrap/>
            <w:vAlign w:val="center"/>
          </w:tcPr>
          <w:p w:rsidR="00B34543" w:rsidRPr="00FC7D73" w:rsidP="00FC7D73" w14:paraId="714AF956" w14:textId="44672910">
            <w:pPr>
              <w:widowControl/>
              <w:autoSpaceDE/>
              <w:autoSpaceDN/>
              <w:adjustRightInd/>
              <w:jc w:val="right"/>
              <w:rPr>
                <w:rFonts w:eastAsiaTheme="minorHAnsi"/>
                <w:bCs/>
                <w:sz w:val="20"/>
                <w:szCs w:val="20"/>
              </w:rPr>
            </w:pPr>
            <w:r w:rsidRPr="00FC7D73">
              <w:rPr>
                <w:color w:val="000000"/>
                <w:sz w:val="20"/>
                <w:szCs w:val="20"/>
              </w:rPr>
              <w:t>1</w:t>
            </w:r>
          </w:p>
        </w:tc>
        <w:tc>
          <w:tcPr>
            <w:tcW w:w="1260" w:type="dxa"/>
            <w:vAlign w:val="center"/>
          </w:tcPr>
          <w:p w:rsidR="00B34543" w:rsidRPr="00FC7D73" w:rsidP="00FC7D73" w14:paraId="644C4A0E" w14:textId="449F2A59">
            <w:pPr>
              <w:widowControl/>
              <w:autoSpaceDE/>
              <w:autoSpaceDN/>
              <w:adjustRightInd/>
              <w:jc w:val="right"/>
              <w:rPr>
                <w:rFonts w:eastAsiaTheme="minorHAnsi"/>
                <w:bCs/>
                <w:sz w:val="20"/>
                <w:szCs w:val="20"/>
              </w:rPr>
            </w:pPr>
            <w:r w:rsidRPr="00FC7D73">
              <w:rPr>
                <w:color w:val="000000"/>
                <w:sz w:val="20"/>
                <w:szCs w:val="20"/>
              </w:rPr>
              <w:t>1</w:t>
            </w:r>
          </w:p>
        </w:tc>
        <w:tc>
          <w:tcPr>
            <w:tcW w:w="1440" w:type="dxa"/>
            <w:vAlign w:val="center"/>
          </w:tcPr>
          <w:p w:rsidR="00B34543" w:rsidRPr="00FC7D73" w:rsidP="00FC7D73" w14:paraId="5DC1F7FD" w14:textId="29286283">
            <w:pPr>
              <w:widowControl/>
              <w:autoSpaceDE/>
              <w:autoSpaceDN/>
              <w:adjustRightInd/>
              <w:jc w:val="right"/>
              <w:rPr>
                <w:rFonts w:eastAsiaTheme="minorHAnsi"/>
                <w:bCs/>
                <w:sz w:val="20"/>
                <w:szCs w:val="20"/>
              </w:rPr>
            </w:pPr>
            <w:r w:rsidRPr="00FC7D73">
              <w:rPr>
                <w:color w:val="000000"/>
                <w:sz w:val="20"/>
                <w:szCs w:val="20"/>
              </w:rPr>
              <w:t>1</w:t>
            </w:r>
          </w:p>
        </w:tc>
        <w:tc>
          <w:tcPr>
            <w:tcW w:w="1080" w:type="dxa"/>
            <w:vAlign w:val="center"/>
          </w:tcPr>
          <w:p w:rsidR="00B34543" w:rsidRPr="00FC7D73" w:rsidP="00FC7D73" w14:paraId="75539D3E" w14:textId="0D580EB0">
            <w:pPr>
              <w:widowControl/>
              <w:autoSpaceDE/>
              <w:autoSpaceDN/>
              <w:adjustRightInd/>
              <w:jc w:val="right"/>
              <w:rPr>
                <w:rFonts w:eastAsiaTheme="minorHAnsi"/>
                <w:bCs/>
                <w:sz w:val="20"/>
                <w:szCs w:val="20"/>
              </w:rPr>
            </w:pPr>
            <w:r w:rsidRPr="00FC7D73">
              <w:rPr>
                <w:color w:val="000000"/>
                <w:sz w:val="20"/>
                <w:szCs w:val="20"/>
              </w:rPr>
              <w:t>40</w:t>
            </w:r>
          </w:p>
        </w:tc>
        <w:tc>
          <w:tcPr>
            <w:tcW w:w="990" w:type="dxa"/>
            <w:noWrap/>
            <w:vAlign w:val="center"/>
          </w:tcPr>
          <w:p w:rsidR="00B34543" w:rsidRPr="00FC7D73" w:rsidP="00FC7D73" w14:paraId="23C448CA" w14:textId="06383A47">
            <w:pPr>
              <w:widowControl/>
              <w:autoSpaceDE/>
              <w:autoSpaceDN/>
              <w:adjustRightInd/>
              <w:jc w:val="right"/>
              <w:rPr>
                <w:rFonts w:eastAsiaTheme="minorHAnsi"/>
                <w:bCs/>
                <w:sz w:val="20"/>
                <w:szCs w:val="20"/>
              </w:rPr>
            </w:pPr>
            <w:r w:rsidRPr="00FC7D73">
              <w:rPr>
                <w:color w:val="000000"/>
                <w:sz w:val="20"/>
                <w:szCs w:val="20"/>
              </w:rPr>
              <w:t>40.00</w:t>
            </w:r>
          </w:p>
        </w:tc>
        <w:tc>
          <w:tcPr>
            <w:tcW w:w="990" w:type="dxa"/>
            <w:noWrap/>
            <w:vAlign w:val="center"/>
            <w:hideMark/>
          </w:tcPr>
          <w:p w:rsidR="00B34543" w:rsidRPr="00FC7D73" w:rsidP="00FC7D73" w14:paraId="3C292B33" w14:textId="54A75478">
            <w:pPr>
              <w:widowControl/>
              <w:autoSpaceDE/>
              <w:autoSpaceDN/>
              <w:adjustRightInd/>
              <w:jc w:val="right"/>
              <w:rPr>
                <w:rFonts w:eastAsiaTheme="minorHAnsi"/>
                <w:bCs/>
                <w:sz w:val="20"/>
                <w:szCs w:val="20"/>
              </w:rPr>
            </w:pPr>
            <w:r w:rsidRPr="00FC7D73">
              <w:rPr>
                <w:color w:val="000000"/>
                <w:sz w:val="20"/>
                <w:szCs w:val="20"/>
              </w:rPr>
              <w:t xml:space="preserve">$77.97 </w:t>
            </w:r>
          </w:p>
        </w:tc>
        <w:tc>
          <w:tcPr>
            <w:tcW w:w="1080" w:type="dxa"/>
            <w:noWrap/>
            <w:vAlign w:val="center"/>
            <w:hideMark/>
          </w:tcPr>
          <w:p w:rsidR="00B34543" w:rsidRPr="00FC7D73" w:rsidP="00FC7D73" w14:paraId="126B17C0" w14:textId="326070BD">
            <w:pPr>
              <w:widowControl/>
              <w:autoSpaceDE/>
              <w:autoSpaceDN/>
              <w:adjustRightInd/>
              <w:jc w:val="right"/>
              <w:rPr>
                <w:rFonts w:eastAsiaTheme="minorHAnsi"/>
                <w:bCs/>
                <w:sz w:val="20"/>
                <w:szCs w:val="20"/>
              </w:rPr>
            </w:pPr>
            <w:r w:rsidRPr="00FC7D73">
              <w:rPr>
                <w:color w:val="000000"/>
                <w:sz w:val="20"/>
                <w:szCs w:val="20"/>
              </w:rPr>
              <w:t xml:space="preserve">$3,118.80 </w:t>
            </w:r>
          </w:p>
        </w:tc>
      </w:tr>
      <w:tr w14:paraId="43D8544D" w14:textId="77777777" w:rsidTr="0037372C">
        <w:tblPrEx>
          <w:tblW w:w="9715" w:type="dxa"/>
          <w:tblLayout w:type="fixed"/>
          <w:tblLook w:val="04A0"/>
        </w:tblPrEx>
        <w:trPr>
          <w:trHeight w:val="363"/>
        </w:trPr>
        <w:tc>
          <w:tcPr>
            <w:tcW w:w="1345" w:type="dxa"/>
            <w:noWrap/>
            <w:vAlign w:val="bottom"/>
            <w:hideMark/>
          </w:tcPr>
          <w:p w:rsidR="00B34543" w:rsidRPr="00FC7D73" w:rsidP="00FC7D73" w14:paraId="511DFBE1" w14:textId="73D3E30C">
            <w:pPr>
              <w:widowControl/>
              <w:autoSpaceDE/>
              <w:autoSpaceDN/>
              <w:adjustRightInd/>
              <w:rPr>
                <w:rFonts w:eastAsiaTheme="minorHAnsi"/>
                <w:bCs/>
                <w:sz w:val="20"/>
                <w:szCs w:val="20"/>
              </w:rPr>
            </w:pPr>
            <w:r w:rsidRPr="00FC7D73">
              <w:rPr>
                <w:color w:val="000000"/>
                <w:sz w:val="20"/>
                <w:szCs w:val="20"/>
              </w:rPr>
              <w:t>Copy</w:t>
            </w:r>
            <w:r w:rsidRPr="00FC7D73" w:rsidR="00487082">
              <w:rPr>
                <w:color w:val="000000"/>
                <w:sz w:val="20"/>
                <w:szCs w:val="20"/>
              </w:rPr>
              <w:t>ing</w:t>
            </w:r>
            <w:r w:rsidRPr="00FC7D73">
              <w:rPr>
                <w:color w:val="000000"/>
                <w:sz w:val="20"/>
                <w:szCs w:val="20"/>
              </w:rPr>
              <w:t xml:space="preserve"> and Submit</w:t>
            </w:r>
            <w:r w:rsidRPr="00FC7D73" w:rsidR="00487082">
              <w:rPr>
                <w:color w:val="000000"/>
                <w:sz w:val="20"/>
                <w:szCs w:val="20"/>
              </w:rPr>
              <w:t>ting</w:t>
            </w:r>
            <w:r w:rsidRPr="00FC7D73">
              <w:rPr>
                <w:color w:val="000000"/>
                <w:sz w:val="20"/>
                <w:szCs w:val="20"/>
              </w:rPr>
              <w:t xml:space="preserve"> Application</w:t>
            </w:r>
            <w:r w:rsidRPr="00FC7D73" w:rsidR="00CC65BB">
              <w:rPr>
                <w:color w:val="000000"/>
                <w:sz w:val="20"/>
                <w:szCs w:val="20"/>
              </w:rPr>
              <w:t>s</w:t>
            </w:r>
            <w:r w:rsidRPr="00FC7D73">
              <w:rPr>
                <w:color w:val="000000"/>
                <w:sz w:val="20"/>
                <w:szCs w:val="20"/>
              </w:rPr>
              <w:t xml:space="preserve"> (Clerk)</w:t>
            </w:r>
          </w:p>
        </w:tc>
        <w:tc>
          <w:tcPr>
            <w:tcW w:w="1530" w:type="dxa"/>
            <w:noWrap/>
            <w:vAlign w:val="center"/>
          </w:tcPr>
          <w:p w:rsidR="00B34543" w:rsidRPr="00FC7D73" w:rsidP="00FC7D73" w14:paraId="0654BF3C" w14:textId="591D24AB">
            <w:pPr>
              <w:widowControl/>
              <w:autoSpaceDE/>
              <w:autoSpaceDN/>
              <w:adjustRightInd/>
              <w:jc w:val="right"/>
              <w:rPr>
                <w:rFonts w:eastAsiaTheme="minorHAnsi"/>
                <w:bCs/>
                <w:sz w:val="20"/>
                <w:szCs w:val="20"/>
              </w:rPr>
            </w:pPr>
            <w:r w:rsidRPr="00FC7D73">
              <w:rPr>
                <w:color w:val="000000"/>
                <w:sz w:val="20"/>
                <w:szCs w:val="20"/>
              </w:rPr>
              <w:t>1</w:t>
            </w:r>
          </w:p>
        </w:tc>
        <w:tc>
          <w:tcPr>
            <w:tcW w:w="1260" w:type="dxa"/>
            <w:vAlign w:val="center"/>
          </w:tcPr>
          <w:p w:rsidR="00B34543" w:rsidRPr="00FC7D73" w:rsidP="00FC7D73" w14:paraId="7C3901C3" w14:textId="4E14A27D">
            <w:pPr>
              <w:widowControl/>
              <w:autoSpaceDE/>
              <w:autoSpaceDN/>
              <w:adjustRightInd/>
              <w:jc w:val="right"/>
              <w:rPr>
                <w:rFonts w:eastAsiaTheme="minorHAnsi"/>
                <w:bCs/>
                <w:sz w:val="20"/>
                <w:szCs w:val="20"/>
              </w:rPr>
            </w:pPr>
            <w:r w:rsidRPr="00FC7D73">
              <w:rPr>
                <w:color w:val="000000"/>
                <w:sz w:val="20"/>
                <w:szCs w:val="20"/>
              </w:rPr>
              <w:t>4</w:t>
            </w:r>
          </w:p>
        </w:tc>
        <w:tc>
          <w:tcPr>
            <w:tcW w:w="1440" w:type="dxa"/>
            <w:vAlign w:val="center"/>
          </w:tcPr>
          <w:p w:rsidR="00B34543" w:rsidRPr="00FC7D73" w:rsidP="00FC7D73" w14:paraId="3205930C" w14:textId="08AA849C">
            <w:pPr>
              <w:widowControl/>
              <w:autoSpaceDE/>
              <w:autoSpaceDN/>
              <w:adjustRightInd/>
              <w:jc w:val="right"/>
              <w:rPr>
                <w:rFonts w:eastAsiaTheme="minorHAnsi"/>
                <w:bCs/>
                <w:sz w:val="20"/>
                <w:szCs w:val="20"/>
              </w:rPr>
            </w:pPr>
            <w:r w:rsidRPr="00FC7D73">
              <w:rPr>
                <w:color w:val="000000"/>
                <w:sz w:val="20"/>
                <w:szCs w:val="20"/>
              </w:rPr>
              <w:t>4</w:t>
            </w:r>
          </w:p>
        </w:tc>
        <w:tc>
          <w:tcPr>
            <w:tcW w:w="1080" w:type="dxa"/>
            <w:vAlign w:val="center"/>
          </w:tcPr>
          <w:p w:rsidR="00B34543" w:rsidRPr="00FC7D73" w:rsidP="00FC7D73" w14:paraId="1AE6FAEB" w14:textId="10ADF711">
            <w:pPr>
              <w:widowControl/>
              <w:autoSpaceDE/>
              <w:autoSpaceDN/>
              <w:adjustRightInd/>
              <w:jc w:val="right"/>
              <w:rPr>
                <w:rFonts w:eastAsiaTheme="minorHAnsi"/>
                <w:bCs/>
                <w:sz w:val="20"/>
                <w:szCs w:val="20"/>
              </w:rPr>
            </w:pPr>
            <w:r w:rsidRPr="00FC7D73">
              <w:rPr>
                <w:color w:val="000000"/>
                <w:sz w:val="20"/>
                <w:szCs w:val="20"/>
              </w:rPr>
              <w:t>0.25</w:t>
            </w:r>
          </w:p>
        </w:tc>
        <w:tc>
          <w:tcPr>
            <w:tcW w:w="990" w:type="dxa"/>
            <w:noWrap/>
            <w:vAlign w:val="center"/>
          </w:tcPr>
          <w:p w:rsidR="00B34543" w:rsidRPr="00FC7D73" w:rsidP="00FC7D73" w14:paraId="2A34CEC2" w14:textId="7CEC08F6">
            <w:pPr>
              <w:widowControl/>
              <w:autoSpaceDE/>
              <w:autoSpaceDN/>
              <w:adjustRightInd/>
              <w:jc w:val="right"/>
              <w:rPr>
                <w:rFonts w:eastAsiaTheme="minorHAnsi"/>
                <w:bCs/>
                <w:sz w:val="20"/>
                <w:szCs w:val="20"/>
              </w:rPr>
            </w:pPr>
            <w:r w:rsidRPr="00FC7D73">
              <w:rPr>
                <w:color w:val="000000"/>
                <w:sz w:val="20"/>
                <w:szCs w:val="20"/>
              </w:rPr>
              <w:t>1.00</w:t>
            </w:r>
          </w:p>
        </w:tc>
        <w:tc>
          <w:tcPr>
            <w:tcW w:w="990" w:type="dxa"/>
            <w:noWrap/>
            <w:vAlign w:val="center"/>
            <w:hideMark/>
          </w:tcPr>
          <w:p w:rsidR="00B34543" w:rsidRPr="00FC7D73" w:rsidP="00FC7D73" w14:paraId="46ECA398" w14:textId="61DD5C05">
            <w:pPr>
              <w:widowControl/>
              <w:autoSpaceDE/>
              <w:autoSpaceDN/>
              <w:adjustRightInd/>
              <w:jc w:val="right"/>
              <w:rPr>
                <w:rFonts w:eastAsiaTheme="minorHAnsi"/>
                <w:bCs/>
                <w:sz w:val="20"/>
                <w:szCs w:val="20"/>
              </w:rPr>
            </w:pPr>
            <w:r w:rsidRPr="00FC7D73">
              <w:rPr>
                <w:color w:val="000000"/>
                <w:sz w:val="20"/>
                <w:szCs w:val="20"/>
              </w:rPr>
              <w:t xml:space="preserve">$35.16 </w:t>
            </w:r>
          </w:p>
        </w:tc>
        <w:tc>
          <w:tcPr>
            <w:tcW w:w="1080" w:type="dxa"/>
            <w:noWrap/>
            <w:vAlign w:val="center"/>
            <w:hideMark/>
          </w:tcPr>
          <w:p w:rsidR="00B34543" w:rsidRPr="00FC7D73" w:rsidP="00FC7D73" w14:paraId="7F4CE41E" w14:textId="042021D5">
            <w:pPr>
              <w:widowControl/>
              <w:autoSpaceDE/>
              <w:autoSpaceDN/>
              <w:adjustRightInd/>
              <w:jc w:val="right"/>
              <w:rPr>
                <w:rFonts w:eastAsiaTheme="minorHAnsi"/>
                <w:bCs/>
                <w:sz w:val="20"/>
                <w:szCs w:val="20"/>
              </w:rPr>
            </w:pPr>
            <w:r w:rsidRPr="00FC7D73">
              <w:rPr>
                <w:color w:val="000000"/>
                <w:sz w:val="20"/>
                <w:szCs w:val="20"/>
              </w:rPr>
              <w:t xml:space="preserve">$35.16 </w:t>
            </w:r>
          </w:p>
        </w:tc>
      </w:tr>
      <w:tr w14:paraId="45D0E5A5" w14:textId="77777777" w:rsidTr="0037372C">
        <w:tblPrEx>
          <w:tblW w:w="9715" w:type="dxa"/>
          <w:tblLayout w:type="fixed"/>
          <w:tblLook w:val="04A0"/>
        </w:tblPrEx>
        <w:trPr>
          <w:trHeight w:val="363"/>
        </w:trPr>
        <w:tc>
          <w:tcPr>
            <w:tcW w:w="1345" w:type="dxa"/>
            <w:shd w:val="clear" w:color="auto" w:fill="auto"/>
            <w:noWrap/>
            <w:vAlign w:val="bottom"/>
            <w:hideMark/>
          </w:tcPr>
          <w:p w:rsidR="00B34543" w:rsidRPr="00FC7D73" w:rsidP="00FC7D73" w14:paraId="5D26DC1F" w14:textId="5FBE9F13">
            <w:pPr>
              <w:widowControl/>
              <w:autoSpaceDE/>
              <w:autoSpaceDN/>
              <w:adjustRightInd/>
              <w:rPr>
                <w:rFonts w:eastAsiaTheme="minorHAnsi"/>
                <w:b/>
                <w:bCs/>
                <w:i/>
                <w:iCs/>
                <w:sz w:val="20"/>
                <w:szCs w:val="20"/>
              </w:rPr>
            </w:pPr>
            <w:r w:rsidRPr="00FC7D73">
              <w:rPr>
                <w:b/>
                <w:bCs/>
                <w:i/>
                <w:iCs/>
                <w:color w:val="000000"/>
                <w:sz w:val="20"/>
                <w:szCs w:val="20"/>
              </w:rPr>
              <w:t>Subtotal (Rounded)</w:t>
            </w:r>
          </w:p>
        </w:tc>
        <w:tc>
          <w:tcPr>
            <w:tcW w:w="1530" w:type="dxa"/>
            <w:shd w:val="clear" w:color="auto" w:fill="auto"/>
            <w:vAlign w:val="bottom"/>
          </w:tcPr>
          <w:p w:rsidR="00B34543" w:rsidRPr="00FC7D73" w:rsidP="00FC7D73" w14:paraId="36D77C69" w14:textId="1F6382FE">
            <w:pPr>
              <w:widowControl/>
              <w:autoSpaceDE/>
              <w:autoSpaceDN/>
              <w:adjustRightInd/>
              <w:jc w:val="right"/>
              <w:rPr>
                <w:rFonts w:eastAsiaTheme="minorHAnsi"/>
                <w:b/>
                <w:bCs/>
                <w:i/>
                <w:iCs/>
                <w:sz w:val="20"/>
                <w:szCs w:val="20"/>
              </w:rPr>
            </w:pPr>
            <w:r w:rsidRPr="00FC7D73">
              <w:rPr>
                <w:b/>
                <w:bCs/>
                <w:i/>
                <w:iCs/>
                <w:color w:val="000000"/>
                <w:sz w:val="20"/>
                <w:szCs w:val="20"/>
              </w:rPr>
              <w:t>1</w:t>
            </w:r>
          </w:p>
        </w:tc>
        <w:tc>
          <w:tcPr>
            <w:tcW w:w="1260" w:type="dxa"/>
            <w:shd w:val="clear" w:color="auto" w:fill="000000" w:themeFill="text1"/>
            <w:vAlign w:val="bottom"/>
          </w:tcPr>
          <w:p w:rsidR="00B34543" w:rsidRPr="00FC7D73" w:rsidP="00FC7D73" w14:paraId="03CC983F" w14:textId="47A51BF2">
            <w:pPr>
              <w:widowControl/>
              <w:autoSpaceDE/>
              <w:autoSpaceDN/>
              <w:adjustRightInd/>
              <w:jc w:val="right"/>
              <w:rPr>
                <w:rFonts w:eastAsiaTheme="minorHAnsi"/>
                <w:b/>
                <w:bCs/>
                <w:i/>
                <w:iCs/>
                <w:sz w:val="20"/>
                <w:szCs w:val="20"/>
              </w:rPr>
            </w:pPr>
            <w:r w:rsidRPr="00FC7D73">
              <w:rPr>
                <w:b/>
                <w:bCs/>
                <w:i/>
                <w:iCs/>
                <w:color w:val="000000"/>
                <w:sz w:val="20"/>
                <w:szCs w:val="20"/>
              </w:rPr>
              <w:t> </w:t>
            </w:r>
          </w:p>
        </w:tc>
        <w:tc>
          <w:tcPr>
            <w:tcW w:w="1440" w:type="dxa"/>
            <w:shd w:val="clear" w:color="auto" w:fill="auto"/>
            <w:vAlign w:val="bottom"/>
          </w:tcPr>
          <w:p w:rsidR="00B34543" w:rsidRPr="00FC7D73" w:rsidP="00FC7D73" w14:paraId="5AF96308" w14:textId="30C342BE">
            <w:pPr>
              <w:widowControl/>
              <w:autoSpaceDE/>
              <w:autoSpaceDN/>
              <w:adjustRightInd/>
              <w:jc w:val="right"/>
              <w:rPr>
                <w:rFonts w:eastAsiaTheme="minorHAnsi"/>
                <w:b/>
                <w:bCs/>
                <w:i/>
                <w:iCs/>
                <w:sz w:val="20"/>
                <w:szCs w:val="20"/>
              </w:rPr>
            </w:pPr>
            <w:r w:rsidRPr="00FC7D73">
              <w:rPr>
                <w:b/>
                <w:bCs/>
                <w:i/>
                <w:iCs/>
                <w:color w:val="000000"/>
                <w:sz w:val="20"/>
                <w:szCs w:val="20"/>
              </w:rPr>
              <w:t>1</w:t>
            </w:r>
          </w:p>
        </w:tc>
        <w:tc>
          <w:tcPr>
            <w:tcW w:w="1080" w:type="dxa"/>
            <w:shd w:val="clear" w:color="auto" w:fill="000000" w:themeFill="text1"/>
            <w:vAlign w:val="bottom"/>
          </w:tcPr>
          <w:p w:rsidR="00B34543" w:rsidRPr="00FC7D73" w:rsidP="00FC7D73" w14:paraId="2C5901F3" w14:textId="10CF3A90">
            <w:pPr>
              <w:widowControl/>
              <w:autoSpaceDE/>
              <w:autoSpaceDN/>
              <w:adjustRightInd/>
              <w:jc w:val="right"/>
              <w:rPr>
                <w:rFonts w:eastAsiaTheme="minorHAnsi"/>
                <w:b/>
                <w:bCs/>
                <w:i/>
                <w:iCs/>
                <w:sz w:val="20"/>
                <w:szCs w:val="20"/>
              </w:rPr>
            </w:pPr>
            <w:r w:rsidRPr="00FC7D73">
              <w:rPr>
                <w:b/>
                <w:bCs/>
                <w:i/>
                <w:iCs/>
                <w:color w:val="000000"/>
                <w:sz w:val="20"/>
                <w:szCs w:val="20"/>
              </w:rPr>
              <w:t> </w:t>
            </w:r>
          </w:p>
        </w:tc>
        <w:tc>
          <w:tcPr>
            <w:tcW w:w="990" w:type="dxa"/>
            <w:shd w:val="clear" w:color="auto" w:fill="auto"/>
            <w:vAlign w:val="bottom"/>
          </w:tcPr>
          <w:p w:rsidR="00B34543" w:rsidRPr="00FC7D73" w:rsidP="00FC7D73" w14:paraId="6DAC8B29" w14:textId="79067210">
            <w:pPr>
              <w:widowControl/>
              <w:autoSpaceDE/>
              <w:autoSpaceDN/>
              <w:adjustRightInd/>
              <w:jc w:val="right"/>
              <w:rPr>
                <w:rFonts w:eastAsiaTheme="minorHAnsi"/>
                <w:b/>
                <w:bCs/>
                <w:i/>
                <w:iCs/>
                <w:sz w:val="20"/>
                <w:szCs w:val="20"/>
              </w:rPr>
            </w:pPr>
            <w:r w:rsidRPr="00FC7D73">
              <w:rPr>
                <w:b/>
                <w:bCs/>
                <w:i/>
                <w:iCs/>
                <w:color w:val="000000"/>
                <w:sz w:val="20"/>
                <w:szCs w:val="20"/>
              </w:rPr>
              <w:t>41</w:t>
            </w:r>
          </w:p>
        </w:tc>
        <w:tc>
          <w:tcPr>
            <w:tcW w:w="990" w:type="dxa"/>
            <w:shd w:val="clear" w:color="auto" w:fill="000000" w:themeFill="text1"/>
            <w:noWrap/>
            <w:vAlign w:val="bottom"/>
            <w:hideMark/>
          </w:tcPr>
          <w:p w:rsidR="00B34543" w:rsidRPr="00FC7D73" w:rsidP="00FC7D73" w14:paraId="0F639377" w14:textId="0752C228">
            <w:pPr>
              <w:widowControl/>
              <w:autoSpaceDE/>
              <w:autoSpaceDN/>
              <w:adjustRightInd/>
              <w:jc w:val="right"/>
              <w:rPr>
                <w:rFonts w:eastAsiaTheme="minorHAnsi"/>
                <w:b/>
                <w:bCs/>
                <w:i/>
                <w:iCs/>
                <w:sz w:val="20"/>
                <w:szCs w:val="20"/>
              </w:rPr>
            </w:pPr>
            <w:r w:rsidRPr="00FC7D73">
              <w:rPr>
                <w:b/>
                <w:bCs/>
                <w:i/>
                <w:iCs/>
                <w:color w:val="000000"/>
                <w:sz w:val="20"/>
                <w:szCs w:val="20"/>
              </w:rPr>
              <w:t> </w:t>
            </w:r>
          </w:p>
        </w:tc>
        <w:tc>
          <w:tcPr>
            <w:tcW w:w="1080" w:type="dxa"/>
            <w:shd w:val="clear" w:color="auto" w:fill="auto"/>
            <w:noWrap/>
            <w:vAlign w:val="bottom"/>
            <w:hideMark/>
          </w:tcPr>
          <w:p w:rsidR="00B34543" w:rsidRPr="00FC7D73" w:rsidP="00FC7D73" w14:paraId="7A1D0189" w14:textId="2EE98CAC">
            <w:pPr>
              <w:widowControl/>
              <w:autoSpaceDE/>
              <w:autoSpaceDN/>
              <w:adjustRightInd/>
              <w:jc w:val="right"/>
              <w:rPr>
                <w:rFonts w:eastAsiaTheme="minorHAnsi"/>
                <w:b/>
                <w:bCs/>
                <w:i/>
                <w:iCs/>
                <w:sz w:val="20"/>
                <w:szCs w:val="20"/>
              </w:rPr>
            </w:pPr>
            <w:r w:rsidRPr="00FC7D73">
              <w:rPr>
                <w:b/>
                <w:bCs/>
                <w:i/>
                <w:iCs/>
                <w:color w:val="000000"/>
                <w:sz w:val="20"/>
                <w:szCs w:val="20"/>
              </w:rPr>
              <w:t xml:space="preserve">$3,154 </w:t>
            </w:r>
          </w:p>
        </w:tc>
      </w:tr>
    </w:tbl>
    <w:bookmarkEnd w:id="30"/>
    <w:p w:rsidR="00120AC2" w:rsidRPr="00FC7D73" w:rsidP="00FC7D73" w14:paraId="5383C878" w14:textId="056FFCAD">
      <w:pPr>
        <w:keepLines/>
        <w:tabs>
          <w:tab w:val="left" w:pos="8640"/>
        </w:tabs>
        <w:autoSpaceDE/>
        <w:autoSpaceDN/>
        <w:adjustRightInd/>
        <w:rPr>
          <w:sz w:val="20"/>
          <w:szCs w:val="20"/>
        </w:rPr>
      </w:pPr>
      <w:r w:rsidRPr="00FC7D73">
        <w:rPr>
          <w:bCs/>
          <w:sz w:val="20"/>
          <w:szCs w:val="20"/>
        </w:rPr>
        <w:t>Note: The total number of respondents and responses does not correspond to the sum of rows because different respondents work on the same record</w:t>
      </w:r>
      <w:r w:rsidRPr="00FC7D73" w:rsidR="00F31FCE">
        <w:rPr>
          <w:bCs/>
          <w:sz w:val="20"/>
          <w:szCs w:val="20"/>
        </w:rPr>
        <w:t xml:space="preserve"> rather if refers to the number of applications</w:t>
      </w:r>
      <w:r w:rsidRPr="00FC7D73">
        <w:rPr>
          <w:bCs/>
          <w:sz w:val="20"/>
          <w:szCs w:val="20"/>
        </w:rPr>
        <w:t xml:space="preserve">. </w:t>
      </w:r>
    </w:p>
    <w:p w:rsidR="00D62DC7" w:rsidRPr="00FC7D73" w:rsidP="00FC7D73" w14:paraId="71DD582D" w14:textId="77777777">
      <w:pPr>
        <w:widowControl/>
        <w:autoSpaceDE/>
        <w:autoSpaceDN/>
        <w:adjustRightInd/>
        <w:rPr>
          <w:color w:val="000000"/>
        </w:rPr>
      </w:pPr>
    </w:p>
    <w:p w:rsidR="00D62DC7" w:rsidRPr="00FC7D73" w:rsidP="00FC7D73" w14:paraId="79DE0D35" w14:textId="754BA48A">
      <w:pPr>
        <w:pStyle w:val="Default"/>
        <w:numPr>
          <w:ilvl w:val="0"/>
          <w:numId w:val="36"/>
        </w:numPr>
        <w:rPr>
          <w:rFonts w:ascii="Times New Roman" w:hAnsi="Times New Roman" w:cs="Times New Roman"/>
          <w:b/>
          <w:bCs/>
          <w:color w:val="auto"/>
        </w:rPr>
      </w:pPr>
      <w:r w:rsidRPr="00FC7D73">
        <w:rPr>
          <w:rFonts w:ascii="Times New Roman" w:hAnsi="Times New Roman" w:cs="Times New Roman"/>
          <w:b/>
          <w:bCs/>
          <w:color w:val="auto"/>
        </w:rPr>
        <w:t xml:space="preserve">Manufacturers </w:t>
      </w:r>
      <w:r w:rsidRPr="00FC7D73" w:rsidR="001E1390">
        <w:rPr>
          <w:rFonts w:ascii="Times New Roman" w:hAnsi="Times New Roman" w:cs="Times New Roman"/>
          <w:b/>
          <w:bCs/>
          <w:color w:val="auto"/>
        </w:rPr>
        <w:t xml:space="preserve">Recordkeeping </w:t>
      </w:r>
      <w:r w:rsidRPr="00FC7D73">
        <w:rPr>
          <w:rFonts w:ascii="Times New Roman" w:hAnsi="Times New Roman" w:cs="Times New Roman"/>
          <w:b/>
          <w:bCs/>
          <w:color w:val="auto"/>
        </w:rPr>
        <w:t>Certificate</w:t>
      </w:r>
      <w:r w:rsidRPr="00FC7D73">
        <w:rPr>
          <w:rFonts w:ascii="Times New Roman" w:hAnsi="Times New Roman" w:cs="Times New Roman"/>
          <w:b/>
          <w:bCs/>
          <w:color w:val="auto"/>
        </w:rPr>
        <w:t>s</w:t>
      </w:r>
      <w:r w:rsidRPr="00FC7D73">
        <w:rPr>
          <w:rFonts w:ascii="Times New Roman" w:hAnsi="Times New Roman" w:cs="Times New Roman"/>
          <w:b/>
          <w:bCs/>
          <w:color w:val="auto"/>
        </w:rPr>
        <w:t xml:space="preserve"> </w:t>
      </w:r>
    </w:p>
    <w:p w:rsidR="005A4401" w:rsidRPr="00FC7D73" w:rsidP="00FC7D73" w14:paraId="28D86FEF" w14:textId="71F447E1">
      <w:pPr>
        <w:rPr>
          <w:color w:val="000000"/>
        </w:rPr>
      </w:pPr>
    </w:p>
    <w:p w:rsidR="00D62DC7" w:rsidRPr="00FC7D73" w:rsidP="00FC7D73" w14:paraId="34E894B1" w14:textId="283E5C00">
      <w:pPr>
        <w:rPr>
          <w:color w:val="000000"/>
        </w:rPr>
      </w:pPr>
      <w:r w:rsidRPr="00FC7D73">
        <w:rPr>
          <w:color w:val="000000"/>
        </w:rPr>
        <w:t>Under 30 CFR 74.14</w:t>
      </w:r>
      <w:r w:rsidRPr="00FC7D73" w:rsidR="005A4401">
        <w:rPr>
          <w:color w:val="000000"/>
        </w:rPr>
        <w:t>(b)</w:t>
      </w:r>
      <w:r w:rsidRPr="00FC7D73">
        <w:rPr>
          <w:color w:val="000000"/>
        </w:rPr>
        <w:t xml:space="preserve">, the applicant must keep exact duplicates of the drawings and specifications submitted to MSHA relating to </w:t>
      </w:r>
      <w:r w:rsidRPr="00FC7D73" w:rsidR="005E25B4">
        <w:rPr>
          <w:color w:val="000000"/>
        </w:rPr>
        <w:t xml:space="preserve">the pump unit of </w:t>
      </w:r>
      <w:r w:rsidRPr="00FC7D73">
        <w:rPr>
          <w:color w:val="000000"/>
        </w:rPr>
        <w:t>the CMDPSU or the CPDM, which has received a certificate of approval. MSHA assumes that requirement does not impose any additional costs as the applica</w:t>
      </w:r>
      <w:r w:rsidRPr="00FC7D73" w:rsidR="005E25B4">
        <w:rPr>
          <w:color w:val="000000"/>
        </w:rPr>
        <w:t>nt already ha</w:t>
      </w:r>
      <w:r w:rsidRPr="00FC7D73" w:rsidR="003C11A4">
        <w:rPr>
          <w:color w:val="000000"/>
        </w:rPr>
        <w:t>s</w:t>
      </w:r>
      <w:r w:rsidRPr="00FC7D73" w:rsidR="005E25B4">
        <w:rPr>
          <w:color w:val="000000"/>
        </w:rPr>
        <w:t xml:space="preserve"> a copy of </w:t>
      </w:r>
      <w:r w:rsidRPr="00FC7D73" w:rsidR="005E25B4">
        <w:t>the drawings and specifications submitted to MSHA</w:t>
      </w:r>
      <w:r w:rsidRPr="00FC7D73" w:rsidR="005E25B4">
        <w:rPr>
          <w:color w:val="000000"/>
        </w:rPr>
        <w:t xml:space="preserve"> relating to the devices</w:t>
      </w:r>
      <w:r w:rsidRPr="00FC7D73">
        <w:rPr>
          <w:color w:val="000000"/>
        </w:rPr>
        <w:t xml:space="preserve">. </w:t>
      </w:r>
    </w:p>
    <w:p w:rsidR="008D6AAA" w:rsidRPr="00FC7D73" w:rsidP="00FC7D73" w14:paraId="50339446" w14:textId="493D1EE3">
      <w:pPr>
        <w:widowControl/>
        <w:autoSpaceDE/>
        <w:autoSpaceDN/>
        <w:adjustRightInd/>
        <w:rPr>
          <w:color w:val="000000"/>
        </w:rPr>
      </w:pPr>
      <w:r w:rsidRPr="00FC7D73">
        <w:rPr>
          <w:color w:val="000000"/>
        </w:rPr>
        <w:br w:type="page"/>
      </w:r>
    </w:p>
    <w:p w:rsidR="00C17904" w:rsidRPr="00FC7D73" w:rsidP="00FC7D73" w14:paraId="7CEDDB23" w14:textId="36B405EC">
      <w:pPr>
        <w:pStyle w:val="Default"/>
        <w:numPr>
          <w:ilvl w:val="0"/>
          <w:numId w:val="36"/>
        </w:numPr>
        <w:rPr>
          <w:rFonts w:ascii="Times New Roman" w:hAnsi="Times New Roman" w:cs="Times New Roman"/>
          <w:b/>
          <w:bCs/>
          <w:color w:val="auto"/>
        </w:rPr>
      </w:pPr>
      <w:r w:rsidRPr="00FC7D73">
        <w:rPr>
          <w:rFonts w:ascii="Times New Roman" w:hAnsi="Times New Roman" w:cs="Times New Roman"/>
          <w:b/>
          <w:bCs/>
          <w:color w:val="auto"/>
        </w:rPr>
        <w:t xml:space="preserve">Manufacturers Making </w:t>
      </w:r>
      <w:r w:rsidRPr="00FC7D73">
        <w:rPr>
          <w:rFonts w:ascii="Times New Roman" w:hAnsi="Times New Roman" w:cs="Times New Roman"/>
          <w:b/>
          <w:bCs/>
          <w:color w:val="auto"/>
        </w:rPr>
        <w:t>Changes After Certification</w:t>
      </w:r>
    </w:p>
    <w:p w:rsidR="005A4401" w:rsidRPr="00FC7D73" w:rsidP="00FC7D73" w14:paraId="074AB77D" w14:textId="77777777"/>
    <w:p w:rsidR="00CB31D9" w:rsidRPr="00FC7D73" w:rsidP="00FC7D73" w14:paraId="3923BF4E" w14:textId="218F061D">
      <w:pPr>
        <w:rPr>
          <w:color w:val="000000"/>
        </w:rPr>
      </w:pPr>
      <w:r w:rsidRPr="00FC7D73">
        <w:t xml:space="preserve">Under 30 CFR 74.17(b), if the applicant makes changes to </w:t>
      </w:r>
      <w:r w:rsidRPr="00FC7D73" w:rsidR="005E25B4">
        <w:t>a pump unit of a certified</w:t>
      </w:r>
      <w:r w:rsidRPr="00FC7D73" w:rsidR="005A4401">
        <w:t xml:space="preserve"> CMDPSU or in electrical components of a CPDM</w:t>
      </w:r>
      <w:r w:rsidRPr="00FC7D73">
        <w:t>, they must get approval from MSHA and apply for another</w:t>
      </w:r>
      <w:r w:rsidRPr="00FC7D73" w:rsidR="003C11A4">
        <w:t xml:space="preserve"> certification</w:t>
      </w:r>
      <w:r w:rsidRPr="00FC7D73">
        <w:t xml:space="preserve">. MSHA has not received requests from any existing approved devices and assume the burden cost to be zero. </w:t>
      </w:r>
    </w:p>
    <w:p w:rsidR="00D62DC7" w:rsidRPr="00FC7D73" w:rsidP="00FC7D73" w14:paraId="21963B55" w14:textId="77777777">
      <w:pPr>
        <w:widowControl/>
        <w:autoSpaceDE/>
        <w:autoSpaceDN/>
        <w:adjustRightInd/>
        <w:rPr>
          <w:sz w:val="20"/>
          <w:szCs w:val="20"/>
        </w:rPr>
      </w:pPr>
    </w:p>
    <w:p w:rsidR="00EA6474" w:rsidRPr="00FC7D73" w:rsidP="00FC7D73" w14:paraId="6CEF18D4" w14:textId="77777777">
      <w:pPr>
        <w:pStyle w:val="Default"/>
        <w:rPr>
          <w:rFonts w:ascii="Times New Roman" w:hAnsi="Times New Roman" w:cs="Times New Roman"/>
          <w:b/>
          <w:bCs/>
        </w:rPr>
      </w:pPr>
      <w:bookmarkStart w:id="31" w:name="_Hlk181187861"/>
      <w:bookmarkStart w:id="32" w:name="_Hlk114568991"/>
      <w:r w:rsidRPr="00FC7D73">
        <w:rPr>
          <w:rFonts w:ascii="Times New Roman" w:hAnsi="Times New Roman" w:cs="Times New Roman"/>
          <w:b/>
          <w:bCs/>
        </w:rPr>
        <w:t>Hour Burden Summary</w:t>
      </w:r>
    </w:p>
    <w:p w:rsidR="00EA6474" w:rsidRPr="00FC7D73" w:rsidP="00FC7D73" w14:paraId="18F30ECF" w14:textId="77777777">
      <w:pPr>
        <w:widowControl/>
        <w:rPr>
          <w:bCs/>
        </w:rPr>
      </w:pPr>
    </w:p>
    <w:p w:rsidR="00052BD8" w:rsidRPr="00FC7D73" w:rsidP="00FC7D73" w14:paraId="6A157573" w14:textId="1B5F0AFC">
      <w:pPr>
        <w:widowControl/>
        <w:rPr>
          <w:bCs/>
        </w:rPr>
      </w:pPr>
      <w:r w:rsidRPr="00FC7D73">
        <w:t xml:space="preserve">MSHA estimates that the </w:t>
      </w:r>
      <w:r w:rsidRPr="00FC7D73" w:rsidR="00E00ED3">
        <w:t>one</w:t>
      </w:r>
      <w:r w:rsidRPr="00FC7D73" w:rsidR="00E00F8D">
        <w:t xml:space="preserve"> </w:t>
      </w:r>
      <w:r w:rsidRPr="00FC7D73">
        <w:t xml:space="preserve">respondent </w:t>
      </w:r>
      <w:r w:rsidR="00FC7D73">
        <w:t xml:space="preserve">would incur, on average, </w:t>
      </w:r>
      <w:r w:rsidRPr="00FC7D73">
        <w:t xml:space="preserve">an annual collection burden of </w:t>
      </w:r>
      <w:r w:rsidRPr="00FC7D73" w:rsidR="0067026D">
        <w:t>41</w:t>
      </w:r>
      <w:r w:rsidRPr="00FC7D73" w:rsidR="00E00F8D">
        <w:t xml:space="preserve"> </w:t>
      </w:r>
      <w:r w:rsidRPr="00FC7D73">
        <w:t>hours with an associated annual cost of $</w:t>
      </w:r>
      <w:r w:rsidRPr="00FC7D73" w:rsidR="00E00F8D">
        <w:t>3,154</w:t>
      </w:r>
      <w:r w:rsidRPr="00FC7D73">
        <w:t xml:space="preserve">. </w:t>
      </w:r>
      <w:bookmarkStart w:id="33" w:name="_Hlk172027024"/>
      <w:r w:rsidRPr="00FC7D73">
        <w:t>The annual respondent hour and cost burden</w:t>
      </w:r>
      <w:r w:rsidRPr="00FC7D73" w:rsidR="00F60373">
        <w:t xml:space="preserve"> of this information collection</w:t>
      </w:r>
      <w:r w:rsidRPr="00FC7D73">
        <w:t xml:space="preserve"> i</w:t>
      </w:r>
      <w:r w:rsidRPr="00FC7D73" w:rsidR="00EA383A">
        <w:t>s</w:t>
      </w:r>
      <w:r w:rsidRPr="00FC7D73">
        <w:t xml:space="preserve"> summarized in </w:t>
      </w:r>
      <w:r w:rsidRPr="00FC7D73" w:rsidR="00AD607F">
        <w:t>the table below.</w:t>
      </w:r>
    </w:p>
    <w:bookmarkEnd w:id="31"/>
    <w:bookmarkEnd w:id="33"/>
    <w:p w:rsidR="00052BD8" w:rsidRPr="00FC7D73" w:rsidP="00FC7D73" w14:paraId="2CE2D9AF" w14:textId="77777777">
      <w:pPr>
        <w:widowControl/>
        <w:rPr>
          <w:bCs/>
        </w:rPr>
      </w:pPr>
    </w:p>
    <w:p w:rsidR="008F7DDE" w:rsidRPr="00FC7D73" w:rsidP="00FC7D73" w14:paraId="3E6EB7E2" w14:textId="7C30B59A">
      <w:pPr>
        <w:widowControl/>
        <w:autoSpaceDE/>
        <w:autoSpaceDN/>
        <w:adjustRightInd/>
        <w:rPr>
          <w:b/>
          <w:bCs/>
          <w:color w:val="000000"/>
        </w:rPr>
      </w:pPr>
      <w:bookmarkStart w:id="34" w:name="_Hlk114568999"/>
      <w:bookmarkEnd w:id="32"/>
      <w:r w:rsidRPr="00FC7D73">
        <w:rPr>
          <w:b/>
          <w:bCs/>
          <w:color w:val="000000"/>
        </w:rPr>
        <w:t>Table 12-</w:t>
      </w:r>
      <w:r w:rsidRPr="00FC7D73" w:rsidR="00C07758">
        <w:rPr>
          <w:b/>
          <w:bCs/>
          <w:color w:val="000000"/>
        </w:rPr>
        <w:t>3</w:t>
      </w:r>
      <w:r w:rsidRPr="00FC7D73" w:rsidR="00D75BE4">
        <w:rPr>
          <w:b/>
          <w:bCs/>
          <w:color w:val="000000"/>
        </w:rPr>
        <w:t xml:space="preserve">. </w:t>
      </w:r>
      <w:bookmarkStart w:id="35" w:name="_Hlk167267643"/>
      <w:r w:rsidRPr="00FC7D73" w:rsidR="00D75BE4">
        <w:rPr>
          <w:b/>
          <w:bCs/>
          <w:color w:val="000000"/>
        </w:rPr>
        <w:t>E</w:t>
      </w:r>
      <w:r w:rsidRPr="00FC7D73" w:rsidR="000D5FB5">
        <w:rPr>
          <w:b/>
          <w:bCs/>
          <w:color w:val="000000"/>
        </w:rPr>
        <w:t>stimated Annual Respondent Hour and Cost Burden</w:t>
      </w:r>
      <w:bookmarkEnd w:id="35"/>
      <w:r w:rsidRPr="00FC7D73" w:rsidR="000D5FB5">
        <w:rPr>
          <w:b/>
          <w:bCs/>
          <w:color w:val="000000"/>
        </w:rPr>
        <w:t>, Summary</w:t>
      </w:r>
    </w:p>
    <w:tbl>
      <w:tblPr>
        <w:tblStyle w:val="TableGrid"/>
        <w:tblW w:w="9414" w:type="dxa"/>
        <w:tblInd w:w="-5" w:type="dxa"/>
        <w:tblLayout w:type="fixed"/>
        <w:tblLook w:val="04A0"/>
      </w:tblPr>
      <w:tblGrid>
        <w:gridCol w:w="1620"/>
        <w:gridCol w:w="1350"/>
        <w:gridCol w:w="1228"/>
        <w:gridCol w:w="1202"/>
        <w:gridCol w:w="927"/>
        <w:gridCol w:w="1143"/>
        <w:gridCol w:w="828"/>
        <w:gridCol w:w="1116"/>
      </w:tblGrid>
      <w:tr w14:paraId="374ECECE" w14:textId="77777777" w:rsidTr="007628FE">
        <w:tblPrEx>
          <w:tblW w:w="9414" w:type="dxa"/>
          <w:tblInd w:w="-5" w:type="dxa"/>
          <w:tblLayout w:type="fixed"/>
          <w:tblLook w:val="04A0"/>
        </w:tblPrEx>
        <w:trPr>
          <w:trHeight w:val="614"/>
        </w:trPr>
        <w:tc>
          <w:tcPr>
            <w:tcW w:w="1620" w:type="dxa"/>
            <w:shd w:val="clear" w:color="auto" w:fill="8EAADB" w:themeFill="accent1" w:themeFillTint="99"/>
            <w:vAlign w:val="center"/>
          </w:tcPr>
          <w:p w:rsidR="000D5FB5" w:rsidRPr="00FC7D73" w:rsidP="00FC7D73" w14:paraId="4645E488" w14:textId="4DA3D2A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bookmarkStart w:id="36" w:name="_Hlk114568982"/>
            <w:bookmarkEnd w:id="34"/>
            <w:r w:rsidRPr="00FC7D73">
              <w:rPr>
                <w:sz w:val="20"/>
                <w:szCs w:val="20"/>
              </w:rPr>
              <w:t>Activity</w:t>
            </w:r>
          </w:p>
        </w:tc>
        <w:tc>
          <w:tcPr>
            <w:tcW w:w="1350" w:type="dxa"/>
            <w:shd w:val="clear" w:color="auto" w:fill="8EAADB" w:themeFill="accent1" w:themeFillTint="99"/>
            <w:vAlign w:val="center"/>
          </w:tcPr>
          <w:p w:rsidR="000D5FB5" w:rsidRPr="00FC7D73" w:rsidP="00FC7D73" w14:paraId="373F7A9C" w14:textId="7FCD51A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 xml:space="preserve">Number of </w:t>
            </w:r>
            <w:r w:rsidRPr="00FC7D73">
              <w:rPr>
                <w:sz w:val="20"/>
                <w:szCs w:val="20"/>
              </w:rPr>
              <w:t>Respondents</w:t>
            </w:r>
          </w:p>
          <w:p w:rsidR="00FA0B6E" w:rsidRPr="00FC7D73" w:rsidP="00FC7D73" w14:paraId="025D001D" w14:textId="5A1BFA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p>
        </w:tc>
        <w:tc>
          <w:tcPr>
            <w:tcW w:w="1228" w:type="dxa"/>
            <w:shd w:val="clear" w:color="auto" w:fill="8EAADB" w:themeFill="accent1" w:themeFillTint="99"/>
            <w:vAlign w:val="center"/>
          </w:tcPr>
          <w:p w:rsidR="000D5FB5" w:rsidRPr="00FC7D73" w:rsidP="00FC7D73" w14:paraId="1D6E3657" w14:textId="3809941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 xml:space="preserve">Number of </w:t>
            </w:r>
            <w:r w:rsidRPr="00FC7D73">
              <w:rPr>
                <w:sz w:val="20"/>
                <w:szCs w:val="20"/>
              </w:rPr>
              <w:t>Responses per Respondent</w:t>
            </w:r>
          </w:p>
        </w:tc>
        <w:tc>
          <w:tcPr>
            <w:tcW w:w="1202" w:type="dxa"/>
            <w:shd w:val="clear" w:color="auto" w:fill="8EAADB" w:themeFill="accent1" w:themeFillTint="99"/>
            <w:vAlign w:val="center"/>
          </w:tcPr>
          <w:p w:rsidR="000D5FB5" w:rsidRPr="00FC7D73" w:rsidP="00FC7D73" w14:paraId="7C987A6C" w14:textId="1F94026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Total Responses</w:t>
            </w:r>
          </w:p>
        </w:tc>
        <w:tc>
          <w:tcPr>
            <w:tcW w:w="927" w:type="dxa"/>
            <w:shd w:val="clear" w:color="auto" w:fill="8EAADB" w:themeFill="accent1" w:themeFillTint="99"/>
            <w:vAlign w:val="center"/>
          </w:tcPr>
          <w:p w:rsidR="000D5FB5" w:rsidRPr="00FC7D73" w:rsidP="00FC7D73" w14:paraId="0622A6EB" w14:textId="6C596F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Average Burden (Hours)</w:t>
            </w:r>
          </w:p>
        </w:tc>
        <w:tc>
          <w:tcPr>
            <w:tcW w:w="1143" w:type="dxa"/>
            <w:shd w:val="clear" w:color="auto" w:fill="8EAADB" w:themeFill="accent1" w:themeFillTint="99"/>
            <w:vAlign w:val="center"/>
          </w:tcPr>
          <w:p w:rsidR="000D5FB5" w:rsidRPr="00FC7D73" w:rsidP="00FC7D73" w14:paraId="3758A1F8" w14:textId="150527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Total Burden (Hours)</w:t>
            </w:r>
          </w:p>
        </w:tc>
        <w:tc>
          <w:tcPr>
            <w:tcW w:w="828" w:type="dxa"/>
            <w:shd w:val="clear" w:color="auto" w:fill="8EAADB" w:themeFill="accent1" w:themeFillTint="99"/>
            <w:vAlign w:val="center"/>
          </w:tcPr>
          <w:p w:rsidR="000D5FB5" w:rsidRPr="00FC7D73" w:rsidP="00FC7D73" w14:paraId="3DEDF306" w14:textId="3028D35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Hourly Wage Rate</w:t>
            </w:r>
          </w:p>
        </w:tc>
        <w:tc>
          <w:tcPr>
            <w:tcW w:w="1116" w:type="dxa"/>
            <w:shd w:val="clear" w:color="auto" w:fill="8EAADB" w:themeFill="accent1" w:themeFillTint="99"/>
            <w:vAlign w:val="center"/>
          </w:tcPr>
          <w:p w:rsidR="000D5FB5" w:rsidRPr="00FC7D73" w:rsidP="00FC7D73" w14:paraId="6772B9CD" w14:textId="01BD1FB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FC7D73">
              <w:rPr>
                <w:sz w:val="20"/>
                <w:szCs w:val="20"/>
              </w:rPr>
              <w:t>Total Burden Cost</w:t>
            </w:r>
          </w:p>
        </w:tc>
      </w:tr>
      <w:tr w14:paraId="4282501E" w14:textId="77777777" w:rsidTr="00063595">
        <w:tblPrEx>
          <w:tblW w:w="9414" w:type="dxa"/>
          <w:tblInd w:w="-5" w:type="dxa"/>
          <w:tblLayout w:type="fixed"/>
          <w:tblLook w:val="04A0"/>
        </w:tblPrEx>
        <w:trPr>
          <w:trHeight w:val="307"/>
        </w:trPr>
        <w:tc>
          <w:tcPr>
            <w:tcW w:w="1620" w:type="dxa"/>
            <w:vAlign w:val="center"/>
          </w:tcPr>
          <w:p w:rsidR="00E00F8D" w:rsidRPr="00FC7D73" w:rsidP="00FC7D73" w14:paraId="65608CCD" w14:textId="626BC26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FC7D73">
              <w:rPr>
                <w:color w:val="000000"/>
                <w:sz w:val="20"/>
                <w:szCs w:val="20"/>
              </w:rPr>
              <w:t>Prepar</w:t>
            </w:r>
            <w:r w:rsidRPr="00FC7D73" w:rsidR="00CC65BB">
              <w:rPr>
                <w:color w:val="000000"/>
                <w:sz w:val="20"/>
                <w:szCs w:val="20"/>
              </w:rPr>
              <w:t>ing</w:t>
            </w:r>
            <w:r w:rsidRPr="00FC7D73">
              <w:rPr>
                <w:color w:val="000000"/>
                <w:sz w:val="20"/>
                <w:szCs w:val="20"/>
              </w:rPr>
              <w:t xml:space="preserve"> and Submit</w:t>
            </w:r>
            <w:r w:rsidRPr="00FC7D73" w:rsidR="00CC65BB">
              <w:rPr>
                <w:color w:val="000000"/>
                <w:sz w:val="20"/>
                <w:szCs w:val="20"/>
              </w:rPr>
              <w:t>ting</w:t>
            </w:r>
            <w:r w:rsidRPr="00FC7D73">
              <w:rPr>
                <w:color w:val="000000"/>
                <w:sz w:val="20"/>
                <w:szCs w:val="20"/>
              </w:rPr>
              <w:t xml:space="preserve"> Applications</w:t>
            </w:r>
          </w:p>
        </w:tc>
        <w:tc>
          <w:tcPr>
            <w:tcW w:w="1350" w:type="dxa"/>
            <w:vAlign w:val="center"/>
          </w:tcPr>
          <w:p w:rsidR="00E00F8D" w:rsidRPr="00FC7D73" w:rsidP="00FC7D73" w14:paraId="440677C1" w14:textId="3A41599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FC7D73">
              <w:rPr>
                <w:color w:val="000000"/>
                <w:sz w:val="20"/>
                <w:szCs w:val="20"/>
              </w:rPr>
              <w:t>1</w:t>
            </w:r>
          </w:p>
        </w:tc>
        <w:tc>
          <w:tcPr>
            <w:tcW w:w="1228" w:type="dxa"/>
            <w:shd w:val="clear" w:color="auto" w:fill="000000" w:themeFill="text1"/>
            <w:vAlign w:val="center"/>
          </w:tcPr>
          <w:p w:rsidR="00E00F8D" w:rsidRPr="00FC7D73" w:rsidP="00FC7D73" w14:paraId="0C47DEFD" w14:textId="7817D27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FC7D73">
              <w:rPr>
                <w:color w:val="000000"/>
                <w:sz w:val="20"/>
                <w:szCs w:val="20"/>
              </w:rPr>
              <w:t>1</w:t>
            </w:r>
          </w:p>
        </w:tc>
        <w:tc>
          <w:tcPr>
            <w:tcW w:w="1202" w:type="dxa"/>
            <w:vAlign w:val="center"/>
          </w:tcPr>
          <w:p w:rsidR="00E00F8D" w:rsidRPr="00FC7D73" w:rsidP="00FC7D73" w14:paraId="22AA57E9" w14:textId="588F1A6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FC7D73">
              <w:rPr>
                <w:color w:val="000000"/>
                <w:sz w:val="20"/>
                <w:szCs w:val="20"/>
              </w:rPr>
              <w:t>1</w:t>
            </w:r>
          </w:p>
        </w:tc>
        <w:tc>
          <w:tcPr>
            <w:tcW w:w="927" w:type="dxa"/>
            <w:shd w:val="clear" w:color="auto" w:fill="000000" w:themeFill="text1"/>
            <w:vAlign w:val="center"/>
          </w:tcPr>
          <w:p w:rsidR="00E00F8D" w:rsidRPr="00FC7D73" w:rsidP="00FC7D73" w14:paraId="5A9D5146" w14:textId="40EABB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FC7D73">
              <w:rPr>
                <w:color w:val="000000"/>
                <w:sz w:val="20"/>
                <w:szCs w:val="20"/>
              </w:rPr>
              <w:t> </w:t>
            </w:r>
          </w:p>
        </w:tc>
        <w:tc>
          <w:tcPr>
            <w:tcW w:w="1143" w:type="dxa"/>
            <w:vAlign w:val="center"/>
          </w:tcPr>
          <w:p w:rsidR="00E00F8D" w:rsidRPr="00FC7D73" w:rsidP="00FC7D73" w14:paraId="75208E80" w14:textId="083A767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FC7D73">
              <w:rPr>
                <w:color w:val="000000"/>
                <w:sz w:val="20"/>
                <w:szCs w:val="20"/>
              </w:rPr>
              <w:t>41.00</w:t>
            </w:r>
          </w:p>
        </w:tc>
        <w:tc>
          <w:tcPr>
            <w:tcW w:w="828" w:type="dxa"/>
            <w:shd w:val="clear" w:color="auto" w:fill="000000" w:themeFill="text1"/>
            <w:vAlign w:val="center"/>
          </w:tcPr>
          <w:p w:rsidR="00E00F8D" w:rsidRPr="00FC7D73" w:rsidP="00FC7D73" w14:paraId="124E61EC" w14:textId="27F147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FC7D73">
              <w:rPr>
                <w:color w:val="000000"/>
                <w:sz w:val="20"/>
                <w:szCs w:val="20"/>
              </w:rPr>
              <w:t> </w:t>
            </w:r>
          </w:p>
        </w:tc>
        <w:tc>
          <w:tcPr>
            <w:tcW w:w="1116" w:type="dxa"/>
            <w:vAlign w:val="center"/>
          </w:tcPr>
          <w:p w:rsidR="00E00F8D" w:rsidRPr="00FC7D73" w:rsidP="00FC7D73" w14:paraId="2DDE4177" w14:textId="6E63257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FC7D73">
              <w:rPr>
                <w:color w:val="000000"/>
                <w:sz w:val="20"/>
                <w:szCs w:val="20"/>
              </w:rPr>
              <w:t>$3,153.96</w:t>
            </w:r>
          </w:p>
        </w:tc>
      </w:tr>
      <w:tr w14:paraId="7CDDDCD7" w14:textId="77777777" w:rsidTr="007628FE">
        <w:tblPrEx>
          <w:tblW w:w="9414" w:type="dxa"/>
          <w:tblInd w:w="-5" w:type="dxa"/>
          <w:tblLayout w:type="fixed"/>
          <w:tblLook w:val="04A0"/>
        </w:tblPrEx>
        <w:trPr>
          <w:trHeight w:val="307"/>
        </w:trPr>
        <w:tc>
          <w:tcPr>
            <w:tcW w:w="1620" w:type="dxa"/>
            <w:shd w:val="clear" w:color="auto" w:fill="auto"/>
            <w:vAlign w:val="center"/>
          </w:tcPr>
          <w:p w:rsidR="00E00F8D" w:rsidRPr="00FC7D73" w:rsidP="00FC7D73" w14:paraId="1FCE5A8E" w14:textId="6CA1831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
                <w:i/>
                <w:iCs/>
                <w:sz w:val="20"/>
                <w:szCs w:val="20"/>
              </w:rPr>
            </w:pPr>
            <w:r w:rsidRPr="00FC7D73">
              <w:rPr>
                <w:b/>
                <w:bCs/>
                <w:i/>
                <w:iCs/>
                <w:color w:val="000000"/>
                <w:sz w:val="20"/>
                <w:szCs w:val="20"/>
              </w:rPr>
              <w:t>Total (Rounded)</w:t>
            </w:r>
          </w:p>
        </w:tc>
        <w:tc>
          <w:tcPr>
            <w:tcW w:w="1350" w:type="dxa"/>
            <w:shd w:val="clear" w:color="auto" w:fill="auto"/>
            <w:vAlign w:val="center"/>
          </w:tcPr>
          <w:p w:rsidR="00E00F8D" w:rsidRPr="00FC7D73" w:rsidP="00FC7D73" w14:paraId="4A74AF16" w14:textId="62C4264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1</w:t>
            </w:r>
          </w:p>
        </w:tc>
        <w:tc>
          <w:tcPr>
            <w:tcW w:w="1228" w:type="dxa"/>
            <w:shd w:val="clear" w:color="auto" w:fill="000000" w:themeFill="text1"/>
            <w:vAlign w:val="center"/>
          </w:tcPr>
          <w:p w:rsidR="00E00F8D" w:rsidRPr="00FC7D73" w:rsidP="00FC7D73" w14:paraId="27642701" w14:textId="39A6CD0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 </w:t>
            </w:r>
          </w:p>
        </w:tc>
        <w:tc>
          <w:tcPr>
            <w:tcW w:w="1202" w:type="dxa"/>
            <w:shd w:val="clear" w:color="auto" w:fill="auto"/>
            <w:vAlign w:val="center"/>
          </w:tcPr>
          <w:p w:rsidR="00E00F8D" w:rsidRPr="00FC7D73" w:rsidP="00FC7D73" w14:paraId="7F92697B" w14:textId="6F2BA4A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1</w:t>
            </w:r>
          </w:p>
        </w:tc>
        <w:tc>
          <w:tcPr>
            <w:tcW w:w="927" w:type="dxa"/>
            <w:shd w:val="clear" w:color="auto" w:fill="000000" w:themeFill="text1"/>
            <w:vAlign w:val="center"/>
          </w:tcPr>
          <w:p w:rsidR="00E00F8D" w:rsidRPr="00FC7D73" w:rsidP="00FC7D73" w14:paraId="5A3702C1" w14:textId="36B9C7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 </w:t>
            </w:r>
          </w:p>
        </w:tc>
        <w:tc>
          <w:tcPr>
            <w:tcW w:w="1143" w:type="dxa"/>
            <w:shd w:val="clear" w:color="auto" w:fill="auto"/>
            <w:vAlign w:val="center"/>
          </w:tcPr>
          <w:p w:rsidR="00E00F8D" w:rsidRPr="00FC7D73" w:rsidP="00FC7D73" w14:paraId="382DBFCD" w14:textId="7F1205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41</w:t>
            </w:r>
          </w:p>
        </w:tc>
        <w:tc>
          <w:tcPr>
            <w:tcW w:w="828" w:type="dxa"/>
            <w:shd w:val="clear" w:color="auto" w:fill="000000" w:themeFill="text1"/>
            <w:vAlign w:val="center"/>
          </w:tcPr>
          <w:p w:rsidR="00E00F8D" w:rsidRPr="00FC7D73" w:rsidP="00FC7D73" w14:paraId="0A662691" w14:textId="42C98CB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 </w:t>
            </w:r>
          </w:p>
        </w:tc>
        <w:tc>
          <w:tcPr>
            <w:tcW w:w="1116" w:type="dxa"/>
            <w:vAlign w:val="center"/>
          </w:tcPr>
          <w:p w:rsidR="00E00F8D" w:rsidRPr="00FC7D73" w:rsidP="00FC7D73" w14:paraId="509B9CDE" w14:textId="0B3039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FC7D73">
              <w:rPr>
                <w:b/>
                <w:bCs/>
                <w:i/>
                <w:iCs/>
                <w:color w:val="000000"/>
                <w:sz w:val="20"/>
                <w:szCs w:val="20"/>
              </w:rPr>
              <w:t xml:space="preserve">$3,154 </w:t>
            </w:r>
          </w:p>
        </w:tc>
      </w:tr>
      <w:bookmarkEnd w:id="36"/>
    </w:tbl>
    <w:p w:rsidR="00D75BE4" w:rsidRPr="00FC7D73" w:rsidP="00FC7D73" w14:paraId="29DB2914" w14:textId="77777777">
      <w:pPr>
        <w:widowControl/>
        <w:rPr>
          <w:sz w:val="20"/>
          <w:szCs w:val="20"/>
        </w:rPr>
      </w:pPr>
    </w:p>
    <w:p w:rsidR="008F7DDE" w:rsidRPr="00FC7D73" w:rsidP="00FC7D73" w14:paraId="75C67996" w14:textId="77777777">
      <w:pPr>
        <w:rPr>
          <w:b/>
          <w:bCs/>
          <w:color w:val="000000"/>
        </w:rPr>
      </w:pPr>
      <w:r w:rsidRPr="00FC7D73">
        <w:rPr>
          <w:b/>
          <w:bCs/>
          <w:color w:val="000000"/>
        </w:rPr>
        <w:t>13.  Provide an estimate of the total annual cost burden to respondents or record keepers resulting from the collection of information.  (Do not include the cost of any hour burden already reflected on the burden worksheet).</w:t>
      </w:r>
    </w:p>
    <w:p w:rsidR="008F7DDE" w:rsidRPr="00FC7D73" w:rsidP="00FC7D73" w14:paraId="5A33710B" w14:textId="77777777">
      <w:pPr>
        <w:pStyle w:val="ListParagraph"/>
        <w:numPr>
          <w:ilvl w:val="0"/>
          <w:numId w:val="2"/>
        </w:numPr>
        <w:tabs>
          <w:tab w:val="left" w:pos="-1440"/>
        </w:tabs>
        <w:spacing w:after="0" w:line="240" w:lineRule="auto"/>
        <w:rPr>
          <w:b/>
          <w:bCs/>
          <w:color w:val="000000"/>
          <w:szCs w:val="24"/>
        </w:rPr>
      </w:pPr>
      <w:r w:rsidRPr="00FC7D73">
        <w:rPr>
          <w:b/>
          <w:bCs/>
          <w:color w:val="000000"/>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1D65E9" w:rsidRPr="00FC7D73" w:rsidP="00FC7D73" w14:paraId="4A307C94" w14:textId="77777777">
      <w:pPr>
        <w:pStyle w:val="ListParagraph"/>
        <w:tabs>
          <w:tab w:val="left" w:pos="-1440"/>
        </w:tabs>
        <w:spacing w:after="0" w:line="240" w:lineRule="auto"/>
        <w:rPr>
          <w:b/>
          <w:bCs/>
          <w:color w:val="000000"/>
          <w:szCs w:val="24"/>
        </w:rPr>
      </w:pPr>
    </w:p>
    <w:p w:rsidR="008F7DDE" w:rsidRPr="00FC7D73" w:rsidP="00FC7D73" w14:paraId="02848F16" w14:textId="77777777">
      <w:pPr>
        <w:pStyle w:val="ListParagraph"/>
        <w:numPr>
          <w:ilvl w:val="0"/>
          <w:numId w:val="2"/>
        </w:numPr>
        <w:tabs>
          <w:tab w:val="left" w:pos="-1440"/>
        </w:tabs>
        <w:spacing w:after="0" w:line="240" w:lineRule="auto"/>
        <w:rPr>
          <w:b/>
          <w:bCs/>
          <w:color w:val="000000"/>
          <w:szCs w:val="24"/>
        </w:rPr>
      </w:pPr>
      <w:r w:rsidRPr="00FC7D73">
        <w:rPr>
          <w:b/>
          <w:bCs/>
          <w:color w:val="000000"/>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8F7DDE" w:rsidRPr="00FC7D73" w:rsidP="00FC7D73" w14:paraId="3271FB89" w14:textId="77777777">
      <w:pPr>
        <w:pStyle w:val="ListParagraph"/>
        <w:numPr>
          <w:ilvl w:val="0"/>
          <w:numId w:val="2"/>
        </w:numPr>
        <w:tabs>
          <w:tab w:val="left" w:pos="-1440"/>
        </w:tabs>
        <w:spacing w:after="0" w:line="240" w:lineRule="auto"/>
        <w:rPr>
          <w:b/>
          <w:bCs/>
          <w:color w:val="000000"/>
          <w:szCs w:val="24"/>
        </w:rPr>
      </w:pPr>
      <w:r w:rsidRPr="00FC7D73">
        <w:rPr>
          <w:b/>
          <w:bCs/>
          <w:color w:val="000000"/>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52998" w:rsidRPr="00FC7D73" w:rsidP="00FC7D73" w14:paraId="5AE4592D" w14:textId="77777777"/>
    <w:p w:rsidR="00BF5B03" w:rsidRPr="00FC7D73" w:rsidP="00FC7D73" w14:paraId="673B0E9F" w14:textId="77777777">
      <w:pPr>
        <w:rPr>
          <w:b/>
          <w:bCs/>
          <w:color w:val="000000" w:themeColor="text1"/>
        </w:rPr>
      </w:pPr>
      <w:bookmarkStart w:id="37" w:name="OLE_LINK6"/>
      <w:bookmarkStart w:id="38" w:name="OLE_LINK7"/>
    </w:p>
    <w:p w:rsidR="0069788D" w:rsidRPr="00FC7D73" w:rsidP="00FC7D73" w14:paraId="3FB9FC25" w14:textId="05FAAF08">
      <w:r w:rsidRPr="00FC7D73">
        <w:rPr>
          <w:b/>
          <w:bCs/>
        </w:rPr>
        <w:t xml:space="preserve">I-1. </w:t>
      </w:r>
      <w:r w:rsidRPr="00FC7D73">
        <w:rPr>
          <w:b/>
          <w:bCs/>
        </w:rPr>
        <w:t xml:space="preserve">MSHA </w:t>
      </w:r>
      <w:r w:rsidRPr="00FC7D73">
        <w:rPr>
          <w:b/>
          <w:bCs/>
        </w:rPr>
        <w:t xml:space="preserve">Testing Pump Units of CMDPSUs </w:t>
      </w:r>
      <w:bookmarkStart w:id="39" w:name="_Hlk167348202"/>
    </w:p>
    <w:p w:rsidR="00BF5B03" w:rsidRPr="00FC7D73" w:rsidP="00FC7D73" w14:paraId="10A52B0E" w14:textId="77777777"/>
    <w:p w:rsidR="00B52998" w:rsidRPr="00FC7D73" w:rsidP="00FC7D73" w14:paraId="5C5E5153" w14:textId="0F9C9819">
      <w:pPr>
        <w:pStyle w:val="BodyText"/>
        <w:spacing w:after="0"/>
      </w:pPr>
      <w:r w:rsidRPr="00FC7D73">
        <w:t xml:space="preserve">Under 30 CFR </w:t>
      </w:r>
      <w:r w:rsidRPr="00FC7D73" w:rsidR="009F3185">
        <w:t>74.5</w:t>
      </w:r>
      <w:r w:rsidRPr="00FC7D73" w:rsidR="00CC65BB">
        <w:t>(b)</w:t>
      </w:r>
      <w:r w:rsidRPr="00FC7D73">
        <w:t xml:space="preserve">, the applicant must submit </w:t>
      </w:r>
      <w:r w:rsidRPr="00FC7D73" w:rsidR="009F3185">
        <w:rPr>
          <w:color w:val="000000"/>
        </w:rPr>
        <w:t>the CMDPSU</w:t>
      </w:r>
      <w:r w:rsidRPr="00FC7D73" w:rsidR="0027285F">
        <w:rPr>
          <w:color w:val="000000"/>
        </w:rPr>
        <w:t xml:space="preserve"> or</w:t>
      </w:r>
      <w:r w:rsidRPr="00FC7D73" w:rsidR="009F3185">
        <w:rPr>
          <w:color w:val="000000"/>
        </w:rPr>
        <w:t xml:space="preserve"> the pump unit</w:t>
      </w:r>
      <w:r w:rsidRPr="00FC7D73" w:rsidR="009F3185">
        <w:t xml:space="preserve"> </w:t>
      </w:r>
      <w:r w:rsidRPr="00FC7D73">
        <w:t>to MSHA for testing and evaluation</w:t>
      </w:r>
      <w:r w:rsidRPr="00FC7D73" w:rsidR="009F3185">
        <w:t xml:space="preserve">. </w:t>
      </w:r>
      <w:r w:rsidRPr="00FC7D73">
        <w:t>The following tests would be performed by MSHA under 30 CFR 18.68(a)(1): current limiting resistor adequacy test; coal dust thermal ignition test; optical isolator test; impact test and force test of encapsulated electrical assemblies; drop testing intrinsically safe apparatus; mechanical test of partitions; piezoelectric device impact test; and dielectric strength test. The battery flash current test would be performed under 30 CFR 18.68(a)(1) and (b)(1). The methane thermal ignition test would be performed under 30 CFR 18.68(a)(1) and (b)(6). The maximum surface temperature test would be performed under 30 CFR 18.68(a)(1) and (b)(3). The spark ignition test would be performed under 30 CFR 18.68(a)(1), (a)(2), (a)(4), (a)(5), (b)(4), and (b)(5).</w:t>
      </w:r>
    </w:p>
    <w:bookmarkEnd w:id="39"/>
    <w:p w:rsidR="00B52998" w:rsidRPr="00FC7D73" w:rsidP="00FC7D73" w14:paraId="2962C6A7" w14:textId="77777777">
      <w:pPr>
        <w:pStyle w:val="BodyText"/>
        <w:spacing w:after="0"/>
      </w:pPr>
    </w:p>
    <w:p w:rsidR="00B52998" w:rsidRPr="00FC7D73" w:rsidP="00FC7D73" w14:paraId="4D6BC4EA" w14:textId="0583C35D">
      <w:pPr>
        <w:pStyle w:val="BodyText"/>
        <w:spacing w:after="0"/>
      </w:pPr>
      <w:r w:rsidRPr="00FC7D73">
        <w:t xml:space="preserve">MSHA estimates that there is one CMDPSU </w:t>
      </w:r>
      <w:r w:rsidRPr="00FC7D73" w:rsidR="002C2518">
        <w:t xml:space="preserve">device tested for </w:t>
      </w:r>
      <w:r w:rsidRPr="00FC7D73">
        <w:t xml:space="preserve">application submission annually. </w:t>
      </w:r>
      <w:r w:rsidRPr="00FC7D73">
        <w:t>MSHA estimates that it will take an average of 4</w:t>
      </w:r>
      <w:r w:rsidRPr="00FC7D73" w:rsidR="006C0820">
        <w:t>5</w:t>
      </w:r>
      <w:r w:rsidRPr="00FC7D73">
        <w:t xml:space="preserve"> hours to evaluate</w:t>
      </w:r>
      <w:r w:rsidRPr="00FC7D73" w:rsidR="006C0820">
        <w:t xml:space="preserve"> and </w:t>
      </w:r>
      <w:r w:rsidRPr="00FC7D73">
        <w:t>40 hours to test each application, for a total of 85 hours for each application. MSHA charges an hourly fee of $184 per hour for evaluation and testing time</w:t>
      </w:r>
      <w:r w:rsidRPr="00FC7D73" w:rsidR="00387171">
        <w:t xml:space="preserve"> that will be paid by the applicant.</w:t>
      </w:r>
      <w:r w:rsidRPr="00FC7D73">
        <w:t xml:space="preserve">  </w:t>
      </w:r>
    </w:p>
    <w:p w:rsidR="00FB1C38" w:rsidRPr="00FC7D73" w:rsidP="00FC7D73" w14:paraId="3DBD1FCF" w14:textId="77777777">
      <w:pPr>
        <w:rPr>
          <w:bCs/>
          <w:color w:val="000000"/>
        </w:rPr>
      </w:pPr>
    </w:p>
    <w:p w:rsidR="00052BD8" w:rsidRPr="00FC7D73" w:rsidP="00FC7D73" w14:paraId="3A7A9964" w14:textId="2E7031E4">
      <w:pPr>
        <w:widowControl/>
        <w:autoSpaceDE/>
        <w:autoSpaceDN/>
        <w:adjustRightInd/>
        <w:ind w:right="-540"/>
        <w:rPr>
          <w:b/>
          <w:bCs/>
          <w:color w:val="000000"/>
        </w:rPr>
      </w:pPr>
      <w:bookmarkStart w:id="40" w:name="_Hlk114570323"/>
      <w:r w:rsidRPr="00FC7D73">
        <w:rPr>
          <w:b/>
          <w:bCs/>
          <w:color w:val="000000"/>
        </w:rPr>
        <w:t>Table 13-</w:t>
      </w:r>
      <w:r w:rsidRPr="00FC7D73" w:rsidR="009F3185">
        <w:rPr>
          <w:b/>
          <w:bCs/>
          <w:color w:val="000000"/>
        </w:rPr>
        <w:t>1</w:t>
      </w:r>
      <w:r w:rsidRPr="00FC7D73" w:rsidR="0005598E">
        <w:rPr>
          <w:b/>
          <w:bCs/>
          <w:color w:val="000000"/>
        </w:rPr>
        <w:t>.</w:t>
      </w:r>
      <w:r w:rsidRPr="00FC7D73">
        <w:rPr>
          <w:b/>
          <w:bCs/>
          <w:color w:val="000000"/>
        </w:rPr>
        <w:t xml:space="preserve"> Estimated Annual Respondent or Recordkeeper Cost Burden, </w:t>
      </w:r>
      <w:r w:rsidRPr="00FC7D73" w:rsidR="00B1636C">
        <w:rPr>
          <w:b/>
          <w:bCs/>
          <w:color w:val="000000"/>
        </w:rPr>
        <w:t>MSHA Testing Pump Units of CMDPSUs</w:t>
      </w:r>
      <w:r w:rsidRPr="00FC7D73" w:rsidR="00B1636C">
        <w:rPr>
          <w:b/>
          <w:bCs/>
          <w:color w:val="000000"/>
        </w:rPr>
        <w:t xml:space="preserve"> </w:t>
      </w:r>
      <w:r w:rsidRPr="00FC7D73">
        <w:rPr>
          <w:b/>
          <w:bCs/>
          <w:color w:val="000000"/>
        </w:rPr>
        <w:t>(30 CFR 74.</w:t>
      </w:r>
      <w:r w:rsidRPr="00FC7D73" w:rsidR="0005598E">
        <w:rPr>
          <w:b/>
          <w:bCs/>
          <w:color w:val="000000"/>
        </w:rPr>
        <w:t>5(b)</w:t>
      </w:r>
      <w:r w:rsidRPr="00FC7D73">
        <w:rPr>
          <w:b/>
          <w:bCs/>
          <w:color w:val="000000"/>
        </w:rPr>
        <w:t>)</w:t>
      </w:r>
    </w:p>
    <w:tbl>
      <w:tblPr>
        <w:tblW w:w="9895" w:type="dxa"/>
        <w:tblLook w:val="04A0"/>
      </w:tblPr>
      <w:tblGrid>
        <w:gridCol w:w="2605"/>
        <w:gridCol w:w="1800"/>
        <w:gridCol w:w="1710"/>
        <w:gridCol w:w="1710"/>
        <w:gridCol w:w="2070"/>
      </w:tblGrid>
      <w:tr w14:paraId="6C490E66" w14:textId="77777777" w:rsidTr="00C903C8">
        <w:tblPrEx>
          <w:tblW w:w="9895" w:type="dxa"/>
          <w:tblLook w:val="04A0"/>
        </w:tblPrEx>
        <w:trPr>
          <w:trHeight w:val="528"/>
        </w:trPr>
        <w:tc>
          <w:tcPr>
            <w:tcW w:w="260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6D5564" w:rsidRPr="00FC7D73" w:rsidP="00FC7D73" w14:paraId="440C473B" w14:textId="77777777">
            <w:pPr>
              <w:widowControl/>
              <w:autoSpaceDE/>
              <w:autoSpaceDN/>
              <w:adjustRightInd/>
              <w:rPr>
                <w:color w:val="000000"/>
                <w:sz w:val="20"/>
                <w:szCs w:val="20"/>
              </w:rPr>
            </w:pPr>
            <w:r w:rsidRPr="00FC7D73">
              <w:rPr>
                <w:color w:val="000000"/>
                <w:sz w:val="20"/>
                <w:szCs w:val="20"/>
              </w:rPr>
              <w:t>Cost components</w:t>
            </w:r>
          </w:p>
        </w:tc>
        <w:tc>
          <w:tcPr>
            <w:tcW w:w="180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D5564" w:rsidRPr="00FC7D73" w:rsidP="00FC7D73" w14:paraId="26157A54" w14:textId="4A1A61CA">
            <w:pPr>
              <w:widowControl/>
              <w:autoSpaceDE/>
              <w:autoSpaceDN/>
              <w:adjustRightInd/>
              <w:jc w:val="center"/>
              <w:rPr>
                <w:color w:val="000000"/>
                <w:sz w:val="20"/>
                <w:szCs w:val="20"/>
              </w:rPr>
            </w:pPr>
            <w:r w:rsidRPr="00FC7D73">
              <w:rPr>
                <w:color w:val="000000"/>
                <w:sz w:val="20"/>
                <w:szCs w:val="20"/>
              </w:rPr>
              <w:t>Number of Responses (</w:t>
            </w:r>
            <w:r w:rsidRPr="00FC7D73" w:rsidR="001B6AA7">
              <w:rPr>
                <w:color w:val="000000"/>
                <w:sz w:val="20"/>
                <w:szCs w:val="20"/>
              </w:rPr>
              <w:t>Applications</w:t>
            </w:r>
            <w:r w:rsidRPr="00FC7D73">
              <w:rPr>
                <w:color w:val="000000"/>
                <w:sz w:val="20"/>
                <w:szCs w:val="20"/>
              </w:rPr>
              <w:t>)</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D5564" w:rsidRPr="00FC7D73" w:rsidP="00FC7D73" w14:paraId="21029E77" w14:textId="77777777">
            <w:pPr>
              <w:widowControl/>
              <w:autoSpaceDE/>
              <w:autoSpaceDN/>
              <w:adjustRightInd/>
              <w:jc w:val="center"/>
              <w:rPr>
                <w:color w:val="000000"/>
                <w:sz w:val="20"/>
                <w:szCs w:val="20"/>
              </w:rPr>
            </w:pPr>
            <w:r w:rsidRPr="00FC7D73">
              <w:rPr>
                <w:color w:val="000000"/>
                <w:sz w:val="20"/>
                <w:szCs w:val="20"/>
              </w:rPr>
              <w:t>Number of Hours</w:t>
            </w:r>
          </w:p>
        </w:tc>
        <w:tc>
          <w:tcPr>
            <w:tcW w:w="171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D5564" w:rsidRPr="00FC7D73" w:rsidP="00FC7D73" w14:paraId="7C860CAD" w14:textId="77777777">
            <w:pPr>
              <w:widowControl/>
              <w:autoSpaceDE/>
              <w:autoSpaceDN/>
              <w:adjustRightInd/>
              <w:jc w:val="center"/>
              <w:rPr>
                <w:color w:val="000000"/>
                <w:sz w:val="20"/>
                <w:szCs w:val="20"/>
              </w:rPr>
            </w:pPr>
            <w:r w:rsidRPr="00FC7D73">
              <w:rPr>
                <w:color w:val="000000"/>
                <w:sz w:val="20"/>
                <w:szCs w:val="20"/>
              </w:rPr>
              <w:t>Hourly Cost</w:t>
            </w:r>
          </w:p>
        </w:tc>
        <w:tc>
          <w:tcPr>
            <w:tcW w:w="207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D5564" w:rsidRPr="00FC7D73" w:rsidP="00FC7D73" w14:paraId="3DA133B2" w14:textId="77777777">
            <w:pPr>
              <w:widowControl/>
              <w:autoSpaceDE/>
              <w:autoSpaceDN/>
              <w:adjustRightInd/>
              <w:jc w:val="center"/>
              <w:rPr>
                <w:color w:val="000000"/>
                <w:sz w:val="20"/>
                <w:szCs w:val="20"/>
              </w:rPr>
            </w:pPr>
            <w:r w:rsidRPr="00FC7D73">
              <w:rPr>
                <w:color w:val="000000"/>
                <w:sz w:val="20"/>
                <w:szCs w:val="20"/>
              </w:rPr>
              <w:t>Cost to Recordkeepers</w:t>
            </w:r>
          </w:p>
        </w:tc>
      </w:tr>
      <w:tr w14:paraId="3C2DDA6F" w14:textId="77777777" w:rsidTr="00063595">
        <w:tblPrEx>
          <w:tblW w:w="9895" w:type="dxa"/>
          <w:tblLook w:val="04A0"/>
        </w:tblPrEx>
        <w:trPr>
          <w:trHeight w:val="276"/>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6D5564" w:rsidRPr="00FC7D73" w:rsidP="00FC7D73" w14:paraId="49BA5DFC" w14:textId="69A12954">
            <w:pPr>
              <w:widowControl/>
              <w:autoSpaceDE/>
              <w:autoSpaceDN/>
              <w:adjustRightInd/>
              <w:rPr>
                <w:color w:val="000000"/>
                <w:sz w:val="20"/>
                <w:szCs w:val="20"/>
              </w:rPr>
            </w:pPr>
            <w:r w:rsidRPr="00FC7D73">
              <w:rPr>
                <w:color w:val="000000"/>
                <w:sz w:val="20"/>
                <w:szCs w:val="20"/>
              </w:rPr>
              <w:t xml:space="preserve">MSHA </w:t>
            </w:r>
            <w:r w:rsidRPr="00FC7D73" w:rsidR="00D10D83">
              <w:rPr>
                <w:color w:val="000000"/>
                <w:sz w:val="20"/>
                <w:szCs w:val="20"/>
              </w:rPr>
              <w:t>Conducting</w:t>
            </w:r>
            <w:r w:rsidRPr="00FC7D73" w:rsidR="0005598E">
              <w:rPr>
                <w:color w:val="000000"/>
                <w:sz w:val="20"/>
                <w:szCs w:val="20"/>
              </w:rPr>
              <w:t xml:space="preserve"> CMDPSU</w:t>
            </w:r>
            <w:r w:rsidRPr="00FC7D73" w:rsidR="00D10D83">
              <w:rPr>
                <w:color w:val="000000"/>
                <w:sz w:val="20"/>
                <w:szCs w:val="20"/>
              </w:rPr>
              <w:t xml:space="preserve"> </w:t>
            </w:r>
            <w:r w:rsidRPr="00FC7D73">
              <w:rPr>
                <w:color w:val="000000"/>
                <w:sz w:val="20"/>
                <w:szCs w:val="20"/>
              </w:rPr>
              <w:t>Test</w:t>
            </w:r>
            <w:r w:rsidRPr="00FC7D73" w:rsidR="009C17E2">
              <w:rPr>
                <w:color w:val="000000"/>
                <w:sz w:val="20"/>
                <w:szCs w:val="20"/>
              </w:rPr>
              <w:t>s</w:t>
            </w:r>
            <w:r w:rsidRPr="00FC7D73" w:rsidR="005E25B4">
              <w:rPr>
                <w:color w:val="000000"/>
                <w:sz w:val="20"/>
                <w:szCs w:val="20"/>
              </w:rPr>
              <w:t xml:space="preserve"> and Evaluations</w:t>
            </w:r>
          </w:p>
        </w:tc>
        <w:tc>
          <w:tcPr>
            <w:tcW w:w="1800" w:type="dxa"/>
            <w:tcBorders>
              <w:top w:val="nil"/>
              <w:left w:val="nil"/>
              <w:bottom w:val="single" w:sz="4" w:space="0" w:color="auto"/>
              <w:right w:val="single" w:sz="4" w:space="0" w:color="auto"/>
            </w:tcBorders>
            <w:shd w:val="clear" w:color="auto" w:fill="auto"/>
            <w:noWrap/>
            <w:vAlign w:val="center"/>
            <w:hideMark/>
          </w:tcPr>
          <w:p w:rsidR="006D5564" w:rsidRPr="00FC7D73" w:rsidP="00FC7D73" w14:paraId="0DB45B00" w14:textId="77777777">
            <w:pPr>
              <w:widowControl/>
              <w:autoSpaceDE/>
              <w:autoSpaceDN/>
              <w:adjustRightInd/>
              <w:jc w:val="right"/>
              <w:rPr>
                <w:color w:val="000000"/>
                <w:sz w:val="20"/>
                <w:szCs w:val="20"/>
              </w:rPr>
            </w:pPr>
            <w:r w:rsidRPr="00FC7D73">
              <w:rPr>
                <w:color w:val="000000"/>
                <w:sz w:val="20"/>
                <w:szCs w:val="20"/>
              </w:rPr>
              <w:t>1</w:t>
            </w:r>
          </w:p>
        </w:tc>
        <w:tc>
          <w:tcPr>
            <w:tcW w:w="1710" w:type="dxa"/>
            <w:tcBorders>
              <w:top w:val="nil"/>
              <w:left w:val="nil"/>
              <w:bottom w:val="single" w:sz="4" w:space="0" w:color="auto"/>
              <w:right w:val="single" w:sz="4" w:space="0" w:color="auto"/>
            </w:tcBorders>
            <w:shd w:val="clear" w:color="auto" w:fill="auto"/>
            <w:noWrap/>
            <w:vAlign w:val="center"/>
            <w:hideMark/>
          </w:tcPr>
          <w:p w:rsidR="006D5564" w:rsidRPr="00FC7D73" w:rsidP="00FC7D73" w14:paraId="5B13C94B" w14:textId="77777777">
            <w:pPr>
              <w:widowControl/>
              <w:autoSpaceDE/>
              <w:autoSpaceDN/>
              <w:adjustRightInd/>
              <w:jc w:val="right"/>
              <w:rPr>
                <w:color w:val="000000"/>
                <w:sz w:val="20"/>
                <w:szCs w:val="20"/>
              </w:rPr>
            </w:pPr>
            <w:r w:rsidRPr="00FC7D73">
              <w:rPr>
                <w:color w:val="000000"/>
                <w:sz w:val="20"/>
                <w:szCs w:val="20"/>
              </w:rPr>
              <w:t>85</w:t>
            </w:r>
          </w:p>
        </w:tc>
        <w:tc>
          <w:tcPr>
            <w:tcW w:w="1710" w:type="dxa"/>
            <w:tcBorders>
              <w:top w:val="nil"/>
              <w:left w:val="nil"/>
              <w:bottom w:val="single" w:sz="4" w:space="0" w:color="auto"/>
              <w:right w:val="single" w:sz="4" w:space="0" w:color="auto"/>
            </w:tcBorders>
            <w:shd w:val="clear" w:color="auto" w:fill="auto"/>
            <w:noWrap/>
            <w:vAlign w:val="center"/>
            <w:hideMark/>
          </w:tcPr>
          <w:p w:rsidR="006D5564" w:rsidRPr="00FC7D73" w:rsidP="00FC7D73" w14:paraId="211E283A" w14:textId="77777777">
            <w:pPr>
              <w:widowControl/>
              <w:autoSpaceDE/>
              <w:autoSpaceDN/>
              <w:adjustRightInd/>
              <w:jc w:val="right"/>
              <w:rPr>
                <w:color w:val="000000"/>
                <w:sz w:val="20"/>
                <w:szCs w:val="20"/>
              </w:rPr>
            </w:pPr>
            <w:r w:rsidRPr="00FC7D73">
              <w:rPr>
                <w:color w:val="000000"/>
                <w:sz w:val="20"/>
                <w:szCs w:val="20"/>
              </w:rPr>
              <w:t>$184.00</w:t>
            </w:r>
          </w:p>
        </w:tc>
        <w:tc>
          <w:tcPr>
            <w:tcW w:w="2070" w:type="dxa"/>
            <w:tcBorders>
              <w:top w:val="nil"/>
              <w:left w:val="nil"/>
              <w:bottom w:val="single" w:sz="4" w:space="0" w:color="auto"/>
              <w:right w:val="single" w:sz="4" w:space="0" w:color="auto"/>
            </w:tcBorders>
            <w:shd w:val="clear" w:color="auto" w:fill="auto"/>
            <w:noWrap/>
            <w:vAlign w:val="center"/>
            <w:hideMark/>
          </w:tcPr>
          <w:p w:rsidR="006D5564" w:rsidRPr="00FC7D73" w:rsidP="00FC7D73" w14:paraId="1CF9F4B7" w14:textId="77777777">
            <w:pPr>
              <w:widowControl/>
              <w:autoSpaceDE/>
              <w:autoSpaceDN/>
              <w:adjustRightInd/>
              <w:jc w:val="right"/>
              <w:rPr>
                <w:color w:val="000000"/>
                <w:sz w:val="20"/>
                <w:szCs w:val="20"/>
              </w:rPr>
            </w:pPr>
            <w:r w:rsidRPr="00FC7D73">
              <w:rPr>
                <w:color w:val="000000"/>
                <w:sz w:val="20"/>
                <w:szCs w:val="20"/>
              </w:rPr>
              <w:t>$15,640.00</w:t>
            </w:r>
          </w:p>
        </w:tc>
      </w:tr>
      <w:tr w14:paraId="441D83E1" w14:textId="77777777" w:rsidTr="00063595">
        <w:tblPrEx>
          <w:tblW w:w="9895" w:type="dxa"/>
          <w:tblLook w:val="04A0"/>
        </w:tblPrEx>
        <w:trPr>
          <w:trHeight w:val="276"/>
        </w:trPr>
        <w:tc>
          <w:tcPr>
            <w:tcW w:w="2605" w:type="dxa"/>
            <w:tcBorders>
              <w:top w:val="nil"/>
              <w:left w:val="single" w:sz="4" w:space="0" w:color="auto"/>
              <w:bottom w:val="single" w:sz="4" w:space="0" w:color="auto"/>
              <w:right w:val="single" w:sz="4" w:space="0" w:color="auto"/>
            </w:tcBorders>
            <w:shd w:val="clear" w:color="auto" w:fill="auto"/>
            <w:noWrap/>
            <w:vAlign w:val="center"/>
            <w:hideMark/>
          </w:tcPr>
          <w:p w:rsidR="006D5564" w:rsidRPr="00FC7D73" w:rsidP="00FC7D73" w14:paraId="4621B8E1" w14:textId="00B71F5C">
            <w:pPr>
              <w:widowControl/>
              <w:autoSpaceDE/>
              <w:autoSpaceDN/>
              <w:adjustRightInd/>
              <w:rPr>
                <w:b/>
                <w:bCs/>
                <w:i/>
                <w:iCs/>
                <w:color w:val="000000"/>
                <w:sz w:val="20"/>
                <w:szCs w:val="20"/>
              </w:rPr>
            </w:pPr>
            <w:r w:rsidRPr="00FC7D73">
              <w:rPr>
                <w:b/>
                <w:bCs/>
                <w:i/>
                <w:iCs/>
                <w:color w:val="000000"/>
                <w:sz w:val="20"/>
                <w:szCs w:val="20"/>
              </w:rPr>
              <w:t>Subt</w:t>
            </w:r>
            <w:r w:rsidRPr="00FC7D73">
              <w:rPr>
                <w:b/>
                <w:bCs/>
                <w:i/>
                <w:iCs/>
                <w:color w:val="000000"/>
                <w:sz w:val="20"/>
                <w:szCs w:val="20"/>
              </w:rPr>
              <w:t>otal (Rounded)</w:t>
            </w:r>
          </w:p>
        </w:tc>
        <w:tc>
          <w:tcPr>
            <w:tcW w:w="1800" w:type="dxa"/>
            <w:tcBorders>
              <w:top w:val="nil"/>
              <w:left w:val="nil"/>
              <w:bottom w:val="single" w:sz="4" w:space="0" w:color="auto"/>
              <w:right w:val="single" w:sz="4" w:space="0" w:color="auto"/>
            </w:tcBorders>
            <w:shd w:val="clear" w:color="auto" w:fill="auto"/>
            <w:noWrap/>
            <w:vAlign w:val="center"/>
            <w:hideMark/>
          </w:tcPr>
          <w:p w:rsidR="006D5564" w:rsidRPr="00FC7D73" w:rsidP="00FC7D73" w14:paraId="16BE6070" w14:textId="77777777">
            <w:pPr>
              <w:widowControl/>
              <w:autoSpaceDE/>
              <w:autoSpaceDN/>
              <w:adjustRightInd/>
              <w:jc w:val="right"/>
              <w:rPr>
                <w:b/>
                <w:bCs/>
                <w:i/>
                <w:iCs/>
                <w:color w:val="000000"/>
                <w:sz w:val="20"/>
                <w:szCs w:val="20"/>
              </w:rPr>
            </w:pPr>
            <w:r w:rsidRPr="00FC7D73">
              <w:rPr>
                <w:b/>
                <w:bCs/>
                <w:i/>
                <w:iCs/>
                <w:color w:val="000000"/>
                <w:sz w:val="20"/>
                <w:szCs w:val="20"/>
              </w:rPr>
              <w:t>1</w:t>
            </w:r>
          </w:p>
        </w:tc>
        <w:tc>
          <w:tcPr>
            <w:tcW w:w="1710" w:type="dxa"/>
            <w:tcBorders>
              <w:top w:val="nil"/>
              <w:left w:val="nil"/>
              <w:bottom w:val="single" w:sz="4" w:space="0" w:color="auto"/>
              <w:right w:val="single" w:sz="4" w:space="0" w:color="auto"/>
            </w:tcBorders>
            <w:shd w:val="clear" w:color="000000" w:fill="000000"/>
            <w:noWrap/>
            <w:vAlign w:val="center"/>
            <w:hideMark/>
          </w:tcPr>
          <w:p w:rsidR="006D5564" w:rsidRPr="00FC7D73" w:rsidP="00FC7D73" w14:paraId="20867438" w14:textId="77777777">
            <w:pPr>
              <w:widowControl/>
              <w:autoSpaceDE/>
              <w:autoSpaceDN/>
              <w:adjustRightInd/>
              <w:jc w:val="right"/>
              <w:rPr>
                <w:b/>
                <w:bCs/>
                <w:i/>
                <w:iCs/>
                <w:color w:val="000000"/>
                <w:sz w:val="20"/>
                <w:szCs w:val="20"/>
              </w:rPr>
            </w:pPr>
            <w:r w:rsidRPr="00FC7D73">
              <w:rPr>
                <w:b/>
                <w:bCs/>
                <w:i/>
                <w:iCs/>
                <w:color w:val="000000"/>
                <w:sz w:val="20"/>
                <w:szCs w:val="20"/>
              </w:rPr>
              <w:t> </w:t>
            </w:r>
          </w:p>
        </w:tc>
        <w:tc>
          <w:tcPr>
            <w:tcW w:w="1710" w:type="dxa"/>
            <w:tcBorders>
              <w:top w:val="nil"/>
              <w:left w:val="nil"/>
              <w:bottom w:val="single" w:sz="4" w:space="0" w:color="auto"/>
              <w:right w:val="single" w:sz="4" w:space="0" w:color="auto"/>
            </w:tcBorders>
            <w:shd w:val="clear" w:color="000000" w:fill="000000"/>
            <w:noWrap/>
            <w:vAlign w:val="center"/>
            <w:hideMark/>
          </w:tcPr>
          <w:p w:rsidR="006D5564" w:rsidRPr="00FC7D73" w:rsidP="00FC7D73" w14:paraId="61253F6A" w14:textId="77777777">
            <w:pPr>
              <w:widowControl/>
              <w:autoSpaceDE/>
              <w:autoSpaceDN/>
              <w:adjustRightInd/>
              <w:jc w:val="right"/>
              <w:rPr>
                <w:b/>
                <w:bCs/>
                <w:i/>
                <w:iCs/>
                <w:color w:val="000000"/>
                <w:sz w:val="20"/>
                <w:szCs w:val="20"/>
              </w:rPr>
            </w:pPr>
            <w:r w:rsidRPr="00FC7D73">
              <w:rPr>
                <w:b/>
                <w:bCs/>
                <w:i/>
                <w:iCs/>
                <w:color w:val="000000"/>
                <w:sz w:val="20"/>
                <w:szCs w:val="20"/>
              </w:rPr>
              <w:t> </w:t>
            </w:r>
          </w:p>
        </w:tc>
        <w:tc>
          <w:tcPr>
            <w:tcW w:w="2070" w:type="dxa"/>
            <w:tcBorders>
              <w:top w:val="nil"/>
              <w:left w:val="nil"/>
              <w:bottom w:val="single" w:sz="4" w:space="0" w:color="auto"/>
              <w:right w:val="single" w:sz="4" w:space="0" w:color="auto"/>
            </w:tcBorders>
            <w:shd w:val="clear" w:color="auto" w:fill="auto"/>
            <w:noWrap/>
            <w:vAlign w:val="center"/>
            <w:hideMark/>
          </w:tcPr>
          <w:p w:rsidR="006D5564" w:rsidRPr="00FC7D73" w:rsidP="00FC7D73" w14:paraId="6CFEB2C0" w14:textId="77777777">
            <w:pPr>
              <w:widowControl/>
              <w:autoSpaceDE/>
              <w:autoSpaceDN/>
              <w:adjustRightInd/>
              <w:jc w:val="right"/>
              <w:rPr>
                <w:b/>
                <w:bCs/>
                <w:i/>
                <w:iCs/>
                <w:color w:val="000000"/>
                <w:sz w:val="20"/>
                <w:szCs w:val="20"/>
              </w:rPr>
            </w:pPr>
            <w:r w:rsidRPr="00FC7D73">
              <w:rPr>
                <w:b/>
                <w:bCs/>
                <w:i/>
                <w:iCs/>
                <w:color w:val="000000"/>
                <w:sz w:val="20"/>
                <w:szCs w:val="20"/>
              </w:rPr>
              <w:t>$15,640</w:t>
            </w:r>
          </w:p>
        </w:tc>
      </w:tr>
      <w:bookmarkEnd w:id="37"/>
      <w:bookmarkEnd w:id="38"/>
      <w:bookmarkEnd w:id="40"/>
    </w:tbl>
    <w:p w:rsidR="00CC17CE" w:rsidRPr="00FC7D73" w:rsidP="00FC7D73" w14:paraId="73F67CD2" w14:textId="3942FF45">
      <w:pPr>
        <w:rPr>
          <w:b/>
          <w:bCs/>
        </w:rPr>
      </w:pPr>
    </w:p>
    <w:p w:rsidR="0005598E" w:rsidRPr="00FC7D73" w:rsidP="00FC7D73" w14:paraId="1C453EB0" w14:textId="77777777">
      <w:pPr>
        <w:pStyle w:val="Default"/>
        <w:rPr>
          <w:rFonts w:ascii="Times New Roman" w:hAnsi="Times New Roman" w:cs="Times New Roman"/>
          <w:b/>
          <w:bCs/>
          <w:color w:val="auto"/>
        </w:rPr>
      </w:pPr>
      <w:r w:rsidRPr="00FC7D73">
        <w:rPr>
          <w:rFonts w:ascii="Times New Roman" w:hAnsi="Times New Roman" w:cs="Times New Roman"/>
          <w:b/>
          <w:bCs/>
          <w:color w:val="auto"/>
        </w:rPr>
        <w:t xml:space="preserve">II-1. Manufacturers Testing Intrinsic Safety of CPDMs </w:t>
      </w:r>
    </w:p>
    <w:p w:rsidR="00D10D83" w:rsidRPr="00FC7D73" w:rsidP="00FC7D73" w14:paraId="36788890" w14:textId="77777777">
      <w:pPr>
        <w:rPr>
          <w:b/>
          <w:bCs/>
        </w:rPr>
      </w:pPr>
    </w:p>
    <w:p w:rsidR="00D10D83" w:rsidRPr="00FC7D73" w:rsidP="00FC7D73" w14:paraId="32F10C59" w14:textId="047546FF">
      <w:pPr>
        <w:pStyle w:val="BodyText"/>
        <w:spacing w:after="0"/>
      </w:pPr>
      <w:r w:rsidRPr="00FC7D73">
        <w:t>Under 30 CFR 74.11</w:t>
      </w:r>
      <w:r w:rsidRPr="00FC7D73" w:rsidR="006B7A71">
        <w:t>(a)</w:t>
      </w:r>
      <w:r w:rsidRPr="00FC7D73" w:rsidR="002C2518">
        <w:t xml:space="preserve"> and 74.13(b)</w:t>
      </w:r>
      <w:r w:rsidRPr="00FC7D73">
        <w:t xml:space="preserve">, the applicant must have a third party to perform tests of the CPDM. These tests are for the following: ergonomic design (30 CFR 74.7(b)); environmental conditions (30 CFR 74.7(e)); electromagnetic interference (30 CFR 74.7(f)); flow stability and calibration of pump (30 CFR 74.7(j)); and accuracy testing, which includes reliability measurement, precision, and bias testing (30 CFR 74.8(c), (d), and (e)). </w:t>
      </w:r>
    </w:p>
    <w:p w:rsidR="00D10D83" w:rsidRPr="00FC7D73" w:rsidP="00FC7D73" w14:paraId="64737A09" w14:textId="77777777">
      <w:pPr>
        <w:pStyle w:val="BodyText"/>
        <w:spacing w:after="0"/>
      </w:pPr>
    </w:p>
    <w:p w:rsidR="008D6AAA" w:rsidRPr="00FC7D73" w:rsidP="00FC7D73" w14:paraId="2B7426EF" w14:textId="77777777">
      <w:pPr>
        <w:widowControl/>
        <w:autoSpaceDE/>
        <w:autoSpaceDN/>
        <w:adjustRightInd/>
      </w:pPr>
      <w:r w:rsidRPr="00FC7D73">
        <w:br w:type="page"/>
      </w:r>
    </w:p>
    <w:p w:rsidR="00D10D83" w:rsidRPr="00FC7D73" w:rsidP="00FC7D73" w14:paraId="3D1DA4F4" w14:textId="7F80AE1A">
      <w:pPr>
        <w:pStyle w:val="BodyText"/>
        <w:spacing w:after="0"/>
      </w:pPr>
      <w:r w:rsidRPr="00FC7D73">
        <w:t xml:space="preserve">MSHA estimates that the manufacturer will have a third party conduct these tests </w:t>
      </w:r>
      <w:r w:rsidRPr="00FC7D73" w:rsidR="002C2518">
        <w:t>for one CPDM device</w:t>
      </w:r>
      <w:r w:rsidRPr="00FC7D73" w:rsidR="00345F31">
        <w:t>,</w:t>
      </w:r>
      <w:r w:rsidRPr="00FC7D73" w:rsidR="002C2518">
        <w:t xml:space="preserve"> </w:t>
      </w:r>
      <w:r w:rsidRPr="00FC7D73" w:rsidR="00345F31">
        <w:t xml:space="preserve">at a </w:t>
      </w:r>
      <w:r w:rsidRPr="00FC7D73">
        <w:t>cost</w:t>
      </w:r>
      <w:r w:rsidRPr="00FC7D73" w:rsidR="00345F31">
        <w:t xml:space="preserve"> of</w:t>
      </w:r>
      <w:r w:rsidRPr="00FC7D73">
        <w:t xml:space="preserve"> approximately $250,000. MSHA’s estimate of the costs to perform these tests is based on the cost of the same tests provided by MSHA.</w:t>
      </w:r>
    </w:p>
    <w:p w:rsidR="00D10D83" w:rsidRPr="00FC7D73" w:rsidP="00FC7D73" w14:paraId="354DFDE2" w14:textId="77777777">
      <w:pPr>
        <w:pStyle w:val="BodyText"/>
        <w:spacing w:after="0"/>
      </w:pPr>
    </w:p>
    <w:p w:rsidR="00D10D83" w:rsidRPr="00FC7D73" w:rsidP="00FC7D73" w14:paraId="0C118765" w14:textId="1EE4F44D">
      <w:pPr>
        <w:pStyle w:val="BodyText"/>
        <w:spacing w:after="0"/>
      </w:pPr>
      <w:r w:rsidRPr="00FC7D73">
        <w:rPr>
          <w:b/>
          <w:bCs/>
          <w:color w:val="000000"/>
        </w:rPr>
        <w:t>Table 13-</w:t>
      </w:r>
      <w:r w:rsidRPr="00FC7D73" w:rsidR="0032439A">
        <w:rPr>
          <w:b/>
          <w:bCs/>
          <w:color w:val="000000"/>
        </w:rPr>
        <w:t>2.</w:t>
      </w:r>
      <w:r w:rsidRPr="00FC7D73">
        <w:rPr>
          <w:b/>
          <w:bCs/>
          <w:color w:val="000000"/>
        </w:rPr>
        <w:t xml:space="preserve"> Estimated Annual Respondent or Recordkeeper Cost Burden, </w:t>
      </w:r>
      <w:r w:rsidRPr="00FC7D73" w:rsidR="000E018C">
        <w:rPr>
          <w:b/>
          <w:bCs/>
        </w:rPr>
        <w:t xml:space="preserve">Manufacturers Testing Intrinsic Safety of CPDMs </w:t>
      </w:r>
      <w:r w:rsidRPr="00FC7D73">
        <w:rPr>
          <w:b/>
          <w:bCs/>
          <w:color w:val="000000"/>
        </w:rPr>
        <w:t>(30 CFR 74.</w:t>
      </w:r>
      <w:r w:rsidRPr="00FC7D73" w:rsidR="0005598E">
        <w:rPr>
          <w:b/>
          <w:bCs/>
          <w:color w:val="000000"/>
        </w:rPr>
        <w:t>11(a)</w:t>
      </w:r>
      <w:r w:rsidRPr="00FC7D73">
        <w:rPr>
          <w:b/>
          <w:bCs/>
          <w:color w:val="000000"/>
        </w:rPr>
        <w:t>)</w:t>
      </w:r>
    </w:p>
    <w:tbl>
      <w:tblPr>
        <w:tblW w:w="9270" w:type="dxa"/>
        <w:tblLook w:val="04A0"/>
      </w:tblPr>
      <w:tblGrid>
        <w:gridCol w:w="2160"/>
        <w:gridCol w:w="3240"/>
        <w:gridCol w:w="1530"/>
        <w:gridCol w:w="2340"/>
      </w:tblGrid>
      <w:tr w14:paraId="2075D106" w14:textId="77777777" w:rsidTr="00C903C8">
        <w:tblPrEx>
          <w:tblW w:w="9270" w:type="dxa"/>
          <w:tblLook w:val="04A0"/>
        </w:tblPrEx>
        <w:trPr>
          <w:trHeight w:val="528"/>
        </w:trPr>
        <w:tc>
          <w:tcPr>
            <w:tcW w:w="216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D10D83" w:rsidRPr="00FC7D73" w:rsidP="00FC7D73" w14:paraId="1783DB53" w14:textId="77777777">
            <w:pPr>
              <w:widowControl/>
              <w:autoSpaceDE/>
              <w:autoSpaceDN/>
              <w:adjustRightInd/>
              <w:rPr>
                <w:color w:val="000000"/>
                <w:sz w:val="20"/>
                <w:szCs w:val="20"/>
              </w:rPr>
            </w:pPr>
            <w:r w:rsidRPr="00FC7D73">
              <w:rPr>
                <w:color w:val="000000"/>
                <w:sz w:val="20"/>
                <w:szCs w:val="20"/>
              </w:rPr>
              <w:t>Cost components</w:t>
            </w:r>
          </w:p>
        </w:tc>
        <w:tc>
          <w:tcPr>
            <w:tcW w:w="324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10D83" w:rsidRPr="00FC7D73" w:rsidP="00FC7D73" w14:paraId="3881CA62" w14:textId="77777777">
            <w:pPr>
              <w:widowControl/>
              <w:autoSpaceDE/>
              <w:autoSpaceDN/>
              <w:adjustRightInd/>
              <w:jc w:val="center"/>
              <w:rPr>
                <w:color w:val="000000"/>
                <w:sz w:val="20"/>
                <w:szCs w:val="20"/>
              </w:rPr>
            </w:pPr>
            <w:r w:rsidRPr="00FC7D73">
              <w:rPr>
                <w:color w:val="000000"/>
                <w:sz w:val="20"/>
                <w:szCs w:val="20"/>
              </w:rPr>
              <w:t>Number of Responses (Applications)</w:t>
            </w:r>
          </w:p>
        </w:tc>
        <w:tc>
          <w:tcPr>
            <w:tcW w:w="153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10D83" w:rsidRPr="00FC7D73" w:rsidP="00FC7D73" w14:paraId="663DD329" w14:textId="77777777">
            <w:pPr>
              <w:widowControl/>
              <w:autoSpaceDE/>
              <w:autoSpaceDN/>
              <w:adjustRightInd/>
              <w:jc w:val="center"/>
              <w:rPr>
                <w:color w:val="000000"/>
                <w:sz w:val="20"/>
                <w:szCs w:val="20"/>
              </w:rPr>
            </w:pPr>
            <w:r w:rsidRPr="00FC7D73">
              <w:rPr>
                <w:color w:val="000000"/>
                <w:sz w:val="20"/>
                <w:szCs w:val="20"/>
              </w:rPr>
              <w:t>Unit Cost</w:t>
            </w:r>
          </w:p>
        </w:tc>
        <w:tc>
          <w:tcPr>
            <w:tcW w:w="234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10D83" w:rsidRPr="00FC7D73" w:rsidP="00FC7D73" w14:paraId="6CDAC99F" w14:textId="77777777">
            <w:pPr>
              <w:widowControl/>
              <w:autoSpaceDE/>
              <w:autoSpaceDN/>
              <w:adjustRightInd/>
              <w:jc w:val="center"/>
              <w:rPr>
                <w:color w:val="000000"/>
                <w:sz w:val="20"/>
                <w:szCs w:val="20"/>
              </w:rPr>
            </w:pPr>
            <w:r w:rsidRPr="00FC7D73">
              <w:rPr>
                <w:color w:val="000000"/>
                <w:sz w:val="20"/>
                <w:szCs w:val="20"/>
              </w:rPr>
              <w:t>Cost to Recordkeepers</w:t>
            </w:r>
          </w:p>
        </w:tc>
      </w:tr>
      <w:tr w14:paraId="30F658F6" w14:textId="77777777" w:rsidTr="003656AC">
        <w:tblPrEx>
          <w:tblW w:w="9270" w:type="dxa"/>
          <w:tblLook w:val="04A0"/>
        </w:tblPrEx>
        <w:trPr>
          <w:trHeight w:val="276"/>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D10D83" w:rsidRPr="00FC7D73" w:rsidP="00FC7D73" w14:paraId="62E09B2F" w14:textId="37E21DBC">
            <w:pPr>
              <w:widowControl/>
              <w:autoSpaceDE/>
              <w:autoSpaceDN/>
              <w:adjustRightInd/>
              <w:rPr>
                <w:color w:val="000000"/>
                <w:sz w:val="20"/>
                <w:szCs w:val="20"/>
              </w:rPr>
            </w:pPr>
            <w:r w:rsidRPr="00FC7D73">
              <w:rPr>
                <w:color w:val="000000"/>
                <w:sz w:val="20"/>
                <w:szCs w:val="20"/>
              </w:rPr>
              <w:t>Third Party</w:t>
            </w:r>
            <w:r w:rsidRPr="00FC7D73" w:rsidR="0005598E">
              <w:rPr>
                <w:color w:val="000000"/>
                <w:sz w:val="20"/>
                <w:szCs w:val="20"/>
              </w:rPr>
              <w:t xml:space="preserve"> Conducting</w:t>
            </w:r>
            <w:r w:rsidRPr="00FC7D73">
              <w:rPr>
                <w:color w:val="000000"/>
                <w:sz w:val="20"/>
                <w:szCs w:val="20"/>
              </w:rPr>
              <w:t xml:space="preserve"> CPDM Tests</w:t>
            </w:r>
          </w:p>
        </w:tc>
        <w:tc>
          <w:tcPr>
            <w:tcW w:w="3240" w:type="dxa"/>
            <w:tcBorders>
              <w:top w:val="nil"/>
              <w:left w:val="nil"/>
              <w:bottom w:val="single" w:sz="4" w:space="0" w:color="auto"/>
              <w:right w:val="single" w:sz="4" w:space="0" w:color="auto"/>
            </w:tcBorders>
            <w:shd w:val="clear" w:color="auto" w:fill="auto"/>
            <w:noWrap/>
            <w:vAlign w:val="center"/>
            <w:hideMark/>
          </w:tcPr>
          <w:p w:rsidR="00D10D83" w:rsidRPr="00FC7D73" w:rsidP="00FC7D73" w14:paraId="5DAE4944" w14:textId="77777777">
            <w:pPr>
              <w:widowControl/>
              <w:autoSpaceDE/>
              <w:autoSpaceDN/>
              <w:adjustRightInd/>
              <w:jc w:val="right"/>
              <w:rPr>
                <w:color w:val="000000"/>
                <w:sz w:val="20"/>
                <w:szCs w:val="20"/>
              </w:rPr>
            </w:pPr>
            <w:r w:rsidRPr="00FC7D73">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D10D83" w:rsidRPr="00FC7D73" w:rsidP="00FC7D73" w14:paraId="023DA4D3" w14:textId="77777777">
            <w:pPr>
              <w:widowControl/>
              <w:autoSpaceDE/>
              <w:autoSpaceDN/>
              <w:adjustRightInd/>
              <w:jc w:val="right"/>
              <w:rPr>
                <w:color w:val="000000"/>
                <w:sz w:val="20"/>
                <w:szCs w:val="20"/>
              </w:rPr>
            </w:pPr>
            <w:r w:rsidRPr="00FC7D73">
              <w:rPr>
                <w:color w:val="000000"/>
                <w:sz w:val="20"/>
                <w:szCs w:val="20"/>
              </w:rPr>
              <w:t>$250,000.00</w:t>
            </w:r>
          </w:p>
        </w:tc>
        <w:tc>
          <w:tcPr>
            <w:tcW w:w="2340" w:type="dxa"/>
            <w:tcBorders>
              <w:top w:val="nil"/>
              <w:left w:val="nil"/>
              <w:bottom w:val="single" w:sz="4" w:space="0" w:color="auto"/>
              <w:right w:val="single" w:sz="4" w:space="0" w:color="auto"/>
            </w:tcBorders>
            <w:shd w:val="clear" w:color="auto" w:fill="auto"/>
            <w:noWrap/>
            <w:vAlign w:val="center"/>
            <w:hideMark/>
          </w:tcPr>
          <w:p w:rsidR="00D10D83" w:rsidRPr="00FC7D73" w:rsidP="00FC7D73" w14:paraId="11E8F471" w14:textId="77777777">
            <w:pPr>
              <w:widowControl/>
              <w:autoSpaceDE/>
              <w:autoSpaceDN/>
              <w:adjustRightInd/>
              <w:jc w:val="right"/>
              <w:rPr>
                <w:color w:val="000000"/>
                <w:sz w:val="20"/>
                <w:szCs w:val="20"/>
              </w:rPr>
            </w:pPr>
            <w:r w:rsidRPr="00FC7D73">
              <w:rPr>
                <w:color w:val="000000"/>
                <w:sz w:val="20"/>
                <w:szCs w:val="20"/>
              </w:rPr>
              <w:t>$250,000.00</w:t>
            </w:r>
          </w:p>
        </w:tc>
      </w:tr>
      <w:tr w14:paraId="259BC909" w14:textId="77777777" w:rsidTr="003656AC">
        <w:tblPrEx>
          <w:tblW w:w="9270" w:type="dxa"/>
          <w:tblLook w:val="04A0"/>
        </w:tblPrEx>
        <w:trPr>
          <w:trHeight w:val="276"/>
        </w:trPr>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D10D83" w:rsidRPr="00FC7D73" w:rsidP="00FC7D73" w14:paraId="75BFB1E7" w14:textId="79052A5F">
            <w:pPr>
              <w:widowControl/>
              <w:autoSpaceDE/>
              <w:autoSpaceDN/>
              <w:adjustRightInd/>
              <w:rPr>
                <w:b/>
                <w:bCs/>
                <w:i/>
                <w:iCs/>
                <w:color w:val="000000"/>
                <w:sz w:val="20"/>
                <w:szCs w:val="20"/>
              </w:rPr>
            </w:pPr>
            <w:r w:rsidRPr="00FC7D73">
              <w:rPr>
                <w:b/>
                <w:bCs/>
                <w:i/>
                <w:iCs/>
                <w:color w:val="000000"/>
                <w:sz w:val="20"/>
                <w:szCs w:val="20"/>
              </w:rPr>
              <w:t>Subt</w:t>
            </w:r>
            <w:r w:rsidRPr="00FC7D73">
              <w:rPr>
                <w:b/>
                <w:bCs/>
                <w:i/>
                <w:iCs/>
                <w:color w:val="000000"/>
                <w:sz w:val="20"/>
                <w:szCs w:val="20"/>
              </w:rPr>
              <w:t>otal (Rounded)</w:t>
            </w:r>
          </w:p>
        </w:tc>
        <w:tc>
          <w:tcPr>
            <w:tcW w:w="3240" w:type="dxa"/>
            <w:tcBorders>
              <w:top w:val="nil"/>
              <w:left w:val="nil"/>
              <w:bottom w:val="single" w:sz="4" w:space="0" w:color="auto"/>
              <w:right w:val="single" w:sz="4" w:space="0" w:color="auto"/>
            </w:tcBorders>
            <w:shd w:val="clear" w:color="auto" w:fill="auto"/>
            <w:noWrap/>
            <w:vAlign w:val="center"/>
            <w:hideMark/>
          </w:tcPr>
          <w:p w:rsidR="00D10D83" w:rsidRPr="00FC7D73" w:rsidP="00FC7D73" w14:paraId="5618D145" w14:textId="77777777">
            <w:pPr>
              <w:widowControl/>
              <w:autoSpaceDE/>
              <w:autoSpaceDN/>
              <w:adjustRightInd/>
              <w:jc w:val="right"/>
              <w:rPr>
                <w:b/>
                <w:bCs/>
                <w:i/>
                <w:iCs/>
                <w:color w:val="000000"/>
                <w:sz w:val="20"/>
                <w:szCs w:val="20"/>
              </w:rPr>
            </w:pPr>
            <w:r w:rsidRPr="00FC7D73">
              <w:rPr>
                <w:b/>
                <w:bCs/>
                <w:i/>
                <w:iCs/>
                <w:color w:val="000000"/>
                <w:sz w:val="20"/>
                <w:szCs w:val="20"/>
              </w:rPr>
              <w:t>1</w:t>
            </w:r>
          </w:p>
        </w:tc>
        <w:tc>
          <w:tcPr>
            <w:tcW w:w="1530" w:type="dxa"/>
            <w:tcBorders>
              <w:top w:val="nil"/>
              <w:left w:val="nil"/>
              <w:bottom w:val="single" w:sz="4" w:space="0" w:color="auto"/>
              <w:right w:val="single" w:sz="4" w:space="0" w:color="auto"/>
            </w:tcBorders>
            <w:shd w:val="clear" w:color="auto" w:fill="000000" w:themeFill="text1"/>
            <w:noWrap/>
            <w:vAlign w:val="center"/>
            <w:hideMark/>
          </w:tcPr>
          <w:p w:rsidR="00D10D83" w:rsidRPr="00FC7D73" w:rsidP="00FC7D73" w14:paraId="112122B4" w14:textId="77777777">
            <w:pPr>
              <w:widowControl/>
              <w:autoSpaceDE/>
              <w:autoSpaceDN/>
              <w:adjustRightInd/>
              <w:jc w:val="right"/>
              <w:rPr>
                <w:b/>
                <w:bCs/>
                <w:i/>
                <w:iCs/>
                <w:color w:val="000000"/>
                <w:sz w:val="20"/>
                <w:szCs w:val="20"/>
              </w:rPr>
            </w:pPr>
            <w:r w:rsidRPr="00FC7D73">
              <w:rPr>
                <w:b/>
                <w:bCs/>
                <w:i/>
                <w:iCs/>
                <w:color w:val="000000"/>
                <w:sz w:val="20"/>
                <w:szCs w:val="20"/>
              </w:rPr>
              <w:t> </w:t>
            </w:r>
          </w:p>
        </w:tc>
        <w:tc>
          <w:tcPr>
            <w:tcW w:w="2340" w:type="dxa"/>
            <w:tcBorders>
              <w:top w:val="nil"/>
              <w:left w:val="nil"/>
              <w:bottom w:val="single" w:sz="4" w:space="0" w:color="auto"/>
              <w:right w:val="single" w:sz="4" w:space="0" w:color="auto"/>
            </w:tcBorders>
            <w:shd w:val="clear" w:color="auto" w:fill="auto"/>
            <w:noWrap/>
            <w:vAlign w:val="center"/>
            <w:hideMark/>
          </w:tcPr>
          <w:p w:rsidR="00D10D83" w:rsidRPr="00FC7D73" w:rsidP="00FC7D73" w14:paraId="3F3D16AD" w14:textId="77777777">
            <w:pPr>
              <w:widowControl/>
              <w:autoSpaceDE/>
              <w:autoSpaceDN/>
              <w:adjustRightInd/>
              <w:jc w:val="right"/>
              <w:rPr>
                <w:b/>
                <w:bCs/>
                <w:i/>
                <w:iCs/>
                <w:color w:val="000000"/>
                <w:sz w:val="20"/>
                <w:szCs w:val="20"/>
              </w:rPr>
            </w:pPr>
            <w:r w:rsidRPr="00FC7D73">
              <w:rPr>
                <w:b/>
                <w:bCs/>
                <w:i/>
                <w:iCs/>
                <w:color w:val="000000"/>
                <w:sz w:val="20"/>
                <w:szCs w:val="20"/>
              </w:rPr>
              <w:t xml:space="preserve">$250,000 </w:t>
            </w:r>
          </w:p>
        </w:tc>
      </w:tr>
    </w:tbl>
    <w:p w:rsidR="00D10D83" w:rsidRPr="00FC7D73" w:rsidP="00FC7D73" w14:paraId="647C1E1B" w14:textId="77777777">
      <w:pPr>
        <w:pStyle w:val="BodyText"/>
        <w:spacing w:after="0"/>
      </w:pPr>
    </w:p>
    <w:p w:rsidR="0032439A" w:rsidRPr="00FC7D73" w:rsidP="00FC7D73" w14:paraId="31CCF6BE" w14:textId="507CF96D">
      <w:pPr>
        <w:pStyle w:val="Default"/>
        <w:rPr>
          <w:rFonts w:ascii="Times New Roman" w:hAnsi="Times New Roman" w:cs="Times New Roman"/>
          <w:b/>
          <w:bCs/>
          <w:color w:val="auto"/>
        </w:rPr>
      </w:pPr>
      <w:r w:rsidRPr="00FC7D73">
        <w:rPr>
          <w:rFonts w:ascii="Times New Roman" w:hAnsi="Times New Roman" w:cs="Times New Roman"/>
          <w:b/>
          <w:bCs/>
          <w:color w:val="auto"/>
        </w:rPr>
        <w:t>I-2. Manufacturers Preparing and Submitting Applications for CMDPSUs</w:t>
      </w:r>
    </w:p>
    <w:p w:rsidR="0032439A" w:rsidRPr="00FC7D73" w:rsidP="00FC7D73" w14:paraId="1F229E6F" w14:textId="6579A110">
      <w:pPr>
        <w:pStyle w:val="Default"/>
        <w:rPr>
          <w:rFonts w:ascii="Times New Roman" w:hAnsi="Times New Roman" w:cs="Times New Roman"/>
          <w:b/>
          <w:bCs/>
          <w:color w:val="auto"/>
        </w:rPr>
      </w:pPr>
      <w:r w:rsidRPr="00FC7D73">
        <w:rPr>
          <w:rFonts w:ascii="Times New Roman" w:hAnsi="Times New Roman" w:cs="Times New Roman"/>
          <w:b/>
          <w:bCs/>
          <w:color w:val="auto"/>
        </w:rPr>
        <w:t>II-2. Manufacturers Preparing and Submitting Applications for CPDMs</w:t>
      </w:r>
    </w:p>
    <w:p w:rsidR="00395F34" w:rsidRPr="00FC7D73" w:rsidP="00FC7D73" w14:paraId="1E6203DB" w14:textId="77777777">
      <w:pPr>
        <w:rPr>
          <w:b/>
          <w:bCs/>
        </w:rPr>
      </w:pPr>
    </w:p>
    <w:p w:rsidR="00D10D83" w:rsidRPr="00FC7D73" w:rsidP="00FC7D73" w14:paraId="4DFB5486" w14:textId="4DECBBBB">
      <w:pPr>
        <w:pStyle w:val="BodyText"/>
        <w:spacing w:after="0"/>
      </w:pPr>
      <w:bookmarkStart w:id="41" w:name="_Hlk167348227"/>
      <w:r w:rsidRPr="00FC7D73">
        <w:t>Under 30 CFR 74.13</w:t>
      </w:r>
      <w:r w:rsidRPr="00FC7D73" w:rsidR="00342D93">
        <w:t xml:space="preserve">(a) and </w:t>
      </w:r>
      <w:r w:rsidRPr="00FC7D73">
        <w:t xml:space="preserve">(b), an applicant must submit a written application </w:t>
      </w:r>
      <w:r w:rsidRPr="00FC7D73" w:rsidR="005E25B4">
        <w:t xml:space="preserve">to MSHA </w:t>
      </w:r>
      <w:r w:rsidRPr="00FC7D73">
        <w:t>for approval</w:t>
      </w:r>
      <w:r w:rsidRPr="00FC7D73" w:rsidR="005E25B4">
        <w:t xml:space="preserve"> of the pump unit of a CMDPSU or the CPDM</w:t>
      </w:r>
      <w:r w:rsidRPr="00FC7D73">
        <w:t xml:space="preserve">. Four copies would be made for </w:t>
      </w:r>
      <w:r w:rsidRPr="00FC7D73">
        <w:t>each application</w:t>
      </w:r>
      <w:r w:rsidRPr="00FC7D73" w:rsidR="00C9151F">
        <w:t xml:space="preserve">, including a written application in duplicate </w:t>
      </w:r>
      <w:r w:rsidRPr="00FC7D73" w:rsidR="002838E6">
        <w:t xml:space="preserve">sent to MSHA </w:t>
      </w:r>
      <w:r w:rsidRPr="00FC7D73" w:rsidR="00C9151F">
        <w:t>and duplicates for recordkeeping.</w:t>
      </w:r>
      <w:r w:rsidRPr="00FC7D73" w:rsidR="002838E6">
        <w:t xml:space="preserve"> </w:t>
      </w:r>
    </w:p>
    <w:p w:rsidR="001E1390" w:rsidRPr="00FC7D73" w:rsidP="00FC7D73" w14:paraId="506B3785" w14:textId="77777777">
      <w:pPr>
        <w:pStyle w:val="BodyText"/>
        <w:spacing w:after="0"/>
      </w:pPr>
    </w:p>
    <w:bookmarkEnd w:id="41"/>
    <w:p w:rsidR="00654A73" w:rsidRPr="00FC7D73" w:rsidP="00FC7D73" w14:paraId="7BE6A87D" w14:textId="5D6FC789">
      <w:pPr>
        <w:pStyle w:val="BodyText"/>
        <w:spacing w:after="0"/>
      </w:pPr>
      <w:r w:rsidRPr="00FC7D73">
        <w:t xml:space="preserve">MSHA assumes that there is one application submission for either a CMDPSU or a CPDM device annually. </w:t>
      </w:r>
      <w:r w:rsidRPr="00FC7D73" w:rsidR="00CC17CE">
        <w:t xml:space="preserve">MSHA </w:t>
      </w:r>
      <w:r w:rsidRPr="00FC7D73" w:rsidR="0046074A">
        <w:t xml:space="preserve">estimates </w:t>
      </w:r>
      <w:r w:rsidRPr="00FC7D73" w:rsidR="00CC17CE">
        <w:t>that an average application contains 250 pages, and copy cost</w:t>
      </w:r>
      <w:r w:rsidRPr="00FC7D73" w:rsidR="008550F5">
        <w:t>s</w:t>
      </w:r>
      <w:r w:rsidRPr="00FC7D73" w:rsidR="00CC17CE">
        <w:t xml:space="preserve"> </w:t>
      </w:r>
      <w:r w:rsidRPr="00FC7D73" w:rsidR="008550F5">
        <w:t>are</w:t>
      </w:r>
      <w:r w:rsidRPr="00FC7D73" w:rsidR="00CC17CE">
        <w:t xml:space="preserve"> $0.15 per page</w:t>
      </w:r>
      <w:r w:rsidRPr="00FC7D73" w:rsidR="00253F4F">
        <w:t xml:space="preserve">. MSHA also </w:t>
      </w:r>
      <w:r w:rsidRPr="00FC7D73" w:rsidR="0046074A">
        <w:t xml:space="preserve">estimates </w:t>
      </w:r>
      <w:r w:rsidRPr="00FC7D73" w:rsidR="00253F4F">
        <w:t xml:space="preserve">that it costs $5 for each application to be mailed to MSHA. </w:t>
      </w:r>
    </w:p>
    <w:p w:rsidR="00654A73" w:rsidRPr="00FC7D73" w:rsidP="00FC7D73" w14:paraId="4A829CC6" w14:textId="77777777">
      <w:pPr>
        <w:rPr>
          <w:b/>
          <w:bCs/>
          <w:color w:val="000000"/>
        </w:rPr>
      </w:pPr>
    </w:p>
    <w:p w:rsidR="00095216" w:rsidRPr="00FC7D73" w:rsidP="00FC7D73" w14:paraId="64650D74" w14:textId="465F8235">
      <w:pPr>
        <w:pStyle w:val="BodyText"/>
        <w:spacing w:after="0"/>
        <w:rPr>
          <w:b/>
          <w:bCs/>
          <w:color w:val="000000"/>
        </w:rPr>
      </w:pPr>
      <w:r w:rsidRPr="00FC7D73">
        <w:rPr>
          <w:b/>
          <w:bCs/>
          <w:color w:val="000000"/>
        </w:rPr>
        <w:t>Table 13-</w:t>
      </w:r>
      <w:r w:rsidRPr="00FC7D73" w:rsidR="00F14C1A">
        <w:rPr>
          <w:b/>
          <w:bCs/>
          <w:color w:val="000000"/>
        </w:rPr>
        <w:t>3</w:t>
      </w:r>
      <w:r w:rsidRPr="00FC7D73" w:rsidR="00D10D83">
        <w:rPr>
          <w:b/>
          <w:bCs/>
          <w:color w:val="000000"/>
        </w:rPr>
        <w:t>.</w:t>
      </w:r>
      <w:r w:rsidRPr="00FC7D73">
        <w:rPr>
          <w:b/>
          <w:bCs/>
          <w:color w:val="000000"/>
        </w:rPr>
        <w:t xml:space="preserve"> Estimated Annual Respondent or Recordkeeper Cost Burden, </w:t>
      </w:r>
      <w:r w:rsidRPr="00FC7D73" w:rsidR="00D10D83">
        <w:rPr>
          <w:b/>
          <w:bCs/>
          <w:color w:val="000000"/>
        </w:rPr>
        <w:t xml:space="preserve">Manufacturers </w:t>
      </w:r>
      <w:r w:rsidRPr="00FC7D73">
        <w:rPr>
          <w:b/>
          <w:bCs/>
          <w:color w:val="000000"/>
        </w:rPr>
        <w:t>Copy</w:t>
      </w:r>
      <w:r w:rsidRPr="00FC7D73" w:rsidR="00D10D83">
        <w:rPr>
          <w:b/>
          <w:bCs/>
          <w:color w:val="000000"/>
        </w:rPr>
        <w:t>ing and Mailing</w:t>
      </w:r>
      <w:r w:rsidRPr="00FC7D73" w:rsidR="0024515F">
        <w:rPr>
          <w:b/>
          <w:bCs/>
          <w:color w:val="000000"/>
        </w:rPr>
        <w:t xml:space="preserve"> </w:t>
      </w:r>
      <w:r w:rsidRPr="00FC7D73">
        <w:rPr>
          <w:b/>
          <w:bCs/>
          <w:color w:val="000000"/>
        </w:rPr>
        <w:t>Application</w:t>
      </w:r>
      <w:r w:rsidRPr="00FC7D73" w:rsidR="00B8034F">
        <w:rPr>
          <w:b/>
          <w:bCs/>
          <w:color w:val="000000"/>
        </w:rPr>
        <w:t>s</w:t>
      </w:r>
      <w:r w:rsidRPr="00FC7D73">
        <w:rPr>
          <w:b/>
          <w:bCs/>
          <w:color w:val="000000"/>
        </w:rPr>
        <w:t xml:space="preserve"> (30 CFR 74.13</w:t>
      </w:r>
      <w:r w:rsidRPr="00FC7D73" w:rsidR="00342D93">
        <w:rPr>
          <w:b/>
          <w:bCs/>
          <w:color w:val="000000"/>
        </w:rPr>
        <w:t xml:space="preserve">(a) and </w:t>
      </w:r>
      <w:r w:rsidRPr="00FC7D73">
        <w:rPr>
          <w:b/>
          <w:bCs/>
          <w:color w:val="000000"/>
        </w:rPr>
        <w:t>(b))</w:t>
      </w:r>
    </w:p>
    <w:tbl>
      <w:tblPr>
        <w:tblW w:w="9350" w:type="dxa"/>
        <w:tblLook w:val="04A0"/>
      </w:tblPr>
      <w:tblGrid>
        <w:gridCol w:w="2570"/>
        <w:gridCol w:w="2185"/>
        <w:gridCol w:w="1000"/>
        <w:gridCol w:w="1106"/>
        <w:gridCol w:w="1067"/>
        <w:gridCol w:w="1422"/>
      </w:tblGrid>
      <w:tr w14:paraId="5D1CB10E" w14:textId="77777777" w:rsidTr="00C903C8">
        <w:tblPrEx>
          <w:tblW w:w="9350" w:type="dxa"/>
          <w:tblLook w:val="04A0"/>
        </w:tblPrEx>
        <w:trPr>
          <w:trHeight w:val="528"/>
        </w:trPr>
        <w:tc>
          <w:tcPr>
            <w:tcW w:w="2570"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654A73" w:rsidRPr="00FC7D73" w:rsidP="00FC7D73" w14:paraId="4ADCCDE4" w14:textId="77777777">
            <w:pPr>
              <w:widowControl/>
              <w:autoSpaceDE/>
              <w:autoSpaceDN/>
              <w:adjustRightInd/>
              <w:rPr>
                <w:color w:val="000000"/>
                <w:sz w:val="20"/>
                <w:szCs w:val="20"/>
              </w:rPr>
            </w:pPr>
            <w:r w:rsidRPr="00FC7D73">
              <w:rPr>
                <w:color w:val="000000"/>
                <w:sz w:val="20"/>
                <w:szCs w:val="20"/>
              </w:rPr>
              <w:t>Cost components</w:t>
            </w:r>
          </w:p>
        </w:tc>
        <w:tc>
          <w:tcPr>
            <w:tcW w:w="2185"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54A73" w:rsidRPr="00FC7D73" w:rsidP="00FC7D73" w14:paraId="13D38D41" w14:textId="77777777">
            <w:pPr>
              <w:widowControl/>
              <w:autoSpaceDE/>
              <w:autoSpaceDN/>
              <w:adjustRightInd/>
              <w:jc w:val="center"/>
              <w:rPr>
                <w:color w:val="000000"/>
                <w:sz w:val="20"/>
                <w:szCs w:val="20"/>
              </w:rPr>
            </w:pPr>
            <w:r w:rsidRPr="00FC7D73">
              <w:rPr>
                <w:color w:val="000000"/>
                <w:sz w:val="20"/>
                <w:szCs w:val="20"/>
              </w:rPr>
              <w:t>Number of Responses (Applications)</w:t>
            </w:r>
          </w:p>
        </w:tc>
        <w:tc>
          <w:tcPr>
            <w:tcW w:w="1000" w:type="dxa"/>
            <w:tcBorders>
              <w:top w:val="single" w:sz="4" w:space="0" w:color="auto"/>
              <w:left w:val="nil"/>
              <w:bottom w:val="single" w:sz="4" w:space="0" w:color="auto"/>
              <w:right w:val="single" w:sz="4" w:space="0" w:color="auto"/>
            </w:tcBorders>
            <w:shd w:val="clear" w:color="auto" w:fill="8EAADB" w:themeFill="accent1" w:themeFillTint="99"/>
          </w:tcPr>
          <w:p w:rsidR="00654A73" w:rsidRPr="00FC7D73" w:rsidP="00FC7D73" w14:paraId="2F73F58D" w14:textId="5866B204">
            <w:pPr>
              <w:widowControl/>
              <w:autoSpaceDE/>
              <w:autoSpaceDN/>
              <w:adjustRightInd/>
              <w:jc w:val="center"/>
              <w:rPr>
                <w:color w:val="000000"/>
                <w:sz w:val="20"/>
                <w:szCs w:val="20"/>
              </w:rPr>
            </w:pPr>
            <w:r w:rsidRPr="00FC7D73">
              <w:rPr>
                <w:color w:val="000000"/>
                <w:sz w:val="20"/>
                <w:szCs w:val="20"/>
              </w:rPr>
              <w:t>Number of Copies</w:t>
            </w:r>
          </w:p>
        </w:tc>
        <w:tc>
          <w:tcPr>
            <w:tcW w:w="110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654A73" w:rsidRPr="00FC7D73" w:rsidP="00FC7D73" w14:paraId="35DEBFE5" w14:textId="4EB2765F">
            <w:pPr>
              <w:widowControl/>
              <w:autoSpaceDE/>
              <w:autoSpaceDN/>
              <w:adjustRightInd/>
              <w:jc w:val="center"/>
              <w:rPr>
                <w:color w:val="000000"/>
                <w:sz w:val="20"/>
                <w:szCs w:val="20"/>
              </w:rPr>
            </w:pPr>
            <w:r w:rsidRPr="00FC7D73">
              <w:rPr>
                <w:color w:val="000000"/>
                <w:sz w:val="20"/>
                <w:szCs w:val="20"/>
              </w:rPr>
              <w:t>Number of Pages</w:t>
            </w:r>
          </w:p>
        </w:tc>
        <w:tc>
          <w:tcPr>
            <w:tcW w:w="1067"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54A73" w:rsidRPr="00FC7D73" w:rsidP="00FC7D73" w14:paraId="3D748065" w14:textId="77777777">
            <w:pPr>
              <w:widowControl/>
              <w:autoSpaceDE/>
              <w:autoSpaceDN/>
              <w:adjustRightInd/>
              <w:jc w:val="center"/>
              <w:rPr>
                <w:color w:val="000000"/>
                <w:sz w:val="20"/>
                <w:szCs w:val="20"/>
              </w:rPr>
            </w:pPr>
            <w:r w:rsidRPr="00FC7D73">
              <w:rPr>
                <w:color w:val="000000"/>
                <w:sz w:val="20"/>
                <w:szCs w:val="20"/>
              </w:rPr>
              <w:t>Cost Per Page</w:t>
            </w:r>
          </w:p>
        </w:tc>
        <w:tc>
          <w:tcPr>
            <w:tcW w:w="1422"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54A73" w:rsidRPr="00FC7D73" w:rsidP="00FC7D73" w14:paraId="396E721E" w14:textId="77777777">
            <w:pPr>
              <w:widowControl/>
              <w:autoSpaceDE/>
              <w:autoSpaceDN/>
              <w:adjustRightInd/>
              <w:jc w:val="center"/>
              <w:rPr>
                <w:color w:val="000000"/>
                <w:sz w:val="20"/>
                <w:szCs w:val="20"/>
              </w:rPr>
            </w:pPr>
            <w:r w:rsidRPr="00FC7D73">
              <w:rPr>
                <w:color w:val="000000"/>
                <w:sz w:val="20"/>
                <w:szCs w:val="20"/>
              </w:rPr>
              <w:t>Cost to Recordkeepers</w:t>
            </w:r>
          </w:p>
        </w:tc>
      </w:tr>
      <w:tr w14:paraId="75163F4A" w14:textId="77777777" w:rsidTr="0069788D">
        <w:tblPrEx>
          <w:tblW w:w="9350" w:type="dxa"/>
          <w:tblLook w:val="04A0"/>
        </w:tblPrEx>
        <w:trPr>
          <w:trHeight w:val="276"/>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rsidR="00654A73" w:rsidRPr="00FC7D73" w:rsidP="00FC7D73" w14:paraId="30C13CDB" w14:textId="1A883353">
            <w:pPr>
              <w:widowControl/>
              <w:autoSpaceDE/>
              <w:autoSpaceDN/>
              <w:adjustRightInd/>
              <w:rPr>
                <w:color w:val="000000"/>
                <w:sz w:val="20"/>
                <w:szCs w:val="20"/>
              </w:rPr>
            </w:pPr>
            <w:r w:rsidRPr="00FC7D73">
              <w:rPr>
                <w:color w:val="000000"/>
                <w:sz w:val="20"/>
                <w:szCs w:val="18"/>
              </w:rPr>
              <w:t xml:space="preserve">Manufacturers </w:t>
            </w:r>
            <w:r w:rsidRPr="00FC7D73">
              <w:rPr>
                <w:color w:val="000000"/>
                <w:sz w:val="20"/>
                <w:szCs w:val="20"/>
              </w:rPr>
              <w:t>Copying Applications</w:t>
            </w:r>
          </w:p>
        </w:tc>
        <w:tc>
          <w:tcPr>
            <w:tcW w:w="2185"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00485E13" w14:textId="5B4481E2">
            <w:pPr>
              <w:widowControl/>
              <w:autoSpaceDE/>
              <w:autoSpaceDN/>
              <w:adjustRightInd/>
              <w:jc w:val="right"/>
              <w:rPr>
                <w:color w:val="000000"/>
                <w:sz w:val="20"/>
                <w:szCs w:val="20"/>
              </w:rPr>
            </w:pPr>
            <w:r w:rsidRPr="00FC7D73">
              <w:rPr>
                <w:color w:val="000000"/>
                <w:sz w:val="20"/>
                <w:szCs w:val="20"/>
              </w:rPr>
              <w:t>1</w:t>
            </w:r>
          </w:p>
        </w:tc>
        <w:tc>
          <w:tcPr>
            <w:tcW w:w="1000" w:type="dxa"/>
            <w:tcBorders>
              <w:top w:val="single" w:sz="4" w:space="0" w:color="auto"/>
              <w:left w:val="nil"/>
              <w:bottom w:val="single" w:sz="4" w:space="0" w:color="auto"/>
              <w:right w:val="single" w:sz="4" w:space="0" w:color="auto"/>
            </w:tcBorders>
            <w:vAlign w:val="center"/>
          </w:tcPr>
          <w:p w:rsidR="00654A73" w:rsidRPr="00FC7D73" w:rsidP="00FC7D73" w14:paraId="28D277CA" w14:textId="58322720">
            <w:pPr>
              <w:widowControl/>
              <w:autoSpaceDE/>
              <w:autoSpaceDN/>
              <w:adjustRightInd/>
              <w:jc w:val="right"/>
              <w:rPr>
                <w:color w:val="000000"/>
                <w:sz w:val="20"/>
                <w:szCs w:val="20"/>
              </w:rPr>
            </w:pPr>
            <w:r w:rsidRPr="00FC7D73">
              <w:rPr>
                <w:color w:val="000000"/>
                <w:sz w:val="20"/>
                <w:szCs w:val="20"/>
              </w:rPr>
              <w:t>4</w:t>
            </w:r>
          </w:p>
        </w:tc>
        <w:tc>
          <w:tcPr>
            <w:tcW w:w="1106" w:type="dxa"/>
            <w:tcBorders>
              <w:top w:val="nil"/>
              <w:left w:val="single" w:sz="4" w:space="0" w:color="auto"/>
              <w:bottom w:val="single" w:sz="4" w:space="0" w:color="auto"/>
              <w:right w:val="single" w:sz="4" w:space="0" w:color="auto"/>
            </w:tcBorders>
            <w:shd w:val="clear" w:color="auto" w:fill="auto"/>
            <w:noWrap/>
            <w:vAlign w:val="center"/>
            <w:hideMark/>
          </w:tcPr>
          <w:p w:rsidR="00654A73" w:rsidRPr="00FC7D73" w:rsidP="00FC7D73" w14:paraId="734DC170" w14:textId="0E9FF04D">
            <w:pPr>
              <w:widowControl/>
              <w:autoSpaceDE/>
              <w:autoSpaceDN/>
              <w:adjustRightInd/>
              <w:jc w:val="right"/>
              <w:rPr>
                <w:color w:val="000000"/>
                <w:sz w:val="20"/>
                <w:szCs w:val="20"/>
              </w:rPr>
            </w:pPr>
            <w:r w:rsidRPr="00FC7D73">
              <w:rPr>
                <w:color w:val="000000"/>
                <w:sz w:val="20"/>
                <w:szCs w:val="20"/>
              </w:rPr>
              <w:t>250</w:t>
            </w:r>
          </w:p>
        </w:tc>
        <w:tc>
          <w:tcPr>
            <w:tcW w:w="1067"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0902CAEC" w14:textId="77777777">
            <w:pPr>
              <w:widowControl/>
              <w:autoSpaceDE/>
              <w:autoSpaceDN/>
              <w:adjustRightInd/>
              <w:jc w:val="right"/>
              <w:rPr>
                <w:color w:val="000000"/>
                <w:sz w:val="20"/>
                <w:szCs w:val="20"/>
              </w:rPr>
            </w:pPr>
            <w:r w:rsidRPr="00FC7D73">
              <w:rPr>
                <w:color w:val="000000"/>
                <w:sz w:val="20"/>
                <w:szCs w:val="20"/>
              </w:rPr>
              <w:t>$0.15</w:t>
            </w:r>
          </w:p>
        </w:tc>
        <w:tc>
          <w:tcPr>
            <w:tcW w:w="1422"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4B2F6A85" w14:textId="77777777">
            <w:pPr>
              <w:widowControl/>
              <w:autoSpaceDE/>
              <w:autoSpaceDN/>
              <w:adjustRightInd/>
              <w:jc w:val="right"/>
              <w:rPr>
                <w:color w:val="000000"/>
                <w:sz w:val="20"/>
                <w:szCs w:val="20"/>
              </w:rPr>
            </w:pPr>
            <w:r w:rsidRPr="00FC7D73">
              <w:rPr>
                <w:color w:val="000000"/>
                <w:sz w:val="20"/>
                <w:szCs w:val="20"/>
              </w:rPr>
              <w:t>$150.00</w:t>
            </w:r>
          </w:p>
        </w:tc>
      </w:tr>
      <w:tr w14:paraId="3DFE6282" w14:textId="77777777" w:rsidTr="0069788D">
        <w:tblPrEx>
          <w:tblW w:w="9350" w:type="dxa"/>
          <w:tblLook w:val="04A0"/>
        </w:tblPrEx>
        <w:trPr>
          <w:trHeight w:val="276"/>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rsidR="00654A73" w:rsidRPr="00FC7D73" w:rsidP="00FC7D73" w14:paraId="044575E2" w14:textId="6073EF28">
            <w:pPr>
              <w:widowControl/>
              <w:autoSpaceDE/>
              <w:autoSpaceDN/>
              <w:adjustRightInd/>
              <w:rPr>
                <w:color w:val="000000"/>
                <w:sz w:val="20"/>
                <w:szCs w:val="20"/>
              </w:rPr>
            </w:pPr>
            <w:r w:rsidRPr="00FC7D73">
              <w:rPr>
                <w:color w:val="000000"/>
                <w:sz w:val="20"/>
                <w:szCs w:val="18"/>
              </w:rPr>
              <w:t xml:space="preserve">Manufacturers </w:t>
            </w:r>
            <w:r w:rsidRPr="00FC7D73">
              <w:rPr>
                <w:color w:val="000000"/>
                <w:sz w:val="20"/>
                <w:szCs w:val="20"/>
              </w:rPr>
              <w:t>Mailing Applications</w:t>
            </w:r>
            <w:r w:rsidRPr="00FC7D73">
              <w:rPr>
                <w:color w:val="000000"/>
                <w:sz w:val="20"/>
                <w:szCs w:val="20"/>
              </w:rPr>
              <w:t xml:space="preserve"> </w:t>
            </w:r>
          </w:p>
        </w:tc>
        <w:tc>
          <w:tcPr>
            <w:tcW w:w="2185"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77C8096F" w14:textId="6E37A2BA">
            <w:pPr>
              <w:widowControl/>
              <w:autoSpaceDE/>
              <w:autoSpaceDN/>
              <w:adjustRightInd/>
              <w:jc w:val="right"/>
              <w:rPr>
                <w:color w:val="000000"/>
                <w:sz w:val="20"/>
                <w:szCs w:val="20"/>
              </w:rPr>
            </w:pPr>
            <w:r w:rsidRPr="00FC7D73">
              <w:rPr>
                <w:color w:val="000000"/>
                <w:sz w:val="20"/>
                <w:szCs w:val="20"/>
              </w:rPr>
              <w:t>1</w:t>
            </w:r>
          </w:p>
        </w:tc>
        <w:tc>
          <w:tcPr>
            <w:tcW w:w="1000" w:type="dxa"/>
            <w:tcBorders>
              <w:top w:val="nil"/>
              <w:left w:val="nil"/>
              <w:bottom w:val="single" w:sz="4" w:space="0" w:color="auto"/>
              <w:right w:val="nil"/>
            </w:tcBorders>
            <w:vAlign w:val="center"/>
          </w:tcPr>
          <w:p w:rsidR="00654A73" w:rsidRPr="00FC7D73" w:rsidP="00FC7D73" w14:paraId="179C7815" w14:textId="27C1D7B5">
            <w:pPr>
              <w:widowControl/>
              <w:autoSpaceDE/>
              <w:autoSpaceDN/>
              <w:adjustRightInd/>
              <w:jc w:val="right"/>
              <w:rPr>
                <w:color w:val="000000"/>
                <w:sz w:val="20"/>
                <w:szCs w:val="20"/>
              </w:rPr>
            </w:pPr>
            <w:r w:rsidRPr="00FC7D73">
              <w:rPr>
                <w:color w:val="000000"/>
                <w:sz w:val="20"/>
                <w:szCs w:val="20"/>
              </w:rPr>
              <w:t>4</w:t>
            </w:r>
          </w:p>
        </w:tc>
        <w:tc>
          <w:tcPr>
            <w:tcW w:w="1106" w:type="dxa"/>
            <w:tcBorders>
              <w:top w:val="nil"/>
              <w:left w:val="nil"/>
              <w:bottom w:val="single" w:sz="4" w:space="0" w:color="auto"/>
              <w:right w:val="single" w:sz="4" w:space="0" w:color="auto"/>
            </w:tcBorders>
            <w:shd w:val="clear" w:color="000000" w:fill="000000"/>
            <w:noWrap/>
            <w:vAlign w:val="center"/>
            <w:hideMark/>
          </w:tcPr>
          <w:p w:rsidR="00654A73" w:rsidRPr="00FC7D73" w:rsidP="00FC7D73" w14:paraId="501ED937" w14:textId="2D4A549B">
            <w:pPr>
              <w:widowControl/>
              <w:autoSpaceDE/>
              <w:autoSpaceDN/>
              <w:adjustRightInd/>
              <w:jc w:val="right"/>
              <w:rPr>
                <w:color w:val="000000"/>
                <w:sz w:val="20"/>
                <w:szCs w:val="20"/>
              </w:rPr>
            </w:pPr>
            <w:r w:rsidRPr="00FC7D73">
              <w:rPr>
                <w:color w:val="000000"/>
                <w:sz w:val="20"/>
                <w:szCs w:val="20"/>
              </w:rPr>
              <w:t>250</w:t>
            </w:r>
          </w:p>
        </w:tc>
        <w:tc>
          <w:tcPr>
            <w:tcW w:w="1067"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4A7FF06A" w14:textId="77777777">
            <w:pPr>
              <w:widowControl/>
              <w:autoSpaceDE/>
              <w:autoSpaceDN/>
              <w:adjustRightInd/>
              <w:jc w:val="right"/>
              <w:rPr>
                <w:color w:val="000000"/>
                <w:sz w:val="20"/>
                <w:szCs w:val="20"/>
              </w:rPr>
            </w:pPr>
            <w:r w:rsidRPr="00FC7D73">
              <w:rPr>
                <w:color w:val="000000"/>
                <w:sz w:val="20"/>
                <w:szCs w:val="20"/>
              </w:rPr>
              <w:t>$5.00</w:t>
            </w:r>
          </w:p>
        </w:tc>
        <w:tc>
          <w:tcPr>
            <w:tcW w:w="1422"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2936FFC1" w14:textId="2F97944D">
            <w:pPr>
              <w:widowControl/>
              <w:autoSpaceDE/>
              <w:autoSpaceDN/>
              <w:adjustRightInd/>
              <w:jc w:val="right"/>
              <w:rPr>
                <w:color w:val="000000"/>
                <w:sz w:val="20"/>
                <w:szCs w:val="20"/>
              </w:rPr>
            </w:pPr>
            <w:r w:rsidRPr="00FC7D73">
              <w:rPr>
                <w:color w:val="000000"/>
                <w:sz w:val="20"/>
                <w:szCs w:val="20"/>
              </w:rPr>
              <w:t>$20.00</w:t>
            </w:r>
          </w:p>
        </w:tc>
      </w:tr>
      <w:tr w14:paraId="48DFBAA1" w14:textId="77777777" w:rsidTr="0069788D">
        <w:tblPrEx>
          <w:tblW w:w="9350" w:type="dxa"/>
          <w:tblLook w:val="04A0"/>
        </w:tblPrEx>
        <w:trPr>
          <w:trHeight w:val="276"/>
        </w:trPr>
        <w:tc>
          <w:tcPr>
            <w:tcW w:w="2570" w:type="dxa"/>
            <w:tcBorders>
              <w:top w:val="nil"/>
              <w:left w:val="single" w:sz="4" w:space="0" w:color="auto"/>
              <w:bottom w:val="single" w:sz="4" w:space="0" w:color="auto"/>
              <w:right w:val="single" w:sz="4" w:space="0" w:color="auto"/>
            </w:tcBorders>
            <w:shd w:val="clear" w:color="auto" w:fill="auto"/>
            <w:noWrap/>
            <w:vAlign w:val="center"/>
            <w:hideMark/>
          </w:tcPr>
          <w:p w:rsidR="00654A73" w:rsidRPr="00FC7D73" w:rsidP="00FC7D73" w14:paraId="48EDFE09" w14:textId="3E40C73B">
            <w:pPr>
              <w:widowControl/>
              <w:autoSpaceDE/>
              <w:autoSpaceDN/>
              <w:adjustRightInd/>
              <w:rPr>
                <w:b/>
                <w:bCs/>
                <w:i/>
                <w:iCs/>
                <w:color w:val="000000"/>
                <w:sz w:val="20"/>
                <w:szCs w:val="20"/>
              </w:rPr>
            </w:pPr>
            <w:r w:rsidRPr="00FC7D73">
              <w:rPr>
                <w:b/>
                <w:bCs/>
                <w:i/>
                <w:iCs/>
                <w:color w:val="000000"/>
                <w:sz w:val="20"/>
                <w:szCs w:val="20"/>
              </w:rPr>
              <w:t>Subtotal (Rounded)</w:t>
            </w:r>
          </w:p>
        </w:tc>
        <w:tc>
          <w:tcPr>
            <w:tcW w:w="2185"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6D377343" w14:textId="676AB26D">
            <w:pPr>
              <w:widowControl/>
              <w:autoSpaceDE/>
              <w:autoSpaceDN/>
              <w:adjustRightInd/>
              <w:jc w:val="right"/>
              <w:rPr>
                <w:b/>
                <w:bCs/>
                <w:i/>
                <w:iCs/>
                <w:color w:val="000000"/>
                <w:sz w:val="20"/>
                <w:szCs w:val="20"/>
              </w:rPr>
            </w:pPr>
            <w:r w:rsidRPr="00FC7D73">
              <w:rPr>
                <w:b/>
                <w:bCs/>
                <w:i/>
                <w:iCs/>
                <w:color w:val="000000"/>
                <w:sz w:val="20"/>
                <w:szCs w:val="20"/>
              </w:rPr>
              <w:t>1</w:t>
            </w:r>
          </w:p>
        </w:tc>
        <w:tc>
          <w:tcPr>
            <w:tcW w:w="1000" w:type="dxa"/>
            <w:tcBorders>
              <w:top w:val="nil"/>
              <w:left w:val="nil"/>
              <w:bottom w:val="single" w:sz="4" w:space="0" w:color="auto"/>
              <w:right w:val="nil"/>
            </w:tcBorders>
            <w:shd w:val="clear" w:color="auto" w:fill="000000" w:themeFill="text1"/>
          </w:tcPr>
          <w:p w:rsidR="00654A73" w:rsidRPr="00FC7D73" w:rsidP="00FC7D73" w14:paraId="60BD0781" w14:textId="77777777">
            <w:pPr>
              <w:widowControl/>
              <w:autoSpaceDE/>
              <w:autoSpaceDN/>
              <w:adjustRightInd/>
              <w:jc w:val="right"/>
              <w:rPr>
                <w:b/>
                <w:bCs/>
                <w:i/>
                <w:iCs/>
                <w:color w:val="000000"/>
                <w:sz w:val="20"/>
                <w:szCs w:val="20"/>
              </w:rPr>
            </w:pPr>
          </w:p>
        </w:tc>
        <w:tc>
          <w:tcPr>
            <w:tcW w:w="1106" w:type="dxa"/>
            <w:tcBorders>
              <w:top w:val="nil"/>
              <w:left w:val="nil"/>
              <w:bottom w:val="single" w:sz="4" w:space="0" w:color="auto"/>
              <w:right w:val="single" w:sz="4" w:space="0" w:color="auto"/>
            </w:tcBorders>
            <w:shd w:val="clear" w:color="000000" w:fill="000000"/>
            <w:noWrap/>
            <w:vAlign w:val="center"/>
            <w:hideMark/>
          </w:tcPr>
          <w:p w:rsidR="00654A73" w:rsidRPr="00FC7D73" w:rsidP="00FC7D73" w14:paraId="034DC2EF" w14:textId="68B772D3">
            <w:pPr>
              <w:widowControl/>
              <w:autoSpaceDE/>
              <w:autoSpaceDN/>
              <w:adjustRightInd/>
              <w:jc w:val="right"/>
              <w:rPr>
                <w:b/>
                <w:bCs/>
                <w:i/>
                <w:iCs/>
                <w:color w:val="000000"/>
                <w:sz w:val="20"/>
                <w:szCs w:val="20"/>
              </w:rPr>
            </w:pPr>
            <w:r w:rsidRPr="00FC7D73">
              <w:rPr>
                <w:b/>
                <w:bCs/>
                <w:i/>
                <w:iCs/>
                <w:color w:val="000000"/>
                <w:sz w:val="20"/>
                <w:szCs w:val="20"/>
              </w:rPr>
              <w:t> </w:t>
            </w:r>
          </w:p>
        </w:tc>
        <w:tc>
          <w:tcPr>
            <w:tcW w:w="1067" w:type="dxa"/>
            <w:tcBorders>
              <w:top w:val="nil"/>
              <w:left w:val="nil"/>
              <w:bottom w:val="single" w:sz="4" w:space="0" w:color="auto"/>
              <w:right w:val="single" w:sz="4" w:space="0" w:color="auto"/>
            </w:tcBorders>
            <w:shd w:val="clear" w:color="000000" w:fill="000000"/>
            <w:noWrap/>
            <w:vAlign w:val="center"/>
            <w:hideMark/>
          </w:tcPr>
          <w:p w:rsidR="00654A73" w:rsidRPr="00FC7D73" w:rsidP="00FC7D73" w14:paraId="593C0C63" w14:textId="77777777">
            <w:pPr>
              <w:widowControl/>
              <w:autoSpaceDE/>
              <w:autoSpaceDN/>
              <w:adjustRightInd/>
              <w:jc w:val="right"/>
              <w:rPr>
                <w:b/>
                <w:bCs/>
                <w:i/>
                <w:iCs/>
                <w:color w:val="000000"/>
                <w:sz w:val="20"/>
                <w:szCs w:val="20"/>
              </w:rPr>
            </w:pPr>
            <w:r w:rsidRPr="00FC7D73">
              <w:rPr>
                <w:b/>
                <w:bCs/>
                <w:i/>
                <w:iCs/>
                <w:color w:val="000000"/>
                <w:sz w:val="20"/>
                <w:szCs w:val="20"/>
              </w:rPr>
              <w:t> </w:t>
            </w:r>
          </w:p>
        </w:tc>
        <w:tc>
          <w:tcPr>
            <w:tcW w:w="1422" w:type="dxa"/>
            <w:tcBorders>
              <w:top w:val="nil"/>
              <w:left w:val="nil"/>
              <w:bottom w:val="single" w:sz="4" w:space="0" w:color="auto"/>
              <w:right w:val="single" w:sz="4" w:space="0" w:color="auto"/>
            </w:tcBorders>
            <w:shd w:val="clear" w:color="auto" w:fill="auto"/>
            <w:noWrap/>
            <w:vAlign w:val="center"/>
            <w:hideMark/>
          </w:tcPr>
          <w:p w:rsidR="00654A73" w:rsidRPr="00FC7D73" w:rsidP="00FC7D73" w14:paraId="6FB40955" w14:textId="07731F00">
            <w:pPr>
              <w:widowControl/>
              <w:autoSpaceDE/>
              <w:autoSpaceDN/>
              <w:adjustRightInd/>
              <w:jc w:val="right"/>
              <w:rPr>
                <w:b/>
                <w:bCs/>
                <w:i/>
                <w:iCs/>
                <w:color w:val="000000"/>
                <w:sz w:val="20"/>
                <w:szCs w:val="20"/>
              </w:rPr>
            </w:pPr>
            <w:r w:rsidRPr="00FC7D73">
              <w:rPr>
                <w:b/>
                <w:bCs/>
                <w:i/>
                <w:iCs/>
                <w:color w:val="000000"/>
                <w:sz w:val="20"/>
                <w:szCs w:val="20"/>
              </w:rPr>
              <w:t>$170</w:t>
            </w:r>
          </w:p>
        </w:tc>
      </w:tr>
    </w:tbl>
    <w:p w:rsidR="00C460AE" w:rsidRPr="00FC7D73" w:rsidP="00FC7D73" w14:paraId="7687E0A9" w14:textId="77777777">
      <w:pPr>
        <w:rPr>
          <w:b/>
          <w:bCs/>
          <w:color w:val="000000"/>
        </w:rPr>
      </w:pPr>
    </w:p>
    <w:p w:rsidR="00395F34" w:rsidRPr="00FC7D73" w:rsidP="00FC7D73" w14:paraId="5218C174" w14:textId="5BE175C8">
      <w:pPr>
        <w:pStyle w:val="Default"/>
        <w:numPr>
          <w:ilvl w:val="0"/>
          <w:numId w:val="34"/>
        </w:numPr>
        <w:rPr>
          <w:rFonts w:ascii="Times New Roman" w:hAnsi="Times New Roman" w:cs="Times New Roman"/>
          <w:b/>
          <w:bCs/>
          <w:color w:val="auto"/>
        </w:rPr>
      </w:pPr>
      <w:bookmarkStart w:id="42" w:name="_Hlk167348260"/>
      <w:r w:rsidRPr="00FC7D73">
        <w:rPr>
          <w:rFonts w:ascii="Times New Roman" w:hAnsi="Times New Roman" w:cs="Times New Roman"/>
          <w:b/>
          <w:bCs/>
          <w:color w:val="auto"/>
        </w:rPr>
        <w:t xml:space="preserve">Manufacturers Providing CMDPSU </w:t>
      </w:r>
      <w:r w:rsidRPr="00FC7D73" w:rsidR="00CB690D">
        <w:rPr>
          <w:rFonts w:ascii="Times New Roman" w:hAnsi="Times New Roman" w:cs="Times New Roman"/>
          <w:b/>
          <w:bCs/>
          <w:color w:val="auto"/>
        </w:rPr>
        <w:t>or</w:t>
      </w:r>
      <w:r w:rsidRPr="00FC7D73">
        <w:rPr>
          <w:rFonts w:ascii="Times New Roman" w:hAnsi="Times New Roman" w:cs="Times New Roman"/>
          <w:b/>
          <w:bCs/>
          <w:color w:val="auto"/>
        </w:rPr>
        <w:t xml:space="preserve"> CPDM Devices </w:t>
      </w:r>
    </w:p>
    <w:p w:rsidR="00395F34" w:rsidRPr="00FC7D73" w:rsidP="00FC7D73" w14:paraId="75A12DEA" w14:textId="77777777">
      <w:pPr>
        <w:pStyle w:val="BodyText"/>
        <w:spacing w:after="0"/>
      </w:pPr>
    </w:p>
    <w:p w:rsidR="00D10D83" w:rsidRPr="00FC7D73" w:rsidP="00FC7D73" w14:paraId="418A84E5" w14:textId="765139BE">
      <w:pPr>
        <w:pStyle w:val="BodyText"/>
        <w:spacing w:after="0"/>
      </w:pPr>
      <w:r w:rsidRPr="00FC7D73">
        <w:t xml:space="preserve">Under 30 CFR 74.16(a), </w:t>
      </w:r>
      <w:r w:rsidRPr="00FC7D73" w:rsidR="002E3D94">
        <w:t xml:space="preserve">the applicant must provide the CMDPSU and the pump unit or the CPDM free of charge to the agency, in order to conduct testing on the device. </w:t>
      </w:r>
    </w:p>
    <w:p w:rsidR="00D10D83" w:rsidRPr="00FC7D73" w:rsidP="00FC7D73" w14:paraId="2984A3B6" w14:textId="77777777">
      <w:pPr>
        <w:pStyle w:val="BodyText"/>
        <w:spacing w:after="0"/>
      </w:pPr>
    </w:p>
    <w:p w:rsidR="002E3D94" w:rsidRPr="00FC7D73" w:rsidP="00FC7D73" w14:paraId="653B3DB6" w14:textId="59CDDE12">
      <w:pPr>
        <w:pStyle w:val="BodyText"/>
        <w:spacing w:after="0"/>
      </w:pPr>
      <w:r w:rsidRPr="00FC7D73">
        <w:t xml:space="preserve">MSHA estimates that the average cost of </w:t>
      </w:r>
      <w:r w:rsidRPr="00FC7D73" w:rsidR="00F14C1A">
        <w:t>a</w:t>
      </w:r>
      <w:r w:rsidRPr="00FC7D73">
        <w:t xml:space="preserve"> </w:t>
      </w:r>
      <w:r w:rsidRPr="00FC7D73" w:rsidR="00F37D92">
        <w:t xml:space="preserve">CMDPSU or CPDM </w:t>
      </w:r>
      <w:r w:rsidRPr="00FC7D73">
        <w:t>device</w:t>
      </w:r>
      <w:r w:rsidRPr="00FC7D73" w:rsidR="00F14C1A">
        <w:t xml:space="preserve"> </w:t>
      </w:r>
      <w:r w:rsidRPr="00FC7D73">
        <w:t>average</w:t>
      </w:r>
      <w:r w:rsidRPr="00FC7D73" w:rsidR="00F14C1A">
        <w:t>s</w:t>
      </w:r>
      <w:r w:rsidRPr="00FC7D73">
        <w:t xml:space="preserve"> $36,000 </w:t>
      </w:r>
      <w:r w:rsidRPr="00FC7D73" w:rsidR="00F14C1A">
        <w:t xml:space="preserve">a </w:t>
      </w:r>
      <w:r w:rsidRPr="00FC7D73" w:rsidR="001D3B9B">
        <w:t>piece for</w:t>
      </w:r>
      <w:r w:rsidRPr="00FC7D73">
        <w:t xml:space="preserve"> each application</w:t>
      </w:r>
      <w:r w:rsidRPr="00FC7D73" w:rsidR="00ED50FE">
        <w:t>, and one application submission every year</w:t>
      </w:r>
      <w:r w:rsidRPr="00FC7D73">
        <w:t xml:space="preserve">. </w:t>
      </w:r>
    </w:p>
    <w:bookmarkEnd w:id="42"/>
    <w:p w:rsidR="00FE10AA" w:rsidRPr="00FC7D73" w:rsidP="00FC7D73" w14:paraId="7289236C" w14:textId="77777777">
      <w:pPr>
        <w:pStyle w:val="BodyText"/>
        <w:spacing w:after="0"/>
        <w:rPr>
          <w:b/>
        </w:rPr>
      </w:pPr>
    </w:p>
    <w:p w:rsidR="005B5BAE" w:rsidRPr="00FC7D73" w:rsidP="00FC7D73" w14:paraId="1F47AE61" w14:textId="77777777">
      <w:pPr>
        <w:widowControl/>
        <w:autoSpaceDE/>
        <w:autoSpaceDN/>
        <w:adjustRightInd/>
        <w:rPr>
          <w:b/>
          <w:bCs/>
          <w:color w:val="000000"/>
        </w:rPr>
      </w:pPr>
      <w:r w:rsidRPr="00FC7D73">
        <w:rPr>
          <w:b/>
          <w:bCs/>
          <w:color w:val="000000"/>
        </w:rPr>
        <w:br w:type="page"/>
      </w:r>
    </w:p>
    <w:p w:rsidR="006B7A71" w:rsidRPr="00FC7D73" w:rsidP="00FC7D73" w14:paraId="41DB48D2" w14:textId="7C1A7D59">
      <w:pPr>
        <w:pStyle w:val="BodyText"/>
        <w:spacing w:after="0"/>
        <w:rPr>
          <w:b/>
        </w:rPr>
      </w:pPr>
      <w:r w:rsidRPr="00FC7D73">
        <w:rPr>
          <w:b/>
          <w:bCs/>
          <w:color w:val="000000"/>
        </w:rPr>
        <w:t>Table 13-</w:t>
      </w:r>
      <w:r w:rsidRPr="00FC7D73" w:rsidR="006528DB">
        <w:rPr>
          <w:b/>
          <w:bCs/>
          <w:color w:val="000000"/>
        </w:rPr>
        <w:t>4</w:t>
      </w:r>
      <w:r w:rsidRPr="00FC7D73" w:rsidR="00F14C1A">
        <w:rPr>
          <w:b/>
          <w:bCs/>
          <w:color w:val="000000"/>
        </w:rPr>
        <w:t>.</w:t>
      </w:r>
      <w:r w:rsidRPr="00FC7D73">
        <w:rPr>
          <w:b/>
          <w:bCs/>
          <w:color w:val="000000"/>
        </w:rPr>
        <w:t xml:space="preserve"> Estimated Annual Respondent or Recordkeeper Cost Burden, Manufacturers Providing CMDPSU or CPDM Devices (30 CFR 74.16(a))</w:t>
      </w:r>
    </w:p>
    <w:tbl>
      <w:tblPr>
        <w:tblW w:w="7730" w:type="dxa"/>
        <w:tblInd w:w="90" w:type="dxa"/>
        <w:tblLook w:val="04A0"/>
      </w:tblPr>
      <w:tblGrid>
        <w:gridCol w:w="2695"/>
        <w:gridCol w:w="2065"/>
        <w:gridCol w:w="1530"/>
        <w:gridCol w:w="1440"/>
      </w:tblGrid>
      <w:tr w14:paraId="282FB2FA" w14:textId="77777777" w:rsidTr="00C903C8">
        <w:tblPrEx>
          <w:tblW w:w="7730" w:type="dxa"/>
          <w:tblInd w:w="90" w:type="dxa"/>
          <w:tblLook w:val="04A0"/>
        </w:tblPrEx>
        <w:trPr>
          <w:trHeight w:val="528"/>
        </w:trPr>
        <w:tc>
          <w:tcPr>
            <w:tcW w:w="2695" w:type="dxa"/>
            <w:tcBorders>
              <w:top w:val="single" w:sz="4" w:space="0" w:color="auto"/>
              <w:left w:val="single" w:sz="4" w:space="0" w:color="auto"/>
              <w:bottom w:val="single" w:sz="4" w:space="0" w:color="auto"/>
              <w:right w:val="single" w:sz="4" w:space="0" w:color="auto"/>
            </w:tcBorders>
            <w:shd w:val="clear" w:color="auto" w:fill="8EAADB" w:themeFill="accent1" w:themeFillTint="99"/>
            <w:noWrap/>
            <w:vAlign w:val="center"/>
            <w:hideMark/>
          </w:tcPr>
          <w:p w:rsidR="00DE2A39" w:rsidRPr="00FC7D73" w:rsidP="00FC7D73" w14:paraId="5C064A6F" w14:textId="77777777">
            <w:pPr>
              <w:widowControl/>
              <w:autoSpaceDE/>
              <w:autoSpaceDN/>
              <w:adjustRightInd/>
              <w:rPr>
                <w:color w:val="000000"/>
                <w:sz w:val="20"/>
                <w:szCs w:val="20"/>
              </w:rPr>
            </w:pPr>
            <w:r w:rsidRPr="00FC7D73">
              <w:rPr>
                <w:color w:val="000000"/>
                <w:sz w:val="20"/>
                <w:szCs w:val="20"/>
              </w:rPr>
              <w:t>Cost components</w:t>
            </w:r>
          </w:p>
        </w:tc>
        <w:tc>
          <w:tcPr>
            <w:tcW w:w="2065"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2A39" w:rsidRPr="00FC7D73" w:rsidP="00FC7D73" w14:paraId="78625E63" w14:textId="77777777">
            <w:pPr>
              <w:widowControl/>
              <w:autoSpaceDE/>
              <w:autoSpaceDN/>
              <w:adjustRightInd/>
              <w:jc w:val="center"/>
              <w:rPr>
                <w:color w:val="000000"/>
                <w:sz w:val="20"/>
                <w:szCs w:val="20"/>
              </w:rPr>
            </w:pPr>
            <w:r w:rsidRPr="00FC7D73">
              <w:rPr>
                <w:color w:val="000000"/>
                <w:sz w:val="20"/>
                <w:szCs w:val="20"/>
              </w:rPr>
              <w:t>Number of Responses (Applications)</w:t>
            </w:r>
          </w:p>
        </w:tc>
        <w:tc>
          <w:tcPr>
            <w:tcW w:w="153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2A39" w:rsidRPr="00FC7D73" w:rsidP="00FC7D73" w14:paraId="70CBE28A" w14:textId="77777777">
            <w:pPr>
              <w:widowControl/>
              <w:autoSpaceDE/>
              <w:autoSpaceDN/>
              <w:adjustRightInd/>
              <w:jc w:val="center"/>
              <w:rPr>
                <w:color w:val="000000"/>
                <w:sz w:val="20"/>
                <w:szCs w:val="20"/>
              </w:rPr>
            </w:pPr>
            <w:r w:rsidRPr="00FC7D73">
              <w:rPr>
                <w:color w:val="000000"/>
                <w:sz w:val="20"/>
                <w:szCs w:val="20"/>
              </w:rPr>
              <w:t>Unit Cost</w:t>
            </w:r>
          </w:p>
        </w:tc>
        <w:tc>
          <w:tcPr>
            <w:tcW w:w="1440"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DE2A39" w:rsidRPr="00FC7D73" w:rsidP="00FC7D73" w14:paraId="58BEBB99" w14:textId="77777777">
            <w:pPr>
              <w:widowControl/>
              <w:autoSpaceDE/>
              <w:autoSpaceDN/>
              <w:adjustRightInd/>
              <w:jc w:val="center"/>
              <w:rPr>
                <w:color w:val="000000"/>
                <w:sz w:val="20"/>
                <w:szCs w:val="20"/>
              </w:rPr>
            </w:pPr>
            <w:r w:rsidRPr="00FC7D73">
              <w:rPr>
                <w:color w:val="000000"/>
                <w:sz w:val="20"/>
                <w:szCs w:val="20"/>
              </w:rPr>
              <w:t>Cost to Recordkeepers</w:t>
            </w:r>
          </w:p>
        </w:tc>
      </w:tr>
      <w:tr w14:paraId="5D228975" w14:textId="77777777" w:rsidTr="00A73617">
        <w:tblPrEx>
          <w:tblW w:w="7730" w:type="dxa"/>
          <w:tblInd w:w="90" w:type="dxa"/>
          <w:tblLook w:val="04A0"/>
        </w:tblPrEx>
        <w:trPr>
          <w:trHeight w:val="288"/>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DE2A39" w:rsidRPr="00FC7D73" w:rsidP="00FC7D73" w14:paraId="188789FD" w14:textId="0CDB1A53">
            <w:pPr>
              <w:widowControl/>
              <w:autoSpaceDE/>
              <w:autoSpaceDN/>
              <w:adjustRightInd/>
              <w:rPr>
                <w:color w:val="000000"/>
                <w:szCs w:val="22"/>
              </w:rPr>
            </w:pPr>
            <w:r w:rsidRPr="00FC7D73">
              <w:rPr>
                <w:color w:val="000000"/>
                <w:sz w:val="20"/>
                <w:szCs w:val="18"/>
              </w:rPr>
              <w:t>Manufacturers Providing CMDPSU or CPDM Devices</w:t>
            </w:r>
          </w:p>
        </w:tc>
        <w:tc>
          <w:tcPr>
            <w:tcW w:w="2065" w:type="dxa"/>
            <w:tcBorders>
              <w:top w:val="nil"/>
              <w:left w:val="nil"/>
              <w:bottom w:val="single" w:sz="4" w:space="0" w:color="auto"/>
              <w:right w:val="single" w:sz="4" w:space="0" w:color="auto"/>
            </w:tcBorders>
            <w:shd w:val="clear" w:color="auto" w:fill="auto"/>
            <w:noWrap/>
            <w:vAlign w:val="center"/>
            <w:hideMark/>
          </w:tcPr>
          <w:p w:rsidR="00DE2A39" w:rsidRPr="00FC7D73" w:rsidP="00FC7D73" w14:paraId="22C5623E" w14:textId="77777777">
            <w:pPr>
              <w:widowControl/>
              <w:autoSpaceDE/>
              <w:autoSpaceDN/>
              <w:adjustRightInd/>
              <w:jc w:val="right"/>
              <w:rPr>
                <w:color w:val="000000"/>
                <w:sz w:val="20"/>
                <w:szCs w:val="20"/>
              </w:rPr>
            </w:pPr>
            <w:r w:rsidRPr="00FC7D73">
              <w:rPr>
                <w:color w:val="000000"/>
                <w:sz w:val="20"/>
                <w:szCs w:val="20"/>
              </w:rPr>
              <w:t>1</w:t>
            </w:r>
          </w:p>
        </w:tc>
        <w:tc>
          <w:tcPr>
            <w:tcW w:w="1530" w:type="dxa"/>
            <w:tcBorders>
              <w:top w:val="nil"/>
              <w:left w:val="nil"/>
              <w:bottom w:val="single" w:sz="4" w:space="0" w:color="auto"/>
              <w:right w:val="single" w:sz="4" w:space="0" w:color="auto"/>
            </w:tcBorders>
            <w:shd w:val="clear" w:color="auto" w:fill="auto"/>
            <w:noWrap/>
            <w:vAlign w:val="center"/>
            <w:hideMark/>
          </w:tcPr>
          <w:p w:rsidR="00DE2A39" w:rsidRPr="00FC7D73" w:rsidP="00FC7D73" w14:paraId="095698E7" w14:textId="77777777">
            <w:pPr>
              <w:widowControl/>
              <w:autoSpaceDE/>
              <w:autoSpaceDN/>
              <w:adjustRightInd/>
              <w:jc w:val="right"/>
              <w:rPr>
                <w:color w:val="000000"/>
                <w:sz w:val="20"/>
                <w:szCs w:val="20"/>
              </w:rPr>
            </w:pPr>
            <w:r w:rsidRPr="00FC7D73">
              <w:rPr>
                <w:color w:val="000000"/>
                <w:sz w:val="20"/>
                <w:szCs w:val="20"/>
              </w:rPr>
              <w:t>$36,000.00</w:t>
            </w:r>
          </w:p>
        </w:tc>
        <w:tc>
          <w:tcPr>
            <w:tcW w:w="1440" w:type="dxa"/>
            <w:tcBorders>
              <w:top w:val="nil"/>
              <w:left w:val="nil"/>
              <w:bottom w:val="single" w:sz="4" w:space="0" w:color="auto"/>
              <w:right w:val="single" w:sz="4" w:space="0" w:color="auto"/>
            </w:tcBorders>
            <w:shd w:val="clear" w:color="auto" w:fill="auto"/>
            <w:noWrap/>
            <w:vAlign w:val="center"/>
            <w:hideMark/>
          </w:tcPr>
          <w:p w:rsidR="00DE2A39" w:rsidRPr="00FC7D73" w:rsidP="00FC7D73" w14:paraId="5A34881E" w14:textId="77777777">
            <w:pPr>
              <w:widowControl/>
              <w:autoSpaceDE/>
              <w:autoSpaceDN/>
              <w:adjustRightInd/>
              <w:jc w:val="right"/>
              <w:rPr>
                <w:color w:val="000000"/>
                <w:sz w:val="20"/>
                <w:szCs w:val="20"/>
              </w:rPr>
            </w:pPr>
            <w:r w:rsidRPr="00FC7D73">
              <w:rPr>
                <w:color w:val="000000"/>
                <w:sz w:val="20"/>
                <w:szCs w:val="20"/>
              </w:rPr>
              <w:t>$36,000.00</w:t>
            </w:r>
          </w:p>
        </w:tc>
      </w:tr>
      <w:tr w14:paraId="5BAEC07B" w14:textId="77777777" w:rsidTr="00A73617">
        <w:tblPrEx>
          <w:tblW w:w="7730" w:type="dxa"/>
          <w:tblInd w:w="90" w:type="dxa"/>
          <w:tblLook w:val="04A0"/>
        </w:tblPrEx>
        <w:trPr>
          <w:trHeight w:val="276"/>
        </w:trPr>
        <w:tc>
          <w:tcPr>
            <w:tcW w:w="2695" w:type="dxa"/>
            <w:tcBorders>
              <w:top w:val="nil"/>
              <w:left w:val="single" w:sz="4" w:space="0" w:color="auto"/>
              <w:bottom w:val="single" w:sz="4" w:space="0" w:color="auto"/>
              <w:right w:val="single" w:sz="4" w:space="0" w:color="auto"/>
            </w:tcBorders>
            <w:shd w:val="clear" w:color="auto" w:fill="auto"/>
            <w:noWrap/>
            <w:vAlign w:val="center"/>
            <w:hideMark/>
          </w:tcPr>
          <w:p w:rsidR="00DE2A39" w:rsidRPr="00FC7D73" w:rsidP="00FC7D73" w14:paraId="1B31F609" w14:textId="1AC6B13B">
            <w:pPr>
              <w:widowControl/>
              <w:autoSpaceDE/>
              <w:autoSpaceDN/>
              <w:adjustRightInd/>
              <w:rPr>
                <w:b/>
                <w:bCs/>
                <w:i/>
                <w:iCs/>
                <w:color w:val="000000"/>
                <w:sz w:val="20"/>
                <w:szCs w:val="20"/>
              </w:rPr>
            </w:pPr>
            <w:r w:rsidRPr="00FC7D73">
              <w:rPr>
                <w:b/>
                <w:bCs/>
                <w:i/>
                <w:iCs/>
                <w:color w:val="000000"/>
                <w:sz w:val="20"/>
                <w:szCs w:val="20"/>
              </w:rPr>
              <w:t>Subt</w:t>
            </w:r>
            <w:r w:rsidRPr="00FC7D73">
              <w:rPr>
                <w:b/>
                <w:bCs/>
                <w:i/>
                <w:iCs/>
                <w:color w:val="000000"/>
                <w:sz w:val="20"/>
                <w:szCs w:val="20"/>
              </w:rPr>
              <w:t>otal (Rounded)</w:t>
            </w:r>
          </w:p>
        </w:tc>
        <w:tc>
          <w:tcPr>
            <w:tcW w:w="2065" w:type="dxa"/>
            <w:tcBorders>
              <w:top w:val="nil"/>
              <w:left w:val="nil"/>
              <w:bottom w:val="single" w:sz="4" w:space="0" w:color="auto"/>
              <w:right w:val="single" w:sz="4" w:space="0" w:color="auto"/>
            </w:tcBorders>
            <w:shd w:val="clear" w:color="auto" w:fill="auto"/>
            <w:noWrap/>
            <w:vAlign w:val="center"/>
            <w:hideMark/>
          </w:tcPr>
          <w:p w:rsidR="00DE2A39" w:rsidRPr="00FC7D73" w:rsidP="00FC7D73" w14:paraId="66B87F20" w14:textId="77777777">
            <w:pPr>
              <w:widowControl/>
              <w:autoSpaceDE/>
              <w:autoSpaceDN/>
              <w:adjustRightInd/>
              <w:jc w:val="right"/>
              <w:rPr>
                <w:b/>
                <w:bCs/>
                <w:i/>
                <w:iCs/>
                <w:color w:val="000000"/>
                <w:sz w:val="20"/>
                <w:szCs w:val="20"/>
              </w:rPr>
            </w:pPr>
            <w:r w:rsidRPr="00FC7D73">
              <w:rPr>
                <w:b/>
                <w:bCs/>
                <w:i/>
                <w:iCs/>
                <w:color w:val="000000"/>
                <w:sz w:val="20"/>
                <w:szCs w:val="20"/>
              </w:rPr>
              <w:t>1</w:t>
            </w:r>
          </w:p>
        </w:tc>
        <w:tc>
          <w:tcPr>
            <w:tcW w:w="1530" w:type="dxa"/>
            <w:tcBorders>
              <w:top w:val="nil"/>
              <w:left w:val="nil"/>
              <w:bottom w:val="single" w:sz="4" w:space="0" w:color="auto"/>
              <w:right w:val="single" w:sz="4" w:space="0" w:color="auto"/>
            </w:tcBorders>
            <w:shd w:val="clear" w:color="000000" w:fill="000000"/>
            <w:noWrap/>
            <w:vAlign w:val="center"/>
            <w:hideMark/>
          </w:tcPr>
          <w:p w:rsidR="00DE2A39" w:rsidRPr="00FC7D73" w:rsidP="00FC7D73" w14:paraId="4EF1CFE2" w14:textId="77777777">
            <w:pPr>
              <w:widowControl/>
              <w:autoSpaceDE/>
              <w:autoSpaceDN/>
              <w:adjustRightInd/>
              <w:jc w:val="right"/>
              <w:rPr>
                <w:b/>
                <w:bCs/>
                <w:i/>
                <w:iCs/>
                <w:color w:val="000000"/>
                <w:sz w:val="20"/>
                <w:szCs w:val="20"/>
              </w:rPr>
            </w:pPr>
            <w:r w:rsidRPr="00FC7D73">
              <w:rPr>
                <w:b/>
                <w:bCs/>
                <w:i/>
                <w:iCs/>
                <w:color w:val="000000"/>
                <w:sz w:val="20"/>
                <w:szCs w:val="20"/>
              </w:rPr>
              <w:t> </w:t>
            </w:r>
          </w:p>
        </w:tc>
        <w:tc>
          <w:tcPr>
            <w:tcW w:w="1440" w:type="dxa"/>
            <w:tcBorders>
              <w:top w:val="nil"/>
              <w:left w:val="nil"/>
              <w:bottom w:val="single" w:sz="4" w:space="0" w:color="auto"/>
              <w:right w:val="single" w:sz="4" w:space="0" w:color="auto"/>
            </w:tcBorders>
            <w:shd w:val="clear" w:color="auto" w:fill="auto"/>
            <w:noWrap/>
            <w:vAlign w:val="center"/>
            <w:hideMark/>
          </w:tcPr>
          <w:p w:rsidR="00DE2A39" w:rsidRPr="00FC7D73" w:rsidP="00FC7D73" w14:paraId="2DC0E21A" w14:textId="35A62D28">
            <w:pPr>
              <w:widowControl/>
              <w:autoSpaceDE/>
              <w:autoSpaceDN/>
              <w:adjustRightInd/>
              <w:jc w:val="right"/>
              <w:rPr>
                <w:b/>
                <w:bCs/>
                <w:i/>
                <w:iCs/>
                <w:color w:val="000000"/>
                <w:sz w:val="20"/>
                <w:szCs w:val="20"/>
              </w:rPr>
            </w:pPr>
            <w:r w:rsidRPr="00FC7D73">
              <w:rPr>
                <w:b/>
                <w:bCs/>
                <w:i/>
                <w:iCs/>
                <w:color w:val="000000"/>
                <w:sz w:val="20"/>
                <w:szCs w:val="20"/>
              </w:rPr>
              <w:t>$</w:t>
            </w:r>
            <w:r w:rsidRPr="00FC7D73" w:rsidR="00342D93">
              <w:rPr>
                <w:b/>
                <w:bCs/>
                <w:i/>
                <w:iCs/>
                <w:color w:val="000000"/>
                <w:sz w:val="20"/>
                <w:szCs w:val="20"/>
              </w:rPr>
              <w:t>3</w:t>
            </w:r>
            <w:r w:rsidRPr="00FC7D73">
              <w:rPr>
                <w:b/>
                <w:bCs/>
                <w:i/>
                <w:iCs/>
                <w:color w:val="000000"/>
                <w:sz w:val="20"/>
                <w:szCs w:val="20"/>
              </w:rPr>
              <w:t xml:space="preserve">6,000 </w:t>
            </w:r>
          </w:p>
        </w:tc>
      </w:tr>
    </w:tbl>
    <w:p w:rsidR="008F200E" w:rsidRPr="00FC7D73" w:rsidP="00FC7D73" w14:paraId="1D2C53D1" w14:textId="77777777">
      <w:pPr>
        <w:rPr>
          <w:b/>
          <w:bCs/>
          <w:color w:val="000000"/>
        </w:rPr>
      </w:pPr>
    </w:p>
    <w:p w:rsidR="00715424" w:rsidRPr="00FC7D73" w:rsidP="00FC7D73" w14:paraId="023347D9" w14:textId="77777777">
      <w:pPr>
        <w:pStyle w:val="Default"/>
        <w:rPr>
          <w:rFonts w:ascii="Times New Roman" w:hAnsi="Times New Roman" w:cs="Times New Roman"/>
          <w:b/>
          <w:bCs/>
        </w:rPr>
      </w:pPr>
      <w:r w:rsidRPr="00FC7D73">
        <w:rPr>
          <w:rFonts w:ascii="Times New Roman" w:hAnsi="Times New Roman" w:cs="Times New Roman"/>
          <w:b/>
          <w:bCs/>
        </w:rPr>
        <w:t>Cost Burden to Respondents or Recordkeepers Summary</w:t>
      </w:r>
    </w:p>
    <w:p w:rsidR="00715424" w:rsidRPr="00FC7D73" w:rsidP="00FC7D73" w14:paraId="045802B6" w14:textId="77777777">
      <w:pPr>
        <w:pStyle w:val="Default"/>
        <w:tabs>
          <w:tab w:val="left" w:pos="9000"/>
          <w:tab w:val="left" w:pos="9090"/>
        </w:tabs>
        <w:rPr>
          <w:rFonts w:ascii="Times New Roman" w:hAnsi="Times New Roman" w:cs="Times New Roman"/>
          <w:b/>
          <w:bCs/>
        </w:rPr>
      </w:pPr>
    </w:p>
    <w:p w:rsidR="00715424" w:rsidRPr="00FC7D73" w:rsidP="00FC7D73" w14:paraId="3F6CC069" w14:textId="61F9FFE9">
      <w:pPr>
        <w:widowControl/>
      </w:pPr>
      <w:r w:rsidRPr="00FC7D73">
        <w:t xml:space="preserve">The annual cost burden to respondents or recordkeepers is summarized in the </w:t>
      </w:r>
      <w:r w:rsidRPr="00FC7D73" w:rsidR="00DB2DFB">
        <w:t>s</w:t>
      </w:r>
      <w:r w:rsidRPr="00FC7D73">
        <w:t>ummary table below.</w:t>
      </w:r>
    </w:p>
    <w:p w:rsidR="00715424" w:rsidRPr="00FC7D73" w:rsidP="00FC7D73" w14:paraId="4A1E40C5" w14:textId="77777777">
      <w:pPr>
        <w:tabs>
          <w:tab w:val="left" w:pos="9000"/>
          <w:tab w:val="left" w:pos="9090"/>
        </w:tabs>
        <w:rPr>
          <w:b/>
          <w:bCs/>
        </w:rPr>
      </w:pPr>
    </w:p>
    <w:p w:rsidR="00715424" w:rsidRPr="00FC7D73" w:rsidP="00FC7D73" w14:paraId="05A79ECF" w14:textId="0BE9D206">
      <w:pPr>
        <w:tabs>
          <w:tab w:val="left" w:pos="9000"/>
          <w:tab w:val="left" w:pos="9090"/>
        </w:tabs>
        <w:rPr>
          <w:b/>
          <w:bCs/>
        </w:rPr>
      </w:pPr>
      <w:r w:rsidRPr="00FC7D73">
        <w:rPr>
          <w:b/>
          <w:bCs/>
        </w:rPr>
        <w:t>Table 13-</w:t>
      </w:r>
      <w:r w:rsidRPr="00FC7D73" w:rsidR="006528DB">
        <w:rPr>
          <w:b/>
          <w:bCs/>
        </w:rPr>
        <w:t>5</w:t>
      </w:r>
      <w:r w:rsidRPr="00FC7D73" w:rsidR="00DE2A39">
        <w:rPr>
          <w:b/>
          <w:bCs/>
        </w:rPr>
        <w:t>.</w:t>
      </w:r>
      <w:r w:rsidRPr="00FC7D73">
        <w:rPr>
          <w:b/>
          <w:bCs/>
        </w:rPr>
        <w:t xml:space="preserve"> Estimated Annual Cost Burden to Respondents or Recordkeepers, Summary</w:t>
      </w:r>
    </w:p>
    <w:tbl>
      <w:tblPr>
        <w:tblW w:w="7825" w:type="dxa"/>
        <w:tblLook w:val="04A0"/>
      </w:tblPr>
      <w:tblGrid>
        <w:gridCol w:w="3595"/>
        <w:gridCol w:w="2144"/>
        <w:gridCol w:w="2086"/>
      </w:tblGrid>
      <w:tr w14:paraId="29AD8EFC" w14:textId="77777777" w:rsidTr="00C903C8">
        <w:tblPrEx>
          <w:tblW w:w="7825" w:type="dxa"/>
          <w:tblLook w:val="04A0"/>
        </w:tblPrEx>
        <w:trPr>
          <w:trHeight w:val="528"/>
        </w:trPr>
        <w:tc>
          <w:tcPr>
            <w:tcW w:w="3595"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hideMark/>
          </w:tcPr>
          <w:p w:rsidR="006528DB" w:rsidRPr="00FC7D73" w:rsidP="00FC7D73" w14:paraId="220CCA33" w14:textId="77777777">
            <w:pPr>
              <w:widowControl/>
              <w:autoSpaceDE/>
              <w:autoSpaceDN/>
              <w:adjustRightInd/>
              <w:rPr>
                <w:color w:val="000000"/>
                <w:sz w:val="20"/>
                <w:szCs w:val="20"/>
              </w:rPr>
            </w:pPr>
            <w:bookmarkStart w:id="43" w:name="RANGE!A46"/>
            <w:r w:rsidRPr="00FC7D73">
              <w:rPr>
                <w:color w:val="000000"/>
                <w:sz w:val="20"/>
                <w:szCs w:val="20"/>
              </w:rPr>
              <w:t>Cost Component</w:t>
            </w:r>
            <w:bookmarkEnd w:id="43"/>
          </w:p>
        </w:tc>
        <w:tc>
          <w:tcPr>
            <w:tcW w:w="2144"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528DB" w:rsidRPr="00FC7D73" w:rsidP="00FC7D73" w14:paraId="5FB5C949" w14:textId="77777777">
            <w:pPr>
              <w:widowControl/>
              <w:autoSpaceDE/>
              <w:autoSpaceDN/>
              <w:adjustRightInd/>
              <w:jc w:val="center"/>
              <w:rPr>
                <w:color w:val="000000"/>
                <w:sz w:val="20"/>
                <w:szCs w:val="20"/>
              </w:rPr>
            </w:pPr>
            <w:r w:rsidRPr="00FC7D73">
              <w:rPr>
                <w:color w:val="000000"/>
                <w:sz w:val="20"/>
                <w:szCs w:val="20"/>
              </w:rPr>
              <w:t>Number of Responses</w:t>
            </w:r>
          </w:p>
        </w:tc>
        <w:tc>
          <w:tcPr>
            <w:tcW w:w="2086" w:type="dxa"/>
            <w:tcBorders>
              <w:top w:val="single" w:sz="4" w:space="0" w:color="auto"/>
              <w:left w:val="nil"/>
              <w:bottom w:val="single" w:sz="4" w:space="0" w:color="auto"/>
              <w:right w:val="single" w:sz="4" w:space="0" w:color="auto"/>
            </w:tcBorders>
            <w:shd w:val="clear" w:color="auto" w:fill="8EAADB" w:themeFill="accent1" w:themeFillTint="99"/>
            <w:vAlign w:val="center"/>
            <w:hideMark/>
          </w:tcPr>
          <w:p w:rsidR="006528DB" w:rsidRPr="00FC7D73" w:rsidP="00FC7D73" w14:paraId="51B1B65A" w14:textId="77777777">
            <w:pPr>
              <w:widowControl/>
              <w:autoSpaceDE/>
              <w:autoSpaceDN/>
              <w:adjustRightInd/>
              <w:jc w:val="center"/>
              <w:rPr>
                <w:color w:val="000000"/>
                <w:sz w:val="20"/>
                <w:szCs w:val="20"/>
              </w:rPr>
            </w:pPr>
            <w:r w:rsidRPr="00FC7D73">
              <w:rPr>
                <w:color w:val="000000"/>
                <w:sz w:val="20"/>
                <w:szCs w:val="20"/>
              </w:rPr>
              <w:t>Cost to Recordkeepers</w:t>
            </w:r>
          </w:p>
        </w:tc>
      </w:tr>
      <w:tr w14:paraId="2B182E1C" w14:textId="77777777" w:rsidTr="00A73617">
        <w:tblPrEx>
          <w:tblW w:w="7825" w:type="dxa"/>
          <w:tblLook w:val="04A0"/>
        </w:tblPrEx>
        <w:trPr>
          <w:trHeight w:val="27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6528DB" w:rsidRPr="00FC7D73" w:rsidP="00FC7D73" w14:paraId="02532FCB" w14:textId="77777777">
            <w:pPr>
              <w:widowControl/>
              <w:autoSpaceDE/>
              <w:autoSpaceDN/>
              <w:adjustRightInd/>
              <w:rPr>
                <w:color w:val="000000"/>
                <w:sz w:val="20"/>
                <w:szCs w:val="20"/>
              </w:rPr>
            </w:pPr>
            <w:r w:rsidRPr="00FC7D73">
              <w:rPr>
                <w:color w:val="000000"/>
                <w:sz w:val="20"/>
                <w:szCs w:val="20"/>
              </w:rPr>
              <w:t>I-1. MSHA Testing CMDPSUs</w:t>
            </w:r>
          </w:p>
        </w:tc>
        <w:tc>
          <w:tcPr>
            <w:tcW w:w="2144"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4C5D34D8" w14:textId="77777777">
            <w:pPr>
              <w:widowControl/>
              <w:autoSpaceDE/>
              <w:autoSpaceDN/>
              <w:adjustRightInd/>
              <w:jc w:val="center"/>
              <w:rPr>
                <w:color w:val="000000"/>
                <w:sz w:val="20"/>
                <w:szCs w:val="20"/>
              </w:rPr>
            </w:pPr>
            <w:r w:rsidRPr="00FC7D73">
              <w:rPr>
                <w:color w:val="000000"/>
                <w:sz w:val="20"/>
                <w:szCs w:val="20"/>
              </w:rPr>
              <w:t>1</w:t>
            </w:r>
          </w:p>
        </w:tc>
        <w:tc>
          <w:tcPr>
            <w:tcW w:w="2086"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423CA1CE" w14:textId="77777777">
            <w:pPr>
              <w:widowControl/>
              <w:autoSpaceDE/>
              <w:autoSpaceDN/>
              <w:adjustRightInd/>
              <w:jc w:val="center"/>
              <w:rPr>
                <w:color w:val="000000"/>
                <w:sz w:val="20"/>
                <w:szCs w:val="20"/>
              </w:rPr>
            </w:pPr>
            <w:r w:rsidRPr="00FC7D73">
              <w:rPr>
                <w:color w:val="000000"/>
                <w:sz w:val="20"/>
                <w:szCs w:val="20"/>
              </w:rPr>
              <w:t>$15,640</w:t>
            </w:r>
          </w:p>
        </w:tc>
      </w:tr>
      <w:tr w14:paraId="62712C7C" w14:textId="77777777" w:rsidTr="00A73617">
        <w:tblPrEx>
          <w:tblW w:w="7825" w:type="dxa"/>
          <w:tblLook w:val="04A0"/>
        </w:tblPrEx>
        <w:trPr>
          <w:trHeight w:val="27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6528DB" w:rsidRPr="00FC7D73" w:rsidP="00FC7D73" w14:paraId="59ADAC95" w14:textId="77777777">
            <w:pPr>
              <w:widowControl/>
              <w:autoSpaceDE/>
              <w:autoSpaceDN/>
              <w:adjustRightInd/>
              <w:rPr>
                <w:color w:val="000000"/>
                <w:sz w:val="20"/>
                <w:szCs w:val="20"/>
              </w:rPr>
            </w:pPr>
            <w:r w:rsidRPr="00FC7D73">
              <w:rPr>
                <w:color w:val="000000"/>
                <w:sz w:val="20"/>
                <w:szCs w:val="20"/>
              </w:rPr>
              <w:t>II-1. Third Party Testing CPDMs</w:t>
            </w:r>
          </w:p>
        </w:tc>
        <w:tc>
          <w:tcPr>
            <w:tcW w:w="2144"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76C2A3BF" w14:textId="77777777">
            <w:pPr>
              <w:widowControl/>
              <w:autoSpaceDE/>
              <w:autoSpaceDN/>
              <w:adjustRightInd/>
              <w:jc w:val="center"/>
              <w:rPr>
                <w:color w:val="000000"/>
                <w:sz w:val="20"/>
                <w:szCs w:val="20"/>
              </w:rPr>
            </w:pPr>
            <w:r w:rsidRPr="00FC7D73">
              <w:rPr>
                <w:color w:val="000000"/>
                <w:sz w:val="20"/>
                <w:szCs w:val="20"/>
              </w:rPr>
              <w:t>1</w:t>
            </w:r>
          </w:p>
        </w:tc>
        <w:tc>
          <w:tcPr>
            <w:tcW w:w="2086"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335BC3BE" w14:textId="77777777">
            <w:pPr>
              <w:widowControl/>
              <w:autoSpaceDE/>
              <w:autoSpaceDN/>
              <w:adjustRightInd/>
              <w:jc w:val="center"/>
              <w:rPr>
                <w:color w:val="000000"/>
                <w:sz w:val="20"/>
                <w:szCs w:val="20"/>
              </w:rPr>
            </w:pPr>
            <w:r w:rsidRPr="00FC7D73">
              <w:rPr>
                <w:color w:val="000000"/>
                <w:sz w:val="20"/>
                <w:szCs w:val="20"/>
              </w:rPr>
              <w:t>$250,000</w:t>
            </w:r>
          </w:p>
        </w:tc>
      </w:tr>
      <w:tr w14:paraId="120F287B" w14:textId="77777777" w:rsidTr="00A73617">
        <w:tblPrEx>
          <w:tblW w:w="7825" w:type="dxa"/>
          <w:tblLook w:val="04A0"/>
        </w:tblPrEx>
        <w:trPr>
          <w:trHeight w:val="27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6528DB" w:rsidRPr="00FC7D73" w:rsidP="00FC7D73" w14:paraId="2AC4706F" w14:textId="6CC1A0D8">
            <w:pPr>
              <w:widowControl/>
              <w:autoSpaceDE/>
              <w:autoSpaceDN/>
              <w:adjustRightInd/>
              <w:rPr>
                <w:color w:val="000000"/>
                <w:sz w:val="20"/>
                <w:szCs w:val="20"/>
              </w:rPr>
            </w:pPr>
            <w:r w:rsidRPr="00FC7D73">
              <w:rPr>
                <w:color w:val="000000"/>
                <w:sz w:val="20"/>
                <w:szCs w:val="20"/>
              </w:rPr>
              <w:t>I-2</w:t>
            </w:r>
            <w:r w:rsidRPr="00FC7D73" w:rsidR="00EC2EC1">
              <w:rPr>
                <w:color w:val="000000"/>
                <w:sz w:val="20"/>
                <w:szCs w:val="20"/>
              </w:rPr>
              <w:t>.</w:t>
            </w:r>
            <w:r w:rsidRPr="00FC7D73">
              <w:rPr>
                <w:color w:val="000000"/>
                <w:sz w:val="20"/>
                <w:szCs w:val="20"/>
              </w:rPr>
              <w:t xml:space="preserve"> and II-2. </w:t>
            </w:r>
            <w:r w:rsidRPr="00FC7D73">
              <w:rPr>
                <w:color w:val="000000"/>
                <w:sz w:val="20"/>
                <w:szCs w:val="20"/>
              </w:rPr>
              <w:t>Manufacturers Copying and Mailing Applications</w:t>
            </w:r>
          </w:p>
        </w:tc>
        <w:tc>
          <w:tcPr>
            <w:tcW w:w="2144"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4D1A0E91" w14:textId="77777777">
            <w:pPr>
              <w:widowControl/>
              <w:autoSpaceDE/>
              <w:autoSpaceDN/>
              <w:adjustRightInd/>
              <w:jc w:val="center"/>
              <w:rPr>
                <w:color w:val="000000"/>
                <w:sz w:val="20"/>
                <w:szCs w:val="20"/>
              </w:rPr>
            </w:pPr>
            <w:r w:rsidRPr="00FC7D73">
              <w:rPr>
                <w:color w:val="000000"/>
                <w:sz w:val="20"/>
                <w:szCs w:val="20"/>
              </w:rPr>
              <w:t>1</w:t>
            </w:r>
          </w:p>
        </w:tc>
        <w:tc>
          <w:tcPr>
            <w:tcW w:w="2086"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50ACD90A" w14:textId="77777777">
            <w:pPr>
              <w:widowControl/>
              <w:autoSpaceDE/>
              <w:autoSpaceDN/>
              <w:adjustRightInd/>
              <w:jc w:val="center"/>
              <w:rPr>
                <w:color w:val="000000"/>
                <w:sz w:val="20"/>
                <w:szCs w:val="20"/>
              </w:rPr>
            </w:pPr>
            <w:r w:rsidRPr="00FC7D73">
              <w:rPr>
                <w:color w:val="000000"/>
                <w:sz w:val="20"/>
                <w:szCs w:val="20"/>
              </w:rPr>
              <w:t>$170</w:t>
            </w:r>
          </w:p>
        </w:tc>
      </w:tr>
      <w:tr w14:paraId="6AD3EE95" w14:textId="77777777" w:rsidTr="00A73617">
        <w:tblPrEx>
          <w:tblW w:w="7825" w:type="dxa"/>
          <w:tblLook w:val="04A0"/>
        </w:tblPrEx>
        <w:trPr>
          <w:trHeight w:val="27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6528DB" w:rsidRPr="00FC7D73" w:rsidP="00FC7D73" w14:paraId="6A90B3F9" w14:textId="77777777">
            <w:pPr>
              <w:widowControl/>
              <w:autoSpaceDE/>
              <w:autoSpaceDN/>
              <w:adjustRightInd/>
              <w:rPr>
                <w:color w:val="000000"/>
                <w:sz w:val="20"/>
                <w:szCs w:val="20"/>
              </w:rPr>
            </w:pPr>
            <w:r w:rsidRPr="00FC7D73">
              <w:rPr>
                <w:color w:val="000000"/>
                <w:sz w:val="20"/>
                <w:szCs w:val="20"/>
              </w:rPr>
              <w:t>III. Manufacturers Providing CMDPSU or CPDM Devices</w:t>
            </w:r>
          </w:p>
        </w:tc>
        <w:tc>
          <w:tcPr>
            <w:tcW w:w="2144"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4C5547A0" w14:textId="77777777">
            <w:pPr>
              <w:widowControl/>
              <w:autoSpaceDE/>
              <w:autoSpaceDN/>
              <w:adjustRightInd/>
              <w:jc w:val="center"/>
              <w:rPr>
                <w:color w:val="000000"/>
                <w:sz w:val="20"/>
                <w:szCs w:val="20"/>
              </w:rPr>
            </w:pPr>
            <w:r w:rsidRPr="00FC7D73">
              <w:rPr>
                <w:color w:val="000000"/>
                <w:sz w:val="20"/>
                <w:szCs w:val="20"/>
              </w:rPr>
              <w:t>1</w:t>
            </w:r>
          </w:p>
        </w:tc>
        <w:tc>
          <w:tcPr>
            <w:tcW w:w="2086"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4BC8A0F7" w14:textId="77777777">
            <w:pPr>
              <w:widowControl/>
              <w:autoSpaceDE/>
              <w:autoSpaceDN/>
              <w:adjustRightInd/>
              <w:jc w:val="center"/>
              <w:rPr>
                <w:color w:val="000000"/>
                <w:sz w:val="20"/>
                <w:szCs w:val="20"/>
              </w:rPr>
            </w:pPr>
            <w:r w:rsidRPr="00FC7D73">
              <w:rPr>
                <w:color w:val="000000"/>
                <w:sz w:val="20"/>
                <w:szCs w:val="20"/>
              </w:rPr>
              <w:t>$36,000</w:t>
            </w:r>
          </w:p>
        </w:tc>
      </w:tr>
      <w:tr w14:paraId="53C54849" w14:textId="77777777" w:rsidTr="00A73617">
        <w:tblPrEx>
          <w:tblW w:w="7825" w:type="dxa"/>
          <w:tblLook w:val="04A0"/>
        </w:tblPrEx>
        <w:trPr>
          <w:trHeight w:val="276"/>
        </w:trPr>
        <w:tc>
          <w:tcPr>
            <w:tcW w:w="3595" w:type="dxa"/>
            <w:tcBorders>
              <w:top w:val="nil"/>
              <w:left w:val="single" w:sz="4" w:space="0" w:color="auto"/>
              <w:bottom w:val="single" w:sz="4" w:space="0" w:color="auto"/>
              <w:right w:val="single" w:sz="4" w:space="0" w:color="auto"/>
            </w:tcBorders>
            <w:shd w:val="clear" w:color="auto" w:fill="auto"/>
            <w:noWrap/>
            <w:vAlign w:val="center"/>
            <w:hideMark/>
          </w:tcPr>
          <w:p w:rsidR="006528DB" w:rsidRPr="00FC7D73" w:rsidP="00FC7D73" w14:paraId="5F74B593" w14:textId="77777777">
            <w:pPr>
              <w:widowControl/>
              <w:autoSpaceDE/>
              <w:autoSpaceDN/>
              <w:adjustRightInd/>
              <w:rPr>
                <w:b/>
                <w:bCs/>
                <w:i/>
                <w:iCs/>
                <w:color w:val="000000"/>
                <w:sz w:val="20"/>
                <w:szCs w:val="20"/>
              </w:rPr>
            </w:pPr>
            <w:r w:rsidRPr="00FC7D73">
              <w:rPr>
                <w:b/>
                <w:bCs/>
                <w:i/>
                <w:iCs/>
                <w:color w:val="000000"/>
                <w:sz w:val="20"/>
                <w:szCs w:val="20"/>
              </w:rPr>
              <w:t>Total (Rounded)</w:t>
            </w:r>
          </w:p>
        </w:tc>
        <w:tc>
          <w:tcPr>
            <w:tcW w:w="2144" w:type="dxa"/>
            <w:tcBorders>
              <w:top w:val="nil"/>
              <w:left w:val="nil"/>
              <w:bottom w:val="single" w:sz="4" w:space="0" w:color="auto"/>
              <w:right w:val="single" w:sz="4" w:space="0" w:color="auto"/>
            </w:tcBorders>
            <w:shd w:val="clear" w:color="auto" w:fill="000000" w:themeFill="text1"/>
            <w:vAlign w:val="center"/>
            <w:hideMark/>
          </w:tcPr>
          <w:p w:rsidR="006528DB" w:rsidRPr="00FC7D73" w:rsidP="00FC7D73" w14:paraId="1B66B487" w14:textId="77777777">
            <w:pPr>
              <w:widowControl/>
              <w:autoSpaceDE/>
              <w:autoSpaceDN/>
              <w:adjustRightInd/>
              <w:jc w:val="center"/>
              <w:rPr>
                <w:b/>
                <w:bCs/>
                <w:i/>
                <w:iCs/>
                <w:color w:val="000000"/>
                <w:sz w:val="20"/>
                <w:szCs w:val="20"/>
              </w:rPr>
            </w:pPr>
            <w:r w:rsidRPr="00FC7D73">
              <w:rPr>
                <w:b/>
                <w:bCs/>
                <w:i/>
                <w:iCs/>
                <w:color w:val="000000"/>
                <w:sz w:val="20"/>
                <w:szCs w:val="20"/>
              </w:rPr>
              <w:t>1</w:t>
            </w:r>
          </w:p>
        </w:tc>
        <w:tc>
          <w:tcPr>
            <w:tcW w:w="2086" w:type="dxa"/>
            <w:tcBorders>
              <w:top w:val="nil"/>
              <w:left w:val="nil"/>
              <w:bottom w:val="single" w:sz="4" w:space="0" w:color="auto"/>
              <w:right w:val="single" w:sz="4" w:space="0" w:color="auto"/>
            </w:tcBorders>
            <w:shd w:val="clear" w:color="auto" w:fill="auto"/>
            <w:noWrap/>
            <w:vAlign w:val="center"/>
            <w:hideMark/>
          </w:tcPr>
          <w:p w:rsidR="006528DB" w:rsidRPr="00FC7D73" w:rsidP="00FC7D73" w14:paraId="7C90A2DF" w14:textId="77777777">
            <w:pPr>
              <w:widowControl/>
              <w:autoSpaceDE/>
              <w:autoSpaceDN/>
              <w:adjustRightInd/>
              <w:jc w:val="center"/>
              <w:rPr>
                <w:b/>
                <w:bCs/>
                <w:i/>
                <w:iCs/>
                <w:color w:val="000000"/>
                <w:sz w:val="20"/>
                <w:szCs w:val="20"/>
              </w:rPr>
            </w:pPr>
            <w:r w:rsidRPr="00FC7D73">
              <w:rPr>
                <w:b/>
                <w:bCs/>
                <w:i/>
                <w:iCs/>
                <w:color w:val="000000"/>
                <w:sz w:val="20"/>
                <w:szCs w:val="20"/>
              </w:rPr>
              <w:t>$301,810</w:t>
            </w:r>
          </w:p>
        </w:tc>
      </w:tr>
    </w:tbl>
    <w:p w:rsidR="006528DB" w:rsidRPr="00FC7D73" w:rsidP="00FC7D73" w14:paraId="5E719A32" w14:textId="77777777">
      <w:pPr>
        <w:rPr>
          <w:b/>
          <w:bCs/>
        </w:rPr>
      </w:pPr>
    </w:p>
    <w:p w:rsidR="008F7DDE" w:rsidRPr="00FC7D73" w:rsidP="00FC7D73" w14:paraId="6154050E" w14:textId="596721E4">
      <w:pPr>
        <w:rPr>
          <w:bCs/>
          <w:color w:val="000000"/>
        </w:rPr>
      </w:pPr>
      <w:r w:rsidRPr="00FC7D73">
        <w:rPr>
          <w:b/>
          <w:bCs/>
          <w:color w:val="000000"/>
        </w:rPr>
        <w:t xml:space="preserve">14.  Provide estimates of annualized cost to the </w:t>
      </w:r>
      <w:r w:rsidRPr="00FC7D73" w:rsidR="00CD484D">
        <w:rPr>
          <w:b/>
          <w:bCs/>
          <w:color w:val="000000"/>
        </w:rPr>
        <w:t>f</w:t>
      </w:r>
      <w:r w:rsidRPr="00FC7D73">
        <w:rPr>
          <w:b/>
          <w:bCs/>
          <w:color w:val="000000"/>
        </w:rPr>
        <w:t>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B362F" w:rsidRPr="00FC7D73" w:rsidP="00FC7D73" w14:paraId="7C844DF4" w14:textId="77777777">
      <w:pPr>
        <w:rPr>
          <w:b/>
          <w:bCs/>
          <w:color w:val="000000"/>
          <w:szCs w:val="22"/>
        </w:rPr>
      </w:pPr>
    </w:p>
    <w:p w:rsidR="00783A4E" w:rsidRPr="00FC7D73" w:rsidP="00FC7D73" w14:paraId="4CFD7A92" w14:textId="77777777">
      <w:pPr>
        <w:pStyle w:val="Default"/>
        <w:numPr>
          <w:ilvl w:val="0"/>
          <w:numId w:val="43"/>
        </w:numPr>
        <w:rPr>
          <w:rFonts w:ascii="Times New Roman" w:hAnsi="Times New Roman" w:cs="Times New Roman"/>
          <w:b/>
          <w:bCs/>
          <w:color w:val="auto"/>
        </w:rPr>
      </w:pPr>
      <w:r w:rsidRPr="00FC7D73">
        <w:rPr>
          <w:rFonts w:ascii="Times New Roman" w:hAnsi="Times New Roman" w:cs="Times New Roman"/>
          <w:b/>
          <w:bCs/>
          <w:color w:val="auto"/>
        </w:rPr>
        <w:t>MSHA Issuing Certificates of Approval or Notices of Disapproval</w:t>
      </w:r>
    </w:p>
    <w:p w:rsidR="00783A4E" w:rsidRPr="00FC7D73" w:rsidP="00FC7D73" w14:paraId="33541978" w14:textId="77777777"/>
    <w:p w:rsidR="006B7A71" w:rsidRPr="00FC7D73" w:rsidP="00FC7D73" w14:paraId="6508A6D9" w14:textId="22BC455D">
      <w:pPr>
        <w:pStyle w:val="BodyText12pt"/>
        <w:rPr>
          <w:color w:val="000000" w:themeColor="text1"/>
          <w:szCs w:val="24"/>
        </w:rPr>
      </w:pPr>
      <w:r w:rsidRPr="00FC7D73">
        <w:rPr>
          <w:color w:val="000000" w:themeColor="text1"/>
        </w:rPr>
        <w:t xml:space="preserve">Since </w:t>
      </w:r>
      <w:r w:rsidRPr="00FC7D73" w:rsidR="00E22256">
        <w:rPr>
          <w:color w:val="000000" w:themeColor="text1"/>
        </w:rPr>
        <w:t>the applicant compensat</w:t>
      </w:r>
      <w:r w:rsidRPr="00FC7D73">
        <w:rPr>
          <w:color w:val="000000" w:themeColor="text1"/>
        </w:rPr>
        <w:t>es</w:t>
      </w:r>
      <w:r w:rsidRPr="00FC7D73" w:rsidR="00E22256">
        <w:rPr>
          <w:color w:val="000000" w:themeColor="text1"/>
        </w:rPr>
        <w:t xml:space="preserve"> MSHA for </w:t>
      </w:r>
      <w:r w:rsidRPr="00FC7D73">
        <w:rPr>
          <w:color w:val="000000" w:themeColor="text1"/>
        </w:rPr>
        <w:t xml:space="preserve">reviewing their </w:t>
      </w:r>
      <w:r w:rsidRPr="00FC7D73" w:rsidR="00E22256">
        <w:rPr>
          <w:color w:val="000000" w:themeColor="text1"/>
        </w:rPr>
        <w:t>application</w:t>
      </w:r>
      <w:r w:rsidRPr="00FC7D73">
        <w:rPr>
          <w:color w:val="000000" w:themeColor="text1"/>
        </w:rPr>
        <w:t>s</w:t>
      </w:r>
      <w:r w:rsidRPr="00FC7D73" w:rsidR="005C3903">
        <w:rPr>
          <w:color w:val="000000" w:themeColor="text1"/>
        </w:rPr>
        <w:t xml:space="preserve"> and testing</w:t>
      </w:r>
      <w:r w:rsidRPr="00FC7D73" w:rsidR="00E22256">
        <w:rPr>
          <w:color w:val="000000" w:themeColor="text1"/>
        </w:rPr>
        <w:t xml:space="preserve"> the</w:t>
      </w:r>
      <w:r w:rsidRPr="00FC7D73">
        <w:rPr>
          <w:color w:val="000000" w:themeColor="text1"/>
        </w:rPr>
        <w:t>ir</w:t>
      </w:r>
      <w:r w:rsidRPr="00FC7D73" w:rsidR="00E22256">
        <w:rPr>
          <w:color w:val="000000" w:themeColor="text1"/>
        </w:rPr>
        <w:t xml:space="preserve"> device</w:t>
      </w:r>
      <w:r w:rsidRPr="00FC7D73">
        <w:rPr>
          <w:color w:val="000000" w:themeColor="text1"/>
        </w:rPr>
        <w:t>s,</w:t>
      </w:r>
      <w:r w:rsidRPr="00FC7D73" w:rsidR="00E22256">
        <w:rPr>
          <w:color w:val="000000" w:themeColor="text1"/>
        </w:rPr>
        <w:t xml:space="preserve"> </w:t>
      </w:r>
      <w:r w:rsidRPr="00FC7D73" w:rsidR="00491C8F">
        <w:rPr>
          <w:color w:val="000000" w:themeColor="text1"/>
        </w:rPr>
        <w:t xml:space="preserve">MSHA </w:t>
      </w:r>
      <w:r w:rsidRPr="00FC7D73">
        <w:rPr>
          <w:color w:val="000000" w:themeColor="text1"/>
        </w:rPr>
        <w:t>expects</w:t>
      </w:r>
      <w:r w:rsidRPr="00FC7D73" w:rsidR="0029325D">
        <w:rPr>
          <w:color w:val="000000" w:themeColor="text1"/>
        </w:rPr>
        <w:t xml:space="preserve"> no Federal cost</w:t>
      </w:r>
      <w:r w:rsidRPr="00FC7D73" w:rsidR="005C3903">
        <w:rPr>
          <w:color w:val="000000" w:themeColor="text1"/>
        </w:rPr>
        <w:t xml:space="preserve"> burden</w:t>
      </w:r>
      <w:r w:rsidRPr="00FC7D73" w:rsidR="0029325D">
        <w:rPr>
          <w:color w:val="000000" w:themeColor="text1"/>
        </w:rPr>
        <w:t xml:space="preserve"> associated with this </w:t>
      </w:r>
      <w:r w:rsidRPr="00FC7D73">
        <w:rPr>
          <w:color w:val="000000" w:themeColor="text1"/>
        </w:rPr>
        <w:t>ICR</w:t>
      </w:r>
      <w:r w:rsidRPr="00FC7D73" w:rsidR="0029325D">
        <w:rPr>
          <w:color w:val="000000" w:themeColor="text1"/>
        </w:rPr>
        <w:t>.</w:t>
      </w:r>
    </w:p>
    <w:p w:rsidR="00052BD8" w:rsidRPr="00FC7D73" w:rsidP="00FC7D73" w14:paraId="421380C0" w14:textId="77777777">
      <w:pPr>
        <w:rPr>
          <w:b/>
          <w:color w:val="000000"/>
        </w:rPr>
      </w:pPr>
    </w:p>
    <w:p w:rsidR="008F7DDE" w:rsidRPr="00FC7D73" w:rsidP="00FC7D73" w14:paraId="59DEF6F8" w14:textId="412A2C72">
      <w:pPr>
        <w:rPr>
          <w:b/>
          <w:bCs/>
          <w:color w:val="000000"/>
        </w:rPr>
      </w:pPr>
      <w:r w:rsidRPr="00FC7D73">
        <w:rPr>
          <w:b/>
          <w:bCs/>
          <w:color w:val="000000"/>
        </w:rPr>
        <w:t>15.  Explain the reasons for any program changes or adjustments on the burden worksheet.</w:t>
      </w:r>
    </w:p>
    <w:p w:rsidR="00D73216" w:rsidRPr="00FC7D73" w:rsidP="00FC7D73" w14:paraId="606F6AFA" w14:textId="77777777">
      <w:pPr>
        <w:rPr>
          <w:b/>
          <w:bCs/>
          <w:color w:val="000000"/>
        </w:rPr>
      </w:pPr>
    </w:p>
    <w:p w:rsidR="008F7DDE" w:rsidRPr="00FC7D73" w:rsidP="00FC7D73" w14:paraId="59B56D9F" w14:textId="49D1A487">
      <w:pPr>
        <w:widowControl/>
        <w:rPr>
          <w:iCs/>
        </w:rPr>
      </w:pPr>
      <w:r w:rsidRPr="00FC7D73">
        <w:rPr>
          <w:iCs/>
          <w:u w:val="single"/>
        </w:rPr>
        <w:t xml:space="preserve">Number of </w:t>
      </w:r>
      <w:r w:rsidRPr="00FC7D73">
        <w:rPr>
          <w:iCs/>
          <w:u w:val="single"/>
        </w:rPr>
        <w:t>Respondents</w:t>
      </w:r>
      <w:r w:rsidRPr="00FC7D73">
        <w:rPr>
          <w:iCs/>
        </w:rPr>
        <w:t xml:space="preserve">: The </w:t>
      </w:r>
      <w:r w:rsidRPr="00FC7D73" w:rsidR="00EA6474">
        <w:rPr>
          <w:iCs/>
        </w:rPr>
        <w:t xml:space="preserve">estimated </w:t>
      </w:r>
      <w:r w:rsidRPr="00FC7D73">
        <w:rPr>
          <w:iCs/>
        </w:rPr>
        <w:t>number of responde</w:t>
      </w:r>
      <w:r w:rsidRPr="00FC7D73">
        <w:rPr>
          <w:iCs/>
          <w:color w:val="000000" w:themeColor="text1"/>
        </w:rPr>
        <w:t xml:space="preserve">nts </w:t>
      </w:r>
      <w:bookmarkStart w:id="44" w:name="_Hlk125973945"/>
      <w:r w:rsidRPr="00FC7D73" w:rsidR="001A22F2">
        <w:rPr>
          <w:iCs/>
          <w:color w:val="000000" w:themeColor="text1"/>
        </w:rPr>
        <w:t>remained the unchanged at 1.</w:t>
      </w:r>
    </w:p>
    <w:p w:rsidR="008F7DDE" w:rsidRPr="00FC7D73" w:rsidP="00FC7D73" w14:paraId="203B4B53" w14:textId="77777777">
      <w:pPr>
        <w:widowControl/>
        <w:rPr>
          <w:iCs/>
        </w:rPr>
      </w:pPr>
    </w:p>
    <w:p w:rsidR="008F7DDE" w:rsidRPr="00FC7D73" w:rsidP="00FC7D73" w14:paraId="1DC56B79" w14:textId="43ED2DE0">
      <w:pPr>
        <w:widowControl/>
        <w:rPr>
          <w:iCs/>
        </w:rPr>
      </w:pPr>
      <w:r w:rsidRPr="00FC7D73">
        <w:rPr>
          <w:iCs/>
          <w:u w:val="single"/>
        </w:rPr>
        <w:t xml:space="preserve">Number of </w:t>
      </w:r>
      <w:r w:rsidRPr="00FC7D73">
        <w:rPr>
          <w:iCs/>
          <w:u w:val="single"/>
        </w:rPr>
        <w:t>Responses</w:t>
      </w:r>
      <w:r w:rsidRPr="00FC7D73">
        <w:rPr>
          <w:iCs/>
        </w:rPr>
        <w:t xml:space="preserve">: The </w:t>
      </w:r>
      <w:r w:rsidRPr="00FC7D73" w:rsidR="00EA6474">
        <w:rPr>
          <w:iCs/>
        </w:rPr>
        <w:t xml:space="preserve">estimated </w:t>
      </w:r>
      <w:r w:rsidRPr="00FC7D73">
        <w:rPr>
          <w:iCs/>
        </w:rPr>
        <w:t xml:space="preserve">number of responses </w:t>
      </w:r>
      <w:r w:rsidRPr="00FC7D73" w:rsidR="001A22F2">
        <w:rPr>
          <w:iCs/>
          <w:color w:val="000000" w:themeColor="text1"/>
        </w:rPr>
        <w:t>remained the unchanged at 1.</w:t>
      </w:r>
    </w:p>
    <w:p w:rsidR="008F7DDE" w:rsidRPr="00FC7D73" w:rsidP="00FC7D73" w14:paraId="39B8BCE6" w14:textId="77777777">
      <w:pPr>
        <w:widowControl/>
        <w:rPr>
          <w:iCs/>
        </w:rPr>
      </w:pPr>
    </w:p>
    <w:p w:rsidR="008F7DDE" w:rsidRPr="00FC7D73" w:rsidP="00FC7D73" w14:paraId="7F33A961" w14:textId="592F240F">
      <w:pPr>
        <w:widowControl/>
        <w:rPr>
          <w:iCs/>
        </w:rPr>
      </w:pPr>
      <w:r w:rsidRPr="00FC7D73">
        <w:rPr>
          <w:iCs/>
          <w:u w:val="single"/>
        </w:rPr>
        <w:t xml:space="preserve">Annual </w:t>
      </w:r>
      <w:r w:rsidRPr="00FC7D73" w:rsidR="00EA6474">
        <w:rPr>
          <w:iCs/>
          <w:u w:val="single"/>
        </w:rPr>
        <w:t xml:space="preserve">Time </w:t>
      </w:r>
      <w:r w:rsidRPr="00FC7D73">
        <w:rPr>
          <w:iCs/>
          <w:u w:val="single"/>
        </w:rPr>
        <w:t>Burden</w:t>
      </w:r>
      <w:r w:rsidRPr="00FC7D73">
        <w:rPr>
          <w:iCs/>
        </w:rPr>
        <w:t xml:space="preserve">: The </w:t>
      </w:r>
      <w:r w:rsidRPr="00FC7D73" w:rsidR="00EA6474">
        <w:rPr>
          <w:iCs/>
        </w:rPr>
        <w:t>estimated annual time</w:t>
      </w:r>
      <w:r w:rsidRPr="00FC7D73">
        <w:rPr>
          <w:iCs/>
        </w:rPr>
        <w:t xml:space="preserve"> burden </w:t>
      </w:r>
      <w:r w:rsidRPr="00FC7D73" w:rsidR="001A22F2">
        <w:rPr>
          <w:iCs/>
          <w:color w:val="000000" w:themeColor="text1"/>
        </w:rPr>
        <w:t>remained the unchanged at 41 hours.</w:t>
      </w:r>
    </w:p>
    <w:p w:rsidR="00EA6474" w:rsidRPr="00FC7D73" w:rsidP="00FC7D73" w14:paraId="74E099CF" w14:textId="77777777">
      <w:pPr>
        <w:widowControl/>
        <w:rPr>
          <w:iCs/>
        </w:rPr>
      </w:pPr>
    </w:p>
    <w:p w:rsidR="00EA6474" w:rsidRPr="00FC7D73" w:rsidP="00FC7D73" w14:paraId="7A2540F6" w14:textId="11D5C172">
      <w:pPr>
        <w:widowControl/>
        <w:rPr>
          <w:color w:val="000000" w:themeColor="text1"/>
        </w:rPr>
      </w:pPr>
      <w:bookmarkStart w:id="45" w:name="_Hlk161303117"/>
      <w:r w:rsidRPr="00FC7D73">
        <w:rPr>
          <w:u w:val="single"/>
        </w:rPr>
        <w:t xml:space="preserve">Annual </w:t>
      </w:r>
      <w:r w:rsidRPr="00FC7D73">
        <w:rPr>
          <w:u w:val="single"/>
        </w:rPr>
        <w:t>Burden Costs</w:t>
      </w:r>
      <w:r w:rsidRPr="00FC7D73">
        <w:t>: The esti</w:t>
      </w:r>
      <w:r w:rsidRPr="00FC7D73">
        <w:rPr>
          <w:color w:val="000000" w:themeColor="text1"/>
        </w:rPr>
        <w:t>mated annual burden costs increased</w:t>
      </w:r>
      <w:r w:rsidRPr="00FC7D73" w:rsidR="001A22F2">
        <w:rPr>
          <w:color w:val="000000" w:themeColor="text1"/>
        </w:rPr>
        <w:t xml:space="preserve"> from $2,885 to $3,154 due to an increase in wages.</w:t>
      </w:r>
    </w:p>
    <w:bookmarkEnd w:id="45"/>
    <w:p w:rsidR="008F7DDE" w:rsidRPr="00FC7D73" w:rsidP="00FC7D73" w14:paraId="7BF5E8AB" w14:textId="77777777">
      <w:pPr>
        <w:widowControl/>
        <w:rPr>
          <w:iCs/>
        </w:rPr>
      </w:pPr>
    </w:p>
    <w:p w:rsidR="008F7DDE" w:rsidRPr="00FC7D73" w:rsidP="00FC7D73" w14:paraId="23EBE0D5" w14:textId="426A8C56">
      <w:pPr>
        <w:widowControl/>
        <w:rPr>
          <w:iCs/>
        </w:rPr>
      </w:pPr>
      <w:bookmarkStart w:id="46" w:name="_Hlk161302820"/>
      <w:r w:rsidRPr="00FC7D73">
        <w:rPr>
          <w:iCs/>
          <w:u w:val="single"/>
        </w:rPr>
        <w:t xml:space="preserve">Annual </w:t>
      </w:r>
      <w:r w:rsidRPr="00FC7D73" w:rsidR="00F72BA5">
        <w:rPr>
          <w:iCs/>
          <w:u w:val="single"/>
        </w:rPr>
        <w:t>Other</w:t>
      </w:r>
      <w:r w:rsidRPr="00FC7D73" w:rsidR="006E6E0F">
        <w:rPr>
          <w:iCs/>
          <w:u w:val="single"/>
        </w:rPr>
        <w:t xml:space="preserve"> </w:t>
      </w:r>
      <w:r w:rsidRPr="00FC7D73" w:rsidR="00F72BA5">
        <w:rPr>
          <w:iCs/>
          <w:u w:val="single"/>
        </w:rPr>
        <w:t xml:space="preserve">Burden </w:t>
      </w:r>
      <w:r w:rsidRPr="00FC7D73">
        <w:rPr>
          <w:iCs/>
          <w:u w:val="single"/>
        </w:rPr>
        <w:t>Costs</w:t>
      </w:r>
      <w:bookmarkEnd w:id="46"/>
      <w:r w:rsidRPr="00FC7D73">
        <w:rPr>
          <w:iCs/>
        </w:rPr>
        <w:t xml:space="preserve">: The estimated annual </w:t>
      </w:r>
      <w:r w:rsidRPr="00FC7D73" w:rsidR="00EA6474">
        <w:rPr>
          <w:iCs/>
        </w:rPr>
        <w:t xml:space="preserve">other burden </w:t>
      </w:r>
      <w:r w:rsidRPr="00FC7D73">
        <w:rPr>
          <w:iCs/>
        </w:rPr>
        <w:t xml:space="preserve">cost </w:t>
      </w:r>
      <w:r w:rsidRPr="00FC7D73" w:rsidR="001A22F2">
        <w:rPr>
          <w:iCs/>
          <w:color w:val="000000" w:themeColor="text1"/>
        </w:rPr>
        <w:t>remained unchanged at $301,810</w:t>
      </w:r>
      <w:r w:rsidRPr="00FC7D73" w:rsidR="00F63C0B">
        <w:rPr>
          <w:iCs/>
          <w:color w:val="000000" w:themeColor="text1"/>
        </w:rPr>
        <w:t>.</w:t>
      </w:r>
    </w:p>
    <w:bookmarkEnd w:id="0"/>
    <w:p w:rsidR="00013AE9" w:rsidRPr="00FC7D73" w:rsidP="00FC7D73" w14:paraId="2EF094E0" w14:textId="3E813641"/>
    <w:p w:rsidR="00D73216" w:rsidRPr="00FC7D73" w:rsidP="00FC7D73" w14:paraId="689DA3F1" w14:textId="0C9684C7">
      <w:bookmarkStart w:id="47" w:name="_Hlk172027419"/>
      <w:r w:rsidRPr="00FC7D73">
        <w:rPr>
          <w:u w:val="single"/>
        </w:rPr>
        <w:t>Federal Hours</w:t>
      </w:r>
      <w:r w:rsidRPr="00FC7D73">
        <w:t xml:space="preserve">: The estimated annual federal hours </w:t>
      </w:r>
      <w:r w:rsidRPr="00FC7D73" w:rsidR="001A22F2">
        <w:rPr>
          <w:iCs/>
          <w:color w:val="000000" w:themeColor="text1"/>
        </w:rPr>
        <w:t>remained unchanged at 0.</w:t>
      </w:r>
    </w:p>
    <w:p w:rsidR="00D73216" w:rsidRPr="00FC7D73" w:rsidP="00FC7D73" w14:paraId="02A7409A" w14:textId="77777777"/>
    <w:p w:rsidR="00D73216" w:rsidRPr="00FC7D73" w:rsidP="00FC7D73" w14:paraId="65660492" w14:textId="05708F5A">
      <w:r w:rsidRPr="00FC7D73">
        <w:rPr>
          <w:u w:val="single"/>
        </w:rPr>
        <w:t>Federal Costs</w:t>
      </w:r>
      <w:r w:rsidRPr="00FC7D73">
        <w:t xml:space="preserve">: The estimated annual federal costs </w:t>
      </w:r>
      <w:r w:rsidRPr="00FC7D73" w:rsidR="001A22F2">
        <w:rPr>
          <w:iCs/>
          <w:color w:val="000000" w:themeColor="text1"/>
        </w:rPr>
        <w:t>remained unchanged at 0.</w:t>
      </w:r>
    </w:p>
    <w:p w:rsidR="00D73216" w:rsidRPr="00FC7D73" w:rsidP="00FC7D73" w14:paraId="645CF9C7" w14:textId="77777777"/>
    <w:bookmarkEnd w:id="47"/>
    <w:p w:rsidR="00EA6474" w:rsidRPr="00FC7D73" w:rsidP="00FC7D73" w14:paraId="00732E73" w14:textId="37F17BB3">
      <w:pPr>
        <w:rPr>
          <w:b/>
          <w:bCs/>
          <w:szCs w:val="22"/>
        </w:rPr>
      </w:pPr>
      <w:r w:rsidRPr="00FC7D73">
        <w:rPr>
          <w:b/>
          <w:bCs/>
        </w:rPr>
        <w:t>Table 15-1</w:t>
      </w:r>
      <w:r w:rsidRPr="00FC7D73">
        <w:rPr>
          <w:b/>
          <w:bCs/>
        </w:rPr>
        <w:t>. Summary of Changes</w:t>
      </w:r>
      <w:r w:rsidRPr="00FC7D73">
        <w:rPr>
          <w:b/>
          <w:bCs/>
        </w:rPr>
        <w:t xml:space="preserve"> </w:t>
      </w:r>
    </w:p>
    <w:tbl>
      <w:tblPr>
        <w:tblStyle w:val="TableGrid"/>
        <w:tblW w:w="8447" w:type="dxa"/>
        <w:tblLook w:val="04A0"/>
      </w:tblPr>
      <w:tblGrid>
        <w:gridCol w:w="3505"/>
        <w:gridCol w:w="1816"/>
        <w:gridCol w:w="1694"/>
        <w:gridCol w:w="1432"/>
      </w:tblGrid>
      <w:tr w14:paraId="32319052" w14:textId="77777777" w:rsidTr="0003653B">
        <w:tblPrEx>
          <w:tblW w:w="8447" w:type="dxa"/>
          <w:tblLook w:val="04A0"/>
        </w:tblPrEx>
        <w:trPr>
          <w:trHeight w:val="306"/>
        </w:trPr>
        <w:tc>
          <w:tcPr>
            <w:tcW w:w="3505" w:type="dxa"/>
            <w:shd w:val="clear" w:color="auto" w:fill="8EAADB" w:themeFill="accent1" w:themeFillTint="99"/>
            <w:noWrap/>
            <w:hideMark/>
          </w:tcPr>
          <w:p w:rsidR="009B782E" w:rsidRPr="00FC7D73" w:rsidP="00FC7D73" w14:paraId="512D63FD"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9B782E" w:rsidRPr="00FC7D73" w:rsidP="00FC7D73" w14:paraId="5561B474" w14:textId="0216570E">
            <w:pPr>
              <w:pStyle w:val="Default"/>
              <w:jc w:val="center"/>
              <w:rPr>
                <w:rFonts w:ascii="Times New Roman" w:hAnsi="Times New Roman" w:cs="Times New Roman"/>
                <w:sz w:val="20"/>
                <w:szCs w:val="20"/>
              </w:rPr>
            </w:pPr>
            <w:r w:rsidRPr="00FC7D73">
              <w:rPr>
                <w:rFonts w:ascii="Times New Roman" w:hAnsi="Times New Roman" w:cs="Times New Roman"/>
                <w:sz w:val="20"/>
                <w:szCs w:val="20"/>
              </w:rPr>
              <w:t>Currently Approved ICR</w:t>
            </w:r>
          </w:p>
        </w:tc>
        <w:tc>
          <w:tcPr>
            <w:tcW w:w="1694" w:type="dxa"/>
            <w:shd w:val="clear" w:color="auto" w:fill="8EAADB" w:themeFill="accent1" w:themeFillTint="99"/>
          </w:tcPr>
          <w:p w:rsidR="009B782E" w:rsidRPr="00FC7D73" w:rsidP="00FC7D73" w14:paraId="2054B44A" w14:textId="1C9BAA5F">
            <w:pPr>
              <w:pStyle w:val="Default"/>
              <w:jc w:val="center"/>
              <w:rPr>
                <w:rFonts w:ascii="Times New Roman" w:hAnsi="Times New Roman" w:cs="Times New Roman"/>
                <w:sz w:val="20"/>
                <w:szCs w:val="20"/>
              </w:rPr>
            </w:pPr>
            <w:r w:rsidRPr="00FC7D73">
              <w:rPr>
                <w:rFonts w:ascii="Times New Roman" w:hAnsi="Times New Roman" w:cs="Times New Roman"/>
                <w:sz w:val="20"/>
                <w:szCs w:val="20"/>
              </w:rPr>
              <w:t>Update</w:t>
            </w:r>
            <w:r w:rsidRPr="00FC7D73">
              <w:rPr>
                <w:rFonts w:ascii="Times New Roman" w:hAnsi="Times New Roman" w:cs="Times New Roman"/>
                <w:sz w:val="20"/>
                <w:szCs w:val="20"/>
              </w:rPr>
              <w:t>d ICR</w:t>
            </w:r>
          </w:p>
        </w:tc>
        <w:tc>
          <w:tcPr>
            <w:tcW w:w="1432" w:type="dxa"/>
            <w:shd w:val="clear" w:color="auto" w:fill="8EAADB" w:themeFill="accent1" w:themeFillTint="99"/>
            <w:noWrap/>
            <w:hideMark/>
          </w:tcPr>
          <w:p w:rsidR="009B782E" w:rsidRPr="00FC7D73" w:rsidP="00FC7D73" w14:paraId="6C952ECE" w14:textId="096F68C9">
            <w:pPr>
              <w:pStyle w:val="Default"/>
              <w:jc w:val="center"/>
              <w:rPr>
                <w:rFonts w:ascii="Times New Roman" w:hAnsi="Times New Roman" w:cs="Times New Roman"/>
                <w:sz w:val="20"/>
                <w:szCs w:val="20"/>
              </w:rPr>
            </w:pPr>
            <w:r w:rsidRPr="00FC7D73">
              <w:rPr>
                <w:rFonts w:ascii="Times New Roman" w:hAnsi="Times New Roman" w:cs="Times New Roman"/>
                <w:sz w:val="20"/>
                <w:szCs w:val="20"/>
              </w:rPr>
              <w:t>Difference</w:t>
            </w:r>
          </w:p>
        </w:tc>
      </w:tr>
      <w:tr w14:paraId="4457D028" w14:textId="77777777" w:rsidTr="007628FE">
        <w:tblPrEx>
          <w:tblW w:w="8447" w:type="dxa"/>
          <w:tblLook w:val="04A0"/>
        </w:tblPrEx>
        <w:trPr>
          <w:trHeight w:val="322"/>
        </w:trPr>
        <w:tc>
          <w:tcPr>
            <w:tcW w:w="3505" w:type="dxa"/>
            <w:noWrap/>
            <w:vAlign w:val="center"/>
            <w:hideMark/>
          </w:tcPr>
          <w:p w:rsidR="001A22F2" w:rsidRPr="00FC7D73" w:rsidP="00FC7D73" w14:paraId="327A5A74" w14:textId="12139567">
            <w:pPr>
              <w:pStyle w:val="Default"/>
              <w:rPr>
                <w:rFonts w:ascii="Times New Roman" w:hAnsi="Times New Roman" w:cs="Times New Roman"/>
                <w:sz w:val="20"/>
                <w:szCs w:val="20"/>
              </w:rPr>
            </w:pPr>
            <w:r w:rsidRPr="00FC7D73">
              <w:rPr>
                <w:rFonts w:ascii="Times New Roman" w:hAnsi="Times New Roman" w:cs="Times New Roman"/>
                <w:sz w:val="20"/>
                <w:szCs w:val="20"/>
              </w:rPr>
              <w:t>Number of Respondents</w:t>
            </w:r>
          </w:p>
        </w:tc>
        <w:tc>
          <w:tcPr>
            <w:tcW w:w="1816" w:type="dxa"/>
            <w:noWrap/>
            <w:vAlign w:val="center"/>
          </w:tcPr>
          <w:p w:rsidR="001A22F2" w:rsidRPr="00FC7D73" w:rsidP="00FC7D73" w14:paraId="1AECE49E" w14:textId="270D75D0">
            <w:pPr>
              <w:pStyle w:val="Default"/>
              <w:jc w:val="right"/>
              <w:rPr>
                <w:rFonts w:ascii="Times New Roman" w:hAnsi="Times New Roman" w:cs="Times New Roman"/>
                <w:sz w:val="20"/>
                <w:szCs w:val="20"/>
              </w:rPr>
            </w:pPr>
            <w:r w:rsidRPr="00FC7D73">
              <w:rPr>
                <w:rFonts w:ascii="Times New Roman" w:hAnsi="Times New Roman" w:cs="Times New Roman"/>
                <w:sz w:val="20"/>
                <w:szCs w:val="20"/>
              </w:rPr>
              <w:t>1</w:t>
            </w:r>
          </w:p>
        </w:tc>
        <w:tc>
          <w:tcPr>
            <w:tcW w:w="1694" w:type="dxa"/>
            <w:vAlign w:val="center"/>
          </w:tcPr>
          <w:p w:rsidR="001A22F2" w:rsidRPr="00FC7D73" w:rsidP="00FC7D73" w14:paraId="0D0B3806" w14:textId="4A6D81E8">
            <w:pPr>
              <w:pStyle w:val="Default"/>
              <w:jc w:val="right"/>
              <w:rPr>
                <w:rFonts w:ascii="Times New Roman" w:hAnsi="Times New Roman" w:cs="Times New Roman"/>
                <w:sz w:val="20"/>
                <w:szCs w:val="20"/>
              </w:rPr>
            </w:pPr>
            <w:r w:rsidRPr="00FC7D73">
              <w:rPr>
                <w:rFonts w:ascii="Times New Roman" w:hAnsi="Times New Roman" w:cs="Times New Roman"/>
                <w:sz w:val="20"/>
                <w:szCs w:val="20"/>
              </w:rPr>
              <w:t>1</w:t>
            </w:r>
          </w:p>
        </w:tc>
        <w:tc>
          <w:tcPr>
            <w:tcW w:w="1432" w:type="dxa"/>
            <w:noWrap/>
            <w:vAlign w:val="center"/>
          </w:tcPr>
          <w:p w:rsidR="001A22F2" w:rsidRPr="00FC7D73" w:rsidP="00FC7D73" w14:paraId="0271019F" w14:textId="661D76D9">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r>
      <w:tr w14:paraId="764610AB" w14:textId="77777777" w:rsidTr="007628FE">
        <w:tblPrEx>
          <w:tblW w:w="8447" w:type="dxa"/>
          <w:tblLook w:val="04A0"/>
        </w:tblPrEx>
        <w:trPr>
          <w:trHeight w:val="322"/>
        </w:trPr>
        <w:tc>
          <w:tcPr>
            <w:tcW w:w="3505" w:type="dxa"/>
            <w:noWrap/>
            <w:vAlign w:val="center"/>
            <w:hideMark/>
          </w:tcPr>
          <w:p w:rsidR="001A22F2" w:rsidRPr="00FC7D73" w:rsidP="00FC7D73" w14:paraId="77D96C7E" w14:textId="1457549B">
            <w:pPr>
              <w:pStyle w:val="Default"/>
              <w:rPr>
                <w:rFonts w:ascii="Times New Roman" w:hAnsi="Times New Roman" w:cs="Times New Roman"/>
                <w:sz w:val="20"/>
                <w:szCs w:val="20"/>
              </w:rPr>
            </w:pPr>
            <w:r w:rsidRPr="00FC7D73">
              <w:rPr>
                <w:rFonts w:ascii="Times New Roman" w:hAnsi="Times New Roman" w:cs="Times New Roman"/>
                <w:sz w:val="20"/>
                <w:szCs w:val="20"/>
              </w:rPr>
              <w:t>Number of Responses</w:t>
            </w:r>
          </w:p>
        </w:tc>
        <w:tc>
          <w:tcPr>
            <w:tcW w:w="1816" w:type="dxa"/>
            <w:noWrap/>
            <w:vAlign w:val="center"/>
          </w:tcPr>
          <w:p w:rsidR="001A22F2" w:rsidRPr="00FC7D73" w:rsidP="00FC7D73" w14:paraId="6B240612" w14:textId="0F7FFFA7">
            <w:pPr>
              <w:pStyle w:val="Default"/>
              <w:jc w:val="right"/>
              <w:rPr>
                <w:rFonts w:ascii="Times New Roman" w:hAnsi="Times New Roman" w:cs="Times New Roman"/>
                <w:sz w:val="20"/>
                <w:szCs w:val="20"/>
              </w:rPr>
            </w:pPr>
            <w:r w:rsidRPr="00FC7D73">
              <w:rPr>
                <w:rFonts w:ascii="Times New Roman" w:hAnsi="Times New Roman" w:cs="Times New Roman"/>
                <w:sz w:val="20"/>
                <w:szCs w:val="20"/>
              </w:rPr>
              <w:t>1</w:t>
            </w:r>
          </w:p>
        </w:tc>
        <w:tc>
          <w:tcPr>
            <w:tcW w:w="1694" w:type="dxa"/>
            <w:vAlign w:val="center"/>
          </w:tcPr>
          <w:p w:rsidR="001A22F2" w:rsidRPr="00FC7D73" w:rsidP="00FC7D73" w14:paraId="6009DABF" w14:textId="3C7F57F9">
            <w:pPr>
              <w:pStyle w:val="Default"/>
              <w:jc w:val="right"/>
              <w:rPr>
                <w:rFonts w:ascii="Times New Roman" w:hAnsi="Times New Roman" w:cs="Times New Roman"/>
                <w:sz w:val="20"/>
                <w:szCs w:val="20"/>
              </w:rPr>
            </w:pPr>
            <w:r w:rsidRPr="00FC7D73">
              <w:rPr>
                <w:rFonts w:ascii="Times New Roman" w:hAnsi="Times New Roman" w:cs="Times New Roman"/>
                <w:sz w:val="20"/>
                <w:szCs w:val="20"/>
              </w:rPr>
              <w:t>1</w:t>
            </w:r>
          </w:p>
        </w:tc>
        <w:tc>
          <w:tcPr>
            <w:tcW w:w="1432" w:type="dxa"/>
            <w:noWrap/>
            <w:vAlign w:val="center"/>
          </w:tcPr>
          <w:p w:rsidR="001A22F2" w:rsidRPr="00FC7D73" w:rsidP="00FC7D73" w14:paraId="7519B51D" w14:textId="7C5ECF09">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r>
      <w:tr w14:paraId="191D5E22" w14:textId="77777777" w:rsidTr="007628FE">
        <w:tblPrEx>
          <w:tblW w:w="8447" w:type="dxa"/>
          <w:tblLook w:val="04A0"/>
        </w:tblPrEx>
        <w:trPr>
          <w:trHeight w:val="322"/>
        </w:trPr>
        <w:tc>
          <w:tcPr>
            <w:tcW w:w="3505" w:type="dxa"/>
            <w:noWrap/>
            <w:vAlign w:val="center"/>
            <w:hideMark/>
          </w:tcPr>
          <w:p w:rsidR="001A22F2" w:rsidRPr="00FC7D73" w:rsidP="00FC7D73" w14:paraId="78FA6921" w14:textId="75557D05">
            <w:pPr>
              <w:pStyle w:val="Default"/>
              <w:rPr>
                <w:rFonts w:ascii="Times New Roman" w:hAnsi="Times New Roman" w:cs="Times New Roman"/>
                <w:sz w:val="20"/>
                <w:szCs w:val="20"/>
              </w:rPr>
            </w:pPr>
            <w:r w:rsidRPr="00FC7D73">
              <w:rPr>
                <w:rFonts w:ascii="Times New Roman" w:hAnsi="Times New Roman" w:cs="Times New Roman"/>
                <w:sz w:val="20"/>
                <w:szCs w:val="20"/>
              </w:rPr>
              <w:t>Annual Time Burden</w:t>
            </w:r>
          </w:p>
        </w:tc>
        <w:tc>
          <w:tcPr>
            <w:tcW w:w="1816" w:type="dxa"/>
            <w:noWrap/>
            <w:vAlign w:val="center"/>
          </w:tcPr>
          <w:p w:rsidR="001A22F2" w:rsidRPr="00FC7D73" w:rsidP="00FC7D73" w14:paraId="399FFE51" w14:textId="288F3072">
            <w:pPr>
              <w:pStyle w:val="Default"/>
              <w:jc w:val="right"/>
              <w:rPr>
                <w:rFonts w:ascii="Times New Roman" w:hAnsi="Times New Roman" w:cs="Times New Roman"/>
                <w:sz w:val="20"/>
                <w:szCs w:val="20"/>
              </w:rPr>
            </w:pPr>
            <w:r w:rsidRPr="00FC7D73">
              <w:rPr>
                <w:rFonts w:ascii="Times New Roman" w:hAnsi="Times New Roman" w:cs="Times New Roman"/>
                <w:sz w:val="20"/>
                <w:szCs w:val="20"/>
              </w:rPr>
              <w:t>41</w:t>
            </w:r>
          </w:p>
        </w:tc>
        <w:tc>
          <w:tcPr>
            <w:tcW w:w="1694" w:type="dxa"/>
            <w:vAlign w:val="center"/>
          </w:tcPr>
          <w:p w:rsidR="001A22F2" w:rsidRPr="00FC7D73" w:rsidP="00FC7D73" w14:paraId="49EC2F7C" w14:textId="184253B8">
            <w:pPr>
              <w:pStyle w:val="Default"/>
              <w:jc w:val="right"/>
              <w:rPr>
                <w:rFonts w:ascii="Times New Roman" w:hAnsi="Times New Roman" w:cs="Times New Roman"/>
                <w:sz w:val="20"/>
                <w:szCs w:val="20"/>
              </w:rPr>
            </w:pPr>
            <w:r w:rsidRPr="00FC7D73">
              <w:rPr>
                <w:rFonts w:ascii="Times New Roman" w:hAnsi="Times New Roman" w:cs="Times New Roman"/>
                <w:sz w:val="20"/>
                <w:szCs w:val="20"/>
              </w:rPr>
              <w:t>41</w:t>
            </w:r>
          </w:p>
        </w:tc>
        <w:tc>
          <w:tcPr>
            <w:tcW w:w="1432" w:type="dxa"/>
            <w:noWrap/>
            <w:vAlign w:val="center"/>
          </w:tcPr>
          <w:p w:rsidR="001A22F2" w:rsidRPr="00FC7D73" w:rsidP="00FC7D73" w14:paraId="04E67B85" w14:textId="43926634">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r>
      <w:tr w14:paraId="70E95A48" w14:textId="77777777" w:rsidTr="007628FE">
        <w:tblPrEx>
          <w:tblW w:w="8447" w:type="dxa"/>
          <w:tblLook w:val="04A0"/>
        </w:tblPrEx>
        <w:trPr>
          <w:trHeight w:val="322"/>
        </w:trPr>
        <w:tc>
          <w:tcPr>
            <w:tcW w:w="3505" w:type="dxa"/>
            <w:noWrap/>
            <w:vAlign w:val="center"/>
          </w:tcPr>
          <w:p w:rsidR="001A22F2" w:rsidRPr="00FC7D73" w:rsidP="00FC7D73" w14:paraId="16B0F667" w14:textId="051F7B05">
            <w:pPr>
              <w:pStyle w:val="Default"/>
              <w:rPr>
                <w:rFonts w:ascii="Times New Roman" w:hAnsi="Times New Roman" w:cs="Times New Roman"/>
                <w:sz w:val="20"/>
                <w:szCs w:val="20"/>
              </w:rPr>
            </w:pPr>
            <w:r w:rsidRPr="00FC7D73">
              <w:rPr>
                <w:rFonts w:ascii="Times New Roman" w:hAnsi="Times New Roman" w:cs="Times New Roman"/>
                <w:sz w:val="20"/>
                <w:szCs w:val="20"/>
              </w:rPr>
              <w:t>Annual Burden Costs</w:t>
            </w:r>
          </w:p>
        </w:tc>
        <w:tc>
          <w:tcPr>
            <w:tcW w:w="1816" w:type="dxa"/>
            <w:noWrap/>
            <w:vAlign w:val="center"/>
          </w:tcPr>
          <w:p w:rsidR="001A22F2" w:rsidRPr="00FC7D73" w:rsidP="00FC7D73" w14:paraId="1DE97BCD" w14:textId="23BF2418">
            <w:pPr>
              <w:pStyle w:val="Default"/>
              <w:jc w:val="right"/>
              <w:rPr>
                <w:rFonts w:ascii="Times New Roman" w:hAnsi="Times New Roman" w:cs="Times New Roman"/>
                <w:sz w:val="20"/>
                <w:szCs w:val="20"/>
              </w:rPr>
            </w:pPr>
            <w:r w:rsidRPr="00FC7D73">
              <w:rPr>
                <w:rFonts w:ascii="Times New Roman" w:hAnsi="Times New Roman" w:cs="Times New Roman"/>
                <w:sz w:val="20"/>
                <w:szCs w:val="20"/>
              </w:rPr>
              <w:t>$2,885</w:t>
            </w:r>
          </w:p>
        </w:tc>
        <w:tc>
          <w:tcPr>
            <w:tcW w:w="1694" w:type="dxa"/>
            <w:vAlign w:val="center"/>
          </w:tcPr>
          <w:p w:rsidR="001A22F2" w:rsidRPr="00FC7D73" w:rsidP="00FC7D73" w14:paraId="213F2BA9" w14:textId="76D865D0">
            <w:pPr>
              <w:pStyle w:val="Default"/>
              <w:jc w:val="right"/>
              <w:rPr>
                <w:rFonts w:ascii="Times New Roman" w:hAnsi="Times New Roman" w:cs="Times New Roman"/>
                <w:sz w:val="20"/>
                <w:szCs w:val="20"/>
              </w:rPr>
            </w:pPr>
            <w:r w:rsidRPr="00FC7D73">
              <w:rPr>
                <w:rFonts w:ascii="Times New Roman" w:hAnsi="Times New Roman" w:cs="Times New Roman"/>
                <w:sz w:val="20"/>
                <w:szCs w:val="20"/>
              </w:rPr>
              <w:t>$3,154</w:t>
            </w:r>
          </w:p>
        </w:tc>
        <w:tc>
          <w:tcPr>
            <w:tcW w:w="1432" w:type="dxa"/>
            <w:noWrap/>
            <w:vAlign w:val="center"/>
          </w:tcPr>
          <w:p w:rsidR="001A22F2" w:rsidRPr="00FC7D73" w:rsidP="00FC7D73" w14:paraId="0F7AB11D" w14:textId="66C6C622">
            <w:pPr>
              <w:pStyle w:val="Default"/>
              <w:jc w:val="right"/>
              <w:rPr>
                <w:rFonts w:ascii="Times New Roman" w:hAnsi="Times New Roman" w:cs="Times New Roman"/>
                <w:sz w:val="20"/>
                <w:szCs w:val="20"/>
              </w:rPr>
            </w:pPr>
            <w:r w:rsidRPr="00FC7D73">
              <w:rPr>
                <w:rFonts w:ascii="Times New Roman" w:hAnsi="Times New Roman" w:cs="Times New Roman"/>
                <w:sz w:val="20"/>
                <w:szCs w:val="20"/>
              </w:rPr>
              <w:t>$269</w:t>
            </w:r>
          </w:p>
        </w:tc>
      </w:tr>
      <w:tr w14:paraId="57E25265" w14:textId="77777777" w:rsidTr="007628FE">
        <w:tblPrEx>
          <w:tblW w:w="8447" w:type="dxa"/>
          <w:tblLook w:val="04A0"/>
        </w:tblPrEx>
        <w:trPr>
          <w:trHeight w:val="322"/>
        </w:trPr>
        <w:tc>
          <w:tcPr>
            <w:tcW w:w="3505" w:type="dxa"/>
            <w:noWrap/>
            <w:vAlign w:val="center"/>
            <w:hideMark/>
          </w:tcPr>
          <w:p w:rsidR="001A22F2" w:rsidRPr="00FC7D73" w:rsidP="00FC7D73" w14:paraId="43397790" w14:textId="64547815">
            <w:pPr>
              <w:pStyle w:val="Default"/>
              <w:rPr>
                <w:rFonts w:ascii="Times New Roman" w:hAnsi="Times New Roman" w:cs="Times New Roman"/>
                <w:sz w:val="20"/>
                <w:szCs w:val="20"/>
              </w:rPr>
            </w:pPr>
            <w:r w:rsidRPr="00FC7D73">
              <w:rPr>
                <w:rFonts w:ascii="Times New Roman" w:hAnsi="Times New Roman" w:cs="Times New Roman"/>
                <w:sz w:val="20"/>
                <w:szCs w:val="20"/>
              </w:rPr>
              <w:t xml:space="preserve">Annual Other Burden Costs </w:t>
            </w:r>
          </w:p>
        </w:tc>
        <w:tc>
          <w:tcPr>
            <w:tcW w:w="1816" w:type="dxa"/>
            <w:noWrap/>
            <w:vAlign w:val="center"/>
            <w:hideMark/>
          </w:tcPr>
          <w:p w:rsidR="001A22F2" w:rsidRPr="00FC7D73" w:rsidP="00FC7D73" w14:paraId="0EACAF73" w14:textId="178FA57B">
            <w:pPr>
              <w:pStyle w:val="Default"/>
              <w:jc w:val="right"/>
              <w:rPr>
                <w:rFonts w:ascii="Times New Roman" w:hAnsi="Times New Roman" w:cs="Times New Roman"/>
                <w:sz w:val="20"/>
                <w:szCs w:val="20"/>
              </w:rPr>
            </w:pPr>
            <w:r w:rsidRPr="00FC7D73">
              <w:rPr>
                <w:rFonts w:ascii="Times New Roman" w:hAnsi="Times New Roman" w:cs="Times New Roman"/>
                <w:sz w:val="20"/>
                <w:szCs w:val="20"/>
              </w:rPr>
              <w:t>$301,810</w:t>
            </w:r>
          </w:p>
        </w:tc>
        <w:tc>
          <w:tcPr>
            <w:tcW w:w="1694" w:type="dxa"/>
            <w:vAlign w:val="center"/>
          </w:tcPr>
          <w:p w:rsidR="001A22F2" w:rsidRPr="00FC7D73" w:rsidP="00FC7D73" w14:paraId="11D383FB" w14:textId="7CCC3014">
            <w:pPr>
              <w:pStyle w:val="Default"/>
              <w:jc w:val="right"/>
              <w:rPr>
                <w:rFonts w:ascii="Times New Roman" w:hAnsi="Times New Roman" w:cs="Times New Roman"/>
                <w:sz w:val="20"/>
                <w:szCs w:val="20"/>
              </w:rPr>
            </w:pPr>
            <w:r w:rsidRPr="00FC7D73">
              <w:rPr>
                <w:rFonts w:ascii="Times New Roman" w:hAnsi="Times New Roman" w:cs="Times New Roman"/>
                <w:sz w:val="20"/>
                <w:szCs w:val="20"/>
              </w:rPr>
              <w:t>$301,810</w:t>
            </w:r>
          </w:p>
        </w:tc>
        <w:tc>
          <w:tcPr>
            <w:tcW w:w="1432" w:type="dxa"/>
            <w:noWrap/>
            <w:vAlign w:val="center"/>
            <w:hideMark/>
          </w:tcPr>
          <w:p w:rsidR="001A22F2" w:rsidRPr="00FC7D73" w:rsidP="00FC7D73" w14:paraId="7A7AE64F" w14:textId="405D6BA6">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r>
      <w:tr w14:paraId="5D6474F8" w14:textId="77777777" w:rsidTr="00063595">
        <w:tblPrEx>
          <w:tblW w:w="8447" w:type="dxa"/>
          <w:tblLook w:val="04A0"/>
        </w:tblPrEx>
        <w:trPr>
          <w:trHeight w:val="322"/>
        </w:trPr>
        <w:tc>
          <w:tcPr>
            <w:tcW w:w="3505" w:type="dxa"/>
            <w:noWrap/>
            <w:vAlign w:val="bottom"/>
          </w:tcPr>
          <w:p w:rsidR="001A22F2" w:rsidRPr="00FC7D73" w:rsidP="00FC7D73" w14:paraId="207FC389" w14:textId="2B424693">
            <w:pPr>
              <w:pStyle w:val="Default"/>
              <w:rPr>
                <w:rFonts w:ascii="Times New Roman" w:hAnsi="Times New Roman" w:cs="Times New Roman"/>
                <w:sz w:val="20"/>
                <w:szCs w:val="20"/>
              </w:rPr>
            </w:pPr>
            <w:r w:rsidRPr="00FC7D73">
              <w:rPr>
                <w:rFonts w:ascii="Times New Roman" w:hAnsi="Times New Roman" w:cs="Times New Roman"/>
                <w:sz w:val="20"/>
                <w:szCs w:val="20"/>
              </w:rPr>
              <w:t> </w:t>
            </w:r>
          </w:p>
        </w:tc>
        <w:tc>
          <w:tcPr>
            <w:tcW w:w="1816" w:type="dxa"/>
            <w:noWrap/>
            <w:vAlign w:val="center"/>
          </w:tcPr>
          <w:p w:rsidR="001A22F2" w:rsidRPr="00FC7D73" w:rsidP="00FC7D73" w14:paraId="607D2640" w14:textId="289A2DAD">
            <w:pPr>
              <w:pStyle w:val="Default"/>
              <w:jc w:val="right"/>
              <w:rPr>
                <w:rFonts w:ascii="Times New Roman" w:hAnsi="Times New Roman" w:cs="Times New Roman"/>
                <w:sz w:val="20"/>
                <w:szCs w:val="20"/>
              </w:rPr>
            </w:pPr>
            <w:r w:rsidRPr="00FC7D73">
              <w:rPr>
                <w:rFonts w:ascii="Times New Roman" w:hAnsi="Times New Roman" w:cs="Times New Roman"/>
                <w:sz w:val="20"/>
                <w:szCs w:val="20"/>
              </w:rPr>
              <w:t> </w:t>
            </w:r>
          </w:p>
        </w:tc>
        <w:tc>
          <w:tcPr>
            <w:tcW w:w="1694" w:type="dxa"/>
            <w:vAlign w:val="center"/>
          </w:tcPr>
          <w:p w:rsidR="001A22F2" w:rsidRPr="00FC7D73" w:rsidP="00FC7D73" w14:paraId="3C314A07" w14:textId="3DD70922">
            <w:pPr>
              <w:pStyle w:val="Default"/>
              <w:jc w:val="right"/>
              <w:rPr>
                <w:rFonts w:ascii="Times New Roman" w:hAnsi="Times New Roman" w:cs="Times New Roman"/>
                <w:sz w:val="20"/>
                <w:szCs w:val="20"/>
              </w:rPr>
            </w:pPr>
            <w:r w:rsidRPr="00FC7D73">
              <w:rPr>
                <w:rFonts w:ascii="Times New Roman" w:hAnsi="Times New Roman" w:cs="Times New Roman"/>
                <w:sz w:val="20"/>
                <w:szCs w:val="20"/>
              </w:rPr>
              <w:t> </w:t>
            </w:r>
          </w:p>
        </w:tc>
        <w:tc>
          <w:tcPr>
            <w:tcW w:w="1432" w:type="dxa"/>
            <w:noWrap/>
            <w:vAlign w:val="center"/>
          </w:tcPr>
          <w:p w:rsidR="001A22F2" w:rsidRPr="00FC7D73" w:rsidP="00FC7D73" w14:paraId="49F1D425" w14:textId="7D863B88">
            <w:pPr>
              <w:pStyle w:val="Default"/>
              <w:jc w:val="right"/>
              <w:rPr>
                <w:rFonts w:ascii="Times New Roman" w:hAnsi="Times New Roman" w:cs="Times New Roman"/>
                <w:sz w:val="20"/>
                <w:szCs w:val="20"/>
              </w:rPr>
            </w:pPr>
            <w:r w:rsidRPr="00FC7D73">
              <w:rPr>
                <w:rFonts w:ascii="Times New Roman" w:hAnsi="Times New Roman" w:cs="Times New Roman"/>
                <w:sz w:val="20"/>
                <w:szCs w:val="20"/>
              </w:rPr>
              <w:t> </w:t>
            </w:r>
          </w:p>
        </w:tc>
      </w:tr>
      <w:tr w14:paraId="742C5BD3" w14:textId="77777777" w:rsidTr="007628FE">
        <w:tblPrEx>
          <w:tblW w:w="8447" w:type="dxa"/>
          <w:tblLook w:val="04A0"/>
        </w:tblPrEx>
        <w:trPr>
          <w:trHeight w:val="322"/>
        </w:trPr>
        <w:tc>
          <w:tcPr>
            <w:tcW w:w="3505" w:type="dxa"/>
            <w:noWrap/>
            <w:vAlign w:val="center"/>
          </w:tcPr>
          <w:p w:rsidR="001A22F2" w:rsidRPr="00FC7D73" w:rsidP="00FC7D73" w14:paraId="71E82CA7" w14:textId="5AF786DC">
            <w:pPr>
              <w:pStyle w:val="Default"/>
              <w:rPr>
                <w:rFonts w:ascii="Times New Roman" w:hAnsi="Times New Roman" w:cs="Times New Roman"/>
                <w:sz w:val="20"/>
                <w:szCs w:val="20"/>
              </w:rPr>
            </w:pPr>
            <w:r w:rsidRPr="00FC7D73">
              <w:rPr>
                <w:rFonts w:ascii="Times New Roman" w:hAnsi="Times New Roman" w:cs="Times New Roman"/>
                <w:sz w:val="20"/>
                <w:szCs w:val="20"/>
              </w:rPr>
              <w:t>Federal Hours</w:t>
            </w:r>
          </w:p>
        </w:tc>
        <w:tc>
          <w:tcPr>
            <w:tcW w:w="1816" w:type="dxa"/>
            <w:noWrap/>
            <w:vAlign w:val="center"/>
          </w:tcPr>
          <w:p w:rsidR="001A22F2" w:rsidRPr="00FC7D73" w:rsidP="00FC7D73" w14:paraId="7305E559" w14:textId="64FD91AB">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c>
          <w:tcPr>
            <w:tcW w:w="1694" w:type="dxa"/>
            <w:vAlign w:val="center"/>
          </w:tcPr>
          <w:p w:rsidR="001A22F2" w:rsidRPr="00FC7D73" w:rsidP="00FC7D73" w14:paraId="443C69B7" w14:textId="6ECA2E9A">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c>
          <w:tcPr>
            <w:tcW w:w="1432" w:type="dxa"/>
            <w:noWrap/>
            <w:vAlign w:val="center"/>
          </w:tcPr>
          <w:p w:rsidR="001A22F2" w:rsidRPr="00FC7D73" w:rsidP="00FC7D73" w14:paraId="5CB057FD" w14:textId="5D6AAFD9">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r>
      <w:tr w14:paraId="22428B5A" w14:textId="77777777" w:rsidTr="007628FE">
        <w:tblPrEx>
          <w:tblW w:w="8447" w:type="dxa"/>
          <w:tblLook w:val="04A0"/>
        </w:tblPrEx>
        <w:trPr>
          <w:trHeight w:val="322"/>
        </w:trPr>
        <w:tc>
          <w:tcPr>
            <w:tcW w:w="3505" w:type="dxa"/>
            <w:noWrap/>
            <w:vAlign w:val="center"/>
          </w:tcPr>
          <w:p w:rsidR="001A22F2" w:rsidRPr="00FC7D73" w:rsidP="00FC7D73" w14:paraId="64CBA277" w14:textId="60E8F2DE">
            <w:pPr>
              <w:pStyle w:val="Default"/>
              <w:rPr>
                <w:rFonts w:ascii="Times New Roman" w:hAnsi="Times New Roman" w:cs="Times New Roman"/>
                <w:sz w:val="20"/>
                <w:szCs w:val="20"/>
              </w:rPr>
            </w:pPr>
            <w:r w:rsidRPr="00FC7D73">
              <w:rPr>
                <w:rFonts w:ascii="Times New Roman" w:hAnsi="Times New Roman" w:cs="Times New Roman"/>
                <w:sz w:val="20"/>
                <w:szCs w:val="20"/>
              </w:rPr>
              <w:t>Federal Costs</w:t>
            </w:r>
          </w:p>
        </w:tc>
        <w:tc>
          <w:tcPr>
            <w:tcW w:w="1816" w:type="dxa"/>
            <w:noWrap/>
            <w:vAlign w:val="center"/>
          </w:tcPr>
          <w:p w:rsidR="001A22F2" w:rsidRPr="00FC7D73" w:rsidP="00FC7D73" w14:paraId="73248FF6" w14:textId="63BA2316">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c>
          <w:tcPr>
            <w:tcW w:w="1694" w:type="dxa"/>
            <w:vAlign w:val="center"/>
          </w:tcPr>
          <w:p w:rsidR="001A22F2" w:rsidRPr="00FC7D73" w:rsidP="00FC7D73" w14:paraId="5CB3BD50" w14:textId="76E0E72B">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c>
          <w:tcPr>
            <w:tcW w:w="1432" w:type="dxa"/>
            <w:noWrap/>
            <w:vAlign w:val="center"/>
          </w:tcPr>
          <w:p w:rsidR="001A22F2" w:rsidRPr="00FC7D73" w:rsidP="00FC7D73" w14:paraId="76728418" w14:textId="2D115735">
            <w:pPr>
              <w:pStyle w:val="Default"/>
              <w:jc w:val="right"/>
              <w:rPr>
                <w:rFonts w:ascii="Times New Roman" w:hAnsi="Times New Roman" w:cs="Times New Roman"/>
                <w:sz w:val="20"/>
                <w:szCs w:val="20"/>
              </w:rPr>
            </w:pPr>
            <w:r w:rsidRPr="00FC7D73">
              <w:rPr>
                <w:rFonts w:ascii="Times New Roman" w:hAnsi="Times New Roman" w:cs="Times New Roman"/>
                <w:sz w:val="20"/>
                <w:szCs w:val="20"/>
              </w:rPr>
              <w:t>$0</w:t>
            </w:r>
          </w:p>
        </w:tc>
      </w:tr>
      <w:bookmarkEnd w:id="44"/>
    </w:tbl>
    <w:p w:rsidR="00440FD0" w:rsidRPr="00FC7D73" w:rsidP="00FC7D73" w14:paraId="13D6483B" w14:textId="2C462059"/>
    <w:p w:rsidR="00BF6E22" w:rsidRPr="00FC7D73" w:rsidP="00FC7D73" w14:paraId="6FFB8F25" w14:textId="77777777">
      <w:pPr>
        <w:rPr>
          <w:b/>
          <w:bCs/>
        </w:rPr>
      </w:pPr>
      <w:r w:rsidRPr="00FC7D73">
        <w:rPr>
          <w:b/>
          <w:bCs/>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F6E22" w:rsidRPr="00FC7D73" w:rsidP="00FC7D73" w14:paraId="20AF7A3A" w14:textId="77777777"/>
    <w:p w:rsidR="00BF6E22" w:rsidRPr="00FC7D73" w:rsidP="00FC7D73" w14:paraId="06F0B93F" w14:textId="77777777">
      <w:r w:rsidRPr="00FC7D73">
        <w:t>MSHA does not intend to publish the results of this information collection.</w:t>
      </w:r>
    </w:p>
    <w:p w:rsidR="00BF6E22" w:rsidRPr="00FC7D73" w:rsidP="00FC7D73" w14:paraId="5BFF65E0" w14:textId="77777777"/>
    <w:p w:rsidR="00BF6E22" w:rsidRPr="00FC7D73" w:rsidP="00FC7D73" w14:paraId="6FF420DB" w14:textId="77777777">
      <w:pPr>
        <w:rPr>
          <w:b/>
          <w:bCs/>
        </w:rPr>
      </w:pPr>
      <w:r w:rsidRPr="00FC7D73">
        <w:rPr>
          <w:b/>
          <w:bCs/>
        </w:rPr>
        <w:t>17.  If seeking approval to not display the expiration date for OMB approval of the information collection, explain the reasons that display would be inappropriate.</w:t>
      </w:r>
    </w:p>
    <w:p w:rsidR="00BF6E22" w:rsidRPr="00FC7D73" w:rsidP="00FC7D73" w14:paraId="039D73A3" w14:textId="77777777"/>
    <w:p w:rsidR="00BF6E22" w:rsidRPr="00FC7D73" w:rsidP="00FC7D73" w14:paraId="4A69F447" w14:textId="77777777">
      <w:r w:rsidRPr="00FC7D73">
        <w:t>MSHA is not seeking approval to not display the expiration date for OMB approval of this information collection and there is no form associated with this collection.</w:t>
      </w:r>
    </w:p>
    <w:p w:rsidR="00BF6E22" w:rsidRPr="00FC7D73" w:rsidP="00FC7D73" w14:paraId="5DCD2D3F" w14:textId="77777777"/>
    <w:p w:rsidR="00BF6E22" w:rsidRPr="00FC7D73" w:rsidP="00FC7D73" w14:paraId="234DA17B" w14:textId="77777777">
      <w:pPr>
        <w:rPr>
          <w:b/>
          <w:bCs/>
        </w:rPr>
      </w:pPr>
      <w:r w:rsidRPr="00FC7D73">
        <w:rPr>
          <w:b/>
          <w:bCs/>
        </w:rPr>
        <w:t>18. Explain each exception to the topics of the certification statement identified in “Certification for Paperwork Reduction Act Submissions.”</w:t>
      </w:r>
    </w:p>
    <w:p w:rsidR="00BF6E22" w:rsidRPr="00FC7D73" w:rsidP="00FC7D73" w14:paraId="7438AC1E" w14:textId="77777777"/>
    <w:p w:rsidR="00BF6E22" w:rsidRPr="00FC7D73" w:rsidP="00FC7D73" w14:paraId="3D300332" w14:textId="77777777">
      <w:r w:rsidRPr="00FC7D73">
        <w:t>There are no certification exceptions identified with this information collection.</w:t>
      </w:r>
    </w:p>
    <w:p w:rsidR="00BF6E22" w:rsidRPr="00FC7D73" w:rsidP="00FC7D73" w14:paraId="75F75839" w14:textId="77777777"/>
    <w:p w:rsidR="00BF6E22" w:rsidRPr="00FC7D73" w:rsidP="00FC7D73" w14:paraId="2D00725A" w14:textId="4C3A230C">
      <w:pPr>
        <w:rPr>
          <w:b/>
          <w:bCs/>
        </w:rPr>
      </w:pPr>
      <w:r w:rsidRPr="00FC7D73">
        <w:rPr>
          <w:b/>
          <w:bCs/>
        </w:rPr>
        <w:t xml:space="preserve">B. Collections of </w:t>
      </w:r>
      <w:r w:rsidRPr="00FC7D73" w:rsidR="009D7943">
        <w:rPr>
          <w:b/>
          <w:bCs/>
        </w:rPr>
        <w:t>i</w:t>
      </w:r>
      <w:r w:rsidRPr="00FC7D73">
        <w:rPr>
          <w:b/>
          <w:bCs/>
        </w:rPr>
        <w:t xml:space="preserve">nformation </w:t>
      </w:r>
      <w:r w:rsidRPr="00FC7D73" w:rsidR="009D7943">
        <w:rPr>
          <w:b/>
          <w:bCs/>
        </w:rPr>
        <w:t>e</w:t>
      </w:r>
      <w:r w:rsidRPr="00FC7D73">
        <w:rPr>
          <w:b/>
          <w:bCs/>
        </w:rPr>
        <w:t xml:space="preserve">mploying </w:t>
      </w:r>
      <w:r w:rsidRPr="00FC7D73" w:rsidR="009D7943">
        <w:rPr>
          <w:b/>
          <w:bCs/>
        </w:rPr>
        <w:t>s</w:t>
      </w:r>
      <w:r w:rsidRPr="00FC7D73">
        <w:rPr>
          <w:b/>
          <w:bCs/>
        </w:rPr>
        <w:t xml:space="preserve">tatistical </w:t>
      </w:r>
      <w:r w:rsidRPr="00FC7D73" w:rsidR="009D7943">
        <w:rPr>
          <w:b/>
          <w:bCs/>
        </w:rPr>
        <w:t>m</w:t>
      </w:r>
      <w:r w:rsidRPr="00FC7D73">
        <w:rPr>
          <w:b/>
          <w:bCs/>
        </w:rPr>
        <w:t>ethods</w:t>
      </w:r>
    </w:p>
    <w:p w:rsidR="00BF6E22" w:rsidRPr="00FC7D73" w:rsidP="00FC7D73" w14:paraId="052FB30D" w14:textId="77777777"/>
    <w:p w:rsidR="00BF6E22" w:rsidRPr="00FC7D73" w:rsidP="00FC7D73" w14:paraId="1953C05D" w14:textId="11F4B0B9">
      <w:r w:rsidRPr="00FC7D73">
        <w:t>As statistical analysis is not required by the regulation, questions 1 through 5 do not apply.</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noProof/>
      </w:rPr>
    </w:sdtEndPr>
    <w:sdtContent>
      <w:p w:rsidR="00486656" w:rsidRPr="007628FE" w14:paraId="2E67DFAF" w14:textId="30071FF2">
        <w:pPr>
          <w:pStyle w:val="Footer"/>
          <w:jc w:val="center"/>
        </w:pPr>
        <w:r w:rsidRPr="007628FE">
          <w:fldChar w:fldCharType="begin"/>
        </w:r>
        <w:r w:rsidRPr="007628FE">
          <w:instrText xml:space="preserve"> PAGE   \* MERGEFORMAT </w:instrText>
        </w:r>
        <w:r w:rsidRPr="007628FE">
          <w:fldChar w:fldCharType="separate"/>
        </w:r>
        <w:r w:rsidRPr="007628FE">
          <w:rPr>
            <w:noProof/>
          </w:rPr>
          <w:t>2</w:t>
        </w:r>
        <w:r w:rsidRPr="007628FE">
          <w:rPr>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0036" w:rsidP="008F7DDE" w14:paraId="4AF355B7" w14:textId="77777777">
      <w:r>
        <w:separator/>
      </w:r>
    </w:p>
  </w:footnote>
  <w:footnote w:type="continuationSeparator" w:id="1">
    <w:p w:rsidR="005E0036" w:rsidP="008F7DDE" w14:paraId="5BC2624C" w14:textId="77777777">
      <w:r>
        <w:continuationSeparator/>
      </w:r>
    </w:p>
  </w:footnote>
  <w:footnote w:type="continuationNotice" w:id="2">
    <w:p w:rsidR="005E0036" w14:paraId="382CA5DD" w14:textId="77777777"/>
  </w:footnote>
  <w:footnote w:id="3">
    <w:p w:rsidR="00B227F0" w:rsidRPr="00F72BA5" w:rsidP="00B227F0" w14:paraId="77A2222C" w14:textId="047A4768">
      <w:pPr>
        <w:pStyle w:val="FootnoteText"/>
      </w:pPr>
      <w:bookmarkStart w:id="21" w:name="_Hlk189055246"/>
      <w:bookmarkStart w:id="22" w:name="_Hlk189055216"/>
      <w:r w:rsidRPr="00F72BA5">
        <w:rPr>
          <w:rStyle w:val="FootnoteReference"/>
        </w:rPr>
        <w:footnoteRef/>
      </w:r>
      <w:r w:rsidRPr="00F72BA5">
        <w:t xml:space="preserve"> </w:t>
      </w:r>
      <w:bookmarkEnd w:id="21"/>
      <w:r w:rsidRPr="00F72BA5">
        <w:t>For all wage rates,</w:t>
      </w:r>
      <w:r w:rsidR="004D3B38">
        <w:t xml:space="preserve"> including Federal wage rates,</w:t>
      </w:r>
      <w:r w:rsidRPr="00F72BA5">
        <w:t xml:space="preserve"> MSHA use</w:t>
      </w:r>
      <w:r w:rsidR="00965B90">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bookmarkEnd w:id="22"/>
    <w:p w:rsidR="00B227F0" w:rsidRPr="00F72BA5" w:rsidP="00B227F0" w14:paraId="2205EF57" w14:textId="77777777">
      <w:pPr>
        <w:pStyle w:val="FootnoteText"/>
      </w:pPr>
    </w:p>
  </w:footnote>
  <w:footnote w:id="4">
    <w:p w:rsidR="00B227F0" w:rsidRPr="00F72BA5" w:rsidP="00B227F0" w14:paraId="58BBB219" w14:textId="55680A06">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sidR="002A01B1">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4" w:name="_Hlk172026849"/>
      <w:r w:rsidRPr="002A01B1" w:rsidR="002A01B1">
        <w:t>The average wage rate is calculated as the employment-weighted average of hourly mean wages for the occupation.</w:t>
      </w:r>
    </w:p>
    <w:bookmarkEnd w:id="24"/>
    <w:p w:rsidR="00B227F0" w:rsidRPr="00F72BA5" w:rsidP="00B227F0" w14:paraId="33AC4C96" w14:textId="77777777">
      <w:pPr>
        <w:pStyle w:val="FootnoteText"/>
      </w:pPr>
    </w:p>
  </w:footnote>
  <w:footnote w:id="5">
    <w:p w:rsidR="00B227F0" w:rsidRPr="00F72BA5" w:rsidP="00B227F0" w14:paraId="7402F8B8" w14:textId="4B4B484D">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rsidR="0045114A">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rsidR="00E16933">
        <w:t xml:space="preserve"> </w:t>
      </w:r>
      <w:r w:rsidRPr="00F72BA5">
        <w:t>/</w:t>
      </w:r>
      <w:r w:rsidR="00E16933">
        <w:t xml:space="preserve"> </w:t>
      </w:r>
      <w:r w:rsidRPr="00F72BA5">
        <w:t>(1-benefit percentage)).</w:t>
      </w:r>
    </w:p>
    <w:p w:rsidR="00B227F0" w:rsidRPr="00F72BA5" w:rsidP="00B227F0" w14:paraId="310CB011" w14:textId="77777777">
      <w:pPr>
        <w:pStyle w:val="FootnoteText"/>
      </w:pPr>
    </w:p>
  </w:footnote>
  <w:footnote w:id="6">
    <w:p w:rsidR="00B227F0" w:rsidRPr="00F72BA5" w:rsidP="00B227F0" w14:paraId="4ECB5484" w14:textId="5A369F6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B227F0" w:rsidRPr="00F72BA5" w:rsidP="00B227F0" w14:paraId="69762BB6" w14:textId="77777777">
      <w:pPr>
        <w:pStyle w:val="FootnoteText"/>
      </w:pPr>
    </w:p>
  </w:footnote>
  <w:footnote w:id="7">
    <w:p w:rsidR="00717914" w:rsidRPr="00F72BA5" w14:paraId="72DF9276" w14:textId="4BB943B2">
      <w:pPr>
        <w:pStyle w:val="FootnoteText"/>
      </w:pPr>
      <w:r w:rsidRPr="00F72BA5">
        <w:rPr>
          <w:rStyle w:val="FootnoteReference"/>
        </w:rPr>
        <w:footnoteRef/>
      </w:r>
      <w:r w:rsidRPr="00F72BA5">
        <w:t xml:space="preserve"> </w:t>
      </w:r>
      <w:r w:rsidRPr="00883AE8" w:rsidR="00883AE8">
        <w:t>MSHA use</w:t>
      </w:r>
      <w:r w:rsidR="00965B90">
        <w:t>s</w:t>
      </w:r>
      <w:r w:rsidRPr="00883AE8" w:rsidR="00883AE8">
        <w:t xml:space="preserve"> an overhead rate of 1 percent. The mining environment generally involves very little overhead, especially costs associated with workers engaged in administrative or clerical tasks.</w:t>
      </w:r>
      <w:r w:rsidRPr="00883AE8" w:rsid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283F" w:rsidP="005F2600" w14:paraId="38115714" w14:textId="0D4B4607">
    <w:pPr>
      <w:pStyle w:val="Header"/>
    </w:pPr>
    <w:r w:rsidRPr="00A84A9D">
      <w:t xml:space="preserve">Coal Mine Dust Sampling Devices </w:t>
    </w:r>
  </w:p>
  <w:p w:rsidR="005F2600" w:rsidRPr="005F2600" w:rsidP="005F2600" w14:paraId="7E1D1D4B" w14:textId="1BCA2FBF">
    <w:pPr>
      <w:pStyle w:val="Header"/>
    </w:pPr>
    <w:r w:rsidRPr="005F2600">
      <w:t>OMB Control N</w:t>
    </w:r>
    <w:r w:rsidR="0034283F">
      <w:t>umber</w:t>
    </w:r>
    <w:r w:rsidRPr="005F2600">
      <w:t>: 1219-</w:t>
    </w:r>
    <w:r w:rsidR="008F334D">
      <w:t>0147</w:t>
    </w:r>
  </w:p>
  <w:p w:rsidR="005F2600" w:rsidRPr="005F2600" w:rsidP="005F2600" w14:paraId="3DF9D117" w14:textId="7C7B3D43">
    <w:pPr>
      <w:pStyle w:val="Header"/>
    </w:pPr>
    <w:r w:rsidRPr="005F2600">
      <w:t xml:space="preserve">OMB Expiration Date: </w:t>
    </w:r>
    <w:r w:rsidR="008F334D">
      <w:t>12</w:t>
    </w:r>
    <w:r w:rsidRPr="005F2600">
      <w:t>/</w:t>
    </w:r>
    <w:r w:rsidR="008F334D">
      <w:t>31</w:t>
    </w:r>
    <w:r w:rsidRPr="005F2600">
      <w:t>/202</w:t>
    </w:r>
    <w:r w:rsidR="008F334D">
      <w:t>5</w:t>
    </w:r>
  </w:p>
  <w:p w:rsidR="005F2600" w14:paraId="3A8C5B1D" w14:textId="616EF3DA">
    <w:pPr>
      <w:pStyle w:val="Header"/>
    </w:pP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11645"/>
    <w:multiLevelType w:val="hybridMultilevel"/>
    <w:tmpl w:val="EE1E9764"/>
    <w:lvl w:ilvl="0">
      <w:start w:val="4"/>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2533D1"/>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884956"/>
    <w:multiLevelType w:val="hybridMultilevel"/>
    <w:tmpl w:val="4C3060B6"/>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CA0BE9"/>
    <w:multiLevelType w:val="hybridMultilevel"/>
    <w:tmpl w:val="E074818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D53BE1"/>
    <w:multiLevelType w:val="hybridMultilevel"/>
    <w:tmpl w:val="A93CE4F2"/>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9004F4A"/>
    <w:multiLevelType w:val="hybridMultilevel"/>
    <w:tmpl w:val="19D2F7D4"/>
    <w:lvl w:ilvl="0">
      <w:start w:val="1"/>
      <w:numFmt w:val="upperRoman"/>
      <w:lvlText w:val="%1."/>
      <w:lvlJc w:val="left"/>
      <w:pPr>
        <w:ind w:left="1080" w:hanging="72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D03BA2"/>
    <w:multiLevelType w:val="hybridMultilevel"/>
    <w:tmpl w:val="55F03E52"/>
    <w:lvl w:ilvl="0">
      <w:start w:val="2"/>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031133"/>
    <w:multiLevelType w:val="hybridMultilevel"/>
    <w:tmpl w:val="CBE6BEE8"/>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53169"/>
    <w:multiLevelType w:val="hybridMultilevel"/>
    <w:tmpl w:val="CDF26D82"/>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389495F"/>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855396"/>
    <w:multiLevelType w:val="hybridMultilevel"/>
    <w:tmpl w:val="D9644EB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6F81491"/>
    <w:multiLevelType w:val="hybridMultilevel"/>
    <w:tmpl w:val="AA9818F6"/>
    <w:lvl w:ilvl="0">
      <w:start w:val="1"/>
      <w:numFmt w:val="upperRoman"/>
      <w:lvlText w:val="%1."/>
      <w:lvlJc w:val="left"/>
      <w:pPr>
        <w:ind w:left="1080" w:hanging="72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2F3FB0"/>
    <w:multiLevelType w:val="hybridMultilevel"/>
    <w:tmpl w:val="19AC59E8"/>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055366"/>
    <w:multiLevelType w:val="hybridMultilevel"/>
    <w:tmpl w:val="1EC48CC4"/>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F64480"/>
    <w:multiLevelType w:val="hybridMultilevel"/>
    <w:tmpl w:val="2EFA95E6"/>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2A28CC"/>
    <w:multiLevelType w:val="hybridMultilevel"/>
    <w:tmpl w:val="9C56186A"/>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031086"/>
    <w:multiLevelType w:val="hybridMultilevel"/>
    <w:tmpl w:val="1C3C9E38"/>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B75426C"/>
    <w:multiLevelType w:val="hybridMultilevel"/>
    <w:tmpl w:val="E0748180"/>
    <w:lvl w:ilvl="0">
      <w:start w:val="4"/>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834BC2"/>
    <w:multiLevelType w:val="hybridMultilevel"/>
    <w:tmpl w:val="61D8F338"/>
    <w:lvl w:ilvl="0">
      <w:start w:val="2"/>
      <w:numFmt w:val="upperRoman"/>
      <w:lvlText w:val="%1."/>
      <w:lvlJc w:val="righ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4441CCE"/>
    <w:multiLevelType w:val="hybridMultilevel"/>
    <w:tmpl w:val="5D4EDEB6"/>
    <w:lvl w:ilvl="0">
      <w:start w:val="3"/>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4EA11E1"/>
    <w:multiLevelType w:val="hybridMultilevel"/>
    <w:tmpl w:val="B246D62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7A547F2"/>
    <w:multiLevelType w:val="hybridMultilevel"/>
    <w:tmpl w:val="ABF0A25A"/>
    <w:lvl w:ilvl="0">
      <w:start w:val="1"/>
      <w:numFmt w:val="upperRoman"/>
      <w:lvlText w:val="%1."/>
      <w:lvlJc w:val="right"/>
      <w:pPr>
        <w:ind w:left="720" w:hanging="360"/>
      </w:pPr>
      <w:rPr>
        <w:rFonts w:ascii="Times New Roman" w:hAnsi="Times New Roman" w:cs="Times New Roman"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9B72994"/>
    <w:multiLevelType w:val="hybridMultilevel"/>
    <w:tmpl w:val="2EFA95E6"/>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E944252"/>
    <w:multiLevelType w:val="hybridMultilevel"/>
    <w:tmpl w:val="FA7AE3A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08E0C2A"/>
    <w:multiLevelType w:val="hybridMultilevel"/>
    <w:tmpl w:val="C2142A2C"/>
    <w:lvl w:ilvl="0">
      <w:start w:val="6"/>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2633365"/>
    <w:multiLevelType w:val="hybridMultilevel"/>
    <w:tmpl w:val="DDCEBAE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C76149"/>
    <w:multiLevelType w:val="hybridMultilevel"/>
    <w:tmpl w:val="A126C12A"/>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50E15A6"/>
    <w:multiLevelType w:val="hybridMultilevel"/>
    <w:tmpl w:val="3EAE203A"/>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A383C3E"/>
    <w:multiLevelType w:val="hybridMultilevel"/>
    <w:tmpl w:val="3EAE203A"/>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D1166D2"/>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F142926"/>
    <w:multiLevelType w:val="hybridMultilevel"/>
    <w:tmpl w:val="DDCEBAE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F16632E"/>
    <w:multiLevelType w:val="hybridMultilevel"/>
    <w:tmpl w:val="5E50B58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0360B4F"/>
    <w:multiLevelType w:val="hybridMultilevel"/>
    <w:tmpl w:val="2B3635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2295710"/>
    <w:multiLevelType w:val="hybridMultilevel"/>
    <w:tmpl w:val="19B0BC56"/>
    <w:lvl w:ilvl="0">
      <w:start w:val="5"/>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70F494B"/>
    <w:multiLevelType w:val="hybridMultilevel"/>
    <w:tmpl w:val="A126C12A"/>
    <w:lvl w:ilvl="0">
      <w:start w:val="1"/>
      <w:numFmt w:val="upperRoman"/>
      <w:lvlText w:val="%1."/>
      <w:lvlJc w:val="right"/>
      <w:pPr>
        <w:ind w:left="720" w:hanging="360"/>
      </w:pPr>
      <w:rPr>
        <w:rFonts w:hint="default"/>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D0F78BB"/>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18998352">
    <w:abstractNumId w:val="34"/>
  </w:num>
  <w:num w:numId="2" w16cid:durableId="150290488">
    <w:abstractNumId w:val="13"/>
  </w:num>
  <w:num w:numId="3" w16cid:durableId="1674651207">
    <w:abstractNumId w:val="8"/>
  </w:num>
  <w:num w:numId="4" w16cid:durableId="1621256169">
    <w:abstractNumId w:val="11"/>
  </w:num>
  <w:num w:numId="5" w16cid:durableId="510918898">
    <w:abstractNumId w:val="7"/>
  </w:num>
  <w:num w:numId="6" w16cid:durableId="579600951">
    <w:abstractNumId w:val="9"/>
  </w:num>
  <w:num w:numId="7" w16cid:durableId="1133324415">
    <w:abstractNumId w:val="44"/>
  </w:num>
  <w:num w:numId="8" w16cid:durableId="1291131469">
    <w:abstractNumId w:val="29"/>
  </w:num>
  <w:num w:numId="9" w16cid:durableId="1525441457">
    <w:abstractNumId w:val="32"/>
  </w:num>
  <w:num w:numId="10" w16cid:durableId="1831020027">
    <w:abstractNumId w:val="31"/>
  </w:num>
  <w:num w:numId="11" w16cid:durableId="251738593">
    <w:abstractNumId w:val="22"/>
  </w:num>
  <w:num w:numId="12" w16cid:durableId="2036078086">
    <w:abstractNumId w:val="45"/>
  </w:num>
  <w:num w:numId="13" w16cid:durableId="2042658778">
    <w:abstractNumId w:val="33"/>
  </w:num>
  <w:num w:numId="14" w16cid:durableId="768356325">
    <w:abstractNumId w:val="17"/>
  </w:num>
  <w:num w:numId="15" w16cid:durableId="653025275">
    <w:abstractNumId w:val="41"/>
  </w:num>
  <w:num w:numId="16" w16cid:durableId="942762750">
    <w:abstractNumId w:val="40"/>
  </w:num>
  <w:num w:numId="17" w16cid:durableId="317610554">
    <w:abstractNumId w:val="23"/>
  </w:num>
  <w:num w:numId="18" w16cid:durableId="2010987561">
    <w:abstractNumId w:val="6"/>
  </w:num>
  <w:num w:numId="19" w16cid:durableId="702290011">
    <w:abstractNumId w:val="15"/>
  </w:num>
  <w:num w:numId="20" w16cid:durableId="1286079537">
    <w:abstractNumId w:val="39"/>
  </w:num>
  <w:num w:numId="21" w16cid:durableId="188564852">
    <w:abstractNumId w:val="19"/>
  </w:num>
  <w:num w:numId="22" w16cid:durableId="1176766938">
    <w:abstractNumId w:val="4"/>
  </w:num>
  <w:num w:numId="23" w16cid:durableId="152793038">
    <w:abstractNumId w:val="0"/>
  </w:num>
  <w:num w:numId="24" w16cid:durableId="372190292">
    <w:abstractNumId w:val="20"/>
  </w:num>
  <w:num w:numId="25" w16cid:durableId="150367530">
    <w:abstractNumId w:val="5"/>
  </w:num>
  <w:num w:numId="26" w16cid:durableId="1136987763">
    <w:abstractNumId w:val="10"/>
  </w:num>
  <w:num w:numId="27" w16cid:durableId="1815679855">
    <w:abstractNumId w:val="35"/>
  </w:num>
  <w:num w:numId="28" w16cid:durableId="2039307324">
    <w:abstractNumId w:val="43"/>
  </w:num>
  <w:num w:numId="29" w16cid:durableId="486015914">
    <w:abstractNumId w:val="26"/>
  </w:num>
  <w:num w:numId="30" w16cid:durableId="976951219">
    <w:abstractNumId w:val="42"/>
  </w:num>
  <w:num w:numId="31" w16cid:durableId="1969507679">
    <w:abstractNumId w:val="12"/>
  </w:num>
  <w:num w:numId="32" w16cid:durableId="235289137">
    <w:abstractNumId w:val="21"/>
  </w:num>
  <w:num w:numId="33" w16cid:durableId="306008671">
    <w:abstractNumId w:val="3"/>
  </w:num>
  <w:num w:numId="34" w16cid:durableId="2129008816">
    <w:abstractNumId w:val="24"/>
  </w:num>
  <w:num w:numId="35" w16cid:durableId="1683044723">
    <w:abstractNumId w:val="38"/>
  </w:num>
  <w:num w:numId="36" w16cid:durableId="460999112">
    <w:abstractNumId w:val="18"/>
  </w:num>
  <w:num w:numId="37" w16cid:durableId="872771646">
    <w:abstractNumId w:val="36"/>
  </w:num>
  <w:num w:numId="38" w16cid:durableId="1700739575">
    <w:abstractNumId w:val="37"/>
  </w:num>
  <w:num w:numId="39" w16cid:durableId="112406513">
    <w:abstractNumId w:val="1"/>
  </w:num>
  <w:num w:numId="40" w16cid:durableId="249586339">
    <w:abstractNumId w:val="25"/>
  </w:num>
  <w:num w:numId="41" w16cid:durableId="106849740">
    <w:abstractNumId w:val="2"/>
  </w:num>
  <w:num w:numId="42" w16cid:durableId="2050757495">
    <w:abstractNumId w:val="28"/>
  </w:num>
  <w:num w:numId="43" w16cid:durableId="2126732725">
    <w:abstractNumId w:val="16"/>
  </w:num>
  <w:num w:numId="44" w16cid:durableId="1475682427">
    <w:abstractNumId w:val="27"/>
  </w:num>
  <w:num w:numId="45" w16cid:durableId="1191183378">
    <w:abstractNumId w:val="30"/>
  </w:num>
  <w:num w:numId="46" w16cid:durableId="6402357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2C9A"/>
    <w:rsid w:val="00003566"/>
    <w:rsid w:val="00005E0F"/>
    <w:rsid w:val="00007A90"/>
    <w:rsid w:val="00007B00"/>
    <w:rsid w:val="00011D28"/>
    <w:rsid w:val="000123C5"/>
    <w:rsid w:val="00013AE9"/>
    <w:rsid w:val="00013DCB"/>
    <w:rsid w:val="00014065"/>
    <w:rsid w:val="00015DD6"/>
    <w:rsid w:val="00023269"/>
    <w:rsid w:val="00032777"/>
    <w:rsid w:val="0003653B"/>
    <w:rsid w:val="00046AA4"/>
    <w:rsid w:val="00046EF9"/>
    <w:rsid w:val="00047D03"/>
    <w:rsid w:val="00050087"/>
    <w:rsid w:val="00050D76"/>
    <w:rsid w:val="00052BD8"/>
    <w:rsid w:val="0005598E"/>
    <w:rsid w:val="00057069"/>
    <w:rsid w:val="00061CDE"/>
    <w:rsid w:val="00063595"/>
    <w:rsid w:val="0006793E"/>
    <w:rsid w:val="00081FFD"/>
    <w:rsid w:val="0008674A"/>
    <w:rsid w:val="00095216"/>
    <w:rsid w:val="00097B37"/>
    <w:rsid w:val="000A1F21"/>
    <w:rsid w:val="000A2900"/>
    <w:rsid w:val="000A5C58"/>
    <w:rsid w:val="000A6256"/>
    <w:rsid w:val="000B0812"/>
    <w:rsid w:val="000B1607"/>
    <w:rsid w:val="000B1BBB"/>
    <w:rsid w:val="000B7696"/>
    <w:rsid w:val="000C4082"/>
    <w:rsid w:val="000D5FB5"/>
    <w:rsid w:val="000E018C"/>
    <w:rsid w:val="000E02BA"/>
    <w:rsid w:val="000E0692"/>
    <w:rsid w:val="000E39D5"/>
    <w:rsid w:val="000F108D"/>
    <w:rsid w:val="000F6D56"/>
    <w:rsid w:val="0010136C"/>
    <w:rsid w:val="00101A97"/>
    <w:rsid w:val="00102205"/>
    <w:rsid w:val="001162A2"/>
    <w:rsid w:val="00116BCF"/>
    <w:rsid w:val="001173F9"/>
    <w:rsid w:val="00120AC2"/>
    <w:rsid w:val="001231DD"/>
    <w:rsid w:val="001241E2"/>
    <w:rsid w:val="00130FC7"/>
    <w:rsid w:val="00133719"/>
    <w:rsid w:val="00141481"/>
    <w:rsid w:val="001475F6"/>
    <w:rsid w:val="0014774F"/>
    <w:rsid w:val="001477F7"/>
    <w:rsid w:val="00153B5B"/>
    <w:rsid w:val="0015585D"/>
    <w:rsid w:val="001576A1"/>
    <w:rsid w:val="001579CD"/>
    <w:rsid w:val="0016379B"/>
    <w:rsid w:val="00173454"/>
    <w:rsid w:val="0017790E"/>
    <w:rsid w:val="00182BF3"/>
    <w:rsid w:val="00186C42"/>
    <w:rsid w:val="00191BFC"/>
    <w:rsid w:val="001935AE"/>
    <w:rsid w:val="001A22F2"/>
    <w:rsid w:val="001A28D4"/>
    <w:rsid w:val="001A5FA0"/>
    <w:rsid w:val="001A7B30"/>
    <w:rsid w:val="001B0307"/>
    <w:rsid w:val="001B2868"/>
    <w:rsid w:val="001B41E5"/>
    <w:rsid w:val="001B6AA7"/>
    <w:rsid w:val="001C5125"/>
    <w:rsid w:val="001C6046"/>
    <w:rsid w:val="001C6FB1"/>
    <w:rsid w:val="001D1881"/>
    <w:rsid w:val="001D3B9B"/>
    <w:rsid w:val="001D40A5"/>
    <w:rsid w:val="001D64DE"/>
    <w:rsid w:val="001D65E9"/>
    <w:rsid w:val="001D7413"/>
    <w:rsid w:val="001E1390"/>
    <w:rsid w:val="001E3684"/>
    <w:rsid w:val="001E4067"/>
    <w:rsid w:val="001F3D5C"/>
    <w:rsid w:val="00200E84"/>
    <w:rsid w:val="0020733B"/>
    <w:rsid w:val="00207CA8"/>
    <w:rsid w:val="00215CA0"/>
    <w:rsid w:val="00216948"/>
    <w:rsid w:val="002179E8"/>
    <w:rsid w:val="00220B2D"/>
    <w:rsid w:val="002262CB"/>
    <w:rsid w:val="00226C01"/>
    <w:rsid w:val="00231705"/>
    <w:rsid w:val="00232278"/>
    <w:rsid w:val="00232594"/>
    <w:rsid w:val="00232989"/>
    <w:rsid w:val="00236BA7"/>
    <w:rsid w:val="002415C4"/>
    <w:rsid w:val="00244765"/>
    <w:rsid w:val="0024515F"/>
    <w:rsid w:val="0024787E"/>
    <w:rsid w:val="0025334C"/>
    <w:rsid w:val="00253F4F"/>
    <w:rsid w:val="00257E03"/>
    <w:rsid w:val="002601E2"/>
    <w:rsid w:val="00262EFE"/>
    <w:rsid w:val="00264783"/>
    <w:rsid w:val="0027285F"/>
    <w:rsid w:val="00282329"/>
    <w:rsid w:val="002838E6"/>
    <w:rsid w:val="00284B03"/>
    <w:rsid w:val="0029325D"/>
    <w:rsid w:val="00294924"/>
    <w:rsid w:val="00296458"/>
    <w:rsid w:val="002A01B1"/>
    <w:rsid w:val="002A0C9E"/>
    <w:rsid w:val="002A154D"/>
    <w:rsid w:val="002A413D"/>
    <w:rsid w:val="002A4C25"/>
    <w:rsid w:val="002A6775"/>
    <w:rsid w:val="002B4F89"/>
    <w:rsid w:val="002B663F"/>
    <w:rsid w:val="002B7F3A"/>
    <w:rsid w:val="002C0A1C"/>
    <w:rsid w:val="002C1932"/>
    <w:rsid w:val="002C2518"/>
    <w:rsid w:val="002C2ABC"/>
    <w:rsid w:val="002C7EF3"/>
    <w:rsid w:val="002D0F05"/>
    <w:rsid w:val="002D114D"/>
    <w:rsid w:val="002D454B"/>
    <w:rsid w:val="002D52D2"/>
    <w:rsid w:val="002D6469"/>
    <w:rsid w:val="002D70EF"/>
    <w:rsid w:val="002D76E8"/>
    <w:rsid w:val="002D7BE7"/>
    <w:rsid w:val="002E2754"/>
    <w:rsid w:val="002E3D94"/>
    <w:rsid w:val="002E435F"/>
    <w:rsid w:val="002E6374"/>
    <w:rsid w:val="002F4376"/>
    <w:rsid w:val="002F57C6"/>
    <w:rsid w:val="003049D9"/>
    <w:rsid w:val="0031756F"/>
    <w:rsid w:val="00321FF8"/>
    <w:rsid w:val="0032439A"/>
    <w:rsid w:val="00325267"/>
    <w:rsid w:val="00332098"/>
    <w:rsid w:val="0033291C"/>
    <w:rsid w:val="00333DD6"/>
    <w:rsid w:val="00337135"/>
    <w:rsid w:val="0034283F"/>
    <w:rsid w:val="00342D93"/>
    <w:rsid w:val="00343FC5"/>
    <w:rsid w:val="003447B5"/>
    <w:rsid w:val="00345F31"/>
    <w:rsid w:val="00347DD1"/>
    <w:rsid w:val="0035013A"/>
    <w:rsid w:val="00355BCC"/>
    <w:rsid w:val="00360A2D"/>
    <w:rsid w:val="00370D01"/>
    <w:rsid w:val="00372508"/>
    <w:rsid w:val="0037372C"/>
    <w:rsid w:val="003752D3"/>
    <w:rsid w:val="00381057"/>
    <w:rsid w:val="00383621"/>
    <w:rsid w:val="00387171"/>
    <w:rsid w:val="00391EDA"/>
    <w:rsid w:val="003930C8"/>
    <w:rsid w:val="00395F34"/>
    <w:rsid w:val="003A3CD0"/>
    <w:rsid w:val="003A462C"/>
    <w:rsid w:val="003A575D"/>
    <w:rsid w:val="003A5DF6"/>
    <w:rsid w:val="003C11A4"/>
    <w:rsid w:val="003C3DB0"/>
    <w:rsid w:val="003C7AF9"/>
    <w:rsid w:val="003D671C"/>
    <w:rsid w:val="003D7437"/>
    <w:rsid w:val="003E05CF"/>
    <w:rsid w:val="003E1689"/>
    <w:rsid w:val="003E38C8"/>
    <w:rsid w:val="003E4D39"/>
    <w:rsid w:val="003E5A01"/>
    <w:rsid w:val="003E5DB2"/>
    <w:rsid w:val="00404CA4"/>
    <w:rsid w:val="004070C7"/>
    <w:rsid w:val="004141A7"/>
    <w:rsid w:val="00415311"/>
    <w:rsid w:val="0042640E"/>
    <w:rsid w:val="00430C56"/>
    <w:rsid w:val="004334FA"/>
    <w:rsid w:val="00434266"/>
    <w:rsid w:val="0043478A"/>
    <w:rsid w:val="00440C05"/>
    <w:rsid w:val="00440FD0"/>
    <w:rsid w:val="0045114A"/>
    <w:rsid w:val="00451FFD"/>
    <w:rsid w:val="004546D1"/>
    <w:rsid w:val="004562A7"/>
    <w:rsid w:val="0046074A"/>
    <w:rsid w:val="00467AF3"/>
    <w:rsid w:val="00470EBE"/>
    <w:rsid w:val="0047509F"/>
    <w:rsid w:val="004812DA"/>
    <w:rsid w:val="004826E9"/>
    <w:rsid w:val="00486656"/>
    <w:rsid w:val="00487082"/>
    <w:rsid w:val="004910CC"/>
    <w:rsid w:val="00491C8F"/>
    <w:rsid w:val="00495D0A"/>
    <w:rsid w:val="004A22F3"/>
    <w:rsid w:val="004A2B20"/>
    <w:rsid w:val="004A572D"/>
    <w:rsid w:val="004A7F76"/>
    <w:rsid w:val="004B66F7"/>
    <w:rsid w:val="004C01B4"/>
    <w:rsid w:val="004C7FFE"/>
    <w:rsid w:val="004D00D5"/>
    <w:rsid w:val="004D2845"/>
    <w:rsid w:val="004D3B38"/>
    <w:rsid w:val="004E112F"/>
    <w:rsid w:val="004E1461"/>
    <w:rsid w:val="004E22B2"/>
    <w:rsid w:val="004E25DF"/>
    <w:rsid w:val="004E3476"/>
    <w:rsid w:val="004E6A42"/>
    <w:rsid w:val="004E7140"/>
    <w:rsid w:val="004E79EE"/>
    <w:rsid w:val="004F0210"/>
    <w:rsid w:val="004F1BB3"/>
    <w:rsid w:val="004F38C1"/>
    <w:rsid w:val="004F5226"/>
    <w:rsid w:val="0050585F"/>
    <w:rsid w:val="00506115"/>
    <w:rsid w:val="00506C12"/>
    <w:rsid w:val="00511E47"/>
    <w:rsid w:val="00512C03"/>
    <w:rsid w:val="00513831"/>
    <w:rsid w:val="00514C04"/>
    <w:rsid w:val="00516D01"/>
    <w:rsid w:val="00520731"/>
    <w:rsid w:val="00522EC1"/>
    <w:rsid w:val="00523CC5"/>
    <w:rsid w:val="00525B2A"/>
    <w:rsid w:val="00526725"/>
    <w:rsid w:val="00526A8C"/>
    <w:rsid w:val="00541732"/>
    <w:rsid w:val="00542980"/>
    <w:rsid w:val="005448B0"/>
    <w:rsid w:val="00544F76"/>
    <w:rsid w:val="0054597C"/>
    <w:rsid w:val="00545BFD"/>
    <w:rsid w:val="00547B51"/>
    <w:rsid w:val="00557FD5"/>
    <w:rsid w:val="00564F70"/>
    <w:rsid w:val="00565110"/>
    <w:rsid w:val="00567826"/>
    <w:rsid w:val="005740AA"/>
    <w:rsid w:val="00576E78"/>
    <w:rsid w:val="005821B3"/>
    <w:rsid w:val="0058734D"/>
    <w:rsid w:val="00587619"/>
    <w:rsid w:val="0059136E"/>
    <w:rsid w:val="00592DA9"/>
    <w:rsid w:val="005A0497"/>
    <w:rsid w:val="005A0BDD"/>
    <w:rsid w:val="005A435B"/>
    <w:rsid w:val="005A4401"/>
    <w:rsid w:val="005B0FF1"/>
    <w:rsid w:val="005B37DA"/>
    <w:rsid w:val="005B585C"/>
    <w:rsid w:val="005B5BAE"/>
    <w:rsid w:val="005C0294"/>
    <w:rsid w:val="005C0615"/>
    <w:rsid w:val="005C3903"/>
    <w:rsid w:val="005C413D"/>
    <w:rsid w:val="005C4DD0"/>
    <w:rsid w:val="005D1278"/>
    <w:rsid w:val="005D15DB"/>
    <w:rsid w:val="005D2D44"/>
    <w:rsid w:val="005D3747"/>
    <w:rsid w:val="005E0036"/>
    <w:rsid w:val="005E01C2"/>
    <w:rsid w:val="005E0AC8"/>
    <w:rsid w:val="005E25B4"/>
    <w:rsid w:val="005E2880"/>
    <w:rsid w:val="005E4A1F"/>
    <w:rsid w:val="005E5325"/>
    <w:rsid w:val="005E589E"/>
    <w:rsid w:val="005F2070"/>
    <w:rsid w:val="005F2600"/>
    <w:rsid w:val="005F5172"/>
    <w:rsid w:val="00617CE3"/>
    <w:rsid w:val="00621179"/>
    <w:rsid w:val="00623AF3"/>
    <w:rsid w:val="00624D14"/>
    <w:rsid w:val="00627DCC"/>
    <w:rsid w:val="00641F0B"/>
    <w:rsid w:val="00643E6B"/>
    <w:rsid w:val="0064549D"/>
    <w:rsid w:val="0065064F"/>
    <w:rsid w:val="0065264F"/>
    <w:rsid w:val="006528DB"/>
    <w:rsid w:val="006543ED"/>
    <w:rsid w:val="00654A73"/>
    <w:rsid w:val="00655555"/>
    <w:rsid w:val="006563B3"/>
    <w:rsid w:val="00665A75"/>
    <w:rsid w:val="00670251"/>
    <w:rsid w:val="0067026D"/>
    <w:rsid w:val="00675C9A"/>
    <w:rsid w:val="0067615C"/>
    <w:rsid w:val="0067779A"/>
    <w:rsid w:val="00686001"/>
    <w:rsid w:val="00692193"/>
    <w:rsid w:val="0069248F"/>
    <w:rsid w:val="0069721B"/>
    <w:rsid w:val="0069788D"/>
    <w:rsid w:val="006A05E7"/>
    <w:rsid w:val="006A08A6"/>
    <w:rsid w:val="006A7860"/>
    <w:rsid w:val="006B02C7"/>
    <w:rsid w:val="006B0A4C"/>
    <w:rsid w:val="006B44B0"/>
    <w:rsid w:val="006B7A71"/>
    <w:rsid w:val="006C0820"/>
    <w:rsid w:val="006C29C4"/>
    <w:rsid w:val="006C5E65"/>
    <w:rsid w:val="006C747D"/>
    <w:rsid w:val="006D0CDA"/>
    <w:rsid w:val="006D5564"/>
    <w:rsid w:val="006E46BE"/>
    <w:rsid w:val="006E6E0F"/>
    <w:rsid w:val="006E78BB"/>
    <w:rsid w:val="00712180"/>
    <w:rsid w:val="00715424"/>
    <w:rsid w:val="0071655A"/>
    <w:rsid w:val="00717214"/>
    <w:rsid w:val="00717914"/>
    <w:rsid w:val="007224B3"/>
    <w:rsid w:val="00725CCD"/>
    <w:rsid w:val="00731BB3"/>
    <w:rsid w:val="00733F6D"/>
    <w:rsid w:val="00741EEF"/>
    <w:rsid w:val="007535CC"/>
    <w:rsid w:val="007577C0"/>
    <w:rsid w:val="00760C09"/>
    <w:rsid w:val="007628FE"/>
    <w:rsid w:val="007670AE"/>
    <w:rsid w:val="007734DB"/>
    <w:rsid w:val="00774109"/>
    <w:rsid w:val="0078084A"/>
    <w:rsid w:val="00783A4E"/>
    <w:rsid w:val="007863E3"/>
    <w:rsid w:val="007A0D54"/>
    <w:rsid w:val="007A5914"/>
    <w:rsid w:val="007A6FD8"/>
    <w:rsid w:val="007C50C3"/>
    <w:rsid w:val="007C5D2C"/>
    <w:rsid w:val="007C69B4"/>
    <w:rsid w:val="007C6C32"/>
    <w:rsid w:val="007C7211"/>
    <w:rsid w:val="007D250C"/>
    <w:rsid w:val="007D52F4"/>
    <w:rsid w:val="007D6934"/>
    <w:rsid w:val="007E25D1"/>
    <w:rsid w:val="007E3200"/>
    <w:rsid w:val="007E46B8"/>
    <w:rsid w:val="007E5736"/>
    <w:rsid w:val="007E5D54"/>
    <w:rsid w:val="007E6D40"/>
    <w:rsid w:val="007E6F31"/>
    <w:rsid w:val="007F14C4"/>
    <w:rsid w:val="007F7891"/>
    <w:rsid w:val="007F7B38"/>
    <w:rsid w:val="0080539E"/>
    <w:rsid w:val="008125AC"/>
    <w:rsid w:val="00815310"/>
    <w:rsid w:val="00817660"/>
    <w:rsid w:val="008230CD"/>
    <w:rsid w:val="0082378A"/>
    <w:rsid w:val="00831DFE"/>
    <w:rsid w:val="008354DA"/>
    <w:rsid w:val="00844D63"/>
    <w:rsid w:val="00850E32"/>
    <w:rsid w:val="008512D5"/>
    <w:rsid w:val="00854849"/>
    <w:rsid w:val="008550F5"/>
    <w:rsid w:val="00861B3F"/>
    <w:rsid w:val="00867990"/>
    <w:rsid w:val="0087148B"/>
    <w:rsid w:val="00873DD5"/>
    <w:rsid w:val="008749BD"/>
    <w:rsid w:val="00877098"/>
    <w:rsid w:val="00877211"/>
    <w:rsid w:val="00877AAC"/>
    <w:rsid w:val="00883AE8"/>
    <w:rsid w:val="00885BB5"/>
    <w:rsid w:val="00887A82"/>
    <w:rsid w:val="0089024E"/>
    <w:rsid w:val="00890E24"/>
    <w:rsid w:val="00896AAE"/>
    <w:rsid w:val="008A1158"/>
    <w:rsid w:val="008A1B39"/>
    <w:rsid w:val="008A37DA"/>
    <w:rsid w:val="008B36CB"/>
    <w:rsid w:val="008B39D7"/>
    <w:rsid w:val="008B3F57"/>
    <w:rsid w:val="008B479B"/>
    <w:rsid w:val="008C0F50"/>
    <w:rsid w:val="008C1F83"/>
    <w:rsid w:val="008C3F7A"/>
    <w:rsid w:val="008D0FFD"/>
    <w:rsid w:val="008D25B1"/>
    <w:rsid w:val="008D606D"/>
    <w:rsid w:val="008D6AAA"/>
    <w:rsid w:val="008D6C8A"/>
    <w:rsid w:val="008D7F8E"/>
    <w:rsid w:val="008E0692"/>
    <w:rsid w:val="008E3202"/>
    <w:rsid w:val="008E6AFA"/>
    <w:rsid w:val="008F149A"/>
    <w:rsid w:val="008F200E"/>
    <w:rsid w:val="008F334D"/>
    <w:rsid w:val="008F68E7"/>
    <w:rsid w:val="008F7DDE"/>
    <w:rsid w:val="00901B46"/>
    <w:rsid w:val="009030BF"/>
    <w:rsid w:val="009036BE"/>
    <w:rsid w:val="00905805"/>
    <w:rsid w:val="00910862"/>
    <w:rsid w:val="00931470"/>
    <w:rsid w:val="009316DE"/>
    <w:rsid w:val="00931E96"/>
    <w:rsid w:val="00941378"/>
    <w:rsid w:val="00942C27"/>
    <w:rsid w:val="00943108"/>
    <w:rsid w:val="00952C31"/>
    <w:rsid w:val="00953221"/>
    <w:rsid w:val="00954792"/>
    <w:rsid w:val="00961709"/>
    <w:rsid w:val="00965B90"/>
    <w:rsid w:val="00966D2F"/>
    <w:rsid w:val="009706F4"/>
    <w:rsid w:val="00971AAB"/>
    <w:rsid w:val="009729A0"/>
    <w:rsid w:val="00973EC4"/>
    <w:rsid w:val="0098144C"/>
    <w:rsid w:val="00981AFF"/>
    <w:rsid w:val="00986ABD"/>
    <w:rsid w:val="009872AE"/>
    <w:rsid w:val="00995942"/>
    <w:rsid w:val="009A1D89"/>
    <w:rsid w:val="009A3438"/>
    <w:rsid w:val="009A3492"/>
    <w:rsid w:val="009A3CC4"/>
    <w:rsid w:val="009A5D1D"/>
    <w:rsid w:val="009B782E"/>
    <w:rsid w:val="009C17E2"/>
    <w:rsid w:val="009C45C4"/>
    <w:rsid w:val="009C6DE3"/>
    <w:rsid w:val="009D6601"/>
    <w:rsid w:val="009D734C"/>
    <w:rsid w:val="009D75F5"/>
    <w:rsid w:val="009D7943"/>
    <w:rsid w:val="009D7EDC"/>
    <w:rsid w:val="009E31B2"/>
    <w:rsid w:val="009E65A6"/>
    <w:rsid w:val="009E6C3C"/>
    <w:rsid w:val="009F163B"/>
    <w:rsid w:val="009F2ECF"/>
    <w:rsid w:val="009F3185"/>
    <w:rsid w:val="009F6323"/>
    <w:rsid w:val="009F676F"/>
    <w:rsid w:val="009F708E"/>
    <w:rsid w:val="00A01044"/>
    <w:rsid w:val="00A03DEB"/>
    <w:rsid w:val="00A06511"/>
    <w:rsid w:val="00A06EF9"/>
    <w:rsid w:val="00A133FD"/>
    <w:rsid w:val="00A15850"/>
    <w:rsid w:val="00A20EC9"/>
    <w:rsid w:val="00A20F05"/>
    <w:rsid w:val="00A237ED"/>
    <w:rsid w:val="00A25F30"/>
    <w:rsid w:val="00A26FBA"/>
    <w:rsid w:val="00A30D42"/>
    <w:rsid w:val="00A31862"/>
    <w:rsid w:val="00A420D7"/>
    <w:rsid w:val="00A449E0"/>
    <w:rsid w:val="00A451CD"/>
    <w:rsid w:val="00A53152"/>
    <w:rsid w:val="00A53C9A"/>
    <w:rsid w:val="00A54CAD"/>
    <w:rsid w:val="00A55710"/>
    <w:rsid w:val="00A57461"/>
    <w:rsid w:val="00A633D6"/>
    <w:rsid w:val="00A6623F"/>
    <w:rsid w:val="00A663DB"/>
    <w:rsid w:val="00A73617"/>
    <w:rsid w:val="00A77306"/>
    <w:rsid w:val="00A831D1"/>
    <w:rsid w:val="00A84A9D"/>
    <w:rsid w:val="00A85130"/>
    <w:rsid w:val="00A908FE"/>
    <w:rsid w:val="00A90E4F"/>
    <w:rsid w:val="00A91990"/>
    <w:rsid w:val="00A928CA"/>
    <w:rsid w:val="00AA3DC8"/>
    <w:rsid w:val="00AA3F77"/>
    <w:rsid w:val="00AA68DD"/>
    <w:rsid w:val="00AB0223"/>
    <w:rsid w:val="00AB4A59"/>
    <w:rsid w:val="00AC1377"/>
    <w:rsid w:val="00AC3344"/>
    <w:rsid w:val="00AC7CA5"/>
    <w:rsid w:val="00AD120A"/>
    <w:rsid w:val="00AD456A"/>
    <w:rsid w:val="00AD5448"/>
    <w:rsid w:val="00AD607F"/>
    <w:rsid w:val="00AD641A"/>
    <w:rsid w:val="00AD67F2"/>
    <w:rsid w:val="00AE44B5"/>
    <w:rsid w:val="00AE4A36"/>
    <w:rsid w:val="00AE730D"/>
    <w:rsid w:val="00AF4FB1"/>
    <w:rsid w:val="00AF6EAD"/>
    <w:rsid w:val="00B03537"/>
    <w:rsid w:val="00B04831"/>
    <w:rsid w:val="00B06A8D"/>
    <w:rsid w:val="00B108CA"/>
    <w:rsid w:val="00B1636C"/>
    <w:rsid w:val="00B176D6"/>
    <w:rsid w:val="00B17D50"/>
    <w:rsid w:val="00B227F0"/>
    <w:rsid w:val="00B23117"/>
    <w:rsid w:val="00B24B40"/>
    <w:rsid w:val="00B27824"/>
    <w:rsid w:val="00B27C80"/>
    <w:rsid w:val="00B34543"/>
    <w:rsid w:val="00B52998"/>
    <w:rsid w:val="00B53F54"/>
    <w:rsid w:val="00B67736"/>
    <w:rsid w:val="00B6778E"/>
    <w:rsid w:val="00B73AAA"/>
    <w:rsid w:val="00B73C0A"/>
    <w:rsid w:val="00B8034F"/>
    <w:rsid w:val="00B814CC"/>
    <w:rsid w:val="00B83CEB"/>
    <w:rsid w:val="00B844D7"/>
    <w:rsid w:val="00B8503A"/>
    <w:rsid w:val="00B921CC"/>
    <w:rsid w:val="00B94D82"/>
    <w:rsid w:val="00B96614"/>
    <w:rsid w:val="00B9733C"/>
    <w:rsid w:val="00B974C8"/>
    <w:rsid w:val="00B97791"/>
    <w:rsid w:val="00BA12DF"/>
    <w:rsid w:val="00BB39FC"/>
    <w:rsid w:val="00BB4CED"/>
    <w:rsid w:val="00BC060A"/>
    <w:rsid w:val="00BC0998"/>
    <w:rsid w:val="00BC101C"/>
    <w:rsid w:val="00BC222E"/>
    <w:rsid w:val="00BC2CDC"/>
    <w:rsid w:val="00BC3966"/>
    <w:rsid w:val="00BD2A4C"/>
    <w:rsid w:val="00BD7279"/>
    <w:rsid w:val="00BD7BA9"/>
    <w:rsid w:val="00BE0D80"/>
    <w:rsid w:val="00BE3949"/>
    <w:rsid w:val="00BE44AB"/>
    <w:rsid w:val="00BF32A1"/>
    <w:rsid w:val="00BF3A3A"/>
    <w:rsid w:val="00BF5B03"/>
    <w:rsid w:val="00BF6551"/>
    <w:rsid w:val="00BF6E22"/>
    <w:rsid w:val="00C06F96"/>
    <w:rsid w:val="00C07758"/>
    <w:rsid w:val="00C07C20"/>
    <w:rsid w:val="00C152CB"/>
    <w:rsid w:val="00C17904"/>
    <w:rsid w:val="00C17E9C"/>
    <w:rsid w:val="00C25976"/>
    <w:rsid w:val="00C33930"/>
    <w:rsid w:val="00C37B7A"/>
    <w:rsid w:val="00C45AE6"/>
    <w:rsid w:val="00C45EEF"/>
    <w:rsid w:val="00C460AE"/>
    <w:rsid w:val="00C63EB9"/>
    <w:rsid w:val="00C6558D"/>
    <w:rsid w:val="00C7063E"/>
    <w:rsid w:val="00C73040"/>
    <w:rsid w:val="00C76236"/>
    <w:rsid w:val="00C807A4"/>
    <w:rsid w:val="00C8778B"/>
    <w:rsid w:val="00C903C8"/>
    <w:rsid w:val="00C914E5"/>
    <w:rsid w:val="00C9151F"/>
    <w:rsid w:val="00C91CC1"/>
    <w:rsid w:val="00C950C7"/>
    <w:rsid w:val="00C9513A"/>
    <w:rsid w:val="00C96314"/>
    <w:rsid w:val="00CB31D9"/>
    <w:rsid w:val="00CB3898"/>
    <w:rsid w:val="00CB5144"/>
    <w:rsid w:val="00CB690D"/>
    <w:rsid w:val="00CB6DB6"/>
    <w:rsid w:val="00CC06F9"/>
    <w:rsid w:val="00CC17CE"/>
    <w:rsid w:val="00CC65BB"/>
    <w:rsid w:val="00CD484D"/>
    <w:rsid w:val="00CE0C07"/>
    <w:rsid w:val="00CE2240"/>
    <w:rsid w:val="00CE4405"/>
    <w:rsid w:val="00CE64D4"/>
    <w:rsid w:val="00CE7AD8"/>
    <w:rsid w:val="00CF12F0"/>
    <w:rsid w:val="00CF2D36"/>
    <w:rsid w:val="00D02861"/>
    <w:rsid w:val="00D02DB4"/>
    <w:rsid w:val="00D04952"/>
    <w:rsid w:val="00D06232"/>
    <w:rsid w:val="00D1072B"/>
    <w:rsid w:val="00D10D83"/>
    <w:rsid w:val="00D10DDA"/>
    <w:rsid w:val="00D11575"/>
    <w:rsid w:val="00D12923"/>
    <w:rsid w:val="00D20DD6"/>
    <w:rsid w:val="00D21DF7"/>
    <w:rsid w:val="00D22375"/>
    <w:rsid w:val="00D35F15"/>
    <w:rsid w:val="00D37760"/>
    <w:rsid w:val="00D40D2C"/>
    <w:rsid w:val="00D4149C"/>
    <w:rsid w:val="00D42237"/>
    <w:rsid w:val="00D4281C"/>
    <w:rsid w:val="00D44957"/>
    <w:rsid w:val="00D60D9E"/>
    <w:rsid w:val="00D624F4"/>
    <w:rsid w:val="00D62DC7"/>
    <w:rsid w:val="00D642F1"/>
    <w:rsid w:val="00D73216"/>
    <w:rsid w:val="00D757FD"/>
    <w:rsid w:val="00D75BE4"/>
    <w:rsid w:val="00D82508"/>
    <w:rsid w:val="00D87B90"/>
    <w:rsid w:val="00D91657"/>
    <w:rsid w:val="00D9601D"/>
    <w:rsid w:val="00DB025E"/>
    <w:rsid w:val="00DB2DFB"/>
    <w:rsid w:val="00DC0CB7"/>
    <w:rsid w:val="00DC4AB7"/>
    <w:rsid w:val="00DC5010"/>
    <w:rsid w:val="00DD1631"/>
    <w:rsid w:val="00DD21B0"/>
    <w:rsid w:val="00DD2839"/>
    <w:rsid w:val="00DD39BA"/>
    <w:rsid w:val="00DD3DB4"/>
    <w:rsid w:val="00DD480A"/>
    <w:rsid w:val="00DD674B"/>
    <w:rsid w:val="00DE2A39"/>
    <w:rsid w:val="00DE739C"/>
    <w:rsid w:val="00DE79FA"/>
    <w:rsid w:val="00DF3B0C"/>
    <w:rsid w:val="00E00ED3"/>
    <w:rsid w:val="00E00F8D"/>
    <w:rsid w:val="00E0169D"/>
    <w:rsid w:val="00E01C82"/>
    <w:rsid w:val="00E01FF0"/>
    <w:rsid w:val="00E04B14"/>
    <w:rsid w:val="00E11557"/>
    <w:rsid w:val="00E132C9"/>
    <w:rsid w:val="00E15D54"/>
    <w:rsid w:val="00E16933"/>
    <w:rsid w:val="00E22256"/>
    <w:rsid w:val="00E22270"/>
    <w:rsid w:val="00E22BBD"/>
    <w:rsid w:val="00E243C3"/>
    <w:rsid w:val="00E249B9"/>
    <w:rsid w:val="00E27FC0"/>
    <w:rsid w:val="00E31DFC"/>
    <w:rsid w:val="00E378A7"/>
    <w:rsid w:val="00E41CF0"/>
    <w:rsid w:val="00E4226F"/>
    <w:rsid w:val="00E42701"/>
    <w:rsid w:val="00E42925"/>
    <w:rsid w:val="00E461E2"/>
    <w:rsid w:val="00E5112D"/>
    <w:rsid w:val="00E55365"/>
    <w:rsid w:val="00E646CD"/>
    <w:rsid w:val="00E65FFB"/>
    <w:rsid w:val="00E66DB8"/>
    <w:rsid w:val="00E6787F"/>
    <w:rsid w:val="00E75547"/>
    <w:rsid w:val="00E765A2"/>
    <w:rsid w:val="00E807A0"/>
    <w:rsid w:val="00E81EA8"/>
    <w:rsid w:val="00E861CE"/>
    <w:rsid w:val="00E87A6F"/>
    <w:rsid w:val="00E962ED"/>
    <w:rsid w:val="00EA3744"/>
    <w:rsid w:val="00EA383A"/>
    <w:rsid w:val="00EA3A83"/>
    <w:rsid w:val="00EA527F"/>
    <w:rsid w:val="00EA6474"/>
    <w:rsid w:val="00EA72FE"/>
    <w:rsid w:val="00EB338F"/>
    <w:rsid w:val="00EB362F"/>
    <w:rsid w:val="00EB4021"/>
    <w:rsid w:val="00EC0ACB"/>
    <w:rsid w:val="00EC1441"/>
    <w:rsid w:val="00EC15E1"/>
    <w:rsid w:val="00EC1EC3"/>
    <w:rsid w:val="00EC24F3"/>
    <w:rsid w:val="00EC2EC1"/>
    <w:rsid w:val="00EC6A39"/>
    <w:rsid w:val="00ED2E5C"/>
    <w:rsid w:val="00ED50FE"/>
    <w:rsid w:val="00ED5212"/>
    <w:rsid w:val="00EE0471"/>
    <w:rsid w:val="00EE10CF"/>
    <w:rsid w:val="00EE1944"/>
    <w:rsid w:val="00EE47F7"/>
    <w:rsid w:val="00EE7CC3"/>
    <w:rsid w:val="00EF526E"/>
    <w:rsid w:val="00EF5799"/>
    <w:rsid w:val="00EF6E6E"/>
    <w:rsid w:val="00EF6FFF"/>
    <w:rsid w:val="00F01060"/>
    <w:rsid w:val="00F03ACB"/>
    <w:rsid w:val="00F10A3C"/>
    <w:rsid w:val="00F110CF"/>
    <w:rsid w:val="00F13390"/>
    <w:rsid w:val="00F14C1A"/>
    <w:rsid w:val="00F15B5F"/>
    <w:rsid w:val="00F16D8E"/>
    <w:rsid w:val="00F20786"/>
    <w:rsid w:val="00F275B5"/>
    <w:rsid w:val="00F31FCE"/>
    <w:rsid w:val="00F332D8"/>
    <w:rsid w:val="00F35367"/>
    <w:rsid w:val="00F372F7"/>
    <w:rsid w:val="00F37D92"/>
    <w:rsid w:val="00F407EF"/>
    <w:rsid w:val="00F430D7"/>
    <w:rsid w:val="00F50585"/>
    <w:rsid w:val="00F534E6"/>
    <w:rsid w:val="00F60373"/>
    <w:rsid w:val="00F60BA3"/>
    <w:rsid w:val="00F63C0B"/>
    <w:rsid w:val="00F70C76"/>
    <w:rsid w:val="00F72BA5"/>
    <w:rsid w:val="00F73E98"/>
    <w:rsid w:val="00F74113"/>
    <w:rsid w:val="00F77C56"/>
    <w:rsid w:val="00F92F23"/>
    <w:rsid w:val="00FA0B6E"/>
    <w:rsid w:val="00FB1C38"/>
    <w:rsid w:val="00FB5522"/>
    <w:rsid w:val="00FC02D5"/>
    <w:rsid w:val="00FC198D"/>
    <w:rsid w:val="00FC266A"/>
    <w:rsid w:val="00FC513D"/>
    <w:rsid w:val="00FC7D73"/>
    <w:rsid w:val="00FD26C5"/>
    <w:rsid w:val="00FD38F2"/>
    <w:rsid w:val="00FD3C82"/>
    <w:rsid w:val="00FD72E7"/>
    <w:rsid w:val="00FE10AA"/>
    <w:rsid w:val="00FE10DA"/>
    <w:rsid w:val="00FE441D"/>
    <w:rsid w:val="00FE500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12482C13-0B20-420E-A981-76A4C4D6F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AA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uiPriority w:val="99"/>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uiPriority w:val="99"/>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5547"/>
    <w:pPr>
      <w:widowControl/>
      <w:autoSpaceDE/>
      <w:autoSpaceDN/>
      <w:adjustRightInd/>
      <w:spacing w:after="200" w:line="276" w:lineRule="auto"/>
      <w:ind w:left="720"/>
      <w:contextualSpacing/>
    </w:pPr>
    <w:rPr>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uiPriority w:val="99"/>
    <w:rsid w:val="0029325D"/>
    <w:pPr>
      <w:widowControl/>
      <w:autoSpaceDE/>
      <w:autoSpaceDN/>
      <w:adjustRightInd/>
      <w:spacing w:after="0"/>
    </w:pPr>
    <w:rPr>
      <w:szCs w:val="20"/>
    </w:rPr>
  </w:style>
  <w:style w:type="character" w:customStyle="1" w:styleId="BodyText12ptChar">
    <w:name w:val="Body Text + 12pt Char"/>
    <w:link w:val="BodyText12pt"/>
    <w:uiPriority w:val="99"/>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unhideWhenUsed/>
    <w:rsid w:val="0029325D"/>
    <w:pPr>
      <w:spacing w:after="120"/>
    </w:pPr>
  </w:style>
  <w:style w:type="character" w:customStyle="1" w:styleId="BodyTextChar">
    <w:name w:val="Body Text Char"/>
    <w:basedOn w:val="DefaultParagraphFont"/>
    <w:link w:val="BodyText"/>
    <w:uiPriority w:val="99"/>
    <w:rsid w:val="0029325D"/>
    <w:rPr>
      <w:rFonts w:ascii="Courier" w:eastAsia="Times New Roman" w:hAnsi="Courier" w:cs="Times New Roman"/>
      <w:sz w:val="24"/>
      <w:szCs w:val="24"/>
    </w:rPr>
  </w:style>
  <w:style w:type="paragraph" w:styleId="NoSpacing">
    <w:name w:val="No Spacing"/>
    <w:uiPriority w:val="1"/>
    <w:qFormat/>
    <w:rsid w:val="005B585C"/>
    <w:pPr>
      <w:widowControl w:val="0"/>
      <w:autoSpaceDE w:val="0"/>
      <w:autoSpaceDN w:val="0"/>
      <w:adjustRightInd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msha.gov/cpdm-sample-file-transmission" TargetMode="External" /><Relationship Id="rId7" Type="http://schemas.openxmlformats.org/officeDocument/2006/relationships/hyperlink" Target="mailto:IPSO@dol.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5406</Words>
  <Characters>30819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4</cp:revision>
  <dcterms:created xsi:type="dcterms:W3CDTF">2025-05-09T11:29:00Z</dcterms:created>
  <dcterms:modified xsi:type="dcterms:W3CDTF">2025-09-03T11:37:00Z</dcterms:modified>
</cp:coreProperties>
</file>