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F5F" w:rsidP="000B2CD7" w14:paraId="0EBD387A" w14:textId="77777777">
      <w:pPr>
        <w:pStyle w:val="Title"/>
        <w:rPr>
          <w:szCs w:val="24"/>
        </w:rPr>
      </w:pPr>
    </w:p>
    <w:p w:rsidR="000B2CD7" w:rsidRPr="00CB7E90" w:rsidP="000B2CD7" w14:paraId="3DD3B0CD" w14:textId="47CC96AD">
      <w:pPr>
        <w:pStyle w:val="Title"/>
        <w:rPr>
          <w:szCs w:val="24"/>
        </w:rPr>
      </w:pPr>
      <w:r w:rsidRPr="00CB7E90">
        <w:rPr>
          <w:szCs w:val="24"/>
        </w:rPr>
        <w:t>Census of Fatal Occupational Injuries</w:t>
      </w:r>
    </w:p>
    <w:p w:rsidR="000B2CD7" w:rsidRPr="00CB7E90" w:rsidP="000B2CD7" w14:paraId="7D328468" w14:textId="77777777">
      <w:pPr>
        <w:jc w:val="center"/>
        <w:rPr>
          <w:rFonts w:ascii="Times New Roman" w:hAnsi="Times New Roman"/>
          <w:sz w:val="24"/>
          <w:szCs w:val="24"/>
        </w:rPr>
      </w:pPr>
      <w:r w:rsidRPr="00CB7E90">
        <w:rPr>
          <w:rFonts w:ascii="Times New Roman" w:hAnsi="Times New Roman"/>
          <w:b/>
          <w:sz w:val="24"/>
          <w:szCs w:val="24"/>
        </w:rPr>
        <w:t>Supporting Statement</w:t>
      </w:r>
    </w:p>
    <w:p w:rsidR="000B2CD7" w:rsidRPr="00EC4E1A" w:rsidP="000B2CD7" w14:paraId="160E851E" w14:textId="77777777">
      <w:pPr>
        <w:rPr>
          <w:rFonts w:ascii="Times New Roman" w:hAnsi="Times New Roman"/>
          <w:sz w:val="24"/>
          <w:szCs w:val="24"/>
        </w:rPr>
      </w:pPr>
    </w:p>
    <w:p w:rsidR="00762AE7" w:rsidRPr="00EC4E1A" w:rsidP="00762AE7" w14:paraId="6A547E57" w14:textId="56A4D5C9">
      <w:pPr>
        <w:rPr>
          <w:rFonts w:ascii="Times New Roman" w:hAnsi="Times New Roman"/>
          <w:sz w:val="24"/>
          <w:szCs w:val="24"/>
        </w:rPr>
      </w:pPr>
      <w:r w:rsidRPr="00EC4E1A">
        <w:rPr>
          <w:rFonts w:ascii="Times New Roman" w:hAnsi="Times New Roman"/>
          <w:sz w:val="24"/>
          <w:szCs w:val="24"/>
        </w:rPr>
        <w:t>Th</w:t>
      </w:r>
      <w:r w:rsidR="00AF0E5F">
        <w:rPr>
          <w:rFonts w:ascii="Times New Roman" w:hAnsi="Times New Roman"/>
          <w:sz w:val="24"/>
          <w:szCs w:val="24"/>
        </w:rPr>
        <w:t>is ICR seeks</w:t>
      </w:r>
      <w:r w:rsidRPr="00EC4E1A">
        <w:rPr>
          <w:rFonts w:ascii="Times New Roman" w:hAnsi="Times New Roman"/>
          <w:sz w:val="24"/>
          <w:szCs w:val="24"/>
        </w:rPr>
        <w:t xml:space="preserve"> to obtain </w:t>
      </w:r>
      <w:r w:rsidR="00F90F51">
        <w:rPr>
          <w:rFonts w:ascii="Times New Roman" w:hAnsi="Times New Roman"/>
          <w:sz w:val="24"/>
          <w:szCs w:val="24"/>
        </w:rPr>
        <w:t>an extension</w:t>
      </w:r>
      <w:r w:rsidRPr="00EC4E1A">
        <w:rPr>
          <w:rFonts w:ascii="Times New Roman" w:hAnsi="Times New Roman"/>
          <w:sz w:val="24"/>
          <w:szCs w:val="24"/>
        </w:rPr>
        <w:t xml:space="preserve"> for the Bureau of Labor Statistics (BLS) Census of Fatal Occupational Injuries (CFOI). The collection is unchanged </w:t>
      </w:r>
      <w:r w:rsidRPr="00EC4E1A" w:rsidR="00412A4E">
        <w:rPr>
          <w:rFonts w:ascii="Times New Roman" w:hAnsi="Times New Roman"/>
          <w:sz w:val="24"/>
          <w:szCs w:val="24"/>
        </w:rPr>
        <w:t>since the last submission</w:t>
      </w:r>
      <w:r w:rsidRPr="00EC4E1A">
        <w:rPr>
          <w:rFonts w:ascii="Times New Roman" w:hAnsi="Times New Roman"/>
          <w:sz w:val="24"/>
          <w:szCs w:val="24"/>
        </w:rPr>
        <w:t>. </w:t>
      </w:r>
    </w:p>
    <w:p w:rsidR="000B2CD7" w:rsidRPr="00CB7E90" w:rsidP="000B2CD7" w14:paraId="49895A65" w14:textId="77777777">
      <w:pPr>
        <w:pStyle w:val="Heading1"/>
        <w:rPr>
          <w:szCs w:val="24"/>
        </w:rPr>
      </w:pPr>
    </w:p>
    <w:p w:rsidR="00394171" w:rsidRPr="00CB700E" w:rsidP="00394171" w14:paraId="5FDBFF32" w14:textId="77777777">
      <w:pPr>
        <w:rPr>
          <w:rFonts w:ascii="Times New Roman" w:hAnsi="Times New Roman"/>
          <w:b/>
          <w:bCs/>
          <w:sz w:val="24"/>
          <w:szCs w:val="24"/>
        </w:rPr>
      </w:pPr>
      <w:r w:rsidRPr="00CB700E">
        <w:rPr>
          <w:rFonts w:ascii="Times New Roman" w:hAnsi="Times New Roman"/>
          <w:b/>
          <w:bCs/>
          <w:sz w:val="24"/>
          <w:szCs w:val="24"/>
        </w:rPr>
        <w:t>Part A. Justification</w:t>
      </w:r>
    </w:p>
    <w:p w:rsidR="00394171" w:rsidRPr="00394171" w:rsidP="00394171" w14:paraId="15DA0E43" w14:textId="77777777">
      <w:pPr>
        <w:rPr>
          <w:rFonts w:ascii="Times New Roman" w:hAnsi="Times New Roman"/>
          <w:sz w:val="24"/>
          <w:szCs w:val="24"/>
        </w:rPr>
      </w:pPr>
    </w:p>
    <w:p w:rsidR="008C6C7F" w:rsidRPr="00D53DEB" w:rsidP="008C6C7F" w14:paraId="35593601" w14:textId="6F148919">
      <w:pPr>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B3DA6" w:rsidRPr="008C6C7F" w:rsidP="00CB700E" w14:paraId="552152CF" w14:textId="59298CC8">
      <w:pPr>
        <w:pStyle w:val="ListParagraph"/>
        <w:ind w:left="1080"/>
        <w:rPr>
          <w:rFonts w:ascii="Times New Roman" w:hAnsi="Times New Roman"/>
          <w:sz w:val="24"/>
          <w:szCs w:val="24"/>
        </w:rPr>
      </w:pPr>
    </w:p>
    <w:p w:rsidR="00394171" w:rsidRPr="00394171" w:rsidP="00394171" w14:paraId="6BB9AB8F" w14:textId="77777777">
      <w:pPr>
        <w:rPr>
          <w:rFonts w:ascii="Times New Roman" w:hAnsi="Times New Roman"/>
          <w:sz w:val="24"/>
          <w:szCs w:val="24"/>
        </w:rPr>
      </w:pPr>
      <w:r w:rsidRPr="00394171">
        <w:rPr>
          <w:rFonts w:ascii="Times New Roman" w:hAnsi="Times New Roman"/>
          <w:sz w:val="24"/>
          <w:szCs w:val="24"/>
        </w:rPr>
        <w:t>The Bureau of Labor Statistics (BLS) was delegated responsibility by the Secretary of Labor for implementing Section 24(a) of the Occupational Safety and Health Act of 1970. This section states that "the Secretary shall compile accurate statistics on work injuries and illnesses which shall include all disabling, serious, or significant injuries and illnesses..."</w:t>
      </w:r>
    </w:p>
    <w:p w:rsidR="00394171" w:rsidRPr="00394171" w:rsidP="00394171" w14:paraId="4CF76EBB" w14:textId="77777777">
      <w:pPr>
        <w:rPr>
          <w:rFonts w:ascii="Times New Roman" w:hAnsi="Times New Roman"/>
          <w:sz w:val="24"/>
          <w:szCs w:val="24"/>
        </w:rPr>
      </w:pPr>
    </w:p>
    <w:p w:rsidR="00394171" w:rsidRPr="00394171" w:rsidP="00394171" w14:paraId="4B5FD76C" w14:textId="77777777">
      <w:pPr>
        <w:rPr>
          <w:rFonts w:ascii="Times New Roman" w:hAnsi="Times New Roman"/>
          <w:sz w:val="24"/>
          <w:szCs w:val="24"/>
        </w:rPr>
      </w:pPr>
      <w:r w:rsidRPr="00394171">
        <w:rPr>
          <w:rFonts w:ascii="Times New Roman" w:hAnsi="Times New Roman"/>
          <w:sz w:val="24"/>
          <w:szCs w:val="24"/>
        </w:rPr>
        <w:t>Prior to the implementation of the Census of Fatal Occupational Injuries (CFOI), the BLS generated estimates of occupational fatalities for private sector employers from a sample survey of about 280,000 establishments. Studies showed that occupational fatalities were underreported in those estimates as well as in those compiled by regulatory, vital statistics, and workers' compensation systems. Estimates prior to CFOI varied widely, ranging from 3,000 to 10,000 fatal work injuries annually. In addition, information needed to develop prevention strategies was often missing from these earlier systems.</w:t>
      </w:r>
    </w:p>
    <w:p w:rsidR="00394171" w:rsidRPr="00394171" w:rsidP="00394171" w14:paraId="36D81BC2" w14:textId="77777777">
      <w:pPr>
        <w:rPr>
          <w:rFonts w:ascii="Times New Roman" w:hAnsi="Times New Roman"/>
          <w:sz w:val="24"/>
          <w:szCs w:val="24"/>
        </w:rPr>
      </w:pPr>
    </w:p>
    <w:p w:rsidR="00394171" w:rsidRPr="00394171" w:rsidP="00394171" w14:paraId="1BADACEF" w14:textId="1D19E17C">
      <w:pPr>
        <w:rPr>
          <w:rFonts w:ascii="Times New Roman" w:hAnsi="Times New Roman"/>
          <w:sz w:val="24"/>
          <w:szCs w:val="24"/>
        </w:rPr>
      </w:pPr>
      <w:r w:rsidRPr="00394171">
        <w:rPr>
          <w:rFonts w:ascii="Times New Roman" w:hAnsi="Times New Roman"/>
          <w:sz w:val="24"/>
          <w:szCs w:val="24"/>
        </w:rPr>
        <w:t>In the late 1980s, the National Academy of Sciences study, Counting Injuries and Illnesses in the Workplace</w:t>
      </w:r>
      <w:r w:rsidR="00E66638">
        <w:rPr>
          <w:rFonts w:ascii="Times New Roman" w:hAnsi="Times New Roman"/>
          <w:sz w:val="24"/>
          <w:szCs w:val="24"/>
        </w:rPr>
        <w:t>: Proposals for a Better System,</w:t>
      </w:r>
      <w:r>
        <w:rPr>
          <w:rStyle w:val="FootnoteReference"/>
          <w:rFonts w:ascii="Times New Roman" w:hAnsi="Times New Roman"/>
          <w:sz w:val="24"/>
          <w:szCs w:val="24"/>
        </w:rPr>
        <w:footnoteReference w:id="2"/>
      </w:r>
      <w:r w:rsidRPr="00394171">
        <w:rPr>
          <w:rFonts w:ascii="Times New Roman" w:hAnsi="Times New Roman"/>
          <w:sz w:val="24"/>
          <w:szCs w:val="24"/>
        </w:rPr>
        <w:t xml:space="preserve"> and another report, Keystone National Policy Dialogue on Work-Related Illness and Injury Recordkeeping, emphasized the need for the BLS to compile a complete roster of work-related fatalities because of concern about using a sample survey to estimate the incidence of occupational fatalities. These studies also recommended the use of all available data sources to compile detailed information for fatality prevention efforts. </w:t>
      </w:r>
    </w:p>
    <w:p w:rsidR="00394171" w:rsidRPr="00394171" w:rsidP="00394171" w14:paraId="70CFFCED" w14:textId="77777777">
      <w:pPr>
        <w:rPr>
          <w:rFonts w:ascii="Times New Roman" w:hAnsi="Times New Roman"/>
          <w:sz w:val="24"/>
          <w:szCs w:val="24"/>
        </w:rPr>
      </w:pPr>
    </w:p>
    <w:p w:rsidR="00394171" w:rsidRPr="00394171" w:rsidP="00394171" w14:paraId="76270176" w14:textId="77777777">
      <w:pPr>
        <w:rPr>
          <w:rFonts w:ascii="Times New Roman" w:hAnsi="Times New Roman"/>
          <w:sz w:val="24"/>
          <w:szCs w:val="24"/>
        </w:rPr>
      </w:pPr>
      <w:r w:rsidRPr="00394171">
        <w:rPr>
          <w:rFonts w:ascii="Times New Roman" w:hAnsi="Times New Roman"/>
          <w:sz w:val="24"/>
          <w:szCs w:val="24"/>
        </w:rPr>
        <w:t>In 1989 and 1990, the BLS, in conjunction with the Texas and Colorado Departments of Health and the Texas Workers’ Compensation Commission, tested the feasibility of collecting fatality data in this manner. These studies, which can be found in Appendix A: Development of the Census of Fatal Occupational Injuries of BLS Report 845, April 1993, concluded that:</w:t>
      </w:r>
    </w:p>
    <w:p w:rsidR="00394171" w:rsidRPr="00394171" w:rsidP="00394171" w14:paraId="51700553" w14:textId="77777777">
      <w:pPr>
        <w:rPr>
          <w:rFonts w:ascii="Times New Roman" w:hAnsi="Times New Roman"/>
          <w:sz w:val="24"/>
          <w:szCs w:val="24"/>
        </w:rPr>
      </w:pPr>
    </w:p>
    <w:p w:rsidR="00394171" w:rsidP="00394171" w14:paraId="1666F6B8" w14:textId="1EE8D50C">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M</w:t>
      </w:r>
      <w:r w:rsidRPr="00D71CBD">
        <w:rPr>
          <w:rFonts w:ascii="Times New Roman" w:hAnsi="Times New Roman"/>
          <w:sz w:val="24"/>
          <w:szCs w:val="24"/>
        </w:rPr>
        <w:t>ultiple sources are needed to yield a comprehensive count of fatal occupational</w:t>
      </w:r>
      <w:r>
        <w:rPr>
          <w:rFonts w:ascii="Times New Roman" w:hAnsi="Times New Roman"/>
          <w:sz w:val="24"/>
          <w:szCs w:val="24"/>
        </w:rPr>
        <w:t xml:space="preserve"> </w:t>
      </w:r>
      <w:r w:rsidRPr="003314D0">
        <w:rPr>
          <w:rFonts w:ascii="Times New Roman" w:hAnsi="Times New Roman"/>
          <w:sz w:val="24"/>
          <w:szCs w:val="24"/>
        </w:rPr>
        <w:t>injuries</w:t>
      </w:r>
    </w:p>
    <w:p w:rsidR="008D460C" w:rsidP="00394171" w14:paraId="1189E203" w14:textId="508CDA57">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C</w:t>
      </w:r>
      <w:r w:rsidRPr="00D71CBD" w:rsidR="00394171">
        <w:rPr>
          <w:rFonts w:ascii="Times New Roman" w:hAnsi="Times New Roman"/>
          <w:sz w:val="24"/>
          <w:szCs w:val="24"/>
        </w:rPr>
        <w:t>ollecting data from multiple sources is feasible</w:t>
      </w:r>
    </w:p>
    <w:p w:rsidR="00394171" w:rsidRPr="00D71CBD" w:rsidP="00D71CBD" w14:paraId="1BAA0064" w14:textId="16BF25E4">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D</w:t>
      </w:r>
      <w:r w:rsidRPr="00D71CBD">
        <w:rPr>
          <w:rFonts w:ascii="Times New Roman" w:hAnsi="Times New Roman"/>
          <w:sz w:val="24"/>
          <w:szCs w:val="24"/>
        </w:rPr>
        <w:t xml:space="preserve">etailed information is commonly available from administrative sources </w:t>
      </w:r>
    </w:p>
    <w:p w:rsidR="00394171" w:rsidP="00394171" w14:paraId="4A078B02" w14:textId="44108AF0">
      <w:pPr>
        <w:rPr>
          <w:rFonts w:ascii="Times New Roman" w:hAnsi="Times New Roman"/>
          <w:sz w:val="24"/>
          <w:szCs w:val="24"/>
        </w:rPr>
      </w:pPr>
      <w:r w:rsidRPr="00394171">
        <w:rPr>
          <w:rFonts w:ascii="Times New Roman" w:hAnsi="Times New Roman"/>
          <w:sz w:val="24"/>
          <w:szCs w:val="24"/>
        </w:rPr>
        <w:t xml:space="preserve">The resulting CFOI was implemented in 32 </w:t>
      </w:r>
      <w:r w:rsidR="00E93482">
        <w:rPr>
          <w:rFonts w:ascii="Times New Roman" w:hAnsi="Times New Roman"/>
          <w:sz w:val="24"/>
          <w:szCs w:val="24"/>
        </w:rPr>
        <w:t>s</w:t>
      </w:r>
      <w:r w:rsidRPr="00394171">
        <w:rPr>
          <w:rFonts w:ascii="Times New Roman" w:hAnsi="Times New Roman"/>
          <w:sz w:val="24"/>
          <w:szCs w:val="24"/>
        </w:rPr>
        <w:t xml:space="preserve">tates in 1991. National data—covering all 50 </w:t>
      </w:r>
      <w:r w:rsidR="00E93482">
        <w:rPr>
          <w:rFonts w:ascii="Times New Roman" w:hAnsi="Times New Roman"/>
          <w:sz w:val="24"/>
          <w:szCs w:val="24"/>
        </w:rPr>
        <w:t>s</w:t>
      </w:r>
      <w:r w:rsidRPr="00394171">
        <w:rPr>
          <w:rFonts w:ascii="Times New Roman" w:hAnsi="Times New Roman"/>
          <w:sz w:val="24"/>
          <w:szCs w:val="24"/>
        </w:rPr>
        <w:t xml:space="preserve">tates, New York City, and the District of Columbia—have been compiled and published annually for years 1992 through </w:t>
      </w:r>
      <w:r w:rsidR="005E38A6">
        <w:rPr>
          <w:rFonts w:ascii="Times New Roman" w:hAnsi="Times New Roman"/>
          <w:sz w:val="24"/>
          <w:szCs w:val="24"/>
        </w:rPr>
        <w:t>2023</w:t>
      </w:r>
      <w:r w:rsidRPr="00394171">
        <w:rPr>
          <w:rFonts w:ascii="Times New Roman" w:hAnsi="Times New Roman"/>
          <w:sz w:val="24"/>
          <w:szCs w:val="24"/>
        </w:rPr>
        <w:t xml:space="preserve">. </w:t>
      </w:r>
    </w:p>
    <w:p w:rsidR="008B3DA6" w:rsidRPr="00394171" w:rsidP="00394171" w14:paraId="0F5DEF4C" w14:textId="77777777">
      <w:pPr>
        <w:rPr>
          <w:rFonts w:ascii="Times New Roman" w:hAnsi="Times New Roman"/>
          <w:sz w:val="24"/>
          <w:szCs w:val="24"/>
        </w:rPr>
      </w:pPr>
    </w:p>
    <w:p w:rsidR="008C6C7F" w:rsidRPr="00D53DEB" w:rsidP="008C6C7F" w14:paraId="665086F9" w14:textId="01DC7F0B">
      <w:pPr>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8B3DA6" w:rsidRPr="00394171" w:rsidP="00394171" w14:paraId="18F95328" w14:textId="2C3DBD95">
      <w:pPr>
        <w:rPr>
          <w:rFonts w:ascii="Times New Roman" w:hAnsi="Times New Roman"/>
          <w:sz w:val="24"/>
          <w:szCs w:val="24"/>
        </w:rPr>
      </w:pPr>
    </w:p>
    <w:p w:rsidR="00394171" w:rsidP="00394171" w14:paraId="4A5A6EDD" w14:textId="60E20353">
      <w:pPr>
        <w:rPr>
          <w:rFonts w:ascii="Times New Roman" w:hAnsi="Times New Roman"/>
          <w:sz w:val="24"/>
          <w:szCs w:val="24"/>
        </w:rPr>
      </w:pPr>
      <w:r w:rsidRPr="00394171">
        <w:rPr>
          <w:rFonts w:ascii="Times New Roman" w:hAnsi="Times New Roman"/>
          <w:sz w:val="24"/>
          <w:szCs w:val="24"/>
        </w:rPr>
        <w:t xml:space="preserve">The CFOI compiles comprehensive, accurate, and timely information on fatal work injuries needed to develop effective prevention strategies. The </w:t>
      </w:r>
      <w:r w:rsidR="0009539A">
        <w:rPr>
          <w:rFonts w:ascii="Times New Roman" w:hAnsi="Times New Roman"/>
          <w:sz w:val="24"/>
          <w:szCs w:val="24"/>
        </w:rPr>
        <w:t>CFOI</w:t>
      </w:r>
      <w:r w:rsidRPr="00394171" w:rsidR="0009539A">
        <w:rPr>
          <w:rFonts w:ascii="Times New Roman" w:hAnsi="Times New Roman"/>
          <w:sz w:val="24"/>
          <w:szCs w:val="24"/>
        </w:rPr>
        <w:t xml:space="preserve"> </w:t>
      </w:r>
      <w:r w:rsidRPr="00394171">
        <w:rPr>
          <w:rFonts w:ascii="Times New Roman" w:hAnsi="Times New Roman"/>
          <w:sz w:val="24"/>
          <w:szCs w:val="24"/>
        </w:rPr>
        <w:t>collects information about the worker, the employer, and the fatal incident. (Data elements collected are listed in Attachment 1A).</w:t>
      </w:r>
    </w:p>
    <w:p w:rsidR="00825415" w:rsidP="00394171" w14:paraId="59A67179" w14:textId="27173A40">
      <w:pPr>
        <w:rPr>
          <w:rFonts w:ascii="Times New Roman" w:hAnsi="Times New Roman"/>
          <w:sz w:val="24"/>
          <w:szCs w:val="24"/>
        </w:rPr>
      </w:pPr>
    </w:p>
    <w:p w:rsidR="00394171" w:rsidRPr="00394171" w:rsidP="00394171" w14:paraId="038BD625" w14:textId="05D030D9">
      <w:pPr>
        <w:rPr>
          <w:rFonts w:ascii="Times New Roman" w:hAnsi="Times New Roman"/>
          <w:sz w:val="24"/>
          <w:szCs w:val="24"/>
        </w:rPr>
      </w:pPr>
      <w:r w:rsidRPr="00394171">
        <w:rPr>
          <w:rFonts w:ascii="Times New Roman" w:hAnsi="Times New Roman"/>
          <w:sz w:val="24"/>
          <w:szCs w:val="24"/>
        </w:rPr>
        <w:t>Various public and private safety and health organizations, including the Occupational Safety and Health Administration (OSHA), as well as many employers</w:t>
      </w:r>
      <w:r w:rsidR="009B20A3">
        <w:rPr>
          <w:rFonts w:ascii="Times New Roman" w:hAnsi="Times New Roman"/>
          <w:sz w:val="24"/>
          <w:szCs w:val="24"/>
        </w:rPr>
        <w:t>,</w:t>
      </w:r>
      <w:r w:rsidRPr="00394171">
        <w:rPr>
          <w:rFonts w:ascii="Times New Roman" w:hAnsi="Times New Roman"/>
          <w:sz w:val="24"/>
          <w:szCs w:val="24"/>
        </w:rPr>
        <w:t xml:space="preserve"> worker advocates, </w:t>
      </w:r>
      <w:r w:rsidR="009B20A3">
        <w:rPr>
          <w:rFonts w:ascii="Times New Roman" w:hAnsi="Times New Roman"/>
          <w:sz w:val="24"/>
          <w:szCs w:val="24"/>
        </w:rPr>
        <w:t xml:space="preserve">and </w:t>
      </w:r>
      <w:r w:rsidR="0009539A">
        <w:rPr>
          <w:rFonts w:ascii="Times New Roman" w:hAnsi="Times New Roman"/>
          <w:sz w:val="24"/>
          <w:szCs w:val="24"/>
        </w:rPr>
        <w:t xml:space="preserve">the public safety and health community </w:t>
      </w:r>
      <w:r w:rsidRPr="00394171">
        <w:rPr>
          <w:rFonts w:ascii="Times New Roman" w:hAnsi="Times New Roman"/>
          <w:sz w:val="24"/>
          <w:szCs w:val="24"/>
        </w:rPr>
        <w:t>use CFOI data to:</w:t>
      </w:r>
    </w:p>
    <w:p w:rsidR="00394171" w:rsidRPr="00394171" w:rsidP="00394171" w14:paraId="26A30A68" w14:textId="77777777">
      <w:pPr>
        <w:rPr>
          <w:rFonts w:ascii="Times New Roman" w:hAnsi="Times New Roman"/>
          <w:sz w:val="24"/>
          <w:szCs w:val="24"/>
        </w:rPr>
      </w:pPr>
    </w:p>
    <w:p w:rsidR="00394171" w:rsidP="008D460C" w14:paraId="57D2FDC3" w14:textId="0367D766">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D</w:t>
      </w:r>
      <w:r w:rsidRPr="00D71CBD">
        <w:rPr>
          <w:rFonts w:ascii="Times New Roman" w:hAnsi="Times New Roman"/>
          <w:sz w:val="24"/>
          <w:szCs w:val="24"/>
        </w:rPr>
        <w:t>evelop employee safety training programs</w:t>
      </w:r>
    </w:p>
    <w:p w:rsidR="00394171" w:rsidP="00394171" w14:paraId="545E14B4" w14:textId="11F48F40">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A</w:t>
      </w:r>
      <w:r w:rsidRPr="00D71CBD">
        <w:rPr>
          <w:rFonts w:ascii="Times New Roman" w:hAnsi="Times New Roman"/>
          <w:sz w:val="24"/>
          <w:szCs w:val="24"/>
        </w:rPr>
        <w:t>ssess and improve workplace safety standards</w:t>
      </w:r>
    </w:p>
    <w:p w:rsidR="00394171" w:rsidP="00394171" w14:paraId="384D28B0" w14:textId="0165FF77">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D</w:t>
      </w:r>
      <w:r w:rsidRPr="00D71CBD">
        <w:rPr>
          <w:rFonts w:ascii="Times New Roman" w:hAnsi="Times New Roman"/>
          <w:sz w:val="24"/>
          <w:szCs w:val="24"/>
        </w:rPr>
        <w:t>evelop safety equipment</w:t>
      </w:r>
    </w:p>
    <w:p w:rsidR="00394171" w:rsidP="00394171" w14:paraId="031EC5FA" w14:textId="1E6F7609">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P</w:t>
      </w:r>
      <w:r w:rsidRPr="00D71CBD">
        <w:rPr>
          <w:rFonts w:ascii="Times New Roman" w:hAnsi="Times New Roman"/>
          <w:sz w:val="24"/>
          <w:szCs w:val="24"/>
        </w:rPr>
        <w:t>rioritize safety efforts</w:t>
      </w:r>
    </w:p>
    <w:p w:rsidR="00394171" w:rsidP="00394171" w14:paraId="4E9DB9B9" w14:textId="110CA4FC">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C</w:t>
      </w:r>
      <w:r w:rsidRPr="00D71CBD">
        <w:rPr>
          <w:rFonts w:ascii="Times New Roman" w:hAnsi="Times New Roman"/>
          <w:sz w:val="24"/>
          <w:szCs w:val="24"/>
        </w:rPr>
        <w:t xml:space="preserve">onduct research </w:t>
      </w:r>
      <w:r w:rsidRPr="00D71CBD">
        <w:rPr>
          <w:rFonts w:ascii="Times New Roman" w:hAnsi="Times New Roman"/>
          <w:sz w:val="24"/>
          <w:szCs w:val="24"/>
        </w:rPr>
        <w:t>for</w:t>
      </w:r>
      <w:r w:rsidRPr="00D71CBD">
        <w:rPr>
          <w:rFonts w:ascii="Times New Roman" w:hAnsi="Times New Roman"/>
          <w:sz w:val="24"/>
          <w:szCs w:val="24"/>
        </w:rPr>
        <w:t xml:space="preserve"> developing prevention strategies</w:t>
      </w:r>
    </w:p>
    <w:p w:rsidR="00394171" w:rsidRPr="00D71CBD" w:rsidP="00D71CBD" w14:paraId="13EAC701" w14:textId="1BDCB152">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C</w:t>
      </w:r>
      <w:r w:rsidRPr="00D71CBD">
        <w:rPr>
          <w:rFonts w:ascii="Times New Roman" w:hAnsi="Times New Roman"/>
          <w:sz w:val="24"/>
          <w:szCs w:val="24"/>
        </w:rPr>
        <w:t>ompare fatal work injuries between states to evaluate safety program.</w:t>
      </w:r>
    </w:p>
    <w:p w:rsidR="00394171" w:rsidRPr="00394171" w:rsidP="00394171" w14:paraId="47692820" w14:textId="77777777">
      <w:pPr>
        <w:rPr>
          <w:rFonts w:ascii="Times New Roman" w:hAnsi="Times New Roman"/>
          <w:sz w:val="24"/>
          <w:szCs w:val="24"/>
        </w:rPr>
      </w:pPr>
      <w:r w:rsidRPr="00394171">
        <w:rPr>
          <w:rFonts w:ascii="Times New Roman" w:hAnsi="Times New Roman"/>
          <w:sz w:val="24"/>
          <w:szCs w:val="24"/>
        </w:rPr>
        <w:t>In addition, state partners use the data to publish state reports, to identify state-specific hazards, to allocate resources for promoting safety in the workplace, and to evaluate the quality of work life in the state.</w:t>
      </w:r>
    </w:p>
    <w:p w:rsidR="00394171" w:rsidRPr="00394171" w:rsidP="00394171" w14:paraId="28351D6E" w14:textId="77777777">
      <w:pPr>
        <w:rPr>
          <w:rFonts w:ascii="Times New Roman" w:hAnsi="Times New Roman"/>
          <w:sz w:val="24"/>
          <w:szCs w:val="24"/>
        </w:rPr>
      </w:pPr>
    </w:p>
    <w:p w:rsidR="00394171" w:rsidRPr="00394171" w:rsidP="00394171" w14:paraId="18B6DB95" w14:textId="1FBAE0C0">
      <w:pPr>
        <w:rPr>
          <w:rFonts w:ascii="Times New Roman" w:hAnsi="Times New Roman"/>
          <w:sz w:val="24"/>
          <w:szCs w:val="24"/>
        </w:rPr>
      </w:pPr>
      <w:r w:rsidRPr="00394171">
        <w:rPr>
          <w:rFonts w:ascii="Times New Roman" w:hAnsi="Times New Roman"/>
          <w:sz w:val="24"/>
          <w:szCs w:val="24"/>
        </w:rPr>
        <w:t xml:space="preserve">CFOI data </w:t>
      </w:r>
      <w:r w:rsidR="000A7914">
        <w:rPr>
          <w:rFonts w:ascii="Times New Roman" w:hAnsi="Times New Roman"/>
          <w:sz w:val="24"/>
          <w:szCs w:val="24"/>
        </w:rPr>
        <w:t>are</w:t>
      </w:r>
      <w:r w:rsidRPr="00394171" w:rsidR="000A7914">
        <w:rPr>
          <w:rFonts w:ascii="Times New Roman" w:hAnsi="Times New Roman"/>
          <w:sz w:val="24"/>
          <w:szCs w:val="24"/>
        </w:rPr>
        <w:t xml:space="preserve"> </w:t>
      </w:r>
      <w:r w:rsidRPr="00394171">
        <w:rPr>
          <w:rFonts w:ascii="Times New Roman" w:hAnsi="Times New Roman"/>
          <w:sz w:val="24"/>
          <w:szCs w:val="24"/>
        </w:rPr>
        <w:t>also used by the Department of Health and Human Services to measure fatal workplace injuries in their Healthy People 20</w:t>
      </w:r>
      <w:r w:rsidR="00835616">
        <w:rPr>
          <w:rFonts w:ascii="Times New Roman" w:hAnsi="Times New Roman"/>
          <w:sz w:val="24"/>
          <w:szCs w:val="24"/>
        </w:rPr>
        <w:t>3</w:t>
      </w:r>
      <w:r w:rsidRPr="00394171">
        <w:rPr>
          <w:rFonts w:ascii="Times New Roman" w:hAnsi="Times New Roman"/>
          <w:sz w:val="24"/>
          <w:szCs w:val="24"/>
        </w:rPr>
        <w:t xml:space="preserve">0 initiative. The National Safety Council and other organizations have adopted the CFOI as the </w:t>
      </w:r>
      <w:r w:rsidR="00714C7D">
        <w:rPr>
          <w:rFonts w:ascii="Times New Roman" w:hAnsi="Times New Roman"/>
          <w:sz w:val="24"/>
          <w:szCs w:val="24"/>
        </w:rPr>
        <w:t>primary</w:t>
      </w:r>
      <w:r w:rsidRPr="00394171" w:rsidR="00714C7D">
        <w:rPr>
          <w:rFonts w:ascii="Times New Roman" w:hAnsi="Times New Roman"/>
          <w:sz w:val="24"/>
          <w:szCs w:val="24"/>
        </w:rPr>
        <w:t xml:space="preserve"> </w:t>
      </w:r>
      <w:r w:rsidRPr="00394171">
        <w:rPr>
          <w:rFonts w:ascii="Times New Roman" w:hAnsi="Times New Roman"/>
          <w:sz w:val="24"/>
          <w:szCs w:val="24"/>
        </w:rPr>
        <w:t xml:space="preserve">source of a comprehensive count of fatal work injuries for the U.S. The National Institute for Occupational Safety and Health (NIOSH) uses CFOI data for </w:t>
      </w:r>
      <w:r w:rsidR="0048274E">
        <w:rPr>
          <w:rFonts w:ascii="Times New Roman" w:hAnsi="Times New Roman"/>
          <w:sz w:val="24"/>
          <w:szCs w:val="24"/>
        </w:rPr>
        <w:t>much of</w:t>
      </w:r>
      <w:r w:rsidRPr="00394171">
        <w:rPr>
          <w:rFonts w:ascii="Times New Roman" w:hAnsi="Times New Roman"/>
          <w:sz w:val="24"/>
          <w:szCs w:val="24"/>
        </w:rPr>
        <w:t xml:space="preserve"> its fatal injury research. This official, systematic, verifiable count mutes controversy over the various counts from different sources. If this information were not collected, confusion over the number and patterns in fatal occupational injuries would hamper prevention efforts. In </w:t>
      </w:r>
      <w:r w:rsidR="000A7914">
        <w:rPr>
          <w:rFonts w:ascii="Times New Roman" w:hAnsi="Times New Roman"/>
          <w:sz w:val="24"/>
          <w:szCs w:val="24"/>
        </w:rPr>
        <w:t>2023</w:t>
      </w:r>
      <w:r w:rsidRPr="00394171">
        <w:rPr>
          <w:rFonts w:ascii="Times New Roman" w:hAnsi="Times New Roman"/>
          <w:sz w:val="24"/>
          <w:szCs w:val="24"/>
        </w:rPr>
        <w:t>,</w:t>
      </w:r>
      <w:r w:rsidR="00115FCB">
        <w:rPr>
          <w:rFonts w:ascii="Times New Roman" w:hAnsi="Times New Roman"/>
          <w:sz w:val="24"/>
          <w:szCs w:val="24"/>
        </w:rPr>
        <w:t xml:space="preserve"> </w:t>
      </w:r>
      <w:r w:rsidR="000A7914">
        <w:rPr>
          <w:rFonts w:ascii="Times New Roman" w:hAnsi="Times New Roman"/>
          <w:sz w:val="24"/>
          <w:szCs w:val="24"/>
        </w:rPr>
        <w:t>5,283</w:t>
      </w:r>
      <w:r w:rsidR="00115FCB">
        <w:rPr>
          <w:rFonts w:ascii="Times New Roman" w:hAnsi="Times New Roman"/>
          <w:sz w:val="24"/>
          <w:szCs w:val="24"/>
        </w:rPr>
        <w:t xml:space="preserve"> </w:t>
      </w:r>
      <w:r w:rsidRPr="00394171">
        <w:rPr>
          <w:rFonts w:ascii="Times New Roman" w:hAnsi="Times New Roman"/>
          <w:sz w:val="24"/>
          <w:szCs w:val="24"/>
        </w:rPr>
        <w:t xml:space="preserve">workers lost their lives </w:t>
      </w:r>
      <w:r w:rsidRPr="00394171" w:rsidR="00E93482">
        <w:rPr>
          <w:rFonts w:ascii="Times New Roman" w:hAnsi="Times New Roman"/>
          <w:sz w:val="24"/>
          <w:szCs w:val="24"/>
        </w:rPr>
        <w:t>because of</w:t>
      </w:r>
      <w:r w:rsidRPr="00394171">
        <w:rPr>
          <w:rFonts w:ascii="Times New Roman" w:hAnsi="Times New Roman"/>
          <w:sz w:val="24"/>
          <w:szCs w:val="24"/>
        </w:rPr>
        <w:t xml:space="preserve"> fatal</w:t>
      </w:r>
      <w:r w:rsidR="00E93482">
        <w:rPr>
          <w:rFonts w:ascii="Times New Roman" w:hAnsi="Times New Roman"/>
          <w:sz w:val="24"/>
          <w:szCs w:val="24"/>
        </w:rPr>
        <w:t xml:space="preserve"> work</w:t>
      </w:r>
      <w:r w:rsidRPr="00394171">
        <w:rPr>
          <w:rFonts w:ascii="Times New Roman" w:hAnsi="Times New Roman"/>
          <w:sz w:val="24"/>
          <w:szCs w:val="24"/>
        </w:rPr>
        <w:t xml:space="preserve"> injuries. </w:t>
      </w:r>
    </w:p>
    <w:p w:rsidR="00394171" w:rsidRPr="00394171" w:rsidP="00394171" w14:paraId="3A1295B5" w14:textId="77777777">
      <w:pPr>
        <w:rPr>
          <w:rFonts w:ascii="Times New Roman" w:hAnsi="Times New Roman"/>
          <w:sz w:val="24"/>
          <w:szCs w:val="24"/>
        </w:rPr>
      </w:pPr>
    </w:p>
    <w:p w:rsidR="00394171" w:rsidRPr="00394171" w:rsidP="00394171" w14:paraId="76060B88" w14:textId="65103CCA">
      <w:pPr>
        <w:rPr>
          <w:rFonts w:ascii="Times New Roman" w:hAnsi="Times New Roman"/>
          <w:sz w:val="24"/>
          <w:szCs w:val="24"/>
        </w:rPr>
      </w:pPr>
      <w:r w:rsidRPr="00394171">
        <w:rPr>
          <w:rFonts w:ascii="Times New Roman" w:hAnsi="Times New Roman"/>
          <w:sz w:val="24"/>
          <w:szCs w:val="24"/>
        </w:rPr>
        <w:t>During 20</w:t>
      </w:r>
      <w:r w:rsidR="000749D7">
        <w:rPr>
          <w:rFonts w:ascii="Times New Roman" w:hAnsi="Times New Roman"/>
          <w:sz w:val="24"/>
          <w:szCs w:val="24"/>
        </w:rPr>
        <w:t>2</w:t>
      </w:r>
      <w:r w:rsidR="00593F02">
        <w:rPr>
          <w:rFonts w:ascii="Times New Roman" w:hAnsi="Times New Roman"/>
          <w:sz w:val="24"/>
          <w:szCs w:val="24"/>
        </w:rPr>
        <w:t>4</w:t>
      </w:r>
      <w:r w:rsidRPr="00394171">
        <w:rPr>
          <w:rFonts w:ascii="Times New Roman" w:hAnsi="Times New Roman"/>
          <w:sz w:val="24"/>
          <w:szCs w:val="24"/>
        </w:rPr>
        <w:t xml:space="preserve">, the BLS national office alone responded to </w:t>
      </w:r>
      <w:r w:rsidR="00593F02">
        <w:rPr>
          <w:rFonts w:ascii="Times New Roman" w:hAnsi="Times New Roman"/>
          <w:sz w:val="24"/>
          <w:szCs w:val="24"/>
        </w:rPr>
        <w:t>8</w:t>
      </w:r>
      <w:r w:rsidR="000749D7">
        <w:rPr>
          <w:rFonts w:ascii="Times New Roman" w:hAnsi="Times New Roman"/>
          <w:sz w:val="24"/>
          <w:szCs w:val="24"/>
        </w:rPr>
        <w:t>8</w:t>
      </w:r>
      <w:r w:rsidRPr="00394171">
        <w:rPr>
          <w:rFonts w:ascii="Times New Roman" w:hAnsi="Times New Roman"/>
          <w:sz w:val="24"/>
          <w:szCs w:val="24"/>
        </w:rPr>
        <w:t xml:space="preserve"> requests for CFOI data from various researchers and organizations, including manufacturers, insurance companies, engineering firms, security services, universities, business associations, trade unions, government organizations, and news services. (This figure excludes requests received by the BLS regional offices and states.) In addition, the CFOI page of the BLS website averaged about </w:t>
      </w:r>
      <w:r w:rsidR="00593F02">
        <w:rPr>
          <w:rFonts w:ascii="Times New Roman" w:hAnsi="Times New Roman"/>
          <w:sz w:val="24"/>
          <w:szCs w:val="24"/>
        </w:rPr>
        <w:t>8</w:t>
      </w:r>
      <w:r w:rsidR="000749D7">
        <w:rPr>
          <w:rFonts w:ascii="Times New Roman" w:hAnsi="Times New Roman"/>
          <w:sz w:val="24"/>
          <w:szCs w:val="24"/>
        </w:rPr>
        <w:t>,0</w:t>
      </w:r>
      <w:r w:rsidR="00593F02">
        <w:rPr>
          <w:rFonts w:ascii="Times New Roman" w:hAnsi="Times New Roman"/>
          <w:sz w:val="24"/>
          <w:szCs w:val="24"/>
        </w:rPr>
        <w:t>84</w:t>
      </w:r>
      <w:r w:rsidRPr="00394171">
        <w:rPr>
          <w:rFonts w:ascii="Times New Roman" w:hAnsi="Times New Roman"/>
          <w:sz w:val="24"/>
          <w:szCs w:val="24"/>
        </w:rPr>
        <w:t xml:space="preserve"> users per month in 20</w:t>
      </w:r>
      <w:r w:rsidR="000749D7">
        <w:rPr>
          <w:rFonts w:ascii="Times New Roman" w:hAnsi="Times New Roman"/>
          <w:sz w:val="24"/>
          <w:szCs w:val="24"/>
        </w:rPr>
        <w:t>2</w:t>
      </w:r>
      <w:r w:rsidR="00593F02">
        <w:rPr>
          <w:rFonts w:ascii="Times New Roman" w:hAnsi="Times New Roman"/>
          <w:sz w:val="24"/>
          <w:szCs w:val="24"/>
        </w:rPr>
        <w:t>4</w:t>
      </w:r>
      <w:r w:rsidRPr="00394171">
        <w:rPr>
          <w:rFonts w:ascii="Times New Roman" w:hAnsi="Times New Roman"/>
          <w:sz w:val="24"/>
          <w:szCs w:val="24"/>
        </w:rPr>
        <w:t xml:space="preserve">. </w:t>
      </w:r>
    </w:p>
    <w:p w:rsidR="00394171" w:rsidRPr="00394171" w:rsidP="00394171" w14:paraId="60F544E2" w14:textId="77777777">
      <w:pPr>
        <w:rPr>
          <w:rFonts w:ascii="Times New Roman" w:hAnsi="Times New Roman"/>
          <w:sz w:val="24"/>
          <w:szCs w:val="24"/>
        </w:rPr>
      </w:pPr>
    </w:p>
    <w:p w:rsidR="00FE6D99" w:rsidRPr="007106BD" w:rsidP="007106BD" w14:paraId="6530F44A" w14:textId="7FAFDBD2">
      <w:pPr>
        <w:rPr>
          <w:rFonts w:ascii="Times New Roman" w:hAnsi="Times New Roman"/>
          <w:sz w:val="24"/>
          <w:szCs w:val="24"/>
        </w:rPr>
      </w:pPr>
      <w:r w:rsidRPr="007106BD">
        <w:rPr>
          <w:rFonts w:ascii="Times New Roman" w:hAnsi="Times New Roman"/>
          <w:sz w:val="24"/>
          <w:szCs w:val="24"/>
        </w:rPr>
        <w:t xml:space="preserve">The CFOI research file, made available to researchers under letters of agreement to protect confidentiality, is currently being used by 4 organizations to conduct studies on specific topics. (Attachment 1B lists data elements included on the research file.) Study topics include: fatalities by worker demographic category (young workers, older workers, Hispanic workers); by </w:t>
      </w:r>
      <w:r w:rsidRPr="007106BD">
        <w:rPr>
          <w:rFonts w:ascii="Times New Roman" w:hAnsi="Times New Roman"/>
          <w:sz w:val="24"/>
          <w:szCs w:val="24"/>
        </w:rPr>
        <w:t xml:space="preserve">occupation or industry (construction workers, workers in the transportation sector); by event (heat-related fatalities, suicides, and falls from ladders); or other research such as safety and health program injury prevention, the impact of fatality risk on wages, and heterogeneity in the value of a statistical life. </w:t>
      </w:r>
    </w:p>
    <w:p w:rsidR="00394171" w:rsidRPr="00394171" w:rsidP="00394171" w14:paraId="5D7267AF" w14:textId="77777777">
      <w:pPr>
        <w:rPr>
          <w:rFonts w:ascii="Times New Roman" w:hAnsi="Times New Roman"/>
          <w:sz w:val="24"/>
          <w:szCs w:val="24"/>
        </w:rPr>
      </w:pPr>
    </w:p>
    <w:p w:rsidR="00394171" w:rsidRPr="00394171" w:rsidP="00394171" w14:paraId="72DBFBBB" w14:textId="7FE408FD">
      <w:pPr>
        <w:rPr>
          <w:rFonts w:ascii="Times New Roman" w:hAnsi="Times New Roman"/>
          <w:sz w:val="24"/>
          <w:szCs w:val="24"/>
        </w:rPr>
      </w:pPr>
      <w:r w:rsidRPr="00394171">
        <w:rPr>
          <w:rFonts w:ascii="Times New Roman" w:hAnsi="Times New Roman"/>
          <w:sz w:val="24"/>
          <w:szCs w:val="24"/>
        </w:rPr>
        <w:t xml:space="preserve">A list of research articles and reports that include CFOI data can be found </w:t>
      </w:r>
      <w:r w:rsidR="00115FCB">
        <w:rPr>
          <w:rFonts w:ascii="Times New Roman" w:hAnsi="Times New Roman"/>
          <w:sz w:val="24"/>
          <w:szCs w:val="24"/>
        </w:rPr>
        <w:t xml:space="preserve">at </w:t>
      </w:r>
      <w:hyperlink r:id="rId6" w:history="1">
        <w:r w:rsidR="00705DB8">
          <w:rPr>
            <w:rStyle w:val="Hyperlink"/>
            <w:rFonts w:ascii="Times New Roman" w:hAnsi="Times New Roman"/>
            <w:sz w:val="24"/>
            <w:szCs w:val="24"/>
          </w:rPr>
          <w:t>https://www.bls.gov/iif/publications.htm</w:t>
        </w:r>
      </w:hyperlink>
      <w:r w:rsidRPr="00394171">
        <w:rPr>
          <w:rFonts w:ascii="Times New Roman" w:hAnsi="Times New Roman"/>
          <w:sz w:val="24"/>
          <w:szCs w:val="24"/>
        </w:rPr>
        <w:t>.</w:t>
      </w:r>
    </w:p>
    <w:p w:rsidR="00394171" w:rsidRPr="00394171" w:rsidP="00394171" w14:paraId="39ECD5D5" w14:textId="77777777">
      <w:pPr>
        <w:rPr>
          <w:rFonts w:ascii="Times New Roman" w:hAnsi="Times New Roman"/>
          <w:sz w:val="24"/>
          <w:szCs w:val="24"/>
        </w:rPr>
      </w:pPr>
    </w:p>
    <w:p w:rsidR="008C6C7F" w:rsidRPr="00D53DEB" w:rsidP="008C6C7F" w14:paraId="4639D8A1" w14:textId="6740694A">
      <w:pPr>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 describe any consideration of using information technology to reduce burden.</w:t>
      </w:r>
    </w:p>
    <w:p w:rsidR="00394171" w:rsidRPr="00394171" w:rsidP="00394171" w14:paraId="5BF6A49B" w14:textId="77777777">
      <w:pPr>
        <w:rPr>
          <w:rFonts w:ascii="Times New Roman" w:hAnsi="Times New Roman"/>
          <w:sz w:val="24"/>
          <w:szCs w:val="24"/>
        </w:rPr>
      </w:pPr>
    </w:p>
    <w:p w:rsidR="00394171" w:rsidRPr="00394171" w:rsidP="00394171" w14:paraId="2015AA66" w14:textId="2D7C0A57">
      <w:pPr>
        <w:rPr>
          <w:rFonts w:ascii="Times New Roman" w:hAnsi="Times New Roman"/>
          <w:sz w:val="24"/>
          <w:szCs w:val="24"/>
        </w:rPr>
      </w:pPr>
      <w:r>
        <w:rPr>
          <w:rFonts w:ascii="Times New Roman" w:hAnsi="Times New Roman"/>
          <w:sz w:val="24"/>
          <w:szCs w:val="24"/>
        </w:rPr>
        <w:t>Except for use of follow</w:t>
      </w:r>
      <w:r w:rsidR="00041358">
        <w:rPr>
          <w:rFonts w:ascii="Times New Roman" w:hAnsi="Times New Roman"/>
          <w:sz w:val="24"/>
          <w:szCs w:val="24"/>
        </w:rPr>
        <w:t>-</w:t>
      </w:r>
      <w:r>
        <w:rPr>
          <w:rFonts w:ascii="Times New Roman" w:hAnsi="Times New Roman"/>
          <w:sz w:val="24"/>
          <w:szCs w:val="24"/>
        </w:rPr>
        <w:t xml:space="preserve">back questionnaires described below, </w:t>
      </w:r>
      <w:r w:rsidR="004F7997">
        <w:rPr>
          <w:rFonts w:ascii="Times New Roman" w:hAnsi="Times New Roman"/>
          <w:sz w:val="24"/>
          <w:szCs w:val="24"/>
        </w:rPr>
        <w:t xml:space="preserve">the CFOI does not solicit information directly from employers, rather </w:t>
      </w:r>
      <w:r w:rsidRPr="00394171">
        <w:rPr>
          <w:rFonts w:ascii="Times New Roman" w:hAnsi="Times New Roman"/>
          <w:sz w:val="24"/>
          <w:szCs w:val="24"/>
        </w:rPr>
        <w:t>the CFOI primarily uses existing administrative documents (e.g.</w:t>
      </w:r>
      <w:r>
        <w:rPr>
          <w:rFonts w:ascii="Times New Roman" w:hAnsi="Times New Roman"/>
          <w:sz w:val="24"/>
          <w:szCs w:val="24"/>
        </w:rPr>
        <w:t>,</w:t>
      </w:r>
      <w:r w:rsidRPr="00394171">
        <w:rPr>
          <w:rFonts w:ascii="Times New Roman" w:hAnsi="Times New Roman"/>
          <w:sz w:val="24"/>
          <w:szCs w:val="24"/>
        </w:rPr>
        <w:t xml:space="preserve"> death certificates, workers' compensation reports, Occupational Safety and Health Administration (OSHA) investigation reports) and news reports to identify and compile information on fatal occupational injuries. States are encouraged to use as many existing data sources as are available and necessary to compile a complete count of fatal occupational injuries.</w:t>
      </w:r>
      <w:r w:rsidR="004F7997">
        <w:rPr>
          <w:rFonts w:ascii="Times New Roman" w:hAnsi="Times New Roman"/>
          <w:sz w:val="24"/>
          <w:szCs w:val="24"/>
        </w:rPr>
        <w:t xml:space="preserve"> </w:t>
      </w:r>
      <w:r w:rsidRPr="00394171">
        <w:rPr>
          <w:rFonts w:ascii="Times New Roman" w:hAnsi="Times New Roman"/>
          <w:sz w:val="24"/>
          <w:szCs w:val="24"/>
        </w:rPr>
        <w:t xml:space="preserve">Instead of the administrative form itself, some agencies provide computer files or listings of the fatal work injury information. In addition, participating state partners make use of various </w:t>
      </w:r>
      <w:r w:rsidR="004F7997">
        <w:rPr>
          <w:rFonts w:ascii="Times New Roman" w:hAnsi="Times New Roman"/>
          <w:sz w:val="24"/>
          <w:szCs w:val="24"/>
        </w:rPr>
        <w:t xml:space="preserve">public </w:t>
      </w:r>
      <w:r w:rsidRPr="00394171">
        <w:rPr>
          <w:rFonts w:ascii="Times New Roman" w:hAnsi="Times New Roman"/>
          <w:sz w:val="24"/>
          <w:szCs w:val="24"/>
        </w:rPr>
        <w:t>websites</w:t>
      </w:r>
      <w:r w:rsidR="00964026">
        <w:rPr>
          <w:rFonts w:ascii="Times New Roman" w:hAnsi="Times New Roman"/>
          <w:sz w:val="24"/>
          <w:szCs w:val="24"/>
        </w:rPr>
        <w:t xml:space="preserve"> and utilize the </w:t>
      </w:r>
      <w:r w:rsidR="005D2ACB">
        <w:rPr>
          <w:rFonts w:ascii="Times New Roman" w:hAnsi="Times New Roman"/>
          <w:sz w:val="24"/>
          <w:szCs w:val="24"/>
        </w:rPr>
        <w:t>BLS</w:t>
      </w:r>
      <w:r w:rsidR="00964026">
        <w:rPr>
          <w:rFonts w:ascii="Times New Roman" w:hAnsi="Times New Roman"/>
          <w:sz w:val="24"/>
          <w:szCs w:val="24"/>
        </w:rPr>
        <w:t xml:space="preserve"> CFOI Public Data Management System (C-PDMS) web scraper,</w:t>
      </w:r>
      <w:r w:rsidRPr="00394171">
        <w:rPr>
          <w:rFonts w:ascii="Times New Roman" w:hAnsi="Times New Roman"/>
          <w:sz w:val="24"/>
          <w:szCs w:val="24"/>
        </w:rPr>
        <w:t xml:space="preserve"> to gather information on fatal work injuries. The lack of standardization in data among the various data sources and between states impedes additional automation. </w:t>
      </w:r>
    </w:p>
    <w:p w:rsidR="00394171" w:rsidRPr="00394171" w:rsidP="00394171" w14:paraId="7A36C798" w14:textId="77777777">
      <w:pPr>
        <w:rPr>
          <w:rFonts w:ascii="Times New Roman" w:hAnsi="Times New Roman"/>
          <w:sz w:val="24"/>
          <w:szCs w:val="24"/>
        </w:rPr>
      </w:pPr>
    </w:p>
    <w:p w:rsidR="00394171" w:rsidRPr="00394171" w:rsidP="00394171" w14:paraId="2294096F" w14:textId="66999ACC">
      <w:pPr>
        <w:rPr>
          <w:rFonts w:ascii="Times New Roman" w:hAnsi="Times New Roman"/>
          <w:sz w:val="24"/>
          <w:szCs w:val="24"/>
        </w:rPr>
      </w:pPr>
      <w:r w:rsidRPr="00394171">
        <w:rPr>
          <w:rFonts w:ascii="Times New Roman" w:hAnsi="Times New Roman"/>
          <w:sz w:val="24"/>
          <w:szCs w:val="24"/>
        </w:rPr>
        <w:t>State agencies use a follow</w:t>
      </w:r>
      <w:r w:rsidR="00041358">
        <w:rPr>
          <w:rFonts w:ascii="Times New Roman" w:hAnsi="Times New Roman"/>
          <w:sz w:val="24"/>
          <w:szCs w:val="24"/>
        </w:rPr>
        <w:t>-</w:t>
      </w:r>
      <w:r w:rsidRPr="00394171">
        <w:rPr>
          <w:rFonts w:ascii="Times New Roman" w:hAnsi="Times New Roman"/>
          <w:sz w:val="24"/>
          <w:szCs w:val="24"/>
        </w:rPr>
        <w:t xml:space="preserve">back questionnaire, BLS CFOI-1, </w:t>
      </w:r>
      <w:r w:rsidR="004F7997">
        <w:rPr>
          <w:rFonts w:ascii="Times New Roman" w:hAnsi="Times New Roman"/>
          <w:sz w:val="24"/>
          <w:szCs w:val="24"/>
        </w:rPr>
        <w:t xml:space="preserve">where necessary </w:t>
      </w:r>
      <w:r w:rsidRPr="00394171">
        <w:rPr>
          <w:rFonts w:ascii="Times New Roman" w:hAnsi="Times New Roman"/>
          <w:sz w:val="24"/>
          <w:szCs w:val="24"/>
        </w:rPr>
        <w:t xml:space="preserve">to substantiate work relationship when only one source document is available as well as to obtain missing data as needed. This questionnaire is used for roughly </w:t>
      </w:r>
      <w:r w:rsidRPr="00AF4BA4" w:rsidR="00D524AD">
        <w:rPr>
          <w:rFonts w:ascii="Times New Roman" w:hAnsi="Times New Roman"/>
          <w:sz w:val="24"/>
          <w:szCs w:val="24"/>
        </w:rPr>
        <w:t>3</w:t>
      </w:r>
      <w:r w:rsidRPr="00AF4BA4">
        <w:rPr>
          <w:rFonts w:ascii="Times New Roman" w:hAnsi="Times New Roman"/>
          <w:sz w:val="24"/>
          <w:szCs w:val="24"/>
        </w:rPr>
        <w:t xml:space="preserve"> percent</w:t>
      </w:r>
      <w:r w:rsidRPr="00394171">
        <w:rPr>
          <w:rFonts w:ascii="Times New Roman" w:hAnsi="Times New Roman"/>
          <w:sz w:val="24"/>
          <w:szCs w:val="24"/>
        </w:rPr>
        <w:t xml:space="preserve"> of total initiated </w:t>
      </w:r>
      <w:r w:rsidR="004F7997">
        <w:rPr>
          <w:rFonts w:ascii="Times New Roman" w:hAnsi="Times New Roman"/>
          <w:sz w:val="24"/>
          <w:szCs w:val="24"/>
        </w:rPr>
        <w:t xml:space="preserve">fatal injury </w:t>
      </w:r>
      <w:r w:rsidRPr="00394171">
        <w:rPr>
          <w:rFonts w:ascii="Times New Roman" w:hAnsi="Times New Roman"/>
          <w:sz w:val="24"/>
          <w:szCs w:val="24"/>
        </w:rPr>
        <w:t xml:space="preserve">cases. The BLS CFOI questionnaire is designed so that respondents are only asked to complete parts of the questionnaire needed to obtain missing or more detailed data. </w:t>
      </w:r>
      <w:r w:rsidR="004F7997">
        <w:rPr>
          <w:rFonts w:ascii="Times New Roman" w:hAnsi="Times New Roman"/>
          <w:sz w:val="24"/>
          <w:szCs w:val="24"/>
        </w:rPr>
        <w:t xml:space="preserve">Given the small number of </w:t>
      </w:r>
      <w:r w:rsidRPr="00394171">
        <w:rPr>
          <w:rFonts w:ascii="Times New Roman" w:hAnsi="Times New Roman"/>
          <w:sz w:val="24"/>
          <w:szCs w:val="24"/>
        </w:rPr>
        <w:t xml:space="preserve">respondents </w:t>
      </w:r>
      <w:r w:rsidR="004F7997">
        <w:rPr>
          <w:rFonts w:ascii="Times New Roman" w:hAnsi="Times New Roman"/>
          <w:sz w:val="24"/>
          <w:szCs w:val="24"/>
        </w:rPr>
        <w:t xml:space="preserve">for which CFOI uses this form and the need to </w:t>
      </w:r>
      <w:r w:rsidRPr="00394171">
        <w:rPr>
          <w:rFonts w:ascii="Times New Roman" w:hAnsi="Times New Roman"/>
          <w:sz w:val="24"/>
          <w:szCs w:val="24"/>
        </w:rPr>
        <w:t>only complete one section of the questionnaire, developing an electronic form to replace the current paper questionnaire is not cost-efficient. Respondents submit the completed follow-back questionnaire electronically, by post</w:t>
      </w:r>
      <w:r w:rsidR="004F7997">
        <w:rPr>
          <w:rFonts w:ascii="Times New Roman" w:hAnsi="Times New Roman"/>
          <w:sz w:val="24"/>
          <w:szCs w:val="24"/>
        </w:rPr>
        <w:t>al mail</w:t>
      </w:r>
      <w:r w:rsidRPr="00394171">
        <w:rPr>
          <w:rFonts w:ascii="Times New Roman" w:hAnsi="Times New Roman"/>
          <w:sz w:val="24"/>
          <w:szCs w:val="24"/>
        </w:rPr>
        <w:t>, or by fax.</w:t>
      </w:r>
    </w:p>
    <w:p w:rsidR="00394171" w:rsidRPr="00394171" w:rsidP="00394171" w14:paraId="243A9A81" w14:textId="77777777">
      <w:pPr>
        <w:rPr>
          <w:rFonts w:ascii="Times New Roman" w:hAnsi="Times New Roman"/>
          <w:sz w:val="24"/>
          <w:szCs w:val="24"/>
        </w:rPr>
      </w:pPr>
    </w:p>
    <w:p w:rsidR="00394171" w:rsidRPr="00394171" w:rsidP="00394171" w14:paraId="7745FCA9" w14:textId="694E2CBA">
      <w:pPr>
        <w:rPr>
          <w:rFonts w:ascii="Times New Roman" w:hAnsi="Times New Roman"/>
          <w:sz w:val="24"/>
          <w:szCs w:val="24"/>
        </w:rPr>
      </w:pPr>
      <w:r w:rsidRPr="00394171">
        <w:rPr>
          <w:rFonts w:ascii="Times New Roman" w:hAnsi="Times New Roman"/>
          <w:sz w:val="24"/>
          <w:szCs w:val="24"/>
        </w:rPr>
        <w:t xml:space="preserve">Each of the participating state and territorial partners collect and process data for an average of about </w:t>
      </w:r>
      <w:r w:rsidRPr="00AF4BA4" w:rsidR="0082252A">
        <w:rPr>
          <w:rFonts w:ascii="Times New Roman" w:hAnsi="Times New Roman"/>
          <w:sz w:val="24"/>
          <w:szCs w:val="24"/>
        </w:rPr>
        <w:t>10</w:t>
      </w:r>
      <w:r w:rsidRPr="00EC59F0" w:rsidR="00AF4BA4">
        <w:rPr>
          <w:rFonts w:ascii="Times New Roman" w:hAnsi="Times New Roman"/>
          <w:sz w:val="24"/>
          <w:szCs w:val="24"/>
        </w:rPr>
        <w:t>4</w:t>
      </w:r>
      <w:r w:rsidRPr="00AF4BA4">
        <w:rPr>
          <w:rFonts w:ascii="Times New Roman" w:hAnsi="Times New Roman"/>
          <w:sz w:val="24"/>
          <w:szCs w:val="24"/>
        </w:rPr>
        <w:t xml:space="preserve"> fatal occupational</w:t>
      </w:r>
      <w:r w:rsidRPr="00394171">
        <w:rPr>
          <w:rFonts w:ascii="Times New Roman" w:hAnsi="Times New Roman"/>
          <w:sz w:val="24"/>
          <w:szCs w:val="24"/>
        </w:rPr>
        <w:t xml:space="preserve"> injuries per year, or about </w:t>
      </w:r>
      <w:r w:rsidRPr="00AF4BA4">
        <w:rPr>
          <w:rFonts w:ascii="Times New Roman" w:hAnsi="Times New Roman"/>
          <w:sz w:val="24"/>
          <w:szCs w:val="24"/>
        </w:rPr>
        <w:t>10</w:t>
      </w:r>
      <w:r w:rsidRPr="00EC59F0" w:rsidR="00AF4BA4">
        <w:rPr>
          <w:rFonts w:ascii="Times New Roman" w:hAnsi="Times New Roman"/>
          <w:sz w:val="24"/>
          <w:szCs w:val="24"/>
        </w:rPr>
        <w:t>8</w:t>
      </w:r>
      <w:r w:rsidRPr="00AF4BA4">
        <w:rPr>
          <w:rFonts w:ascii="Times New Roman" w:hAnsi="Times New Roman"/>
          <w:sz w:val="24"/>
          <w:szCs w:val="24"/>
        </w:rPr>
        <w:t xml:space="preserve"> fatalities</w:t>
      </w:r>
      <w:r w:rsidRPr="00394171">
        <w:rPr>
          <w:rFonts w:ascii="Times New Roman" w:hAnsi="Times New Roman"/>
          <w:sz w:val="24"/>
          <w:szCs w:val="24"/>
        </w:rPr>
        <w:t>, including illnesses. States enter data into a web-based system provided by the BLS and code the variables using a uniform coding structure. The BLS validates the coding and publishes the results.</w:t>
      </w:r>
    </w:p>
    <w:p w:rsidR="00394171" w:rsidRPr="00394171" w:rsidP="00394171" w14:paraId="52FAC944" w14:textId="77777777">
      <w:pPr>
        <w:rPr>
          <w:rFonts w:ascii="Times New Roman" w:hAnsi="Times New Roman"/>
          <w:sz w:val="24"/>
          <w:szCs w:val="24"/>
        </w:rPr>
      </w:pPr>
    </w:p>
    <w:p w:rsidR="008C6C7F" w:rsidRPr="00D53DEB" w:rsidP="008C6C7F" w14:paraId="3B3E8342" w14:textId="2D1436EB">
      <w:pPr>
        <w:rPr>
          <w:rFonts w:ascii="Times New Roman" w:hAnsi="Times New Roman"/>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394171" w:rsidRPr="00394171" w:rsidP="00394171" w14:paraId="2614AD75" w14:textId="77777777">
      <w:pPr>
        <w:rPr>
          <w:rFonts w:ascii="Times New Roman" w:hAnsi="Times New Roman"/>
          <w:sz w:val="24"/>
          <w:szCs w:val="24"/>
        </w:rPr>
      </w:pPr>
    </w:p>
    <w:p w:rsidR="00394171" w:rsidRPr="00394171" w:rsidP="00394171" w14:paraId="024F2F0F" w14:textId="77777777">
      <w:pPr>
        <w:rPr>
          <w:rFonts w:ascii="Times New Roman" w:hAnsi="Times New Roman"/>
          <w:sz w:val="24"/>
          <w:szCs w:val="24"/>
        </w:rPr>
      </w:pPr>
      <w:r w:rsidRPr="00394171">
        <w:rPr>
          <w:rFonts w:ascii="Times New Roman" w:hAnsi="Times New Roman"/>
          <w:sz w:val="24"/>
          <w:szCs w:val="24"/>
        </w:rPr>
        <w:t xml:space="preserve">During the development of the CFOI, the BLS met with representatives from OSHA, NIOSH, the National Center for Health Statistics (NCHS), and the Mine Safety and Health Administration (MSHA). The BLS keeps </w:t>
      </w:r>
      <w:r w:rsidRPr="00394171">
        <w:rPr>
          <w:rFonts w:ascii="Times New Roman" w:hAnsi="Times New Roman"/>
          <w:sz w:val="24"/>
          <w:szCs w:val="24"/>
        </w:rPr>
        <w:t>these</w:t>
      </w:r>
      <w:r w:rsidRPr="00394171">
        <w:rPr>
          <w:rFonts w:ascii="Times New Roman" w:hAnsi="Times New Roman"/>
          <w:sz w:val="24"/>
          <w:szCs w:val="24"/>
        </w:rPr>
        <w:t xml:space="preserve"> and other agencies informed of CFOI data collection and availability. </w:t>
      </w:r>
    </w:p>
    <w:p w:rsidR="00394171" w:rsidRPr="00394171" w:rsidP="00394171" w14:paraId="32CD05DA" w14:textId="77777777">
      <w:pPr>
        <w:rPr>
          <w:rFonts w:ascii="Times New Roman" w:hAnsi="Times New Roman"/>
          <w:sz w:val="24"/>
          <w:szCs w:val="24"/>
        </w:rPr>
      </w:pPr>
    </w:p>
    <w:p w:rsidR="00394171" w:rsidRPr="00394171" w:rsidP="00394171" w14:paraId="7F4CA965" w14:textId="34836DB1">
      <w:pPr>
        <w:rPr>
          <w:rFonts w:ascii="Times New Roman" w:hAnsi="Times New Roman"/>
          <w:sz w:val="24"/>
          <w:szCs w:val="24"/>
        </w:rPr>
      </w:pPr>
      <w:r w:rsidRPr="00394171">
        <w:rPr>
          <w:rFonts w:ascii="Times New Roman" w:hAnsi="Times New Roman"/>
          <w:sz w:val="24"/>
          <w:szCs w:val="24"/>
        </w:rPr>
        <w:t xml:space="preserve">The BLS keeps abreast of developments in this area by reviewing current literature, and publishing articles. Multiple articles have been published in BLS publications over the last couple of years. The CFOI program also works closely with OSHA and NIOSH surveillance staff, and actively participates in national safety and health conferences and meetings. Staff members regularly make presentations at safety and health conferences. For example, in </w:t>
      </w:r>
      <w:r w:rsidR="00964026">
        <w:rPr>
          <w:rFonts w:ascii="Times New Roman" w:hAnsi="Times New Roman"/>
          <w:sz w:val="24"/>
          <w:szCs w:val="24"/>
        </w:rPr>
        <w:t>May 2022</w:t>
      </w:r>
      <w:r w:rsidRPr="00394171">
        <w:rPr>
          <w:rFonts w:ascii="Times New Roman" w:hAnsi="Times New Roman"/>
          <w:sz w:val="24"/>
          <w:szCs w:val="24"/>
        </w:rPr>
        <w:t xml:space="preserve">, the CFOI program participated in the National Institute for Occupational Safety and Health’s (NIOSH) National Occupational Injury Research Symposium (NOIRS) Conference. </w:t>
      </w:r>
    </w:p>
    <w:p w:rsidR="00394171" w:rsidRPr="00394171" w:rsidP="00394171" w14:paraId="3B0B851F" w14:textId="77777777">
      <w:pPr>
        <w:rPr>
          <w:rFonts w:ascii="Times New Roman" w:hAnsi="Times New Roman"/>
          <w:sz w:val="24"/>
          <w:szCs w:val="24"/>
        </w:rPr>
      </w:pPr>
    </w:p>
    <w:p w:rsidR="00394171" w:rsidRPr="00394171" w:rsidP="00394171" w14:paraId="43FED2CC" w14:textId="18001CFD">
      <w:pPr>
        <w:rPr>
          <w:rFonts w:ascii="Times New Roman" w:hAnsi="Times New Roman"/>
          <w:sz w:val="24"/>
          <w:szCs w:val="24"/>
        </w:rPr>
      </w:pPr>
      <w:r w:rsidRPr="00394171">
        <w:rPr>
          <w:rFonts w:ascii="Times New Roman" w:hAnsi="Times New Roman"/>
          <w:sz w:val="24"/>
          <w:szCs w:val="24"/>
        </w:rPr>
        <w:t xml:space="preserve">As mentioned previously, the CFOI has been adopted by virtually all organizations involved in occupational </w:t>
      </w:r>
      <w:r w:rsidR="003314D0">
        <w:rPr>
          <w:rFonts w:ascii="Times New Roman" w:hAnsi="Times New Roman"/>
          <w:sz w:val="24"/>
          <w:szCs w:val="24"/>
        </w:rPr>
        <w:t xml:space="preserve">safety and </w:t>
      </w:r>
      <w:r w:rsidRPr="00394171">
        <w:rPr>
          <w:rFonts w:ascii="Times New Roman" w:hAnsi="Times New Roman"/>
          <w:sz w:val="24"/>
          <w:szCs w:val="24"/>
        </w:rPr>
        <w:t xml:space="preserve">health as the </w:t>
      </w:r>
      <w:r w:rsidR="00BC6167">
        <w:rPr>
          <w:rFonts w:ascii="Times New Roman" w:hAnsi="Times New Roman"/>
          <w:sz w:val="24"/>
          <w:szCs w:val="24"/>
        </w:rPr>
        <w:t>primary</w:t>
      </w:r>
      <w:r w:rsidRPr="00394171" w:rsidR="00BC6167">
        <w:rPr>
          <w:rFonts w:ascii="Times New Roman" w:hAnsi="Times New Roman"/>
          <w:sz w:val="24"/>
          <w:szCs w:val="24"/>
        </w:rPr>
        <w:t xml:space="preserve"> </w:t>
      </w:r>
      <w:r w:rsidRPr="00394171">
        <w:rPr>
          <w:rFonts w:ascii="Times New Roman" w:hAnsi="Times New Roman"/>
          <w:sz w:val="24"/>
          <w:szCs w:val="24"/>
        </w:rPr>
        <w:t>source of a comprehensive count of fatal work injuries for the U.S. The CFOI data is far more comprehensive and timel</w:t>
      </w:r>
      <w:r w:rsidR="003314D0">
        <w:rPr>
          <w:rFonts w:ascii="Times New Roman" w:hAnsi="Times New Roman"/>
          <w:sz w:val="24"/>
          <w:szCs w:val="24"/>
        </w:rPr>
        <w:t>ier</w:t>
      </w:r>
      <w:r w:rsidRPr="00394171">
        <w:rPr>
          <w:rFonts w:ascii="Times New Roman" w:hAnsi="Times New Roman"/>
          <w:sz w:val="24"/>
          <w:szCs w:val="24"/>
        </w:rPr>
        <w:t xml:space="preserve"> than the previous national fatal work injury surveillance system. </w:t>
      </w:r>
    </w:p>
    <w:p w:rsidR="00394171" w:rsidRPr="00394171" w:rsidP="00394171" w14:paraId="21E9C277" w14:textId="77777777">
      <w:pPr>
        <w:rPr>
          <w:rFonts w:ascii="Times New Roman" w:hAnsi="Times New Roman"/>
          <w:sz w:val="24"/>
          <w:szCs w:val="24"/>
        </w:rPr>
      </w:pPr>
    </w:p>
    <w:p w:rsidR="00394171" w:rsidRPr="00394171" w:rsidP="00394171" w14:paraId="1FD6075B" w14:textId="7E869F2B">
      <w:pPr>
        <w:rPr>
          <w:rFonts w:ascii="Times New Roman" w:hAnsi="Times New Roman"/>
          <w:sz w:val="24"/>
          <w:szCs w:val="24"/>
        </w:rPr>
      </w:pPr>
      <w:r w:rsidRPr="00394171">
        <w:rPr>
          <w:rFonts w:ascii="Times New Roman" w:hAnsi="Times New Roman"/>
          <w:sz w:val="24"/>
          <w:szCs w:val="24"/>
        </w:rPr>
        <w:t xml:space="preserve">The BLS receives and provides fatality reports to state partners from the following federal agencies: OSHA, the </w:t>
      </w:r>
      <w:r w:rsidR="00303A12">
        <w:rPr>
          <w:rFonts w:ascii="Times New Roman" w:hAnsi="Times New Roman"/>
          <w:sz w:val="24"/>
          <w:szCs w:val="24"/>
        </w:rPr>
        <w:t>Division of Federal Employees, Longshore and Harbor Workers’ Compensation (DFELHWC)</w:t>
      </w:r>
      <w:r w:rsidRPr="00394171">
        <w:rPr>
          <w:rFonts w:ascii="Times New Roman" w:hAnsi="Times New Roman"/>
          <w:sz w:val="24"/>
          <w:szCs w:val="24"/>
        </w:rPr>
        <w:t>, U.S. Coast Guard, the National Transportation Safety Board (NTSB), and the Department of Transportation</w:t>
      </w:r>
      <w:r w:rsidR="003D527C">
        <w:rPr>
          <w:rFonts w:ascii="Times New Roman" w:hAnsi="Times New Roman"/>
          <w:sz w:val="24"/>
          <w:szCs w:val="24"/>
        </w:rPr>
        <w:t>,</w:t>
      </w:r>
      <w:r w:rsidRPr="00394171">
        <w:rPr>
          <w:rFonts w:ascii="Times New Roman" w:hAnsi="Times New Roman"/>
          <w:sz w:val="24"/>
          <w:szCs w:val="24"/>
        </w:rPr>
        <w:t xml:space="preserve"> specifically the Federal Railroad Administration (FRA) and the National Highway Traffic Safety Administration (NHTSA). Fatality reports from other federal agencies, such as MSHA, NIOSH, the Federal Emergency Management Agency (FEMA), and the Social Security Administration</w:t>
      </w:r>
      <w:r w:rsidR="002205B7">
        <w:rPr>
          <w:rFonts w:ascii="Times New Roman" w:hAnsi="Times New Roman"/>
          <w:sz w:val="24"/>
          <w:szCs w:val="24"/>
        </w:rPr>
        <w:t xml:space="preserve"> (SSA)</w:t>
      </w:r>
      <w:r w:rsidRPr="00394171">
        <w:rPr>
          <w:rFonts w:ascii="Times New Roman" w:hAnsi="Times New Roman"/>
          <w:sz w:val="24"/>
          <w:szCs w:val="24"/>
        </w:rPr>
        <w:t>, are accessed by the participating state partners from the federal agencies’ websites. States also obtain source documents, such as death certificates, workers’ compensation reports, medical examiner reports, and highway fatality reports within their states.</w:t>
      </w:r>
    </w:p>
    <w:p w:rsidR="00394171" w:rsidRPr="00394171" w:rsidP="00394171" w14:paraId="70E4E368" w14:textId="77777777">
      <w:pPr>
        <w:rPr>
          <w:rFonts w:ascii="Times New Roman" w:hAnsi="Times New Roman"/>
          <w:sz w:val="24"/>
          <w:szCs w:val="24"/>
        </w:rPr>
      </w:pPr>
    </w:p>
    <w:p w:rsidR="00394171" w:rsidRPr="00394171" w:rsidP="00394171" w14:paraId="17F4F336" w14:textId="75E69636">
      <w:pPr>
        <w:rPr>
          <w:rFonts w:ascii="Times New Roman" w:hAnsi="Times New Roman"/>
          <w:sz w:val="24"/>
          <w:szCs w:val="24"/>
        </w:rPr>
      </w:pPr>
      <w:r w:rsidRPr="00394171">
        <w:rPr>
          <w:rFonts w:ascii="Times New Roman" w:hAnsi="Times New Roman"/>
          <w:sz w:val="24"/>
          <w:szCs w:val="24"/>
        </w:rPr>
        <w:t xml:space="preserve">Employers are not required to report fatalities to both the relevant regulatory agency and to the state partners operating the CFOI. Thus, the CFOI system is based primarily on administrative records received from federal, state, and local governmental agencies as well as from some private sector organizations. Employers or individuals are contacted only to clarify data or </w:t>
      </w:r>
      <w:r w:rsidR="002205B7">
        <w:rPr>
          <w:rFonts w:ascii="Times New Roman" w:hAnsi="Times New Roman"/>
          <w:sz w:val="24"/>
          <w:szCs w:val="24"/>
        </w:rPr>
        <w:t xml:space="preserve">to </w:t>
      </w:r>
      <w:r w:rsidRPr="00394171">
        <w:rPr>
          <w:rFonts w:ascii="Times New Roman" w:hAnsi="Times New Roman"/>
          <w:sz w:val="24"/>
          <w:szCs w:val="24"/>
        </w:rPr>
        <w:t>obtain missing information.</w:t>
      </w:r>
    </w:p>
    <w:p w:rsidR="00394171" w:rsidRPr="00394171" w:rsidP="00394171" w14:paraId="2B231DC9" w14:textId="77777777">
      <w:pPr>
        <w:rPr>
          <w:rFonts w:ascii="Times New Roman" w:hAnsi="Times New Roman"/>
          <w:sz w:val="24"/>
          <w:szCs w:val="24"/>
        </w:rPr>
      </w:pPr>
    </w:p>
    <w:p w:rsidR="00394171" w:rsidRPr="00394171" w:rsidP="00394171" w14:paraId="7D3A6036" w14:textId="6AAA20E8">
      <w:pPr>
        <w:rPr>
          <w:rFonts w:ascii="Times New Roman" w:hAnsi="Times New Roman"/>
          <w:sz w:val="24"/>
          <w:szCs w:val="24"/>
        </w:rPr>
      </w:pPr>
      <w:r w:rsidRPr="00394171">
        <w:rPr>
          <w:rFonts w:ascii="Times New Roman" w:hAnsi="Times New Roman"/>
          <w:sz w:val="24"/>
          <w:szCs w:val="24"/>
        </w:rPr>
        <w:t>Using multiple data sources and follow</w:t>
      </w:r>
      <w:r w:rsidR="00041358">
        <w:rPr>
          <w:rFonts w:ascii="Times New Roman" w:hAnsi="Times New Roman"/>
          <w:sz w:val="24"/>
          <w:szCs w:val="24"/>
        </w:rPr>
        <w:t>-</w:t>
      </w:r>
      <w:r w:rsidRPr="00394171">
        <w:rPr>
          <w:rFonts w:ascii="Times New Roman" w:hAnsi="Times New Roman"/>
          <w:sz w:val="24"/>
          <w:szCs w:val="24"/>
        </w:rPr>
        <w:t>back techniques, the CFOI:</w:t>
      </w:r>
    </w:p>
    <w:p w:rsidR="00394171" w:rsidRPr="00394171" w:rsidP="00394171" w14:paraId="438A00A9" w14:textId="77777777">
      <w:pPr>
        <w:rPr>
          <w:rFonts w:ascii="Times New Roman" w:hAnsi="Times New Roman"/>
          <w:sz w:val="24"/>
          <w:szCs w:val="24"/>
        </w:rPr>
      </w:pPr>
    </w:p>
    <w:p w:rsidR="00394171" w:rsidP="00227A71" w14:paraId="204835C7" w14:textId="72749B3E">
      <w:pPr>
        <w:pStyle w:val="ListParagraph"/>
        <w:numPr>
          <w:ilvl w:val="0"/>
          <w:numId w:val="14"/>
        </w:numPr>
        <w:rPr>
          <w:rFonts w:ascii="Times New Roman" w:hAnsi="Times New Roman"/>
          <w:sz w:val="24"/>
          <w:szCs w:val="24"/>
        </w:rPr>
      </w:pPr>
      <w:r>
        <w:rPr>
          <w:rFonts w:ascii="Times New Roman" w:hAnsi="Times New Roman"/>
          <w:sz w:val="24"/>
          <w:szCs w:val="24"/>
        </w:rPr>
        <w:t>C</w:t>
      </w:r>
      <w:r w:rsidRPr="001E23B0">
        <w:rPr>
          <w:rFonts w:ascii="Times New Roman" w:hAnsi="Times New Roman"/>
          <w:sz w:val="24"/>
          <w:szCs w:val="24"/>
        </w:rPr>
        <w:t>ompiles the most complete count of work-related fatal injuries in the United States</w:t>
      </w:r>
    </w:p>
    <w:p w:rsidR="00227A71" w:rsidP="00394171" w14:paraId="5F63C739" w14:textId="5782A59D">
      <w:pPr>
        <w:pStyle w:val="ListParagraph"/>
        <w:numPr>
          <w:ilvl w:val="0"/>
          <w:numId w:val="14"/>
        </w:numPr>
        <w:rPr>
          <w:rFonts w:ascii="Times New Roman" w:hAnsi="Times New Roman"/>
          <w:sz w:val="24"/>
          <w:szCs w:val="24"/>
        </w:rPr>
      </w:pPr>
      <w:r>
        <w:rPr>
          <w:rFonts w:ascii="Times New Roman" w:hAnsi="Times New Roman"/>
          <w:sz w:val="24"/>
          <w:szCs w:val="24"/>
        </w:rPr>
        <w:t>S</w:t>
      </w:r>
      <w:r w:rsidRPr="001E23B0" w:rsidR="00394171">
        <w:rPr>
          <w:rFonts w:ascii="Times New Roman" w:hAnsi="Times New Roman"/>
          <w:sz w:val="24"/>
          <w:szCs w:val="24"/>
        </w:rPr>
        <w:t>ubstantiates work relationship using a consistent definition</w:t>
      </w:r>
    </w:p>
    <w:p w:rsidR="00394171" w:rsidP="00394171" w14:paraId="7F048484" w14:textId="5FE0C669">
      <w:pPr>
        <w:pStyle w:val="ListParagraph"/>
        <w:numPr>
          <w:ilvl w:val="0"/>
          <w:numId w:val="14"/>
        </w:numPr>
        <w:rPr>
          <w:rFonts w:ascii="Times New Roman" w:hAnsi="Times New Roman"/>
          <w:sz w:val="24"/>
          <w:szCs w:val="24"/>
        </w:rPr>
      </w:pPr>
      <w:r>
        <w:rPr>
          <w:rFonts w:ascii="Times New Roman" w:hAnsi="Times New Roman"/>
          <w:sz w:val="24"/>
          <w:szCs w:val="24"/>
        </w:rPr>
        <w:t>I</w:t>
      </w:r>
      <w:r w:rsidRPr="001E23B0">
        <w:rPr>
          <w:rFonts w:ascii="Times New Roman" w:hAnsi="Times New Roman"/>
          <w:sz w:val="24"/>
          <w:szCs w:val="24"/>
        </w:rPr>
        <w:t>ncludes fatal occupational injuries to workers of all ages</w:t>
      </w:r>
    </w:p>
    <w:p w:rsidR="00394171" w:rsidP="00394171" w14:paraId="6B5CB4E3" w14:textId="7A73380C">
      <w:pPr>
        <w:pStyle w:val="ListParagraph"/>
        <w:numPr>
          <w:ilvl w:val="0"/>
          <w:numId w:val="14"/>
        </w:numPr>
        <w:rPr>
          <w:rFonts w:ascii="Times New Roman" w:hAnsi="Times New Roman"/>
          <w:sz w:val="24"/>
          <w:szCs w:val="24"/>
        </w:rPr>
      </w:pPr>
      <w:r>
        <w:rPr>
          <w:rFonts w:ascii="Times New Roman" w:hAnsi="Times New Roman"/>
          <w:sz w:val="24"/>
          <w:szCs w:val="24"/>
        </w:rPr>
        <w:t>I</w:t>
      </w:r>
      <w:r w:rsidRPr="001E23B0">
        <w:rPr>
          <w:rFonts w:ascii="Times New Roman" w:hAnsi="Times New Roman"/>
          <w:sz w:val="24"/>
          <w:szCs w:val="24"/>
        </w:rPr>
        <w:t>dentifies the industry, occupation, demographic information (such as race, ethnicity</w:t>
      </w:r>
      <w:r w:rsidR="00057384">
        <w:rPr>
          <w:rFonts w:ascii="Times New Roman" w:hAnsi="Times New Roman"/>
          <w:sz w:val="24"/>
          <w:szCs w:val="24"/>
        </w:rPr>
        <w:t>,</w:t>
      </w:r>
      <w:r w:rsidRPr="001E23B0">
        <w:rPr>
          <w:rFonts w:ascii="Times New Roman" w:hAnsi="Times New Roman"/>
          <w:sz w:val="24"/>
          <w:szCs w:val="24"/>
        </w:rPr>
        <w:t xml:space="preserve"> and gender), and circumstances related to the fatal injury</w:t>
      </w:r>
    </w:p>
    <w:p w:rsidR="00394171" w:rsidP="00394171" w14:paraId="5E9448E5" w14:textId="35DE85D3">
      <w:pPr>
        <w:pStyle w:val="ListParagraph"/>
        <w:numPr>
          <w:ilvl w:val="0"/>
          <w:numId w:val="14"/>
        </w:numPr>
        <w:rPr>
          <w:rFonts w:ascii="Times New Roman" w:hAnsi="Times New Roman"/>
          <w:sz w:val="24"/>
          <w:szCs w:val="24"/>
        </w:rPr>
      </w:pPr>
      <w:r>
        <w:rPr>
          <w:rFonts w:ascii="Times New Roman" w:hAnsi="Times New Roman"/>
          <w:sz w:val="24"/>
          <w:szCs w:val="24"/>
        </w:rPr>
        <w:t>P</w:t>
      </w:r>
      <w:r w:rsidRPr="001E23B0">
        <w:rPr>
          <w:rFonts w:ascii="Times New Roman" w:hAnsi="Times New Roman"/>
          <w:sz w:val="24"/>
          <w:szCs w:val="24"/>
        </w:rPr>
        <w:t>rovides detailed information about these fatal incidents on a timely basis to assist with developing and implementing prevention strategies</w:t>
      </w:r>
    </w:p>
    <w:p w:rsidR="00394171" w:rsidRPr="00A57476" w:rsidP="001E23B0" w14:paraId="79BD70B3" w14:textId="34C0C66C">
      <w:pPr>
        <w:pStyle w:val="ListParagraph"/>
        <w:numPr>
          <w:ilvl w:val="0"/>
          <w:numId w:val="14"/>
        </w:numPr>
        <w:rPr>
          <w:rFonts w:ascii="Times New Roman" w:hAnsi="Times New Roman"/>
          <w:sz w:val="24"/>
          <w:szCs w:val="24"/>
        </w:rPr>
      </w:pPr>
      <w:r>
        <w:rPr>
          <w:rFonts w:ascii="Times New Roman" w:hAnsi="Times New Roman"/>
          <w:sz w:val="24"/>
          <w:szCs w:val="24"/>
        </w:rPr>
        <w:t>A</w:t>
      </w:r>
      <w:r w:rsidRPr="001E23B0">
        <w:rPr>
          <w:rFonts w:ascii="Times New Roman" w:hAnsi="Times New Roman"/>
          <w:sz w:val="24"/>
          <w:szCs w:val="24"/>
        </w:rPr>
        <w:t>llows policymakers, researchers, and other users to conduct research using a single database, which assists in identifying relationships in serious workplace hazards that may not have otherwise been recognized.</w:t>
      </w:r>
    </w:p>
    <w:p w:rsidR="00394171" w:rsidRPr="00394171" w:rsidP="00394171" w14:paraId="7399785D" w14:textId="77777777">
      <w:pPr>
        <w:rPr>
          <w:rFonts w:ascii="Times New Roman" w:hAnsi="Times New Roman"/>
          <w:sz w:val="24"/>
          <w:szCs w:val="24"/>
        </w:rPr>
      </w:pPr>
    </w:p>
    <w:p w:rsidR="008C6C7F" w:rsidRPr="00D53DEB" w:rsidP="008C6C7F" w14:paraId="3CBAD04D" w14:textId="77777777">
      <w:pPr>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394171" w:rsidRPr="00394171" w:rsidP="00394171" w14:paraId="0967EADF" w14:textId="77777777">
      <w:pPr>
        <w:rPr>
          <w:rFonts w:ascii="Times New Roman" w:hAnsi="Times New Roman"/>
          <w:sz w:val="24"/>
          <w:szCs w:val="24"/>
        </w:rPr>
      </w:pPr>
    </w:p>
    <w:p w:rsidR="00394171" w:rsidRPr="00394171" w:rsidP="00394171" w14:paraId="72AA2A00" w14:textId="3FD31C9A">
      <w:pPr>
        <w:rPr>
          <w:rFonts w:ascii="Times New Roman" w:hAnsi="Times New Roman"/>
          <w:sz w:val="24"/>
          <w:szCs w:val="24"/>
        </w:rPr>
      </w:pPr>
      <w:r w:rsidRPr="00394171">
        <w:rPr>
          <w:rFonts w:ascii="Times New Roman" w:hAnsi="Times New Roman"/>
          <w:sz w:val="24"/>
          <w:szCs w:val="24"/>
        </w:rPr>
        <w:t xml:space="preserve">The burden on small businesses is minimal because the CFOI relies on existing </w:t>
      </w:r>
      <w:r w:rsidR="00070701">
        <w:rPr>
          <w:rFonts w:ascii="Times New Roman" w:hAnsi="Times New Roman"/>
          <w:sz w:val="24"/>
          <w:szCs w:val="24"/>
        </w:rPr>
        <w:t xml:space="preserve">administrative and public </w:t>
      </w:r>
      <w:r w:rsidRPr="00394171">
        <w:rPr>
          <w:rFonts w:ascii="Times New Roman" w:hAnsi="Times New Roman"/>
          <w:sz w:val="24"/>
          <w:szCs w:val="24"/>
        </w:rPr>
        <w:t xml:space="preserve">data sources for </w:t>
      </w:r>
      <w:r w:rsidR="007A5F3D">
        <w:rPr>
          <w:rFonts w:ascii="Times New Roman" w:hAnsi="Times New Roman"/>
          <w:sz w:val="24"/>
          <w:szCs w:val="24"/>
        </w:rPr>
        <w:t>most</w:t>
      </w:r>
      <w:r w:rsidRPr="00394171" w:rsidR="007A5F3D">
        <w:rPr>
          <w:rFonts w:ascii="Times New Roman" w:hAnsi="Times New Roman"/>
          <w:sz w:val="24"/>
          <w:szCs w:val="24"/>
        </w:rPr>
        <w:t xml:space="preserve"> </w:t>
      </w:r>
      <w:r w:rsidRPr="00394171">
        <w:rPr>
          <w:rFonts w:ascii="Times New Roman" w:hAnsi="Times New Roman"/>
          <w:sz w:val="24"/>
          <w:szCs w:val="24"/>
        </w:rPr>
        <w:t xml:space="preserve">of the information </w:t>
      </w:r>
      <w:r w:rsidR="00070701">
        <w:rPr>
          <w:rFonts w:ascii="Times New Roman" w:hAnsi="Times New Roman"/>
          <w:sz w:val="24"/>
          <w:szCs w:val="24"/>
        </w:rPr>
        <w:t xml:space="preserve">used to identify, substantiate, and describe </w:t>
      </w:r>
      <w:r w:rsidRPr="00394171">
        <w:rPr>
          <w:rFonts w:ascii="Times New Roman" w:hAnsi="Times New Roman"/>
          <w:sz w:val="24"/>
          <w:szCs w:val="24"/>
        </w:rPr>
        <w:t>a fatal work injury. Employers are not the sole source used to substantiate work-relationship or to obtain required data elements missing from source documents. Follow</w:t>
      </w:r>
      <w:r w:rsidR="00041358">
        <w:rPr>
          <w:rFonts w:ascii="Times New Roman" w:hAnsi="Times New Roman"/>
          <w:sz w:val="24"/>
          <w:szCs w:val="24"/>
        </w:rPr>
        <w:t>-</w:t>
      </w:r>
      <w:r w:rsidRPr="00394171">
        <w:rPr>
          <w:rFonts w:ascii="Times New Roman" w:hAnsi="Times New Roman"/>
          <w:sz w:val="24"/>
          <w:szCs w:val="24"/>
        </w:rPr>
        <w:t xml:space="preserve">back questionnaires may also be sent to the certifying physician or coroner/medical </w:t>
      </w:r>
      <w:r w:rsidRPr="00394171" w:rsidR="00465A68">
        <w:rPr>
          <w:rFonts w:ascii="Times New Roman" w:hAnsi="Times New Roman"/>
          <w:sz w:val="24"/>
          <w:szCs w:val="24"/>
        </w:rPr>
        <w:t>examiner,</w:t>
      </w:r>
      <w:r w:rsidRPr="00394171">
        <w:rPr>
          <w:rFonts w:ascii="Times New Roman" w:hAnsi="Times New Roman"/>
          <w:sz w:val="24"/>
          <w:szCs w:val="24"/>
        </w:rPr>
        <w:t xml:space="preserve"> or the informant named on the death certificate. </w:t>
      </w:r>
      <w:r w:rsidRPr="0078794D">
        <w:rPr>
          <w:rFonts w:ascii="Times New Roman" w:hAnsi="Times New Roman"/>
          <w:sz w:val="24"/>
          <w:szCs w:val="24"/>
        </w:rPr>
        <w:t xml:space="preserve">An estimated </w:t>
      </w:r>
      <w:r w:rsidRPr="0078794D" w:rsidR="00E074AB">
        <w:rPr>
          <w:rFonts w:ascii="Times New Roman" w:hAnsi="Times New Roman"/>
          <w:sz w:val="24"/>
          <w:szCs w:val="24"/>
        </w:rPr>
        <w:t>66</w:t>
      </w:r>
      <w:r w:rsidRPr="0078794D">
        <w:rPr>
          <w:rFonts w:ascii="Times New Roman" w:hAnsi="Times New Roman"/>
          <w:sz w:val="24"/>
          <w:szCs w:val="24"/>
        </w:rPr>
        <w:t xml:space="preserve"> (</w:t>
      </w:r>
      <w:r w:rsidRPr="0078794D" w:rsidR="00E074AB">
        <w:rPr>
          <w:rFonts w:ascii="Times New Roman" w:hAnsi="Times New Roman"/>
          <w:sz w:val="24"/>
          <w:szCs w:val="24"/>
        </w:rPr>
        <w:t>6</w:t>
      </w:r>
      <w:r w:rsidRPr="0078794D" w:rsidR="004B15F1">
        <w:rPr>
          <w:rFonts w:ascii="Times New Roman" w:hAnsi="Times New Roman"/>
          <w:sz w:val="24"/>
          <w:szCs w:val="24"/>
        </w:rPr>
        <w:t>6</w:t>
      </w:r>
      <w:r w:rsidRPr="0078794D">
        <w:rPr>
          <w:rFonts w:ascii="Times New Roman" w:hAnsi="Times New Roman"/>
          <w:sz w:val="24"/>
          <w:szCs w:val="24"/>
        </w:rPr>
        <w:t>%) of the total (</w:t>
      </w:r>
      <w:r w:rsidRPr="0078794D" w:rsidR="004B15F1">
        <w:rPr>
          <w:rFonts w:ascii="Times New Roman" w:hAnsi="Times New Roman"/>
          <w:sz w:val="24"/>
          <w:szCs w:val="24"/>
        </w:rPr>
        <w:t>1</w:t>
      </w:r>
      <w:r w:rsidRPr="0078794D" w:rsidR="00E074AB">
        <w:rPr>
          <w:rFonts w:ascii="Times New Roman" w:hAnsi="Times New Roman"/>
          <w:sz w:val="24"/>
          <w:szCs w:val="24"/>
        </w:rPr>
        <w:t>00</w:t>
      </w:r>
      <w:r w:rsidRPr="0078794D">
        <w:rPr>
          <w:rFonts w:ascii="Times New Roman" w:hAnsi="Times New Roman"/>
          <w:sz w:val="24"/>
          <w:szCs w:val="24"/>
        </w:rPr>
        <w:t xml:space="preserve">) follow-back respondents </w:t>
      </w:r>
      <w:r w:rsidRPr="0078794D" w:rsidR="00AC3C28">
        <w:rPr>
          <w:rFonts w:ascii="Times New Roman" w:hAnsi="Times New Roman"/>
          <w:sz w:val="24"/>
          <w:szCs w:val="24"/>
        </w:rPr>
        <w:t xml:space="preserve">for the </w:t>
      </w:r>
      <w:r w:rsidRPr="0078794D" w:rsidR="00A92D57">
        <w:rPr>
          <w:rFonts w:ascii="Times New Roman" w:hAnsi="Times New Roman"/>
          <w:sz w:val="24"/>
          <w:szCs w:val="24"/>
        </w:rPr>
        <w:t>20</w:t>
      </w:r>
      <w:r w:rsidRPr="0078794D" w:rsidR="004B15F1">
        <w:rPr>
          <w:rFonts w:ascii="Times New Roman" w:hAnsi="Times New Roman"/>
          <w:sz w:val="24"/>
          <w:szCs w:val="24"/>
        </w:rPr>
        <w:t>2</w:t>
      </w:r>
      <w:r w:rsidRPr="0078794D" w:rsidR="00847C65">
        <w:rPr>
          <w:rFonts w:ascii="Times New Roman" w:hAnsi="Times New Roman"/>
          <w:sz w:val="24"/>
          <w:szCs w:val="24"/>
        </w:rPr>
        <w:t>3</w:t>
      </w:r>
      <w:r w:rsidRPr="0078794D" w:rsidR="00B97F98">
        <w:rPr>
          <w:rFonts w:ascii="Times New Roman" w:hAnsi="Times New Roman"/>
          <w:sz w:val="24"/>
          <w:szCs w:val="24"/>
        </w:rPr>
        <w:t xml:space="preserve"> </w:t>
      </w:r>
      <w:r w:rsidRPr="0078794D" w:rsidR="00AC3C28">
        <w:rPr>
          <w:rFonts w:ascii="Times New Roman" w:hAnsi="Times New Roman"/>
          <w:sz w:val="24"/>
          <w:szCs w:val="24"/>
        </w:rPr>
        <w:t xml:space="preserve">CFOI </w:t>
      </w:r>
      <w:r w:rsidRPr="0078794D" w:rsidR="00B61DA5">
        <w:rPr>
          <w:rFonts w:ascii="Times New Roman" w:hAnsi="Times New Roman"/>
          <w:sz w:val="24"/>
          <w:szCs w:val="24"/>
        </w:rPr>
        <w:t xml:space="preserve">were </w:t>
      </w:r>
      <w:r w:rsidRPr="0078794D">
        <w:rPr>
          <w:rFonts w:ascii="Times New Roman" w:hAnsi="Times New Roman"/>
          <w:sz w:val="24"/>
          <w:szCs w:val="24"/>
        </w:rPr>
        <w:t xml:space="preserve">private sector </w:t>
      </w:r>
      <w:r w:rsidRPr="0078794D">
        <w:rPr>
          <w:rFonts w:ascii="Times New Roman" w:hAnsi="Times New Roman"/>
          <w:sz w:val="24"/>
          <w:szCs w:val="24"/>
        </w:rPr>
        <w:t>em</w:t>
      </w:r>
      <w:r w:rsidRPr="00394171">
        <w:rPr>
          <w:rFonts w:ascii="Times New Roman" w:hAnsi="Times New Roman"/>
          <w:sz w:val="24"/>
          <w:szCs w:val="24"/>
        </w:rPr>
        <w:t>ployers</w:t>
      </w:r>
      <w:r w:rsidRPr="00394171">
        <w:rPr>
          <w:rFonts w:ascii="Times New Roman" w:hAnsi="Times New Roman"/>
          <w:sz w:val="24"/>
          <w:szCs w:val="24"/>
        </w:rPr>
        <w:t xml:space="preserve">. Data </w:t>
      </w:r>
      <w:r w:rsidRPr="00394171">
        <w:rPr>
          <w:rFonts w:ascii="Times New Roman" w:hAnsi="Times New Roman"/>
          <w:sz w:val="24"/>
          <w:szCs w:val="24"/>
        </w:rPr>
        <w:t>are</w:t>
      </w:r>
      <w:r w:rsidRPr="00394171">
        <w:rPr>
          <w:rFonts w:ascii="Times New Roman" w:hAnsi="Times New Roman"/>
          <w:sz w:val="24"/>
          <w:szCs w:val="24"/>
        </w:rPr>
        <w:t xml:space="preserve"> not compiled to determine how many of these </w:t>
      </w:r>
      <w:r w:rsidRPr="00394171">
        <w:rPr>
          <w:rFonts w:ascii="Times New Roman" w:hAnsi="Times New Roman"/>
          <w:sz w:val="24"/>
          <w:szCs w:val="24"/>
        </w:rPr>
        <w:t>employers</w:t>
      </w:r>
      <w:r w:rsidRPr="00394171">
        <w:rPr>
          <w:rFonts w:ascii="Times New Roman" w:hAnsi="Times New Roman"/>
          <w:sz w:val="24"/>
          <w:szCs w:val="24"/>
        </w:rPr>
        <w:t xml:space="preserve"> are small businesses. </w:t>
      </w:r>
    </w:p>
    <w:p w:rsidR="00394171" w:rsidRPr="00394171" w:rsidP="00394171" w14:paraId="051A3CA9" w14:textId="77777777">
      <w:pPr>
        <w:rPr>
          <w:rFonts w:ascii="Times New Roman" w:hAnsi="Times New Roman"/>
          <w:sz w:val="24"/>
          <w:szCs w:val="24"/>
        </w:rPr>
      </w:pPr>
    </w:p>
    <w:p w:rsidR="00394171" w:rsidRPr="00394171" w:rsidP="00394171" w14:paraId="5A95E035" w14:textId="5F8901BA">
      <w:pPr>
        <w:rPr>
          <w:rFonts w:ascii="Times New Roman" w:hAnsi="Times New Roman"/>
          <w:sz w:val="24"/>
          <w:szCs w:val="24"/>
        </w:rPr>
      </w:pPr>
      <w:r w:rsidRPr="00394171">
        <w:rPr>
          <w:rFonts w:ascii="Times New Roman" w:hAnsi="Times New Roman"/>
          <w:sz w:val="24"/>
          <w:szCs w:val="24"/>
        </w:rPr>
        <w:t>Follow</w:t>
      </w:r>
      <w:r w:rsidR="00041358">
        <w:rPr>
          <w:rFonts w:ascii="Times New Roman" w:hAnsi="Times New Roman"/>
          <w:sz w:val="24"/>
          <w:szCs w:val="24"/>
        </w:rPr>
        <w:t>-</w:t>
      </w:r>
      <w:r w:rsidRPr="00394171">
        <w:rPr>
          <w:rFonts w:ascii="Times New Roman" w:hAnsi="Times New Roman"/>
          <w:sz w:val="24"/>
          <w:szCs w:val="24"/>
        </w:rPr>
        <w:t xml:space="preserve">back questionnaires to small employers are often necessary to ensure that fatal injuries occurring to workers in smaller establishments are included in the count of fatal work injuries and that information concerning these deaths is accurately reflected in the CFOI database. </w:t>
      </w:r>
    </w:p>
    <w:p w:rsidR="00394171" w:rsidRPr="00394171" w:rsidP="00394171" w14:paraId="42C72FAA" w14:textId="77777777">
      <w:pPr>
        <w:rPr>
          <w:rFonts w:ascii="Times New Roman" w:hAnsi="Times New Roman"/>
          <w:sz w:val="24"/>
          <w:szCs w:val="24"/>
        </w:rPr>
      </w:pPr>
    </w:p>
    <w:p w:rsidR="008C6C7F" w:rsidRPr="00D53DEB" w:rsidP="008C6C7F" w14:paraId="30D6924B" w14:textId="77777777">
      <w:pPr>
        <w:rPr>
          <w:rFonts w:ascii="Times New Roman" w:hAnsi="Times New Roman"/>
          <w:b/>
          <w:bCs/>
        </w:rPr>
      </w:pPr>
      <w:r w:rsidRPr="00D53DEB">
        <w:rPr>
          <w:rFonts w:ascii="Times New Roman" w:hAnsi="Times New Roman"/>
          <w:b/>
          <w:bCs/>
        </w:rPr>
        <w:t>6</w:t>
      </w:r>
      <w:r w:rsidRPr="00D53DEB">
        <w:rPr>
          <w:rFonts w:ascii="Times New Roman" w:hAnsi="Times New Roman"/>
          <w:b/>
          <w:bCs/>
        </w:rPr>
        <w:t>.  Describe</w:t>
      </w:r>
      <w:r w:rsidRPr="00D53DEB">
        <w:rPr>
          <w:rFonts w:ascii="Times New Roman" w:hAnsi="Times New Roman"/>
          <w:b/>
          <w:bCs/>
        </w:rPr>
        <w:t xml:space="preserve"> the consequence </w:t>
      </w:r>
      <w:r w:rsidRPr="00D53DEB">
        <w:rPr>
          <w:rFonts w:ascii="Times New Roman" w:hAnsi="Times New Roman"/>
          <w:b/>
          <w:bCs/>
        </w:rPr>
        <w:t>to</w:t>
      </w:r>
      <w:r w:rsidRPr="00D53DEB">
        <w:rPr>
          <w:rFonts w:ascii="Times New Roman" w:hAnsi="Times New Roman"/>
          <w:b/>
          <w:bCs/>
        </w:rPr>
        <w:t xml:space="preserve"> federal program or policy activities if the collection is not conducted or is conducted less frequently, as well as any technical or legal obstacles to reducing burden.</w:t>
      </w:r>
    </w:p>
    <w:p w:rsidR="00394171" w:rsidRPr="00394171" w:rsidP="00394171" w14:paraId="34B5560D" w14:textId="77777777">
      <w:pPr>
        <w:rPr>
          <w:rFonts w:ascii="Times New Roman" w:hAnsi="Times New Roman"/>
          <w:sz w:val="24"/>
          <w:szCs w:val="24"/>
        </w:rPr>
      </w:pPr>
    </w:p>
    <w:p w:rsidR="00394171" w:rsidRPr="00394171" w:rsidP="00394171" w14:paraId="2BB2EF97" w14:textId="0DCB22C0">
      <w:pPr>
        <w:rPr>
          <w:rFonts w:ascii="Times New Roman" w:hAnsi="Times New Roman"/>
          <w:sz w:val="24"/>
          <w:szCs w:val="24"/>
        </w:rPr>
      </w:pPr>
      <w:r w:rsidRPr="00394171">
        <w:rPr>
          <w:rFonts w:ascii="Times New Roman" w:hAnsi="Times New Roman"/>
          <w:sz w:val="24"/>
          <w:szCs w:val="24"/>
        </w:rPr>
        <w:t xml:space="preserve">Data collection occurs on an ongoing basis throughout the year so that the </w:t>
      </w:r>
      <w:r w:rsidR="00B61DA5">
        <w:rPr>
          <w:rFonts w:ascii="Times New Roman" w:hAnsi="Times New Roman"/>
          <w:sz w:val="24"/>
          <w:szCs w:val="24"/>
        </w:rPr>
        <w:t>BLS</w:t>
      </w:r>
      <w:r w:rsidRPr="00394171">
        <w:rPr>
          <w:rFonts w:ascii="Times New Roman" w:hAnsi="Times New Roman"/>
          <w:sz w:val="24"/>
          <w:szCs w:val="24"/>
        </w:rPr>
        <w:t xml:space="preserve"> can compile and publish </w:t>
      </w:r>
      <w:r w:rsidR="00B61DA5">
        <w:rPr>
          <w:rFonts w:ascii="Times New Roman" w:hAnsi="Times New Roman"/>
          <w:sz w:val="24"/>
          <w:szCs w:val="24"/>
        </w:rPr>
        <w:t xml:space="preserve">CFOI </w:t>
      </w:r>
      <w:r w:rsidRPr="00394171">
        <w:rPr>
          <w:rFonts w:ascii="Times New Roman" w:hAnsi="Times New Roman"/>
          <w:sz w:val="24"/>
          <w:szCs w:val="24"/>
        </w:rPr>
        <w:t>data in a timely manner and on a consistent schedule</w:t>
      </w:r>
      <w:r w:rsidR="00303A12">
        <w:rPr>
          <w:rFonts w:ascii="Times New Roman" w:hAnsi="Times New Roman"/>
          <w:sz w:val="24"/>
          <w:szCs w:val="24"/>
        </w:rPr>
        <w:t xml:space="preserve">. </w:t>
      </w:r>
      <w:r w:rsidR="00D86425">
        <w:rPr>
          <w:rFonts w:ascii="Times New Roman" w:hAnsi="Times New Roman"/>
          <w:sz w:val="24"/>
          <w:szCs w:val="24"/>
        </w:rPr>
        <w:t>T</w:t>
      </w:r>
      <w:r w:rsidRPr="00394171">
        <w:rPr>
          <w:rFonts w:ascii="Times New Roman" w:hAnsi="Times New Roman"/>
          <w:sz w:val="24"/>
          <w:szCs w:val="24"/>
        </w:rPr>
        <w:t xml:space="preserve">he program </w:t>
      </w:r>
      <w:r w:rsidR="00D86425">
        <w:rPr>
          <w:rFonts w:ascii="Times New Roman" w:hAnsi="Times New Roman"/>
          <w:sz w:val="24"/>
          <w:szCs w:val="24"/>
        </w:rPr>
        <w:t xml:space="preserve">currently </w:t>
      </w:r>
      <w:r w:rsidRPr="00394171">
        <w:rPr>
          <w:rFonts w:ascii="Times New Roman" w:hAnsi="Times New Roman"/>
          <w:sz w:val="24"/>
          <w:szCs w:val="24"/>
        </w:rPr>
        <w:t>release</w:t>
      </w:r>
      <w:r w:rsidR="00D86425">
        <w:rPr>
          <w:rFonts w:ascii="Times New Roman" w:hAnsi="Times New Roman"/>
          <w:sz w:val="24"/>
          <w:szCs w:val="24"/>
        </w:rPr>
        <w:t>s data</w:t>
      </w:r>
      <w:r w:rsidRPr="00394171">
        <w:rPr>
          <w:rFonts w:ascii="Times New Roman" w:hAnsi="Times New Roman"/>
          <w:sz w:val="24"/>
          <w:szCs w:val="24"/>
        </w:rPr>
        <w:t xml:space="preserve"> 12 months after the end of the reference year. By providing timely fatal occupational injury data, the CFOI provides employers, workers, and safety and health professionals the information necessary to respond to emerging workplace hazards. </w:t>
      </w:r>
      <w:r w:rsidRPr="00394171" w:rsidR="00B61DA5">
        <w:rPr>
          <w:rFonts w:ascii="Times New Roman" w:hAnsi="Times New Roman"/>
          <w:sz w:val="24"/>
          <w:szCs w:val="24"/>
        </w:rPr>
        <w:t>Several</w:t>
      </w:r>
      <w:r w:rsidRPr="00394171">
        <w:rPr>
          <w:rFonts w:ascii="Times New Roman" w:hAnsi="Times New Roman"/>
          <w:sz w:val="24"/>
          <w:szCs w:val="24"/>
        </w:rPr>
        <w:t xml:space="preserve"> organizations use CFOI data annually in their publications, in their research, and for strategic planning or performance measurement.</w:t>
      </w:r>
      <w:r w:rsidR="005279F4">
        <w:rPr>
          <w:rFonts w:ascii="Times New Roman" w:hAnsi="Times New Roman"/>
          <w:sz w:val="24"/>
          <w:szCs w:val="24"/>
        </w:rPr>
        <w:t xml:space="preserve"> </w:t>
      </w:r>
      <w:r w:rsidR="009D03A2">
        <w:rPr>
          <w:rFonts w:ascii="Times New Roman" w:hAnsi="Times New Roman"/>
          <w:sz w:val="24"/>
          <w:szCs w:val="24"/>
        </w:rPr>
        <w:t>The CFOI</w:t>
      </w:r>
      <w:r w:rsidR="009D03A2">
        <w:rPr>
          <w:rFonts w:ascii="Times New Roman" w:hAnsi="Times New Roman"/>
          <w:sz w:val="24"/>
          <w:szCs w:val="24"/>
        </w:rPr>
        <w:t xml:space="preserve"> provides the only comprehensive national source of fatal work injury data. </w:t>
      </w:r>
      <w:r w:rsidR="005279F4">
        <w:rPr>
          <w:rFonts w:ascii="Times New Roman" w:hAnsi="Times New Roman"/>
          <w:sz w:val="24"/>
          <w:szCs w:val="24"/>
        </w:rPr>
        <w:t>If the CFOI collection w</w:t>
      </w:r>
      <w:r w:rsidR="00594B9F">
        <w:rPr>
          <w:rFonts w:ascii="Times New Roman" w:hAnsi="Times New Roman"/>
          <w:sz w:val="24"/>
          <w:szCs w:val="24"/>
        </w:rPr>
        <w:t>as</w:t>
      </w:r>
      <w:r w:rsidR="005279F4">
        <w:rPr>
          <w:rFonts w:ascii="Times New Roman" w:hAnsi="Times New Roman"/>
          <w:sz w:val="24"/>
          <w:szCs w:val="24"/>
        </w:rPr>
        <w:t xml:space="preserve"> not conducted or if it was conducted less frequently, this would adversely impact data users’ and policy makers’ ability to make informed decisions that directly impact worker safety and health. </w:t>
      </w:r>
    </w:p>
    <w:p w:rsidR="00394171" w:rsidRPr="00394171" w:rsidP="00394171" w14:paraId="0A9E368C" w14:textId="77777777">
      <w:pPr>
        <w:rPr>
          <w:rFonts w:ascii="Times New Roman" w:hAnsi="Times New Roman"/>
          <w:sz w:val="24"/>
          <w:szCs w:val="24"/>
        </w:rPr>
      </w:pPr>
    </w:p>
    <w:p w:rsidR="00394171" w:rsidRPr="00394171" w:rsidP="00394171" w14:paraId="624C276A" w14:textId="77777777">
      <w:pPr>
        <w:rPr>
          <w:rFonts w:ascii="Times New Roman" w:hAnsi="Times New Roman"/>
          <w:sz w:val="24"/>
          <w:szCs w:val="24"/>
        </w:rPr>
      </w:pPr>
    </w:p>
    <w:p w:rsidR="008C6C7F" w:rsidRPr="00D53DEB" w:rsidP="008C6C7F" w14:paraId="1C29684F" w14:textId="77777777">
      <w:pPr>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8C6C7F" w:rsidRPr="00B65823" w:rsidP="008C6C7F" w14:paraId="7B934DE7" w14:textId="77777777">
      <w:pPr>
        <w:rPr>
          <w:rFonts w:ascii="Times New Roman" w:hAnsi="Times New Roman"/>
          <w:b/>
        </w:rPr>
      </w:pPr>
    </w:p>
    <w:p w:rsidR="008C6C7F" w:rsidRPr="003E1039" w:rsidP="008C6C7F" w14:paraId="5D208164"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requiring respondents to report information to the agency more often than quarterly;</w:t>
      </w:r>
    </w:p>
    <w:p w:rsidR="008C6C7F" w:rsidRPr="003E1039" w:rsidP="008C6C7F" w14:paraId="4310B783"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requiring respondents to prepare a written response to a collection of information in fewer than 30 days after receipt of it;</w:t>
      </w:r>
    </w:p>
    <w:p w:rsidR="008C6C7F" w:rsidRPr="003E1039" w:rsidP="008C6C7F" w14:paraId="735D02CA"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requiring respondents to submit more than an original and two copies of any document;</w:t>
      </w:r>
    </w:p>
    <w:p w:rsidR="008C6C7F" w:rsidRPr="003E1039" w:rsidP="008C6C7F" w14:paraId="5240F64B"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requiring respondents to retain records, other than health, medical, government contract, grant-in-aid, or tax records for more than three years;</w:t>
      </w:r>
    </w:p>
    <w:p w:rsidR="008C6C7F" w:rsidRPr="003E1039" w:rsidP="008C6C7F" w14:paraId="21357F47"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in connection with a statistical survey, that is not designed to produce valid and reliable results that can be generalized to the universe of study;</w:t>
      </w:r>
    </w:p>
    <w:p w:rsidR="008C6C7F" w:rsidRPr="003E1039" w:rsidP="008C6C7F" w14:paraId="1C608D14"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requiring the use of statistical data classification that has not been reviewed and approved by OMB;</w:t>
      </w:r>
    </w:p>
    <w:p w:rsidR="008C6C7F" w:rsidRPr="003E1039" w:rsidP="008C6C7F" w14:paraId="3F10FA47"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that includes a pledge of </w:t>
      </w:r>
      <w:r w:rsidRPr="003E1039">
        <w:rPr>
          <w:rFonts w:ascii="Times New Roman" w:hAnsi="Times New Roman"/>
          <w:b/>
          <w:bCs/>
        </w:rPr>
        <w:t>confidentially</w:t>
      </w:r>
      <w:r w:rsidRPr="003E1039">
        <w:rPr>
          <w:rFonts w:ascii="Times New Roman" w:hAnsi="Times New Roman"/>
          <w:b/>
          <w:bCs/>
        </w:rPr>
        <w:t xml:space="preserve"> that is not supported by authority established in statute or regulation, that is not supported by disclosure and data security policies that are consistent </w:t>
      </w:r>
      <w:r w:rsidRPr="003E1039">
        <w:rPr>
          <w:rFonts w:ascii="Times New Roman" w:hAnsi="Times New Roman"/>
          <w:b/>
          <w:bCs/>
        </w:rPr>
        <w:t>with the pledge, or which unnecessarily impedes sharing of data with other agencies for compatible confidential use; or</w:t>
      </w:r>
    </w:p>
    <w:p w:rsidR="008C6C7F" w:rsidRPr="00B65823" w:rsidP="008C6C7F" w14:paraId="095E509C" w14:textId="77777777">
      <w:pPr>
        <w:numPr>
          <w:ilvl w:val="0"/>
          <w:numId w:val="11"/>
        </w:numPr>
        <w:tabs>
          <w:tab w:val="clear" w:pos="1080"/>
        </w:tabs>
        <w:autoSpaceDE w:val="0"/>
        <w:autoSpaceDN w:val="0"/>
        <w:adjustRightInd w:val="0"/>
        <w:rPr>
          <w:b/>
          <w:bCs/>
        </w:rPr>
      </w:pPr>
      <w:r w:rsidRPr="003E1039">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394171" w:rsidRPr="00394171" w:rsidP="00394171" w14:paraId="3BF06600" w14:textId="77777777">
      <w:pPr>
        <w:rPr>
          <w:rFonts w:ascii="Times New Roman" w:hAnsi="Times New Roman"/>
          <w:sz w:val="24"/>
          <w:szCs w:val="24"/>
        </w:rPr>
      </w:pPr>
    </w:p>
    <w:p w:rsidR="005E7F7E" w:rsidRPr="00987488" w:rsidP="005E7F7E" w14:paraId="0C27B382" w14:textId="77777777">
      <w:pPr>
        <w:spacing w:line="240" w:lineRule="exact"/>
        <w:rPr>
          <w:rFonts w:ascii="Times New Roman" w:hAnsi="Times New Roman"/>
          <w:sz w:val="24"/>
          <w:szCs w:val="24"/>
        </w:rPr>
      </w:pPr>
      <w:r w:rsidRPr="00987488">
        <w:rPr>
          <w:rFonts w:ascii="Times New Roman" w:hAnsi="Times New Roman"/>
          <w:sz w:val="24"/>
          <w:szCs w:val="24"/>
        </w:rPr>
        <w:t>CFOI data are collected once annually. The BLS asks select respondents to complete the CFOI follow-back questionnaire in instances where details needed to substantiate fatal work injuries may be limited or unavailable from other data sources. The BLS asks these respondents to return the follow-back questionnaire as soon as possible to both reduce the number of nonrespondents due to relocation and to minimize recall problems for respondents. Survey studies have shown that one's retention of information about an event declines over time. (See M. Warner, et al., “The effects of recall on reporting injury and poisoning episodes in the National Health Interview Survey,” Injury Prevention, 11, October 2005, pp. 282-7, for a discussion of recall of information in survey studies.</w:t>
      </w:r>
      <w:r w:rsidRPr="00987488">
        <w:rPr>
          <w:rStyle w:val="FootnoteReference"/>
          <w:rFonts w:ascii="Times New Roman" w:hAnsi="Times New Roman" w:eastAsiaTheme="majorEastAsia"/>
          <w:sz w:val="24"/>
          <w:szCs w:val="24"/>
        </w:rPr>
        <w:t xml:space="preserve"> </w:t>
      </w:r>
      <w:r>
        <w:rPr>
          <w:rStyle w:val="FootnoteReference"/>
          <w:rFonts w:ascii="Times New Roman" w:hAnsi="Times New Roman" w:eastAsiaTheme="majorEastAsia"/>
          <w:sz w:val="24"/>
          <w:szCs w:val="24"/>
        </w:rPr>
        <w:footnoteReference w:id="3"/>
      </w:r>
      <w:r w:rsidRPr="00987488">
        <w:rPr>
          <w:rFonts w:ascii="Times New Roman" w:hAnsi="Times New Roman"/>
          <w:sz w:val="24"/>
          <w:szCs w:val="24"/>
        </w:rPr>
        <w:t>) Timely follow-back is, therefore, essential for collecting accurate fatal work injury data.</w:t>
      </w:r>
    </w:p>
    <w:p w:rsidR="005E7F7E" w:rsidRPr="00987488" w:rsidP="005E7F7E" w14:paraId="6A1E2F68" w14:textId="77777777">
      <w:pPr>
        <w:spacing w:line="240" w:lineRule="exact"/>
        <w:rPr>
          <w:rFonts w:ascii="Times New Roman" w:hAnsi="Times New Roman"/>
          <w:sz w:val="24"/>
          <w:szCs w:val="24"/>
        </w:rPr>
      </w:pPr>
    </w:p>
    <w:p w:rsidR="005E7F7E" w:rsidRPr="00987488" w:rsidP="005E7F7E" w14:paraId="230D96EE" w14:textId="77777777">
      <w:pPr>
        <w:spacing w:line="240" w:lineRule="exact"/>
        <w:rPr>
          <w:rFonts w:ascii="Times New Roman" w:hAnsi="Times New Roman"/>
          <w:sz w:val="24"/>
          <w:szCs w:val="24"/>
        </w:rPr>
      </w:pPr>
      <w:r w:rsidRPr="00987488">
        <w:rPr>
          <w:rFonts w:ascii="Times New Roman" w:hAnsi="Times New Roman"/>
          <w:sz w:val="24"/>
          <w:szCs w:val="24"/>
        </w:rPr>
        <w:t>The CFOI provides valid and reliable statistics about the details of fatal work injuries. Incident information for fatal workplace injuries is classified by the BLS and participating state agencies using the BLS Occupational Injury and Illness Classification System (OIICS) which was submitted to OMB with the initial program redesign clearance in 1991. An updated version of this classification system (OIICS 2.0) was submitted to OMB in 2011, and a subsequent update (OIICS 3.0) was submitted in 2017 and recently implemented in CFOI collection and publication.</w:t>
      </w:r>
    </w:p>
    <w:p w:rsidR="005E7F7E" w:rsidRPr="00987488" w:rsidP="005E7F7E" w14:paraId="5B63DC63" w14:textId="77777777">
      <w:pPr>
        <w:spacing w:line="240" w:lineRule="exact"/>
        <w:rPr>
          <w:rFonts w:ascii="Times New Roman" w:hAnsi="Times New Roman"/>
          <w:sz w:val="24"/>
          <w:szCs w:val="24"/>
        </w:rPr>
      </w:pPr>
    </w:p>
    <w:p w:rsidR="005E7F7E" w:rsidRPr="00987488" w:rsidP="005E7F7E" w14:paraId="210A9716" w14:textId="7117A83F">
      <w:pPr>
        <w:spacing w:line="240" w:lineRule="exact"/>
        <w:rPr>
          <w:rFonts w:ascii="Times New Roman" w:hAnsi="Times New Roman"/>
          <w:sz w:val="24"/>
          <w:szCs w:val="24"/>
        </w:rPr>
      </w:pPr>
      <w:bookmarkStart w:id="0" w:name="_Hlk178748805"/>
      <w:r w:rsidRPr="00987488">
        <w:rPr>
          <w:rFonts w:ascii="Times New Roman" w:hAnsi="Times New Roman"/>
          <w:sz w:val="24"/>
          <w:szCs w:val="24"/>
        </w:rPr>
        <w:t>Per the 2024 OMB Statistical Policy Directive 15: Standards for Maintaining, Collecting, and Presenting Federal Data on Race and Ethnicity (SPD-15), the BLS has assessed the work required to implement the 2024 SPD 15 updates to CFOI collection, tabulation, dissemination processes and IT systems and determined that</w:t>
      </w:r>
      <w:r w:rsidR="00772489">
        <w:rPr>
          <w:rFonts w:ascii="Times New Roman" w:hAnsi="Times New Roman"/>
          <w:sz w:val="24"/>
          <w:szCs w:val="24"/>
        </w:rPr>
        <w:t xml:space="preserve"> work to implement these changes will commence following completion of current projects</w:t>
      </w:r>
      <w:r w:rsidRPr="00987488">
        <w:rPr>
          <w:rFonts w:ascii="Times New Roman" w:hAnsi="Times New Roman"/>
          <w:sz w:val="24"/>
          <w:szCs w:val="24"/>
        </w:rPr>
        <w:t xml:space="preserve">. The resources that must implement changes to CFOI must also implement changes for the BLS Survey of Occupational Injuries and Illnesses (SOII). The BLS recently implemented major updates to both SOII and CFOI data collection processes and systems for the aforementioned OIICS coding taxonomy revisions and the 2022 revision for the North American Industry Classification System (NAICS). </w:t>
      </w:r>
      <w:r w:rsidR="00772489">
        <w:rPr>
          <w:rFonts w:ascii="Times New Roman" w:hAnsi="Times New Roman"/>
          <w:sz w:val="24"/>
          <w:szCs w:val="24"/>
        </w:rPr>
        <w:t xml:space="preserve">System updates </w:t>
      </w:r>
      <w:r w:rsidRPr="00987488">
        <w:rPr>
          <w:rFonts w:ascii="Times New Roman" w:hAnsi="Times New Roman"/>
          <w:sz w:val="24"/>
          <w:szCs w:val="24"/>
        </w:rPr>
        <w:t xml:space="preserve">utilizing available resources </w:t>
      </w:r>
      <w:r w:rsidRPr="00987488">
        <w:rPr>
          <w:rFonts w:ascii="Times New Roman" w:hAnsi="Times New Roman"/>
          <w:sz w:val="24"/>
          <w:szCs w:val="24"/>
        </w:rPr>
        <w:t>continues</w:t>
      </w:r>
      <w:r w:rsidRPr="00987488">
        <w:rPr>
          <w:rFonts w:ascii="Times New Roman" w:hAnsi="Times New Roman"/>
          <w:sz w:val="24"/>
          <w:szCs w:val="24"/>
        </w:rPr>
        <w:t xml:space="preserve"> for OIICS and NAICS updates and cannot be delayed without adversely impacting BLS’ ability to meet its regular publication schedule. After these IT systems changes are implemented, the BLS will commit those resources to implement SPD 15 in CFOI data collection, tabulation, and dissemination systems and processes. </w:t>
      </w:r>
    </w:p>
    <w:p w:rsidR="005E7F7E" w:rsidRPr="00987488" w:rsidP="005E7F7E" w14:paraId="2E52E7A8" w14:textId="77777777">
      <w:pPr>
        <w:spacing w:line="240" w:lineRule="exact"/>
        <w:rPr>
          <w:rFonts w:ascii="Times New Roman" w:hAnsi="Times New Roman"/>
          <w:sz w:val="24"/>
          <w:szCs w:val="24"/>
        </w:rPr>
      </w:pPr>
    </w:p>
    <w:p w:rsidR="005E7F7E" w:rsidRPr="00987488" w:rsidP="005E7F7E" w14:paraId="3D8DE881" w14:textId="44E6D5F3">
      <w:pPr>
        <w:spacing w:line="240" w:lineRule="exact"/>
        <w:rPr>
          <w:rFonts w:ascii="Times New Roman" w:hAnsi="Times New Roman"/>
          <w:sz w:val="24"/>
          <w:szCs w:val="24"/>
        </w:rPr>
      </w:pPr>
      <w:r w:rsidRPr="00987488">
        <w:rPr>
          <w:rFonts w:ascii="Times New Roman" w:hAnsi="Times New Roman"/>
          <w:sz w:val="24"/>
          <w:szCs w:val="24"/>
        </w:rPr>
        <w:t xml:space="preserve">In addition to </w:t>
      </w:r>
      <w:r w:rsidR="00772489">
        <w:rPr>
          <w:rFonts w:ascii="Times New Roman" w:hAnsi="Times New Roman"/>
          <w:sz w:val="24"/>
          <w:szCs w:val="24"/>
        </w:rPr>
        <w:t xml:space="preserve">timing constraints noted </w:t>
      </w:r>
      <w:r w:rsidR="00772489">
        <w:rPr>
          <w:rFonts w:ascii="Times New Roman" w:hAnsi="Times New Roman"/>
          <w:sz w:val="24"/>
          <w:szCs w:val="24"/>
        </w:rPr>
        <w:t xml:space="preserve">above, </w:t>
      </w:r>
      <w:r w:rsidRPr="00987488">
        <w:rPr>
          <w:rFonts w:ascii="Times New Roman" w:hAnsi="Times New Roman"/>
          <w:sz w:val="24"/>
          <w:szCs w:val="24"/>
        </w:rPr>
        <w:t xml:space="preserve"> the</w:t>
      </w:r>
      <w:r w:rsidRPr="00987488">
        <w:rPr>
          <w:rFonts w:ascii="Times New Roman" w:hAnsi="Times New Roman"/>
          <w:sz w:val="24"/>
          <w:szCs w:val="24"/>
        </w:rPr>
        <w:t xml:space="preserve"> BLS also considered how these data are collected, coded, and commonly used. Particularly, CFOI data are collected and coded by the same staff who collect and code SOII data. Using the same race and ethnicity coding will ensure consistent coding practices for both datasets. Further, CFOI data are often used in tandem with nonfatal workplace injury and illness data from the SOII, for which the BLS plans to implement the 2024 SPD 15 updates starting with RY 2027 collection. Implementing 2024 SPD 15 updates to both CFOI and SOII for RY 2027 will ensure consistent coding of race and ethnicity across these two data series to best support comparability for data users. Considering </w:t>
      </w:r>
      <w:r w:rsidR="00772489">
        <w:rPr>
          <w:rFonts w:ascii="Times New Roman" w:hAnsi="Times New Roman"/>
          <w:sz w:val="24"/>
          <w:szCs w:val="24"/>
        </w:rPr>
        <w:t xml:space="preserve">all </w:t>
      </w:r>
      <w:r w:rsidR="00772489">
        <w:rPr>
          <w:rFonts w:ascii="Times New Roman" w:hAnsi="Times New Roman"/>
          <w:sz w:val="24"/>
          <w:szCs w:val="24"/>
        </w:rPr>
        <w:t xml:space="preserve">of </w:t>
      </w:r>
      <w:r w:rsidRPr="00987488">
        <w:rPr>
          <w:rFonts w:ascii="Times New Roman" w:hAnsi="Times New Roman"/>
          <w:sz w:val="24"/>
          <w:szCs w:val="24"/>
        </w:rPr>
        <w:t xml:space="preserve"> these</w:t>
      </w:r>
      <w:r w:rsidRPr="00987488">
        <w:rPr>
          <w:rFonts w:ascii="Times New Roman" w:hAnsi="Times New Roman"/>
          <w:sz w:val="24"/>
          <w:szCs w:val="24"/>
        </w:rPr>
        <w:t xml:space="preserve"> factors, the BLS plans to implement the new race and ethnicity question and categories in CFOI collection, tabulation, and publications starting with reference year (RY) 2027 collection that will begin in January 2027. (See high-level timeline below.) RY 2027 CFOI data using the 2024 SPD 15 updates will be published for the first time in December 2028. In the meantime, the BLS </w:t>
      </w:r>
      <w:r w:rsidRPr="00987488">
        <w:rPr>
          <w:rFonts w:ascii="Times New Roman" w:hAnsi="Times New Roman"/>
          <w:sz w:val="24"/>
          <w:szCs w:val="24"/>
        </w:rPr>
        <w:t xml:space="preserve">will continue to publish statistics using existing race and ethnicity categories until SPD-15 updates are implemented starting with the RY 2027 CFOI. The BLS will submit a request for </w:t>
      </w:r>
      <w:r w:rsidRPr="00987488">
        <w:rPr>
          <w:rFonts w:ascii="Times New Roman" w:hAnsi="Times New Roman"/>
          <w:sz w:val="24"/>
          <w:szCs w:val="24"/>
        </w:rPr>
        <w:t>nonsubstantive</w:t>
      </w:r>
      <w:r w:rsidRPr="00987488">
        <w:rPr>
          <w:rFonts w:ascii="Times New Roman" w:hAnsi="Times New Roman"/>
          <w:sz w:val="24"/>
          <w:szCs w:val="24"/>
        </w:rPr>
        <w:t xml:space="preserve"> changes to the CFOI related to SPD 15 updates prior to the start of the RY 2027 CFOI collection.</w:t>
      </w:r>
    </w:p>
    <w:p w:rsidR="005E7F7E" w:rsidRPr="00987488" w:rsidP="005E7F7E" w14:paraId="081D79DA" w14:textId="77777777">
      <w:pPr>
        <w:spacing w:line="240" w:lineRule="exact"/>
        <w:rPr>
          <w:rFonts w:ascii="Times New Roman" w:hAnsi="Times New Roman"/>
          <w:sz w:val="24"/>
          <w:szCs w:val="24"/>
        </w:rPr>
      </w:pPr>
    </w:p>
    <w:p w:rsidR="005E7F7E" w:rsidRPr="00987488" w:rsidP="005E7F7E" w14:paraId="6DD863A1" w14:textId="77777777">
      <w:pPr>
        <w:spacing w:line="240" w:lineRule="exact"/>
        <w:rPr>
          <w:rFonts w:ascii="Times New Roman" w:hAnsi="Times New Roman"/>
          <w:sz w:val="24"/>
          <w:szCs w:val="24"/>
        </w:rPr>
      </w:pPr>
      <w:r w:rsidRPr="00987488">
        <w:rPr>
          <w:rFonts w:ascii="Times New Roman" w:hAnsi="Times New Roman"/>
          <w:sz w:val="24"/>
          <w:szCs w:val="24"/>
        </w:rPr>
        <w:t>BLS timeline for implementing SPD-15 in the Census of Fatal Occupational Injuries (CFOI)</w:t>
      </w:r>
    </w:p>
    <w:tbl>
      <w:tblPr>
        <w:tblStyle w:val="TableGrid"/>
        <w:tblW w:w="0" w:type="auto"/>
        <w:tblLook w:val="04A0"/>
      </w:tblPr>
      <w:tblGrid>
        <w:gridCol w:w="2875"/>
        <w:gridCol w:w="6475"/>
      </w:tblGrid>
      <w:tr w14:paraId="420AD905" w14:textId="77777777" w:rsidTr="00F63F8B">
        <w:tblPrEx>
          <w:tblW w:w="0" w:type="auto"/>
          <w:tblLook w:val="04A0"/>
        </w:tblPrEx>
        <w:tc>
          <w:tcPr>
            <w:tcW w:w="2875" w:type="dxa"/>
            <w:vAlign w:val="center"/>
          </w:tcPr>
          <w:p w:rsidR="005E7F7E" w:rsidRPr="00987488" w:rsidP="00F63F8B" w14:paraId="2173039D" w14:textId="77777777">
            <w:pPr>
              <w:spacing w:line="240" w:lineRule="exact"/>
              <w:jc w:val="center"/>
              <w:rPr>
                <w:rFonts w:ascii="Times New Roman" w:hAnsi="Times New Roman"/>
                <w:b/>
                <w:bCs/>
                <w:sz w:val="24"/>
                <w:szCs w:val="24"/>
              </w:rPr>
            </w:pPr>
            <w:r w:rsidRPr="00987488">
              <w:rPr>
                <w:rFonts w:ascii="Times New Roman" w:hAnsi="Times New Roman"/>
                <w:b/>
                <w:bCs/>
                <w:sz w:val="24"/>
                <w:szCs w:val="24"/>
              </w:rPr>
              <w:t>Date</w:t>
            </w:r>
          </w:p>
        </w:tc>
        <w:tc>
          <w:tcPr>
            <w:tcW w:w="6475" w:type="dxa"/>
            <w:vAlign w:val="center"/>
          </w:tcPr>
          <w:p w:rsidR="005E7F7E" w:rsidRPr="00987488" w:rsidP="00F63F8B" w14:paraId="545E55B5" w14:textId="77777777">
            <w:pPr>
              <w:spacing w:line="240" w:lineRule="exact"/>
              <w:jc w:val="center"/>
              <w:rPr>
                <w:rFonts w:ascii="Times New Roman" w:hAnsi="Times New Roman"/>
                <w:b/>
                <w:bCs/>
                <w:sz w:val="24"/>
                <w:szCs w:val="24"/>
              </w:rPr>
            </w:pPr>
            <w:r w:rsidRPr="00987488">
              <w:rPr>
                <w:rFonts w:ascii="Times New Roman" w:hAnsi="Times New Roman"/>
                <w:b/>
                <w:bCs/>
                <w:sz w:val="24"/>
                <w:szCs w:val="24"/>
              </w:rPr>
              <w:t>Activity</w:t>
            </w:r>
          </w:p>
        </w:tc>
      </w:tr>
      <w:tr w14:paraId="212FAC50" w14:textId="77777777" w:rsidTr="00F63F8B">
        <w:tblPrEx>
          <w:tblW w:w="0" w:type="auto"/>
          <w:tblLook w:val="04A0"/>
        </w:tblPrEx>
        <w:tc>
          <w:tcPr>
            <w:tcW w:w="2875" w:type="dxa"/>
            <w:vAlign w:val="center"/>
          </w:tcPr>
          <w:p w:rsidR="005E7F7E" w:rsidRPr="00987488" w:rsidP="00F63F8B" w14:paraId="35346D9B" w14:textId="77777777">
            <w:pPr>
              <w:spacing w:line="240" w:lineRule="exact"/>
              <w:rPr>
                <w:rFonts w:ascii="Times New Roman" w:hAnsi="Times New Roman"/>
                <w:sz w:val="24"/>
                <w:szCs w:val="24"/>
              </w:rPr>
            </w:pPr>
            <w:r w:rsidRPr="00987488">
              <w:rPr>
                <w:rFonts w:ascii="Times New Roman" w:hAnsi="Times New Roman"/>
                <w:sz w:val="24"/>
                <w:szCs w:val="24"/>
              </w:rPr>
              <w:t>January – October 2027</w:t>
            </w:r>
          </w:p>
        </w:tc>
        <w:tc>
          <w:tcPr>
            <w:tcW w:w="6475" w:type="dxa"/>
            <w:vAlign w:val="center"/>
          </w:tcPr>
          <w:p w:rsidR="005E7F7E" w:rsidRPr="00987488" w:rsidP="00F63F8B" w14:paraId="375DB684" w14:textId="77777777">
            <w:pPr>
              <w:spacing w:line="240" w:lineRule="exact"/>
              <w:rPr>
                <w:rFonts w:ascii="Times New Roman" w:hAnsi="Times New Roman"/>
                <w:sz w:val="24"/>
                <w:szCs w:val="24"/>
              </w:rPr>
            </w:pPr>
            <w:r w:rsidRPr="00987488">
              <w:rPr>
                <w:rFonts w:ascii="Times New Roman" w:hAnsi="Times New Roman"/>
                <w:sz w:val="24"/>
                <w:szCs w:val="24"/>
              </w:rPr>
              <w:t>Implement SPD 15 changes to CFOI forms, processes, and IT systems</w:t>
            </w:r>
          </w:p>
        </w:tc>
      </w:tr>
      <w:tr w14:paraId="08C21DD9" w14:textId="77777777" w:rsidTr="00F63F8B">
        <w:tblPrEx>
          <w:tblW w:w="0" w:type="auto"/>
          <w:tblLook w:val="04A0"/>
        </w:tblPrEx>
        <w:tc>
          <w:tcPr>
            <w:tcW w:w="2875" w:type="dxa"/>
            <w:vAlign w:val="center"/>
          </w:tcPr>
          <w:p w:rsidR="005E7F7E" w:rsidRPr="00987488" w:rsidP="00F63F8B" w14:paraId="3CF2420B" w14:textId="77777777">
            <w:pPr>
              <w:spacing w:line="240" w:lineRule="exact"/>
              <w:rPr>
                <w:rFonts w:ascii="Times New Roman" w:hAnsi="Times New Roman"/>
                <w:sz w:val="24"/>
                <w:szCs w:val="24"/>
              </w:rPr>
            </w:pPr>
            <w:r w:rsidRPr="00987488">
              <w:rPr>
                <w:rFonts w:ascii="Times New Roman" w:hAnsi="Times New Roman"/>
                <w:sz w:val="24"/>
                <w:szCs w:val="24"/>
              </w:rPr>
              <w:t>November 2027 – October 2028</w:t>
            </w:r>
          </w:p>
        </w:tc>
        <w:tc>
          <w:tcPr>
            <w:tcW w:w="6475" w:type="dxa"/>
            <w:vAlign w:val="center"/>
          </w:tcPr>
          <w:p w:rsidR="005E7F7E" w:rsidRPr="00987488" w:rsidP="00F63F8B" w14:paraId="34DC76B0" w14:textId="77777777">
            <w:pPr>
              <w:spacing w:line="240" w:lineRule="exact"/>
              <w:rPr>
                <w:rFonts w:ascii="Times New Roman" w:hAnsi="Times New Roman"/>
                <w:sz w:val="24"/>
                <w:szCs w:val="24"/>
              </w:rPr>
            </w:pPr>
            <w:r w:rsidRPr="00987488">
              <w:rPr>
                <w:rFonts w:ascii="Times New Roman" w:hAnsi="Times New Roman"/>
                <w:sz w:val="24"/>
                <w:szCs w:val="24"/>
              </w:rPr>
              <w:t>Collect and process reference year (RY) 2027 data reflecting updated race/ethnicity</w:t>
            </w:r>
          </w:p>
        </w:tc>
      </w:tr>
      <w:tr w14:paraId="1CB58AEA" w14:textId="77777777" w:rsidTr="00F63F8B">
        <w:tblPrEx>
          <w:tblW w:w="0" w:type="auto"/>
          <w:tblLook w:val="04A0"/>
        </w:tblPrEx>
        <w:tc>
          <w:tcPr>
            <w:tcW w:w="2875" w:type="dxa"/>
            <w:vAlign w:val="center"/>
          </w:tcPr>
          <w:p w:rsidR="005E7F7E" w:rsidRPr="00987488" w:rsidP="00F63F8B" w14:paraId="19FFD47E" w14:textId="77777777">
            <w:pPr>
              <w:spacing w:line="240" w:lineRule="exact"/>
              <w:rPr>
                <w:rFonts w:ascii="Times New Roman" w:hAnsi="Times New Roman"/>
                <w:sz w:val="24"/>
                <w:szCs w:val="24"/>
              </w:rPr>
            </w:pPr>
            <w:r w:rsidRPr="00987488">
              <w:rPr>
                <w:rFonts w:ascii="Times New Roman" w:hAnsi="Times New Roman"/>
                <w:sz w:val="24"/>
                <w:szCs w:val="24"/>
              </w:rPr>
              <w:t>December 2028</w:t>
            </w:r>
          </w:p>
        </w:tc>
        <w:tc>
          <w:tcPr>
            <w:tcW w:w="6475" w:type="dxa"/>
            <w:vAlign w:val="center"/>
          </w:tcPr>
          <w:p w:rsidR="005E7F7E" w:rsidRPr="00987488" w:rsidP="00F63F8B" w14:paraId="0687A444" w14:textId="77777777">
            <w:pPr>
              <w:spacing w:line="240" w:lineRule="exact"/>
              <w:rPr>
                <w:rFonts w:ascii="Times New Roman" w:hAnsi="Times New Roman"/>
                <w:sz w:val="24"/>
                <w:szCs w:val="24"/>
              </w:rPr>
            </w:pPr>
            <w:r w:rsidRPr="00987488">
              <w:rPr>
                <w:rFonts w:ascii="Times New Roman" w:hAnsi="Times New Roman"/>
                <w:sz w:val="24"/>
                <w:szCs w:val="24"/>
              </w:rPr>
              <w:t>Publish RY 2027 CFOI data for first time using updated race/ethnicity</w:t>
            </w:r>
          </w:p>
        </w:tc>
      </w:tr>
    </w:tbl>
    <w:p w:rsidR="005E7F7E" w:rsidRPr="00987488" w:rsidP="005E7F7E" w14:paraId="7B9EEE0C" w14:textId="77777777">
      <w:pPr>
        <w:spacing w:line="240" w:lineRule="exact"/>
        <w:rPr>
          <w:rFonts w:ascii="Times New Roman" w:hAnsi="Times New Roman"/>
          <w:sz w:val="24"/>
          <w:szCs w:val="24"/>
        </w:rPr>
      </w:pPr>
    </w:p>
    <w:p w:rsidR="005E7F7E" w:rsidRPr="00987488" w:rsidP="005E7F7E" w14:paraId="1B1F47A9" w14:textId="77777777">
      <w:pPr>
        <w:spacing w:line="240" w:lineRule="exact"/>
        <w:rPr>
          <w:rFonts w:ascii="Times New Roman" w:hAnsi="Times New Roman"/>
          <w:sz w:val="24"/>
          <w:szCs w:val="24"/>
        </w:rPr>
      </w:pPr>
      <w:r w:rsidRPr="00987488">
        <w:rPr>
          <w:rFonts w:ascii="Times New Roman" w:hAnsi="Times New Roman"/>
          <w:sz w:val="24"/>
          <w:szCs w:val="24"/>
        </w:rPr>
        <w:t xml:space="preserve">The work involved </w:t>
      </w:r>
      <w:r w:rsidRPr="00987488">
        <w:rPr>
          <w:rFonts w:ascii="Times New Roman" w:hAnsi="Times New Roman"/>
          <w:sz w:val="24"/>
          <w:szCs w:val="24"/>
        </w:rPr>
        <w:t>to implement</w:t>
      </w:r>
      <w:r w:rsidRPr="00987488">
        <w:rPr>
          <w:rFonts w:ascii="Times New Roman" w:hAnsi="Times New Roman"/>
          <w:sz w:val="24"/>
          <w:szCs w:val="24"/>
        </w:rPr>
        <w:t xml:space="preserve"> changes throughout CFOI collection, tabulation, and </w:t>
      </w:r>
      <w:r w:rsidRPr="00987488">
        <w:rPr>
          <w:rFonts w:ascii="Times New Roman" w:hAnsi="Times New Roman"/>
          <w:sz w:val="24"/>
          <w:szCs w:val="24"/>
        </w:rPr>
        <w:t>dissemination</w:t>
      </w:r>
      <w:r w:rsidRPr="00987488">
        <w:rPr>
          <w:rFonts w:ascii="Times New Roman" w:hAnsi="Times New Roman"/>
          <w:sz w:val="24"/>
          <w:szCs w:val="24"/>
        </w:rPr>
        <w:t xml:space="preserve"> IT systems and processes is complex and therefore, resource intensive. Any change to the CFOI collection system has significant downstream impacts on tabulation and related outputs, both in terms of their availability in the online searchable BLS public database and in the layout and format of published tables. These systematic processes are carefully planned, developed, and extensively tested to ensure the highest quality data while mitigating the chance of errata.</w:t>
      </w:r>
    </w:p>
    <w:p w:rsidR="005E7F7E" w:rsidRPr="00987488" w:rsidP="005E7F7E" w14:paraId="1A0CD745" w14:textId="77777777">
      <w:pPr>
        <w:spacing w:line="240" w:lineRule="exact"/>
        <w:rPr>
          <w:rFonts w:ascii="Times New Roman" w:hAnsi="Times New Roman"/>
          <w:sz w:val="24"/>
          <w:szCs w:val="24"/>
        </w:rPr>
      </w:pPr>
    </w:p>
    <w:bookmarkEnd w:id="0"/>
    <w:p w:rsidR="005E7F7E" w:rsidRPr="00987488" w:rsidP="005E7F7E" w14:paraId="79AB205E" w14:textId="64816DE0">
      <w:pPr>
        <w:spacing w:line="240" w:lineRule="exact"/>
        <w:rPr>
          <w:rFonts w:ascii="Times New Roman" w:hAnsi="Times New Roman"/>
          <w:sz w:val="24"/>
          <w:szCs w:val="24"/>
        </w:rPr>
      </w:pPr>
      <w:r w:rsidRPr="00987488">
        <w:rPr>
          <w:rFonts w:ascii="Times New Roman" w:hAnsi="Times New Roman"/>
          <w:sz w:val="24"/>
          <w:szCs w:val="24"/>
        </w:rPr>
        <w:t xml:space="preserve">The BLS also requests an exemption to implement minimum categories for race and ethnicity in the CFOI to align with Figure 3 in SPD 15, starting with RY 2027 as described above. Fatal workplace injury data collected by the CFOI from multiple administrative source documents, where race and ethnicity data for a decedent is based on proxy reporting or observation. Proxy reporting of race and ethnicity may differ from reporting of this characteristic by the worker. </w:t>
      </w:r>
    </w:p>
    <w:p w:rsidR="005E7F7E" w:rsidRPr="00987488" w:rsidP="005E7F7E" w14:paraId="3505C018" w14:textId="77777777">
      <w:pPr>
        <w:spacing w:line="240" w:lineRule="exact"/>
        <w:rPr>
          <w:rFonts w:ascii="Times New Roman" w:hAnsi="Times New Roman"/>
          <w:sz w:val="24"/>
          <w:szCs w:val="24"/>
        </w:rPr>
      </w:pPr>
    </w:p>
    <w:p w:rsidR="005E7F7E" w:rsidRPr="00987488" w:rsidP="005E7F7E" w14:paraId="38A71BA1" w14:textId="2B12A5DB">
      <w:pPr>
        <w:spacing w:line="240" w:lineRule="exact"/>
        <w:rPr>
          <w:rFonts w:ascii="Times New Roman" w:hAnsi="Times New Roman"/>
          <w:sz w:val="24"/>
          <w:szCs w:val="24"/>
        </w:rPr>
      </w:pPr>
      <w:r w:rsidRPr="00987488">
        <w:rPr>
          <w:rFonts w:ascii="Times New Roman" w:hAnsi="Times New Roman"/>
          <w:sz w:val="24"/>
          <w:szCs w:val="24"/>
        </w:rPr>
        <w:t>BLS plans for implementation of SPD 15 in the CFOI will be documented in the Agency’s SPD 15 Action Plan as well as in any interim Information Collection Requests for the CFOI. The following describes SMART (Specific, Measurable, Achievable, Realistic, and Time-bound) draft goals that the BLS will accomplish for the CFOI collection to comply with the 2024 SPD 15. Some goals have already been met.</w:t>
      </w:r>
      <w:r w:rsidRPr="00987488">
        <w:rPr>
          <w:rFonts w:ascii="Times New Roman" w:hAnsi="Times New Roman"/>
          <w:b/>
          <w:bCs/>
          <w:sz w:val="24"/>
          <w:szCs w:val="24"/>
        </w:rPr>
        <w:t xml:space="preserve"> </w:t>
      </w:r>
      <w:r w:rsidRPr="00987488">
        <w:rPr>
          <w:rFonts w:ascii="Times New Roman" w:hAnsi="Times New Roman"/>
          <w:sz w:val="24"/>
          <w:szCs w:val="24"/>
        </w:rPr>
        <w:t xml:space="preserve">The BLS will develop an internal operation plan that will include specific, attainable, time-bound action items for each goal that will be used to accomplish this work. Note that specified dates are end dates for each goal but that work on action items related to goals will begin earlier. The BLS has posted a notice on its program webpage to provide information to stakeholders regarding planned updates on race and ethnicity data in the CFOI. </w:t>
      </w:r>
      <w:r w:rsidRPr="00705DB8">
        <w:rPr>
          <w:rFonts w:ascii="Times New Roman" w:hAnsi="Times New Roman"/>
          <w:sz w:val="24"/>
          <w:szCs w:val="24"/>
        </w:rPr>
        <w:t>(</w:t>
      </w:r>
      <w:r w:rsidRPr="00705DB8" w:rsidR="00705DB8">
        <w:rPr>
          <w:rFonts w:ascii="Times New Roman" w:hAnsi="Times New Roman"/>
          <w:sz w:val="24"/>
          <w:szCs w:val="24"/>
        </w:rPr>
        <w:t xml:space="preserve">See </w:t>
      </w:r>
      <w:hyperlink r:id="rId7" w:history="1">
        <w:r w:rsidRPr="00705DB8" w:rsidR="00705DB8">
          <w:rPr>
            <w:rStyle w:val="Hyperlink"/>
            <w:rFonts w:ascii="Times New Roman" w:hAnsi="Times New Roman"/>
            <w:sz w:val="24"/>
            <w:szCs w:val="24"/>
          </w:rPr>
          <w:t>https://www.bls.gov/iif/notices/2025/cfoi-and-soii-race-and-ethnicity-planned-updates-for-collection-and-publication.htm</w:t>
        </w:r>
      </w:hyperlink>
      <w:r w:rsidRPr="00705DB8" w:rsidR="00705DB8">
        <w:rPr>
          <w:rFonts w:ascii="Times New Roman" w:hAnsi="Times New Roman"/>
          <w:sz w:val="24"/>
          <w:szCs w:val="24"/>
        </w:rPr>
        <w:t>.</w:t>
      </w:r>
      <w:r w:rsidRPr="00705DB8">
        <w:rPr>
          <w:rFonts w:ascii="Times New Roman" w:hAnsi="Times New Roman"/>
          <w:sz w:val="24"/>
          <w:szCs w:val="24"/>
        </w:rPr>
        <w:t>)</w:t>
      </w:r>
      <w:r w:rsidRPr="00987488">
        <w:rPr>
          <w:rFonts w:ascii="Times New Roman" w:hAnsi="Times New Roman"/>
          <w:sz w:val="24"/>
          <w:szCs w:val="24"/>
        </w:rPr>
        <w:t xml:space="preserve"> The BLS will continue to refine its CFOI action plan to include detailed action items for each goal in the plan. These detailed action items will serve as an internal operation plan for completing the necessary work to implement the 2024 SPD 15 updates. The CFOI action plan describing how BLS will comply with the 2024 SPD 15 will be posted online when it is finalized. </w:t>
      </w:r>
    </w:p>
    <w:p w:rsidR="005E7F7E" w:rsidRPr="00987488" w:rsidP="005E7F7E" w14:paraId="7DDBD131" w14:textId="77777777">
      <w:pPr>
        <w:spacing w:line="240" w:lineRule="exact"/>
        <w:rPr>
          <w:rFonts w:ascii="Times New Roman" w:hAnsi="Times New Roman"/>
          <w:sz w:val="24"/>
          <w:szCs w:val="24"/>
        </w:rPr>
      </w:pPr>
    </w:p>
    <w:p w:rsidR="005E7F7E" w:rsidRPr="00987488" w:rsidP="005E7F7E" w14:paraId="74F53F9B" w14:textId="77777777">
      <w:pPr>
        <w:spacing w:line="240" w:lineRule="exact"/>
        <w:rPr>
          <w:rFonts w:ascii="Times New Roman" w:hAnsi="Times New Roman"/>
          <w:sz w:val="24"/>
          <w:szCs w:val="24"/>
        </w:rPr>
      </w:pPr>
      <w:r w:rsidRPr="00987488">
        <w:rPr>
          <w:rFonts w:ascii="Times New Roman" w:hAnsi="Times New Roman"/>
          <w:sz w:val="24"/>
          <w:szCs w:val="24"/>
        </w:rPr>
        <w:t>Goal 1: By July 31, 2024</w:t>
      </w:r>
      <w:r w:rsidRPr="00987488">
        <w:rPr>
          <w:rFonts w:ascii="Times New Roman" w:hAnsi="Times New Roman"/>
          <w:sz w:val="24"/>
          <w:szCs w:val="24"/>
        </w:rPr>
        <w:t>, inventory</w:t>
      </w:r>
      <w:r w:rsidRPr="00987488">
        <w:rPr>
          <w:rFonts w:ascii="Times New Roman" w:hAnsi="Times New Roman"/>
          <w:sz w:val="24"/>
          <w:szCs w:val="24"/>
        </w:rPr>
        <w:t xml:space="preserve"> all items where race and ethnicity data are collected in the CFOI</w:t>
      </w:r>
    </w:p>
    <w:p w:rsidR="005E7F7E" w:rsidRPr="00987488" w:rsidP="005E7F7E" w14:paraId="7F96126B" w14:textId="77777777">
      <w:pPr>
        <w:spacing w:line="240" w:lineRule="exact"/>
        <w:rPr>
          <w:rFonts w:ascii="Times New Roman" w:hAnsi="Times New Roman"/>
          <w:sz w:val="24"/>
          <w:szCs w:val="24"/>
        </w:rPr>
      </w:pPr>
    </w:p>
    <w:p w:rsidR="005E7F7E" w:rsidRPr="00987488" w:rsidP="005E7F7E" w14:paraId="3B4D8F7A" w14:textId="77777777">
      <w:pPr>
        <w:spacing w:line="240" w:lineRule="exact"/>
        <w:rPr>
          <w:rFonts w:ascii="Times New Roman" w:hAnsi="Times New Roman"/>
          <w:sz w:val="24"/>
          <w:szCs w:val="24"/>
        </w:rPr>
      </w:pPr>
      <w:r w:rsidRPr="00987488">
        <w:rPr>
          <w:rFonts w:ascii="Times New Roman" w:hAnsi="Times New Roman"/>
          <w:sz w:val="24"/>
          <w:szCs w:val="24"/>
        </w:rPr>
        <w:t>Goal 2: By August 15, 2024, inventory all CFOI outputs that include race and ethnicity data</w:t>
      </w:r>
    </w:p>
    <w:p w:rsidR="005E7F7E" w:rsidRPr="00987488" w:rsidP="005E7F7E" w14:paraId="298617DC" w14:textId="77777777">
      <w:pPr>
        <w:spacing w:line="240" w:lineRule="exact"/>
        <w:rPr>
          <w:rFonts w:ascii="Times New Roman" w:hAnsi="Times New Roman"/>
          <w:sz w:val="24"/>
          <w:szCs w:val="24"/>
        </w:rPr>
      </w:pPr>
    </w:p>
    <w:p w:rsidR="005E7F7E" w:rsidRPr="00987488" w:rsidP="005E7F7E" w14:paraId="184E12EA" w14:textId="77777777">
      <w:pPr>
        <w:spacing w:line="240" w:lineRule="exact"/>
        <w:rPr>
          <w:rFonts w:ascii="Times New Roman" w:hAnsi="Times New Roman"/>
          <w:sz w:val="24"/>
          <w:szCs w:val="24"/>
        </w:rPr>
      </w:pPr>
      <w:r w:rsidRPr="00987488">
        <w:rPr>
          <w:rFonts w:ascii="Times New Roman" w:hAnsi="Times New Roman"/>
          <w:sz w:val="24"/>
          <w:szCs w:val="24"/>
        </w:rPr>
        <w:t xml:space="preserve">Goal 3: By August 15, 2024, </w:t>
      </w:r>
      <w:r w:rsidRPr="00987488">
        <w:rPr>
          <w:rFonts w:ascii="Times New Roman" w:hAnsi="Times New Roman"/>
          <w:sz w:val="24"/>
          <w:szCs w:val="24"/>
        </w:rPr>
        <w:t>inventory</w:t>
      </w:r>
      <w:r w:rsidRPr="00987488">
        <w:rPr>
          <w:rFonts w:ascii="Times New Roman" w:hAnsi="Times New Roman"/>
          <w:sz w:val="24"/>
          <w:szCs w:val="24"/>
        </w:rPr>
        <w:t xml:space="preserve"> all CFOI documentation that includes race and ethnicity information or methodologies</w:t>
      </w:r>
    </w:p>
    <w:p w:rsidR="005E7F7E" w:rsidRPr="00987488" w:rsidP="005E7F7E" w14:paraId="06385322" w14:textId="77777777">
      <w:pPr>
        <w:spacing w:line="240" w:lineRule="exact"/>
        <w:rPr>
          <w:rFonts w:ascii="Times New Roman" w:hAnsi="Times New Roman"/>
          <w:sz w:val="24"/>
          <w:szCs w:val="24"/>
        </w:rPr>
      </w:pPr>
    </w:p>
    <w:p w:rsidR="005E7F7E" w:rsidRPr="00987488" w:rsidP="005E7F7E" w14:paraId="39D9F4B4" w14:textId="77777777">
      <w:pPr>
        <w:spacing w:line="240" w:lineRule="exact"/>
        <w:rPr>
          <w:rFonts w:ascii="Times New Roman" w:hAnsi="Times New Roman"/>
          <w:sz w:val="24"/>
          <w:szCs w:val="24"/>
        </w:rPr>
      </w:pPr>
      <w:r w:rsidRPr="00987488">
        <w:rPr>
          <w:rFonts w:ascii="Times New Roman" w:hAnsi="Times New Roman"/>
          <w:sz w:val="24"/>
          <w:szCs w:val="24"/>
        </w:rPr>
        <w:t xml:space="preserve">Goal 4: By September 30, 2024, </w:t>
      </w:r>
      <w:r w:rsidRPr="00987488">
        <w:rPr>
          <w:rFonts w:ascii="Times New Roman" w:hAnsi="Times New Roman"/>
          <w:sz w:val="24"/>
          <w:szCs w:val="24"/>
        </w:rPr>
        <w:t>inventory</w:t>
      </w:r>
      <w:r w:rsidRPr="00987488">
        <w:rPr>
          <w:rFonts w:ascii="Times New Roman" w:hAnsi="Times New Roman"/>
          <w:sz w:val="24"/>
          <w:szCs w:val="24"/>
        </w:rPr>
        <w:t xml:space="preserve"> all CFOI IT systems and processes that </w:t>
      </w:r>
      <w:r w:rsidRPr="00987488">
        <w:rPr>
          <w:rFonts w:ascii="Times New Roman" w:hAnsi="Times New Roman"/>
          <w:sz w:val="24"/>
          <w:szCs w:val="24"/>
        </w:rPr>
        <w:t>involving</w:t>
      </w:r>
      <w:r w:rsidRPr="00987488">
        <w:rPr>
          <w:rFonts w:ascii="Times New Roman" w:hAnsi="Times New Roman"/>
          <w:sz w:val="24"/>
          <w:szCs w:val="24"/>
        </w:rPr>
        <w:t xml:space="preserve"> race and ethnicity that must be updated</w:t>
      </w:r>
    </w:p>
    <w:p w:rsidR="005E7F7E" w:rsidRPr="00987488" w:rsidP="005E7F7E" w14:paraId="798D5D73" w14:textId="77777777">
      <w:pPr>
        <w:spacing w:line="240" w:lineRule="exact"/>
        <w:rPr>
          <w:rFonts w:ascii="Times New Roman" w:hAnsi="Times New Roman"/>
          <w:sz w:val="24"/>
          <w:szCs w:val="24"/>
        </w:rPr>
      </w:pPr>
    </w:p>
    <w:p w:rsidR="005E7F7E" w:rsidRPr="00987488" w:rsidP="005E7F7E" w14:paraId="3F471098" w14:textId="77777777">
      <w:pPr>
        <w:spacing w:line="240" w:lineRule="exact"/>
        <w:rPr>
          <w:rFonts w:ascii="Times New Roman" w:hAnsi="Times New Roman"/>
          <w:sz w:val="24"/>
          <w:szCs w:val="24"/>
        </w:rPr>
      </w:pPr>
      <w:r w:rsidRPr="00987488">
        <w:rPr>
          <w:rFonts w:ascii="Times New Roman" w:hAnsi="Times New Roman"/>
          <w:sz w:val="24"/>
          <w:szCs w:val="24"/>
        </w:rPr>
        <w:t>Goal 5: By September 30, 2024, assess options for timing of implementation of race and ethnicity updates in CFOI IT systems and outputs</w:t>
      </w:r>
    </w:p>
    <w:p w:rsidR="005E7F7E" w:rsidRPr="00987488" w:rsidP="005E7F7E" w14:paraId="24546EF6" w14:textId="77777777">
      <w:pPr>
        <w:spacing w:line="240" w:lineRule="exact"/>
        <w:rPr>
          <w:rFonts w:ascii="Times New Roman" w:hAnsi="Times New Roman"/>
          <w:sz w:val="24"/>
          <w:szCs w:val="24"/>
        </w:rPr>
      </w:pPr>
    </w:p>
    <w:p w:rsidR="005E7F7E" w:rsidRPr="00987488" w:rsidP="005E7F7E" w14:paraId="5631A1BE" w14:textId="77777777">
      <w:pPr>
        <w:spacing w:line="240" w:lineRule="exact"/>
        <w:rPr>
          <w:rFonts w:ascii="Times New Roman" w:hAnsi="Times New Roman"/>
          <w:sz w:val="24"/>
          <w:szCs w:val="24"/>
        </w:rPr>
      </w:pPr>
      <w:r w:rsidRPr="00987488">
        <w:rPr>
          <w:rFonts w:ascii="Times New Roman" w:hAnsi="Times New Roman"/>
          <w:sz w:val="24"/>
          <w:szCs w:val="24"/>
        </w:rPr>
        <w:t xml:space="preserve">Goal 6: By May 1, 2025, prepare and submit the CFOI OMB clearance request including plan to comply with 2024 SPD 15 updates </w:t>
      </w:r>
    </w:p>
    <w:p w:rsidR="005E7F7E" w:rsidRPr="00987488" w:rsidP="005E7F7E" w14:paraId="4916CFB6" w14:textId="77777777">
      <w:pPr>
        <w:spacing w:line="240" w:lineRule="exact"/>
        <w:rPr>
          <w:rFonts w:ascii="Times New Roman" w:hAnsi="Times New Roman"/>
          <w:sz w:val="24"/>
          <w:szCs w:val="24"/>
        </w:rPr>
      </w:pPr>
    </w:p>
    <w:p w:rsidR="005E7F7E" w:rsidRPr="00987488" w:rsidP="005E7F7E" w14:paraId="0B2B6338" w14:textId="77777777">
      <w:pPr>
        <w:spacing w:line="240" w:lineRule="exact"/>
        <w:rPr>
          <w:rFonts w:ascii="Times New Roman" w:hAnsi="Times New Roman"/>
          <w:sz w:val="24"/>
          <w:szCs w:val="24"/>
        </w:rPr>
      </w:pPr>
      <w:r w:rsidRPr="00987488">
        <w:rPr>
          <w:rFonts w:ascii="Times New Roman" w:hAnsi="Times New Roman"/>
          <w:sz w:val="24"/>
          <w:szCs w:val="24"/>
        </w:rPr>
        <w:t>Goal 7: By November 1, 2026, define requirements for implementation of race and ethnicity updates in CFOI collection, tabulation, dissemination IT systems and outputs</w:t>
      </w:r>
    </w:p>
    <w:p w:rsidR="005E7F7E" w:rsidRPr="00987488" w:rsidP="005E7F7E" w14:paraId="1A8A169D" w14:textId="77777777">
      <w:pPr>
        <w:spacing w:line="240" w:lineRule="exact"/>
        <w:rPr>
          <w:rFonts w:ascii="Times New Roman" w:hAnsi="Times New Roman"/>
          <w:sz w:val="24"/>
          <w:szCs w:val="24"/>
        </w:rPr>
      </w:pPr>
    </w:p>
    <w:p w:rsidR="005E7F7E" w:rsidRPr="00987488" w:rsidP="005E7F7E" w14:paraId="3E925283" w14:textId="77777777">
      <w:pPr>
        <w:spacing w:line="240" w:lineRule="exact"/>
        <w:rPr>
          <w:rFonts w:ascii="Times New Roman" w:hAnsi="Times New Roman"/>
          <w:sz w:val="24"/>
          <w:szCs w:val="24"/>
        </w:rPr>
      </w:pPr>
      <w:r w:rsidRPr="00987488">
        <w:rPr>
          <w:rFonts w:ascii="Times New Roman" w:hAnsi="Times New Roman"/>
          <w:sz w:val="24"/>
          <w:szCs w:val="24"/>
        </w:rPr>
        <w:t>Goal 8: By October 31, 2027, implement race and ethnicity updates in CFOI data collection system and processes and begin to collect updated race and ethnicity data for reference year (RY) 2027</w:t>
      </w:r>
    </w:p>
    <w:p w:rsidR="005E7F7E" w:rsidRPr="00987488" w:rsidP="005E7F7E" w14:paraId="0E743E64" w14:textId="77777777">
      <w:pPr>
        <w:spacing w:line="240" w:lineRule="exact"/>
        <w:rPr>
          <w:rFonts w:ascii="Times New Roman" w:hAnsi="Times New Roman"/>
          <w:sz w:val="24"/>
          <w:szCs w:val="24"/>
        </w:rPr>
      </w:pPr>
    </w:p>
    <w:p w:rsidR="005E7F7E" w:rsidRPr="00987488" w:rsidP="005E7F7E" w14:paraId="1C8A2ACB" w14:textId="77777777">
      <w:pPr>
        <w:spacing w:line="240" w:lineRule="exact"/>
        <w:rPr>
          <w:rFonts w:ascii="Times New Roman" w:hAnsi="Times New Roman"/>
          <w:sz w:val="24"/>
          <w:szCs w:val="24"/>
        </w:rPr>
      </w:pPr>
      <w:r w:rsidRPr="00987488">
        <w:rPr>
          <w:rFonts w:ascii="Times New Roman" w:hAnsi="Times New Roman"/>
          <w:sz w:val="24"/>
          <w:szCs w:val="24"/>
        </w:rPr>
        <w:t xml:space="preserve">Goal 9: By November 1, 2028, implement race and ethnicity updates in CFOI tabulation system and processes for RY27 </w:t>
      </w:r>
    </w:p>
    <w:p w:rsidR="005E7F7E" w:rsidRPr="00987488" w:rsidP="005E7F7E" w14:paraId="7B986484" w14:textId="77777777">
      <w:pPr>
        <w:spacing w:line="240" w:lineRule="exact"/>
        <w:rPr>
          <w:rFonts w:ascii="Times New Roman" w:hAnsi="Times New Roman"/>
          <w:sz w:val="24"/>
          <w:szCs w:val="24"/>
        </w:rPr>
      </w:pPr>
    </w:p>
    <w:p w:rsidR="005E7F7E" w:rsidRPr="00987488" w:rsidP="005E7F7E" w14:paraId="205513B1" w14:textId="77777777">
      <w:pPr>
        <w:spacing w:line="240" w:lineRule="exact"/>
        <w:rPr>
          <w:rFonts w:ascii="Times New Roman" w:hAnsi="Times New Roman"/>
          <w:sz w:val="24"/>
          <w:szCs w:val="24"/>
        </w:rPr>
      </w:pPr>
      <w:r w:rsidRPr="00987488">
        <w:rPr>
          <w:rFonts w:ascii="Times New Roman" w:hAnsi="Times New Roman"/>
          <w:sz w:val="24"/>
          <w:szCs w:val="24"/>
        </w:rPr>
        <w:t>Goal 10: By December 1, 2028, implement race and ethnicity updates in CFOI dissemination systems and outputs (tables, charts, data series, publications)</w:t>
      </w:r>
    </w:p>
    <w:p w:rsidR="005E7F7E" w:rsidRPr="00987488" w:rsidP="005E7F7E" w14:paraId="7AE12AF7" w14:textId="77777777">
      <w:pPr>
        <w:spacing w:line="240" w:lineRule="exact"/>
        <w:rPr>
          <w:rFonts w:ascii="Times New Roman" w:hAnsi="Times New Roman"/>
          <w:sz w:val="24"/>
          <w:szCs w:val="24"/>
        </w:rPr>
      </w:pPr>
    </w:p>
    <w:p w:rsidR="005E7F7E" w:rsidRPr="00987488" w:rsidP="005E7F7E" w14:paraId="2B3A3261" w14:textId="77777777">
      <w:pPr>
        <w:spacing w:line="240" w:lineRule="exact"/>
        <w:rPr>
          <w:rFonts w:ascii="Times New Roman" w:hAnsi="Times New Roman"/>
          <w:sz w:val="24"/>
          <w:szCs w:val="24"/>
        </w:rPr>
      </w:pPr>
      <w:r w:rsidRPr="00987488">
        <w:rPr>
          <w:rFonts w:ascii="Times New Roman" w:hAnsi="Times New Roman"/>
          <w:sz w:val="24"/>
          <w:szCs w:val="24"/>
        </w:rPr>
        <w:t>Goal 11: By December 1, 2028, implement race and ethnicity updates in CFOI Profiles federal/state dissemination system and outputs (tables, charts, data series, publications)</w:t>
      </w:r>
    </w:p>
    <w:p w:rsidR="005E7F7E" w:rsidRPr="00987488" w:rsidP="005E7F7E" w14:paraId="72AB7566" w14:textId="77777777">
      <w:pPr>
        <w:spacing w:line="240" w:lineRule="exact"/>
        <w:rPr>
          <w:rFonts w:ascii="Times New Roman" w:hAnsi="Times New Roman"/>
          <w:sz w:val="24"/>
          <w:szCs w:val="24"/>
        </w:rPr>
      </w:pPr>
    </w:p>
    <w:p w:rsidR="005E7F7E" w:rsidRPr="00987488" w:rsidP="005E7F7E" w14:paraId="36C3B2CE" w14:textId="77777777">
      <w:pPr>
        <w:spacing w:line="240" w:lineRule="exact"/>
        <w:rPr>
          <w:rFonts w:ascii="Times New Roman" w:hAnsi="Times New Roman"/>
          <w:sz w:val="24"/>
          <w:szCs w:val="24"/>
        </w:rPr>
      </w:pPr>
      <w:r w:rsidRPr="00987488">
        <w:rPr>
          <w:rFonts w:ascii="Times New Roman" w:hAnsi="Times New Roman"/>
          <w:sz w:val="24"/>
          <w:szCs w:val="24"/>
        </w:rPr>
        <w:t>Goal 12: By November 1, 2028, complete planned communications and stakeholder outreach regarding planned CFOI race and ethnicity updates</w:t>
      </w:r>
    </w:p>
    <w:p w:rsidR="005E7F7E" w:rsidRPr="00987488" w:rsidP="005E7F7E" w14:paraId="0CAF6048" w14:textId="77777777">
      <w:pPr>
        <w:spacing w:line="240" w:lineRule="exact"/>
        <w:rPr>
          <w:rFonts w:ascii="Times New Roman" w:hAnsi="Times New Roman"/>
          <w:sz w:val="24"/>
          <w:szCs w:val="24"/>
        </w:rPr>
      </w:pPr>
    </w:p>
    <w:p w:rsidR="005E7F7E" w:rsidRPr="00987488" w:rsidP="005E7F7E" w14:paraId="3F0D5CA9" w14:textId="77777777">
      <w:pPr>
        <w:spacing w:line="240" w:lineRule="exact"/>
        <w:rPr>
          <w:rFonts w:ascii="Times New Roman" w:hAnsi="Times New Roman"/>
          <w:sz w:val="24"/>
          <w:szCs w:val="24"/>
        </w:rPr>
      </w:pPr>
      <w:r w:rsidRPr="00987488">
        <w:rPr>
          <w:rFonts w:ascii="Times New Roman" w:hAnsi="Times New Roman"/>
          <w:sz w:val="24"/>
          <w:szCs w:val="24"/>
        </w:rPr>
        <w:t>Goal 13: By December 1, 2028, implement race and ethnicity updates in BLS public databases, outputs, and related webpages (data series mapping files, external profiles, etc.)</w:t>
      </w:r>
    </w:p>
    <w:p w:rsidR="005E7F7E" w:rsidRPr="00987488" w:rsidP="005E7F7E" w14:paraId="7EA88333" w14:textId="77777777">
      <w:pPr>
        <w:spacing w:line="240" w:lineRule="exact"/>
        <w:rPr>
          <w:rFonts w:ascii="Times New Roman" w:hAnsi="Times New Roman"/>
          <w:sz w:val="24"/>
          <w:szCs w:val="24"/>
        </w:rPr>
      </w:pPr>
    </w:p>
    <w:p w:rsidR="005E7F7E" w:rsidRPr="00987488" w:rsidP="005E7F7E" w14:paraId="21BE4A7E" w14:textId="77777777">
      <w:pPr>
        <w:spacing w:line="240" w:lineRule="exact"/>
        <w:rPr>
          <w:rFonts w:ascii="Times New Roman" w:hAnsi="Times New Roman"/>
          <w:sz w:val="24"/>
          <w:szCs w:val="24"/>
        </w:rPr>
      </w:pPr>
      <w:r w:rsidRPr="00987488">
        <w:rPr>
          <w:rFonts w:ascii="Times New Roman" w:hAnsi="Times New Roman"/>
          <w:sz w:val="24"/>
          <w:szCs w:val="24"/>
        </w:rPr>
        <w:t>Goal 14: By December 31, 2028, publish RY27 CFOI data with first use of updated race and ethnicity</w:t>
      </w:r>
    </w:p>
    <w:p w:rsidR="00394171" w:rsidRPr="00394171" w:rsidP="00394171" w14:paraId="53FAC1C5" w14:textId="13614422">
      <w:pPr>
        <w:rPr>
          <w:rFonts w:ascii="Times New Roman" w:hAnsi="Times New Roman"/>
          <w:sz w:val="24"/>
          <w:szCs w:val="24"/>
        </w:rPr>
      </w:pPr>
    </w:p>
    <w:p w:rsidR="008C6C7F" w:rsidRPr="00D53DEB" w:rsidP="008C6C7F" w14:paraId="6796AEC7" w14:textId="15E09E9E">
      <w:pPr>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A92D57">
        <w:rPr>
          <w:rStyle w:val="Heading2Char"/>
          <w:sz w:val="20"/>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6C7F" w:rsidRPr="00B65823" w:rsidP="008C6C7F" w14:paraId="1ABBFC49" w14:textId="77777777">
      <w:pPr>
        <w:rPr>
          <w:rFonts w:ascii="Times New Roman" w:hAnsi="Times New Roman"/>
          <w:b/>
        </w:rPr>
      </w:pPr>
    </w:p>
    <w:p w:rsidR="008C6C7F" w:rsidRPr="00D53DEB" w:rsidP="008C6C7F" w14:paraId="38CA36E4" w14:textId="77777777">
      <w:pPr>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6C7F" w:rsidRPr="00D53DEB" w:rsidP="008C6C7F" w14:paraId="40A88F69" w14:textId="77777777">
      <w:pPr>
        <w:rPr>
          <w:rFonts w:ascii="Times New Roman" w:hAnsi="Times New Roman"/>
          <w:b/>
          <w:bCs/>
        </w:rPr>
      </w:pPr>
    </w:p>
    <w:p w:rsidR="008C6C7F" w:rsidRPr="00D53DEB" w:rsidP="008C6C7F" w14:paraId="1D928D08" w14:textId="34AA848B">
      <w:pPr>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86425" w:rsidP="00394171" w14:paraId="668A162D" w14:textId="130C453B">
      <w:pPr>
        <w:rPr>
          <w:rFonts w:ascii="Times New Roman" w:hAnsi="Times New Roman"/>
          <w:sz w:val="24"/>
          <w:szCs w:val="24"/>
        </w:rPr>
      </w:pPr>
    </w:p>
    <w:p w:rsidR="00D86425" w:rsidP="00D86425" w14:paraId="74C1590A" w14:textId="0BB37A68">
      <w:pPr>
        <w:rPr>
          <w:rFonts w:ascii="Times New Roman" w:hAnsi="Times New Roman"/>
          <w:sz w:val="24"/>
          <w:szCs w:val="24"/>
        </w:rPr>
      </w:pPr>
      <w:r w:rsidRPr="00CB7E90">
        <w:rPr>
          <w:rFonts w:ascii="Times New Roman" w:hAnsi="Times New Roman"/>
          <w:sz w:val="24"/>
          <w:szCs w:val="24"/>
        </w:rPr>
        <w:t xml:space="preserve">No comments were received </w:t>
      </w:r>
      <w:r w:rsidR="00041358">
        <w:rPr>
          <w:rFonts w:ascii="Times New Roman" w:hAnsi="Times New Roman"/>
          <w:sz w:val="24"/>
          <w:szCs w:val="24"/>
        </w:rPr>
        <w:t>from</w:t>
      </w:r>
      <w:r w:rsidRPr="00CB7E90">
        <w:rPr>
          <w:rFonts w:ascii="Times New Roman" w:hAnsi="Times New Roman"/>
          <w:sz w:val="24"/>
          <w:szCs w:val="24"/>
        </w:rPr>
        <w:t xml:space="preserve"> the </w:t>
      </w:r>
      <w:r w:rsidR="00321047">
        <w:rPr>
          <w:rFonts w:ascii="Times New Roman" w:hAnsi="Times New Roman"/>
          <w:sz w:val="24"/>
          <w:szCs w:val="24"/>
        </w:rPr>
        <w:t>f</w:t>
      </w:r>
      <w:r w:rsidRPr="00CB7E90">
        <w:rPr>
          <w:rFonts w:ascii="Times New Roman" w:hAnsi="Times New Roman"/>
          <w:sz w:val="24"/>
          <w:szCs w:val="24"/>
        </w:rPr>
        <w:t xml:space="preserve">ederal </w:t>
      </w:r>
      <w:r w:rsidR="00321047">
        <w:rPr>
          <w:rFonts w:ascii="Times New Roman" w:hAnsi="Times New Roman"/>
          <w:sz w:val="24"/>
          <w:szCs w:val="24"/>
        </w:rPr>
        <w:t>r</w:t>
      </w:r>
      <w:r w:rsidRPr="00CB7E90">
        <w:rPr>
          <w:rFonts w:ascii="Times New Roman" w:hAnsi="Times New Roman"/>
          <w:sz w:val="24"/>
          <w:szCs w:val="24"/>
        </w:rPr>
        <w:t>egister notice published in</w:t>
      </w:r>
      <w:r w:rsidR="00693898">
        <w:rPr>
          <w:rFonts w:ascii="Times New Roman" w:hAnsi="Times New Roman"/>
          <w:sz w:val="24"/>
          <w:szCs w:val="24"/>
        </w:rPr>
        <w:t xml:space="preserve"> </w:t>
      </w:r>
      <w:r w:rsidR="005314C9">
        <w:rPr>
          <w:rFonts w:ascii="Times New Roman" w:hAnsi="Times New Roman"/>
          <w:sz w:val="24"/>
          <w:szCs w:val="24"/>
        </w:rPr>
        <w:t>90 FR 15376 on April 10, 2025.</w:t>
      </w:r>
    </w:p>
    <w:p w:rsidR="00C90A9F" w:rsidP="00D86425" w14:paraId="12D20190" w14:textId="77777777">
      <w:pPr>
        <w:rPr>
          <w:rFonts w:ascii="Times New Roman" w:hAnsi="Times New Roman"/>
          <w:sz w:val="24"/>
          <w:szCs w:val="24"/>
        </w:rPr>
      </w:pPr>
    </w:p>
    <w:p w:rsidR="00D86425" w:rsidRPr="00CB7E90" w:rsidP="00D86425" w14:paraId="7469CE5D" w14:textId="4799DD08">
      <w:pPr>
        <w:rPr>
          <w:rFonts w:ascii="Times New Roman" w:hAnsi="Times New Roman"/>
          <w:sz w:val="24"/>
          <w:szCs w:val="24"/>
        </w:rPr>
      </w:pPr>
      <w:bookmarkStart w:id="1" w:name="_Hlk103842402"/>
      <w:r w:rsidRPr="00CB7E90">
        <w:rPr>
          <w:rFonts w:ascii="Times New Roman" w:hAnsi="Times New Roman"/>
          <w:sz w:val="24"/>
          <w:szCs w:val="24"/>
        </w:rPr>
        <w:t>BLS meets with or periodically consults with representatives from the following user groups:</w:t>
      </w:r>
    </w:p>
    <w:p w:rsidR="00D86425" w:rsidRPr="00CB7E90" w:rsidP="00D86425" w14:paraId="1A1EB402" w14:textId="77777777">
      <w:pPr>
        <w:rPr>
          <w:rFonts w:ascii="Times New Roman" w:hAnsi="Times New Roman"/>
          <w:sz w:val="24"/>
          <w:szCs w:val="24"/>
        </w:rPr>
      </w:pPr>
    </w:p>
    <w:p w:rsidR="00D86425" w:rsidRPr="00CB7E90" w:rsidP="00D86425" w14:paraId="26EC6BB2" w14:textId="516F37C9">
      <w:pPr>
        <w:numPr>
          <w:ilvl w:val="0"/>
          <w:numId w:val="9"/>
        </w:numPr>
        <w:ind w:left="720"/>
        <w:rPr>
          <w:rFonts w:ascii="Times New Roman" w:hAnsi="Times New Roman"/>
          <w:sz w:val="24"/>
          <w:szCs w:val="24"/>
        </w:rPr>
      </w:pPr>
      <w:r w:rsidRPr="00CB7E90">
        <w:rPr>
          <w:rFonts w:ascii="Times New Roman" w:hAnsi="Times New Roman"/>
          <w:sz w:val="24"/>
          <w:szCs w:val="24"/>
        </w:rPr>
        <w:t xml:space="preserve">Occupational Safety and Health Administration </w:t>
      </w:r>
      <w:r w:rsidR="00265C64">
        <w:rPr>
          <w:rFonts w:ascii="Times New Roman" w:hAnsi="Times New Roman"/>
          <w:sz w:val="24"/>
          <w:szCs w:val="24"/>
        </w:rPr>
        <w:t xml:space="preserve">(OSHA) </w:t>
      </w:r>
      <w:r w:rsidRPr="00CB7E90">
        <w:rPr>
          <w:rFonts w:ascii="Times New Roman" w:hAnsi="Times New Roman"/>
          <w:sz w:val="24"/>
          <w:szCs w:val="24"/>
        </w:rPr>
        <w:t>and their advisory committees</w:t>
      </w:r>
    </w:p>
    <w:p w:rsidR="00D86425" w:rsidRPr="00CB7E90" w:rsidP="00D86425" w14:paraId="45B6FAC5" w14:textId="663FCA88">
      <w:pPr>
        <w:numPr>
          <w:ilvl w:val="0"/>
          <w:numId w:val="9"/>
        </w:numPr>
        <w:ind w:left="720"/>
        <w:rPr>
          <w:rFonts w:ascii="Times New Roman" w:hAnsi="Times New Roman"/>
          <w:sz w:val="24"/>
          <w:szCs w:val="24"/>
        </w:rPr>
      </w:pPr>
      <w:r w:rsidRPr="00CB7E90">
        <w:rPr>
          <w:rFonts w:ascii="Times New Roman" w:hAnsi="Times New Roman"/>
          <w:sz w:val="24"/>
          <w:szCs w:val="24"/>
        </w:rPr>
        <w:t xml:space="preserve">U.S. Department of Transportation </w:t>
      </w:r>
      <w:r w:rsidR="00265C64">
        <w:rPr>
          <w:rFonts w:ascii="Times New Roman" w:hAnsi="Times New Roman"/>
          <w:sz w:val="24"/>
          <w:szCs w:val="24"/>
        </w:rPr>
        <w:t>(DOT)</w:t>
      </w:r>
    </w:p>
    <w:p w:rsidR="00057384" w:rsidP="00EB37FC" w14:paraId="4EA8DC09" w14:textId="77777777">
      <w:pPr>
        <w:numPr>
          <w:ilvl w:val="0"/>
          <w:numId w:val="9"/>
        </w:numPr>
        <w:ind w:left="720"/>
        <w:rPr>
          <w:rFonts w:ascii="Times New Roman" w:hAnsi="Times New Roman"/>
          <w:sz w:val="24"/>
          <w:szCs w:val="24"/>
        </w:rPr>
      </w:pPr>
      <w:r w:rsidRPr="00CB7E90">
        <w:rPr>
          <w:rFonts w:ascii="Times New Roman" w:hAnsi="Times New Roman"/>
          <w:sz w:val="24"/>
          <w:szCs w:val="24"/>
        </w:rPr>
        <w:t>Centers for Disease Control and Prevention</w:t>
      </w:r>
      <w:r w:rsidR="00265C64">
        <w:rPr>
          <w:rFonts w:ascii="Times New Roman" w:hAnsi="Times New Roman"/>
          <w:sz w:val="24"/>
          <w:szCs w:val="24"/>
        </w:rPr>
        <w:t xml:space="preserve"> (CDC)</w:t>
      </w:r>
    </w:p>
    <w:p w:rsidR="00EB37FC" w:rsidP="00057384" w14:paraId="2981D543" w14:textId="1965E015">
      <w:pPr>
        <w:numPr>
          <w:ilvl w:val="1"/>
          <w:numId w:val="9"/>
        </w:numPr>
        <w:rPr>
          <w:rFonts w:ascii="Times New Roman" w:hAnsi="Times New Roman"/>
          <w:sz w:val="24"/>
          <w:szCs w:val="24"/>
        </w:rPr>
      </w:pPr>
      <w:r w:rsidRPr="00CB7E90">
        <w:rPr>
          <w:rFonts w:ascii="Times New Roman" w:hAnsi="Times New Roman"/>
          <w:sz w:val="24"/>
          <w:szCs w:val="24"/>
        </w:rPr>
        <w:t>National Institute for Occupational Safety and Health (NIOSH)</w:t>
      </w:r>
    </w:p>
    <w:p w:rsidR="00057384" w:rsidP="00057384" w14:paraId="4D417D1F" w14:textId="2E462D84">
      <w:pPr>
        <w:numPr>
          <w:ilvl w:val="1"/>
          <w:numId w:val="9"/>
        </w:numPr>
        <w:rPr>
          <w:rFonts w:ascii="Times New Roman" w:hAnsi="Times New Roman"/>
          <w:sz w:val="24"/>
          <w:szCs w:val="24"/>
        </w:rPr>
      </w:pPr>
      <w:r w:rsidRPr="00057384">
        <w:rPr>
          <w:rFonts w:ascii="Times New Roman" w:hAnsi="Times New Roman"/>
          <w:sz w:val="24"/>
          <w:szCs w:val="24"/>
        </w:rPr>
        <w:t>National Center for Health Statistics (NCHS)</w:t>
      </w:r>
    </w:p>
    <w:p w:rsidR="00D86425" w:rsidRPr="00CB7E90" w:rsidP="00D86425" w14:paraId="039F6CEA" w14:textId="576D1BF8">
      <w:pPr>
        <w:numPr>
          <w:ilvl w:val="0"/>
          <w:numId w:val="9"/>
        </w:numPr>
        <w:ind w:left="720"/>
        <w:rPr>
          <w:rFonts w:ascii="Times New Roman" w:hAnsi="Times New Roman"/>
          <w:sz w:val="24"/>
          <w:szCs w:val="24"/>
        </w:rPr>
      </w:pPr>
      <w:r w:rsidRPr="00CB7E90">
        <w:rPr>
          <w:rFonts w:ascii="Times New Roman" w:hAnsi="Times New Roman"/>
          <w:sz w:val="24"/>
          <w:szCs w:val="24"/>
        </w:rPr>
        <w:t>Council of State and Territorial Epidemiologists</w:t>
      </w:r>
      <w:r w:rsidR="00265C64">
        <w:rPr>
          <w:rFonts w:ascii="Times New Roman" w:hAnsi="Times New Roman"/>
          <w:sz w:val="24"/>
          <w:szCs w:val="24"/>
        </w:rPr>
        <w:t xml:space="preserve"> (CSTE)</w:t>
      </w:r>
    </w:p>
    <w:p w:rsidR="00D86425" w:rsidP="00D86425" w14:paraId="3C2D16AC" w14:textId="0D725A52">
      <w:pPr>
        <w:numPr>
          <w:ilvl w:val="0"/>
          <w:numId w:val="9"/>
        </w:numPr>
        <w:ind w:left="720"/>
        <w:rPr>
          <w:rFonts w:ascii="Times New Roman" w:hAnsi="Times New Roman"/>
          <w:sz w:val="24"/>
          <w:szCs w:val="24"/>
        </w:rPr>
      </w:pPr>
      <w:r w:rsidRPr="00CB7E90">
        <w:rPr>
          <w:rFonts w:ascii="Times New Roman" w:hAnsi="Times New Roman"/>
          <w:sz w:val="24"/>
          <w:szCs w:val="24"/>
        </w:rPr>
        <w:t>National Safety Council</w:t>
      </w:r>
      <w:r w:rsidR="00265C64">
        <w:rPr>
          <w:rFonts w:ascii="Times New Roman" w:hAnsi="Times New Roman"/>
          <w:sz w:val="24"/>
          <w:szCs w:val="24"/>
        </w:rPr>
        <w:t xml:space="preserve"> (NSC)</w:t>
      </w:r>
    </w:p>
    <w:p w:rsidR="00363728" w:rsidP="00D86425" w14:paraId="76FFC4D7" w14:textId="296B9EF1">
      <w:pPr>
        <w:numPr>
          <w:ilvl w:val="0"/>
          <w:numId w:val="9"/>
        </w:numPr>
        <w:ind w:left="720"/>
        <w:rPr>
          <w:rFonts w:ascii="Times New Roman" w:hAnsi="Times New Roman"/>
          <w:sz w:val="24"/>
          <w:szCs w:val="24"/>
        </w:rPr>
      </w:pPr>
      <w:r>
        <w:rPr>
          <w:rFonts w:ascii="Times New Roman" w:hAnsi="Times New Roman"/>
          <w:sz w:val="24"/>
          <w:szCs w:val="24"/>
        </w:rPr>
        <w:t>Center for Construction Research and Training (CPWR)</w:t>
      </w:r>
    </w:p>
    <w:p w:rsidR="00D86425" w:rsidP="00D86425" w14:paraId="70AD68C9" w14:textId="660AB38A">
      <w:pPr>
        <w:numPr>
          <w:ilvl w:val="0"/>
          <w:numId w:val="9"/>
        </w:numPr>
        <w:ind w:left="720"/>
        <w:rPr>
          <w:rFonts w:ascii="Times New Roman" w:hAnsi="Times New Roman"/>
          <w:sz w:val="24"/>
          <w:szCs w:val="24"/>
        </w:rPr>
      </w:pPr>
      <w:r w:rsidRPr="00CB7E90">
        <w:rPr>
          <w:rFonts w:ascii="Times New Roman" w:hAnsi="Times New Roman"/>
          <w:sz w:val="24"/>
          <w:szCs w:val="24"/>
        </w:rPr>
        <w:t>Oil and gas extraction safety groups</w:t>
      </w:r>
    </w:p>
    <w:p w:rsidR="00FA44C1" w:rsidP="00D86425" w14:paraId="208C38CD" w14:textId="770C3D53">
      <w:pPr>
        <w:numPr>
          <w:ilvl w:val="0"/>
          <w:numId w:val="9"/>
        </w:numPr>
        <w:ind w:left="720"/>
        <w:rPr>
          <w:rFonts w:ascii="Times New Roman" w:hAnsi="Times New Roman"/>
          <w:sz w:val="24"/>
          <w:szCs w:val="24"/>
        </w:rPr>
      </w:pPr>
      <w:r>
        <w:rPr>
          <w:rFonts w:ascii="Times New Roman" w:hAnsi="Times New Roman"/>
          <w:sz w:val="24"/>
          <w:szCs w:val="24"/>
        </w:rPr>
        <w:t>National Occupational Research Agenda (</w:t>
      </w:r>
      <w:r w:rsidR="00363728">
        <w:rPr>
          <w:rFonts w:ascii="Times New Roman" w:hAnsi="Times New Roman"/>
          <w:sz w:val="24"/>
          <w:szCs w:val="24"/>
        </w:rPr>
        <w:t>NORA</w:t>
      </w:r>
      <w:r>
        <w:rPr>
          <w:rFonts w:ascii="Times New Roman" w:hAnsi="Times New Roman"/>
          <w:sz w:val="24"/>
          <w:szCs w:val="24"/>
        </w:rPr>
        <w:t>)</w:t>
      </w:r>
      <w:r w:rsidR="00363728">
        <w:rPr>
          <w:rFonts w:ascii="Times New Roman" w:hAnsi="Times New Roman"/>
          <w:sz w:val="24"/>
          <w:szCs w:val="24"/>
        </w:rPr>
        <w:t xml:space="preserve"> </w:t>
      </w:r>
      <w:r w:rsidRPr="000F6410" w:rsidR="000F6410">
        <w:rPr>
          <w:rFonts w:ascii="Times New Roman" w:hAnsi="Times New Roman"/>
          <w:sz w:val="24"/>
          <w:szCs w:val="24"/>
        </w:rPr>
        <w:t xml:space="preserve">Service </w:t>
      </w:r>
      <w:r w:rsidR="00363728">
        <w:rPr>
          <w:rFonts w:ascii="Times New Roman" w:hAnsi="Times New Roman"/>
          <w:sz w:val="24"/>
          <w:szCs w:val="24"/>
        </w:rPr>
        <w:t>S</w:t>
      </w:r>
      <w:r w:rsidRPr="000F6410" w:rsidR="000F6410">
        <w:rPr>
          <w:rFonts w:ascii="Times New Roman" w:hAnsi="Times New Roman"/>
          <w:sz w:val="24"/>
          <w:szCs w:val="24"/>
        </w:rPr>
        <w:t xml:space="preserve">ector </w:t>
      </w:r>
      <w:r w:rsidR="00363728">
        <w:rPr>
          <w:rFonts w:ascii="Times New Roman" w:hAnsi="Times New Roman"/>
          <w:sz w:val="24"/>
          <w:szCs w:val="24"/>
        </w:rPr>
        <w:t>Council</w:t>
      </w:r>
    </w:p>
    <w:p w:rsidR="00363728" w:rsidRPr="000F6410" w:rsidP="00D86425" w14:paraId="7E99B3D6" w14:textId="5B7906AC">
      <w:pPr>
        <w:numPr>
          <w:ilvl w:val="0"/>
          <w:numId w:val="9"/>
        </w:numPr>
        <w:ind w:left="720"/>
        <w:rPr>
          <w:rFonts w:ascii="Times New Roman" w:hAnsi="Times New Roman"/>
          <w:sz w:val="24"/>
          <w:szCs w:val="24"/>
        </w:rPr>
      </w:pPr>
      <w:r>
        <w:rPr>
          <w:rFonts w:ascii="Times New Roman" w:hAnsi="Times New Roman"/>
          <w:sz w:val="24"/>
          <w:szCs w:val="24"/>
        </w:rPr>
        <w:t>NORA Contingent Worker Workgroup</w:t>
      </w:r>
    </w:p>
    <w:bookmarkEnd w:id="1"/>
    <w:p w:rsidR="000B2CD7" w:rsidRPr="00CB7E90" w:rsidP="000B2CD7" w14:paraId="689E0AD0" w14:textId="77777777">
      <w:pPr>
        <w:rPr>
          <w:rFonts w:ascii="Times New Roman" w:hAnsi="Times New Roman"/>
          <w:sz w:val="24"/>
          <w:szCs w:val="24"/>
        </w:rPr>
      </w:pPr>
    </w:p>
    <w:p w:rsidR="000B2CD7" w:rsidRPr="00CB7E90" w:rsidP="000B2CD7" w14:paraId="1211C813" w14:textId="40FD596A">
      <w:pPr>
        <w:rPr>
          <w:rFonts w:ascii="Times New Roman" w:hAnsi="Times New Roman"/>
          <w:sz w:val="24"/>
          <w:szCs w:val="24"/>
        </w:rPr>
      </w:pPr>
      <w:r>
        <w:rPr>
          <w:rFonts w:ascii="Times New Roman" w:hAnsi="Times New Roman"/>
          <w:sz w:val="24"/>
          <w:szCs w:val="24"/>
        </w:rPr>
        <w:t xml:space="preserve">In addition, </w:t>
      </w:r>
      <w:r w:rsidRPr="00CB7E90">
        <w:rPr>
          <w:rFonts w:ascii="Times New Roman" w:hAnsi="Times New Roman"/>
          <w:sz w:val="24"/>
          <w:szCs w:val="24"/>
        </w:rPr>
        <w:t xml:space="preserve">BLS meets annually with the </w:t>
      </w:r>
      <w:r w:rsidR="00390A30">
        <w:rPr>
          <w:rFonts w:ascii="Times New Roman" w:hAnsi="Times New Roman"/>
          <w:sz w:val="24"/>
          <w:szCs w:val="24"/>
        </w:rPr>
        <w:t>s</w:t>
      </w:r>
      <w:r w:rsidRPr="00CB7E90">
        <w:rPr>
          <w:rFonts w:ascii="Times New Roman" w:hAnsi="Times New Roman"/>
          <w:sz w:val="24"/>
          <w:szCs w:val="24"/>
        </w:rPr>
        <w:t>tate partners receiving grants to conduct the fatality census.</w:t>
      </w:r>
    </w:p>
    <w:p w:rsidR="000B2CD7" w:rsidRPr="00CB7E90" w:rsidP="000B2CD7" w14:paraId="4F3533B4" w14:textId="77777777">
      <w:pPr>
        <w:rPr>
          <w:rFonts w:ascii="Times New Roman" w:hAnsi="Times New Roman"/>
          <w:sz w:val="24"/>
          <w:szCs w:val="24"/>
        </w:rPr>
      </w:pPr>
    </w:p>
    <w:p w:rsidR="00EE4B6B" w:rsidRPr="00CB7E90" w:rsidP="000B2CD7" w14:paraId="0DFEE54E" w14:textId="056A78EF">
      <w:pPr>
        <w:rPr>
          <w:rFonts w:ascii="Times New Roman" w:hAnsi="Times New Roman"/>
          <w:sz w:val="24"/>
          <w:szCs w:val="24"/>
        </w:rPr>
      </w:pPr>
      <w:bookmarkStart w:id="2" w:name="_Hlk192056413"/>
      <w:r w:rsidRPr="00EE4B6B">
        <w:rPr>
          <w:rFonts w:ascii="Times New Roman" w:hAnsi="Times New Roman"/>
          <w:sz w:val="24"/>
          <w:szCs w:val="24"/>
        </w:rPr>
        <w:t>During the past several years, BLS staff participated in numerous national conferences and presented CFOI data, including to the following major organizations and conferences: Council of State and Territorial Epidemiologists (CSTE), NIOSH at the National Occupational Injury Research Symposium (NOIRS), the Federal Highway Administration (FHWA), the Department of Labor (DOL Workers’ Memorial Day Expos and DOL Seminar Series), BLS Data User Conferences, and the Western Agriculture Safety and Health Conference. Additionally, BLS staff provide data and information on key concepts to major media and industry groups</w:t>
      </w:r>
      <w:r>
        <w:rPr>
          <w:rFonts w:ascii="Times New Roman" w:hAnsi="Times New Roman"/>
          <w:sz w:val="24"/>
          <w:szCs w:val="24"/>
        </w:rPr>
        <w:t>.</w:t>
      </w:r>
    </w:p>
    <w:bookmarkEnd w:id="2"/>
    <w:p w:rsidR="000B2CD7" w:rsidRPr="00CB7E90" w:rsidP="000B2CD7" w14:paraId="23D418AD" w14:textId="77777777">
      <w:pPr>
        <w:rPr>
          <w:rFonts w:ascii="Times New Roman" w:hAnsi="Times New Roman"/>
          <w:sz w:val="24"/>
          <w:szCs w:val="24"/>
        </w:rPr>
      </w:pPr>
    </w:p>
    <w:p w:rsidR="008C6C7F" w:rsidRPr="00D53DEB" w:rsidP="008C6C7F" w14:paraId="0FBBB133" w14:textId="77777777">
      <w:pPr>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0B2CD7" w:rsidRPr="00CB7E90" w:rsidP="000B2CD7" w14:paraId="56EBCE1C" w14:textId="77777777">
      <w:pPr>
        <w:rPr>
          <w:rFonts w:ascii="Times New Roman" w:hAnsi="Times New Roman"/>
          <w:sz w:val="24"/>
          <w:szCs w:val="24"/>
        </w:rPr>
      </w:pPr>
    </w:p>
    <w:p w:rsidR="000B2CD7" w:rsidRPr="00CB7E90" w:rsidP="000B2CD7" w14:paraId="2F4EFC16" w14:textId="142F01D9">
      <w:pPr>
        <w:rPr>
          <w:rFonts w:ascii="Times New Roman" w:hAnsi="Times New Roman"/>
          <w:b/>
          <w:sz w:val="24"/>
          <w:szCs w:val="24"/>
        </w:rPr>
      </w:pPr>
      <w:r w:rsidRPr="00CB7E90">
        <w:rPr>
          <w:rFonts w:ascii="Times New Roman" w:hAnsi="Times New Roman"/>
          <w:sz w:val="24"/>
          <w:szCs w:val="24"/>
        </w:rPr>
        <w:t>The BLS does not pay follow</w:t>
      </w:r>
      <w:r w:rsidR="00041358">
        <w:rPr>
          <w:rFonts w:ascii="Times New Roman" w:hAnsi="Times New Roman"/>
          <w:sz w:val="24"/>
          <w:szCs w:val="24"/>
        </w:rPr>
        <w:t>-</w:t>
      </w:r>
      <w:r w:rsidRPr="00CB7E90">
        <w:rPr>
          <w:rFonts w:ascii="Times New Roman" w:hAnsi="Times New Roman"/>
          <w:sz w:val="24"/>
          <w:szCs w:val="24"/>
        </w:rPr>
        <w:t>back respondents to complete the questionnaire. However, some source document</w:t>
      </w:r>
      <w:r w:rsidR="001A588D">
        <w:rPr>
          <w:rFonts w:ascii="Times New Roman" w:hAnsi="Times New Roman"/>
          <w:sz w:val="24"/>
          <w:szCs w:val="24"/>
        </w:rPr>
        <w:t xml:space="preserve"> provider</w:t>
      </w:r>
      <w:r w:rsidRPr="00CB7E90">
        <w:rPr>
          <w:rFonts w:ascii="Times New Roman" w:hAnsi="Times New Roman"/>
          <w:sz w:val="24"/>
          <w:szCs w:val="24"/>
        </w:rPr>
        <w:t xml:space="preserve">s, such as the </w:t>
      </w:r>
      <w:r w:rsidR="00390A30">
        <w:rPr>
          <w:rFonts w:ascii="Times New Roman" w:hAnsi="Times New Roman"/>
          <w:sz w:val="24"/>
          <w:szCs w:val="24"/>
        </w:rPr>
        <w:t>s</w:t>
      </w:r>
      <w:r w:rsidRPr="00CB7E90">
        <w:rPr>
          <w:rFonts w:ascii="Times New Roman" w:hAnsi="Times New Roman"/>
          <w:sz w:val="24"/>
          <w:szCs w:val="24"/>
        </w:rPr>
        <w:t xml:space="preserve">tate vital statistics agencies, require a nominal fee to cover copying costs. </w:t>
      </w:r>
    </w:p>
    <w:p w:rsidR="000B2CD7" w:rsidRPr="00CB7E90" w:rsidP="000B2CD7" w14:paraId="0429B1C3" w14:textId="77777777">
      <w:pPr>
        <w:rPr>
          <w:rFonts w:ascii="Times New Roman" w:hAnsi="Times New Roman"/>
          <w:b/>
          <w:sz w:val="24"/>
          <w:szCs w:val="24"/>
        </w:rPr>
      </w:pPr>
    </w:p>
    <w:p w:rsidR="000B2CD7" w:rsidRPr="00CB700E" w:rsidP="000B2CD7" w14:paraId="4E952A2E" w14:textId="1284CBC8">
      <w:pPr>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0B2CD7" w:rsidRPr="00CB7E90" w:rsidP="000B2CD7" w14:paraId="4B800439" w14:textId="77777777">
      <w:pPr>
        <w:rPr>
          <w:rFonts w:ascii="Times New Roman" w:hAnsi="Times New Roman"/>
          <w:sz w:val="24"/>
          <w:szCs w:val="24"/>
        </w:rPr>
      </w:pPr>
    </w:p>
    <w:p w:rsidR="000B2CD7" w:rsidRPr="00CB7E90" w:rsidP="000B2CD7" w14:paraId="092ECC90" w14:textId="0B8A6AE9">
      <w:pPr>
        <w:rPr>
          <w:rFonts w:ascii="Times New Roman" w:hAnsi="Times New Roman"/>
          <w:sz w:val="24"/>
          <w:szCs w:val="24"/>
        </w:rPr>
      </w:pPr>
      <w:r w:rsidRPr="00CB7E90">
        <w:rPr>
          <w:rFonts w:ascii="Times New Roman" w:hAnsi="Times New Roman"/>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0B2CD7" w:rsidRPr="00CB7E90" w:rsidP="000B2CD7" w14:paraId="636A5939" w14:textId="77777777">
      <w:pPr>
        <w:rPr>
          <w:rFonts w:ascii="Times New Roman" w:hAnsi="Times New Roman"/>
          <w:sz w:val="24"/>
          <w:szCs w:val="24"/>
        </w:rPr>
      </w:pPr>
      <w:r w:rsidRPr="00CB7E90">
        <w:rPr>
          <w:rFonts w:ascii="Times New Roman" w:hAnsi="Times New Roman"/>
          <w:sz w:val="24"/>
          <w:szCs w:val="24"/>
        </w:rPr>
        <w:t> </w:t>
      </w:r>
    </w:p>
    <w:p w:rsidR="000B2CD7" w:rsidRPr="00CB7E90" w:rsidP="000B2CD7" w14:paraId="01EDC04B" w14:textId="6026BAF2">
      <w:pPr>
        <w:rPr>
          <w:rFonts w:ascii="Times New Roman" w:hAnsi="Times New Roman"/>
          <w:sz w:val="24"/>
          <w:szCs w:val="24"/>
        </w:rPr>
      </w:pPr>
      <w:r w:rsidRPr="00CB7E90">
        <w:rPr>
          <w:rFonts w:ascii="Times New Roman" w:hAnsi="Times New Roman"/>
          <w:sz w:val="24"/>
          <w:szCs w:val="24"/>
        </w:rPr>
        <w:t>Based on this law, the BLS provides respondents to the follow</w:t>
      </w:r>
      <w:r w:rsidR="00041358">
        <w:rPr>
          <w:rFonts w:ascii="Times New Roman" w:hAnsi="Times New Roman"/>
          <w:sz w:val="24"/>
          <w:szCs w:val="24"/>
        </w:rPr>
        <w:t>-</w:t>
      </w:r>
      <w:r w:rsidRPr="00CB7E90">
        <w:rPr>
          <w:rFonts w:ascii="Times New Roman" w:hAnsi="Times New Roman"/>
          <w:sz w:val="24"/>
          <w:szCs w:val="24"/>
        </w:rPr>
        <w:t>back questionnaire with the following confidentiality pledge/informed consent statement:</w:t>
      </w:r>
    </w:p>
    <w:p w:rsidR="000B2CD7" w:rsidRPr="00CB7E90" w:rsidP="000B2CD7" w14:paraId="18F6B5E5" w14:textId="77777777">
      <w:pPr>
        <w:rPr>
          <w:rFonts w:ascii="Times New Roman" w:hAnsi="Times New Roman"/>
          <w:sz w:val="24"/>
          <w:szCs w:val="24"/>
        </w:rPr>
      </w:pPr>
      <w:r w:rsidRPr="00CB7E90">
        <w:rPr>
          <w:rFonts w:ascii="Times New Roman" w:hAnsi="Times New Roman"/>
          <w:sz w:val="24"/>
          <w:szCs w:val="24"/>
        </w:rPr>
        <w:t> </w:t>
      </w:r>
    </w:p>
    <w:p w:rsidR="000B2CD7" w:rsidRPr="00CB7E90" w:rsidP="000B2CD7" w14:paraId="4BACD1F5" w14:textId="2B693DFD">
      <w:pPr>
        <w:rPr>
          <w:rFonts w:ascii="Times New Roman" w:hAnsi="Times New Roman"/>
          <w:sz w:val="24"/>
          <w:szCs w:val="24"/>
        </w:rPr>
      </w:pPr>
      <w:r w:rsidRPr="00CB7E90">
        <w:rPr>
          <w:rFonts w:ascii="Times New Roman" w:hAnsi="Times New Roman"/>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200AC3">
        <w:rPr>
          <w:rFonts w:ascii="Times New Roman" w:hAnsi="Times New Roman"/>
          <w:i/>
          <w:iCs/>
          <w:sz w:val="24"/>
          <w:szCs w:val="24"/>
        </w:rPr>
        <w:t>44 U.S.C. 3572</w:t>
      </w:r>
      <w:r w:rsidRPr="00CB7E90">
        <w:rPr>
          <w:rFonts w:ascii="Times New Roman" w:hAnsi="Times New Roman"/>
          <w:i/>
          <w:iCs/>
          <w:sz w:val="24"/>
          <w:szCs w:val="24"/>
        </w:rPr>
        <w:t xml:space="preserve">) and other applicable Federal laws, </w:t>
      </w:r>
      <w:r w:rsidRPr="00CB7E90">
        <w:rPr>
          <w:rFonts w:ascii="Times New Roman" w:hAnsi="Times New Roman"/>
          <w:i/>
          <w:iCs/>
          <w:sz w:val="24"/>
          <w:szCs w:val="24"/>
        </w:rPr>
        <w:t>your responses will not be disclosed in identifiable form without your informed consent.</w:t>
      </w:r>
      <w:r w:rsidR="00450F51">
        <w:rPr>
          <w:rFonts w:ascii="Times New Roman" w:hAnsi="Times New Roman"/>
          <w:i/>
          <w:iCs/>
          <w:sz w:val="24"/>
          <w:szCs w:val="24"/>
        </w:rPr>
        <w:t xml:space="preserve"> Per the Cybersecurity Act of 2015, Federal information systems are protected from malicious activities through cybersecurity screening of transmitted data.</w:t>
      </w:r>
    </w:p>
    <w:p w:rsidR="000B2CD7" w:rsidRPr="00CB7E90" w:rsidP="000B2CD7" w14:paraId="3FFF8496" w14:textId="77777777">
      <w:pPr>
        <w:rPr>
          <w:rFonts w:ascii="Times New Roman" w:hAnsi="Times New Roman"/>
          <w:sz w:val="24"/>
          <w:szCs w:val="24"/>
        </w:rPr>
      </w:pPr>
      <w:r w:rsidRPr="00CB7E90">
        <w:rPr>
          <w:rFonts w:ascii="Times New Roman" w:hAnsi="Times New Roman"/>
          <w:sz w:val="24"/>
          <w:szCs w:val="24"/>
        </w:rPr>
        <w:t> </w:t>
      </w:r>
    </w:p>
    <w:p w:rsidR="000B2CD7" w:rsidRPr="00CB7E90" w:rsidP="000B2CD7" w14:paraId="488E4D80" w14:textId="77777777">
      <w:pPr>
        <w:rPr>
          <w:rFonts w:ascii="Times New Roman" w:hAnsi="Times New Roman"/>
          <w:sz w:val="24"/>
          <w:szCs w:val="24"/>
        </w:rPr>
      </w:pPr>
      <w:r w:rsidRPr="00CB7E90">
        <w:rPr>
          <w:rFonts w:ascii="Times New Roman" w:hAnsi="Times New Roman"/>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0B2CD7" w:rsidRPr="00CB7E90" w:rsidP="000B2CD7" w14:paraId="16400DA1" w14:textId="77777777">
      <w:pPr>
        <w:rPr>
          <w:rFonts w:ascii="Times New Roman" w:hAnsi="Times New Roman"/>
          <w:sz w:val="24"/>
          <w:szCs w:val="24"/>
        </w:rPr>
      </w:pPr>
    </w:p>
    <w:p w:rsidR="000B2CD7" w:rsidRPr="00CB7E90" w:rsidP="000B2CD7" w14:paraId="3257A312" w14:textId="68717B46">
      <w:pPr>
        <w:spacing w:line="260" w:lineRule="atLeast"/>
        <w:rPr>
          <w:rFonts w:ascii="Times New Roman" w:hAnsi="Times New Roman"/>
          <w:sz w:val="24"/>
          <w:szCs w:val="24"/>
        </w:rPr>
      </w:pPr>
      <w:r w:rsidRPr="00CB7E90">
        <w:rPr>
          <w:rFonts w:ascii="Times New Roman" w:hAnsi="Times New Roman"/>
          <w:sz w:val="24"/>
          <w:szCs w:val="24"/>
        </w:rPr>
        <w:t xml:space="preserve">The partner </w:t>
      </w:r>
      <w:r w:rsidR="00390A30">
        <w:rPr>
          <w:rFonts w:ascii="Times New Roman" w:hAnsi="Times New Roman"/>
          <w:sz w:val="24"/>
          <w:szCs w:val="24"/>
        </w:rPr>
        <w:t>s</w:t>
      </w:r>
      <w:r w:rsidRPr="00CB7E90">
        <w:rPr>
          <w:rFonts w:ascii="Times New Roman" w:hAnsi="Times New Roman"/>
          <w:sz w:val="24"/>
          <w:szCs w:val="24"/>
        </w:rPr>
        <w:t xml:space="preserve">tate agencies adhere to this policy and with any confidentiality provisions that the source agencies such as the vital statistics agency, workers' compensation agency, and other organizations that supply information may require. Documents supplied by these agencies are maintained by </w:t>
      </w:r>
      <w:r w:rsidR="00390A30">
        <w:rPr>
          <w:rFonts w:ascii="Times New Roman" w:hAnsi="Times New Roman"/>
          <w:sz w:val="24"/>
          <w:szCs w:val="24"/>
        </w:rPr>
        <w:t>s</w:t>
      </w:r>
      <w:r w:rsidRPr="00CB7E90">
        <w:rPr>
          <w:rFonts w:ascii="Times New Roman" w:hAnsi="Times New Roman"/>
          <w:sz w:val="24"/>
          <w:szCs w:val="24"/>
        </w:rPr>
        <w:t xml:space="preserve">tate partners. The BLS does not have access to these documents. </w:t>
      </w:r>
    </w:p>
    <w:p w:rsidR="000B2CD7" w:rsidRPr="00CB7E90" w:rsidP="000B2CD7" w14:paraId="6717AB40" w14:textId="77777777">
      <w:pPr>
        <w:rPr>
          <w:rFonts w:ascii="Times New Roman" w:hAnsi="Times New Roman"/>
          <w:sz w:val="24"/>
          <w:szCs w:val="24"/>
        </w:rPr>
      </w:pPr>
    </w:p>
    <w:p w:rsidR="00715A5A" w:rsidP="000B2CD7" w14:paraId="51F4FD28" w14:textId="1F6882A5">
      <w:pPr>
        <w:rPr>
          <w:rFonts w:ascii="Times New Roman" w:hAnsi="Times New Roman"/>
          <w:sz w:val="24"/>
          <w:szCs w:val="24"/>
        </w:rPr>
      </w:pPr>
      <w:r w:rsidRPr="00715A5A">
        <w:rPr>
          <w:rFonts w:ascii="Times New Roman" w:hAnsi="Times New Roman"/>
          <w:sz w:val="24"/>
          <w:szCs w:val="24"/>
        </w:rPr>
        <w:t>Starting with the reference year 2019, CFOI modernized its disclosure methodology further strengthening its protection of confidential data. As a result of these necessary protections there are fewer publishable counts in CFOI. Disclosure protection is always an ongoing balance between protecting confidential data from disclosure and providing useful data to users</w:t>
      </w:r>
      <w:r>
        <w:rPr>
          <w:rFonts w:ascii="Times New Roman" w:hAnsi="Times New Roman"/>
          <w:sz w:val="24"/>
          <w:szCs w:val="24"/>
        </w:rPr>
        <w:t>.</w:t>
      </w:r>
      <w:r w:rsidRPr="00715A5A">
        <w:rPr>
          <w:rFonts w:ascii="Times New Roman" w:hAnsi="Times New Roman"/>
          <w:sz w:val="24"/>
          <w:szCs w:val="24"/>
        </w:rPr>
        <w:t xml:space="preserve"> </w:t>
      </w:r>
      <w:r w:rsidR="009C3BD1">
        <w:rPr>
          <w:rFonts w:ascii="Times New Roman" w:hAnsi="Times New Roman"/>
          <w:sz w:val="24"/>
          <w:szCs w:val="24"/>
        </w:rPr>
        <w:t>The BLS continues to research</w:t>
      </w:r>
      <w:r w:rsidR="00FD4F69">
        <w:rPr>
          <w:rFonts w:ascii="Times New Roman" w:hAnsi="Times New Roman"/>
          <w:sz w:val="24"/>
          <w:szCs w:val="24"/>
        </w:rPr>
        <w:t xml:space="preserve"> potential future</w:t>
      </w:r>
      <w:r w:rsidR="009C3BD1">
        <w:rPr>
          <w:rFonts w:ascii="Times New Roman" w:hAnsi="Times New Roman"/>
          <w:sz w:val="24"/>
          <w:szCs w:val="24"/>
        </w:rPr>
        <w:t xml:space="preserve"> improvements to disclosure protection methods to maximize the amount of publishable data while ensuring data confidentiality.</w:t>
      </w:r>
    </w:p>
    <w:p w:rsidR="00715A5A" w:rsidP="000B2CD7" w14:paraId="3BCA8148" w14:textId="77777777">
      <w:pPr>
        <w:rPr>
          <w:rFonts w:ascii="Times New Roman" w:hAnsi="Times New Roman"/>
          <w:sz w:val="24"/>
          <w:szCs w:val="24"/>
        </w:rPr>
      </w:pPr>
    </w:p>
    <w:p w:rsidR="000B2CD7" w:rsidRPr="00CB7E90" w:rsidP="000B2CD7" w14:paraId="12119B8E" w14:textId="19F30279">
      <w:pPr>
        <w:rPr>
          <w:rFonts w:ascii="Times New Roman" w:hAnsi="Times New Roman"/>
          <w:sz w:val="24"/>
          <w:szCs w:val="24"/>
        </w:rPr>
      </w:pPr>
      <w:r w:rsidRPr="00CB7E90">
        <w:rPr>
          <w:rFonts w:ascii="Times New Roman" w:hAnsi="Times New Roman"/>
          <w:sz w:val="24"/>
          <w:szCs w:val="24"/>
        </w:rPr>
        <w:t xml:space="preserve">Those requesting </w:t>
      </w:r>
      <w:r w:rsidR="002B415B">
        <w:rPr>
          <w:rFonts w:ascii="Times New Roman" w:hAnsi="Times New Roman"/>
          <w:sz w:val="24"/>
          <w:szCs w:val="24"/>
        </w:rPr>
        <w:t xml:space="preserve">access to </w:t>
      </w:r>
      <w:r w:rsidR="00CB6BEC">
        <w:rPr>
          <w:rFonts w:ascii="Times New Roman" w:hAnsi="Times New Roman"/>
          <w:sz w:val="24"/>
          <w:szCs w:val="24"/>
        </w:rPr>
        <w:t xml:space="preserve">confidential </w:t>
      </w:r>
      <w:r w:rsidRPr="00CB7E90">
        <w:rPr>
          <w:rFonts w:ascii="Times New Roman" w:hAnsi="Times New Roman"/>
          <w:sz w:val="24"/>
          <w:szCs w:val="24"/>
        </w:rPr>
        <w:t xml:space="preserve">CFOI </w:t>
      </w:r>
      <w:r w:rsidR="00CB6BEC">
        <w:rPr>
          <w:rFonts w:ascii="Times New Roman" w:hAnsi="Times New Roman"/>
          <w:sz w:val="24"/>
          <w:szCs w:val="24"/>
        </w:rPr>
        <w:t>data</w:t>
      </w:r>
      <w:r w:rsidRPr="00CB7E90">
        <w:rPr>
          <w:rFonts w:ascii="Times New Roman" w:hAnsi="Times New Roman"/>
          <w:sz w:val="24"/>
          <w:szCs w:val="24"/>
        </w:rPr>
        <w:t xml:space="preserve"> </w:t>
      </w:r>
      <w:r w:rsidR="002B415B">
        <w:rPr>
          <w:rFonts w:ascii="Times New Roman" w:hAnsi="Times New Roman"/>
          <w:sz w:val="24"/>
          <w:szCs w:val="24"/>
        </w:rPr>
        <w:t>either in person</w:t>
      </w:r>
      <w:r w:rsidR="00030B6B">
        <w:rPr>
          <w:rFonts w:ascii="Times New Roman" w:hAnsi="Times New Roman"/>
          <w:sz w:val="24"/>
          <w:szCs w:val="24"/>
        </w:rPr>
        <w:t>, at a Federal Statistical Research Data Center (FSRDC),</w:t>
      </w:r>
      <w:r w:rsidR="002B415B">
        <w:rPr>
          <w:rFonts w:ascii="Times New Roman" w:hAnsi="Times New Roman"/>
          <w:sz w:val="24"/>
          <w:szCs w:val="24"/>
        </w:rPr>
        <w:t xml:space="preserve"> or via the Virtual Data Enclave (VDE) </w:t>
      </w:r>
      <w:r w:rsidRPr="00CB7E90">
        <w:rPr>
          <w:rFonts w:ascii="Times New Roman" w:hAnsi="Times New Roman"/>
          <w:sz w:val="24"/>
          <w:szCs w:val="24"/>
        </w:rPr>
        <w:t>must complete BLS confidentiality training (annually) and sign a letter of agreement stating that they will comply with the BLS’s confidentiality and computer security provisions. Some data elements on the research file are masked to further reduce the risk of identifying individual decedents or companies.</w:t>
      </w:r>
    </w:p>
    <w:p w:rsidR="000B2CD7" w:rsidRPr="00CB7E90" w:rsidP="000B2CD7" w14:paraId="4889603E" w14:textId="77777777">
      <w:pPr>
        <w:rPr>
          <w:rFonts w:ascii="Times New Roman" w:hAnsi="Times New Roman"/>
          <w:b/>
          <w:sz w:val="24"/>
          <w:szCs w:val="24"/>
        </w:rPr>
      </w:pPr>
    </w:p>
    <w:p w:rsidR="008C6C7F" w:rsidRPr="00D53DEB" w:rsidP="008C6C7F" w14:paraId="41838AD8" w14:textId="100452A4">
      <w:pPr>
        <w:rPr>
          <w:rFonts w:ascii="Times New Roman" w:hAnsi="Times New Roman"/>
          <w:b/>
          <w:bCs/>
        </w:rPr>
      </w:pPr>
      <w:r w:rsidRPr="00D53DEB">
        <w:rPr>
          <w:rFonts w:ascii="Times New Roman" w:hAnsi="Times New Roman"/>
          <w:b/>
          <w:bCs/>
        </w:rPr>
        <w:t xml:space="preserve">11. </w:t>
      </w:r>
      <w:r>
        <w:rPr>
          <w:rFonts w:ascii="Times New Roman" w:hAnsi="Times New Roman"/>
          <w:b/>
          <w:bCs/>
        </w:rPr>
        <w:t xml:space="preserve"> </w:t>
      </w:r>
      <w:r w:rsidRPr="00D53DEB">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2CD7" w:rsidRPr="00CB7E90" w:rsidP="000B2CD7" w14:paraId="38A7F313" w14:textId="77777777">
      <w:pPr>
        <w:pStyle w:val="PlainText"/>
        <w:rPr>
          <w:rFonts w:ascii="Times New Roman" w:hAnsi="Times New Roman"/>
          <w:sz w:val="24"/>
          <w:szCs w:val="24"/>
        </w:rPr>
      </w:pPr>
    </w:p>
    <w:p w:rsidR="000B2CD7" w:rsidP="000B2CD7" w14:paraId="092F3AFD" w14:textId="491BAA0D">
      <w:pPr>
        <w:rPr>
          <w:rFonts w:ascii="Times New Roman" w:hAnsi="Times New Roman"/>
          <w:sz w:val="24"/>
          <w:szCs w:val="24"/>
        </w:rPr>
      </w:pPr>
      <w:r w:rsidRPr="00CB7E90">
        <w:rPr>
          <w:rFonts w:ascii="Times New Roman" w:hAnsi="Times New Roman"/>
          <w:sz w:val="24"/>
          <w:szCs w:val="24"/>
        </w:rPr>
        <w:t xml:space="preserve">No questions of a sensitive nature are asked on the CFOI </w:t>
      </w:r>
      <w:r w:rsidR="00041358">
        <w:rPr>
          <w:rFonts w:ascii="Times New Roman" w:hAnsi="Times New Roman"/>
          <w:sz w:val="24"/>
          <w:szCs w:val="24"/>
        </w:rPr>
        <w:t>follow-back</w:t>
      </w:r>
      <w:r w:rsidRPr="00CB7E90">
        <w:rPr>
          <w:rFonts w:ascii="Times New Roman" w:hAnsi="Times New Roman"/>
          <w:sz w:val="24"/>
          <w:szCs w:val="24"/>
        </w:rPr>
        <w:t xml:space="preserve"> form.</w:t>
      </w:r>
    </w:p>
    <w:p w:rsidR="00250DBC" w:rsidRPr="00CB7E90" w:rsidP="000B2CD7" w14:paraId="42D22DE0" w14:textId="77777777">
      <w:pPr>
        <w:rPr>
          <w:rFonts w:ascii="Times New Roman" w:hAnsi="Times New Roman"/>
          <w:sz w:val="24"/>
          <w:szCs w:val="24"/>
        </w:rPr>
      </w:pPr>
    </w:p>
    <w:p w:rsidR="008C6C7F" w:rsidRPr="00D53DEB" w:rsidP="008C6C7F" w14:paraId="2724FAE4" w14:textId="10E3292F">
      <w:pPr>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8C6C7F" w:rsidRPr="00D53DEB" w:rsidP="008C6C7F" w14:paraId="50B9B699" w14:textId="77777777">
      <w:pPr>
        <w:rPr>
          <w:rFonts w:ascii="Times New Roman" w:hAnsi="Times New Roman"/>
          <w:b/>
          <w:bCs/>
        </w:rPr>
      </w:pPr>
    </w:p>
    <w:p w:rsidR="008C6C7F" w:rsidRPr="003A5F9D" w:rsidP="008C6C7F" w14:paraId="7F9EE724" w14:textId="14A3A1E5">
      <w:pPr>
        <w:numPr>
          <w:ilvl w:val="0"/>
          <w:numId w:val="11"/>
        </w:numPr>
        <w:tabs>
          <w:tab w:val="clear" w:pos="1080"/>
        </w:tabs>
        <w:autoSpaceDE w:val="0"/>
        <w:autoSpaceDN w:val="0"/>
        <w:adjustRightInd w:val="0"/>
        <w:spacing w:after="120"/>
        <w:rPr>
          <w:rFonts w:ascii="Times New Roman" w:hAnsi="Times New Roman"/>
          <w:b/>
          <w:bCs/>
        </w:rPr>
      </w:pPr>
      <w:r w:rsidRPr="00B65823">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 estimates should not include burden hours for customary and usual business practices.</w:t>
      </w:r>
    </w:p>
    <w:p w:rsidR="008C6C7F" w:rsidRPr="00B65823" w:rsidP="008C6C7F" w14:paraId="0E164EEF" w14:textId="0C78954C">
      <w:pPr>
        <w:numPr>
          <w:ilvl w:val="0"/>
          <w:numId w:val="11"/>
        </w:numPr>
        <w:tabs>
          <w:tab w:val="clear" w:pos="1080"/>
        </w:tabs>
        <w:autoSpaceDE w:val="0"/>
        <w:autoSpaceDN w:val="0"/>
        <w:adjustRightInd w:val="0"/>
        <w:spacing w:after="120"/>
      </w:pPr>
      <w:r w:rsidRPr="00B65823">
        <w:rPr>
          <w:rFonts w:ascii="Times New Roman" w:hAnsi="Times New Roman"/>
          <w:b/>
          <w:bCs/>
        </w:rPr>
        <w:t>If this request for approval covers more than one form, provide separate hour burden estimates for each form</w:t>
      </w:r>
      <w:r w:rsidR="00B61748">
        <w:rPr>
          <w:rFonts w:ascii="Times New Roman" w:hAnsi="Times New Roman"/>
          <w:b/>
          <w:bCs/>
        </w:rPr>
        <w:t>.</w:t>
      </w:r>
    </w:p>
    <w:p w:rsidR="008C6C7F" w:rsidRPr="00B65823" w:rsidP="008C6C7F" w14:paraId="08DEEE3C" w14:textId="15D05E51">
      <w:pPr>
        <w:numPr>
          <w:ilvl w:val="0"/>
          <w:numId w:val="11"/>
        </w:numPr>
        <w:tabs>
          <w:tab w:val="clear" w:pos="1080"/>
        </w:tabs>
        <w:autoSpaceDE w:val="0"/>
        <w:autoSpaceDN w:val="0"/>
        <w:adjustRightInd w:val="0"/>
        <w:rPr>
          <w:rFonts w:ascii="Times New Roman" w:hAnsi="Times New Roman"/>
          <w:b/>
          <w:bCs/>
        </w:rPr>
      </w:pPr>
      <w:r w:rsidRPr="00B6582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B2CD7" w:rsidRPr="00CB7E90" w:rsidP="000B2CD7" w14:paraId="57B67187" w14:textId="77777777">
      <w:pPr>
        <w:rPr>
          <w:rFonts w:ascii="Times New Roman" w:hAnsi="Times New Roman"/>
          <w:sz w:val="24"/>
          <w:szCs w:val="24"/>
        </w:rPr>
      </w:pPr>
    </w:p>
    <w:p w:rsidR="000B2CD7" w:rsidRPr="00CB7E90" w:rsidP="000B2CD7" w14:paraId="0D2E2209" w14:textId="06DCA403">
      <w:pPr>
        <w:rPr>
          <w:rFonts w:ascii="Times New Roman" w:hAnsi="Times New Roman"/>
          <w:sz w:val="24"/>
          <w:szCs w:val="24"/>
        </w:rPr>
      </w:pPr>
      <w:r w:rsidRPr="00CB7E90">
        <w:rPr>
          <w:rFonts w:ascii="Times New Roman" w:hAnsi="Times New Roman"/>
          <w:sz w:val="24"/>
          <w:szCs w:val="24"/>
        </w:rPr>
        <w:t xml:space="preserve">The burden of providing information on fatal injuries falls on two primary groups: </w:t>
      </w:r>
      <w:r w:rsidR="00390A30">
        <w:rPr>
          <w:rFonts w:ascii="Times New Roman" w:hAnsi="Times New Roman"/>
          <w:sz w:val="24"/>
          <w:szCs w:val="24"/>
        </w:rPr>
        <w:t>f</w:t>
      </w:r>
      <w:r w:rsidRPr="00CB7E90">
        <w:rPr>
          <w:rFonts w:ascii="Times New Roman" w:hAnsi="Times New Roman"/>
          <w:sz w:val="24"/>
          <w:szCs w:val="24"/>
        </w:rPr>
        <w:t xml:space="preserve">ederal,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that provide </w:t>
      </w:r>
      <w:r w:rsidRPr="00CB7E90" w:rsidR="00041358">
        <w:rPr>
          <w:rFonts w:ascii="Times New Roman" w:hAnsi="Times New Roman"/>
          <w:sz w:val="24"/>
          <w:szCs w:val="24"/>
        </w:rPr>
        <w:t>most</w:t>
      </w:r>
      <w:r w:rsidRPr="00CB7E90">
        <w:rPr>
          <w:rFonts w:ascii="Times New Roman" w:hAnsi="Times New Roman"/>
          <w:sz w:val="24"/>
          <w:szCs w:val="24"/>
        </w:rPr>
        <w:t xml:space="preserve"> source documents, and employers and individuals </w:t>
      </w:r>
      <w:r w:rsidRPr="00CB7E90" w:rsidR="00CB700E">
        <w:rPr>
          <w:rFonts w:ascii="Times New Roman" w:hAnsi="Times New Roman"/>
          <w:sz w:val="24"/>
          <w:szCs w:val="24"/>
        </w:rPr>
        <w:t>who</w:t>
      </w:r>
      <w:r w:rsidRPr="00CB7E90">
        <w:rPr>
          <w:rFonts w:ascii="Times New Roman" w:hAnsi="Times New Roman"/>
          <w:sz w:val="24"/>
          <w:szCs w:val="24"/>
        </w:rPr>
        <w:t xml:space="preserve"> </w:t>
      </w:r>
      <w:r w:rsidR="00390A30">
        <w:rPr>
          <w:rFonts w:ascii="Times New Roman" w:hAnsi="Times New Roman"/>
          <w:sz w:val="24"/>
          <w:szCs w:val="24"/>
        </w:rPr>
        <w:t>s</w:t>
      </w:r>
      <w:r w:rsidRPr="00CB7E90">
        <w:rPr>
          <w:rFonts w:ascii="Times New Roman" w:hAnsi="Times New Roman"/>
          <w:sz w:val="24"/>
          <w:szCs w:val="24"/>
        </w:rPr>
        <w:t>tates may request to fill out the follow</w:t>
      </w:r>
      <w:r w:rsidR="00041358">
        <w:rPr>
          <w:rFonts w:ascii="Times New Roman" w:hAnsi="Times New Roman"/>
          <w:sz w:val="24"/>
          <w:szCs w:val="24"/>
        </w:rPr>
        <w:t>-</w:t>
      </w:r>
      <w:r w:rsidRPr="00CB7E90">
        <w:rPr>
          <w:rFonts w:ascii="Times New Roman" w:hAnsi="Times New Roman"/>
          <w:sz w:val="24"/>
          <w:szCs w:val="24"/>
        </w:rPr>
        <w:t xml:space="preserve">back questionnaires when additional information is required. Federal, </w:t>
      </w:r>
      <w:r w:rsidR="00390A30">
        <w:rPr>
          <w:rFonts w:ascii="Times New Roman" w:hAnsi="Times New Roman"/>
          <w:sz w:val="24"/>
          <w:szCs w:val="24"/>
        </w:rPr>
        <w:t>s</w:t>
      </w:r>
      <w:r w:rsidRPr="00CB7E90">
        <w:rPr>
          <w:rFonts w:ascii="Times New Roman" w:hAnsi="Times New Roman"/>
          <w:sz w:val="24"/>
          <w:szCs w:val="24"/>
        </w:rPr>
        <w:t>tate, local, and tribal agencies may also be requested to provide information in a follow</w:t>
      </w:r>
      <w:r w:rsidR="00041358">
        <w:rPr>
          <w:rFonts w:ascii="Times New Roman" w:hAnsi="Times New Roman"/>
          <w:sz w:val="24"/>
          <w:szCs w:val="24"/>
        </w:rPr>
        <w:t>-</w:t>
      </w:r>
      <w:r w:rsidRPr="00CB7E90">
        <w:rPr>
          <w:rFonts w:ascii="Times New Roman" w:hAnsi="Times New Roman"/>
          <w:sz w:val="24"/>
          <w:szCs w:val="24"/>
        </w:rPr>
        <w:t xml:space="preserve">back questionnaire if the </w:t>
      </w:r>
      <w:r w:rsidRPr="00CB7E90" w:rsidR="00B82CB9">
        <w:rPr>
          <w:rFonts w:ascii="Times New Roman" w:hAnsi="Times New Roman"/>
          <w:sz w:val="24"/>
          <w:szCs w:val="24"/>
        </w:rPr>
        <w:t>fatally injured</w:t>
      </w:r>
      <w:r w:rsidRPr="00CB7E90">
        <w:rPr>
          <w:rFonts w:ascii="Times New Roman" w:hAnsi="Times New Roman"/>
          <w:sz w:val="24"/>
          <w:szCs w:val="24"/>
        </w:rPr>
        <w:t xml:space="preserve"> person is a government employee. Because of the varying arrangements among the </w:t>
      </w:r>
      <w:r w:rsidR="00390A30">
        <w:rPr>
          <w:rFonts w:ascii="Times New Roman" w:hAnsi="Times New Roman"/>
          <w:sz w:val="24"/>
          <w:szCs w:val="24"/>
        </w:rPr>
        <w:t>s</w:t>
      </w:r>
      <w:r w:rsidRPr="00CB7E90">
        <w:rPr>
          <w:rFonts w:ascii="Times New Roman" w:hAnsi="Times New Roman"/>
          <w:sz w:val="24"/>
          <w:szCs w:val="24"/>
        </w:rPr>
        <w:t>tate, local, and tribal government agencies to provide fatality reports, the total number of source documents and follow</w:t>
      </w:r>
      <w:r w:rsidR="00041358">
        <w:rPr>
          <w:rFonts w:ascii="Times New Roman" w:hAnsi="Times New Roman"/>
          <w:sz w:val="24"/>
          <w:szCs w:val="24"/>
        </w:rPr>
        <w:t>-</w:t>
      </w:r>
      <w:r w:rsidRPr="00CB7E90">
        <w:rPr>
          <w:rFonts w:ascii="Times New Roman" w:hAnsi="Times New Roman"/>
          <w:sz w:val="24"/>
          <w:szCs w:val="24"/>
        </w:rPr>
        <w:t xml:space="preserve">back questionnaires received is used for the number of responses. </w:t>
      </w:r>
      <w:r w:rsidRPr="0078794D">
        <w:rPr>
          <w:rFonts w:ascii="Times New Roman" w:hAnsi="Times New Roman"/>
          <w:sz w:val="24"/>
          <w:szCs w:val="24"/>
        </w:rPr>
        <w:t xml:space="preserve">All burden hours and costs were calculated using five-year maximum values </w:t>
      </w:r>
      <w:r w:rsidRPr="0078794D" w:rsidR="00E72D8B">
        <w:rPr>
          <w:rFonts w:ascii="Times New Roman" w:hAnsi="Times New Roman"/>
          <w:sz w:val="24"/>
          <w:szCs w:val="24"/>
        </w:rPr>
        <w:t xml:space="preserve">for </w:t>
      </w:r>
      <w:r w:rsidR="00155BCF">
        <w:rPr>
          <w:rFonts w:ascii="Times New Roman" w:hAnsi="Times New Roman"/>
          <w:sz w:val="24"/>
          <w:szCs w:val="24"/>
        </w:rPr>
        <w:t xml:space="preserve">reference year </w:t>
      </w:r>
      <w:r w:rsidRPr="0078794D">
        <w:rPr>
          <w:rFonts w:ascii="Times New Roman" w:hAnsi="Times New Roman"/>
          <w:sz w:val="24"/>
          <w:szCs w:val="24"/>
        </w:rPr>
        <w:t>201</w:t>
      </w:r>
      <w:r w:rsidRPr="0078794D" w:rsidR="00F14B4C">
        <w:rPr>
          <w:rFonts w:ascii="Times New Roman" w:hAnsi="Times New Roman"/>
          <w:sz w:val="24"/>
          <w:szCs w:val="24"/>
        </w:rPr>
        <w:t>9</w:t>
      </w:r>
      <w:r w:rsidRPr="0078794D">
        <w:rPr>
          <w:rFonts w:ascii="Times New Roman" w:hAnsi="Times New Roman"/>
          <w:sz w:val="24"/>
          <w:szCs w:val="24"/>
        </w:rPr>
        <w:t>-20</w:t>
      </w:r>
      <w:r w:rsidRPr="0078794D" w:rsidR="00A83839">
        <w:rPr>
          <w:rFonts w:ascii="Times New Roman" w:hAnsi="Times New Roman"/>
          <w:sz w:val="24"/>
          <w:szCs w:val="24"/>
        </w:rPr>
        <w:t>2</w:t>
      </w:r>
      <w:r w:rsidRPr="0078794D" w:rsidR="00F14B4C">
        <w:rPr>
          <w:rFonts w:ascii="Times New Roman" w:hAnsi="Times New Roman"/>
          <w:sz w:val="24"/>
          <w:szCs w:val="24"/>
        </w:rPr>
        <w:t>3</w:t>
      </w:r>
      <w:r w:rsidRPr="0078794D">
        <w:rPr>
          <w:rFonts w:ascii="Times New Roman" w:hAnsi="Times New Roman"/>
          <w:sz w:val="24"/>
          <w:szCs w:val="24"/>
        </w:rPr>
        <w:t xml:space="preserve"> </w:t>
      </w:r>
      <w:r w:rsidRPr="0078794D" w:rsidR="00E72D8B">
        <w:rPr>
          <w:rFonts w:ascii="Times New Roman" w:hAnsi="Times New Roman"/>
          <w:sz w:val="24"/>
          <w:szCs w:val="24"/>
        </w:rPr>
        <w:t xml:space="preserve">data </w:t>
      </w:r>
      <w:r w:rsidRPr="0078794D">
        <w:rPr>
          <w:rFonts w:ascii="Times New Roman" w:hAnsi="Times New Roman"/>
          <w:sz w:val="24"/>
          <w:szCs w:val="24"/>
        </w:rPr>
        <w:t>to best account for any possible fluctuation in the number of occupational fatalities.</w:t>
      </w:r>
      <w:r w:rsidRPr="00CB7E90">
        <w:rPr>
          <w:rFonts w:ascii="Times New Roman" w:hAnsi="Times New Roman"/>
          <w:sz w:val="24"/>
          <w:szCs w:val="24"/>
        </w:rPr>
        <w:t xml:space="preserve"> </w:t>
      </w:r>
    </w:p>
    <w:p w:rsidR="000B2CD7" w:rsidRPr="00CB7E90" w:rsidP="000B2CD7" w14:paraId="3DDC6C84" w14:textId="77777777">
      <w:pPr>
        <w:rPr>
          <w:rFonts w:ascii="Times New Roman" w:hAnsi="Times New Roman"/>
          <w:sz w:val="24"/>
          <w:szCs w:val="24"/>
        </w:rPr>
      </w:pPr>
    </w:p>
    <w:p w:rsidR="000B2CD7" w:rsidRPr="00CB7E90" w:rsidP="000B2CD7" w14:paraId="4C3BD51A" w14:textId="10FCD982">
      <w:pPr>
        <w:rPr>
          <w:rFonts w:ascii="Times New Roman" w:hAnsi="Times New Roman"/>
          <w:sz w:val="24"/>
          <w:szCs w:val="24"/>
        </w:rPr>
      </w:pPr>
      <w:r w:rsidRPr="00CB7E90">
        <w:rPr>
          <w:rFonts w:ascii="Times New Roman" w:hAnsi="Times New Roman"/>
          <w:sz w:val="24"/>
          <w:szCs w:val="24"/>
        </w:rPr>
        <w:t xml:space="preserve">The CFOI requires that two or more independent source documents be collected to substantiate work-relationship for each </w:t>
      </w:r>
      <w:r w:rsidR="00041358">
        <w:rPr>
          <w:rFonts w:ascii="Times New Roman" w:hAnsi="Times New Roman"/>
          <w:sz w:val="24"/>
          <w:szCs w:val="24"/>
        </w:rPr>
        <w:t xml:space="preserve">work-related </w:t>
      </w:r>
      <w:r w:rsidRPr="00CB7E90">
        <w:rPr>
          <w:rFonts w:ascii="Times New Roman" w:hAnsi="Times New Roman"/>
          <w:sz w:val="24"/>
          <w:szCs w:val="24"/>
        </w:rPr>
        <w:t xml:space="preserve">fatality. When only one source document has been obtained for a fatality, the </w:t>
      </w:r>
      <w:r w:rsidR="00390A30">
        <w:rPr>
          <w:rFonts w:ascii="Times New Roman" w:hAnsi="Times New Roman"/>
          <w:sz w:val="24"/>
          <w:szCs w:val="24"/>
        </w:rPr>
        <w:t>s</w:t>
      </w:r>
      <w:r w:rsidRPr="00CB7E90">
        <w:rPr>
          <w:rFonts w:ascii="Times New Roman" w:hAnsi="Times New Roman"/>
          <w:sz w:val="24"/>
          <w:szCs w:val="24"/>
        </w:rPr>
        <w:t xml:space="preserve">tate agency may </w:t>
      </w:r>
      <w:r w:rsidR="00155BCF">
        <w:rPr>
          <w:rFonts w:ascii="Times New Roman" w:hAnsi="Times New Roman"/>
          <w:sz w:val="24"/>
          <w:szCs w:val="24"/>
        </w:rPr>
        <w:t>send</w:t>
      </w:r>
      <w:r w:rsidRPr="00CB7E90" w:rsidR="00155BCF">
        <w:rPr>
          <w:rFonts w:ascii="Times New Roman" w:hAnsi="Times New Roman"/>
          <w:sz w:val="24"/>
          <w:szCs w:val="24"/>
        </w:rPr>
        <w:t xml:space="preserve"> </w:t>
      </w:r>
      <w:r w:rsidRPr="00CB7E90">
        <w:rPr>
          <w:rFonts w:ascii="Times New Roman" w:hAnsi="Times New Roman"/>
          <w:sz w:val="24"/>
          <w:szCs w:val="24"/>
        </w:rPr>
        <w:t>a follow</w:t>
      </w:r>
      <w:r>
        <w:rPr>
          <w:rFonts w:ascii="Times New Roman" w:hAnsi="Times New Roman"/>
          <w:sz w:val="24"/>
          <w:szCs w:val="24"/>
        </w:rPr>
        <w:t>-</w:t>
      </w:r>
      <w:r w:rsidRPr="00CB7E90">
        <w:rPr>
          <w:rFonts w:ascii="Times New Roman" w:hAnsi="Times New Roman"/>
          <w:sz w:val="24"/>
          <w:szCs w:val="24"/>
        </w:rPr>
        <w:t>back questionnaire (Attachment 2A) to a business or person named on one of the source documents. The follow</w:t>
      </w:r>
      <w:r w:rsidR="00041358">
        <w:rPr>
          <w:rFonts w:ascii="Times New Roman" w:hAnsi="Times New Roman"/>
          <w:sz w:val="24"/>
          <w:szCs w:val="24"/>
        </w:rPr>
        <w:t>-</w:t>
      </w:r>
      <w:r w:rsidRPr="00CB7E90">
        <w:rPr>
          <w:rFonts w:ascii="Times New Roman" w:hAnsi="Times New Roman"/>
          <w:sz w:val="24"/>
          <w:szCs w:val="24"/>
        </w:rPr>
        <w:t>back questionnaire is used to substantiate work relationship or to obtain missing information</w:t>
      </w:r>
      <w:r w:rsidR="00F403CF">
        <w:rPr>
          <w:rFonts w:ascii="Times New Roman" w:hAnsi="Times New Roman"/>
          <w:sz w:val="24"/>
          <w:szCs w:val="24"/>
        </w:rPr>
        <w:t>.</w:t>
      </w:r>
      <w:r w:rsidRPr="00CB7E90">
        <w:rPr>
          <w:rFonts w:ascii="Times New Roman" w:hAnsi="Times New Roman"/>
          <w:sz w:val="24"/>
          <w:szCs w:val="24"/>
        </w:rPr>
        <w:t xml:space="preserve"> </w:t>
      </w:r>
    </w:p>
    <w:p w:rsidR="000B2CD7" w:rsidRPr="00CB7E90" w:rsidP="000B2CD7" w14:paraId="2E6B156C" w14:textId="77777777">
      <w:pPr>
        <w:rPr>
          <w:rFonts w:ascii="Times New Roman" w:hAnsi="Times New Roman"/>
          <w:sz w:val="24"/>
          <w:szCs w:val="24"/>
        </w:rPr>
      </w:pPr>
    </w:p>
    <w:p w:rsidR="000B2CD7" w:rsidRPr="00CB7E90" w:rsidP="000B2CD7" w14:paraId="5D2194F1" w14:textId="77777777">
      <w:pPr>
        <w:rPr>
          <w:rFonts w:ascii="Times New Roman" w:hAnsi="Times New Roman"/>
          <w:i/>
          <w:sz w:val="24"/>
          <w:szCs w:val="24"/>
        </w:rPr>
      </w:pPr>
      <w:r w:rsidRPr="00CB7E90">
        <w:rPr>
          <w:rFonts w:ascii="Times New Roman" w:hAnsi="Times New Roman"/>
          <w:i/>
          <w:sz w:val="24"/>
          <w:szCs w:val="24"/>
        </w:rPr>
        <w:t>Source agency burden</w:t>
      </w:r>
    </w:p>
    <w:p w:rsidR="000B2CD7" w:rsidRPr="00CB7E90" w:rsidP="000B2CD7" w14:paraId="6C5BD10B" w14:textId="77777777">
      <w:pPr>
        <w:rPr>
          <w:rFonts w:ascii="Times New Roman" w:hAnsi="Times New Roman"/>
          <w:sz w:val="24"/>
          <w:szCs w:val="24"/>
        </w:rPr>
      </w:pPr>
    </w:p>
    <w:p w:rsidR="000B2CD7" w:rsidRPr="00CB7E90" w:rsidP="000B2CD7" w14:paraId="196F77A1" w14:textId="73515CC9">
      <w:pPr>
        <w:rPr>
          <w:rFonts w:ascii="Times New Roman" w:hAnsi="Times New Roman"/>
          <w:sz w:val="24"/>
          <w:szCs w:val="24"/>
        </w:rPr>
      </w:pPr>
      <w:r w:rsidRPr="00CB7E90">
        <w:rPr>
          <w:rFonts w:ascii="Times New Roman" w:hAnsi="Times New Roman"/>
          <w:sz w:val="24"/>
          <w:szCs w:val="24"/>
        </w:rPr>
        <w:t xml:space="preserve">During the startup of the CFOI, the BLS provided a template (Attachment 2B) to </w:t>
      </w:r>
      <w:r w:rsidR="00390A30">
        <w:rPr>
          <w:rFonts w:ascii="Times New Roman" w:hAnsi="Times New Roman"/>
          <w:sz w:val="24"/>
          <w:szCs w:val="24"/>
        </w:rPr>
        <w:t>s</w:t>
      </w:r>
      <w:r w:rsidRPr="00CB7E90">
        <w:rPr>
          <w:rFonts w:ascii="Times New Roman" w:hAnsi="Times New Roman"/>
          <w:sz w:val="24"/>
          <w:szCs w:val="24"/>
        </w:rPr>
        <w:t xml:space="preserve">tate partners for use in setting up arrangements to obtain source documents from other agencies within the </w:t>
      </w:r>
      <w:r w:rsidR="00390A30">
        <w:rPr>
          <w:rFonts w:ascii="Times New Roman" w:hAnsi="Times New Roman"/>
          <w:sz w:val="24"/>
          <w:szCs w:val="24"/>
        </w:rPr>
        <w:t>s</w:t>
      </w:r>
      <w:r w:rsidRPr="00CB7E90">
        <w:rPr>
          <w:rFonts w:ascii="Times New Roman" w:hAnsi="Times New Roman"/>
          <w:sz w:val="24"/>
          <w:szCs w:val="24"/>
        </w:rPr>
        <w:t xml:space="preserve">tate. States occasionally use this template to confirm these arrangements—particularly during periods of staff turnover. Significant modifications to the letter are discussed with the BLS regional office beforehand. Some </w:t>
      </w:r>
      <w:r w:rsidR="00390A30">
        <w:rPr>
          <w:rFonts w:ascii="Times New Roman" w:hAnsi="Times New Roman"/>
          <w:sz w:val="24"/>
          <w:szCs w:val="24"/>
        </w:rPr>
        <w:t>s</w:t>
      </w:r>
      <w:r w:rsidRPr="00CB7E90">
        <w:rPr>
          <w:rFonts w:ascii="Times New Roman" w:hAnsi="Times New Roman"/>
          <w:sz w:val="24"/>
          <w:szCs w:val="24"/>
        </w:rPr>
        <w:t xml:space="preserve">tates use the fax form (Attachment 2C) to obtain a source document for a fatality that has been identified by another source. </w:t>
      </w:r>
    </w:p>
    <w:p w:rsidR="000B2CD7" w:rsidRPr="00CB7E90" w:rsidP="000B2CD7" w14:paraId="644D0CDD" w14:textId="77777777">
      <w:pPr>
        <w:rPr>
          <w:rFonts w:ascii="Times New Roman" w:hAnsi="Times New Roman"/>
          <w:sz w:val="24"/>
          <w:szCs w:val="24"/>
        </w:rPr>
      </w:pPr>
    </w:p>
    <w:p w:rsidR="000B2CD7" w:rsidRPr="00CB7E90" w:rsidP="000B2CD7" w14:paraId="7AF36F05" w14:textId="443FCAE7">
      <w:pPr>
        <w:rPr>
          <w:rFonts w:ascii="Times New Roman" w:hAnsi="Times New Roman"/>
          <w:b/>
          <w:sz w:val="24"/>
          <w:szCs w:val="24"/>
        </w:rPr>
      </w:pPr>
      <w:r w:rsidRPr="0078794D">
        <w:rPr>
          <w:rFonts w:ascii="Times New Roman" w:hAnsi="Times New Roman"/>
          <w:sz w:val="24"/>
          <w:szCs w:val="24"/>
        </w:rPr>
        <w:t>From 201</w:t>
      </w:r>
      <w:r w:rsidRPr="0078794D" w:rsidR="00F14B4C">
        <w:rPr>
          <w:rFonts w:ascii="Times New Roman" w:hAnsi="Times New Roman"/>
          <w:sz w:val="24"/>
          <w:szCs w:val="24"/>
        </w:rPr>
        <w:t>9</w:t>
      </w:r>
      <w:r w:rsidRPr="0078794D">
        <w:rPr>
          <w:rFonts w:ascii="Times New Roman" w:hAnsi="Times New Roman"/>
          <w:sz w:val="24"/>
          <w:szCs w:val="24"/>
        </w:rPr>
        <w:t xml:space="preserve"> through 202</w:t>
      </w:r>
      <w:r w:rsidRPr="0078794D" w:rsidR="00F14B4C">
        <w:rPr>
          <w:rFonts w:ascii="Times New Roman" w:hAnsi="Times New Roman"/>
          <w:sz w:val="24"/>
          <w:szCs w:val="24"/>
        </w:rPr>
        <w:t>3</w:t>
      </w:r>
      <w:r w:rsidRPr="0078794D">
        <w:rPr>
          <w:rFonts w:ascii="Times New Roman" w:hAnsi="Times New Roman"/>
          <w:sz w:val="24"/>
          <w:szCs w:val="24"/>
        </w:rPr>
        <w:t xml:space="preserve">, an average of about </w:t>
      </w:r>
      <w:r w:rsidRPr="0078794D" w:rsidR="00000464">
        <w:rPr>
          <w:rFonts w:ascii="Times New Roman" w:hAnsi="Times New Roman"/>
          <w:sz w:val="24"/>
          <w:szCs w:val="24"/>
        </w:rPr>
        <w:t>5</w:t>
      </w:r>
      <w:r w:rsidRPr="0078794D">
        <w:rPr>
          <w:rFonts w:ascii="Times New Roman" w:hAnsi="Times New Roman"/>
          <w:sz w:val="24"/>
          <w:szCs w:val="24"/>
        </w:rPr>
        <w:t>,</w:t>
      </w:r>
      <w:r w:rsidRPr="0078794D" w:rsidR="00F14B4C">
        <w:rPr>
          <w:rFonts w:ascii="Times New Roman" w:hAnsi="Times New Roman"/>
          <w:sz w:val="24"/>
          <w:szCs w:val="24"/>
        </w:rPr>
        <w:t>9</w:t>
      </w:r>
      <w:r w:rsidRPr="0078794D">
        <w:rPr>
          <w:rFonts w:ascii="Times New Roman" w:hAnsi="Times New Roman"/>
          <w:sz w:val="24"/>
          <w:szCs w:val="24"/>
        </w:rPr>
        <w:t xml:space="preserve">00 potentially work-related fatalities (injuries and illnesses combined) </w:t>
      </w:r>
      <w:r w:rsidRPr="0078794D" w:rsidR="00876A68">
        <w:rPr>
          <w:rFonts w:ascii="Times New Roman" w:hAnsi="Times New Roman"/>
          <w:sz w:val="24"/>
          <w:szCs w:val="24"/>
        </w:rPr>
        <w:t xml:space="preserve">were </w:t>
      </w:r>
      <w:r w:rsidRPr="0078794D">
        <w:rPr>
          <w:rFonts w:ascii="Times New Roman" w:hAnsi="Times New Roman"/>
          <w:sz w:val="24"/>
          <w:szCs w:val="24"/>
        </w:rPr>
        <w:t xml:space="preserve">identified by the </w:t>
      </w:r>
      <w:r w:rsidRPr="0078794D" w:rsidR="00390A30">
        <w:rPr>
          <w:rFonts w:ascii="Times New Roman" w:hAnsi="Times New Roman"/>
          <w:sz w:val="24"/>
          <w:szCs w:val="24"/>
        </w:rPr>
        <w:t>s</w:t>
      </w:r>
      <w:r w:rsidRPr="0078794D">
        <w:rPr>
          <w:rFonts w:ascii="Times New Roman" w:hAnsi="Times New Roman"/>
          <w:sz w:val="24"/>
          <w:szCs w:val="24"/>
        </w:rPr>
        <w:t xml:space="preserve">tate partners participating in the CFOI. Source agencies (including vital statistics agencies, workers' compensation agencies, and other </w:t>
      </w:r>
      <w:r w:rsidRPr="0078794D" w:rsidR="00390A30">
        <w:rPr>
          <w:rFonts w:ascii="Times New Roman" w:hAnsi="Times New Roman"/>
          <w:sz w:val="24"/>
          <w:szCs w:val="24"/>
        </w:rPr>
        <w:t>s</w:t>
      </w:r>
      <w:r w:rsidRPr="0078794D">
        <w:rPr>
          <w:rFonts w:ascii="Times New Roman" w:hAnsi="Times New Roman"/>
          <w:sz w:val="24"/>
          <w:szCs w:val="24"/>
        </w:rPr>
        <w:t xml:space="preserve">tate and </w:t>
      </w:r>
      <w:r w:rsidRPr="0078794D" w:rsidR="00390A30">
        <w:rPr>
          <w:rFonts w:ascii="Times New Roman" w:hAnsi="Times New Roman"/>
          <w:sz w:val="24"/>
          <w:szCs w:val="24"/>
        </w:rPr>
        <w:t>f</w:t>
      </w:r>
      <w:r w:rsidRPr="0078794D">
        <w:rPr>
          <w:rFonts w:ascii="Times New Roman" w:hAnsi="Times New Roman"/>
          <w:sz w:val="24"/>
          <w:szCs w:val="24"/>
        </w:rPr>
        <w:t xml:space="preserve">ederal regulatory agencies) provided </w:t>
      </w:r>
      <w:r w:rsidR="00155BCF">
        <w:rPr>
          <w:rFonts w:ascii="Times New Roman" w:hAnsi="Times New Roman"/>
          <w:sz w:val="24"/>
          <w:szCs w:val="24"/>
        </w:rPr>
        <w:t xml:space="preserve">on average </w:t>
      </w:r>
      <w:r w:rsidRPr="0078794D" w:rsidR="00A97060">
        <w:rPr>
          <w:rFonts w:ascii="Times New Roman" w:hAnsi="Times New Roman"/>
          <w:sz w:val="24"/>
          <w:szCs w:val="24"/>
        </w:rPr>
        <w:t>about 1</w:t>
      </w:r>
      <w:r w:rsidRPr="0078794D" w:rsidR="00A83839">
        <w:rPr>
          <w:rFonts w:ascii="Times New Roman" w:hAnsi="Times New Roman"/>
          <w:sz w:val="24"/>
          <w:szCs w:val="24"/>
        </w:rPr>
        <w:t>5</w:t>
      </w:r>
      <w:r w:rsidRPr="0078794D">
        <w:rPr>
          <w:rFonts w:ascii="Times New Roman" w:hAnsi="Times New Roman"/>
          <w:sz w:val="24"/>
          <w:szCs w:val="24"/>
        </w:rPr>
        <w:t>,000 source documents annually for reference years 201</w:t>
      </w:r>
      <w:r w:rsidRPr="0078794D" w:rsidR="00F14B4C">
        <w:rPr>
          <w:rFonts w:ascii="Times New Roman" w:hAnsi="Times New Roman"/>
          <w:sz w:val="24"/>
          <w:szCs w:val="24"/>
        </w:rPr>
        <w:t>9</w:t>
      </w:r>
      <w:r w:rsidRPr="0078794D">
        <w:rPr>
          <w:rFonts w:ascii="Times New Roman" w:hAnsi="Times New Roman"/>
          <w:sz w:val="24"/>
          <w:szCs w:val="24"/>
        </w:rPr>
        <w:t>-20</w:t>
      </w:r>
      <w:r w:rsidRPr="0078794D" w:rsidR="00A83839">
        <w:rPr>
          <w:rFonts w:ascii="Times New Roman" w:hAnsi="Times New Roman"/>
          <w:sz w:val="24"/>
          <w:szCs w:val="24"/>
        </w:rPr>
        <w:t>2</w:t>
      </w:r>
      <w:r w:rsidRPr="0078794D" w:rsidR="00F14B4C">
        <w:rPr>
          <w:rFonts w:ascii="Times New Roman" w:hAnsi="Times New Roman"/>
          <w:sz w:val="24"/>
          <w:szCs w:val="24"/>
        </w:rPr>
        <w:t>3</w:t>
      </w:r>
      <w:r w:rsidRPr="0078794D">
        <w:rPr>
          <w:rFonts w:ascii="Times New Roman" w:hAnsi="Times New Roman"/>
          <w:sz w:val="24"/>
          <w:szCs w:val="24"/>
        </w:rPr>
        <w:t>. This</w:t>
      </w:r>
      <w:r w:rsidRPr="00CB7E90">
        <w:rPr>
          <w:rFonts w:ascii="Times New Roman" w:hAnsi="Times New Roman"/>
          <w:sz w:val="24"/>
          <w:szCs w:val="24"/>
        </w:rPr>
        <w:t xml:space="preserve"> total excludes media reports and documents obtained from </w:t>
      </w:r>
      <w:r w:rsidR="00876A68">
        <w:rPr>
          <w:rFonts w:ascii="Times New Roman" w:hAnsi="Times New Roman"/>
          <w:sz w:val="24"/>
          <w:szCs w:val="24"/>
        </w:rPr>
        <w:t xml:space="preserve">public </w:t>
      </w:r>
      <w:r w:rsidRPr="00CB7E90">
        <w:rPr>
          <w:rFonts w:ascii="Times New Roman" w:hAnsi="Times New Roman"/>
          <w:sz w:val="24"/>
          <w:szCs w:val="24"/>
        </w:rPr>
        <w:t xml:space="preserve">websites, which the participating </w:t>
      </w:r>
      <w:r w:rsidR="00390A30">
        <w:rPr>
          <w:rFonts w:ascii="Times New Roman" w:hAnsi="Times New Roman"/>
          <w:sz w:val="24"/>
          <w:szCs w:val="24"/>
        </w:rPr>
        <w:t>s</w:t>
      </w:r>
      <w:r w:rsidRPr="00CB7E90">
        <w:rPr>
          <w:rFonts w:ascii="Times New Roman" w:hAnsi="Times New Roman"/>
          <w:sz w:val="24"/>
          <w:szCs w:val="24"/>
        </w:rPr>
        <w:t xml:space="preserve">tate partners collect themselves, and therefore do not result in public burden. </w:t>
      </w:r>
    </w:p>
    <w:p w:rsidR="000B2CD7" w:rsidRPr="00CB7E90" w:rsidP="000B2CD7" w14:paraId="67F712DE" w14:textId="77777777">
      <w:pPr>
        <w:rPr>
          <w:rFonts w:ascii="Times New Roman" w:hAnsi="Times New Roman"/>
          <w:sz w:val="24"/>
          <w:szCs w:val="24"/>
        </w:rPr>
      </w:pPr>
    </w:p>
    <w:p w:rsidR="000B2CD7" w:rsidRPr="00CB7E90" w:rsidP="000B2CD7" w14:paraId="0C9BB8D3" w14:textId="5C49DEE9">
      <w:pPr>
        <w:rPr>
          <w:rFonts w:ascii="Times New Roman" w:hAnsi="Times New Roman"/>
          <w:sz w:val="24"/>
          <w:szCs w:val="24"/>
        </w:rPr>
      </w:pPr>
      <w:r w:rsidRPr="00CB7E90">
        <w:rPr>
          <w:rFonts w:ascii="Times New Roman" w:hAnsi="Times New Roman"/>
          <w:sz w:val="24"/>
          <w:szCs w:val="24"/>
        </w:rPr>
        <w:t xml:space="preserve">The burden to the government source agencies providing reports includes retrieving and reproducing the necessary documents. For </w:t>
      </w:r>
      <w:r w:rsidR="00390A30">
        <w:rPr>
          <w:rFonts w:ascii="Times New Roman" w:hAnsi="Times New Roman"/>
          <w:sz w:val="24"/>
          <w:szCs w:val="24"/>
        </w:rPr>
        <w:t>s</w:t>
      </w:r>
      <w:r w:rsidRPr="00CB7E90">
        <w:rPr>
          <w:rFonts w:ascii="Times New Roman" w:hAnsi="Times New Roman"/>
          <w:sz w:val="24"/>
          <w:szCs w:val="24"/>
        </w:rPr>
        <w:t xml:space="preserve">tate, local, and tribal agencies, we estimate an average of </w:t>
      </w:r>
      <w:r w:rsidRPr="000C5FFE">
        <w:rPr>
          <w:rFonts w:ascii="Times New Roman" w:hAnsi="Times New Roman"/>
          <w:sz w:val="24"/>
          <w:szCs w:val="24"/>
        </w:rPr>
        <w:t>10 minutes</w:t>
      </w:r>
      <w:r w:rsidRPr="00CB7E90">
        <w:rPr>
          <w:rFonts w:ascii="Times New Roman" w:hAnsi="Times New Roman"/>
          <w:sz w:val="24"/>
          <w:szCs w:val="24"/>
        </w:rPr>
        <w:t xml:space="preserve"> per document provided. For </w:t>
      </w:r>
      <w:r w:rsidR="00321047">
        <w:rPr>
          <w:rFonts w:ascii="Times New Roman" w:hAnsi="Times New Roman"/>
          <w:sz w:val="24"/>
          <w:szCs w:val="24"/>
        </w:rPr>
        <w:t>f</w:t>
      </w:r>
      <w:r w:rsidRPr="00CB7E90">
        <w:rPr>
          <w:rFonts w:ascii="Times New Roman" w:hAnsi="Times New Roman"/>
          <w:sz w:val="24"/>
          <w:szCs w:val="24"/>
        </w:rPr>
        <w:t xml:space="preserve">ederal agencies providing </w:t>
      </w:r>
      <w:r w:rsidR="00216175">
        <w:rPr>
          <w:rFonts w:ascii="Times New Roman" w:hAnsi="Times New Roman"/>
          <w:sz w:val="24"/>
          <w:szCs w:val="24"/>
        </w:rPr>
        <w:t>electronic</w:t>
      </w:r>
      <w:r w:rsidRPr="00CB7E90" w:rsidR="00216175">
        <w:rPr>
          <w:rFonts w:ascii="Times New Roman" w:hAnsi="Times New Roman"/>
          <w:sz w:val="24"/>
          <w:szCs w:val="24"/>
        </w:rPr>
        <w:t xml:space="preserve"> </w:t>
      </w:r>
      <w:r w:rsidRPr="00CB7E90">
        <w:rPr>
          <w:rFonts w:ascii="Times New Roman" w:hAnsi="Times New Roman"/>
          <w:sz w:val="24"/>
          <w:szCs w:val="24"/>
        </w:rPr>
        <w:t xml:space="preserve">files, we estimate an average of </w:t>
      </w:r>
      <w:r w:rsidRPr="000C5FFE">
        <w:rPr>
          <w:rFonts w:ascii="Times New Roman" w:hAnsi="Times New Roman"/>
          <w:sz w:val="24"/>
          <w:szCs w:val="24"/>
        </w:rPr>
        <w:t xml:space="preserve">10 </w:t>
      </w:r>
      <w:r w:rsidRPr="000C5FFE">
        <w:rPr>
          <w:rFonts w:ascii="Times New Roman" w:hAnsi="Times New Roman"/>
          <w:sz w:val="24"/>
          <w:szCs w:val="24"/>
        </w:rPr>
        <w:t>hours</w:t>
      </w:r>
      <w:r w:rsidRPr="00CB7E90">
        <w:rPr>
          <w:rFonts w:ascii="Times New Roman" w:hAnsi="Times New Roman"/>
          <w:sz w:val="24"/>
          <w:szCs w:val="24"/>
        </w:rPr>
        <w:t xml:space="preserve"> per year per agency or division providing these files. Note that some source agencies require a nominal fee to cover copying costs and some provide computerized files. The burden hours and associated costs shown should, therefore, be considered a maximum estimate. </w:t>
      </w:r>
    </w:p>
    <w:p w:rsidR="000B2CD7" w:rsidRPr="00CB7E90" w:rsidP="000B2CD7" w14:paraId="4D0E38E3" w14:textId="77777777">
      <w:pPr>
        <w:rPr>
          <w:rFonts w:ascii="Times New Roman" w:hAnsi="Times New Roman"/>
          <w:sz w:val="24"/>
          <w:szCs w:val="24"/>
        </w:rPr>
      </w:pPr>
    </w:p>
    <w:p w:rsidR="000B2CD7" w:rsidRPr="00CB7E90" w:rsidP="000B2CD7" w14:paraId="35A94C2F" w14:textId="6464F743">
      <w:pPr>
        <w:rPr>
          <w:rFonts w:ascii="Times New Roman" w:hAnsi="Times New Roman"/>
          <w:i/>
          <w:sz w:val="24"/>
          <w:szCs w:val="24"/>
        </w:rPr>
      </w:pPr>
      <w:r w:rsidRPr="00CB7E90">
        <w:rPr>
          <w:rFonts w:ascii="Times New Roman" w:hAnsi="Times New Roman"/>
          <w:i/>
          <w:sz w:val="24"/>
          <w:szCs w:val="24"/>
        </w:rPr>
        <w:t xml:space="preserve">Burden to </w:t>
      </w:r>
      <w:r w:rsidR="00041358">
        <w:rPr>
          <w:rFonts w:ascii="Times New Roman" w:hAnsi="Times New Roman"/>
          <w:i/>
          <w:sz w:val="24"/>
          <w:szCs w:val="24"/>
        </w:rPr>
        <w:t>follow-back</w:t>
      </w:r>
      <w:r w:rsidRPr="00CB7E90">
        <w:rPr>
          <w:rFonts w:ascii="Times New Roman" w:hAnsi="Times New Roman"/>
          <w:i/>
          <w:sz w:val="24"/>
          <w:szCs w:val="24"/>
        </w:rPr>
        <w:t xml:space="preserve"> respondents</w:t>
      </w:r>
    </w:p>
    <w:p w:rsidR="000B2CD7" w:rsidRPr="00CB7E90" w:rsidP="000B2CD7" w14:paraId="3ADC7A3F" w14:textId="77777777">
      <w:pPr>
        <w:rPr>
          <w:rFonts w:ascii="Times New Roman" w:hAnsi="Times New Roman"/>
          <w:sz w:val="24"/>
          <w:szCs w:val="24"/>
        </w:rPr>
      </w:pPr>
    </w:p>
    <w:p w:rsidR="000B2CD7" w:rsidRPr="00CB7E90" w:rsidP="000B2CD7" w14:paraId="374A8E31" w14:textId="34159FAB">
      <w:pPr>
        <w:rPr>
          <w:rFonts w:ascii="Times New Roman" w:hAnsi="Times New Roman"/>
          <w:sz w:val="24"/>
          <w:szCs w:val="24"/>
        </w:rPr>
      </w:pPr>
      <w:r w:rsidRPr="00CB7E90">
        <w:rPr>
          <w:rFonts w:ascii="Times New Roman" w:hAnsi="Times New Roman"/>
          <w:sz w:val="24"/>
          <w:szCs w:val="24"/>
        </w:rPr>
        <w:t xml:space="preserve">The </w:t>
      </w:r>
      <w:r w:rsidR="00041358">
        <w:rPr>
          <w:rFonts w:ascii="Times New Roman" w:hAnsi="Times New Roman"/>
          <w:sz w:val="24"/>
          <w:szCs w:val="24"/>
        </w:rPr>
        <w:t>follow-back</w:t>
      </w:r>
      <w:r w:rsidRPr="00CB7E90">
        <w:rPr>
          <w:rFonts w:ascii="Times New Roman" w:hAnsi="Times New Roman"/>
          <w:sz w:val="24"/>
          <w:szCs w:val="24"/>
        </w:rPr>
        <w:t xml:space="preserve"> questionnaire (BLS CFOI-1) is used to determine whether fatalities identified by only one source document are work-related or to gather additional information about the fatality. </w:t>
      </w:r>
      <w:r w:rsidRPr="009F5EE0">
        <w:rPr>
          <w:rFonts w:ascii="Times New Roman" w:hAnsi="Times New Roman"/>
          <w:sz w:val="24"/>
          <w:szCs w:val="24"/>
        </w:rPr>
        <w:t>A</w:t>
      </w:r>
      <w:r w:rsidRPr="009F5EE0" w:rsidR="002D7D8A">
        <w:rPr>
          <w:rFonts w:ascii="Times New Roman" w:hAnsi="Times New Roman"/>
          <w:sz w:val="24"/>
          <w:szCs w:val="24"/>
        </w:rPr>
        <w:t>bout</w:t>
      </w:r>
      <w:r w:rsidRPr="009F5EE0">
        <w:rPr>
          <w:rFonts w:ascii="Times New Roman" w:hAnsi="Times New Roman"/>
          <w:sz w:val="24"/>
          <w:szCs w:val="24"/>
        </w:rPr>
        <w:t xml:space="preserve"> </w:t>
      </w:r>
      <w:r w:rsidRPr="009F5EE0" w:rsidR="00E650D1">
        <w:rPr>
          <w:rFonts w:ascii="Times New Roman" w:hAnsi="Times New Roman"/>
          <w:sz w:val="24"/>
          <w:szCs w:val="24"/>
        </w:rPr>
        <w:t>3</w:t>
      </w:r>
      <w:r w:rsidRPr="009F5EE0">
        <w:rPr>
          <w:rFonts w:ascii="Times New Roman" w:hAnsi="Times New Roman"/>
          <w:sz w:val="24"/>
          <w:szCs w:val="24"/>
        </w:rPr>
        <w:t xml:space="preserve"> percent</w:t>
      </w:r>
      <w:r w:rsidRPr="00CB7E90">
        <w:rPr>
          <w:rFonts w:ascii="Times New Roman" w:hAnsi="Times New Roman"/>
          <w:sz w:val="24"/>
          <w:szCs w:val="24"/>
        </w:rPr>
        <w:t xml:space="preserve"> of </w:t>
      </w:r>
      <w:r w:rsidR="00155BCF">
        <w:rPr>
          <w:rFonts w:ascii="Times New Roman" w:hAnsi="Times New Roman"/>
          <w:sz w:val="24"/>
          <w:szCs w:val="24"/>
        </w:rPr>
        <w:t>work-related</w:t>
      </w:r>
      <w:r w:rsidRPr="00CB7E90">
        <w:rPr>
          <w:rFonts w:ascii="Times New Roman" w:hAnsi="Times New Roman"/>
          <w:sz w:val="24"/>
          <w:szCs w:val="24"/>
        </w:rPr>
        <w:t xml:space="preserve"> fatalities need a </w:t>
      </w:r>
      <w:r w:rsidR="00041358">
        <w:rPr>
          <w:rFonts w:ascii="Times New Roman" w:hAnsi="Times New Roman"/>
          <w:sz w:val="24"/>
          <w:szCs w:val="24"/>
        </w:rPr>
        <w:t>follow-back</w:t>
      </w:r>
      <w:r w:rsidRPr="00CB7E90">
        <w:rPr>
          <w:rFonts w:ascii="Times New Roman" w:hAnsi="Times New Roman"/>
          <w:sz w:val="24"/>
          <w:szCs w:val="24"/>
        </w:rPr>
        <w:t xml:space="preserve"> questionnaire. Some cases require that a </w:t>
      </w:r>
      <w:r w:rsidR="00041358">
        <w:rPr>
          <w:rFonts w:ascii="Times New Roman" w:hAnsi="Times New Roman"/>
          <w:sz w:val="24"/>
          <w:szCs w:val="24"/>
        </w:rPr>
        <w:t>follow-back</w:t>
      </w:r>
      <w:r w:rsidRPr="00CB7E90">
        <w:rPr>
          <w:rFonts w:ascii="Times New Roman" w:hAnsi="Times New Roman"/>
          <w:sz w:val="24"/>
          <w:szCs w:val="24"/>
        </w:rPr>
        <w:t xml:space="preserve"> questionnaire be sent to more than one respondent. Based on previous years’ counts, the total number of questionnaires for all respondents combined is estimated to be about </w:t>
      </w:r>
      <w:r w:rsidRPr="00EC59F0" w:rsidR="00150AFC">
        <w:rPr>
          <w:rFonts w:ascii="Times New Roman" w:hAnsi="Times New Roman"/>
          <w:sz w:val="24"/>
          <w:szCs w:val="24"/>
        </w:rPr>
        <w:t>2</w:t>
      </w:r>
      <w:r w:rsidR="00F14B4C">
        <w:rPr>
          <w:rFonts w:ascii="Times New Roman" w:hAnsi="Times New Roman"/>
          <w:sz w:val="24"/>
          <w:szCs w:val="24"/>
        </w:rPr>
        <w:t>05</w:t>
      </w:r>
      <w:r w:rsidRPr="00150AFC">
        <w:rPr>
          <w:rFonts w:ascii="Times New Roman" w:hAnsi="Times New Roman"/>
          <w:sz w:val="24"/>
          <w:szCs w:val="24"/>
        </w:rPr>
        <w:t xml:space="preserve"> annually</w:t>
      </w:r>
      <w:r w:rsidRPr="009050C8">
        <w:rPr>
          <w:rFonts w:ascii="Times New Roman" w:hAnsi="Times New Roman"/>
          <w:sz w:val="24"/>
          <w:szCs w:val="24"/>
        </w:rPr>
        <w:t>.</w:t>
      </w:r>
    </w:p>
    <w:p w:rsidR="000B2CD7" w:rsidRPr="00CB7E90" w:rsidP="000B2CD7" w14:paraId="423DB655" w14:textId="77777777">
      <w:pPr>
        <w:rPr>
          <w:rFonts w:ascii="Times New Roman" w:hAnsi="Times New Roman"/>
          <w:sz w:val="24"/>
          <w:szCs w:val="24"/>
        </w:rPr>
      </w:pPr>
    </w:p>
    <w:p w:rsidR="00065678" w:rsidRPr="00367274" w:rsidP="00FA0DE2" w14:paraId="0718A54D" w14:textId="7F6BA9A4">
      <w:pPr>
        <w:rPr>
          <w:rFonts w:ascii="Times New Roman" w:hAnsi="Times New Roman"/>
          <w:sz w:val="24"/>
          <w:szCs w:val="24"/>
        </w:rPr>
      </w:pPr>
      <w:r w:rsidRPr="00CB7E90">
        <w:rPr>
          <w:rFonts w:ascii="Times New Roman" w:hAnsi="Times New Roman"/>
          <w:sz w:val="24"/>
          <w:szCs w:val="24"/>
        </w:rPr>
        <w:t xml:space="preserve">The BLS CFOI-1 has been designed so that only those sections pertinent to the respondent will be completed. The respondent completes only those questions relating to data that the </w:t>
      </w:r>
      <w:r w:rsidR="00390A30">
        <w:rPr>
          <w:rFonts w:ascii="Times New Roman" w:hAnsi="Times New Roman"/>
          <w:sz w:val="24"/>
          <w:szCs w:val="24"/>
        </w:rPr>
        <w:t>s</w:t>
      </w:r>
      <w:r w:rsidRPr="00CB7E90">
        <w:rPr>
          <w:rFonts w:ascii="Times New Roman" w:hAnsi="Times New Roman"/>
          <w:sz w:val="24"/>
          <w:szCs w:val="24"/>
        </w:rPr>
        <w:t>tate is missing. Therefore, the respondent burden may vary between 10 and 30 minutes, depending upon the information requested. Th</w:t>
      </w:r>
      <w:r w:rsidR="00811F2F">
        <w:rPr>
          <w:rFonts w:ascii="Times New Roman" w:hAnsi="Times New Roman"/>
          <w:sz w:val="24"/>
          <w:szCs w:val="24"/>
        </w:rPr>
        <w:t>e</w:t>
      </w:r>
      <w:r w:rsidRPr="00CB7E90">
        <w:rPr>
          <w:rFonts w:ascii="Times New Roman" w:hAnsi="Times New Roman"/>
          <w:sz w:val="24"/>
          <w:szCs w:val="24"/>
        </w:rPr>
        <w:t xml:space="preserve"> </w:t>
      </w:r>
      <w:r w:rsidRPr="00CB7E90">
        <w:rPr>
          <w:rFonts w:ascii="Times New Roman" w:hAnsi="Times New Roman"/>
          <w:sz w:val="24"/>
          <w:szCs w:val="24"/>
        </w:rPr>
        <w:t>burden average</w:t>
      </w:r>
      <w:r w:rsidR="00811F2F">
        <w:rPr>
          <w:rFonts w:ascii="Times New Roman" w:hAnsi="Times New Roman"/>
          <w:sz w:val="24"/>
          <w:szCs w:val="24"/>
        </w:rPr>
        <w:t xml:space="preserve"> is</w:t>
      </w:r>
      <w:r w:rsidRPr="00CB7E90">
        <w:rPr>
          <w:rFonts w:ascii="Times New Roman" w:hAnsi="Times New Roman"/>
          <w:sz w:val="24"/>
          <w:szCs w:val="24"/>
        </w:rPr>
        <w:t xml:space="preserve"> </w:t>
      </w:r>
      <w:r w:rsidRPr="00971315">
        <w:rPr>
          <w:rFonts w:ascii="Times New Roman" w:hAnsi="Times New Roman"/>
          <w:sz w:val="24"/>
          <w:szCs w:val="24"/>
        </w:rPr>
        <w:t>20 minutes.</w:t>
      </w:r>
      <w:r w:rsidRPr="00CB7E90">
        <w:rPr>
          <w:rFonts w:ascii="Times New Roman" w:hAnsi="Times New Roman"/>
          <w:sz w:val="24"/>
          <w:szCs w:val="24"/>
        </w:rPr>
        <w:t xml:space="preserve"> </w:t>
      </w:r>
    </w:p>
    <w:p w:rsidR="000B2CD7" w:rsidRPr="00CB7E90" w:rsidP="000B2CD7" w14:paraId="7F885743" w14:textId="77777777">
      <w:pPr>
        <w:rPr>
          <w:rFonts w:ascii="Times New Roman" w:hAnsi="Times New Roman"/>
          <w:sz w:val="24"/>
          <w:szCs w:val="24"/>
        </w:rPr>
      </w:pPr>
    </w:p>
    <w:p w:rsidR="000B2CD7" w:rsidRPr="00CB7E90" w:rsidP="000B2CD7" w14:paraId="2C88ADF0" w14:textId="0DA330D6">
      <w:pPr>
        <w:pStyle w:val="ListParagraph"/>
        <w:numPr>
          <w:ilvl w:val="0"/>
          <w:numId w:val="4"/>
        </w:numPr>
        <w:ind w:left="0" w:firstLine="0"/>
        <w:rPr>
          <w:rFonts w:ascii="Times New Roman" w:hAnsi="Times New Roman"/>
          <w:b/>
          <w:sz w:val="24"/>
          <w:szCs w:val="24"/>
        </w:rPr>
      </w:pPr>
      <w:r w:rsidRPr="00CB7E90">
        <w:rPr>
          <w:rFonts w:ascii="Times New Roman" w:hAnsi="Times New Roman"/>
          <w:b/>
          <w:sz w:val="24"/>
          <w:szCs w:val="24"/>
        </w:rPr>
        <w:t xml:space="preserve">Federal </w:t>
      </w:r>
      <w:r w:rsidR="00321047">
        <w:rPr>
          <w:rFonts w:ascii="Times New Roman" w:hAnsi="Times New Roman"/>
          <w:b/>
          <w:sz w:val="24"/>
          <w:szCs w:val="24"/>
        </w:rPr>
        <w:t>G</w:t>
      </w:r>
      <w:r w:rsidRPr="00CB7E90">
        <w:rPr>
          <w:rFonts w:ascii="Times New Roman" w:hAnsi="Times New Roman"/>
          <w:b/>
          <w:sz w:val="24"/>
          <w:szCs w:val="24"/>
        </w:rPr>
        <w:t>overnment</w:t>
      </w:r>
    </w:p>
    <w:p w:rsidR="000B2CD7" w:rsidRPr="00CB7E90" w:rsidP="000B2CD7" w14:paraId="128588C3" w14:textId="7F7BF031">
      <w:pPr>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rsidR="000B2CD7" w:rsidRPr="00CB7E90" w:rsidP="000B2CD7" w14:paraId="27DC59A3" w14:textId="77777777">
      <w:pPr>
        <w:rPr>
          <w:rFonts w:ascii="Times New Roman" w:hAnsi="Times New Roman"/>
          <w:i/>
          <w:sz w:val="24"/>
          <w:szCs w:val="24"/>
        </w:rPr>
      </w:pPr>
    </w:p>
    <w:p w:rsidR="000B2CD7" w:rsidRPr="00CB7E90" w:rsidP="000B2CD7" w14:paraId="4B678FEA" w14:textId="39E3A5A6">
      <w:pPr>
        <w:rPr>
          <w:rFonts w:ascii="Times New Roman" w:hAnsi="Times New Roman"/>
          <w:sz w:val="24"/>
          <w:szCs w:val="24"/>
        </w:rPr>
      </w:pPr>
      <w:r w:rsidRPr="00CB7E90">
        <w:rPr>
          <w:rFonts w:ascii="Times New Roman" w:hAnsi="Times New Roman"/>
          <w:i/>
          <w:sz w:val="24"/>
          <w:szCs w:val="24"/>
        </w:rPr>
        <w:t>Number of respondents</w:t>
      </w:r>
      <w:r w:rsidRPr="00CB7E90">
        <w:rPr>
          <w:rFonts w:ascii="Times New Roman" w:hAnsi="Times New Roman"/>
          <w:sz w:val="24"/>
          <w:szCs w:val="24"/>
        </w:rPr>
        <w:t xml:space="preserve">: In response to the letter requesting source documents, seven </w:t>
      </w:r>
      <w:r w:rsidR="00321047">
        <w:rPr>
          <w:rFonts w:ascii="Times New Roman" w:hAnsi="Times New Roman"/>
          <w:sz w:val="24"/>
          <w:szCs w:val="24"/>
        </w:rPr>
        <w:t>f</w:t>
      </w:r>
      <w:r w:rsidRPr="00CB7E90">
        <w:rPr>
          <w:rFonts w:ascii="Times New Roman" w:hAnsi="Times New Roman"/>
          <w:sz w:val="24"/>
          <w:szCs w:val="24"/>
        </w:rPr>
        <w:t xml:space="preserve">ederal agencies or divisions currently provide data files containing fatality reports to the CFOI for fatalities that occur under the agency’s jurisdiction. (BLS and </w:t>
      </w:r>
      <w:r w:rsidR="00390A30">
        <w:rPr>
          <w:rFonts w:ascii="Times New Roman" w:hAnsi="Times New Roman"/>
          <w:sz w:val="24"/>
          <w:szCs w:val="24"/>
        </w:rPr>
        <w:t>s</w:t>
      </w:r>
      <w:r w:rsidRPr="00CB7E90">
        <w:rPr>
          <w:rFonts w:ascii="Times New Roman" w:hAnsi="Times New Roman"/>
          <w:sz w:val="24"/>
          <w:szCs w:val="24"/>
        </w:rPr>
        <w:t xml:space="preserve">tate agencies access reports from an additional six </w:t>
      </w:r>
      <w:r w:rsidR="00321047">
        <w:rPr>
          <w:rFonts w:ascii="Times New Roman" w:hAnsi="Times New Roman"/>
          <w:sz w:val="24"/>
          <w:szCs w:val="24"/>
        </w:rPr>
        <w:t>f</w:t>
      </w:r>
      <w:r w:rsidRPr="00CB7E90">
        <w:rPr>
          <w:rFonts w:ascii="Times New Roman" w:hAnsi="Times New Roman"/>
          <w:sz w:val="24"/>
          <w:szCs w:val="24"/>
        </w:rPr>
        <w:t xml:space="preserve">ederal agencies through their websites.) </w:t>
      </w:r>
    </w:p>
    <w:p w:rsidR="000B2CD7" w:rsidRPr="00CB7E90" w:rsidP="000B2CD7" w14:paraId="5F08EBB5" w14:textId="77777777">
      <w:pPr>
        <w:rPr>
          <w:rFonts w:ascii="Times New Roman" w:hAnsi="Times New Roman"/>
          <w:sz w:val="24"/>
          <w:szCs w:val="24"/>
        </w:rPr>
      </w:pPr>
    </w:p>
    <w:p w:rsidR="000B2CD7" w:rsidRPr="00CB7E90" w:rsidP="000B2CD7" w14:paraId="74476793" w14:textId="5F7BE51F">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One </w:t>
      </w:r>
      <w:r w:rsidR="00321047">
        <w:rPr>
          <w:rFonts w:ascii="Times New Roman" w:hAnsi="Times New Roman"/>
          <w:sz w:val="24"/>
          <w:szCs w:val="24"/>
        </w:rPr>
        <w:t>f</w:t>
      </w:r>
      <w:r w:rsidRPr="00CB7E90">
        <w:rPr>
          <w:rFonts w:ascii="Times New Roman" w:hAnsi="Times New Roman"/>
          <w:sz w:val="24"/>
          <w:szCs w:val="24"/>
        </w:rPr>
        <w:t>ederal agenc</w:t>
      </w:r>
      <w:r w:rsidR="00155BCF">
        <w:rPr>
          <w:rFonts w:ascii="Times New Roman" w:hAnsi="Times New Roman"/>
          <w:sz w:val="24"/>
          <w:szCs w:val="24"/>
        </w:rPr>
        <w:t>y</w:t>
      </w:r>
      <w:r w:rsidRPr="00CB7E90">
        <w:rPr>
          <w:rFonts w:ascii="Times New Roman" w:hAnsi="Times New Roman"/>
          <w:sz w:val="24"/>
          <w:szCs w:val="24"/>
        </w:rPr>
        <w:t xml:space="preserve"> provides a file each calendar quarter as well as one annual file (totaling five data files per year) while the </w:t>
      </w:r>
      <w:r w:rsidR="0041270A">
        <w:rPr>
          <w:rFonts w:ascii="Times New Roman" w:hAnsi="Times New Roman"/>
          <w:sz w:val="24"/>
          <w:szCs w:val="24"/>
        </w:rPr>
        <w:t xml:space="preserve">other </w:t>
      </w:r>
      <w:r w:rsidR="00876A68">
        <w:rPr>
          <w:rFonts w:ascii="Times New Roman" w:hAnsi="Times New Roman"/>
          <w:sz w:val="24"/>
          <w:szCs w:val="24"/>
        </w:rPr>
        <w:t>agencies</w:t>
      </w:r>
      <w:r w:rsidRPr="00CB7E90" w:rsidR="00876A68">
        <w:rPr>
          <w:rFonts w:ascii="Times New Roman" w:hAnsi="Times New Roman"/>
          <w:sz w:val="24"/>
          <w:szCs w:val="24"/>
        </w:rPr>
        <w:t xml:space="preserve"> </w:t>
      </w:r>
      <w:r w:rsidRPr="00CB7E90">
        <w:rPr>
          <w:rFonts w:ascii="Times New Roman" w:hAnsi="Times New Roman"/>
          <w:sz w:val="24"/>
          <w:szCs w:val="24"/>
        </w:rPr>
        <w:t xml:space="preserve">each provide a single annual file (totaling six data files per year)—for a grand total of </w:t>
      </w:r>
      <w:r w:rsidRPr="004B15F1">
        <w:rPr>
          <w:rFonts w:ascii="Times New Roman" w:hAnsi="Times New Roman"/>
          <w:sz w:val="24"/>
          <w:szCs w:val="24"/>
        </w:rPr>
        <w:t>11 data files</w:t>
      </w:r>
      <w:r w:rsidRPr="00CB7E90">
        <w:rPr>
          <w:rFonts w:ascii="Times New Roman" w:hAnsi="Times New Roman"/>
          <w:sz w:val="24"/>
          <w:szCs w:val="24"/>
        </w:rPr>
        <w:t xml:space="preserve"> (or </w:t>
      </w:r>
      <w:r w:rsidR="00321047">
        <w:rPr>
          <w:rFonts w:ascii="Times New Roman" w:hAnsi="Times New Roman"/>
          <w:sz w:val="24"/>
          <w:szCs w:val="24"/>
        </w:rPr>
        <w:t>f</w:t>
      </w:r>
      <w:r w:rsidRPr="00CB7E90">
        <w:rPr>
          <w:rFonts w:ascii="Times New Roman" w:hAnsi="Times New Roman"/>
          <w:sz w:val="24"/>
          <w:szCs w:val="24"/>
        </w:rPr>
        <w:t xml:space="preserve">ederal responses) each year. </w:t>
      </w:r>
    </w:p>
    <w:p w:rsidR="000B2CD7" w:rsidRPr="00CB7E90" w:rsidP="000B2CD7" w14:paraId="725D7706" w14:textId="77777777">
      <w:pPr>
        <w:rPr>
          <w:rFonts w:ascii="Times New Roman" w:hAnsi="Times New Roman"/>
          <w:i/>
          <w:sz w:val="24"/>
          <w:szCs w:val="24"/>
        </w:rPr>
      </w:pPr>
    </w:p>
    <w:p w:rsidR="000B2CD7" w:rsidP="000B2CD7" w14:paraId="06AC0E81" w14:textId="14891E71">
      <w:pPr>
        <w:rPr>
          <w:rFonts w:ascii="Times New Roman" w:hAnsi="Times New Roman"/>
          <w:sz w:val="24"/>
          <w:szCs w:val="24"/>
        </w:rPr>
      </w:pPr>
      <w:r w:rsidRPr="00CB7E90">
        <w:rPr>
          <w:rFonts w:ascii="Times New Roman" w:hAnsi="Times New Roman"/>
          <w:i/>
          <w:sz w:val="24"/>
          <w:szCs w:val="24"/>
        </w:rPr>
        <w:t>Time and cost burden</w:t>
      </w:r>
      <w:r w:rsidRPr="00CB7E90">
        <w:rPr>
          <w:rFonts w:ascii="Times New Roman" w:hAnsi="Times New Roman"/>
          <w:sz w:val="24"/>
          <w:szCs w:val="24"/>
        </w:rPr>
        <w:t xml:space="preserve">: </w:t>
      </w:r>
      <w:r w:rsidRPr="00971315">
        <w:rPr>
          <w:rFonts w:ascii="Times New Roman" w:hAnsi="Times New Roman"/>
          <w:sz w:val="24"/>
          <w:szCs w:val="24"/>
        </w:rPr>
        <w:t xml:space="preserve">The </w:t>
      </w:r>
      <w:r w:rsidR="00321047">
        <w:rPr>
          <w:rFonts w:ascii="Times New Roman" w:hAnsi="Times New Roman"/>
          <w:sz w:val="24"/>
          <w:szCs w:val="24"/>
        </w:rPr>
        <w:t>f</w:t>
      </w:r>
      <w:r w:rsidRPr="00971315">
        <w:rPr>
          <w:rFonts w:ascii="Times New Roman" w:hAnsi="Times New Roman"/>
          <w:sz w:val="24"/>
          <w:szCs w:val="24"/>
        </w:rPr>
        <w:t xml:space="preserve">ederal agencies providing data files to the BLS do so by extracting the pertinent records from their administrative database and sending the information to BLS. We estimate that this takes on average </w:t>
      </w:r>
      <w:r w:rsidRPr="00FD4F69">
        <w:rPr>
          <w:rFonts w:ascii="Times New Roman" w:hAnsi="Times New Roman"/>
          <w:sz w:val="24"/>
          <w:szCs w:val="24"/>
        </w:rPr>
        <w:t>10 hours</w:t>
      </w:r>
      <w:r w:rsidRPr="00971315">
        <w:rPr>
          <w:rFonts w:ascii="Times New Roman" w:hAnsi="Times New Roman"/>
          <w:sz w:val="24"/>
          <w:szCs w:val="24"/>
        </w:rPr>
        <w:t xml:space="preserve"> per agency or division per year—resulting in a total burden of 7</w:t>
      </w:r>
      <w:r w:rsidR="00EA376D">
        <w:rPr>
          <w:rFonts w:ascii="Times New Roman" w:hAnsi="Times New Roman"/>
          <w:sz w:val="24"/>
          <w:szCs w:val="24"/>
        </w:rPr>
        <w:t>0</w:t>
      </w:r>
      <w:r w:rsidRPr="00971315">
        <w:rPr>
          <w:rFonts w:ascii="Times New Roman" w:hAnsi="Times New Roman"/>
          <w:sz w:val="24"/>
          <w:szCs w:val="24"/>
        </w:rPr>
        <w:t xml:space="preserve"> hours a year.</w:t>
      </w:r>
      <w:r w:rsidRPr="00CB7E90">
        <w:rPr>
          <w:rFonts w:ascii="Times New Roman" w:hAnsi="Times New Roman"/>
          <w:sz w:val="24"/>
          <w:szCs w:val="24"/>
        </w:rPr>
        <w:t xml:space="preserve"> </w:t>
      </w:r>
      <w:r w:rsidRPr="00971315">
        <w:rPr>
          <w:rFonts w:ascii="Times New Roman" w:hAnsi="Times New Roman"/>
          <w:sz w:val="24"/>
          <w:szCs w:val="24"/>
        </w:rPr>
        <w:t xml:space="preserve">We also estimate that the typical </w:t>
      </w:r>
      <w:r w:rsidR="00321047">
        <w:rPr>
          <w:rFonts w:ascii="Times New Roman" w:hAnsi="Times New Roman"/>
          <w:sz w:val="24"/>
          <w:szCs w:val="24"/>
        </w:rPr>
        <w:t>f</w:t>
      </w:r>
      <w:r w:rsidRPr="00971315">
        <w:rPr>
          <w:rFonts w:ascii="Times New Roman" w:hAnsi="Times New Roman"/>
          <w:sz w:val="24"/>
          <w:szCs w:val="24"/>
        </w:rPr>
        <w:t>ederal employee performing this work to be a GS 12/1</w:t>
      </w:r>
      <w:r w:rsidR="0077017B">
        <w:rPr>
          <w:rFonts w:ascii="Times New Roman" w:hAnsi="Times New Roman"/>
          <w:sz w:val="24"/>
          <w:szCs w:val="24"/>
        </w:rPr>
        <w:t xml:space="preserve"> (</w:t>
      </w:r>
      <w:hyperlink r:id="rId8" w:history="1">
        <w:r w:rsidRPr="000E07AD" w:rsidR="0077017B">
          <w:rPr>
            <w:rStyle w:val="Hyperlink"/>
            <w:rFonts w:ascii="Times New Roman" w:hAnsi="Times New Roman"/>
            <w:sz w:val="24"/>
            <w:szCs w:val="24"/>
          </w:rPr>
          <w:t>locality rate for Washington-Baltimore-NVA</w:t>
        </w:r>
      </w:hyperlink>
      <w:r w:rsidR="0077017B">
        <w:rPr>
          <w:rFonts w:ascii="Times New Roman" w:hAnsi="Times New Roman"/>
          <w:sz w:val="24"/>
          <w:szCs w:val="24"/>
        </w:rPr>
        <w:t>)</w:t>
      </w:r>
      <w:r w:rsidRPr="00971315">
        <w:rPr>
          <w:rFonts w:ascii="Times New Roman" w:hAnsi="Times New Roman"/>
          <w:sz w:val="24"/>
          <w:szCs w:val="24"/>
        </w:rPr>
        <w:t xml:space="preserve">, with a total compensation rate of </w:t>
      </w:r>
      <w:r w:rsidRPr="00FD4F69">
        <w:rPr>
          <w:rFonts w:ascii="Times New Roman" w:hAnsi="Times New Roman"/>
          <w:sz w:val="24"/>
          <w:szCs w:val="24"/>
        </w:rPr>
        <w:t>$</w:t>
      </w:r>
      <w:r w:rsidRPr="00FD4F69" w:rsidR="00517EED">
        <w:rPr>
          <w:rFonts w:ascii="Times New Roman" w:hAnsi="Times New Roman"/>
          <w:sz w:val="24"/>
          <w:szCs w:val="24"/>
        </w:rPr>
        <w:t>62</w:t>
      </w:r>
      <w:r w:rsidRPr="00FD4F69">
        <w:rPr>
          <w:rFonts w:ascii="Times New Roman" w:hAnsi="Times New Roman"/>
          <w:sz w:val="24"/>
          <w:szCs w:val="24"/>
        </w:rPr>
        <w:t>.</w:t>
      </w:r>
      <w:r w:rsidRPr="00FD4F69" w:rsidR="00517EED">
        <w:rPr>
          <w:rFonts w:ascii="Times New Roman" w:hAnsi="Times New Roman"/>
          <w:sz w:val="24"/>
          <w:szCs w:val="24"/>
        </w:rPr>
        <w:t>31</w:t>
      </w:r>
      <w:r w:rsidRPr="00FD4F69" w:rsidR="0077017B">
        <w:rPr>
          <w:rFonts w:ascii="Times New Roman" w:hAnsi="Times New Roman"/>
          <w:sz w:val="24"/>
          <w:szCs w:val="24"/>
        </w:rPr>
        <w:t xml:space="preserve"> </w:t>
      </w:r>
      <w:r w:rsidRPr="00FD4F69">
        <w:rPr>
          <w:rFonts w:ascii="Times New Roman" w:hAnsi="Times New Roman"/>
          <w:sz w:val="24"/>
          <w:szCs w:val="24"/>
        </w:rPr>
        <w:t>per hour in 20</w:t>
      </w:r>
      <w:r w:rsidRPr="00FD4F69" w:rsidR="002669E2">
        <w:rPr>
          <w:rFonts w:ascii="Times New Roman" w:hAnsi="Times New Roman"/>
          <w:sz w:val="24"/>
          <w:szCs w:val="24"/>
        </w:rPr>
        <w:t>2</w:t>
      </w:r>
      <w:r w:rsidRPr="00FD4F69" w:rsidR="00517EED">
        <w:rPr>
          <w:rFonts w:ascii="Times New Roman" w:hAnsi="Times New Roman"/>
          <w:sz w:val="24"/>
          <w:szCs w:val="24"/>
        </w:rPr>
        <w:t>4</w:t>
      </w:r>
      <w:r w:rsidRPr="00FD4F69">
        <w:rPr>
          <w:rFonts w:ascii="Times New Roman" w:hAnsi="Times New Roman"/>
          <w:sz w:val="24"/>
          <w:szCs w:val="24"/>
        </w:rPr>
        <w:t>. Total compensation rate was calculated using the hourly wage rate of $</w:t>
      </w:r>
      <w:r w:rsidRPr="00FD4F69" w:rsidR="002669E2">
        <w:rPr>
          <w:rFonts w:ascii="Times New Roman" w:hAnsi="Times New Roman"/>
          <w:sz w:val="24"/>
          <w:szCs w:val="24"/>
        </w:rPr>
        <w:t>4</w:t>
      </w:r>
      <w:r w:rsidRPr="00FD4F69" w:rsidR="00517EED">
        <w:rPr>
          <w:rFonts w:ascii="Times New Roman" w:hAnsi="Times New Roman"/>
          <w:sz w:val="24"/>
          <w:szCs w:val="24"/>
        </w:rPr>
        <w:t>7</w:t>
      </w:r>
      <w:r w:rsidRPr="00FD4F69">
        <w:rPr>
          <w:rFonts w:ascii="Times New Roman" w:hAnsi="Times New Roman"/>
          <w:sz w:val="24"/>
          <w:szCs w:val="24"/>
        </w:rPr>
        <w:t>.</w:t>
      </w:r>
      <w:r w:rsidRPr="00FD4F69" w:rsidR="00517EED">
        <w:rPr>
          <w:rFonts w:ascii="Times New Roman" w:hAnsi="Times New Roman"/>
          <w:sz w:val="24"/>
          <w:szCs w:val="24"/>
        </w:rPr>
        <w:t>53</w:t>
      </w:r>
      <w:r w:rsidRPr="00FD4F69">
        <w:rPr>
          <w:rFonts w:ascii="Times New Roman" w:hAnsi="Times New Roman"/>
          <w:sz w:val="24"/>
          <w:szCs w:val="24"/>
        </w:rPr>
        <w:t xml:space="preserve"> plus</w:t>
      </w:r>
      <w:r w:rsidRPr="00FD4F69" w:rsidR="005233ED">
        <w:rPr>
          <w:rFonts w:ascii="Times New Roman" w:hAnsi="Times New Roman"/>
          <w:sz w:val="24"/>
          <w:szCs w:val="24"/>
        </w:rPr>
        <w:t xml:space="preserve"> the all civilian workers total benefits of</w:t>
      </w:r>
      <w:r w:rsidRPr="00FD4F69">
        <w:rPr>
          <w:rFonts w:ascii="Times New Roman" w:hAnsi="Times New Roman"/>
          <w:sz w:val="24"/>
          <w:szCs w:val="24"/>
        </w:rPr>
        <w:t xml:space="preserve"> 31.</w:t>
      </w:r>
      <w:r w:rsidRPr="00FD4F69" w:rsidR="00517EED">
        <w:rPr>
          <w:rFonts w:ascii="Times New Roman" w:hAnsi="Times New Roman"/>
          <w:sz w:val="24"/>
          <w:szCs w:val="24"/>
        </w:rPr>
        <w:t>1</w:t>
      </w:r>
      <w:r w:rsidRPr="00FD4F69">
        <w:rPr>
          <w:rFonts w:ascii="Times New Roman" w:hAnsi="Times New Roman"/>
          <w:sz w:val="24"/>
          <w:szCs w:val="24"/>
        </w:rPr>
        <w:t xml:space="preserve">% </w:t>
      </w:r>
      <w:hyperlink r:id="rId9" w:history="1">
        <w:r w:rsidRPr="00FD4F69" w:rsidR="00517EED">
          <w:rPr>
            <w:rStyle w:val="Hyperlink"/>
            <w:rFonts w:ascii="Times New Roman" w:hAnsi="Times New Roman"/>
            <w:sz w:val="24"/>
            <w:szCs w:val="24"/>
          </w:rPr>
          <w:t>(National Compensation Survey, Employer Costs for Employee Compensation –September 2024, Table 2)</w:t>
        </w:r>
      </w:hyperlink>
      <w:r w:rsidRPr="00FD4F69" w:rsidR="005233ED">
        <w:rPr>
          <w:rStyle w:val="Hyperlink"/>
          <w:rFonts w:ascii="Times New Roman" w:hAnsi="Times New Roman"/>
          <w:sz w:val="24"/>
          <w:szCs w:val="24"/>
        </w:rPr>
        <w:t xml:space="preserve"> </w:t>
      </w:r>
      <w:r w:rsidRPr="00FD4F69">
        <w:rPr>
          <w:rFonts w:ascii="Times New Roman" w:hAnsi="Times New Roman"/>
          <w:sz w:val="24"/>
          <w:szCs w:val="24"/>
        </w:rPr>
        <w:t xml:space="preserve">to account for employer-paid benefits. The </w:t>
      </w:r>
      <w:r w:rsidRPr="00FD4F69" w:rsidR="00876A68">
        <w:rPr>
          <w:rFonts w:ascii="Times New Roman" w:hAnsi="Times New Roman"/>
          <w:sz w:val="24"/>
          <w:szCs w:val="24"/>
        </w:rPr>
        <w:t xml:space="preserve">total </w:t>
      </w:r>
      <w:r w:rsidRPr="00FD4F69">
        <w:rPr>
          <w:rFonts w:ascii="Times New Roman" w:hAnsi="Times New Roman"/>
          <w:sz w:val="24"/>
          <w:szCs w:val="24"/>
        </w:rPr>
        <w:t xml:space="preserve">annual cost burden for </w:t>
      </w:r>
      <w:r w:rsidRPr="00FD4F69" w:rsidR="00876A68">
        <w:rPr>
          <w:rFonts w:ascii="Times New Roman" w:hAnsi="Times New Roman"/>
          <w:sz w:val="24"/>
          <w:szCs w:val="24"/>
        </w:rPr>
        <w:t xml:space="preserve">all </w:t>
      </w:r>
      <w:r w:rsidRPr="00FD4F69" w:rsidR="00321047">
        <w:rPr>
          <w:rFonts w:ascii="Times New Roman" w:hAnsi="Times New Roman"/>
          <w:sz w:val="24"/>
          <w:szCs w:val="24"/>
        </w:rPr>
        <w:t>f</w:t>
      </w:r>
      <w:r w:rsidRPr="00FD4F69">
        <w:rPr>
          <w:rFonts w:ascii="Times New Roman" w:hAnsi="Times New Roman"/>
          <w:sz w:val="24"/>
          <w:szCs w:val="24"/>
        </w:rPr>
        <w:t>ederal agencies submitting these files is estimated to be $</w:t>
      </w:r>
      <w:r w:rsidRPr="00FD4F69" w:rsidR="00150AFC">
        <w:rPr>
          <w:rFonts w:ascii="Times New Roman" w:hAnsi="Times New Roman"/>
          <w:sz w:val="24"/>
          <w:szCs w:val="24"/>
        </w:rPr>
        <w:t>4</w:t>
      </w:r>
      <w:r w:rsidRPr="00FD4F69">
        <w:rPr>
          <w:rFonts w:ascii="Times New Roman" w:hAnsi="Times New Roman"/>
          <w:sz w:val="24"/>
          <w:szCs w:val="24"/>
        </w:rPr>
        <w:t>,</w:t>
      </w:r>
      <w:r w:rsidRPr="00FD4F69" w:rsidR="00150AFC">
        <w:rPr>
          <w:rFonts w:ascii="Times New Roman" w:hAnsi="Times New Roman"/>
          <w:sz w:val="24"/>
          <w:szCs w:val="24"/>
        </w:rPr>
        <w:t>362</w:t>
      </w:r>
      <w:r w:rsidRPr="00FD4F69">
        <w:rPr>
          <w:rFonts w:ascii="Times New Roman" w:hAnsi="Times New Roman"/>
          <w:sz w:val="24"/>
          <w:szCs w:val="24"/>
        </w:rPr>
        <w:t xml:space="preserve"> (7</w:t>
      </w:r>
      <w:r w:rsidRPr="00FD4F69" w:rsidR="00EA376D">
        <w:rPr>
          <w:rFonts w:ascii="Times New Roman" w:hAnsi="Times New Roman"/>
          <w:sz w:val="24"/>
          <w:szCs w:val="24"/>
        </w:rPr>
        <w:t>0</w:t>
      </w:r>
      <w:r w:rsidRPr="00FD4F69">
        <w:rPr>
          <w:rFonts w:ascii="Times New Roman" w:hAnsi="Times New Roman"/>
          <w:sz w:val="24"/>
          <w:szCs w:val="24"/>
        </w:rPr>
        <w:t xml:space="preserve"> hours x $</w:t>
      </w:r>
      <w:r w:rsidRPr="00FD4F69" w:rsidR="00517EED">
        <w:rPr>
          <w:rFonts w:ascii="Times New Roman" w:hAnsi="Times New Roman"/>
          <w:sz w:val="24"/>
          <w:szCs w:val="24"/>
        </w:rPr>
        <w:t>62</w:t>
      </w:r>
      <w:r w:rsidRPr="00FD4F69">
        <w:rPr>
          <w:rFonts w:ascii="Times New Roman" w:hAnsi="Times New Roman"/>
          <w:sz w:val="24"/>
          <w:szCs w:val="24"/>
        </w:rPr>
        <w:t>.</w:t>
      </w:r>
      <w:r w:rsidRPr="00FD4F69" w:rsidR="00517EED">
        <w:rPr>
          <w:rFonts w:ascii="Times New Roman" w:hAnsi="Times New Roman"/>
          <w:sz w:val="24"/>
          <w:szCs w:val="24"/>
        </w:rPr>
        <w:t>31</w:t>
      </w:r>
      <w:r w:rsidRPr="00FD4F69">
        <w:rPr>
          <w:rFonts w:ascii="Times New Roman" w:hAnsi="Times New Roman"/>
          <w:sz w:val="24"/>
          <w:szCs w:val="24"/>
        </w:rPr>
        <w:t xml:space="preserve">). </w:t>
      </w:r>
    </w:p>
    <w:p w:rsidR="00250DBC" w:rsidP="000B2CD7" w14:paraId="2F413FF8" w14:textId="753FDE50">
      <w:pPr>
        <w:rPr>
          <w:rFonts w:ascii="Times New Roman" w:hAnsi="Times New Roman"/>
          <w:sz w:val="24"/>
          <w:szCs w:val="24"/>
        </w:rPr>
      </w:pPr>
    </w:p>
    <w:p w:rsidR="000B2CD7" w:rsidRPr="00D418FC" w:rsidP="000B2CD7" w14:paraId="6C70C03E" w14:textId="77777777">
      <w:pPr>
        <w:rPr>
          <w:rFonts w:ascii="Times New Roman" w:hAnsi="Times New Roman"/>
          <w:b/>
          <w:i/>
          <w:sz w:val="24"/>
          <w:szCs w:val="24"/>
        </w:rPr>
      </w:pPr>
      <w:r w:rsidRPr="00D418FC">
        <w:rPr>
          <w:rFonts w:ascii="Times New Roman" w:hAnsi="Times New Roman"/>
          <w:b/>
          <w:i/>
          <w:sz w:val="24"/>
          <w:szCs w:val="24"/>
        </w:rPr>
        <w:t>BLS CFOI-1</w:t>
      </w:r>
    </w:p>
    <w:p w:rsidR="000B2CD7" w:rsidRPr="00D418FC" w:rsidP="000B2CD7" w14:paraId="3C8BE94F" w14:textId="77777777">
      <w:pPr>
        <w:rPr>
          <w:rFonts w:ascii="Times New Roman" w:hAnsi="Times New Roman"/>
          <w:i/>
          <w:sz w:val="24"/>
          <w:szCs w:val="24"/>
        </w:rPr>
      </w:pPr>
    </w:p>
    <w:p w:rsidR="000B2CD7" w:rsidRPr="00D418FC" w:rsidP="000B2CD7" w14:paraId="5E824CFF" w14:textId="4A5016B6">
      <w:pPr>
        <w:rPr>
          <w:rFonts w:ascii="Times New Roman" w:hAnsi="Times New Roman"/>
          <w:sz w:val="24"/>
          <w:szCs w:val="24"/>
        </w:rPr>
      </w:pPr>
      <w:r w:rsidRPr="00D418FC">
        <w:rPr>
          <w:rFonts w:ascii="Times New Roman" w:hAnsi="Times New Roman"/>
          <w:i/>
          <w:sz w:val="24"/>
          <w:szCs w:val="24"/>
        </w:rPr>
        <w:t>Number of respondents</w:t>
      </w:r>
      <w:r w:rsidRPr="00D418FC">
        <w:rPr>
          <w:rFonts w:ascii="Times New Roman" w:hAnsi="Times New Roman"/>
          <w:sz w:val="24"/>
          <w:szCs w:val="24"/>
        </w:rPr>
        <w:t xml:space="preserve">: Each year, </w:t>
      </w:r>
      <w:r w:rsidRPr="00FF00C5">
        <w:rPr>
          <w:rFonts w:ascii="Times New Roman" w:hAnsi="Times New Roman"/>
          <w:sz w:val="24"/>
          <w:szCs w:val="24"/>
        </w:rPr>
        <w:t xml:space="preserve">about </w:t>
      </w:r>
      <w:r w:rsidRPr="00FF00C5" w:rsidR="003A54C6">
        <w:rPr>
          <w:rFonts w:ascii="Times New Roman" w:hAnsi="Times New Roman"/>
          <w:sz w:val="24"/>
          <w:szCs w:val="24"/>
        </w:rPr>
        <w:t>2</w:t>
      </w:r>
      <w:r w:rsidRPr="00FF00C5">
        <w:rPr>
          <w:rFonts w:ascii="Times New Roman" w:hAnsi="Times New Roman"/>
          <w:sz w:val="24"/>
          <w:szCs w:val="24"/>
        </w:rPr>
        <w:t xml:space="preserve"> </w:t>
      </w:r>
      <w:r w:rsidRPr="00FF00C5" w:rsidR="00321047">
        <w:rPr>
          <w:rFonts w:ascii="Times New Roman" w:hAnsi="Times New Roman"/>
          <w:sz w:val="24"/>
          <w:szCs w:val="24"/>
        </w:rPr>
        <w:t>f</w:t>
      </w:r>
      <w:r w:rsidRPr="00FF00C5">
        <w:rPr>
          <w:rFonts w:ascii="Times New Roman" w:hAnsi="Times New Roman"/>
          <w:sz w:val="24"/>
          <w:szCs w:val="24"/>
        </w:rPr>
        <w:t>ederal agencies</w:t>
      </w:r>
      <w:r w:rsidRPr="00D418FC">
        <w:rPr>
          <w:rFonts w:ascii="Times New Roman" w:hAnsi="Times New Roman"/>
          <w:sz w:val="24"/>
          <w:szCs w:val="24"/>
        </w:rPr>
        <w:t xml:space="preserve"> respond to the CFOI </w:t>
      </w:r>
      <w:r w:rsidR="00041358">
        <w:rPr>
          <w:rFonts w:ascii="Times New Roman" w:hAnsi="Times New Roman"/>
          <w:sz w:val="24"/>
          <w:szCs w:val="24"/>
        </w:rPr>
        <w:t>follow-back</w:t>
      </w:r>
      <w:r w:rsidRPr="00D418FC">
        <w:rPr>
          <w:rFonts w:ascii="Times New Roman" w:hAnsi="Times New Roman"/>
          <w:sz w:val="24"/>
          <w:szCs w:val="24"/>
        </w:rPr>
        <w:t xml:space="preserve"> questionnaire pertaining to a </w:t>
      </w:r>
      <w:r w:rsidRPr="00D418FC" w:rsidR="000E07AD">
        <w:rPr>
          <w:rFonts w:ascii="Times New Roman" w:hAnsi="Times New Roman"/>
          <w:sz w:val="24"/>
          <w:szCs w:val="24"/>
        </w:rPr>
        <w:t>fatally injured</w:t>
      </w:r>
      <w:r w:rsidRPr="00D418FC">
        <w:rPr>
          <w:rFonts w:ascii="Times New Roman" w:hAnsi="Times New Roman"/>
          <w:sz w:val="24"/>
          <w:szCs w:val="24"/>
        </w:rPr>
        <w:t xml:space="preserve"> employee of the agency. </w:t>
      </w:r>
    </w:p>
    <w:p w:rsidR="000B2CD7" w:rsidRPr="00D418FC" w:rsidP="000B2CD7" w14:paraId="47D0AF8C" w14:textId="77777777">
      <w:pPr>
        <w:rPr>
          <w:rFonts w:ascii="Times New Roman" w:hAnsi="Times New Roman"/>
          <w:i/>
          <w:sz w:val="24"/>
          <w:szCs w:val="24"/>
        </w:rPr>
      </w:pPr>
    </w:p>
    <w:p w:rsidR="000B2CD7" w:rsidRPr="00D418FC" w:rsidP="000B2CD7" w14:paraId="2BEB70B1" w14:textId="368E1DE9">
      <w:pPr>
        <w:rPr>
          <w:rFonts w:ascii="Times New Roman" w:hAnsi="Times New Roman"/>
          <w:sz w:val="24"/>
          <w:szCs w:val="24"/>
        </w:rPr>
      </w:pPr>
      <w:r w:rsidRPr="00D418FC">
        <w:rPr>
          <w:rFonts w:ascii="Times New Roman" w:hAnsi="Times New Roman"/>
          <w:i/>
          <w:sz w:val="24"/>
          <w:szCs w:val="24"/>
        </w:rPr>
        <w:t>Number of responses</w:t>
      </w:r>
      <w:r w:rsidRPr="00D418FC">
        <w:rPr>
          <w:rFonts w:ascii="Times New Roman" w:hAnsi="Times New Roman"/>
          <w:sz w:val="24"/>
          <w:szCs w:val="24"/>
        </w:rPr>
        <w:t xml:space="preserve">: Each agency typically responds to one questionnaire per year, for a total of </w:t>
      </w:r>
      <w:r w:rsidRPr="00FF00C5" w:rsidR="003A54C6">
        <w:rPr>
          <w:rFonts w:ascii="Times New Roman" w:hAnsi="Times New Roman"/>
          <w:sz w:val="24"/>
          <w:szCs w:val="24"/>
        </w:rPr>
        <w:t>2</w:t>
      </w:r>
      <w:r w:rsidRPr="00FF00C5">
        <w:rPr>
          <w:rFonts w:ascii="Times New Roman" w:hAnsi="Times New Roman"/>
          <w:sz w:val="24"/>
          <w:szCs w:val="24"/>
        </w:rPr>
        <w:t xml:space="preserve"> </w:t>
      </w:r>
      <w:r w:rsidRPr="00FF00C5" w:rsidR="00321047">
        <w:rPr>
          <w:rFonts w:ascii="Times New Roman" w:hAnsi="Times New Roman"/>
          <w:sz w:val="24"/>
          <w:szCs w:val="24"/>
        </w:rPr>
        <w:t>f</w:t>
      </w:r>
      <w:r w:rsidRPr="00FF00C5">
        <w:rPr>
          <w:rFonts w:ascii="Times New Roman" w:hAnsi="Times New Roman"/>
          <w:sz w:val="24"/>
          <w:szCs w:val="24"/>
        </w:rPr>
        <w:t>ederal agency</w:t>
      </w:r>
      <w:r w:rsidRPr="00D418FC">
        <w:rPr>
          <w:rFonts w:ascii="Times New Roman" w:hAnsi="Times New Roman"/>
          <w:sz w:val="24"/>
          <w:szCs w:val="24"/>
        </w:rPr>
        <w:t xml:space="preserve"> responses to the CFOI-1.</w:t>
      </w:r>
    </w:p>
    <w:p w:rsidR="000B2CD7" w:rsidRPr="00D418FC" w:rsidP="000B2CD7" w14:paraId="024F002F" w14:textId="77777777">
      <w:pPr>
        <w:rPr>
          <w:rFonts w:ascii="Times New Roman" w:hAnsi="Times New Roman"/>
          <w:i/>
          <w:sz w:val="24"/>
          <w:szCs w:val="24"/>
        </w:rPr>
      </w:pPr>
    </w:p>
    <w:p w:rsidR="000B2CD7" w:rsidP="000B2CD7" w14:paraId="2BC6C24C" w14:textId="1D94BB23">
      <w:pPr>
        <w:rPr>
          <w:rFonts w:ascii="Times New Roman" w:hAnsi="Times New Roman"/>
          <w:sz w:val="24"/>
          <w:szCs w:val="24"/>
        </w:rPr>
      </w:pPr>
      <w:r w:rsidRPr="00D418FC">
        <w:rPr>
          <w:rFonts w:ascii="Times New Roman" w:hAnsi="Times New Roman"/>
          <w:i/>
          <w:sz w:val="24"/>
          <w:szCs w:val="24"/>
        </w:rPr>
        <w:t xml:space="preserve">Time and cost burden: </w:t>
      </w:r>
      <w:r w:rsidRPr="00247AE2">
        <w:rPr>
          <w:rFonts w:ascii="Times New Roman" w:hAnsi="Times New Roman"/>
          <w:sz w:val="24"/>
          <w:szCs w:val="24"/>
        </w:rPr>
        <w:t xml:space="preserve">We estimate the </w:t>
      </w:r>
      <w:r w:rsidR="00321047">
        <w:rPr>
          <w:rFonts w:ascii="Times New Roman" w:hAnsi="Times New Roman"/>
          <w:sz w:val="24"/>
          <w:szCs w:val="24"/>
        </w:rPr>
        <w:t>f</w:t>
      </w:r>
      <w:r w:rsidRPr="00247AE2">
        <w:rPr>
          <w:rFonts w:ascii="Times New Roman" w:hAnsi="Times New Roman"/>
          <w:sz w:val="24"/>
          <w:szCs w:val="24"/>
        </w:rPr>
        <w:t xml:space="preserve">ederal agency burden to respond to the </w:t>
      </w:r>
      <w:r w:rsidR="00041358">
        <w:rPr>
          <w:rFonts w:ascii="Times New Roman" w:hAnsi="Times New Roman"/>
          <w:sz w:val="24"/>
          <w:szCs w:val="24"/>
        </w:rPr>
        <w:t>follow-back</w:t>
      </w:r>
      <w:r w:rsidRPr="00247AE2" w:rsidR="00EC679D">
        <w:rPr>
          <w:rFonts w:ascii="Times New Roman" w:hAnsi="Times New Roman"/>
          <w:sz w:val="24"/>
          <w:szCs w:val="24"/>
        </w:rPr>
        <w:t xml:space="preserve"> questionnaire to be approximately </w:t>
      </w:r>
      <w:r w:rsidRPr="00FF00C5" w:rsidR="003A54C6">
        <w:rPr>
          <w:rFonts w:ascii="Times New Roman" w:hAnsi="Times New Roman"/>
          <w:sz w:val="24"/>
          <w:szCs w:val="24"/>
        </w:rPr>
        <w:t>40 minutes</w:t>
      </w:r>
      <w:r w:rsidRPr="00FF00C5">
        <w:rPr>
          <w:rFonts w:ascii="Times New Roman" w:hAnsi="Times New Roman"/>
          <w:sz w:val="24"/>
          <w:szCs w:val="24"/>
        </w:rPr>
        <w:t xml:space="preserve"> (</w:t>
      </w:r>
      <w:r w:rsidRPr="00FF00C5" w:rsidR="003A54C6">
        <w:rPr>
          <w:rFonts w:ascii="Times New Roman" w:hAnsi="Times New Roman"/>
          <w:sz w:val="24"/>
          <w:szCs w:val="24"/>
        </w:rPr>
        <w:t>2</w:t>
      </w:r>
      <w:r w:rsidRPr="00FF00C5">
        <w:rPr>
          <w:rFonts w:ascii="Times New Roman" w:hAnsi="Times New Roman"/>
          <w:sz w:val="24"/>
          <w:szCs w:val="24"/>
        </w:rPr>
        <w:t xml:space="preserve"> x 20 minutes).</w:t>
      </w:r>
      <w:r w:rsidRPr="00CF64DE">
        <w:rPr>
          <w:rFonts w:ascii="Times New Roman" w:hAnsi="Times New Roman"/>
          <w:sz w:val="24"/>
          <w:szCs w:val="24"/>
        </w:rPr>
        <w:t xml:space="preserve"> We estimate that the typical </w:t>
      </w:r>
      <w:r w:rsidR="00321047">
        <w:rPr>
          <w:rFonts w:ascii="Times New Roman" w:hAnsi="Times New Roman"/>
          <w:sz w:val="24"/>
          <w:szCs w:val="24"/>
        </w:rPr>
        <w:t>f</w:t>
      </w:r>
      <w:r w:rsidRPr="00CF64DE">
        <w:rPr>
          <w:rFonts w:ascii="Times New Roman" w:hAnsi="Times New Roman"/>
          <w:sz w:val="24"/>
          <w:szCs w:val="24"/>
        </w:rPr>
        <w:t xml:space="preserve">ederal employee performing this work to be a GS 12/1, with a total compensation rate </w:t>
      </w:r>
      <w:r w:rsidRPr="00517EED">
        <w:rPr>
          <w:rFonts w:ascii="Times New Roman" w:hAnsi="Times New Roman"/>
          <w:sz w:val="24"/>
          <w:szCs w:val="24"/>
        </w:rPr>
        <w:t>of $</w:t>
      </w:r>
      <w:r w:rsidRPr="00EC59F0" w:rsidR="00517EED">
        <w:rPr>
          <w:rFonts w:ascii="Times New Roman" w:hAnsi="Times New Roman"/>
          <w:sz w:val="24"/>
          <w:szCs w:val="24"/>
        </w:rPr>
        <w:t>62</w:t>
      </w:r>
      <w:r w:rsidRPr="00517EED">
        <w:rPr>
          <w:rFonts w:ascii="Times New Roman" w:hAnsi="Times New Roman"/>
          <w:sz w:val="24"/>
          <w:szCs w:val="24"/>
        </w:rPr>
        <w:t>.</w:t>
      </w:r>
      <w:r w:rsidRPr="00EC59F0" w:rsidR="00517EED">
        <w:rPr>
          <w:rFonts w:ascii="Times New Roman" w:hAnsi="Times New Roman"/>
          <w:sz w:val="24"/>
          <w:szCs w:val="24"/>
        </w:rPr>
        <w:t>31</w:t>
      </w:r>
      <w:r w:rsidRPr="00517EED">
        <w:rPr>
          <w:rFonts w:ascii="Times New Roman" w:hAnsi="Times New Roman"/>
          <w:sz w:val="24"/>
          <w:szCs w:val="24"/>
        </w:rPr>
        <w:t xml:space="preserve"> per hour.</w:t>
      </w:r>
      <w:r w:rsidRPr="00247AE2">
        <w:rPr>
          <w:rFonts w:ascii="Times New Roman" w:hAnsi="Times New Roman"/>
          <w:sz w:val="24"/>
          <w:szCs w:val="24"/>
        </w:rPr>
        <w:t xml:space="preserve"> Total compensation rate was calculated using the hourly wage rate </w:t>
      </w:r>
      <w:r w:rsidRPr="00517EED">
        <w:rPr>
          <w:rFonts w:ascii="Times New Roman" w:hAnsi="Times New Roman"/>
          <w:sz w:val="24"/>
          <w:szCs w:val="24"/>
        </w:rPr>
        <w:t>of $</w:t>
      </w:r>
      <w:r w:rsidRPr="00517EED" w:rsidR="003A54C6">
        <w:rPr>
          <w:rFonts w:ascii="Times New Roman" w:hAnsi="Times New Roman"/>
          <w:sz w:val="24"/>
          <w:szCs w:val="24"/>
        </w:rPr>
        <w:t>4</w:t>
      </w:r>
      <w:r w:rsidRPr="00EC59F0" w:rsidR="00517EED">
        <w:rPr>
          <w:rFonts w:ascii="Times New Roman" w:hAnsi="Times New Roman"/>
          <w:sz w:val="24"/>
          <w:szCs w:val="24"/>
        </w:rPr>
        <w:t>7</w:t>
      </w:r>
      <w:r w:rsidRPr="00517EED">
        <w:rPr>
          <w:rFonts w:ascii="Times New Roman" w:hAnsi="Times New Roman"/>
          <w:sz w:val="24"/>
          <w:szCs w:val="24"/>
        </w:rPr>
        <w:t>.</w:t>
      </w:r>
      <w:r w:rsidRPr="00EC59F0" w:rsidR="00517EED">
        <w:rPr>
          <w:rFonts w:ascii="Times New Roman" w:hAnsi="Times New Roman"/>
          <w:sz w:val="24"/>
          <w:szCs w:val="24"/>
        </w:rPr>
        <w:t>53</w:t>
      </w:r>
      <w:r w:rsidRPr="00517EED">
        <w:rPr>
          <w:rFonts w:ascii="Times New Roman" w:hAnsi="Times New Roman"/>
          <w:sz w:val="24"/>
          <w:szCs w:val="24"/>
        </w:rPr>
        <w:t xml:space="preserve"> plus 31.</w:t>
      </w:r>
      <w:r w:rsidRPr="00EC59F0" w:rsidR="00517EED">
        <w:rPr>
          <w:rFonts w:ascii="Times New Roman" w:hAnsi="Times New Roman"/>
          <w:sz w:val="24"/>
          <w:szCs w:val="24"/>
        </w:rPr>
        <w:t>1</w:t>
      </w:r>
      <w:r w:rsidRPr="00517EED">
        <w:rPr>
          <w:rFonts w:ascii="Times New Roman" w:hAnsi="Times New Roman"/>
          <w:sz w:val="24"/>
          <w:szCs w:val="24"/>
        </w:rPr>
        <w:t>%</w:t>
      </w:r>
      <w:r w:rsidRPr="00247AE2">
        <w:rPr>
          <w:rFonts w:ascii="Times New Roman" w:hAnsi="Times New Roman"/>
          <w:sz w:val="24"/>
          <w:szCs w:val="24"/>
        </w:rPr>
        <w:t xml:space="preserve"> to account for employer-paid benefits. The cost burden is </w:t>
      </w:r>
      <w:r w:rsidRPr="00FF00C5">
        <w:rPr>
          <w:rFonts w:ascii="Times New Roman" w:hAnsi="Times New Roman"/>
          <w:sz w:val="24"/>
          <w:szCs w:val="24"/>
        </w:rPr>
        <w:t>therefore $</w:t>
      </w:r>
      <w:r w:rsidRPr="00EC59F0" w:rsidR="00FF00C5">
        <w:rPr>
          <w:rFonts w:ascii="Times New Roman" w:hAnsi="Times New Roman"/>
          <w:sz w:val="24"/>
          <w:szCs w:val="24"/>
        </w:rPr>
        <w:t>41</w:t>
      </w:r>
      <w:r w:rsidRPr="00FF00C5" w:rsidR="009F1B19">
        <w:rPr>
          <w:rFonts w:ascii="Times New Roman" w:hAnsi="Times New Roman"/>
          <w:sz w:val="24"/>
          <w:szCs w:val="24"/>
        </w:rPr>
        <w:t>.</w:t>
      </w:r>
      <w:r w:rsidRPr="00EC59F0" w:rsidR="00FF00C5">
        <w:rPr>
          <w:rFonts w:ascii="Times New Roman" w:hAnsi="Times New Roman"/>
          <w:sz w:val="24"/>
          <w:szCs w:val="24"/>
        </w:rPr>
        <w:t>54</w:t>
      </w:r>
      <w:r w:rsidRPr="00FF00C5">
        <w:rPr>
          <w:rFonts w:ascii="Times New Roman" w:hAnsi="Times New Roman"/>
          <w:sz w:val="24"/>
          <w:szCs w:val="24"/>
        </w:rPr>
        <w:t xml:space="preserve"> (</w:t>
      </w:r>
      <w:r w:rsidRPr="00FF00C5" w:rsidR="003A54C6">
        <w:rPr>
          <w:rFonts w:ascii="Times New Roman" w:hAnsi="Times New Roman"/>
          <w:sz w:val="24"/>
          <w:szCs w:val="24"/>
        </w:rPr>
        <w:t>40 minutes</w:t>
      </w:r>
      <w:r w:rsidRPr="00FF00C5">
        <w:rPr>
          <w:rFonts w:ascii="Times New Roman" w:hAnsi="Times New Roman"/>
          <w:sz w:val="24"/>
          <w:szCs w:val="24"/>
        </w:rPr>
        <w:t xml:space="preserve"> x $</w:t>
      </w:r>
      <w:r w:rsidRPr="00EC59F0" w:rsidR="00517EED">
        <w:rPr>
          <w:rFonts w:ascii="Times New Roman" w:hAnsi="Times New Roman"/>
          <w:sz w:val="24"/>
          <w:szCs w:val="24"/>
        </w:rPr>
        <w:t>62</w:t>
      </w:r>
      <w:r w:rsidRPr="00FF00C5">
        <w:rPr>
          <w:rFonts w:ascii="Times New Roman" w:hAnsi="Times New Roman"/>
          <w:sz w:val="24"/>
          <w:szCs w:val="24"/>
        </w:rPr>
        <w:t>.</w:t>
      </w:r>
      <w:r w:rsidRPr="00EC59F0" w:rsidR="00517EED">
        <w:rPr>
          <w:rFonts w:ascii="Times New Roman" w:hAnsi="Times New Roman"/>
          <w:sz w:val="24"/>
          <w:szCs w:val="24"/>
        </w:rPr>
        <w:t>31</w:t>
      </w:r>
      <w:r w:rsidRPr="00FF00C5">
        <w:rPr>
          <w:rFonts w:ascii="Times New Roman" w:hAnsi="Times New Roman"/>
          <w:sz w:val="24"/>
          <w:szCs w:val="24"/>
        </w:rPr>
        <w:t>).</w:t>
      </w:r>
    </w:p>
    <w:p w:rsidR="00250DBC" w:rsidRPr="00CB7E90" w:rsidP="000B2CD7" w14:paraId="0C98193E" w14:textId="77777777">
      <w:pPr>
        <w:rPr>
          <w:rFonts w:ascii="Times New Roman" w:hAnsi="Times New Roman"/>
          <w:sz w:val="24"/>
          <w:szCs w:val="24"/>
        </w:rPr>
      </w:pPr>
    </w:p>
    <w:p w:rsidR="000B2CD7" w:rsidRPr="00CB7E90" w:rsidP="000B2CD7" w14:paraId="6582081D" w14:textId="7777777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Individuals or Households</w:t>
      </w:r>
    </w:p>
    <w:p w:rsidR="000B2CD7" w:rsidRPr="00CB7E90" w:rsidP="000B2CD7" w14:paraId="487E3ECB" w14:textId="77777777">
      <w:pPr>
        <w:jc w:val="both"/>
        <w:rPr>
          <w:rFonts w:ascii="Times New Roman" w:hAnsi="Times New Roman"/>
          <w:i/>
          <w:sz w:val="24"/>
          <w:szCs w:val="24"/>
        </w:rPr>
      </w:pPr>
    </w:p>
    <w:p w:rsidR="000B2CD7" w:rsidRPr="00CB7E90" w:rsidP="000B2CD7" w14:paraId="2E3BBEB3" w14:textId="33E8531C">
      <w:pPr>
        <w:rPr>
          <w:rFonts w:ascii="Times New Roman" w:hAnsi="Times New Roman"/>
          <w:sz w:val="24"/>
          <w:szCs w:val="24"/>
        </w:rPr>
      </w:pPr>
      <w:r w:rsidRPr="00CB7E90">
        <w:rPr>
          <w:rFonts w:ascii="Times New Roman" w:hAnsi="Times New Roman"/>
          <w:sz w:val="24"/>
          <w:szCs w:val="24"/>
        </w:rPr>
        <w:t xml:space="preserve">Participating </w:t>
      </w:r>
      <w:r w:rsidR="00390A30">
        <w:rPr>
          <w:rFonts w:ascii="Times New Roman" w:hAnsi="Times New Roman"/>
          <w:sz w:val="24"/>
          <w:szCs w:val="24"/>
        </w:rPr>
        <w:t>s</w:t>
      </w:r>
      <w:r w:rsidRPr="00CB7E90">
        <w:rPr>
          <w:rFonts w:ascii="Times New Roman" w:hAnsi="Times New Roman"/>
          <w:sz w:val="24"/>
          <w:szCs w:val="24"/>
        </w:rPr>
        <w:t>tate partners are instructed to pursue other avenues for obtaining the necessary information before contacting individuals or households. I</w:t>
      </w:r>
      <w:r w:rsidR="008C0F29">
        <w:rPr>
          <w:rFonts w:ascii="Times New Roman" w:hAnsi="Times New Roman"/>
          <w:sz w:val="24"/>
          <w:szCs w:val="24"/>
        </w:rPr>
        <w:t>f</w:t>
      </w:r>
      <w:r w:rsidRPr="00CB7E90">
        <w:rPr>
          <w:rFonts w:ascii="Times New Roman" w:hAnsi="Times New Roman"/>
          <w:sz w:val="24"/>
          <w:szCs w:val="24"/>
        </w:rPr>
        <w:t xml:space="preserve"> these attempts fail, the </w:t>
      </w:r>
      <w:r w:rsidR="00390A30">
        <w:rPr>
          <w:rFonts w:ascii="Times New Roman" w:hAnsi="Times New Roman"/>
          <w:sz w:val="24"/>
          <w:szCs w:val="24"/>
        </w:rPr>
        <w:t>s</w:t>
      </w:r>
      <w:r w:rsidRPr="00CB7E90">
        <w:rPr>
          <w:rFonts w:ascii="Times New Roman" w:hAnsi="Times New Roman"/>
          <w:sz w:val="24"/>
          <w:szCs w:val="24"/>
        </w:rPr>
        <w:t xml:space="preserve">tate sends a </w:t>
      </w:r>
      <w:r w:rsidR="00041358">
        <w:rPr>
          <w:rFonts w:ascii="Times New Roman" w:hAnsi="Times New Roman"/>
          <w:sz w:val="24"/>
          <w:szCs w:val="24"/>
        </w:rPr>
        <w:t>follow-back</w:t>
      </w:r>
      <w:r w:rsidRPr="00CB7E90">
        <w:rPr>
          <w:rFonts w:ascii="Times New Roman" w:hAnsi="Times New Roman"/>
          <w:sz w:val="24"/>
          <w:szCs w:val="24"/>
        </w:rPr>
        <w:t xml:space="preserve"> questionnaire to one of the individuals listed on the source document(s) that has been received. (Some </w:t>
      </w:r>
      <w:r w:rsidR="00390A30">
        <w:rPr>
          <w:rFonts w:ascii="Times New Roman" w:hAnsi="Times New Roman"/>
          <w:sz w:val="24"/>
          <w:szCs w:val="24"/>
        </w:rPr>
        <w:t>s</w:t>
      </w:r>
      <w:r w:rsidRPr="00CB7E90">
        <w:rPr>
          <w:rFonts w:ascii="Times New Roman" w:hAnsi="Times New Roman"/>
          <w:sz w:val="24"/>
          <w:szCs w:val="24"/>
        </w:rPr>
        <w:t xml:space="preserve">tates have policies against contacting the next-of-kin or other individuals and so do not conduct these </w:t>
      </w:r>
      <w:r w:rsidR="00041358">
        <w:rPr>
          <w:rFonts w:ascii="Times New Roman" w:hAnsi="Times New Roman"/>
          <w:sz w:val="24"/>
          <w:szCs w:val="24"/>
        </w:rPr>
        <w:t>follow-back</w:t>
      </w:r>
      <w:r w:rsidRPr="00CB7E90">
        <w:rPr>
          <w:rFonts w:ascii="Times New Roman" w:hAnsi="Times New Roman"/>
          <w:sz w:val="24"/>
          <w:szCs w:val="24"/>
        </w:rPr>
        <w:t xml:space="preserve">s.) </w:t>
      </w:r>
      <w:r w:rsidRPr="00247AE2">
        <w:rPr>
          <w:rFonts w:ascii="Times New Roman" w:hAnsi="Times New Roman"/>
          <w:sz w:val="24"/>
          <w:szCs w:val="24"/>
        </w:rPr>
        <w:t xml:space="preserve">Individuals and households respond to an estimated </w:t>
      </w:r>
      <w:r w:rsidRPr="00EC59F0" w:rsidR="00150AFC">
        <w:rPr>
          <w:rFonts w:ascii="Times New Roman" w:hAnsi="Times New Roman"/>
          <w:sz w:val="24"/>
          <w:szCs w:val="24"/>
        </w:rPr>
        <w:t>33</w:t>
      </w:r>
      <w:r w:rsidRPr="00150AFC">
        <w:rPr>
          <w:rFonts w:ascii="Times New Roman" w:hAnsi="Times New Roman"/>
          <w:sz w:val="24"/>
          <w:szCs w:val="24"/>
        </w:rPr>
        <w:t xml:space="preserve"> follow-back questionnaires annually</w:t>
      </w:r>
      <w:r w:rsidRPr="00247AE2">
        <w:rPr>
          <w:rFonts w:ascii="Times New Roman" w:hAnsi="Times New Roman"/>
          <w:sz w:val="24"/>
          <w:szCs w:val="24"/>
        </w:rPr>
        <w:t xml:space="preserve">. The burden hours for this response are estimated to be approximately </w:t>
      </w:r>
      <w:r w:rsidRPr="00150AFC">
        <w:rPr>
          <w:rFonts w:ascii="Times New Roman" w:hAnsi="Times New Roman"/>
          <w:sz w:val="24"/>
          <w:szCs w:val="24"/>
        </w:rPr>
        <w:t>1</w:t>
      </w:r>
      <w:r w:rsidRPr="00EC59F0" w:rsidR="00150AFC">
        <w:rPr>
          <w:rFonts w:ascii="Times New Roman" w:hAnsi="Times New Roman"/>
          <w:sz w:val="24"/>
          <w:szCs w:val="24"/>
        </w:rPr>
        <w:t>1</w:t>
      </w:r>
      <w:r w:rsidRPr="00150AFC">
        <w:rPr>
          <w:rFonts w:ascii="Times New Roman" w:hAnsi="Times New Roman"/>
          <w:sz w:val="24"/>
          <w:szCs w:val="24"/>
        </w:rPr>
        <w:t xml:space="preserve"> hours (</w:t>
      </w:r>
      <w:r w:rsidRPr="00EC59F0" w:rsidR="00150AFC">
        <w:rPr>
          <w:rFonts w:ascii="Times New Roman" w:hAnsi="Times New Roman"/>
          <w:sz w:val="24"/>
          <w:szCs w:val="24"/>
        </w:rPr>
        <w:t>33</w:t>
      </w:r>
      <w:r w:rsidRPr="00150AFC">
        <w:rPr>
          <w:rFonts w:ascii="Times New Roman" w:hAnsi="Times New Roman"/>
          <w:sz w:val="24"/>
          <w:szCs w:val="24"/>
        </w:rPr>
        <w:t xml:space="preserve"> x 20 minutes),</w:t>
      </w:r>
      <w:r w:rsidRPr="00247AE2">
        <w:rPr>
          <w:rFonts w:ascii="Times New Roman" w:hAnsi="Times New Roman"/>
          <w:sz w:val="24"/>
          <w:szCs w:val="24"/>
        </w:rPr>
        <w:t xml:space="preserve"> and the cost burden is estimated to be </w:t>
      </w:r>
      <w:r w:rsidRPr="00150AFC">
        <w:rPr>
          <w:rFonts w:ascii="Times New Roman" w:hAnsi="Times New Roman"/>
          <w:sz w:val="24"/>
          <w:szCs w:val="24"/>
        </w:rPr>
        <w:t>$</w:t>
      </w:r>
      <w:r w:rsidRPr="00150AFC" w:rsidR="003A54C6">
        <w:rPr>
          <w:rFonts w:ascii="Times New Roman" w:hAnsi="Times New Roman"/>
          <w:sz w:val="24"/>
          <w:szCs w:val="24"/>
        </w:rPr>
        <w:t>5</w:t>
      </w:r>
      <w:r w:rsidRPr="00EC59F0" w:rsidR="00150AFC">
        <w:rPr>
          <w:rFonts w:ascii="Times New Roman" w:hAnsi="Times New Roman"/>
          <w:sz w:val="24"/>
          <w:szCs w:val="24"/>
        </w:rPr>
        <w:t>1</w:t>
      </w:r>
      <w:r w:rsidRPr="00150AFC" w:rsidR="009074BA">
        <w:rPr>
          <w:rFonts w:ascii="Times New Roman" w:hAnsi="Times New Roman"/>
          <w:sz w:val="24"/>
          <w:szCs w:val="24"/>
        </w:rPr>
        <w:t>5</w:t>
      </w:r>
      <w:r w:rsidRPr="00150AFC">
        <w:rPr>
          <w:rFonts w:ascii="Times New Roman" w:hAnsi="Times New Roman"/>
          <w:sz w:val="24"/>
          <w:szCs w:val="24"/>
        </w:rPr>
        <w:t xml:space="preserve"> annually</w:t>
      </w:r>
      <w:r w:rsidRPr="00247AE2">
        <w:rPr>
          <w:rFonts w:ascii="Times New Roman" w:hAnsi="Times New Roman"/>
          <w:sz w:val="24"/>
          <w:szCs w:val="24"/>
        </w:rPr>
        <w:t xml:space="preserve">. This estimate is based on a total compensation rate </w:t>
      </w:r>
      <w:r w:rsidRPr="00EF3530">
        <w:rPr>
          <w:rFonts w:ascii="Times New Roman" w:hAnsi="Times New Roman"/>
          <w:sz w:val="24"/>
          <w:szCs w:val="24"/>
        </w:rPr>
        <w:t>of $</w:t>
      </w:r>
      <w:r w:rsidRPr="00EF3530" w:rsidR="0094030C">
        <w:rPr>
          <w:rFonts w:ascii="Times New Roman" w:hAnsi="Times New Roman"/>
          <w:sz w:val="24"/>
          <w:szCs w:val="24"/>
        </w:rPr>
        <w:t>4</w:t>
      </w:r>
      <w:r w:rsidRPr="00EC59F0" w:rsidR="00EF3530">
        <w:rPr>
          <w:rFonts w:ascii="Times New Roman" w:hAnsi="Times New Roman"/>
          <w:sz w:val="24"/>
          <w:szCs w:val="24"/>
        </w:rPr>
        <w:t>6</w:t>
      </w:r>
      <w:r w:rsidRPr="00EF3530">
        <w:rPr>
          <w:rFonts w:ascii="Times New Roman" w:hAnsi="Times New Roman"/>
          <w:sz w:val="24"/>
          <w:szCs w:val="24"/>
        </w:rPr>
        <w:t>.</w:t>
      </w:r>
      <w:r w:rsidRPr="00EC59F0" w:rsidR="00EF3530">
        <w:rPr>
          <w:rFonts w:ascii="Times New Roman" w:hAnsi="Times New Roman"/>
          <w:sz w:val="24"/>
          <w:szCs w:val="24"/>
        </w:rPr>
        <w:t>84</w:t>
      </w:r>
      <w:r w:rsidRPr="00EF3530">
        <w:rPr>
          <w:rFonts w:ascii="Times New Roman" w:hAnsi="Times New Roman"/>
          <w:sz w:val="24"/>
          <w:szCs w:val="24"/>
        </w:rPr>
        <w:t xml:space="preserve"> per hour</w:t>
      </w:r>
      <w:r w:rsidRPr="00247AE2">
        <w:rPr>
          <w:rFonts w:ascii="Times New Roman" w:hAnsi="Times New Roman"/>
          <w:sz w:val="24"/>
          <w:szCs w:val="24"/>
        </w:rPr>
        <w:t>, which is the average hourly total compensation rate for all civilian workers (</w:t>
      </w:r>
      <w:hyperlink r:id="rId9" w:history="1">
        <w:r w:rsidR="00EF3530">
          <w:rPr>
            <w:rStyle w:val="Hyperlink"/>
            <w:rFonts w:ascii="Times New Roman" w:hAnsi="Times New Roman"/>
            <w:sz w:val="24"/>
            <w:szCs w:val="24"/>
          </w:rPr>
          <w:t>National Compensation Survey, Employer Costs for Employee Compensation –September 2024, Table 1</w:t>
        </w:r>
      </w:hyperlink>
      <w:r w:rsidRPr="00247AE2">
        <w:rPr>
          <w:rFonts w:ascii="Times New Roman" w:hAnsi="Times New Roman"/>
          <w:sz w:val="24"/>
          <w:szCs w:val="24"/>
        </w:rPr>
        <w:t>).</w:t>
      </w:r>
      <w:r w:rsidRPr="00CB7E90">
        <w:rPr>
          <w:rFonts w:ascii="Times New Roman" w:hAnsi="Times New Roman"/>
          <w:sz w:val="24"/>
          <w:szCs w:val="24"/>
        </w:rPr>
        <w:t xml:space="preserve"> </w:t>
      </w:r>
    </w:p>
    <w:p w:rsidR="000B2CD7" w:rsidRPr="00CB7E90" w:rsidP="000B2CD7" w14:paraId="450FA168" w14:textId="77777777">
      <w:pPr>
        <w:jc w:val="both"/>
        <w:rPr>
          <w:rFonts w:ascii="Times New Roman" w:hAnsi="Times New Roman"/>
          <w:i/>
          <w:sz w:val="24"/>
          <w:szCs w:val="24"/>
        </w:rPr>
      </w:pPr>
    </w:p>
    <w:p w:rsidR="000B2CD7" w:rsidRPr="00CB7E90" w:rsidP="000B2CD7" w14:paraId="03AFFE75" w14:textId="7777777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Private Sector</w:t>
      </w:r>
    </w:p>
    <w:p w:rsidR="000B2CD7" w:rsidRPr="00CB7E90" w:rsidP="000B2CD7" w14:paraId="11C182A8" w14:textId="77777777">
      <w:pPr>
        <w:jc w:val="both"/>
        <w:rPr>
          <w:rFonts w:ascii="Times New Roman" w:hAnsi="Times New Roman"/>
          <w:i/>
          <w:sz w:val="24"/>
          <w:szCs w:val="24"/>
        </w:rPr>
      </w:pPr>
    </w:p>
    <w:p w:rsidR="000B2CD7" w:rsidRPr="00CB7E90" w:rsidP="000B2CD7" w14:paraId="47BE2AB1" w14:textId="13E4EBF2">
      <w:pPr>
        <w:rPr>
          <w:rFonts w:ascii="Times New Roman" w:hAnsi="Times New Roman"/>
          <w:sz w:val="24"/>
          <w:szCs w:val="24"/>
        </w:rPr>
      </w:pPr>
      <w:r w:rsidRPr="00CF64DE">
        <w:rPr>
          <w:rFonts w:ascii="Times New Roman" w:hAnsi="Times New Roman"/>
          <w:sz w:val="24"/>
          <w:szCs w:val="24"/>
        </w:rPr>
        <w:t xml:space="preserve">Private sector employers (including businesses, nonprofit institutions, and farms) respond to an </w:t>
      </w:r>
      <w:r w:rsidRPr="00150AFC">
        <w:rPr>
          <w:rFonts w:ascii="Times New Roman" w:hAnsi="Times New Roman"/>
          <w:sz w:val="24"/>
          <w:szCs w:val="24"/>
        </w:rPr>
        <w:t xml:space="preserve">estimated </w:t>
      </w:r>
      <w:r w:rsidRPr="00EC59F0" w:rsidR="00150AFC">
        <w:rPr>
          <w:rFonts w:ascii="Times New Roman" w:hAnsi="Times New Roman"/>
          <w:sz w:val="24"/>
          <w:szCs w:val="24"/>
        </w:rPr>
        <w:t>1</w:t>
      </w:r>
      <w:r w:rsidR="00C0622D">
        <w:rPr>
          <w:rFonts w:ascii="Times New Roman" w:hAnsi="Times New Roman"/>
          <w:sz w:val="24"/>
          <w:szCs w:val="24"/>
        </w:rPr>
        <w:t>50</w:t>
      </w:r>
      <w:r w:rsidRPr="00150AFC" w:rsidR="00C246CB">
        <w:rPr>
          <w:rFonts w:ascii="Times New Roman" w:hAnsi="Times New Roman"/>
          <w:sz w:val="24"/>
          <w:szCs w:val="24"/>
        </w:rPr>
        <w:t xml:space="preserve"> </w:t>
      </w:r>
      <w:r w:rsidRPr="00150AFC">
        <w:rPr>
          <w:rFonts w:ascii="Times New Roman" w:hAnsi="Times New Roman"/>
          <w:sz w:val="24"/>
          <w:szCs w:val="24"/>
        </w:rPr>
        <w:t>follow-back questionnaires</w:t>
      </w:r>
      <w:r w:rsidRPr="00CF64DE">
        <w:rPr>
          <w:rFonts w:ascii="Times New Roman" w:hAnsi="Times New Roman"/>
          <w:sz w:val="24"/>
          <w:szCs w:val="24"/>
        </w:rPr>
        <w:t xml:space="preserve"> annually. The burden hours for this response are estimated to be </w:t>
      </w:r>
      <w:r w:rsidRPr="00490708">
        <w:rPr>
          <w:rFonts w:ascii="Times New Roman" w:hAnsi="Times New Roman"/>
          <w:sz w:val="24"/>
          <w:szCs w:val="24"/>
        </w:rPr>
        <w:t xml:space="preserve">about </w:t>
      </w:r>
      <w:r w:rsidR="00C0622D">
        <w:rPr>
          <w:rFonts w:ascii="Times New Roman" w:hAnsi="Times New Roman"/>
          <w:sz w:val="24"/>
          <w:szCs w:val="24"/>
        </w:rPr>
        <w:t>50</w:t>
      </w:r>
      <w:r w:rsidRPr="00490708">
        <w:rPr>
          <w:rFonts w:ascii="Times New Roman" w:hAnsi="Times New Roman"/>
          <w:sz w:val="24"/>
          <w:szCs w:val="24"/>
        </w:rPr>
        <w:t xml:space="preserve"> hours (</w:t>
      </w:r>
      <w:r w:rsidRPr="00EC59F0" w:rsidR="00150AFC">
        <w:rPr>
          <w:rFonts w:ascii="Times New Roman" w:hAnsi="Times New Roman"/>
          <w:sz w:val="24"/>
          <w:szCs w:val="24"/>
        </w:rPr>
        <w:t>1</w:t>
      </w:r>
      <w:r w:rsidR="00C0622D">
        <w:rPr>
          <w:rFonts w:ascii="Times New Roman" w:hAnsi="Times New Roman"/>
          <w:sz w:val="24"/>
          <w:szCs w:val="24"/>
        </w:rPr>
        <w:t>50</w:t>
      </w:r>
      <w:r w:rsidRPr="00490708">
        <w:rPr>
          <w:rFonts w:ascii="Times New Roman" w:hAnsi="Times New Roman"/>
          <w:sz w:val="24"/>
          <w:szCs w:val="24"/>
        </w:rPr>
        <w:t xml:space="preserve"> x 20 minutes),</w:t>
      </w:r>
      <w:r w:rsidRPr="00CF64DE">
        <w:rPr>
          <w:rFonts w:ascii="Times New Roman" w:hAnsi="Times New Roman"/>
          <w:sz w:val="24"/>
          <w:szCs w:val="24"/>
        </w:rPr>
        <w:t xml:space="preserve"> and the cost burden is estimated to be </w:t>
      </w:r>
      <w:r w:rsidRPr="00490708">
        <w:rPr>
          <w:rFonts w:ascii="Times New Roman" w:hAnsi="Times New Roman"/>
          <w:sz w:val="24"/>
          <w:szCs w:val="24"/>
        </w:rPr>
        <w:t>$</w:t>
      </w:r>
      <w:r w:rsidR="00C0622D">
        <w:rPr>
          <w:rFonts w:ascii="Times New Roman" w:hAnsi="Times New Roman"/>
          <w:sz w:val="24"/>
          <w:szCs w:val="24"/>
        </w:rPr>
        <w:t>3</w:t>
      </w:r>
      <w:r w:rsidRPr="00490708" w:rsidR="005478EE">
        <w:rPr>
          <w:rFonts w:ascii="Times New Roman" w:hAnsi="Times New Roman"/>
          <w:sz w:val="24"/>
          <w:szCs w:val="24"/>
        </w:rPr>
        <w:t>,</w:t>
      </w:r>
      <w:r w:rsidR="00C0622D">
        <w:rPr>
          <w:rFonts w:ascii="Times New Roman" w:hAnsi="Times New Roman"/>
          <w:sz w:val="24"/>
          <w:szCs w:val="24"/>
        </w:rPr>
        <w:t>419</w:t>
      </w:r>
      <w:r w:rsidRPr="00490708">
        <w:rPr>
          <w:rFonts w:ascii="Times New Roman" w:hAnsi="Times New Roman"/>
          <w:sz w:val="24"/>
          <w:szCs w:val="24"/>
        </w:rPr>
        <w:t xml:space="preserve"> annually</w:t>
      </w:r>
      <w:r w:rsidRPr="00CF64DE">
        <w:rPr>
          <w:rFonts w:ascii="Times New Roman" w:hAnsi="Times New Roman"/>
          <w:sz w:val="24"/>
          <w:szCs w:val="24"/>
        </w:rPr>
        <w:t xml:space="preserve">. This estimate is based on a total compensation rate of </w:t>
      </w:r>
      <w:r w:rsidRPr="00517EED">
        <w:rPr>
          <w:rFonts w:ascii="Times New Roman" w:hAnsi="Times New Roman"/>
          <w:sz w:val="24"/>
          <w:szCs w:val="24"/>
        </w:rPr>
        <w:t>$</w:t>
      </w:r>
      <w:r w:rsidRPr="00EC59F0" w:rsidR="00517EED">
        <w:rPr>
          <w:rFonts w:ascii="Times New Roman" w:hAnsi="Times New Roman"/>
          <w:sz w:val="24"/>
          <w:szCs w:val="24"/>
        </w:rPr>
        <w:t>68</w:t>
      </w:r>
      <w:r w:rsidRPr="00517EED">
        <w:rPr>
          <w:rFonts w:ascii="Times New Roman" w:hAnsi="Times New Roman"/>
          <w:sz w:val="24"/>
          <w:szCs w:val="24"/>
        </w:rPr>
        <w:t>.</w:t>
      </w:r>
      <w:r w:rsidRPr="00EC59F0" w:rsidR="00517EED">
        <w:rPr>
          <w:rFonts w:ascii="Times New Roman" w:hAnsi="Times New Roman"/>
          <w:sz w:val="24"/>
          <w:szCs w:val="24"/>
        </w:rPr>
        <w:t>37</w:t>
      </w:r>
      <w:r w:rsidRPr="00517EED">
        <w:rPr>
          <w:rFonts w:ascii="Times New Roman" w:hAnsi="Times New Roman"/>
          <w:sz w:val="24"/>
          <w:szCs w:val="24"/>
        </w:rPr>
        <w:t xml:space="preserve"> per hour</w:t>
      </w:r>
      <w:r w:rsidRPr="00CF64DE">
        <w:rPr>
          <w:rFonts w:ascii="Times New Roman" w:hAnsi="Times New Roman"/>
          <w:sz w:val="24"/>
          <w:szCs w:val="24"/>
        </w:rPr>
        <w:t xml:space="preserve">, which is the average hourly total compensation rate for all professional and related workers in private industry </w:t>
      </w:r>
      <w:hyperlink r:id="rId9" w:history="1">
        <w:r w:rsidRPr="00455EDB">
          <w:rPr>
            <w:rStyle w:val="Hyperlink"/>
            <w:rFonts w:ascii="Times New Roman" w:hAnsi="Times New Roman"/>
            <w:sz w:val="24"/>
            <w:szCs w:val="24"/>
          </w:rPr>
          <w:t>(</w:t>
        </w:r>
        <w:r w:rsidRPr="00455EDB" w:rsidR="00517EED">
          <w:rPr>
            <w:rStyle w:val="Hyperlink"/>
            <w:rFonts w:ascii="Times New Roman" w:hAnsi="Times New Roman"/>
            <w:sz w:val="24"/>
            <w:szCs w:val="24"/>
          </w:rPr>
          <w:t>National Compensation Survey, Employer Costs for Employee Compensation – September 2024, Table 4</w:t>
        </w:r>
      </w:hyperlink>
      <w:r w:rsidRPr="00CF64DE">
        <w:rPr>
          <w:rFonts w:ascii="Times New Roman" w:hAnsi="Times New Roman"/>
          <w:sz w:val="24"/>
          <w:szCs w:val="24"/>
        </w:rPr>
        <w:t>).</w:t>
      </w:r>
    </w:p>
    <w:p w:rsidR="000B2CD7" w:rsidRPr="00CB7E90" w:rsidP="000B2CD7" w14:paraId="6578A2F6" w14:textId="77777777">
      <w:pPr>
        <w:jc w:val="both"/>
        <w:rPr>
          <w:rFonts w:ascii="Times New Roman" w:hAnsi="Times New Roman"/>
          <w:i/>
          <w:sz w:val="24"/>
          <w:szCs w:val="24"/>
        </w:rPr>
      </w:pPr>
    </w:p>
    <w:p w:rsidR="000B2CD7" w:rsidRPr="00CB7E90" w:rsidP="000B2CD7" w14:paraId="6010AF53" w14:textId="77777777">
      <w:pPr>
        <w:keepNext/>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 xml:space="preserve"> State, Local, or Tribal Governments</w:t>
      </w:r>
    </w:p>
    <w:p w:rsidR="000B2CD7" w:rsidRPr="00CB7E90" w:rsidP="000B2CD7" w14:paraId="7B22FBEF" w14:textId="77777777">
      <w:pPr>
        <w:keepNext/>
        <w:rPr>
          <w:rFonts w:ascii="Times New Roman" w:hAnsi="Times New Roman"/>
          <w:i/>
          <w:sz w:val="24"/>
          <w:szCs w:val="24"/>
        </w:rPr>
      </w:pPr>
    </w:p>
    <w:p w:rsidR="000B2CD7" w:rsidRPr="00CB7E90" w:rsidP="000B2CD7" w14:paraId="0827F88A" w14:textId="242386AA">
      <w:pPr>
        <w:keepNext/>
        <w:rPr>
          <w:rFonts w:ascii="Times New Roman" w:hAnsi="Times New Roman"/>
          <w:sz w:val="24"/>
          <w:szCs w:val="24"/>
        </w:rPr>
      </w:pPr>
      <w:r w:rsidRPr="00CB7E90">
        <w:rPr>
          <w:rFonts w:ascii="Times New Roman" w:hAnsi="Times New Roman"/>
          <w:sz w:val="24"/>
          <w:szCs w:val="24"/>
        </w:rPr>
        <w:t xml:space="preserve">State, local, and tribal government agencies provide source documents for potentially work-related fatalities to the CFOI. Some agencies require a nominal fee to cover copying costs and some provide </w:t>
      </w:r>
      <w:r w:rsidR="00B61748">
        <w:rPr>
          <w:rFonts w:ascii="Times New Roman" w:hAnsi="Times New Roman"/>
          <w:sz w:val="24"/>
          <w:szCs w:val="24"/>
        </w:rPr>
        <w:t>electronic</w:t>
      </w:r>
      <w:r w:rsidRPr="00CB7E90" w:rsidR="00B61748">
        <w:rPr>
          <w:rFonts w:ascii="Times New Roman" w:hAnsi="Times New Roman"/>
          <w:sz w:val="24"/>
          <w:szCs w:val="24"/>
        </w:rPr>
        <w:t xml:space="preserve"> </w:t>
      </w:r>
      <w:r w:rsidRPr="00CB7E90">
        <w:rPr>
          <w:rFonts w:ascii="Times New Roman" w:hAnsi="Times New Roman"/>
          <w:sz w:val="24"/>
          <w:szCs w:val="24"/>
        </w:rPr>
        <w:t xml:space="preserve">files. Because these arrangements vary from </w:t>
      </w:r>
      <w:r w:rsidR="00390A30">
        <w:rPr>
          <w:rFonts w:ascii="Times New Roman" w:hAnsi="Times New Roman"/>
          <w:sz w:val="24"/>
          <w:szCs w:val="24"/>
        </w:rPr>
        <w:t>s</w:t>
      </w:r>
      <w:r w:rsidRPr="00CB7E90">
        <w:rPr>
          <w:rFonts w:ascii="Times New Roman" w:hAnsi="Times New Roman"/>
          <w:sz w:val="24"/>
          <w:szCs w:val="24"/>
        </w:rPr>
        <w:t xml:space="preserve">tate to </w:t>
      </w:r>
      <w:r w:rsidR="00390A30">
        <w:rPr>
          <w:rFonts w:ascii="Times New Roman" w:hAnsi="Times New Roman"/>
          <w:sz w:val="24"/>
          <w:szCs w:val="24"/>
        </w:rPr>
        <w:t>s</w:t>
      </w:r>
      <w:r w:rsidRPr="00CB7E90">
        <w:rPr>
          <w:rFonts w:ascii="Times New Roman" w:hAnsi="Times New Roman"/>
          <w:sz w:val="24"/>
          <w:szCs w:val="24"/>
        </w:rPr>
        <w:t xml:space="preserve">tate, it is difficult to adjust the burden estimates for reports sent electronically as was done for reports submitted by the </w:t>
      </w:r>
      <w:r w:rsidR="00321047">
        <w:rPr>
          <w:rFonts w:ascii="Times New Roman" w:hAnsi="Times New Roman"/>
          <w:sz w:val="24"/>
          <w:szCs w:val="24"/>
        </w:rPr>
        <w:t>f</w:t>
      </w:r>
      <w:r w:rsidRPr="00CB7E90">
        <w:rPr>
          <w:rFonts w:ascii="Times New Roman" w:hAnsi="Times New Roman"/>
          <w:sz w:val="24"/>
          <w:szCs w:val="24"/>
        </w:rPr>
        <w:t xml:space="preserve">ederal agencies. The burden hours and associated costs shown should, therefore, be considered a maximum estimate. </w:t>
      </w:r>
    </w:p>
    <w:p w:rsidR="000B2CD7" w:rsidRPr="00CB7E90" w:rsidP="000B2CD7" w14:paraId="00766B3A" w14:textId="77777777">
      <w:pPr>
        <w:keepNext/>
        <w:rPr>
          <w:rFonts w:ascii="Times New Roman" w:hAnsi="Times New Roman"/>
          <w:sz w:val="24"/>
          <w:szCs w:val="24"/>
        </w:rPr>
      </w:pPr>
    </w:p>
    <w:p w:rsidR="000B2CD7" w:rsidRPr="00CB7E90" w:rsidP="000B2CD7" w14:paraId="59FC402C" w14:textId="50BA8D79">
      <w:pPr>
        <w:keepNext/>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rsidR="000B2CD7" w:rsidRPr="00CB7E90" w:rsidP="000B2CD7" w14:paraId="3D36C95A" w14:textId="77777777">
      <w:pPr>
        <w:rPr>
          <w:rFonts w:ascii="Times New Roman" w:hAnsi="Times New Roman"/>
          <w:i/>
          <w:sz w:val="24"/>
          <w:szCs w:val="24"/>
        </w:rPr>
      </w:pPr>
    </w:p>
    <w:p w:rsidR="000B2CD7" w:rsidRPr="00CB7E90" w:rsidP="000B2CD7" w14:paraId="79D7602D" w14:textId="0DAA6449">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There are </w:t>
      </w:r>
      <w:r w:rsidRPr="00E50AAC">
        <w:rPr>
          <w:rFonts w:ascii="Times New Roman" w:hAnsi="Times New Roman"/>
          <w:sz w:val="24"/>
          <w:szCs w:val="24"/>
        </w:rPr>
        <w:t xml:space="preserve">approximately 220 </w:t>
      </w:r>
      <w:r w:rsidRPr="00E50AAC" w:rsidR="00390A30">
        <w:rPr>
          <w:rFonts w:ascii="Times New Roman" w:hAnsi="Times New Roman"/>
          <w:sz w:val="24"/>
          <w:szCs w:val="24"/>
        </w:rPr>
        <w:t>s</w:t>
      </w:r>
      <w:r w:rsidRPr="00E50AAC">
        <w:rPr>
          <w:rFonts w:ascii="Times New Roman" w:hAnsi="Times New Roman"/>
          <w:sz w:val="24"/>
          <w:szCs w:val="24"/>
        </w:rPr>
        <w:t>tate, local, and tribal government agencies</w:t>
      </w:r>
      <w:r w:rsidRPr="00CB7E90">
        <w:rPr>
          <w:rFonts w:ascii="Times New Roman" w:hAnsi="Times New Roman"/>
          <w:sz w:val="24"/>
          <w:szCs w:val="24"/>
        </w:rPr>
        <w:t xml:space="preserve"> providing the CFOI with source documents (</w:t>
      </w:r>
      <w:r w:rsidRPr="00E50AAC">
        <w:rPr>
          <w:rFonts w:ascii="Times New Roman" w:hAnsi="Times New Roman"/>
          <w:sz w:val="24"/>
          <w:szCs w:val="24"/>
        </w:rPr>
        <w:t xml:space="preserve">55 </w:t>
      </w:r>
      <w:r w:rsidRPr="00E50AAC" w:rsidR="00390A30">
        <w:rPr>
          <w:rFonts w:ascii="Times New Roman" w:hAnsi="Times New Roman"/>
          <w:sz w:val="24"/>
          <w:szCs w:val="24"/>
        </w:rPr>
        <w:t>s</w:t>
      </w:r>
      <w:r w:rsidRPr="00E50AAC">
        <w:rPr>
          <w:rFonts w:ascii="Times New Roman" w:hAnsi="Times New Roman"/>
          <w:sz w:val="24"/>
          <w:szCs w:val="24"/>
        </w:rPr>
        <w:t xml:space="preserve">tates/cities/territories x an average 4 source agencies per </w:t>
      </w:r>
      <w:r w:rsidRPr="00E50AAC" w:rsidR="00390A30">
        <w:rPr>
          <w:rFonts w:ascii="Times New Roman" w:hAnsi="Times New Roman"/>
          <w:sz w:val="24"/>
          <w:szCs w:val="24"/>
        </w:rPr>
        <w:t>s</w:t>
      </w:r>
      <w:r w:rsidRPr="00E50AAC">
        <w:rPr>
          <w:rFonts w:ascii="Times New Roman" w:hAnsi="Times New Roman"/>
          <w:sz w:val="24"/>
          <w:szCs w:val="24"/>
        </w:rPr>
        <w:t>tate).</w:t>
      </w:r>
      <w:r w:rsidRPr="00CB7E90">
        <w:rPr>
          <w:rFonts w:ascii="Times New Roman" w:hAnsi="Times New Roman"/>
          <w:sz w:val="24"/>
          <w:szCs w:val="24"/>
        </w:rPr>
        <w:t xml:space="preserve"> </w:t>
      </w:r>
    </w:p>
    <w:p w:rsidR="000B2CD7" w:rsidRPr="00CB7E90" w:rsidP="000B2CD7" w14:paraId="5691A06C" w14:textId="77777777">
      <w:pPr>
        <w:rPr>
          <w:rFonts w:ascii="Times New Roman" w:hAnsi="Times New Roman"/>
          <w:sz w:val="24"/>
          <w:szCs w:val="24"/>
        </w:rPr>
      </w:pPr>
    </w:p>
    <w:p w:rsidR="000B2CD7" w:rsidRPr="00CB7E90" w:rsidP="000B2CD7" w14:paraId="2BC435AA" w14:textId="0881C7CE">
      <w:pPr>
        <w:rPr>
          <w:rFonts w:ascii="Times New Roman" w:hAnsi="Times New Roman"/>
          <w:sz w:val="24"/>
          <w:szCs w:val="24"/>
        </w:rPr>
      </w:pPr>
      <w:r w:rsidRPr="00CB7E90">
        <w:rPr>
          <w:rFonts w:ascii="Times New Roman" w:hAnsi="Times New Roman"/>
          <w:i/>
          <w:sz w:val="24"/>
          <w:szCs w:val="24"/>
        </w:rPr>
        <w:t xml:space="preserve">Number of responses: </w:t>
      </w:r>
      <w:r w:rsidRPr="00CB7E90">
        <w:rPr>
          <w:rFonts w:ascii="Times New Roman" w:hAnsi="Times New Roman"/>
          <w:sz w:val="24"/>
          <w:szCs w:val="24"/>
        </w:rPr>
        <w:t xml:space="preserve">State, local, and tribal government agencies provide an estimated </w:t>
      </w:r>
      <w:r w:rsidRPr="000A30E4">
        <w:rPr>
          <w:rFonts w:ascii="Times New Roman" w:hAnsi="Times New Roman"/>
          <w:sz w:val="24"/>
          <w:szCs w:val="24"/>
        </w:rPr>
        <w:t>1</w:t>
      </w:r>
      <w:r w:rsidRPr="000A30E4" w:rsidR="001C1E0A">
        <w:rPr>
          <w:rFonts w:ascii="Times New Roman" w:hAnsi="Times New Roman"/>
          <w:sz w:val="24"/>
          <w:szCs w:val="24"/>
        </w:rPr>
        <w:t>5</w:t>
      </w:r>
      <w:r w:rsidRPr="000A30E4">
        <w:rPr>
          <w:rFonts w:ascii="Times New Roman" w:hAnsi="Times New Roman"/>
          <w:sz w:val="24"/>
          <w:szCs w:val="24"/>
        </w:rPr>
        <w:t>,</w:t>
      </w:r>
      <w:r w:rsidRPr="00EC59F0" w:rsidR="000A30E4">
        <w:rPr>
          <w:rFonts w:ascii="Times New Roman" w:hAnsi="Times New Roman"/>
          <w:sz w:val="24"/>
          <w:szCs w:val="24"/>
        </w:rPr>
        <w:t>856</w:t>
      </w:r>
      <w:r w:rsidRPr="00CB7E90">
        <w:rPr>
          <w:rFonts w:ascii="Times New Roman" w:hAnsi="Times New Roman"/>
          <w:sz w:val="24"/>
          <w:szCs w:val="24"/>
        </w:rPr>
        <w:t xml:space="preserve"> source documents. </w:t>
      </w:r>
    </w:p>
    <w:p w:rsidR="000B2CD7" w:rsidRPr="00CB7E90" w:rsidP="000B2CD7" w14:paraId="214B79DA" w14:textId="77777777">
      <w:pPr>
        <w:rPr>
          <w:rFonts w:ascii="Times New Roman" w:hAnsi="Times New Roman"/>
          <w:sz w:val="24"/>
          <w:szCs w:val="24"/>
        </w:rPr>
      </w:pPr>
    </w:p>
    <w:p w:rsidR="000B2CD7" w:rsidRPr="00CB7E90" w:rsidP="000B2CD7" w14:paraId="678E516C" w14:textId="1B57DB3D">
      <w:pPr>
        <w:rPr>
          <w:rFonts w:ascii="Times New Roman" w:hAnsi="Times New Roman"/>
          <w:sz w:val="24"/>
          <w:szCs w:val="24"/>
        </w:rPr>
      </w:pPr>
      <w:r w:rsidRPr="00CB7E90">
        <w:rPr>
          <w:rFonts w:ascii="Times New Roman" w:hAnsi="Times New Roman"/>
          <w:i/>
          <w:sz w:val="24"/>
          <w:szCs w:val="24"/>
        </w:rPr>
        <w:t xml:space="preserve">Annual time and cost burden: </w:t>
      </w:r>
      <w:r w:rsidRPr="00CF64DE">
        <w:rPr>
          <w:rFonts w:ascii="Times New Roman" w:hAnsi="Times New Roman"/>
          <w:sz w:val="24"/>
          <w:szCs w:val="24"/>
        </w:rPr>
        <w:t xml:space="preserve">A total </w:t>
      </w:r>
      <w:r w:rsidRPr="000A30E4">
        <w:rPr>
          <w:rFonts w:ascii="Times New Roman" w:hAnsi="Times New Roman"/>
          <w:sz w:val="24"/>
          <w:szCs w:val="24"/>
        </w:rPr>
        <w:t>of 220</w:t>
      </w:r>
      <w:r w:rsidRPr="00CF64DE">
        <w:rPr>
          <w:rFonts w:ascii="Times New Roman" w:hAnsi="Times New Roman"/>
          <w:sz w:val="24"/>
          <w:szCs w:val="24"/>
        </w:rPr>
        <w:t xml:space="preserve"> </w:t>
      </w:r>
      <w:r w:rsidR="00390A30">
        <w:rPr>
          <w:rFonts w:ascii="Times New Roman" w:hAnsi="Times New Roman"/>
          <w:sz w:val="24"/>
          <w:szCs w:val="24"/>
        </w:rPr>
        <w:t>s</w:t>
      </w:r>
      <w:r w:rsidRPr="00CF64DE">
        <w:rPr>
          <w:rFonts w:ascii="Times New Roman" w:hAnsi="Times New Roman"/>
          <w:sz w:val="24"/>
          <w:szCs w:val="24"/>
        </w:rPr>
        <w:t xml:space="preserve">tate, local, and tribal government agencies actively provide an estimated </w:t>
      </w:r>
      <w:r w:rsidRPr="000A30E4">
        <w:rPr>
          <w:rFonts w:ascii="Times New Roman" w:hAnsi="Times New Roman"/>
          <w:sz w:val="24"/>
          <w:szCs w:val="24"/>
        </w:rPr>
        <w:t>1</w:t>
      </w:r>
      <w:r w:rsidRPr="000A30E4" w:rsidR="005478EE">
        <w:rPr>
          <w:rFonts w:ascii="Times New Roman" w:hAnsi="Times New Roman"/>
          <w:sz w:val="24"/>
          <w:szCs w:val="24"/>
        </w:rPr>
        <w:t>5</w:t>
      </w:r>
      <w:r w:rsidRPr="000A30E4">
        <w:rPr>
          <w:rFonts w:ascii="Times New Roman" w:hAnsi="Times New Roman"/>
          <w:sz w:val="24"/>
          <w:szCs w:val="24"/>
        </w:rPr>
        <w:t>,</w:t>
      </w:r>
      <w:r w:rsidRPr="00EC59F0" w:rsidR="00E50AAC">
        <w:rPr>
          <w:rFonts w:ascii="Times New Roman" w:hAnsi="Times New Roman"/>
          <w:sz w:val="24"/>
          <w:szCs w:val="24"/>
        </w:rPr>
        <w:t>856</w:t>
      </w:r>
      <w:r w:rsidRPr="000A30E4">
        <w:rPr>
          <w:rFonts w:ascii="Times New Roman" w:hAnsi="Times New Roman"/>
          <w:sz w:val="24"/>
          <w:szCs w:val="24"/>
        </w:rPr>
        <w:t xml:space="preserve"> source</w:t>
      </w:r>
      <w:r w:rsidRPr="00CF64DE">
        <w:rPr>
          <w:rFonts w:ascii="Times New Roman" w:hAnsi="Times New Roman"/>
          <w:sz w:val="24"/>
          <w:szCs w:val="24"/>
        </w:rPr>
        <w:t xml:space="preserve"> documents to the CFOI, resulting in a burden of </w:t>
      </w:r>
      <w:r w:rsidRPr="000A30E4">
        <w:rPr>
          <w:rFonts w:ascii="Times New Roman" w:hAnsi="Times New Roman"/>
          <w:sz w:val="24"/>
          <w:szCs w:val="24"/>
        </w:rPr>
        <w:t>2</w:t>
      </w:r>
      <w:r w:rsidRPr="000A30E4" w:rsidR="00D6603A">
        <w:rPr>
          <w:rFonts w:ascii="Times New Roman" w:hAnsi="Times New Roman"/>
          <w:sz w:val="24"/>
          <w:szCs w:val="24"/>
        </w:rPr>
        <w:t>,</w:t>
      </w:r>
      <w:r w:rsidRPr="00EC59F0" w:rsidR="000A30E4">
        <w:rPr>
          <w:rFonts w:ascii="Times New Roman" w:hAnsi="Times New Roman"/>
          <w:sz w:val="24"/>
          <w:szCs w:val="24"/>
        </w:rPr>
        <w:t>643</w:t>
      </w:r>
      <w:r w:rsidRPr="00CF64DE">
        <w:rPr>
          <w:rFonts w:ascii="Times New Roman" w:hAnsi="Times New Roman"/>
          <w:sz w:val="24"/>
          <w:szCs w:val="24"/>
        </w:rPr>
        <w:t xml:space="preserve"> hours a year </w:t>
      </w:r>
      <w:r w:rsidRPr="000A30E4">
        <w:rPr>
          <w:rFonts w:ascii="Times New Roman" w:hAnsi="Times New Roman"/>
          <w:sz w:val="24"/>
          <w:szCs w:val="24"/>
        </w:rPr>
        <w:t>(</w:t>
      </w:r>
      <w:r w:rsidRPr="000A30E4" w:rsidR="005478EE">
        <w:rPr>
          <w:rFonts w:ascii="Times New Roman" w:hAnsi="Times New Roman"/>
          <w:sz w:val="24"/>
          <w:szCs w:val="24"/>
        </w:rPr>
        <w:t>15,</w:t>
      </w:r>
      <w:r w:rsidRPr="00EC59F0" w:rsidR="000A30E4">
        <w:rPr>
          <w:rFonts w:ascii="Times New Roman" w:hAnsi="Times New Roman"/>
          <w:sz w:val="24"/>
          <w:szCs w:val="24"/>
        </w:rPr>
        <w:t>856</w:t>
      </w:r>
      <w:r w:rsidRPr="000A30E4" w:rsidR="005478EE">
        <w:rPr>
          <w:rFonts w:ascii="Times New Roman" w:hAnsi="Times New Roman"/>
          <w:sz w:val="24"/>
          <w:szCs w:val="24"/>
        </w:rPr>
        <w:t xml:space="preserve"> </w:t>
      </w:r>
      <w:r w:rsidRPr="000A30E4">
        <w:rPr>
          <w:rFonts w:ascii="Times New Roman" w:hAnsi="Times New Roman"/>
          <w:sz w:val="24"/>
          <w:szCs w:val="24"/>
        </w:rPr>
        <w:t>x 10 minutes),</w:t>
      </w:r>
      <w:r w:rsidRPr="00CF64DE">
        <w:rPr>
          <w:rFonts w:ascii="Times New Roman" w:hAnsi="Times New Roman"/>
          <w:sz w:val="24"/>
          <w:szCs w:val="24"/>
        </w:rPr>
        <w:t xml:space="preserve"> for which the cost burden is estimated to be </w:t>
      </w:r>
      <w:r w:rsidRPr="000A30E4">
        <w:rPr>
          <w:rFonts w:ascii="Times New Roman" w:hAnsi="Times New Roman"/>
          <w:sz w:val="24"/>
          <w:szCs w:val="24"/>
        </w:rPr>
        <w:t>$</w:t>
      </w:r>
      <w:r w:rsidRPr="00EC59F0" w:rsidR="000A30E4">
        <w:rPr>
          <w:rFonts w:ascii="Times New Roman" w:hAnsi="Times New Roman"/>
          <w:sz w:val="24"/>
          <w:szCs w:val="24"/>
        </w:rPr>
        <w:t>117</w:t>
      </w:r>
      <w:r w:rsidRPr="000A30E4">
        <w:rPr>
          <w:rFonts w:ascii="Times New Roman" w:hAnsi="Times New Roman"/>
          <w:sz w:val="24"/>
          <w:szCs w:val="24"/>
        </w:rPr>
        <w:t>,</w:t>
      </w:r>
      <w:r w:rsidRPr="00EC59F0" w:rsidR="000A30E4">
        <w:rPr>
          <w:rFonts w:ascii="Times New Roman" w:hAnsi="Times New Roman"/>
          <w:sz w:val="24"/>
          <w:szCs w:val="24"/>
        </w:rPr>
        <w:t>006</w:t>
      </w:r>
      <w:r w:rsidRPr="00CF64DE">
        <w:rPr>
          <w:rFonts w:ascii="Times New Roman" w:hAnsi="Times New Roman"/>
          <w:sz w:val="24"/>
          <w:szCs w:val="24"/>
        </w:rPr>
        <w:t xml:space="preserve"> annually. This estimate is based on a total compensation rate </w:t>
      </w:r>
      <w:r w:rsidRPr="00160170">
        <w:rPr>
          <w:rFonts w:ascii="Times New Roman" w:hAnsi="Times New Roman"/>
          <w:sz w:val="24"/>
          <w:szCs w:val="24"/>
        </w:rPr>
        <w:t>of $</w:t>
      </w:r>
      <w:r w:rsidRPr="00EC59F0" w:rsidR="00160170">
        <w:rPr>
          <w:rFonts w:ascii="Times New Roman" w:hAnsi="Times New Roman"/>
          <w:sz w:val="24"/>
          <w:szCs w:val="24"/>
        </w:rPr>
        <w:t>44</w:t>
      </w:r>
      <w:r w:rsidRPr="00160170">
        <w:rPr>
          <w:rFonts w:ascii="Times New Roman" w:hAnsi="Times New Roman"/>
          <w:sz w:val="24"/>
          <w:szCs w:val="24"/>
        </w:rPr>
        <w:t>.</w:t>
      </w:r>
      <w:r w:rsidRPr="00EC59F0" w:rsidR="00160170">
        <w:rPr>
          <w:rFonts w:ascii="Times New Roman" w:hAnsi="Times New Roman"/>
          <w:sz w:val="24"/>
          <w:szCs w:val="24"/>
        </w:rPr>
        <w:t>27</w:t>
      </w:r>
      <w:r w:rsidRPr="00160170">
        <w:rPr>
          <w:rFonts w:ascii="Times New Roman" w:hAnsi="Times New Roman"/>
          <w:sz w:val="24"/>
          <w:szCs w:val="24"/>
        </w:rPr>
        <w:t xml:space="preserve"> per</w:t>
      </w:r>
      <w:r w:rsidRPr="00CF64DE">
        <w:rPr>
          <w:rFonts w:ascii="Times New Roman" w:hAnsi="Times New Roman"/>
          <w:sz w:val="24"/>
          <w:szCs w:val="24"/>
        </w:rPr>
        <w:t xml:space="preserve"> hour, which is the average hourly total compensation for all office and administrative workers in </w:t>
      </w:r>
      <w:r w:rsidR="00390A30">
        <w:rPr>
          <w:rFonts w:ascii="Times New Roman" w:hAnsi="Times New Roman"/>
          <w:sz w:val="24"/>
          <w:szCs w:val="24"/>
        </w:rPr>
        <w:t>s</w:t>
      </w:r>
      <w:r w:rsidRPr="00CF64DE">
        <w:rPr>
          <w:rFonts w:ascii="Times New Roman" w:hAnsi="Times New Roman"/>
          <w:sz w:val="24"/>
          <w:szCs w:val="24"/>
        </w:rPr>
        <w:t>tate and local government (</w:t>
      </w:r>
      <w:hyperlink r:id="rId9" w:history="1">
        <w:r w:rsidR="00160170">
          <w:rPr>
            <w:rStyle w:val="Hyperlink"/>
            <w:rFonts w:ascii="Times New Roman" w:hAnsi="Times New Roman"/>
            <w:sz w:val="24"/>
            <w:szCs w:val="24"/>
          </w:rPr>
          <w:t>National Compensation Survey, Employer Costs for Employee Compensation – September 2024, Table 3</w:t>
        </w:r>
      </w:hyperlink>
      <w:r w:rsidRPr="00CF64DE">
        <w:rPr>
          <w:rFonts w:ascii="Times New Roman" w:hAnsi="Times New Roman"/>
          <w:sz w:val="24"/>
          <w:szCs w:val="24"/>
        </w:rPr>
        <w:t>).</w:t>
      </w:r>
    </w:p>
    <w:p w:rsidR="000B2CD7" w:rsidRPr="00CB7E90" w:rsidP="000B2CD7" w14:paraId="59D68309" w14:textId="77777777">
      <w:pPr>
        <w:rPr>
          <w:rFonts w:ascii="Times New Roman" w:hAnsi="Times New Roman"/>
          <w:sz w:val="24"/>
          <w:szCs w:val="24"/>
        </w:rPr>
      </w:pPr>
    </w:p>
    <w:p w:rsidR="000B2CD7" w:rsidRPr="00CB7E90" w:rsidP="000B2CD7" w14:paraId="156DD234" w14:textId="77777777">
      <w:pPr>
        <w:rPr>
          <w:rFonts w:ascii="Times New Roman" w:hAnsi="Times New Roman"/>
          <w:b/>
          <w:i/>
          <w:sz w:val="24"/>
          <w:szCs w:val="24"/>
        </w:rPr>
      </w:pPr>
      <w:r w:rsidRPr="00CB7E90">
        <w:rPr>
          <w:rFonts w:ascii="Times New Roman" w:hAnsi="Times New Roman"/>
          <w:b/>
          <w:i/>
          <w:sz w:val="24"/>
          <w:szCs w:val="24"/>
        </w:rPr>
        <w:t xml:space="preserve">BLS CFOI-1 </w:t>
      </w:r>
    </w:p>
    <w:p w:rsidR="000B2CD7" w:rsidRPr="00CB7E90" w:rsidP="000B2CD7" w14:paraId="3125D7E1" w14:textId="77777777">
      <w:pPr>
        <w:rPr>
          <w:rFonts w:ascii="Times New Roman" w:hAnsi="Times New Roman"/>
          <w:sz w:val="24"/>
          <w:szCs w:val="24"/>
        </w:rPr>
      </w:pPr>
    </w:p>
    <w:p w:rsidR="000B2CD7" w:rsidRPr="00CB7E90" w:rsidP="000B2CD7" w14:paraId="13D7950E" w14:textId="6F2E4701">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We estimate </w:t>
      </w:r>
      <w:r w:rsidRPr="00EC59F0" w:rsidR="000A30E4">
        <w:rPr>
          <w:rFonts w:ascii="Times New Roman" w:hAnsi="Times New Roman"/>
          <w:sz w:val="24"/>
          <w:szCs w:val="24"/>
        </w:rPr>
        <w:t>2</w:t>
      </w:r>
      <w:r w:rsidR="00C0622D">
        <w:rPr>
          <w:rFonts w:ascii="Times New Roman" w:hAnsi="Times New Roman"/>
          <w:sz w:val="24"/>
          <w:szCs w:val="24"/>
        </w:rPr>
        <w:t>0</w:t>
      </w:r>
      <w:r w:rsidRPr="000A30E4" w:rsidR="006C69BF">
        <w:rPr>
          <w:rFonts w:ascii="Times New Roman" w:hAnsi="Times New Roman"/>
          <w:sz w:val="24"/>
          <w:szCs w:val="24"/>
        </w:rPr>
        <w:t xml:space="preserve"> </w:t>
      </w:r>
      <w:r w:rsidRPr="000A30E4">
        <w:rPr>
          <w:rFonts w:ascii="Times New Roman" w:hAnsi="Times New Roman"/>
          <w:sz w:val="24"/>
          <w:szCs w:val="24"/>
        </w:rPr>
        <w:t>follow-back questionnaires</w:t>
      </w:r>
      <w:r w:rsidRPr="00CB7E90">
        <w:rPr>
          <w:rFonts w:ascii="Times New Roman" w:hAnsi="Times New Roman"/>
          <w:sz w:val="24"/>
          <w:szCs w:val="24"/>
        </w:rPr>
        <w:t xml:space="preserve"> completed by </w:t>
      </w:r>
      <w:r w:rsidR="00390A30">
        <w:rPr>
          <w:rFonts w:ascii="Times New Roman" w:hAnsi="Times New Roman"/>
          <w:sz w:val="24"/>
          <w:szCs w:val="24"/>
        </w:rPr>
        <w:t>s</w:t>
      </w:r>
      <w:r w:rsidRPr="00CB7E90">
        <w:rPr>
          <w:rFonts w:ascii="Times New Roman" w:hAnsi="Times New Roman"/>
          <w:sz w:val="24"/>
          <w:szCs w:val="24"/>
        </w:rPr>
        <w:t xml:space="preserve">tate, local, or tribal government agencies for </w:t>
      </w:r>
      <w:r w:rsidRPr="00CB7E90" w:rsidR="005570F9">
        <w:rPr>
          <w:rFonts w:ascii="Times New Roman" w:hAnsi="Times New Roman"/>
          <w:sz w:val="24"/>
          <w:szCs w:val="24"/>
        </w:rPr>
        <w:t>fatally injured</w:t>
      </w:r>
      <w:r w:rsidRPr="00CB7E90">
        <w:rPr>
          <w:rFonts w:ascii="Times New Roman" w:hAnsi="Times New Roman"/>
          <w:sz w:val="24"/>
          <w:szCs w:val="24"/>
        </w:rPr>
        <w:t xml:space="preserve"> employees.</w:t>
      </w:r>
    </w:p>
    <w:p w:rsidR="000B2CD7" w:rsidRPr="00CB7E90" w:rsidP="000B2CD7" w14:paraId="507DE40C" w14:textId="77777777">
      <w:pPr>
        <w:rPr>
          <w:rFonts w:ascii="Times New Roman" w:hAnsi="Times New Roman"/>
          <w:sz w:val="24"/>
          <w:szCs w:val="24"/>
        </w:rPr>
      </w:pPr>
    </w:p>
    <w:p w:rsidR="000B2CD7" w:rsidRPr="00CB7E90" w:rsidP="000B2CD7" w14:paraId="08A26F6A" w14:textId="2FCDD987">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We estimate </w:t>
      </w:r>
      <w:r w:rsidRPr="00EC59F0" w:rsidR="000A30E4">
        <w:rPr>
          <w:rFonts w:ascii="Times New Roman" w:hAnsi="Times New Roman"/>
          <w:sz w:val="24"/>
          <w:szCs w:val="24"/>
        </w:rPr>
        <w:t>2</w:t>
      </w:r>
      <w:r w:rsidR="005E20BA">
        <w:rPr>
          <w:rFonts w:ascii="Times New Roman" w:hAnsi="Times New Roman"/>
          <w:sz w:val="24"/>
          <w:szCs w:val="24"/>
        </w:rPr>
        <w:t>0</w:t>
      </w:r>
      <w:r w:rsidRPr="000A30E4" w:rsidR="00C246CB">
        <w:rPr>
          <w:rFonts w:ascii="Times New Roman" w:hAnsi="Times New Roman"/>
          <w:sz w:val="24"/>
          <w:szCs w:val="24"/>
        </w:rPr>
        <w:t xml:space="preserve"> </w:t>
      </w:r>
      <w:r w:rsidRPr="000A30E4">
        <w:rPr>
          <w:rFonts w:ascii="Times New Roman" w:hAnsi="Times New Roman"/>
          <w:sz w:val="24"/>
          <w:szCs w:val="24"/>
        </w:rPr>
        <w:t xml:space="preserve">responses to the </w:t>
      </w:r>
      <w:r w:rsidRPr="000A30E4" w:rsidR="00041358">
        <w:rPr>
          <w:rFonts w:ascii="Times New Roman" w:hAnsi="Times New Roman"/>
          <w:sz w:val="24"/>
          <w:szCs w:val="24"/>
        </w:rPr>
        <w:t>follow-back</w:t>
      </w:r>
      <w:r w:rsidRPr="000A30E4">
        <w:rPr>
          <w:rFonts w:ascii="Times New Roman" w:hAnsi="Times New Roman"/>
          <w:sz w:val="24"/>
          <w:szCs w:val="24"/>
        </w:rPr>
        <w:t xml:space="preserve"> questionnaires</w:t>
      </w:r>
      <w:r w:rsidRPr="00CB7E90">
        <w:rPr>
          <w:rFonts w:ascii="Times New Roman" w:hAnsi="Times New Roman"/>
          <w:sz w:val="24"/>
          <w:szCs w:val="24"/>
        </w:rPr>
        <w:t xml:space="preserve"> completed by </w:t>
      </w:r>
      <w:r w:rsidR="00390A30">
        <w:rPr>
          <w:rFonts w:ascii="Times New Roman" w:hAnsi="Times New Roman"/>
          <w:sz w:val="24"/>
          <w:szCs w:val="24"/>
        </w:rPr>
        <w:t>s</w:t>
      </w:r>
      <w:r w:rsidRPr="00CB7E90">
        <w:rPr>
          <w:rFonts w:ascii="Times New Roman" w:hAnsi="Times New Roman"/>
          <w:sz w:val="24"/>
          <w:szCs w:val="24"/>
        </w:rPr>
        <w:t xml:space="preserve">tate, local, or tribal government agencies for </w:t>
      </w:r>
      <w:r w:rsidRPr="00CB7E90" w:rsidR="005570F9">
        <w:rPr>
          <w:rFonts w:ascii="Times New Roman" w:hAnsi="Times New Roman"/>
          <w:sz w:val="24"/>
          <w:szCs w:val="24"/>
        </w:rPr>
        <w:t>fatally injured</w:t>
      </w:r>
      <w:r w:rsidRPr="00CB7E90">
        <w:rPr>
          <w:rFonts w:ascii="Times New Roman" w:hAnsi="Times New Roman"/>
          <w:sz w:val="24"/>
          <w:szCs w:val="24"/>
        </w:rPr>
        <w:t xml:space="preserve"> employees. </w:t>
      </w:r>
    </w:p>
    <w:p w:rsidR="000B2CD7" w:rsidRPr="00CB7E90" w:rsidP="000B2CD7" w14:paraId="5A98DAD2" w14:textId="77777777">
      <w:pPr>
        <w:rPr>
          <w:rFonts w:ascii="Times New Roman" w:hAnsi="Times New Roman"/>
          <w:sz w:val="24"/>
          <w:szCs w:val="24"/>
        </w:rPr>
      </w:pPr>
    </w:p>
    <w:p w:rsidR="000B2CD7" w:rsidRPr="00CB7E90" w:rsidP="000B2CD7" w14:paraId="350F95AA" w14:textId="0D5E744E">
      <w:pPr>
        <w:rPr>
          <w:rFonts w:ascii="Times New Roman" w:hAnsi="Times New Roman"/>
          <w:sz w:val="24"/>
          <w:szCs w:val="24"/>
        </w:rPr>
      </w:pPr>
      <w:r w:rsidRPr="00CB7E90">
        <w:rPr>
          <w:rFonts w:ascii="Times New Roman" w:hAnsi="Times New Roman"/>
          <w:i/>
          <w:sz w:val="24"/>
          <w:szCs w:val="24"/>
        </w:rPr>
        <w:t>Annual time and cost burden</w:t>
      </w:r>
      <w:r w:rsidRPr="00CB7E90">
        <w:rPr>
          <w:rFonts w:ascii="Times New Roman" w:hAnsi="Times New Roman"/>
          <w:sz w:val="24"/>
          <w:szCs w:val="24"/>
        </w:rPr>
        <w:t xml:space="preserve">: </w:t>
      </w:r>
      <w:r w:rsidRPr="003A7659">
        <w:rPr>
          <w:rFonts w:ascii="Times New Roman" w:hAnsi="Times New Roman"/>
          <w:sz w:val="24"/>
          <w:szCs w:val="24"/>
        </w:rPr>
        <w:t xml:space="preserve">State, local, and tribal government agencies undergo an estimated burden of roughly </w:t>
      </w:r>
      <w:r w:rsidRPr="00EC59F0" w:rsidR="000A30E4">
        <w:rPr>
          <w:rFonts w:ascii="Times New Roman" w:hAnsi="Times New Roman"/>
          <w:sz w:val="24"/>
          <w:szCs w:val="24"/>
        </w:rPr>
        <w:t>7</w:t>
      </w:r>
      <w:r w:rsidRPr="000A30E4">
        <w:rPr>
          <w:rFonts w:ascii="Times New Roman" w:hAnsi="Times New Roman"/>
          <w:sz w:val="24"/>
          <w:szCs w:val="24"/>
        </w:rPr>
        <w:t xml:space="preserve"> hours (</w:t>
      </w:r>
      <w:r w:rsidRPr="00EC59F0" w:rsidR="000A30E4">
        <w:rPr>
          <w:rFonts w:ascii="Times New Roman" w:hAnsi="Times New Roman"/>
          <w:sz w:val="24"/>
          <w:szCs w:val="24"/>
        </w:rPr>
        <w:t>2</w:t>
      </w:r>
      <w:r w:rsidR="005E20BA">
        <w:rPr>
          <w:rFonts w:ascii="Times New Roman" w:hAnsi="Times New Roman"/>
          <w:sz w:val="24"/>
          <w:szCs w:val="24"/>
        </w:rPr>
        <w:t>0</w:t>
      </w:r>
      <w:r w:rsidRPr="000A30E4">
        <w:rPr>
          <w:rFonts w:ascii="Times New Roman" w:hAnsi="Times New Roman"/>
          <w:sz w:val="24"/>
          <w:szCs w:val="24"/>
        </w:rPr>
        <w:t xml:space="preserve"> x 20 minutes)</w:t>
      </w:r>
      <w:r w:rsidRPr="003A7659">
        <w:rPr>
          <w:rFonts w:ascii="Times New Roman" w:hAnsi="Times New Roman"/>
          <w:sz w:val="24"/>
          <w:szCs w:val="24"/>
        </w:rPr>
        <w:t xml:space="preserve"> to respond to the </w:t>
      </w:r>
      <w:r w:rsidR="00041358">
        <w:rPr>
          <w:rFonts w:ascii="Times New Roman" w:hAnsi="Times New Roman"/>
          <w:sz w:val="24"/>
          <w:szCs w:val="24"/>
        </w:rPr>
        <w:t>follow-back</w:t>
      </w:r>
      <w:r w:rsidRPr="003A7659">
        <w:rPr>
          <w:rFonts w:ascii="Times New Roman" w:hAnsi="Times New Roman"/>
          <w:sz w:val="24"/>
          <w:szCs w:val="24"/>
        </w:rPr>
        <w:t xml:space="preserve"> questionnaires, for which the cost burden is estimated to </w:t>
      </w:r>
      <w:r w:rsidRPr="000A30E4">
        <w:rPr>
          <w:rFonts w:ascii="Times New Roman" w:hAnsi="Times New Roman"/>
          <w:sz w:val="24"/>
          <w:szCs w:val="24"/>
        </w:rPr>
        <w:t>be $</w:t>
      </w:r>
      <w:r w:rsidRPr="00EC59F0" w:rsidR="000A30E4">
        <w:rPr>
          <w:rFonts w:ascii="Times New Roman" w:hAnsi="Times New Roman"/>
          <w:sz w:val="24"/>
          <w:szCs w:val="24"/>
        </w:rPr>
        <w:t>507</w:t>
      </w:r>
      <w:r w:rsidRPr="000A30E4">
        <w:rPr>
          <w:rFonts w:ascii="Times New Roman" w:hAnsi="Times New Roman"/>
          <w:sz w:val="24"/>
          <w:szCs w:val="24"/>
        </w:rPr>
        <w:t xml:space="preserve"> annually</w:t>
      </w:r>
      <w:r w:rsidRPr="003A7659">
        <w:rPr>
          <w:rFonts w:ascii="Times New Roman" w:hAnsi="Times New Roman"/>
          <w:sz w:val="24"/>
          <w:szCs w:val="24"/>
        </w:rPr>
        <w:t xml:space="preserve">. This estimate is based on a total compensation rate of </w:t>
      </w:r>
      <w:r w:rsidRPr="00160170">
        <w:rPr>
          <w:rFonts w:ascii="Times New Roman" w:hAnsi="Times New Roman"/>
          <w:sz w:val="24"/>
          <w:szCs w:val="24"/>
        </w:rPr>
        <w:t>$</w:t>
      </w:r>
      <w:r w:rsidRPr="00EC59F0" w:rsidR="00160170">
        <w:rPr>
          <w:rFonts w:ascii="Times New Roman" w:hAnsi="Times New Roman"/>
          <w:sz w:val="24"/>
          <w:szCs w:val="24"/>
        </w:rPr>
        <w:t>72</w:t>
      </w:r>
      <w:r w:rsidRPr="00160170">
        <w:rPr>
          <w:rFonts w:ascii="Times New Roman" w:hAnsi="Times New Roman"/>
          <w:sz w:val="24"/>
          <w:szCs w:val="24"/>
        </w:rPr>
        <w:t>.</w:t>
      </w:r>
      <w:r w:rsidRPr="00EC59F0" w:rsidR="00160170">
        <w:rPr>
          <w:rFonts w:ascii="Times New Roman" w:hAnsi="Times New Roman"/>
          <w:sz w:val="24"/>
          <w:szCs w:val="24"/>
        </w:rPr>
        <w:t>47</w:t>
      </w:r>
      <w:r w:rsidRPr="00160170">
        <w:rPr>
          <w:rFonts w:ascii="Times New Roman" w:hAnsi="Times New Roman"/>
          <w:sz w:val="24"/>
          <w:szCs w:val="24"/>
        </w:rPr>
        <w:t xml:space="preserve"> per</w:t>
      </w:r>
      <w:r w:rsidRPr="003A7659">
        <w:rPr>
          <w:rFonts w:ascii="Times New Roman" w:hAnsi="Times New Roman"/>
          <w:sz w:val="24"/>
          <w:szCs w:val="24"/>
        </w:rPr>
        <w:t xml:space="preserve"> hour, which is the average hourly total compensation rate for all professional and related workers in </w:t>
      </w:r>
      <w:r w:rsidR="00390A30">
        <w:rPr>
          <w:rFonts w:ascii="Times New Roman" w:hAnsi="Times New Roman"/>
          <w:sz w:val="24"/>
          <w:szCs w:val="24"/>
        </w:rPr>
        <w:t>s</w:t>
      </w:r>
      <w:r w:rsidRPr="003A7659">
        <w:rPr>
          <w:rFonts w:ascii="Times New Roman" w:hAnsi="Times New Roman"/>
          <w:sz w:val="24"/>
          <w:szCs w:val="24"/>
        </w:rPr>
        <w:t>tate and local governmen</w:t>
      </w:r>
      <w:r w:rsidR="00C714CB">
        <w:rPr>
          <w:rFonts w:ascii="Times New Roman" w:hAnsi="Times New Roman"/>
          <w:sz w:val="24"/>
          <w:szCs w:val="24"/>
        </w:rPr>
        <w:t>t (</w:t>
      </w:r>
      <w:hyperlink r:id="rId9" w:history="1">
        <w:r w:rsidR="00C714CB">
          <w:rPr>
            <w:rStyle w:val="Hyperlink"/>
            <w:rFonts w:ascii="Times New Roman" w:hAnsi="Times New Roman"/>
            <w:sz w:val="24"/>
            <w:szCs w:val="24"/>
          </w:rPr>
          <w:t>National Compensation Survey, Employer Costs for Employee Compensation – September 2024, Table 3</w:t>
        </w:r>
      </w:hyperlink>
      <w:r w:rsidRPr="003A7659">
        <w:rPr>
          <w:rFonts w:ascii="Times New Roman" w:hAnsi="Times New Roman"/>
          <w:sz w:val="24"/>
          <w:szCs w:val="24"/>
        </w:rPr>
        <w:t>).</w:t>
      </w:r>
    </w:p>
    <w:p w:rsidR="000B2CD7" w:rsidRPr="00CB7E90" w:rsidP="000B2CD7" w14:paraId="31ED5966" w14:textId="77777777">
      <w:pPr>
        <w:rPr>
          <w:rFonts w:ascii="Times New Roman" w:hAnsi="Times New Roman"/>
          <w:sz w:val="24"/>
          <w:szCs w:val="24"/>
        </w:rPr>
      </w:pPr>
    </w:p>
    <w:p w:rsidR="000B2CD7" w:rsidRPr="00CB7E90" w:rsidP="000B2CD7" w14:paraId="798B7232" w14:textId="77777777">
      <w:pPr>
        <w:numPr>
          <w:ilvl w:val="0"/>
          <w:numId w:val="2"/>
        </w:numPr>
        <w:tabs>
          <w:tab w:val="clear" w:pos="360"/>
        </w:tabs>
        <w:ind w:left="90" w:hanging="90"/>
        <w:rPr>
          <w:rFonts w:ascii="Times New Roman" w:hAnsi="Times New Roman"/>
          <w:b/>
          <w:sz w:val="24"/>
          <w:szCs w:val="24"/>
        </w:rPr>
      </w:pPr>
      <w:r w:rsidRPr="00CB7E90">
        <w:rPr>
          <w:rFonts w:ascii="Times New Roman" w:hAnsi="Times New Roman"/>
          <w:b/>
          <w:sz w:val="24"/>
          <w:szCs w:val="24"/>
        </w:rPr>
        <w:t>Information Collection Request (ICR) Summary of Burden</w:t>
      </w:r>
    </w:p>
    <w:p w:rsidR="000B2CD7" w:rsidRPr="00CB7E90" w:rsidP="000B2CD7" w14:paraId="75A8E7B0" w14:textId="77777777">
      <w:pPr>
        <w:rPr>
          <w:rFonts w:ascii="Times New Roman" w:hAnsi="Times New Roman"/>
          <w:sz w:val="24"/>
          <w:szCs w:val="24"/>
        </w:rPr>
      </w:pPr>
    </w:p>
    <w:p w:rsidR="000B2CD7" w:rsidRPr="00CB7E90" w:rsidP="000B2CD7" w14:paraId="6BCD5122" w14:textId="3C6F3C2E">
      <w:pPr>
        <w:rPr>
          <w:rFonts w:ascii="Times New Roman" w:hAnsi="Times New Roman"/>
          <w:sz w:val="24"/>
          <w:szCs w:val="24"/>
        </w:rPr>
      </w:pPr>
      <w:r w:rsidRPr="00CB7E90">
        <w:rPr>
          <w:rFonts w:ascii="Times New Roman" w:hAnsi="Times New Roman"/>
          <w:sz w:val="24"/>
          <w:szCs w:val="24"/>
        </w:rPr>
        <w:t>The following tables summarize the estimated annual burden for the various types of submission and types of respondent</w:t>
      </w:r>
      <w:r w:rsidR="00F46663">
        <w:rPr>
          <w:rFonts w:ascii="Times New Roman" w:hAnsi="Times New Roman"/>
          <w:sz w:val="24"/>
          <w:szCs w:val="24"/>
        </w:rPr>
        <w:t>s</w:t>
      </w:r>
      <w:r w:rsidRPr="00CB7E90">
        <w:rPr>
          <w:rFonts w:ascii="Times New Roman" w:hAnsi="Times New Roman"/>
          <w:sz w:val="24"/>
          <w:szCs w:val="24"/>
        </w:rPr>
        <w:t>.</w:t>
      </w:r>
      <w:r w:rsidR="00D12BB4">
        <w:rPr>
          <w:rFonts w:ascii="Times New Roman" w:hAnsi="Times New Roman"/>
          <w:sz w:val="24"/>
          <w:szCs w:val="24"/>
        </w:rPr>
        <w:t xml:space="preserve"> </w:t>
      </w:r>
      <w:r w:rsidR="00F006DF">
        <w:rPr>
          <w:rFonts w:ascii="Times New Roman" w:hAnsi="Times New Roman"/>
          <w:sz w:val="24"/>
          <w:szCs w:val="24"/>
        </w:rPr>
        <w:t xml:space="preserve">Burden estimates </w:t>
      </w:r>
      <w:r w:rsidR="00D12BB4">
        <w:rPr>
          <w:rFonts w:ascii="Times New Roman" w:hAnsi="Times New Roman"/>
          <w:sz w:val="24"/>
          <w:szCs w:val="24"/>
        </w:rPr>
        <w:t xml:space="preserve">may not </w:t>
      </w:r>
      <w:r w:rsidR="00F006DF">
        <w:rPr>
          <w:rFonts w:ascii="Times New Roman" w:hAnsi="Times New Roman"/>
          <w:sz w:val="24"/>
          <w:szCs w:val="24"/>
        </w:rPr>
        <w:t>sum</w:t>
      </w:r>
      <w:r w:rsidR="00D12BB4">
        <w:rPr>
          <w:rFonts w:ascii="Times New Roman" w:hAnsi="Times New Roman"/>
          <w:sz w:val="24"/>
          <w:szCs w:val="24"/>
        </w:rPr>
        <w:t xml:space="preserve"> exactly due to rounding.</w:t>
      </w:r>
    </w:p>
    <w:p w:rsidR="000B2CD7" w:rsidRPr="00CB7E90" w:rsidP="000B2CD7" w14:paraId="3EAE6B7B" w14:textId="77777777">
      <w:pPr>
        <w:rPr>
          <w:rFonts w:ascii="Times New Roman" w:hAnsi="Times New Roman"/>
          <w:sz w:val="24"/>
          <w:szCs w:val="24"/>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196"/>
        <w:gridCol w:w="1232"/>
        <w:gridCol w:w="1082"/>
        <w:gridCol w:w="1169"/>
        <w:gridCol w:w="1258"/>
        <w:gridCol w:w="992"/>
        <w:gridCol w:w="1171"/>
      </w:tblGrid>
      <w:tr w14:paraId="68B22D49" w14:textId="77777777" w:rsidTr="00035855">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000" w:type="pct"/>
            <w:gridSpan w:val="8"/>
            <w:shd w:val="clear" w:color="auto" w:fill="A6A6A6"/>
          </w:tcPr>
          <w:p w:rsidR="00A86F00" w:rsidRPr="00CB7E90" w:rsidP="001D3150" w14:paraId="445E1757" w14:textId="7D60E299">
            <w:pPr>
              <w:jc w:val="center"/>
              <w:rPr>
                <w:rFonts w:ascii="Times New Roman" w:hAnsi="Times New Roman"/>
                <w:b/>
                <w:sz w:val="22"/>
              </w:rPr>
            </w:pPr>
            <w:r w:rsidRPr="00CB7E90">
              <w:rPr>
                <w:rFonts w:ascii="Times New Roman" w:hAnsi="Times New Roman"/>
                <w:b/>
                <w:sz w:val="22"/>
              </w:rPr>
              <w:t>Total burden by document type</w:t>
            </w:r>
          </w:p>
        </w:tc>
      </w:tr>
      <w:tr w14:paraId="02444837" w14:textId="77777777" w:rsidTr="000C5248">
        <w:tblPrEx>
          <w:tblW w:w="5051" w:type="pct"/>
          <w:tblLayout w:type="fixed"/>
          <w:tblLook w:val="01E0"/>
        </w:tblPrEx>
        <w:tc>
          <w:tcPr>
            <w:tcW w:w="712" w:type="pct"/>
            <w:shd w:val="clear" w:color="auto" w:fill="BFBFBF"/>
          </w:tcPr>
          <w:p w:rsidR="00A86F00" w:rsidRPr="00CB7E90" w:rsidP="001D3150" w14:paraId="16802AB4" w14:textId="77777777">
            <w:pPr>
              <w:jc w:val="center"/>
              <w:rPr>
                <w:rFonts w:ascii="Times New Roman" w:hAnsi="Times New Roman"/>
                <w:b/>
                <w:sz w:val="18"/>
              </w:rPr>
            </w:pPr>
            <w:r w:rsidRPr="00CB7E90">
              <w:rPr>
                <w:rFonts w:ascii="Times New Roman" w:hAnsi="Times New Roman"/>
                <w:b/>
                <w:sz w:val="18"/>
              </w:rPr>
              <w:t>Type of document</w:t>
            </w:r>
          </w:p>
        </w:tc>
        <w:tc>
          <w:tcPr>
            <w:tcW w:w="633" w:type="pct"/>
            <w:shd w:val="clear" w:color="auto" w:fill="BFBFBF"/>
          </w:tcPr>
          <w:p w:rsidR="00A86F00" w:rsidRPr="00CB7E90" w:rsidP="001D3150" w14:paraId="4DF3056B" w14:textId="37124C84">
            <w:pPr>
              <w:jc w:val="center"/>
              <w:rPr>
                <w:rFonts w:ascii="Times New Roman" w:hAnsi="Times New Roman"/>
                <w:b/>
                <w:sz w:val="18"/>
              </w:rPr>
            </w:pPr>
            <w:r>
              <w:rPr>
                <w:rFonts w:ascii="Times New Roman" w:hAnsi="Times New Roman"/>
                <w:b/>
                <w:sz w:val="18"/>
              </w:rPr>
              <w:t>No.</w:t>
            </w:r>
            <w:r w:rsidRPr="00CB7E90">
              <w:rPr>
                <w:rFonts w:ascii="Times New Roman" w:hAnsi="Times New Roman"/>
                <w:b/>
                <w:sz w:val="18"/>
              </w:rPr>
              <w:t xml:space="preserve"> of respondents</w:t>
            </w:r>
          </w:p>
        </w:tc>
        <w:tc>
          <w:tcPr>
            <w:tcW w:w="652" w:type="pct"/>
            <w:shd w:val="clear" w:color="auto" w:fill="BFBFBF"/>
          </w:tcPr>
          <w:p w:rsidR="00A86F00" w:rsidRPr="00CB7E90" w:rsidP="001D3150" w14:paraId="3FFF0A22" w14:textId="4E827C34">
            <w:pPr>
              <w:jc w:val="center"/>
              <w:rPr>
                <w:rFonts w:ascii="Times New Roman" w:hAnsi="Times New Roman"/>
                <w:b/>
                <w:sz w:val="18"/>
              </w:rPr>
            </w:pPr>
            <w:r>
              <w:rPr>
                <w:rFonts w:ascii="Times New Roman" w:hAnsi="Times New Roman"/>
                <w:b/>
                <w:sz w:val="18"/>
              </w:rPr>
              <w:t>No. of Responses per Respondent</w:t>
            </w:r>
          </w:p>
        </w:tc>
        <w:tc>
          <w:tcPr>
            <w:tcW w:w="573" w:type="pct"/>
            <w:shd w:val="clear" w:color="auto" w:fill="BFBFBF"/>
          </w:tcPr>
          <w:p w:rsidR="00A86F00" w:rsidRPr="00CB7E90" w:rsidP="001D3150" w14:paraId="7F23C564" w14:textId="540E3F5D">
            <w:pPr>
              <w:jc w:val="center"/>
              <w:rPr>
                <w:rFonts w:ascii="Times New Roman" w:hAnsi="Times New Roman"/>
                <w:b/>
                <w:sz w:val="18"/>
              </w:rPr>
            </w:pPr>
            <w:r>
              <w:rPr>
                <w:rFonts w:ascii="Times New Roman" w:hAnsi="Times New Roman"/>
                <w:b/>
                <w:sz w:val="18"/>
              </w:rPr>
              <w:t>Total Responses</w:t>
            </w:r>
          </w:p>
        </w:tc>
        <w:tc>
          <w:tcPr>
            <w:tcW w:w="619" w:type="pct"/>
            <w:shd w:val="clear" w:color="auto" w:fill="BFBFBF"/>
          </w:tcPr>
          <w:p w:rsidR="00A86F00" w:rsidRPr="00CB7E90" w:rsidP="002B4123" w14:paraId="522E507D" w14:textId="77777777">
            <w:pPr>
              <w:jc w:val="center"/>
              <w:rPr>
                <w:rFonts w:ascii="Times New Roman" w:hAnsi="Times New Roman"/>
                <w:b/>
                <w:sz w:val="18"/>
              </w:rPr>
            </w:pPr>
            <w:r w:rsidRPr="00CB7E90">
              <w:rPr>
                <w:rFonts w:ascii="Times New Roman" w:hAnsi="Times New Roman"/>
                <w:b/>
                <w:sz w:val="18"/>
              </w:rPr>
              <w:t>Average</w:t>
            </w:r>
          </w:p>
          <w:p w:rsidR="00A86F00" w:rsidRPr="00CB7E90" w:rsidP="002B4123" w14:paraId="41193B15" w14:textId="41A1C3B4">
            <w:pPr>
              <w:jc w:val="center"/>
              <w:rPr>
                <w:rFonts w:ascii="Times New Roman" w:hAnsi="Times New Roman"/>
                <w:b/>
                <w:sz w:val="18"/>
              </w:rPr>
            </w:pPr>
            <w:r>
              <w:rPr>
                <w:rFonts w:ascii="Times New Roman" w:hAnsi="Times New Roman"/>
                <w:b/>
                <w:sz w:val="18"/>
              </w:rPr>
              <w:t>Burden (Hours)</w:t>
            </w:r>
          </w:p>
        </w:tc>
        <w:tc>
          <w:tcPr>
            <w:tcW w:w="666" w:type="pct"/>
            <w:shd w:val="clear" w:color="auto" w:fill="BFBFBF"/>
          </w:tcPr>
          <w:p w:rsidR="00A86F00" w:rsidRPr="00CB7E90" w:rsidP="001D3150" w14:paraId="1A588045" w14:textId="23411D56">
            <w:pPr>
              <w:jc w:val="center"/>
              <w:rPr>
                <w:rFonts w:ascii="Times New Roman" w:hAnsi="Times New Roman"/>
                <w:b/>
                <w:sz w:val="18"/>
              </w:rPr>
            </w:pPr>
            <w:r>
              <w:rPr>
                <w:rFonts w:ascii="Times New Roman" w:hAnsi="Times New Roman"/>
                <w:b/>
                <w:sz w:val="18"/>
              </w:rPr>
              <w:t xml:space="preserve">Total </w:t>
            </w:r>
            <w:r w:rsidRPr="00CB7E90">
              <w:rPr>
                <w:rFonts w:ascii="Times New Roman" w:hAnsi="Times New Roman"/>
                <w:b/>
                <w:sz w:val="18"/>
              </w:rPr>
              <w:t>Burden</w:t>
            </w:r>
          </w:p>
          <w:p w:rsidR="00A86F00" w:rsidRPr="00CB7E90" w:rsidP="001D3150" w14:paraId="503DA31E" w14:textId="75DD9FF6">
            <w:pPr>
              <w:jc w:val="center"/>
              <w:rPr>
                <w:rFonts w:ascii="Times New Roman" w:hAnsi="Times New Roman"/>
                <w:b/>
                <w:sz w:val="18"/>
              </w:rPr>
            </w:pPr>
            <w:r>
              <w:rPr>
                <w:rFonts w:ascii="Times New Roman" w:hAnsi="Times New Roman"/>
                <w:b/>
                <w:sz w:val="18"/>
              </w:rPr>
              <w:t>(H</w:t>
            </w:r>
            <w:r w:rsidRPr="00CB7E90">
              <w:rPr>
                <w:rFonts w:ascii="Times New Roman" w:hAnsi="Times New Roman"/>
                <w:b/>
                <w:sz w:val="18"/>
              </w:rPr>
              <w:t>ours</w:t>
            </w:r>
            <w:r>
              <w:rPr>
                <w:rFonts w:ascii="Times New Roman" w:hAnsi="Times New Roman"/>
                <w:b/>
                <w:sz w:val="18"/>
              </w:rPr>
              <w:t>)</w:t>
            </w:r>
          </w:p>
        </w:tc>
        <w:tc>
          <w:tcPr>
            <w:tcW w:w="525" w:type="pct"/>
            <w:shd w:val="clear" w:color="auto" w:fill="BFBFBF"/>
          </w:tcPr>
          <w:p w:rsidR="00A86F00" w:rsidRPr="00CB7E90" w:rsidP="001D3150" w14:paraId="7EA9489A" w14:textId="2C640351">
            <w:pPr>
              <w:jc w:val="center"/>
              <w:rPr>
                <w:rFonts w:ascii="Times New Roman" w:hAnsi="Times New Roman"/>
                <w:b/>
                <w:sz w:val="18"/>
              </w:rPr>
            </w:pPr>
            <w:r>
              <w:rPr>
                <w:rFonts w:ascii="Times New Roman" w:hAnsi="Times New Roman"/>
                <w:b/>
                <w:sz w:val="18"/>
              </w:rPr>
              <w:t>Hourly Wage Rate</w:t>
            </w:r>
          </w:p>
        </w:tc>
        <w:tc>
          <w:tcPr>
            <w:tcW w:w="620" w:type="pct"/>
            <w:shd w:val="clear" w:color="auto" w:fill="BFBFBF"/>
          </w:tcPr>
          <w:p w:rsidR="00A86F00" w:rsidRPr="00CB7E90" w:rsidP="001D3150" w14:paraId="69F54AD2" w14:textId="2CE31941">
            <w:pPr>
              <w:jc w:val="center"/>
              <w:rPr>
                <w:rFonts w:ascii="Times New Roman" w:hAnsi="Times New Roman"/>
                <w:b/>
                <w:sz w:val="18"/>
              </w:rPr>
            </w:pPr>
            <w:r w:rsidRPr="00CB7E90">
              <w:rPr>
                <w:rFonts w:ascii="Times New Roman" w:hAnsi="Times New Roman"/>
                <w:b/>
                <w:sz w:val="18"/>
              </w:rPr>
              <w:t xml:space="preserve">Total </w:t>
            </w:r>
            <w:r>
              <w:rPr>
                <w:rFonts w:ascii="Times New Roman" w:hAnsi="Times New Roman"/>
                <w:b/>
                <w:sz w:val="18"/>
              </w:rPr>
              <w:t>B</w:t>
            </w:r>
            <w:r w:rsidRPr="00CB7E90">
              <w:rPr>
                <w:rFonts w:ascii="Times New Roman" w:hAnsi="Times New Roman"/>
                <w:b/>
                <w:sz w:val="18"/>
              </w:rPr>
              <w:t>urden</w:t>
            </w:r>
            <w:r>
              <w:rPr>
                <w:rFonts w:ascii="Times New Roman" w:hAnsi="Times New Roman"/>
                <w:b/>
                <w:sz w:val="18"/>
              </w:rPr>
              <w:t xml:space="preserve"> Cost</w:t>
            </w:r>
          </w:p>
        </w:tc>
      </w:tr>
      <w:tr w14:paraId="5FE80AA4" w14:textId="77777777" w:rsidTr="000C5248">
        <w:tblPrEx>
          <w:tblW w:w="5051" w:type="pct"/>
          <w:tblLayout w:type="fixed"/>
          <w:tblLook w:val="01E0"/>
        </w:tblPrEx>
        <w:trPr>
          <w:trHeight w:val="1088"/>
        </w:trPr>
        <w:tc>
          <w:tcPr>
            <w:tcW w:w="712" w:type="pct"/>
            <w:shd w:val="clear" w:color="auto" w:fill="FFFFFF"/>
          </w:tcPr>
          <w:p w:rsidR="00A86F00" w:rsidRPr="00CB7E90" w:rsidP="001D3150" w14:paraId="10930501" w14:textId="77777777">
            <w:pPr>
              <w:jc w:val="right"/>
              <w:rPr>
                <w:rFonts w:ascii="Times New Roman" w:hAnsi="Times New Roman"/>
              </w:rPr>
            </w:pPr>
            <w:r w:rsidRPr="00CB7E90">
              <w:rPr>
                <w:rFonts w:ascii="Times New Roman" w:hAnsi="Times New Roman"/>
              </w:rPr>
              <w:t>TOTAL</w:t>
            </w:r>
          </w:p>
          <w:p w:rsidR="00A86F00" w:rsidRPr="00CB7E90" w:rsidP="001D3150" w14:paraId="7333B27B" w14:textId="77777777">
            <w:pPr>
              <w:jc w:val="right"/>
              <w:rPr>
                <w:rFonts w:ascii="Times New Roman" w:hAnsi="Times New Roman"/>
              </w:rPr>
            </w:pPr>
            <w:r w:rsidRPr="00CB7E90">
              <w:rPr>
                <w:rFonts w:ascii="Times New Roman" w:hAnsi="Times New Roman"/>
              </w:rPr>
              <w:t>Form</w:t>
            </w:r>
            <w:r w:rsidRPr="00CB7E90">
              <w:rPr>
                <w:rFonts w:ascii="Times New Roman" w:hAnsi="Times New Roman"/>
              </w:rPr>
              <w:t xml:space="preserve"> BLS CFOI-1</w:t>
            </w:r>
          </w:p>
        </w:tc>
        <w:tc>
          <w:tcPr>
            <w:tcW w:w="633" w:type="pct"/>
            <w:shd w:val="clear" w:color="auto" w:fill="FFFFFF"/>
            <w:vAlign w:val="center"/>
          </w:tcPr>
          <w:p w:rsidR="00A86F00" w:rsidRPr="00CB7E90" w:rsidP="001D3150" w14:paraId="21531597" w14:textId="4B81ADA1">
            <w:pPr>
              <w:ind w:right="144"/>
              <w:jc w:val="right"/>
              <w:rPr>
                <w:rFonts w:ascii="Times New Roman" w:hAnsi="Times New Roman"/>
              </w:rPr>
            </w:pPr>
            <w:r>
              <w:rPr>
                <w:rFonts w:ascii="Times New Roman" w:hAnsi="Times New Roman"/>
              </w:rPr>
              <w:t>2</w:t>
            </w:r>
            <w:r w:rsidR="005E20BA">
              <w:rPr>
                <w:rFonts w:ascii="Times New Roman" w:hAnsi="Times New Roman"/>
              </w:rPr>
              <w:t>05</w:t>
            </w:r>
          </w:p>
        </w:tc>
        <w:tc>
          <w:tcPr>
            <w:tcW w:w="652" w:type="pct"/>
            <w:shd w:val="clear" w:color="auto" w:fill="FFFFFF"/>
            <w:vAlign w:val="center"/>
          </w:tcPr>
          <w:p w:rsidR="00A86F00" w:rsidP="00A86F00" w14:paraId="1942D7B1" w14:textId="1F4C9AD9">
            <w:pPr>
              <w:ind w:right="144"/>
              <w:jc w:val="center"/>
              <w:rPr>
                <w:rFonts w:ascii="Times New Roman" w:hAnsi="Times New Roman"/>
              </w:rPr>
            </w:pPr>
            <w:r>
              <w:rPr>
                <w:rFonts w:ascii="Times New Roman" w:hAnsi="Times New Roman"/>
              </w:rPr>
              <w:t>1</w:t>
            </w:r>
          </w:p>
        </w:tc>
        <w:tc>
          <w:tcPr>
            <w:tcW w:w="573" w:type="pct"/>
            <w:shd w:val="clear" w:color="auto" w:fill="FFFFFF"/>
            <w:vAlign w:val="center"/>
          </w:tcPr>
          <w:p w:rsidR="00A86F00" w:rsidRPr="00CB7E90" w:rsidP="001D3150" w14:paraId="0B7013E8" w14:textId="3F837F0C">
            <w:pPr>
              <w:ind w:right="144"/>
              <w:jc w:val="right"/>
              <w:rPr>
                <w:rFonts w:ascii="Times New Roman" w:hAnsi="Times New Roman"/>
              </w:rPr>
            </w:pPr>
            <w:r>
              <w:rPr>
                <w:rFonts w:ascii="Times New Roman" w:hAnsi="Times New Roman"/>
              </w:rPr>
              <w:t>2</w:t>
            </w:r>
            <w:r w:rsidR="005E20BA">
              <w:rPr>
                <w:rFonts w:ascii="Times New Roman" w:hAnsi="Times New Roman"/>
              </w:rPr>
              <w:t>05</w:t>
            </w:r>
          </w:p>
        </w:tc>
        <w:tc>
          <w:tcPr>
            <w:tcW w:w="619" w:type="pct"/>
            <w:shd w:val="clear" w:color="auto" w:fill="FFFFFF"/>
          </w:tcPr>
          <w:p w:rsidR="00A86F00" w:rsidRPr="00CB7E90" w:rsidP="002B4123" w14:paraId="79C3094F" w14:textId="77777777">
            <w:pPr>
              <w:ind w:right="144"/>
              <w:jc w:val="center"/>
              <w:rPr>
                <w:rFonts w:ascii="Times New Roman" w:hAnsi="Times New Roman"/>
              </w:rPr>
            </w:pPr>
            <w:r w:rsidRPr="00CB7E90">
              <w:rPr>
                <w:rFonts w:ascii="Times New Roman" w:hAnsi="Times New Roman"/>
              </w:rPr>
              <w:t>20 minutes</w:t>
            </w:r>
          </w:p>
          <w:p w:rsidR="00A86F00" w:rsidP="008C66FE" w14:paraId="0F04C75A" w14:textId="4A492173">
            <w:pPr>
              <w:ind w:right="144"/>
              <w:jc w:val="center"/>
              <w:rPr>
                <w:rFonts w:ascii="Times New Roman" w:hAnsi="Times New Roman"/>
              </w:rPr>
            </w:pPr>
            <w:r w:rsidRPr="00CB7E90">
              <w:rPr>
                <w:rFonts w:ascii="Times New Roman" w:hAnsi="Times New Roman"/>
              </w:rPr>
              <w:t>per document</w:t>
            </w:r>
          </w:p>
        </w:tc>
        <w:tc>
          <w:tcPr>
            <w:tcW w:w="666" w:type="pct"/>
            <w:shd w:val="clear" w:color="auto" w:fill="FFFFFF"/>
            <w:vAlign w:val="center"/>
          </w:tcPr>
          <w:p w:rsidR="00A86F00" w:rsidRPr="00CB7E90" w:rsidP="001D3150" w14:paraId="65B85AC9" w14:textId="6FD7558B">
            <w:pPr>
              <w:ind w:right="144"/>
              <w:jc w:val="right"/>
              <w:rPr>
                <w:rFonts w:ascii="Times New Roman" w:hAnsi="Times New Roman"/>
              </w:rPr>
            </w:pPr>
            <w:r>
              <w:rPr>
                <w:rFonts w:ascii="Times New Roman" w:hAnsi="Times New Roman"/>
              </w:rPr>
              <w:t>6</w:t>
            </w:r>
            <w:r w:rsidR="006A3A77">
              <w:rPr>
                <w:rFonts w:ascii="Times New Roman" w:hAnsi="Times New Roman"/>
              </w:rPr>
              <w:t>9</w:t>
            </w:r>
          </w:p>
        </w:tc>
        <w:tc>
          <w:tcPr>
            <w:tcW w:w="525" w:type="pct"/>
            <w:shd w:val="clear" w:color="auto" w:fill="FFFFFF"/>
            <w:vAlign w:val="center"/>
          </w:tcPr>
          <w:p w:rsidR="00A86F00" w:rsidRPr="00CB7E90" w:rsidP="00A86F00" w14:paraId="76349B30" w14:textId="3C6DED57">
            <w:pPr>
              <w:ind w:right="144"/>
              <w:jc w:val="center"/>
              <w:rPr>
                <w:rFonts w:ascii="Times New Roman" w:hAnsi="Times New Roman"/>
              </w:rPr>
            </w:pPr>
            <w:r>
              <w:rPr>
                <w:rFonts w:ascii="Times New Roman" w:hAnsi="Times New Roman"/>
              </w:rPr>
              <w:t>Var.</w:t>
            </w:r>
          </w:p>
        </w:tc>
        <w:tc>
          <w:tcPr>
            <w:tcW w:w="620" w:type="pct"/>
            <w:shd w:val="clear" w:color="auto" w:fill="FFFFFF"/>
            <w:vAlign w:val="center"/>
          </w:tcPr>
          <w:p w:rsidR="00A86F00" w:rsidRPr="00CB7E90" w:rsidP="003A7659" w14:paraId="79B640FC" w14:textId="412E3E77">
            <w:pPr>
              <w:ind w:right="144"/>
              <w:jc w:val="right"/>
              <w:rPr>
                <w:rFonts w:ascii="Times New Roman" w:hAnsi="Times New Roman"/>
              </w:rPr>
            </w:pPr>
            <w:r w:rsidRPr="00CB7E90">
              <w:rPr>
                <w:rFonts w:ascii="Times New Roman" w:hAnsi="Times New Roman"/>
              </w:rPr>
              <w:t xml:space="preserve">$ </w:t>
            </w:r>
            <w:r w:rsidR="00E434F3">
              <w:rPr>
                <w:rFonts w:ascii="Times New Roman" w:hAnsi="Times New Roman"/>
              </w:rPr>
              <w:t>4,458</w:t>
            </w:r>
          </w:p>
        </w:tc>
      </w:tr>
      <w:tr w14:paraId="1C516281" w14:textId="77777777" w:rsidTr="000C5248">
        <w:tblPrEx>
          <w:tblW w:w="5051" w:type="pct"/>
          <w:tblLayout w:type="fixed"/>
          <w:tblLook w:val="01E0"/>
        </w:tblPrEx>
        <w:tc>
          <w:tcPr>
            <w:tcW w:w="712" w:type="pct"/>
            <w:shd w:val="clear" w:color="auto" w:fill="FFFFFF"/>
          </w:tcPr>
          <w:p w:rsidR="00A86F00" w:rsidRPr="00CB7E90" w:rsidP="001D3150" w14:paraId="63ED2299" w14:textId="77777777">
            <w:pPr>
              <w:jc w:val="right"/>
              <w:rPr>
                <w:rFonts w:ascii="Times New Roman" w:hAnsi="Times New Roman"/>
              </w:rPr>
            </w:pPr>
            <w:r w:rsidRPr="00CB7E90">
              <w:rPr>
                <w:rFonts w:ascii="Times New Roman" w:hAnsi="Times New Roman"/>
              </w:rPr>
              <w:t>TOTAL</w:t>
            </w:r>
          </w:p>
          <w:p w:rsidR="00A86F00" w:rsidRPr="00CB7E90" w:rsidP="001D3150" w14:paraId="1B552C70" w14:textId="77777777">
            <w:pPr>
              <w:jc w:val="right"/>
              <w:rPr>
                <w:rFonts w:ascii="Times New Roman" w:hAnsi="Times New Roman"/>
              </w:rPr>
            </w:pPr>
            <w:r w:rsidRPr="00CB7E90">
              <w:rPr>
                <w:rFonts w:ascii="Times New Roman" w:hAnsi="Times New Roman"/>
              </w:rPr>
              <w:t>Source documents</w:t>
            </w:r>
          </w:p>
        </w:tc>
        <w:tc>
          <w:tcPr>
            <w:tcW w:w="633" w:type="pct"/>
            <w:shd w:val="clear" w:color="auto" w:fill="FFFFFF"/>
            <w:vAlign w:val="center"/>
          </w:tcPr>
          <w:p w:rsidR="00A86F00" w:rsidRPr="00CB7E90" w:rsidP="001D3150" w14:paraId="2D968AE6" w14:textId="77777777">
            <w:pPr>
              <w:ind w:right="144"/>
              <w:jc w:val="right"/>
              <w:rPr>
                <w:rFonts w:ascii="Times New Roman" w:hAnsi="Times New Roman"/>
              </w:rPr>
            </w:pPr>
            <w:r w:rsidRPr="00CB7E90">
              <w:rPr>
                <w:rFonts w:ascii="Times New Roman" w:hAnsi="Times New Roman"/>
              </w:rPr>
              <w:t>227</w:t>
            </w:r>
          </w:p>
        </w:tc>
        <w:tc>
          <w:tcPr>
            <w:tcW w:w="652" w:type="pct"/>
            <w:shd w:val="clear" w:color="auto" w:fill="FFFFFF"/>
            <w:vAlign w:val="center"/>
          </w:tcPr>
          <w:p w:rsidR="00A86F00" w:rsidP="00A86F00" w14:paraId="64D0A889" w14:textId="19B948A8">
            <w:pPr>
              <w:ind w:right="144"/>
              <w:jc w:val="center"/>
              <w:rPr>
                <w:rFonts w:ascii="Times New Roman" w:hAnsi="Times New Roman"/>
              </w:rPr>
            </w:pPr>
            <w:r>
              <w:rPr>
                <w:rFonts w:ascii="Times New Roman" w:hAnsi="Times New Roman"/>
              </w:rPr>
              <w:t>70</w:t>
            </w:r>
          </w:p>
        </w:tc>
        <w:tc>
          <w:tcPr>
            <w:tcW w:w="573" w:type="pct"/>
            <w:shd w:val="clear" w:color="auto" w:fill="FFFFFF"/>
            <w:vAlign w:val="center"/>
          </w:tcPr>
          <w:p w:rsidR="00A86F00" w:rsidRPr="00CB7E90" w:rsidP="003B6EC2" w14:paraId="035B549A" w14:textId="70F5BE3F">
            <w:pPr>
              <w:ind w:right="144"/>
              <w:jc w:val="right"/>
              <w:rPr>
                <w:rFonts w:ascii="Times New Roman" w:hAnsi="Times New Roman"/>
              </w:rPr>
            </w:pPr>
            <w:r>
              <w:rPr>
                <w:rFonts w:ascii="Times New Roman" w:hAnsi="Times New Roman"/>
              </w:rPr>
              <w:t>15,</w:t>
            </w:r>
            <w:r w:rsidR="006600AE">
              <w:rPr>
                <w:rFonts w:ascii="Times New Roman" w:hAnsi="Times New Roman"/>
              </w:rPr>
              <w:t>867</w:t>
            </w:r>
          </w:p>
        </w:tc>
        <w:tc>
          <w:tcPr>
            <w:tcW w:w="619" w:type="pct"/>
            <w:shd w:val="clear" w:color="auto" w:fill="FFFFFF"/>
          </w:tcPr>
          <w:p w:rsidR="00A86F00" w:rsidRPr="00CB7E90" w14:paraId="5C71D338" w14:textId="77777777">
            <w:pPr>
              <w:ind w:right="144"/>
              <w:jc w:val="center"/>
              <w:rPr>
                <w:rFonts w:ascii="Times New Roman" w:hAnsi="Times New Roman"/>
              </w:rPr>
            </w:pPr>
            <w:r w:rsidRPr="00CB7E90">
              <w:rPr>
                <w:rFonts w:ascii="Times New Roman" w:hAnsi="Times New Roman"/>
              </w:rPr>
              <w:t>10 minutes</w:t>
            </w:r>
          </w:p>
          <w:p w:rsidR="00A86F00" w:rsidRPr="00CB7E90" w:rsidP="008C66FE" w14:paraId="21289B3F" w14:textId="15C0EEED">
            <w:pPr>
              <w:ind w:right="144"/>
              <w:jc w:val="center"/>
              <w:rPr>
                <w:rFonts w:ascii="Times New Roman" w:hAnsi="Times New Roman"/>
              </w:rPr>
            </w:pPr>
            <w:r w:rsidRPr="00CB7E90">
              <w:rPr>
                <w:rFonts w:ascii="Times New Roman" w:hAnsi="Times New Roman"/>
              </w:rPr>
              <w:t>per document</w:t>
            </w:r>
          </w:p>
        </w:tc>
        <w:tc>
          <w:tcPr>
            <w:tcW w:w="666" w:type="pct"/>
            <w:shd w:val="clear" w:color="auto" w:fill="FFFFFF"/>
            <w:vAlign w:val="center"/>
          </w:tcPr>
          <w:p w:rsidR="00A86F00" w:rsidRPr="00CB7E90" w:rsidP="001D3150" w14:paraId="61C95084" w14:textId="71A1D875">
            <w:pPr>
              <w:ind w:right="144"/>
              <w:jc w:val="right"/>
              <w:rPr>
                <w:rFonts w:ascii="Times New Roman" w:hAnsi="Times New Roman"/>
              </w:rPr>
            </w:pPr>
            <w:r w:rsidRPr="00CB7E90">
              <w:rPr>
                <w:rFonts w:ascii="Times New Roman" w:hAnsi="Times New Roman"/>
              </w:rPr>
              <w:t>2,</w:t>
            </w:r>
            <w:r w:rsidR="006600AE">
              <w:rPr>
                <w:rFonts w:ascii="Times New Roman" w:hAnsi="Times New Roman"/>
              </w:rPr>
              <w:t>713</w:t>
            </w:r>
          </w:p>
        </w:tc>
        <w:tc>
          <w:tcPr>
            <w:tcW w:w="525" w:type="pct"/>
            <w:shd w:val="clear" w:color="auto" w:fill="FFFFFF"/>
            <w:vAlign w:val="center"/>
          </w:tcPr>
          <w:p w:rsidR="00A86F00" w:rsidRPr="002168F1" w:rsidP="00A86F00" w14:paraId="3A8F4FFC" w14:textId="32C12D84">
            <w:pPr>
              <w:ind w:right="144"/>
              <w:jc w:val="center"/>
              <w:rPr>
                <w:rFonts w:ascii="Times New Roman" w:hAnsi="Times New Roman"/>
              </w:rPr>
            </w:pPr>
            <w:r>
              <w:rPr>
                <w:rFonts w:ascii="Times New Roman" w:hAnsi="Times New Roman"/>
              </w:rPr>
              <w:t>Var.</w:t>
            </w:r>
          </w:p>
        </w:tc>
        <w:tc>
          <w:tcPr>
            <w:tcW w:w="620" w:type="pct"/>
            <w:shd w:val="clear" w:color="auto" w:fill="FFFFFF"/>
            <w:vAlign w:val="center"/>
          </w:tcPr>
          <w:p w:rsidR="00A86F00" w:rsidRPr="00CB7E90" w:rsidP="00D308B7" w14:paraId="65D7A13C" w14:textId="00A7698A">
            <w:pPr>
              <w:ind w:right="144"/>
              <w:jc w:val="right"/>
              <w:rPr>
                <w:rFonts w:ascii="Times New Roman" w:hAnsi="Times New Roman"/>
              </w:rPr>
            </w:pPr>
            <w:r w:rsidRPr="002168F1">
              <w:rPr>
                <w:rFonts w:ascii="Times New Roman" w:hAnsi="Times New Roman"/>
              </w:rPr>
              <w:t xml:space="preserve">$ </w:t>
            </w:r>
            <w:r>
              <w:rPr>
                <w:rFonts w:ascii="Times New Roman" w:hAnsi="Times New Roman"/>
              </w:rPr>
              <w:t>1</w:t>
            </w:r>
            <w:r w:rsidR="006600AE">
              <w:rPr>
                <w:rFonts w:ascii="Times New Roman" w:hAnsi="Times New Roman"/>
              </w:rPr>
              <w:t>2</w:t>
            </w:r>
            <w:r>
              <w:rPr>
                <w:rFonts w:ascii="Times New Roman" w:hAnsi="Times New Roman"/>
              </w:rPr>
              <w:t>1</w:t>
            </w:r>
            <w:r w:rsidRPr="002168F1">
              <w:rPr>
                <w:rFonts w:ascii="Times New Roman" w:hAnsi="Times New Roman"/>
              </w:rPr>
              <w:t>,</w:t>
            </w:r>
            <w:r w:rsidR="00053CA2">
              <w:rPr>
                <w:rFonts w:ascii="Times New Roman" w:hAnsi="Times New Roman"/>
              </w:rPr>
              <w:t>353</w:t>
            </w:r>
          </w:p>
        </w:tc>
      </w:tr>
      <w:tr w14:paraId="1111A97E" w14:textId="77777777" w:rsidTr="000C5248">
        <w:tblPrEx>
          <w:tblW w:w="5051" w:type="pct"/>
          <w:tblLayout w:type="fixed"/>
          <w:tblLook w:val="01E0"/>
        </w:tblPrEx>
        <w:tc>
          <w:tcPr>
            <w:tcW w:w="712" w:type="pct"/>
            <w:shd w:val="clear" w:color="auto" w:fill="D9D9D9"/>
          </w:tcPr>
          <w:p w:rsidR="00A86F00" w:rsidRPr="00CB7E90" w:rsidP="001025F4" w14:paraId="793CA1F6" w14:textId="77777777">
            <w:pPr>
              <w:jc w:val="right"/>
              <w:rPr>
                <w:rFonts w:ascii="Times New Roman" w:hAnsi="Times New Roman"/>
              </w:rPr>
            </w:pPr>
            <w:r w:rsidRPr="00CB7E90">
              <w:rPr>
                <w:rFonts w:ascii="Times New Roman" w:hAnsi="Times New Roman"/>
                <w:b/>
              </w:rPr>
              <w:t>TOTAL</w:t>
            </w:r>
          </w:p>
        </w:tc>
        <w:tc>
          <w:tcPr>
            <w:tcW w:w="633" w:type="pct"/>
            <w:shd w:val="clear" w:color="auto" w:fill="D9D9D9"/>
            <w:vAlign w:val="center"/>
          </w:tcPr>
          <w:p w:rsidR="00A86F00" w:rsidRPr="001C1E0A" w:rsidP="001025F4" w14:paraId="261E55ED" w14:textId="572A82A7">
            <w:pPr>
              <w:ind w:right="144"/>
              <w:jc w:val="right"/>
              <w:rPr>
                <w:rFonts w:ascii="Times New Roman" w:hAnsi="Times New Roman"/>
                <w:b/>
                <w:bCs/>
              </w:rPr>
            </w:pPr>
            <w:r>
              <w:rPr>
                <w:rFonts w:ascii="Times New Roman" w:hAnsi="Times New Roman"/>
                <w:b/>
                <w:bCs/>
              </w:rPr>
              <w:t>4</w:t>
            </w:r>
            <w:r w:rsidR="00EF2B17">
              <w:rPr>
                <w:rFonts w:ascii="Times New Roman" w:hAnsi="Times New Roman"/>
                <w:b/>
                <w:bCs/>
              </w:rPr>
              <w:t>32</w:t>
            </w:r>
          </w:p>
        </w:tc>
        <w:tc>
          <w:tcPr>
            <w:tcW w:w="652" w:type="pct"/>
            <w:shd w:val="clear" w:color="auto" w:fill="D9D9D9"/>
            <w:vAlign w:val="center"/>
          </w:tcPr>
          <w:p w:rsidR="00A86F00" w:rsidRPr="00CB7E90" w:rsidP="00A86F00" w14:paraId="7B9C7CC1" w14:textId="268A4491">
            <w:pPr>
              <w:ind w:right="144"/>
              <w:jc w:val="center"/>
              <w:rPr>
                <w:rFonts w:ascii="Times New Roman" w:hAnsi="Times New Roman"/>
                <w:b/>
              </w:rPr>
            </w:pPr>
          </w:p>
        </w:tc>
        <w:tc>
          <w:tcPr>
            <w:tcW w:w="573" w:type="pct"/>
            <w:shd w:val="clear" w:color="auto" w:fill="D9D9D9"/>
            <w:vAlign w:val="center"/>
          </w:tcPr>
          <w:p w:rsidR="00A86F00" w:rsidRPr="00CB7E90" w:rsidP="001025F4" w14:paraId="74D32CCD" w14:textId="58957DA5">
            <w:pPr>
              <w:ind w:right="144"/>
              <w:jc w:val="right"/>
              <w:rPr>
                <w:rFonts w:ascii="Times New Roman" w:hAnsi="Times New Roman"/>
              </w:rPr>
            </w:pPr>
            <w:r>
              <w:rPr>
                <w:rFonts w:ascii="Times New Roman" w:hAnsi="Times New Roman"/>
                <w:b/>
              </w:rPr>
              <w:t>16,</w:t>
            </w:r>
            <w:r w:rsidR="00EF2B17">
              <w:rPr>
                <w:rFonts w:ascii="Times New Roman" w:hAnsi="Times New Roman"/>
                <w:b/>
              </w:rPr>
              <w:t>072</w:t>
            </w:r>
          </w:p>
        </w:tc>
        <w:tc>
          <w:tcPr>
            <w:tcW w:w="619" w:type="pct"/>
            <w:shd w:val="clear" w:color="auto" w:fill="D9D9D9"/>
          </w:tcPr>
          <w:p w:rsidR="00A86F00" w:rsidP="001025F4" w14:paraId="6497BF67" w14:textId="77777777">
            <w:pPr>
              <w:ind w:right="144"/>
              <w:jc w:val="right"/>
              <w:rPr>
                <w:rFonts w:ascii="Times New Roman" w:hAnsi="Times New Roman"/>
                <w:b/>
              </w:rPr>
            </w:pPr>
          </w:p>
        </w:tc>
        <w:tc>
          <w:tcPr>
            <w:tcW w:w="666" w:type="pct"/>
            <w:shd w:val="clear" w:color="auto" w:fill="D9D9D9"/>
            <w:vAlign w:val="center"/>
          </w:tcPr>
          <w:p w:rsidR="00A86F00" w:rsidRPr="00CB7E90" w:rsidP="001025F4" w14:paraId="646AAE28" w14:textId="32F9B733">
            <w:pPr>
              <w:ind w:right="144"/>
              <w:jc w:val="right"/>
              <w:rPr>
                <w:rFonts w:ascii="Times New Roman" w:hAnsi="Times New Roman"/>
              </w:rPr>
            </w:pPr>
            <w:r>
              <w:rPr>
                <w:rFonts w:ascii="Times New Roman" w:hAnsi="Times New Roman"/>
                <w:b/>
              </w:rPr>
              <w:t>2</w:t>
            </w:r>
            <w:r w:rsidRPr="00CB7E90">
              <w:rPr>
                <w:rFonts w:ascii="Times New Roman" w:hAnsi="Times New Roman"/>
                <w:b/>
              </w:rPr>
              <w:t>,</w:t>
            </w:r>
            <w:r>
              <w:rPr>
                <w:rFonts w:ascii="Times New Roman" w:hAnsi="Times New Roman"/>
                <w:b/>
              </w:rPr>
              <w:t>7</w:t>
            </w:r>
            <w:r w:rsidR="00EF2B17">
              <w:rPr>
                <w:rFonts w:ascii="Times New Roman" w:hAnsi="Times New Roman"/>
                <w:b/>
              </w:rPr>
              <w:t>8</w:t>
            </w:r>
            <w:r w:rsidR="006A3A77">
              <w:rPr>
                <w:rFonts w:ascii="Times New Roman" w:hAnsi="Times New Roman"/>
                <w:b/>
              </w:rPr>
              <w:t>2</w:t>
            </w:r>
          </w:p>
        </w:tc>
        <w:tc>
          <w:tcPr>
            <w:tcW w:w="525" w:type="pct"/>
            <w:shd w:val="clear" w:color="auto" w:fill="D9D9D9"/>
          </w:tcPr>
          <w:p w:rsidR="00A86F00" w:rsidRPr="002168F1" w:rsidP="00D308B7" w14:paraId="3817DDF9" w14:textId="77777777">
            <w:pPr>
              <w:ind w:right="144"/>
              <w:jc w:val="right"/>
              <w:rPr>
                <w:rFonts w:ascii="Times New Roman" w:hAnsi="Times New Roman"/>
                <w:b/>
              </w:rPr>
            </w:pPr>
          </w:p>
        </w:tc>
        <w:tc>
          <w:tcPr>
            <w:tcW w:w="620" w:type="pct"/>
            <w:shd w:val="clear" w:color="auto" w:fill="D9D9D9"/>
            <w:vAlign w:val="center"/>
          </w:tcPr>
          <w:p w:rsidR="00A86F00" w:rsidRPr="00CB7E90" w:rsidP="00D308B7" w14:paraId="29252538" w14:textId="6F894941">
            <w:pPr>
              <w:ind w:right="144"/>
              <w:jc w:val="right"/>
              <w:rPr>
                <w:rFonts w:ascii="Times New Roman" w:hAnsi="Times New Roman"/>
              </w:rPr>
            </w:pPr>
            <w:r w:rsidRPr="002168F1">
              <w:rPr>
                <w:rFonts w:ascii="Times New Roman" w:hAnsi="Times New Roman"/>
                <w:b/>
              </w:rPr>
              <w:t xml:space="preserve">$ </w:t>
            </w:r>
            <w:r w:rsidR="00053CA2">
              <w:rPr>
                <w:rFonts w:ascii="Times New Roman" w:hAnsi="Times New Roman"/>
                <w:b/>
              </w:rPr>
              <w:t>12</w:t>
            </w:r>
            <w:r w:rsidR="00EF2B17">
              <w:rPr>
                <w:rFonts w:ascii="Times New Roman" w:hAnsi="Times New Roman"/>
                <w:b/>
              </w:rPr>
              <w:t>5</w:t>
            </w:r>
            <w:r w:rsidR="00053CA2">
              <w:rPr>
                <w:rFonts w:ascii="Times New Roman" w:hAnsi="Times New Roman"/>
                <w:b/>
              </w:rPr>
              <w:t>,</w:t>
            </w:r>
            <w:r w:rsidR="00EF2B17">
              <w:rPr>
                <w:rFonts w:ascii="Times New Roman" w:hAnsi="Times New Roman"/>
                <w:b/>
              </w:rPr>
              <w:t>811</w:t>
            </w:r>
          </w:p>
        </w:tc>
      </w:tr>
    </w:tbl>
    <w:p w:rsidR="000B2CD7" w:rsidRPr="00CB7E90" w:rsidP="000B2CD7" w14:paraId="6D9FF993" w14:textId="16F1A1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1291"/>
        <w:gridCol w:w="1271"/>
        <w:gridCol w:w="1151"/>
        <w:gridCol w:w="1149"/>
        <w:gridCol w:w="816"/>
        <w:gridCol w:w="911"/>
        <w:gridCol w:w="1511"/>
      </w:tblGrid>
      <w:tr w14:paraId="1977902F" w14:textId="77777777" w:rsidTr="00A05E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8"/>
            <w:shd w:val="clear" w:color="auto" w:fill="A6A6A6"/>
          </w:tcPr>
          <w:p w:rsidR="003C0DB8" w:rsidRPr="00CB7E90" w:rsidP="001D3150" w14:paraId="18D72822" w14:textId="6142C115">
            <w:pPr>
              <w:ind w:right="144"/>
              <w:jc w:val="center"/>
              <w:rPr>
                <w:rFonts w:ascii="Times New Roman" w:hAnsi="Times New Roman"/>
                <w:b/>
                <w:sz w:val="22"/>
              </w:rPr>
            </w:pPr>
            <w:r w:rsidRPr="00CB7E90">
              <w:rPr>
                <w:rFonts w:ascii="Times New Roman" w:hAnsi="Times New Roman"/>
                <w:b/>
                <w:sz w:val="22"/>
              </w:rPr>
              <w:t xml:space="preserve">Total burden by </w:t>
            </w:r>
            <w:r w:rsidR="00597C9D">
              <w:rPr>
                <w:rFonts w:ascii="Times New Roman" w:hAnsi="Times New Roman"/>
                <w:b/>
                <w:sz w:val="22"/>
              </w:rPr>
              <w:t>respondent</w:t>
            </w:r>
            <w:r w:rsidRPr="00CB7E90">
              <w:rPr>
                <w:rFonts w:ascii="Times New Roman" w:hAnsi="Times New Roman"/>
                <w:b/>
                <w:sz w:val="22"/>
              </w:rPr>
              <w:t xml:space="preserve"> type</w:t>
            </w:r>
          </w:p>
        </w:tc>
      </w:tr>
      <w:tr w14:paraId="3B5A73D4" w14:textId="77777777" w:rsidTr="00A05E4B">
        <w:tblPrEx>
          <w:tblW w:w="5000" w:type="pct"/>
          <w:tblLook w:val="01E0"/>
        </w:tblPrEx>
        <w:tc>
          <w:tcPr>
            <w:tcW w:w="716" w:type="pct"/>
            <w:shd w:val="clear" w:color="auto" w:fill="BFBFBF"/>
          </w:tcPr>
          <w:p w:rsidR="003C0DB8" w:rsidRPr="00CB7E90" w:rsidP="003C0DB8" w14:paraId="1AE32CE6" w14:textId="77777777">
            <w:pPr>
              <w:jc w:val="center"/>
              <w:rPr>
                <w:rFonts w:ascii="Times New Roman" w:hAnsi="Times New Roman"/>
                <w:sz w:val="18"/>
              </w:rPr>
            </w:pPr>
            <w:r w:rsidRPr="00CB7E90">
              <w:rPr>
                <w:rFonts w:ascii="Times New Roman" w:hAnsi="Times New Roman"/>
                <w:b/>
                <w:sz w:val="18"/>
              </w:rPr>
              <w:t>Type of respondent</w:t>
            </w:r>
          </w:p>
        </w:tc>
        <w:tc>
          <w:tcPr>
            <w:tcW w:w="632" w:type="pct"/>
            <w:shd w:val="clear" w:color="auto" w:fill="BFBFBF"/>
          </w:tcPr>
          <w:p w:rsidR="003C0DB8" w:rsidRPr="00CB7E90" w:rsidP="003C0DB8" w14:paraId="183E3485" w14:textId="71497485">
            <w:pPr>
              <w:ind w:right="144"/>
              <w:jc w:val="center"/>
              <w:rPr>
                <w:rFonts w:ascii="Times New Roman" w:hAnsi="Times New Roman"/>
                <w:sz w:val="18"/>
              </w:rPr>
            </w:pPr>
            <w:r>
              <w:rPr>
                <w:rFonts w:ascii="Times New Roman" w:hAnsi="Times New Roman"/>
                <w:b/>
                <w:sz w:val="18"/>
              </w:rPr>
              <w:t>No.</w:t>
            </w:r>
            <w:r w:rsidRPr="00CB7E90">
              <w:rPr>
                <w:rFonts w:ascii="Times New Roman" w:hAnsi="Times New Roman"/>
                <w:b/>
                <w:sz w:val="18"/>
              </w:rPr>
              <w:t xml:space="preserve"> of respondents</w:t>
            </w:r>
          </w:p>
        </w:tc>
        <w:tc>
          <w:tcPr>
            <w:tcW w:w="631" w:type="pct"/>
            <w:shd w:val="clear" w:color="auto" w:fill="BFBFBF"/>
          </w:tcPr>
          <w:p w:rsidR="003C0DB8" w:rsidRPr="00CB7E90" w:rsidP="003C0DB8" w14:paraId="475850E2" w14:textId="3685776D">
            <w:pPr>
              <w:ind w:right="144"/>
              <w:jc w:val="center"/>
              <w:rPr>
                <w:rFonts w:ascii="Times New Roman" w:hAnsi="Times New Roman"/>
                <w:b/>
                <w:sz w:val="18"/>
              </w:rPr>
            </w:pPr>
            <w:r>
              <w:rPr>
                <w:rFonts w:ascii="Times New Roman" w:hAnsi="Times New Roman"/>
                <w:b/>
                <w:sz w:val="18"/>
              </w:rPr>
              <w:t>No. of Responses per Respondent</w:t>
            </w:r>
          </w:p>
        </w:tc>
        <w:tc>
          <w:tcPr>
            <w:tcW w:w="548" w:type="pct"/>
            <w:shd w:val="clear" w:color="auto" w:fill="BFBFBF"/>
          </w:tcPr>
          <w:p w:rsidR="003C0DB8" w:rsidRPr="00CB7E90" w:rsidP="003C0DB8" w14:paraId="2571984D" w14:textId="6B00B4BA">
            <w:pPr>
              <w:ind w:right="144"/>
              <w:jc w:val="center"/>
              <w:rPr>
                <w:rFonts w:ascii="Times New Roman" w:hAnsi="Times New Roman"/>
                <w:sz w:val="18"/>
              </w:rPr>
            </w:pPr>
            <w:r>
              <w:rPr>
                <w:rFonts w:ascii="Times New Roman" w:hAnsi="Times New Roman"/>
                <w:b/>
                <w:sz w:val="18"/>
              </w:rPr>
              <w:t>Total Responses</w:t>
            </w:r>
          </w:p>
        </w:tc>
        <w:tc>
          <w:tcPr>
            <w:tcW w:w="642" w:type="pct"/>
            <w:shd w:val="clear" w:color="auto" w:fill="BFBFBF"/>
          </w:tcPr>
          <w:p w:rsidR="003C0DB8" w:rsidRPr="00CB7E90" w:rsidP="003C0DB8" w14:paraId="3974E15B" w14:textId="77777777">
            <w:pPr>
              <w:jc w:val="center"/>
              <w:rPr>
                <w:rFonts w:ascii="Times New Roman" w:hAnsi="Times New Roman"/>
                <w:b/>
                <w:sz w:val="18"/>
              </w:rPr>
            </w:pPr>
            <w:r w:rsidRPr="00CB7E90">
              <w:rPr>
                <w:rFonts w:ascii="Times New Roman" w:hAnsi="Times New Roman"/>
                <w:b/>
                <w:sz w:val="18"/>
              </w:rPr>
              <w:t>Average</w:t>
            </w:r>
          </w:p>
          <w:p w:rsidR="003C0DB8" w:rsidRPr="00CB7E90" w:rsidP="003C0DB8" w14:paraId="4BDC63D4" w14:textId="53F632B4">
            <w:pPr>
              <w:jc w:val="center"/>
              <w:rPr>
                <w:rFonts w:ascii="Times New Roman" w:hAnsi="Times New Roman"/>
                <w:b/>
                <w:sz w:val="18"/>
              </w:rPr>
            </w:pPr>
            <w:r>
              <w:rPr>
                <w:rFonts w:ascii="Times New Roman" w:hAnsi="Times New Roman"/>
                <w:b/>
                <w:sz w:val="18"/>
              </w:rPr>
              <w:t>Burden (Hours)</w:t>
            </w:r>
          </w:p>
        </w:tc>
        <w:tc>
          <w:tcPr>
            <w:tcW w:w="507" w:type="pct"/>
            <w:shd w:val="clear" w:color="auto" w:fill="BFBFBF"/>
          </w:tcPr>
          <w:p w:rsidR="003C0DB8" w:rsidRPr="00CB7E90" w:rsidP="003C0DB8" w14:paraId="61191AF4" w14:textId="77777777">
            <w:pPr>
              <w:jc w:val="center"/>
              <w:rPr>
                <w:rFonts w:ascii="Times New Roman" w:hAnsi="Times New Roman"/>
                <w:b/>
                <w:sz w:val="18"/>
              </w:rPr>
            </w:pPr>
            <w:r>
              <w:rPr>
                <w:rFonts w:ascii="Times New Roman" w:hAnsi="Times New Roman"/>
                <w:b/>
                <w:sz w:val="18"/>
              </w:rPr>
              <w:t xml:space="preserve">Total </w:t>
            </w:r>
            <w:r w:rsidRPr="00CB7E90">
              <w:rPr>
                <w:rFonts w:ascii="Times New Roman" w:hAnsi="Times New Roman"/>
                <w:b/>
                <w:sz w:val="18"/>
              </w:rPr>
              <w:t>Burden</w:t>
            </w:r>
          </w:p>
          <w:p w:rsidR="003C0DB8" w:rsidRPr="00CB7E90" w:rsidP="003C0DB8" w14:paraId="3B22A341" w14:textId="1B2BF9A1">
            <w:pPr>
              <w:jc w:val="center"/>
              <w:rPr>
                <w:rFonts w:ascii="Times New Roman" w:hAnsi="Times New Roman"/>
                <w:sz w:val="18"/>
              </w:rPr>
            </w:pPr>
            <w:r>
              <w:rPr>
                <w:rFonts w:ascii="Times New Roman" w:hAnsi="Times New Roman"/>
                <w:b/>
                <w:sz w:val="18"/>
              </w:rPr>
              <w:t>(H</w:t>
            </w:r>
            <w:r w:rsidRPr="00CB7E90">
              <w:rPr>
                <w:rFonts w:ascii="Times New Roman" w:hAnsi="Times New Roman"/>
                <w:b/>
                <w:sz w:val="18"/>
              </w:rPr>
              <w:t>ours</w:t>
            </w:r>
            <w:r>
              <w:rPr>
                <w:rFonts w:ascii="Times New Roman" w:hAnsi="Times New Roman"/>
                <w:b/>
                <w:sz w:val="18"/>
              </w:rPr>
              <w:t>)</w:t>
            </w:r>
          </w:p>
        </w:tc>
        <w:tc>
          <w:tcPr>
            <w:tcW w:w="464" w:type="pct"/>
            <w:tcBorders>
              <w:bottom w:val="single" w:sz="4" w:space="0" w:color="auto"/>
            </w:tcBorders>
            <w:shd w:val="clear" w:color="auto" w:fill="BFBFBF"/>
          </w:tcPr>
          <w:p w:rsidR="003C0DB8" w:rsidRPr="00CB7E90" w:rsidP="003C0DB8" w14:paraId="3ADDD2A6" w14:textId="6C6BF325">
            <w:pPr>
              <w:ind w:right="144"/>
              <w:jc w:val="center"/>
              <w:rPr>
                <w:rFonts w:ascii="Times New Roman" w:hAnsi="Times New Roman"/>
                <w:sz w:val="18"/>
              </w:rPr>
            </w:pPr>
            <w:r>
              <w:rPr>
                <w:rFonts w:ascii="Times New Roman" w:hAnsi="Times New Roman"/>
                <w:b/>
                <w:sz w:val="18"/>
              </w:rPr>
              <w:t>Hourly Wage Rate</w:t>
            </w:r>
          </w:p>
        </w:tc>
        <w:tc>
          <w:tcPr>
            <w:tcW w:w="860" w:type="pct"/>
            <w:shd w:val="clear" w:color="auto" w:fill="BFBFBF"/>
          </w:tcPr>
          <w:p w:rsidR="003C0DB8" w:rsidRPr="00CB7E90" w:rsidP="003C0DB8" w14:paraId="6AE70291" w14:textId="4D0C8AF8">
            <w:pPr>
              <w:ind w:right="144"/>
              <w:jc w:val="center"/>
              <w:rPr>
                <w:rFonts w:ascii="Times New Roman" w:hAnsi="Times New Roman"/>
                <w:sz w:val="18"/>
              </w:rPr>
            </w:pPr>
            <w:r w:rsidRPr="00CB7E90">
              <w:rPr>
                <w:rFonts w:ascii="Times New Roman" w:hAnsi="Times New Roman"/>
                <w:b/>
                <w:sz w:val="18"/>
              </w:rPr>
              <w:t xml:space="preserve">Total </w:t>
            </w:r>
            <w:r>
              <w:rPr>
                <w:rFonts w:ascii="Times New Roman" w:hAnsi="Times New Roman"/>
                <w:b/>
                <w:sz w:val="18"/>
              </w:rPr>
              <w:t>B</w:t>
            </w:r>
            <w:r w:rsidRPr="00CB7E90">
              <w:rPr>
                <w:rFonts w:ascii="Times New Roman" w:hAnsi="Times New Roman"/>
                <w:b/>
                <w:sz w:val="18"/>
              </w:rPr>
              <w:t>urden</w:t>
            </w:r>
            <w:r>
              <w:rPr>
                <w:rFonts w:ascii="Times New Roman" w:hAnsi="Times New Roman"/>
                <w:b/>
                <w:sz w:val="18"/>
              </w:rPr>
              <w:t xml:space="preserve"> Cost</w:t>
            </w:r>
          </w:p>
        </w:tc>
      </w:tr>
      <w:tr w14:paraId="393F2585" w14:textId="77777777" w:rsidTr="00A05E4B">
        <w:tblPrEx>
          <w:tblW w:w="5000" w:type="pct"/>
          <w:tblLook w:val="01E0"/>
        </w:tblPrEx>
        <w:tc>
          <w:tcPr>
            <w:tcW w:w="716" w:type="pct"/>
          </w:tcPr>
          <w:p w:rsidR="003C0DB8" w:rsidRPr="00CB7E90" w:rsidP="00F04917" w14:paraId="4871B5D5" w14:textId="77777777">
            <w:pPr>
              <w:rPr>
                <w:rFonts w:ascii="Times New Roman" w:hAnsi="Times New Roman"/>
              </w:rPr>
            </w:pPr>
            <w:r w:rsidRPr="00CB7E90">
              <w:rPr>
                <w:rFonts w:ascii="Times New Roman" w:hAnsi="Times New Roman"/>
              </w:rPr>
              <w:t>Federal government</w:t>
            </w:r>
          </w:p>
          <w:p w:rsidR="003C0DB8" w:rsidRPr="00CB7E90" w:rsidP="00F04917" w14:paraId="4D597C54" w14:textId="77777777">
            <w:pPr>
              <w:rPr>
                <w:rFonts w:ascii="Times New Roman" w:hAnsi="Times New Roman"/>
              </w:rPr>
            </w:pPr>
            <w:r w:rsidRPr="00CB7E90">
              <w:rPr>
                <w:rFonts w:ascii="Times New Roman" w:hAnsi="Times New Roman"/>
              </w:rPr>
              <w:t xml:space="preserve">     -Form BLS CFOI-1</w:t>
            </w:r>
          </w:p>
        </w:tc>
        <w:tc>
          <w:tcPr>
            <w:tcW w:w="632" w:type="pct"/>
            <w:vAlign w:val="center"/>
          </w:tcPr>
          <w:p w:rsidR="003C0DB8" w:rsidRPr="00CB7E90" w:rsidP="00F04917" w14:paraId="7D037515" w14:textId="03DA01A3">
            <w:pPr>
              <w:ind w:right="144"/>
              <w:jc w:val="right"/>
              <w:rPr>
                <w:rFonts w:ascii="Times New Roman" w:hAnsi="Times New Roman"/>
              </w:rPr>
            </w:pPr>
            <w:r>
              <w:rPr>
                <w:rFonts w:ascii="Times New Roman" w:hAnsi="Times New Roman"/>
              </w:rPr>
              <w:t>2</w:t>
            </w:r>
          </w:p>
        </w:tc>
        <w:tc>
          <w:tcPr>
            <w:tcW w:w="631" w:type="pct"/>
            <w:vAlign w:val="center"/>
          </w:tcPr>
          <w:p w:rsidR="003C0DB8" w:rsidP="003C0DB8" w14:paraId="53C282D0" w14:textId="4AF6C28E">
            <w:pPr>
              <w:ind w:right="144"/>
              <w:jc w:val="center"/>
              <w:rPr>
                <w:rFonts w:ascii="Times New Roman" w:hAnsi="Times New Roman"/>
              </w:rPr>
            </w:pPr>
            <w:r>
              <w:rPr>
                <w:rFonts w:ascii="Times New Roman" w:hAnsi="Times New Roman"/>
              </w:rPr>
              <w:t>1</w:t>
            </w:r>
          </w:p>
        </w:tc>
        <w:tc>
          <w:tcPr>
            <w:tcW w:w="548" w:type="pct"/>
            <w:vAlign w:val="center"/>
          </w:tcPr>
          <w:p w:rsidR="003C0DB8" w:rsidRPr="00CB7E90" w:rsidP="00F04917" w14:paraId="08AFAD47" w14:textId="2223D581">
            <w:pPr>
              <w:ind w:right="144"/>
              <w:jc w:val="right"/>
              <w:rPr>
                <w:rFonts w:ascii="Times New Roman" w:hAnsi="Times New Roman"/>
              </w:rPr>
            </w:pPr>
            <w:r>
              <w:rPr>
                <w:rFonts w:ascii="Times New Roman" w:hAnsi="Times New Roman"/>
              </w:rPr>
              <w:t>2</w:t>
            </w:r>
          </w:p>
        </w:tc>
        <w:tc>
          <w:tcPr>
            <w:tcW w:w="642" w:type="pct"/>
            <w:vAlign w:val="center"/>
          </w:tcPr>
          <w:p w:rsidR="003C0DB8" w:rsidRPr="00CB7E90" w:rsidP="00F04917" w14:paraId="5378914D" w14:textId="77777777">
            <w:pPr>
              <w:ind w:right="144"/>
              <w:jc w:val="center"/>
              <w:rPr>
                <w:rFonts w:ascii="Times New Roman" w:hAnsi="Times New Roman"/>
              </w:rPr>
            </w:pPr>
            <w:r w:rsidRPr="00CB7E90">
              <w:rPr>
                <w:rFonts w:ascii="Times New Roman" w:hAnsi="Times New Roman"/>
              </w:rPr>
              <w:t>20 minutes</w:t>
            </w:r>
          </w:p>
          <w:p w:rsidR="003C0DB8" w:rsidP="008C66FE" w14:paraId="010151EF" w14:textId="536B1AB4">
            <w:pPr>
              <w:ind w:right="144"/>
              <w:jc w:val="center"/>
              <w:rPr>
                <w:rFonts w:ascii="Times New Roman" w:hAnsi="Times New Roman"/>
              </w:rPr>
            </w:pPr>
            <w:r w:rsidRPr="00CB7E90">
              <w:rPr>
                <w:rFonts w:ascii="Times New Roman" w:hAnsi="Times New Roman"/>
              </w:rPr>
              <w:t>per document</w:t>
            </w:r>
          </w:p>
        </w:tc>
        <w:tc>
          <w:tcPr>
            <w:tcW w:w="507" w:type="pct"/>
            <w:vAlign w:val="center"/>
          </w:tcPr>
          <w:p w:rsidR="003C0DB8" w:rsidRPr="00CB7E90" w:rsidP="00F04917" w14:paraId="56974001" w14:textId="509A2C28">
            <w:pPr>
              <w:ind w:right="144"/>
              <w:jc w:val="right"/>
              <w:rPr>
                <w:rFonts w:ascii="Times New Roman" w:hAnsi="Times New Roman"/>
              </w:rPr>
            </w:pPr>
            <w:r>
              <w:rPr>
                <w:rFonts w:ascii="Times New Roman" w:hAnsi="Times New Roman"/>
              </w:rPr>
              <w:t>.66</w:t>
            </w:r>
          </w:p>
        </w:tc>
        <w:tc>
          <w:tcPr>
            <w:tcW w:w="464" w:type="pct"/>
            <w:vAlign w:val="center"/>
          </w:tcPr>
          <w:p w:rsidR="003C0DB8" w:rsidRPr="00CB7E90" w:rsidP="00D308B7" w14:paraId="436A4117" w14:textId="796C85B1">
            <w:pPr>
              <w:ind w:right="144"/>
              <w:jc w:val="center"/>
              <w:rPr>
                <w:rFonts w:ascii="Times New Roman" w:hAnsi="Times New Roman"/>
              </w:rPr>
            </w:pPr>
            <w:r>
              <w:rPr>
                <w:rFonts w:ascii="Times New Roman" w:hAnsi="Times New Roman"/>
              </w:rPr>
              <w:t>$</w:t>
            </w:r>
            <w:r w:rsidR="00544EA1">
              <w:rPr>
                <w:rFonts w:ascii="Times New Roman" w:hAnsi="Times New Roman"/>
              </w:rPr>
              <w:t>62.31</w:t>
            </w:r>
          </w:p>
        </w:tc>
        <w:tc>
          <w:tcPr>
            <w:tcW w:w="860" w:type="pct"/>
            <w:vAlign w:val="center"/>
          </w:tcPr>
          <w:p w:rsidR="003C0DB8" w:rsidRPr="00CB7E90" w14:paraId="5E4FDF87" w14:textId="172F6FAB">
            <w:pPr>
              <w:ind w:right="144"/>
              <w:jc w:val="right"/>
              <w:rPr>
                <w:rFonts w:ascii="Times New Roman" w:hAnsi="Times New Roman"/>
              </w:rPr>
            </w:pPr>
            <w:r w:rsidRPr="00CB7E90">
              <w:rPr>
                <w:rFonts w:ascii="Times New Roman" w:hAnsi="Times New Roman"/>
              </w:rPr>
              <w:t xml:space="preserve">$ </w:t>
            </w:r>
            <w:r w:rsidR="00544EA1">
              <w:rPr>
                <w:rFonts w:ascii="Times New Roman" w:hAnsi="Times New Roman"/>
              </w:rPr>
              <w:t>41</w:t>
            </w:r>
          </w:p>
        </w:tc>
      </w:tr>
      <w:tr w14:paraId="35BE8780" w14:textId="77777777" w:rsidTr="00A05E4B">
        <w:tblPrEx>
          <w:tblW w:w="5000" w:type="pct"/>
          <w:tblLook w:val="01E0"/>
        </w:tblPrEx>
        <w:tc>
          <w:tcPr>
            <w:tcW w:w="716" w:type="pct"/>
          </w:tcPr>
          <w:p w:rsidR="003C0DB8" w:rsidRPr="00CB7E90" w:rsidP="00F04917" w14:paraId="468F333C" w14:textId="77777777">
            <w:pPr>
              <w:rPr>
                <w:rFonts w:ascii="Times New Roman" w:hAnsi="Times New Roman"/>
              </w:rPr>
            </w:pPr>
            <w:r w:rsidRPr="00CB7E90">
              <w:rPr>
                <w:rFonts w:ascii="Times New Roman" w:hAnsi="Times New Roman"/>
              </w:rPr>
              <w:t>Federal government</w:t>
            </w:r>
          </w:p>
          <w:p w:rsidR="003C0DB8" w:rsidRPr="00CB7E90" w:rsidP="00F04917" w14:paraId="7EAD6F6B" w14:textId="77777777">
            <w:pPr>
              <w:rPr>
                <w:rFonts w:ascii="Times New Roman" w:hAnsi="Times New Roman"/>
              </w:rPr>
            </w:pPr>
            <w:r w:rsidRPr="00CB7E90">
              <w:rPr>
                <w:rFonts w:ascii="Times New Roman" w:hAnsi="Times New Roman"/>
              </w:rPr>
              <w:t xml:space="preserve">     -Source documents</w:t>
            </w:r>
          </w:p>
        </w:tc>
        <w:tc>
          <w:tcPr>
            <w:tcW w:w="632" w:type="pct"/>
            <w:vAlign w:val="center"/>
          </w:tcPr>
          <w:p w:rsidR="003C0DB8" w:rsidRPr="00CB7E90" w:rsidP="00F04917" w14:paraId="5E9847EB" w14:textId="77777777">
            <w:pPr>
              <w:ind w:right="144"/>
              <w:jc w:val="right"/>
              <w:rPr>
                <w:rFonts w:ascii="Times New Roman" w:hAnsi="Times New Roman"/>
              </w:rPr>
            </w:pPr>
            <w:r w:rsidRPr="00CB7E90">
              <w:rPr>
                <w:rFonts w:ascii="Times New Roman" w:hAnsi="Times New Roman"/>
              </w:rPr>
              <w:t>7</w:t>
            </w:r>
          </w:p>
        </w:tc>
        <w:tc>
          <w:tcPr>
            <w:tcW w:w="631" w:type="pct"/>
            <w:vAlign w:val="center"/>
          </w:tcPr>
          <w:p w:rsidR="003C0DB8" w:rsidP="003C0DB8" w14:paraId="61AC2002" w14:textId="53FFD5E7">
            <w:pPr>
              <w:ind w:right="144"/>
              <w:jc w:val="center"/>
              <w:rPr>
                <w:rFonts w:ascii="Times New Roman" w:hAnsi="Times New Roman"/>
              </w:rPr>
            </w:pPr>
            <w:r>
              <w:rPr>
                <w:rFonts w:ascii="Times New Roman" w:hAnsi="Times New Roman"/>
              </w:rPr>
              <w:t>2</w:t>
            </w:r>
          </w:p>
        </w:tc>
        <w:tc>
          <w:tcPr>
            <w:tcW w:w="548" w:type="pct"/>
            <w:vAlign w:val="center"/>
          </w:tcPr>
          <w:p w:rsidR="003C0DB8" w:rsidRPr="00CB7E90" w:rsidP="00F04917" w14:paraId="130BD984" w14:textId="6821544E">
            <w:pPr>
              <w:ind w:right="144"/>
              <w:jc w:val="right"/>
              <w:rPr>
                <w:rFonts w:ascii="Times New Roman" w:hAnsi="Times New Roman"/>
              </w:rPr>
            </w:pPr>
            <w:r>
              <w:rPr>
                <w:rFonts w:ascii="Times New Roman" w:hAnsi="Times New Roman"/>
              </w:rPr>
              <w:t>11</w:t>
            </w:r>
          </w:p>
        </w:tc>
        <w:tc>
          <w:tcPr>
            <w:tcW w:w="642" w:type="pct"/>
            <w:tcBorders>
              <w:bottom w:val="single" w:sz="4" w:space="0" w:color="auto"/>
            </w:tcBorders>
            <w:vAlign w:val="center"/>
          </w:tcPr>
          <w:p w:rsidR="003C0DB8" w:rsidRPr="00CB7E90" w:rsidP="008C66FE" w14:paraId="5F401E80" w14:textId="4EEC3C2A">
            <w:pPr>
              <w:ind w:right="144"/>
              <w:jc w:val="center"/>
              <w:rPr>
                <w:rFonts w:ascii="Times New Roman" w:hAnsi="Times New Roman"/>
              </w:rPr>
            </w:pPr>
            <w:r w:rsidRPr="00CB7E90">
              <w:rPr>
                <w:rFonts w:ascii="Times New Roman" w:hAnsi="Times New Roman"/>
              </w:rPr>
              <w:t>10 hours per agency per year</w:t>
            </w:r>
          </w:p>
        </w:tc>
        <w:tc>
          <w:tcPr>
            <w:tcW w:w="507" w:type="pct"/>
            <w:vAlign w:val="center"/>
          </w:tcPr>
          <w:p w:rsidR="003C0DB8" w:rsidRPr="00CB7E90" w:rsidP="00F04917" w14:paraId="48A459F2" w14:textId="2AB0E4A4">
            <w:pPr>
              <w:ind w:right="144"/>
              <w:jc w:val="right"/>
              <w:rPr>
                <w:rFonts w:ascii="Times New Roman" w:hAnsi="Times New Roman"/>
              </w:rPr>
            </w:pPr>
            <w:r w:rsidRPr="00CB7E90">
              <w:rPr>
                <w:rFonts w:ascii="Times New Roman" w:hAnsi="Times New Roman"/>
              </w:rPr>
              <w:t>70</w:t>
            </w:r>
          </w:p>
        </w:tc>
        <w:tc>
          <w:tcPr>
            <w:tcW w:w="464" w:type="pct"/>
            <w:tcBorders>
              <w:bottom w:val="single" w:sz="4" w:space="0" w:color="auto"/>
            </w:tcBorders>
            <w:vAlign w:val="center"/>
          </w:tcPr>
          <w:p w:rsidR="003C0DB8" w:rsidRPr="00CB7E90" w:rsidP="00D308B7" w14:paraId="641B6D35" w14:textId="450E9B3B">
            <w:pPr>
              <w:ind w:right="144"/>
              <w:jc w:val="center"/>
              <w:rPr>
                <w:rFonts w:ascii="Times New Roman" w:hAnsi="Times New Roman"/>
              </w:rPr>
            </w:pPr>
            <w:r>
              <w:rPr>
                <w:rFonts w:ascii="Times New Roman" w:hAnsi="Times New Roman"/>
              </w:rPr>
              <w:t>$</w:t>
            </w:r>
            <w:r w:rsidR="0027054E">
              <w:rPr>
                <w:rFonts w:ascii="Times New Roman" w:hAnsi="Times New Roman"/>
              </w:rPr>
              <w:t>62</w:t>
            </w:r>
            <w:r>
              <w:rPr>
                <w:rFonts w:ascii="Times New Roman" w:hAnsi="Times New Roman"/>
              </w:rPr>
              <w:t>.</w:t>
            </w:r>
            <w:r w:rsidR="0027054E">
              <w:rPr>
                <w:rFonts w:ascii="Times New Roman" w:hAnsi="Times New Roman"/>
              </w:rPr>
              <w:t>31</w:t>
            </w:r>
          </w:p>
        </w:tc>
        <w:tc>
          <w:tcPr>
            <w:tcW w:w="860" w:type="pct"/>
            <w:vAlign w:val="center"/>
          </w:tcPr>
          <w:p w:rsidR="003C0DB8" w:rsidRPr="00CB7E90" w:rsidP="00D308B7" w14:paraId="0B39715C" w14:textId="24AE83D5">
            <w:pPr>
              <w:ind w:right="144"/>
              <w:jc w:val="right"/>
              <w:rPr>
                <w:rFonts w:ascii="Times New Roman" w:hAnsi="Times New Roman"/>
              </w:rPr>
            </w:pPr>
            <w:r w:rsidRPr="00F8256D">
              <w:rPr>
                <w:rFonts w:ascii="Times New Roman" w:hAnsi="Times New Roman"/>
              </w:rPr>
              <w:t xml:space="preserve">$ </w:t>
            </w:r>
            <w:r w:rsidR="0027054E">
              <w:rPr>
                <w:rFonts w:ascii="Times New Roman" w:hAnsi="Times New Roman"/>
              </w:rPr>
              <w:t>4,362</w:t>
            </w:r>
          </w:p>
        </w:tc>
      </w:tr>
      <w:tr w14:paraId="56083634" w14:textId="77777777" w:rsidTr="00A05E4B">
        <w:tblPrEx>
          <w:tblW w:w="5000" w:type="pct"/>
          <w:tblLook w:val="01E0"/>
        </w:tblPrEx>
        <w:tc>
          <w:tcPr>
            <w:tcW w:w="716"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1D7C337F" w14:textId="77777777">
            <w:pPr>
              <w:rPr>
                <w:rFonts w:ascii="Times New Roman" w:hAnsi="Times New Roman"/>
              </w:rPr>
            </w:pPr>
            <w:r w:rsidRPr="00CB7E90">
              <w:rPr>
                <w:rFonts w:ascii="Times New Roman" w:hAnsi="Times New Roman"/>
              </w:rPr>
              <w:t>TOTAL</w:t>
            </w:r>
          </w:p>
          <w:p w:rsidR="003C0DB8" w:rsidRPr="00CB7E90" w:rsidP="00F04917" w14:paraId="40D050A0" w14:textId="77777777">
            <w:pPr>
              <w:rPr>
                <w:rFonts w:ascii="Times New Roman" w:hAnsi="Times New Roman"/>
              </w:rPr>
            </w:pPr>
            <w:r w:rsidRPr="00CB7E90">
              <w:rPr>
                <w:rFonts w:ascii="Times New Roman" w:hAnsi="Times New Roman"/>
              </w:rPr>
              <w:t>Federal government</w:t>
            </w: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12B1DA87" w14:textId="37472918">
            <w:pPr>
              <w:ind w:right="144"/>
              <w:jc w:val="right"/>
              <w:rPr>
                <w:rFonts w:ascii="Times New Roman" w:hAnsi="Times New Roman"/>
              </w:rPr>
            </w:pPr>
            <w:r>
              <w:rPr>
                <w:rFonts w:ascii="Times New Roman" w:hAnsi="Times New Roman"/>
              </w:rPr>
              <w:t>9</w:t>
            </w:r>
          </w:p>
        </w:tc>
        <w:tc>
          <w:tcPr>
            <w:tcW w:w="631"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P="003C0DB8" w14:paraId="066C5930" w14:textId="77777777">
            <w:pPr>
              <w:ind w:right="144"/>
              <w:jc w:val="center"/>
              <w:rPr>
                <w:rFonts w:ascii="Times New Roman" w:hAnsi="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4C191CB2" w14:textId="2354C73E">
            <w:pPr>
              <w:ind w:right="144"/>
              <w:jc w:val="right"/>
              <w:rPr>
                <w:rFonts w:ascii="Times New Roman" w:hAnsi="Times New Roman"/>
              </w:rPr>
            </w:pPr>
            <w:r>
              <w:rPr>
                <w:rFonts w:ascii="Times New Roman" w:hAnsi="Times New Roman"/>
              </w:rPr>
              <w:t>13</w:t>
            </w:r>
          </w:p>
        </w:tc>
        <w:tc>
          <w:tcPr>
            <w:tcW w:w="642"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321047" w14:paraId="3AF563F3" w14:textId="77777777">
            <w:pPr>
              <w:ind w:right="144"/>
              <w:jc w:val="right"/>
              <w:rPr>
                <w:rFonts w:ascii="Times New Roman" w:hAnsi="Times New Roman"/>
              </w:rPr>
            </w:pPr>
          </w:p>
        </w:tc>
        <w:tc>
          <w:tcPr>
            <w:tcW w:w="507"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7A6EC695" w14:textId="2C51AF24">
            <w:pPr>
              <w:ind w:right="144"/>
              <w:jc w:val="right"/>
              <w:rPr>
                <w:rFonts w:ascii="Times New Roman" w:hAnsi="Times New Roman"/>
              </w:rPr>
            </w:pPr>
            <w:r w:rsidRPr="00CB7E90">
              <w:rPr>
                <w:rFonts w:ascii="Times New Roman" w:hAnsi="Times New Roman"/>
              </w:rPr>
              <w:t>7</w:t>
            </w:r>
            <w:r w:rsidR="009959CC">
              <w:rPr>
                <w:rFonts w:ascii="Times New Roman" w:hAnsi="Times New Roman"/>
              </w:rPr>
              <w:t>0.66</w:t>
            </w:r>
          </w:p>
        </w:tc>
        <w:tc>
          <w:tcPr>
            <w:tcW w:w="464" w:type="pct"/>
            <w:tcBorders>
              <w:top w:val="single" w:sz="4" w:space="0" w:color="auto"/>
              <w:left w:val="single" w:sz="4" w:space="0" w:color="auto"/>
              <w:bottom w:val="single" w:sz="4" w:space="0" w:color="auto"/>
              <w:right w:val="single" w:sz="4" w:space="0" w:color="auto"/>
            </w:tcBorders>
            <w:shd w:val="thinDiagStripe" w:color="D9D9D9" w:fill="FFFFFF"/>
            <w:vAlign w:val="center"/>
          </w:tcPr>
          <w:p w:rsidR="003C0DB8" w:rsidRPr="00CB7E90" w:rsidP="00321047" w14:paraId="06C52DE1" w14:textId="77777777">
            <w:pPr>
              <w:ind w:right="144"/>
              <w:jc w:val="center"/>
              <w:rPr>
                <w:rFonts w:ascii="Times New Roman" w:hAnsi="Times New Roman"/>
              </w:rPr>
            </w:pPr>
          </w:p>
        </w:tc>
        <w:tc>
          <w:tcPr>
            <w:tcW w:w="860"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D308B7" w14:paraId="557DCC01" w14:textId="36DD54B4">
            <w:pPr>
              <w:ind w:right="144"/>
              <w:jc w:val="right"/>
              <w:rPr>
                <w:rFonts w:ascii="Times New Roman" w:hAnsi="Times New Roman"/>
              </w:rPr>
            </w:pPr>
            <w:r w:rsidRPr="00F8256D">
              <w:rPr>
                <w:rFonts w:ascii="Times New Roman" w:hAnsi="Times New Roman"/>
              </w:rPr>
              <w:t xml:space="preserve">$ </w:t>
            </w:r>
            <w:r w:rsidR="0027054E">
              <w:rPr>
                <w:rFonts w:ascii="Times New Roman" w:hAnsi="Times New Roman"/>
              </w:rPr>
              <w:t>4,403</w:t>
            </w:r>
          </w:p>
        </w:tc>
      </w:tr>
      <w:tr w14:paraId="427FB8BA" w14:textId="77777777" w:rsidTr="00A05E4B">
        <w:tblPrEx>
          <w:tblW w:w="5000" w:type="pct"/>
          <w:tblLook w:val="01E0"/>
        </w:tblPrEx>
        <w:tc>
          <w:tcPr>
            <w:tcW w:w="716" w:type="pct"/>
          </w:tcPr>
          <w:p w:rsidR="003C0DB8" w:rsidRPr="00CB7E90" w:rsidP="001D3150" w14:paraId="21F0AAD8" w14:textId="77777777">
            <w:pPr>
              <w:rPr>
                <w:rFonts w:ascii="Times New Roman" w:hAnsi="Times New Roman"/>
              </w:rPr>
            </w:pPr>
            <w:r w:rsidRPr="00CB7E90">
              <w:rPr>
                <w:rFonts w:ascii="Times New Roman" w:hAnsi="Times New Roman"/>
              </w:rPr>
              <w:t>Individuals &amp; households</w:t>
            </w:r>
          </w:p>
          <w:p w:rsidR="003C0DB8" w:rsidRPr="00CB7E90" w:rsidP="001D3150" w14:paraId="28D6EBD9" w14:textId="77777777">
            <w:pPr>
              <w:rPr>
                <w:rFonts w:ascii="Times New Roman" w:hAnsi="Times New Roman"/>
              </w:rPr>
            </w:pPr>
            <w:r w:rsidRPr="00CB7E90">
              <w:rPr>
                <w:rFonts w:ascii="Times New Roman" w:hAnsi="Times New Roman"/>
              </w:rPr>
              <w:t xml:space="preserve">     -Form BLS CFOI-1</w:t>
            </w:r>
          </w:p>
        </w:tc>
        <w:tc>
          <w:tcPr>
            <w:tcW w:w="632" w:type="pct"/>
            <w:vAlign w:val="center"/>
          </w:tcPr>
          <w:p w:rsidR="003C0DB8" w:rsidRPr="00CB7E90" w:rsidP="001D3150" w14:paraId="5822B354" w14:textId="37D9F3BD">
            <w:pPr>
              <w:ind w:right="144"/>
              <w:jc w:val="right"/>
              <w:rPr>
                <w:rFonts w:ascii="Times New Roman" w:hAnsi="Times New Roman"/>
              </w:rPr>
            </w:pPr>
            <w:r>
              <w:rPr>
                <w:rFonts w:ascii="Times New Roman" w:hAnsi="Times New Roman"/>
              </w:rPr>
              <w:t>33</w:t>
            </w:r>
          </w:p>
        </w:tc>
        <w:tc>
          <w:tcPr>
            <w:tcW w:w="631" w:type="pct"/>
            <w:vAlign w:val="center"/>
          </w:tcPr>
          <w:p w:rsidR="003C0DB8" w:rsidP="003C0DB8" w14:paraId="55283642" w14:textId="70B076C3">
            <w:pPr>
              <w:ind w:right="144"/>
              <w:jc w:val="center"/>
              <w:rPr>
                <w:rFonts w:ascii="Times New Roman" w:hAnsi="Times New Roman"/>
              </w:rPr>
            </w:pPr>
            <w:r>
              <w:rPr>
                <w:rFonts w:ascii="Times New Roman" w:hAnsi="Times New Roman"/>
              </w:rPr>
              <w:t>1</w:t>
            </w:r>
          </w:p>
        </w:tc>
        <w:tc>
          <w:tcPr>
            <w:tcW w:w="548" w:type="pct"/>
            <w:vAlign w:val="center"/>
          </w:tcPr>
          <w:p w:rsidR="003C0DB8" w:rsidRPr="00CB7E90" w:rsidP="001D3150" w14:paraId="46469301" w14:textId="13114075">
            <w:pPr>
              <w:ind w:right="144"/>
              <w:jc w:val="right"/>
              <w:rPr>
                <w:rFonts w:ascii="Times New Roman" w:hAnsi="Times New Roman"/>
              </w:rPr>
            </w:pPr>
            <w:r>
              <w:rPr>
                <w:rFonts w:ascii="Times New Roman" w:hAnsi="Times New Roman"/>
              </w:rPr>
              <w:t>33</w:t>
            </w:r>
          </w:p>
        </w:tc>
        <w:tc>
          <w:tcPr>
            <w:tcW w:w="642" w:type="pct"/>
          </w:tcPr>
          <w:p w:rsidR="003C0DB8" w:rsidRPr="00CB7E90" w:rsidP="00F04917" w14:paraId="2447505D" w14:textId="77777777">
            <w:pPr>
              <w:ind w:right="144"/>
              <w:jc w:val="center"/>
              <w:rPr>
                <w:rFonts w:ascii="Times New Roman" w:hAnsi="Times New Roman"/>
              </w:rPr>
            </w:pPr>
            <w:r w:rsidRPr="00CB7E90">
              <w:rPr>
                <w:rFonts w:ascii="Times New Roman" w:hAnsi="Times New Roman"/>
              </w:rPr>
              <w:t>20 minutes</w:t>
            </w:r>
          </w:p>
          <w:p w:rsidR="003C0DB8" w:rsidRPr="00CB7E90" w:rsidP="008C66FE" w14:paraId="4912462C" w14:textId="5EE2C7DD">
            <w:pPr>
              <w:ind w:right="144"/>
              <w:jc w:val="center"/>
              <w:rPr>
                <w:rFonts w:ascii="Times New Roman" w:hAnsi="Times New Roman"/>
              </w:rPr>
            </w:pPr>
            <w:r w:rsidRPr="00CB7E90">
              <w:rPr>
                <w:rFonts w:ascii="Times New Roman" w:hAnsi="Times New Roman"/>
              </w:rPr>
              <w:t>per document</w:t>
            </w:r>
          </w:p>
        </w:tc>
        <w:tc>
          <w:tcPr>
            <w:tcW w:w="507" w:type="pct"/>
            <w:vAlign w:val="center"/>
          </w:tcPr>
          <w:p w:rsidR="003C0DB8" w:rsidRPr="00CB7E90" w:rsidP="00E64337" w14:paraId="1C826003" w14:textId="6C8625B7">
            <w:pPr>
              <w:ind w:right="144"/>
              <w:jc w:val="right"/>
              <w:rPr>
                <w:rFonts w:ascii="Times New Roman" w:hAnsi="Times New Roman"/>
              </w:rPr>
            </w:pPr>
            <w:r>
              <w:rPr>
                <w:rFonts w:ascii="Times New Roman" w:hAnsi="Times New Roman"/>
              </w:rPr>
              <w:t>1</w:t>
            </w:r>
            <w:r w:rsidR="0027054E">
              <w:rPr>
                <w:rFonts w:ascii="Times New Roman" w:hAnsi="Times New Roman"/>
              </w:rPr>
              <w:t>1</w:t>
            </w:r>
          </w:p>
        </w:tc>
        <w:tc>
          <w:tcPr>
            <w:tcW w:w="464" w:type="pct"/>
            <w:tcBorders>
              <w:bottom w:val="single" w:sz="4" w:space="0" w:color="auto"/>
            </w:tcBorders>
            <w:vAlign w:val="center"/>
          </w:tcPr>
          <w:p w:rsidR="003C0DB8" w:rsidRPr="00CB7E90" w:rsidP="00FB0A8E" w14:paraId="27CD4333" w14:textId="515D37B9">
            <w:pPr>
              <w:ind w:right="144"/>
              <w:jc w:val="center"/>
              <w:rPr>
                <w:rFonts w:ascii="Times New Roman" w:hAnsi="Times New Roman"/>
              </w:rPr>
            </w:pPr>
            <w:r>
              <w:rPr>
                <w:rFonts w:ascii="Times New Roman" w:hAnsi="Times New Roman"/>
              </w:rPr>
              <w:t>$</w:t>
            </w:r>
            <w:r w:rsidR="003B5E4E">
              <w:rPr>
                <w:rFonts w:ascii="Times New Roman" w:hAnsi="Times New Roman"/>
              </w:rPr>
              <w:t>4</w:t>
            </w:r>
            <w:r w:rsidR="0027054E">
              <w:rPr>
                <w:rFonts w:ascii="Times New Roman" w:hAnsi="Times New Roman"/>
              </w:rPr>
              <w:t>6</w:t>
            </w:r>
            <w:r>
              <w:rPr>
                <w:rFonts w:ascii="Times New Roman" w:hAnsi="Times New Roman"/>
              </w:rPr>
              <w:t>.</w:t>
            </w:r>
            <w:r w:rsidR="0027054E">
              <w:rPr>
                <w:rFonts w:ascii="Times New Roman" w:hAnsi="Times New Roman"/>
              </w:rPr>
              <w:t>84</w:t>
            </w:r>
          </w:p>
        </w:tc>
        <w:tc>
          <w:tcPr>
            <w:tcW w:w="860" w:type="pct"/>
            <w:vAlign w:val="center"/>
          </w:tcPr>
          <w:p w:rsidR="003C0DB8" w:rsidRPr="00CB7E90" w:rsidP="00FB0A8E" w14:paraId="0897CC27" w14:textId="2CA14798">
            <w:pPr>
              <w:ind w:right="144"/>
              <w:jc w:val="right"/>
              <w:rPr>
                <w:rFonts w:ascii="Times New Roman" w:hAnsi="Times New Roman"/>
              </w:rPr>
            </w:pPr>
            <w:r w:rsidRPr="00CB7E90">
              <w:rPr>
                <w:rFonts w:ascii="Times New Roman" w:hAnsi="Times New Roman"/>
              </w:rPr>
              <w:t xml:space="preserve">$ </w:t>
            </w:r>
            <w:r>
              <w:rPr>
                <w:rFonts w:ascii="Times New Roman" w:hAnsi="Times New Roman"/>
              </w:rPr>
              <w:t>5</w:t>
            </w:r>
            <w:r w:rsidR="0027054E">
              <w:rPr>
                <w:rFonts w:ascii="Times New Roman" w:hAnsi="Times New Roman"/>
              </w:rPr>
              <w:t>1</w:t>
            </w:r>
            <w:r w:rsidR="003B5E4E">
              <w:rPr>
                <w:rFonts w:ascii="Times New Roman" w:hAnsi="Times New Roman"/>
              </w:rPr>
              <w:t>5</w:t>
            </w:r>
          </w:p>
        </w:tc>
      </w:tr>
      <w:tr w14:paraId="6A6A5F75" w14:textId="77777777" w:rsidTr="00A05E4B">
        <w:tblPrEx>
          <w:tblW w:w="5000" w:type="pct"/>
          <w:tblLook w:val="01E0"/>
        </w:tblPrEx>
        <w:tc>
          <w:tcPr>
            <w:tcW w:w="716"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650E4498" w14:textId="77777777">
            <w:pPr>
              <w:rPr>
                <w:rFonts w:ascii="Times New Roman" w:hAnsi="Times New Roman"/>
              </w:rPr>
            </w:pPr>
            <w:r w:rsidRPr="00CB7E90">
              <w:rPr>
                <w:rFonts w:ascii="Times New Roman" w:hAnsi="Times New Roman"/>
              </w:rPr>
              <w:t>TOTAL</w:t>
            </w:r>
          </w:p>
          <w:p w:rsidR="003C0DB8" w:rsidRPr="00CB7E90" w:rsidP="00F04917" w14:paraId="6F6A6970" w14:textId="77777777">
            <w:pPr>
              <w:rPr>
                <w:rFonts w:ascii="Times New Roman" w:hAnsi="Times New Roman"/>
              </w:rPr>
            </w:pPr>
            <w:r w:rsidRPr="00CB7E90">
              <w:rPr>
                <w:rFonts w:ascii="Times New Roman" w:hAnsi="Times New Roman"/>
              </w:rPr>
              <w:t>Individuals &amp; households</w:t>
            </w: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605BCEF1" w14:textId="45AB41D8">
            <w:pPr>
              <w:ind w:right="144"/>
              <w:jc w:val="right"/>
              <w:rPr>
                <w:rFonts w:ascii="Times New Roman" w:hAnsi="Times New Roman"/>
              </w:rPr>
            </w:pPr>
            <w:r>
              <w:rPr>
                <w:rFonts w:ascii="Times New Roman" w:hAnsi="Times New Roman"/>
              </w:rPr>
              <w:t>33</w:t>
            </w:r>
          </w:p>
        </w:tc>
        <w:tc>
          <w:tcPr>
            <w:tcW w:w="631" w:type="pct"/>
            <w:tcBorders>
              <w:top w:val="single" w:sz="4" w:space="0" w:color="auto"/>
              <w:left w:val="single" w:sz="4" w:space="0" w:color="auto"/>
              <w:bottom w:val="single" w:sz="4" w:space="0" w:color="auto"/>
              <w:right w:val="single" w:sz="4" w:space="0" w:color="auto"/>
            </w:tcBorders>
            <w:shd w:val="clear" w:color="auto" w:fill="F2F2F2"/>
          </w:tcPr>
          <w:p w:rsidR="003C0DB8" w:rsidP="00321047" w14:paraId="27D09F67" w14:textId="77777777">
            <w:pPr>
              <w:ind w:right="144"/>
              <w:jc w:val="right"/>
              <w:rPr>
                <w:rFonts w:ascii="Times New Roman" w:hAnsi="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3D1EEB10" w14:textId="0BE2E48C">
            <w:pPr>
              <w:ind w:right="144"/>
              <w:jc w:val="right"/>
              <w:rPr>
                <w:rFonts w:ascii="Times New Roman" w:hAnsi="Times New Roman"/>
              </w:rPr>
            </w:pPr>
            <w:r>
              <w:rPr>
                <w:rFonts w:ascii="Times New Roman" w:hAnsi="Times New Roman"/>
              </w:rPr>
              <w:t>33</w:t>
            </w:r>
          </w:p>
        </w:tc>
        <w:tc>
          <w:tcPr>
            <w:tcW w:w="642"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321047" w14:paraId="6B1AB28C" w14:textId="77777777">
            <w:pPr>
              <w:ind w:right="144"/>
              <w:jc w:val="right"/>
              <w:rPr>
                <w:rFonts w:ascii="Times New Roman" w:hAnsi="Times New Roman"/>
              </w:rPr>
            </w:pPr>
          </w:p>
        </w:tc>
        <w:tc>
          <w:tcPr>
            <w:tcW w:w="507"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321047" w14:paraId="662C93C9" w14:textId="43F38D45">
            <w:pPr>
              <w:ind w:right="144"/>
              <w:jc w:val="right"/>
              <w:rPr>
                <w:rFonts w:ascii="Times New Roman" w:hAnsi="Times New Roman"/>
              </w:rPr>
            </w:pPr>
            <w:r>
              <w:rPr>
                <w:rFonts w:ascii="Times New Roman" w:hAnsi="Times New Roman"/>
              </w:rPr>
              <w:t>1</w:t>
            </w:r>
            <w:r w:rsidR="0027054E">
              <w:rPr>
                <w:rFonts w:ascii="Times New Roman" w:hAnsi="Times New Roman"/>
              </w:rPr>
              <w:t>1</w:t>
            </w:r>
          </w:p>
        </w:tc>
        <w:tc>
          <w:tcPr>
            <w:tcW w:w="464" w:type="pct"/>
            <w:tcBorders>
              <w:top w:val="single" w:sz="4" w:space="0" w:color="auto"/>
              <w:left w:val="single" w:sz="4" w:space="0" w:color="auto"/>
              <w:bottom w:val="single" w:sz="4" w:space="0" w:color="auto"/>
              <w:right w:val="single" w:sz="4" w:space="0" w:color="auto"/>
            </w:tcBorders>
            <w:shd w:val="thinDiagStripe" w:color="D9D9D9" w:fill="FFFFFF"/>
            <w:vAlign w:val="center"/>
          </w:tcPr>
          <w:p w:rsidR="003C0DB8" w:rsidRPr="00CB7E90" w:rsidP="00321047" w14:paraId="572E7117" w14:textId="77777777">
            <w:pPr>
              <w:ind w:right="144"/>
              <w:jc w:val="center"/>
              <w:rPr>
                <w:rFonts w:ascii="Times New Roman" w:hAnsi="Times New Roman"/>
              </w:rPr>
            </w:pPr>
          </w:p>
        </w:tc>
        <w:tc>
          <w:tcPr>
            <w:tcW w:w="860"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B0A8E" w14:paraId="2BB56EDA" w14:textId="446A22B6">
            <w:pPr>
              <w:ind w:right="144"/>
              <w:jc w:val="right"/>
              <w:rPr>
                <w:rFonts w:ascii="Times New Roman" w:hAnsi="Times New Roman"/>
              </w:rPr>
            </w:pPr>
            <w:r w:rsidRPr="00CB7E90">
              <w:rPr>
                <w:rFonts w:ascii="Times New Roman" w:hAnsi="Times New Roman"/>
              </w:rPr>
              <w:t xml:space="preserve">$ </w:t>
            </w:r>
            <w:r w:rsidR="003B5E4E">
              <w:rPr>
                <w:rFonts w:ascii="Times New Roman" w:hAnsi="Times New Roman"/>
              </w:rPr>
              <w:t>5</w:t>
            </w:r>
            <w:r w:rsidR="0027054E">
              <w:rPr>
                <w:rFonts w:ascii="Times New Roman" w:hAnsi="Times New Roman"/>
              </w:rPr>
              <w:t>1</w:t>
            </w:r>
            <w:r w:rsidR="003B5E4E">
              <w:rPr>
                <w:rFonts w:ascii="Times New Roman" w:hAnsi="Times New Roman"/>
              </w:rPr>
              <w:t>5</w:t>
            </w:r>
          </w:p>
        </w:tc>
      </w:tr>
      <w:tr w14:paraId="0F432ABB" w14:textId="77777777" w:rsidTr="00A05E4B">
        <w:tblPrEx>
          <w:tblW w:w="5000" w:type="pct"/>
          <w:tblLook w:val="01E0"/>
        </w:tblPrEx>
        <w:tc>
          <w:tcPr>
            <w:tcW w:w="716" w:type="pct"/>
          </w:tcPr>
          <w:p w:rsidR="003C0DB8" w:rsidRPr="00CB7E90" w:rsidP="00F04917" w14:paraId="03754EF0" w14:textId="77777777">
            <w:pPr>
              <w:rPr>
                <w:rFonts w:ascii="Times New Roman" w:hAnsi="Times New Roman"/>
              </w:rPr>
            </w:pPr>
            <w:r w:rsidRPr="00CB7E90">
              <w:rPr>
                <w:rFonts w:ascii="Times New Roman" w:hAnsi="Times New Roman"/>
              </w:rPr>
              <w:t>Private sector</w:t>
            </w:r>
          </w:p>
          <w:p w:rsidR="003C0DB8" w:rsidRPr="00CB7E90" w:rsidP="00F04917" w14:paraId="4661F0DA" w14:textId="77777777">
            <w:pPr>
              <w:rPr>
                <w:rFonts w:ascii="Times New Roman" w:hAnsi="Times New Roman"/>
              </w:rPr>
            </w:pPr>
            <w:r w:rsidRPr="00CB7E90">
              <w:rPr>
                <w:rFonts w:ascii="Times New Roman" w:hAnsi="Times New Roman"/>
              </w:rPr>
              <w:t xml:space="preserve">     -Form BLS CFOI-1</w:t>
            </w:r>
          </w:p>
        </w:tc>
        <w:tc>
          <w:tcPr>
            <w:tcW w:w="632" w:type="pct"/>
            <w:vAlign w:val="center"/>
          </w:tcPr>
          <w:p w:rsidR="003C0DB8" w:rsidRPr="00CB7E90" w:rsidP="00F04917" w14:paraId="3661C6B8" w14:textId="5095DE31">
            <w:pPr>
              <w:ind w:right="144"/>
              <w:jc w:val="right"/>
              <w:rPr>
                <w:rFonts w:ascii="Times New Roman" w:hAnsi="Times New Roman"/>
              </w:rPr>
            </w:pPr>
            <w:r>
              <w:rPr>
                <w:rFonts w:ascii="Times New Roman" w:hAnsi="Times New Roman"/>
              </w:rPr>
              <w:t>1</w:t>
            </w:r>
            <w:r w:rsidR="00732A09">
              <w:rPr>
                <w:rFonts w:ascii="Times New Roman" w:hAnsi="Times New Roman"/>
              </w:rPr>
              <w:t>50</w:t>
            </w:r>
          </w:p>
        </w:tc>
        <w:tc>
          <w:tcPr>
            <w:tcW w:w="631" w:type="pct"/>
            <w:vAlign w:val="center"/>
          </w:tcPr>
          <w:p w:rsidR="003C0DB8" w:rsidP="002B0E38" w14:paraId="0E38619D" w14:textId="1AB36EDB">
            <w:pPr>
              <w:ind w:right="144"/>
              <w:jc w:val="center"/>
              <w:rPr>
                <w:rFonts w:ascii="Times New Roman" w:hAnsi="Times New Roman"/>
              </w:rPr>
            </w:pPr>
            <w:r>
              <w:rPr>
                <w:rFonts w:ascii="Times New Roman" w:hAnsi="Times New Roman"/>
              </w:rPr>
              <w:t>1</w:t>
            </w:r>
          </w:p>
        </w:tc>
        <w:tc>
          <w:tcPr>
            <w:tcW w:w="548" w:type="pct"/>
            <w:vAlign w:val="center"/>
          </w:tcPr>
          <w:p w:rsidR="003C0DB8" w:rsidRPr="00CB7E90" w:rsidP="00F04917" w14:paraId="60114D6B" w14:textId="42C0BD8D">
            <w:pPr>
              <w:ind w:right="144"/>
              <w:jc w:val="right"/>
              <w:rPr>
                <w:rFonts w:ascii="Times New Roman" w:hAnsi="Times New Roman"/>
              </w:rPr>
            </w:pPr>
            <w:r>
              <w:rPr>
                <w:rFonts w:ascii="Times New Roman" w:hAnsi="Times New Roman"/>
              </w:rPr>
              <w:t>1</w:t>
            </w:r>
            <w:r w:rsidR="00732A09">
              <w:rPr>
                <w:rFonts w:ascii="Times New Roman" w:hAnsi="Times New Roman"/>
              </w:rPr>
              <w:t>50</w:t>
            </w:r>
          </w:p>
        </w:tc>
        <w:tc>
          <w:tcPr>
            <w:tcW w:w="642" w:type="pct"/>
            <w:vAlign w:val="center"/>
          </w:tcPr>
          <w:p w:rsidR="003C0DB8" w:rsidRPr="00CB7E90" w:rsidP="00F04917" w14:paraId="2E61C838" w14:textId="77777777">
            <w:pPr>
              <w:ind w:right="144"/>
              <w:jc w:val="center"/>
              <w:rPr>
                <w:rFonts w:ascii="Times New Roman" w:hAnsi="Times New Roman"/>
              </w:rPr>
            </w:pPr>
            <w:r w:rsidRPr="00CB7E90">
              <w:rPr>
                <w:rFonts w:ascii="Times New Roman" w:hAnsi="Times New Roman"/>
              </w:rPr>
              <w:t>20 minutes</w:t>
            </w:r>
          </w:p>
          <w:p w:rsidR="003C0DB8" w:rsidP="008C66FE" w14:paraId="20B4FA8C" w14:textId="784AE85A">
            <w:pPr>
              <w:ind w:right="144"/>
              <w:jc w:val="center"/>
              <w:rPr>
                <w:rFonts w:ascii="Times New Roman" w:hAnsi="Times New Roman"/>
              </w:rPr>
            </w:pPr>
            <w:r w:rsidRPr="00CB7E90">
              <w:rPr>
                <w:rFonts w:ascii="Times New Roman" w:hAnsi="Times New Roman"/>
              </w:rPr>
              <w:t>per document</w:t>
            </w:r>
          </w:p>
        </w:tc>
        <w:tc>
          <w:tcPr>
            <w:tcW w:w="507" w:type="pct"/>
            <w:vAlign w:val="center"/>
          </w:tcPr>
          <w:p w:rsidR="003C0DB8" w:rsidRPr="00CB7E90" w:rsidP="00F04917" w14:paraId="12D3F424" w14:textId="0C605B36">
            <w:pPr>
              <w:ind w:right="144"/>
              <w:jc w:val="right"/>
              <w:rPr>
                <w:rFonts w:ascii="Times New Roman" w:hAnsi="Times New Roman"/>
              </w:rPr>
            </w:pPr>
            <w:r>
              <w:rPr>
                <w:rFonts w:ascii="Times New Roman" w:hAnsi="Times New Roman"/>
              </w:rPr>
              <w:t>50</w:t>
            </w:r>
          </w:p>
        </w:tc>
        <w:tc>
          <w:tcPr>
            <w:tcW w:w="464" w:type="pct"/>
            <w:tcBorders>
              <w:bottom w:val="single" w:sz="4" w:space="0" w:color="auto"/>
            </w:tcBorders>
            <w:vAlign w:val="center"/>
          </w:tcPr>
          <w:p w:rsidR="003C0DB8" w:rsidRPr="00CB7E90" w:rsidP="00FB0A8E" w14:paraId="6FD64520" w14:textId="3BC647D2">
            <w:pPr>
              <w:ind w:right="144"/>
              <w:jc w:val="center"/>
              <w:rPr>
                <w:rFonts w:ascii="Times New Roman" w:hAnsi="Times New Roman"/>
              </w:rPr>
            </w:pPr>
            <w:r>
              <w:rPr>
                <w:rFonts w:ascii="Times New Roman" w:hAnsi="Times New Roman"/>
              </w:rPr>
              <w:t>$</w:t>
            </w:r>
            <w:r w:rsidR="000079C2">
              <w:rPr>
                <w:rFonts w:ascii="Times New Roman" w:hAnsi="Times New Roman"/>
              </w:rPr>
              <w:t>6</w:t>
            </w:r>
            <w:r w:rsidR="003B5E4E">
              <w:rPr>
                <w:rFonts w:ascii="Times New Roman" w:hAnsi="Times New Roman"/>
              </w:rPr>
              <w:t>8</w:t>
            </w:r>
            <w:r>
              <w:rPr>
                <w:rFonts w:ascii="Times New Roman" w:hAnsi="Times New Roman"/>
              </w:rPr>
              <w:t>.</w:t>
            </w:r>
            <w:r w:rsidR="000079C2">
              <w:rPr>
                <w:rFonts w:ascii="Times New Roman" w:hAnsi="Times New Roman"/>
              </w:rPr>
              <w:t>37</w:t>
            </w:r>
          </w:p>
        </w:tc>
        <w:tc>
          <w:tcPr>
            <w:tcW w:w="860" w:type="pct"/>
            <w:vAlign w:val="center"/>
          </w:tcPr>
          <w:p w:rsidR="003C0DB8" w:rsidRPr="00CB7E90" w:rsidP="00940D53" w14:paraId="0A26D843" w14:textId="6C44E92B">
            <w:pPr>
              <w:ind w:right="144"/>
              <w:jc w:val="right"/>
              <w:rPr>
                <w:rFonts w:ascii="Times New Roman" w:hAnsi="Times New Roman"/>
              </w:rPr>
            </w:pPr>
            <w:r w:rsidRPr="00CB7E90">
              <w:rPr>
                <w:rFonts w:ascii="Times New Roman" w:hAnsi="Times New Roman"/>
              </w:rPr>
              <w:t xml:space="preserve">$ </w:t>
            </w:r>
            <w:r w:rsidR="00732A09">
              <w:rPr>
                <w:rFonts w:ascii="Times New Roman" w:hAnsi="Times New Roman"/>
              </w:rPr>
              <w:t>3,419</w:t>
            </w:r>
          </w:p>
        </w:tc>
      </w:tr>
      <w:tr w14:paraId="237B5762" w14:textId="77777777" w:rsidTr="00A05E4B">
        <w:tblPrEx>
          <w:tblW w:w="5000" w:type="pct"/>
          <w:tblLook w:val="01E0"/>
        </w:tblPrEx>
        <w:tc>
          <w:tcPr>
            <w:tcW w:w="716"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1FAB3E67" w14:textId="77777777">
            <w:pPr>
              <w:rPr>
                <w:rFonts w:ascii="Times New Roman" w:hAnsi="Times New Roman"/>
              </w:rPr>
            </w:pPr>
            <w:r w:rsidRPr="00CB7E90">
              <w:rPr>
                <w:rFonts w:ascii="Times New Roman" w:hAnsi="Times New Roman"/>
              </w:rPr>
              <w:t>TOTAL</w:t>
            </w:r>
          </w:p>
          <w:p w:rsidR="003C0DB8" w:rsidRPr="00CB7E90" w:rsidP="00F04917" w14:paraId="0785A946" w14:textId="77777777">
            <w:pPr>
              <w:rPr>
                <w:rFonts w:ascii="Times New Roman" w:hAnsi="Times New Roman"/>
              </w:rPr>
            </w:pPr>
            <w:r w:rsidRPr="00CB7E90">
              <w:rPr>
                <w:rFonts w:ascii="Times New Roman" w:hAnsi="Times New Roman"/>
              </w:rPr>
              <w:t>Private Sector</w:t>
            </w: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2DBB8A38" w14:textId="0C0C8637">
            <w:pPr>
              <w:ind w:right="144"/>
              <w:jc w:val="right"/>
              <w:rPr>
                <w:rFonts w:ascii="Times New Roman" w:hAnsi="Times New Roman"/>
              </w:rPr>
            </w:pPr>
            <w:r>
              <w:rPr>
                <w:rFonts w:ascii="Times New Roman" w:hAnsi="Times New Roman"/>
              </w:rPr>
              <w:t>1</w:t>
            </w:r>
            <w:r w:rsidR="00732A09">
              <w:rPr>
                <w:rFonts w:ascii="Times New Roman" w:hAnsi="Times New Roman"/>
              </w:rPr>
              <w:t>50</w:t>
            </w:r>
          </w:p>
        </w:tc>
        <w:tc>
          <w:tcPr>
            <w:tcW w:w="631" w:type="pct"/>
            <w:tcBorders>
              <w:top w:val="single" w:sz="4" w:space="0" w:color="auto"/>
              <w:left w:val="single" w:sz="4" w:space="0" w:color="auto"/>
              <w:bottom w:val="single" w:sz="4" w:space="0" w:color="auto"/>
              <w:right w:val="single" w:sz="4" w:space="0" w:color="auto"/>
            </w:tcBorders>
            <w:shd w:val="clear" w:color="auto" w:fill="F2F2F2"/>
          </w:tcPr>
          <w:p w:rsidR="003C0DB8" w:rsidP="00F04917" w14:paraId="038F8E31" w14:textId="77777777">
            <w:pPr>
              <w:ind w:right="144"/>
              <w:jc w:val="right"/>
              <w:rPr>
                <w:rFonts w:ascii="Times New Roman" w:hAnsi="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0EB24B22" w14:textId="63CF559F">
            <w:pPr>
              <w:ind w:right="144"/>
              <w:jc w:val="right"/>
              <w:rPr>
                <w:rFonts w:ascii="Times New Roman" w:hAnsi="Times New Roman"/>
              </w:rPr>
            </w:pPr>
            <w:r>
              <w:rPr>
                <w:rFonts w:ascii="Times New Roman" w:hAnsi="Times New Roman"/>
              </w:rPr>
              <w:t>1</w:t>
            </w:r>
            <w:r w:rsidR="00732A09">
              <w:rPr>
                <w:rFonts w:ascii="Times New Roman" w:hAnsi="Times New Roman"/>
              </w:rPr>
              <w:t>50</w:t>
            </w:r>
          </w:p>
        </w:tc>
        <w:tc>
          <w:tcPr>
            <w:tcW w:w="642" w:type="pct"/>
            <w:tcBorders>
              <w:top w:val="single" w:sz="4" w:space="0" w:color="auto"/>
              <w:left w:val="single" w:sz="4" w:space="0" w:color="auto"/>
              <w:bottom w:val="single" w:sz="4" w:space="0" w:color="auto"/>
              <w:right w:val="single" w:sz="4" w:space="0" w:color="auto"/>
            </w:tcBorders>
            <w:shd w:val="clear" w:color="auto" w:fill="F2F2F2"/>
          </w:tcPr>
          <w:p w:rsidR="003C0DB8" w:rsidP="00F04917" w14:paraId="4901DBD3" w14:textId="77777777">
            <w:pPr>
              <w:ind w:right="144"/>
              <w:jc w:val="right"/>
              <w:rPr>
                <w:rFonts w:ascii="Times New Roman" w:hAnsi="Times New Roman"/>
              </w:rPr>
            </w:pPr>
          </w:p>
        </w:tc>
        <w:tc>
          <w:tcPr>
            <w:tcW w:w="507"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68F90116" w14:textId="0A46BC17">
            <w:pPr>
              <w:ind w:right="144"/>
              <w:jc w:val="right"/>
              <w:rPr>
                <w:rFonts w:ascii="Times New Roman" w:hAnsi="Times New Roman"/>
              </w:rPr>
            </w:pPr>
            <w:r>
              <w:rPr>
                <w:rFonts w:ascii="Times New Roman" w:hAnsi="Times New Roman"/>
              </w:rPr>
              <w:t>50</w:t>
            </w:r>
          </w:p>
        </w:tc>
        <w:tc>
          <w:tcPr>
            <w:tcW w:w="464" w:type="pct"/>
            <w:tcBorders>
              <w:top w:val="single" w:sz="4" w:space="0" w:color="auto"/>
              <w:left w:val="single" w:sz="4" w:space="0" w:color="auto"/>
              <w:bottom w:val="single" w:sz="4" w:space="0" w:color="auto"/>
              <w:right w:val="single" w:sz="4" w:space="0" w:color="auto"/>
            </w:tcBorders>
            <w:shd w:val="thinDiagStripe" w:color="D9D9D9" w:fill="FFFFFF"/>
            <w:vAlign w:val="center"/>
          </w:tcPr>
          <w:p w:rsidR="003C0DB8" w:rsidRPr="00CB7E90" w:rsidP="00F04917" w14:paraId="33AB8980" w14:textId="77777777">
            <w:pPr>
              <w:ind w:right="144"/>
              <w:jc w:val="center"/>
              <w:rPr>
                <w:rFonts w:ascii="Times New Roman" w:hAnsi="Times New Roman"/>
              </w:rPr>
            </w:pPr>
          </w:p>
        </w:tc>
        <w:tc>
          <w:tcPr>
            <w:tcW w:w="860"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940D53" w14:paraId="56C6CB8A" w14:textId="71869C71">
            <w:pPr>
              <w:ind w:right="144"/>
              <w:jc w:val="right"/>
              <w:rPr>
                <w:rFonts w:ascii="Times New Roman" w:hAnsi="Times New Roman"/>
              </w:rPr>
            </w:pPr>
            <w:r w:rsidRPr="00CB7E90">
              <w:rPr>
                <w:rFonts w:ascii="Times New Roman" w:hAnsi="Times New Roman"/>
              </w:rPr>
              <w:t xml:space="preserve">$ </w:t>
            </w:r>
            <w:r w:rsidR="00732A09">
              <w:rPr>
                <w:rFonts w:ascii="Times New Roman" w:hAnsi="Times New Roman"/>
              </w:rPr>
              <w:t>3,419</w:t>
            </w:r>
          </w:p>
        </w:tc>
      </w:tr>
      <w:tr w14:paraId="17422838" w14:textId="77777777" w:rsidTr="00A05E4B">
        <w:tblPrEx>
          <w:tblW w:w="5000" w:type="pct"/>
          <w:tblLook w:val="01E0"/>
        </w:tblPrEx>
        <w:tc>
          <w:tcPr>
            <w:tcW w:w="716" w:type="pct"/>
          </w:tcPr>
          <w:p w:rsidR="003C0DB8" w:rsidRPr="00CB7E90" w:rsidP="00F04917" w14:paraId="048C7D5F" w14:textId="77777777">
            <w:pPr>
              <w:rPr>
                <w:rFonts w:ascii="Times New Roman" w:hAnsi="Times New Roman"/>
              </w:rPr>
            </w:pPr>
            <w:r w:rsidRPr="00CB7E90">
              <w:rPr>
                <w:rFonts w:ascii="Times New Roman" w:hAnsi="Times New Roman"/>
              </w:rPr>
              <w:t>State, local, and tribal governments</w:t>
            </w:r>
          </w:p>
          <w:p w:rsidR="003C0DB8" w:rsidRPr="00CB7E90" w:rsidP="00F04917" w14:paraId="1CB24BA7" w14:textId="77777777">
            <w:pPr>
              <w:rPr>
                <w:rFonts w:ascii="Times New Roman" w:hAnsi="Times New Roman"/>
              </w:rPr>
            </w:pPr>
            <w:r w:rsidRPr="00CB7E90">
              <w:rPr>
                <w:rFonts w:ascii="Times New Roman" w:hAnsi="Times New Roman"/>
              </w:rPr>
              <w:t xml:space="preserve">     -Form BLS CFOI-1</w:t>
            </w:r>
          </w:p>
        </w:tc>
        <w:tc>
          <w:tcPr>
            <w:tcW w:w="632" w:type="pct"/>
            <w:vAlign w:val="center"/>
          </w:tcPr>
          <w:p w:rsidR="003C0DB8" w:rsidRPr="00CB7E90" w:rsidP="00F04917" w14:paraId="7F0D0A99" w14:textId="7F4C5A47">
            <w:pPr>
              <w:ind w:right="144"/>
              <w:jc w:val="right"/>
              <w:rPr>
                <w:rFonts w:ascii="Times New Roman" w:hAnsi="Times New Roman"/>
              </w:rPr>
            </w:pPr>
            <w:r>
              <w:rPr>
                <w:rFonts w:ascii="Times New Roman" w:hAnsi="Times New Roman"/>
              </w:rPr>
              <w:t>2</w:t>
            </w:r>
            <w:r w:rsidR="00732A09">
              <w:rPr>
                <w:rFonts w:ascii="Times New Roman" w:hAnsi="Times New Roman"/>
              </w:rPr>
              <w:t>0</w:t>
            </w:r>
          </w:p>
        </w:tc>
        <w:tc>
          <w:tcPr>
            <w:tcW w:w="631" w:type="pct"/>
            <w:vAlign w:val="center"/>
          </w:tcPr>
          <w:p w:rsidR="003C0DB8" w:rsidP="003B5E4E" w14:paraId="268D9B72" w14:textId="022EAF18">
            <w:pPr>
              <w:ind w:right="144"/>
              <w:jc w:val="center"/>
              <w:rPr>
                <w:rFonts w:ascii="Times New Roman" w:hAnsi="Times New Roman"/>
              </w:rPr>
            </w:pPr>
            <w:r>
              <w:rPr>
                <w:rFonts w:ascii="Times New Roman" w:hAnsi="Times New Roman"/>
              </w:rPr>
              <w:t>1</w:t>
            </w:r>
          </w:p>
        </w:tc>
        <w:tc>
          <w:tcPr>
            <w:tcW w:w="548" w:type="pct"/>
            <w:vAlign w:val="center"/>
          </w:tcPr>
          <w:p w:rsidR="003C0DB8" w:rsidRPr="00CB7E90" w:rsidP="00F04917" w14:paraId="325C93FB" w14:textId="7743FD67">
            <w:pPr>
              <w:ind w:right="144"/>
              <w:jc w:val="right"/>
              <w:rPr>
                <w:rFonts w:ascii="Times New Roman" w:hAnsi="Times New Roman"/>
              </w:rPr>
            </w:pPr>
            <w:r>
              <w:rPr>
                <w:rFonts w:ascii="Times New Roman" w:hAnsi="Times New Roman"/>
              </w:rPr>
              <w:t>2</w:t>
            </w:r>
            <w:r w:rsidR="00732A09">
              <w:rPr>
                <w:rFonts w:ascii="Times New Roman" w:hAnsi="Times New Roman"/>
              </w:rPr>
              <w:t>0</w:t>
            </w:r>
          </w:p>
        </w:tc>
        <w:tc>
          <w:tcPr>
            <w:tcW w:w="642" w:type="pct"/>
            <w:vAlign w:val="center"/>
          </w:tcPr>
          <w:p w:rsidR="003C0DB8" w:rsidRPr="00CB7E90" w:rsidP="00F04917" w14:paraId="22FF276A" w14:textId="77777777">
            <w:pPr>
              <w:ind w:right="144"/>
              <w:jc w:val="center"/>
              <w:rPr>
                <w:rFonts w:ascii="Times New Roman" w:hAnsi="Times New Roman"/>
              </w:rPr>
            </w:pPr>
            <w:r w:rsidRPr="00CB7E90">
              <w:rPr>
                <w:rFonts w:ascii="Times New Roman" w:hAnsi="Times New Roman"/>
              </w:rPr>
              <w:t>20 minutes</w:t>
            </w:r>
          </w:p>
          <w:p w:rsidR="003C0DB8" w:rsidP="008C66FE" w14:paraId="0850A07A" w14:textId="3197C076">
            <w:pPr>
              <w:ind w:right="144"/>
              <w:jc w:val="center"/>
              <w:rPr>
                <w:rFonts w:ascii="Times New Roman" w:hAnsi="Times New Roman"/>
              </w:rPr>
            </w:pPr>
            <w:r w:rsidRPr="00CB7E90">
              <w:rPr>
                <w:rFonts w:ascii="Times New Roman" w:hAnsi="Times New Roman"/>
              </w:rPr>
              <w:t>per document</w:t>
            </w:r>
          </w:p>
        </w:tc>
        <w:tc>
          <w:tcPr>
            <w:tcW w:w="507" w:type="pct"/>
            <w:vAlign w:val="center"/>
          </w:tcPr>
          <w:p w:rsidR="003C0DB8" w:rsidRPr="00CB7E90" w:rsidP="00F04917" w14:paraId="24A5DC87" w14:textId="36EC7474">
            <w:pPr>
              <w:ind w:right="144"/>
              <w:jc w:val="right"/>
              <w:rPr>
                <w:rFonts w:ascii="Times New Roman" w:hAnsi="Times New Roman"/>
              </w:rPr>
            </w:pPr>
            <w:r>
              <w:rPr>
                <w:rFonts w:ascii="Times New Roman" w:hAnsi="Times New Roman"/>
              </w:rPr>
              <w:t>7</w:t>
            </w:r>
          </w:p>
        </w:tc>
        <w:tc>
          <w:tcPr>
            <w:tcW w:w="464" w:type="pct"/>
            <w:vAlign w:val="center"/>
          </w:tcPr>
          <w:p w:rsidR="003C0DB8" w:rsidRPr="00CB7E90" w:rsidP="00940D53" w14:paraId="37F407C6" w14:textId="728C9B69">
            <w:pPr>
              <w:ind w:right="144"/>
              <w:jc w:val="center"/>
              <w:rPr>
                <w:rFonts w:ascii="Times New Roman" w:hAnsi="Times New Roman"/>
              </w:rPr>
            </w:pPr>
            <w:r>
              <w:rPr>
                <w:rFonts w:ascii="Times New Roman" w:hAnsi="Times New Roman"/>
              </w:rPr>
              <w:t>$</w:t>
            </w:r>
            <w:r w:rsidR="000079C2">
              <w:rPr>
                <w:rFonts w:ascii="Times New Roman" w:hAnsi="Times New Roman"/>
              </w:rPr>
              <w:t>72</w:t>
            </w:r>
            <w:r>
              <w:rPr>
                <w:rFonts w:ascii="Times New Roman" w:hAnsi="Times New Roman"/>
              </w:rPr>
              <w:t>.</w:t>
            </w:r>
            <w:r w:rsidR="000079C2">
              <w:rPr>
                <w:rFonts w:ascii="Times New Roman" w:hAnsi="Times New Roman"/>
              </w:rPr>
              <w:t>47</w:t>
            </w:r>
          </w:p>
        </w:tc>
        <w:tc>
          <w:tcPr>
            <w:tcW w:w="860" w:type="pct"/>
            <w:vAlign w:val="center"/>
          </w:tcPr>
          <w:p w:rsidR="003C0DB8" w:rsidRPr="00CB7E90" w:rsidP="00940D53" w14:paraId="27DAFDAA" w14:textId="2A526C42">
            <w:pPr>
              <w:ind w:right="144"/>
              <w:jc w:val="right"/>
              <w:rPr>
                <w:rFonts w:ascii="Times New Roman" w:hAnsi="Times New Roman"/>
              </w:rPr>
            </w:pPr>
            <w:r w:rsidRPr="00CB7E90">
              <w:rPr>
                <w:rFonts w:ascii="Times New Roman" w:hAnsi="Times New Roman"/>
              </w:rPr>
              <w:t xml:space="preserve">$ </w:t>
            </w:r>
            <w:r w:rsidR="000079C2">
              <w:rPr>
                <w:rFonts w:ascii="Times New Roman" w:hAnsi="Times New Roman"/>
              </w:rPr>
              <w:t>507</w:t>
            </w:r>
          </w:p>
        </w:tc>
      </w:tr>
      <w:tr w14:paraId="68D32279" w14:textId="77777777" w:rsidTr="00A05E4B">
        <w:tblPrEx>
          <w:tblW w:w="5000" w:type="pct"/>
          <w:tblLook w:val="01E0"/>
        </w:tblPrEx>
        <w:tc>
          <w:tcPr>
            <w:tcW w:w="716" w:type="pct"/>
          </w:tcPr>
          <w:p w:rsidR="003C0DB8" w:rsidRPr="00CB7E90" w:rsidP="00F04917" w14:paraId="600DAE6E" w14:textId="77777777">
            <w:pPr>
              <w:rPr>
                <w:rFonts w:ascii="Times New Roman" w:hAnsi="Times New Roman"/>
              </w:rPr>
            </w:pPr>
            <w:r w:rsidRPr="00CB7E90">
              <w:rPr>
                <w:rFonts w:ascii="Times New Roman" w:hAnsi="Times New Roman"/>
              </w:rPr>
              <w:t>State, local, and tribal governments</w:t>
            </w:r>
          </w:p>
          <w:p w:rsidR="003C0DB8" w:rsidRPr="00CB7E90" w:rsidP="00F04917" w14:paraId="07E993BF" w14:textId="77777777">
            <w:pPr>
              <w:rPr>
                <w:rFonts w:ascii="Times New Roman" w:hAnsi="Times New Roman"/>
              </w:rPr>
            </w:pPr>
            <w:r w:rsidRPr="00CB7E90">
              <w:rPr>
                <w:rFonts w:ascii="Times New Roman" w:hAnsi="Times New Roman"/>
              </w:rPr>
              <w:t xml:space="preserve">     -Source documents</w:t>
            </w:r>
          </w:p>
        </w:tc>
        <w:tc>
          <w:tcPr>
            <w:tcW w:w="632" w:type="pct"/>
            <w:vAlign w:val="center"/>
          </w:tcPr>
          <w:p w:rsidR="003C0DB8" w:rsidRPr="00CB7E90" w:rsidP="00F04917" w14:paraId="26D5BB70" w14:textId="77777777">
            <w:pPr>
              <w:ind w:right="144"/>
              <w:jc w:val="right"/>
              <w:rPr>
                <w:rFonts w:ascii="Times New Roman" w:hAnsi="Times New Roman"/>
              </w:rPr>
            </w:pPr>
            <w:r w:rsidRPr="00CB7E90">
              <w:rPr>
                <w:rFonts w:ascii="Times New Roman" w:hAnsi="Times New Roman"/>
              </w:rPr>
              <w:t>220</w:t>
            </w:r>
          </w:p>
        </w:tc>
        <w:tc>
          <w:tcPr>
            <w:tcW w:w="631" w:type="pct"/>
            <w:vAlign w:val="center"/>
          </w:tcPr>
          <w:p w:rsidR="003C0DB8" w:rsidRPr="00CB7E90" w:rsidP="003B5E4E" w14:paraId="5B4A9E14" w14:textId="0DDEF003">
            <w:pPr>
              <w:ind w:right="144"/>
              <w:jc w:val="center"/>
              <w:rPr>
                <w:rFonts w:ascii="Times New Roman" w:hAnsi="Times New Roman"/>
              </w:rPr>
            </w:pPr>
            <w:r>
              <w:rPr>
                <w:rFonts w:ascii="Times New Roman" w:hAnsi="Times New Roman"/>
              </w:rPr>
              <w:t>7</w:t>
            </w:r>
            <w:r w:rsidR="000079C2">
              <w:rPr>
                <w:rFonts w:ascii="Times New Roman" w:hAnsi="Times New Roman"/>
              </w:rPr>
              <w:t>2</w:t>
            </w:r>
          </w:p>
        </w:tc>
        <w:tc>
          <w:tcPr>
            <w:tcW w:w="548" w:type="pct"/>
            <w:vAlign w:val="center"/>
          </w:tcPr>
          <w:p w:rsidR="003C0DB8" w:rsidRPr="00CB7E90" w:rsidP="00F04917" w14:paraId="7084823D" w14:textId="2FDFD386">
            <w:pPr>
              <w:ind w:right="144"/>
              <w:jc w:val="right"/>
              <w:rPr>
                <w:rFonts w:ascii="Times New Roman" w:hAnsi="Times New Roman"/>
              </w:rPr>
            </w:pPr>
            <w:r w:rsidRPr="00CB7E90">
              <w:rPr>
                <w:rFonts w:ascii="Times New Roman" w:hAnsi="Times New Roman"/>
              </w:rPr>
              <w:t>1</w:t>
            </w:r>
            <w:r>
              <w:rPr>
                <w:rFonts w:ascii="Times New Roman" w:hAnsi="Times New Roman"/>
              </w:rPr>
              <w:t>5</w:t>
            </w:r>
            <w:r w:rsidRPr="00CB7E90">
              <w:rPr>
                <w:rFonts w:ascii="Times New Roman" w:hAnsi="Times New Roman"/>
              </w:rPr>
              <w:t>,</w:t>
            </w:r>
            <w:r w:rsidR="000079C2">
              <w:rPr>
                <w:rFonts w:ascii="Times New Roman" w:hAnsi="Times New Roman"/>
              </w:rPr>
              <w:t>856</w:t>
            </w:r>
          </w:p>
        </w:tc>
        <w:tc>
          <w:tcPr>
            <w:tcW w:w="642" w:type="pct"/>
          </w:tcPr>
          <w:p w:rsidR="003C0DB8" w:rsidRPr="00CB7E90" w:rsidP="00F04917" w14:paraId="1A617A54" w14:textId="77777777">
            <w:pPr>
              <w:ind w:right="144"/>
              <w:jc w:val="center"/>
              <w:rPr>
                <w:rFonts w:ascii="Times New Roman" w:hAnsi="Times New Roman"/>
              </w:rPr>
            </w:pPr>
            <w:r w:rsidRPr="00CB7E90">
              <w:rPr>
                <w:rFonts w:ascii="Times New Roman" w:hAnsi="Times New Roman"/>
              </w:rPr>
              <w:t>10 minutes</w:t>
            </w:r>
          </w:p>
          <w:p w:rsidR="003C0DB8" w:rsidRPr="00CB7E90" w:rsidP="008C66FE" w14:paraId="7A22498A" w14:textId="289E9866">
            <w:pPr>
              <w:ind w:right="144"/>
              <w:jc w:val="center"/>
              <w:rPr>
                <w:rFonts w:ascii="Times New Roman" w:hAnsi="Times New Roman"/>
              </w:rPr>
            </w:pPr>
            <w:r w:rsidRPr="00CB7E90">
              <w:rPr>
                <w:rFonts w:ascii="Times New Roman" w:hAnsi="Times New Roman"/>
              </w:rPr>
              <w:t>per document</w:t>
            </w:r>
          </w:p>
        </w:tc>
        <w:tc>
          <w:tcPr>
            <w:tcW w:w="507" w:type="pct"/>
            <w:vAlign w:val="center"/>
          </w:tcPr>
          <w:p w:rsidR="003C0DB8" w:rsidRPr="00CB7E90" w:rsidP="00F04917" w14:paraId="26855419" w14:textId="443E66AE">
            <w:pPr>
              <w:ind w:right="144"/>
              <w:jc w:val="right"/>
              <w:rPr>
                <w:rFonts w:ascii="Times New Roman" w:hAnsi="Times New Roman"/>
              </w:rPr>
            </w:pPr>
            <w:r w:rsidRPr="00CB7E90">
              <w:rPr>
                <w:rFonts w:ascii="Times New Roman" w:hAnsi="Times New Roman"/>
              </w:rPr>
              <w:t>2,</w:t>
            </w:r>
            <w:r w:rsidR="000079C2">
              <w:rPr>
                <w:rFonts w:ascii="Times New Roman" w:hAnsi="Times New Roman"/>
              </w:rPr>
              <w:t>643</w:t>
            </w:r>
          </w:p>
        </w:tc>
        <w:tc>
          <w:tcPr>
            <w:tcW w:w="464" w:type="pct"/>
            <w:vAlign w:val="center"/>
          </w:tcPr>
          <w:p w:rsidR="003C0DB8" w:rsidRPr="00CB7E90" w:rsidP="00940D53" w14:paraId="3FF0619D" w14:textId="412BA88D">
            <w:pPr>
              <w:ind w:right="144"/>
              <w:jc w:val="center"/>
              <w:rPr>
                <w:rFonts w:ascii="Times New Roman" w:hAnsi="Times New Roman"/>
              </w:rPr>
            </w:pPr>
            <w:r>
              <w:rPr>
                <w:rFonts w:ascii="Times New Roman" w:hAnsi="Times New Roman"/>
              </w:rPr>
              <w:t>$</w:t>
            </w:r>
            <w:r w:rsidR="000079C2">
              <w:rPr>
                <w:rFonts w:ascii="Times New Roman" w:hAnsi="Times New Roman"/>
              </w:rPr>
              <w:t>44</w:t>
            </w:r>
            <w:r>
              <w:rPr>
                <w:rFonts w:ascii="Times New Roman" w:hAnsi="Times New Roman"/>
              </w:rPr>
              <w:t>.</w:t>
            </w:r>
            <w:r w:rsidR="000079C2">
              <w:rPr>
                <w:rFonts w:ascii="Times New Roman" w:hAnsi="Times New Roman"/>
              </w:rPr>
              <w:t>27</w:t>
            </w:r>
          </w:p>
        </w:tc>
        <w:tc>
          <w:tcPr>
            <w:tcW w:w="860" w:type="pct"/>
            <w:vAlign w:val="center"/>
          </w:tcPr>
          <w:p w:rsidR="003C0DB8" w:rsidRPr="00CB7E90" w:rsidP="00940D53" w14:paraId="03DDA36C" w14:textId="41A32838">
            <w:pPr>
              <w:ind w:right="144"/>
              <w:jc w:val="right"/>
              <w:rPr>
                <w:rFonts w:ascii="Times New Roman" w:hAnsi="Times New Roman"/>
              </w:rPr>
            </w:pPr>
            <w:r w:rsidRPr="00CB7E90">
              <w:rPr>
                <w:rFonts w:ascii="Times New Roman" w:hAnsi="Times New Roman"/>
              </w:rPr>
              <w:t xml:space="preserve">$ </w:t>
            </w:r>
            <w:r w:rsidR="000079C2">
              <w:rPr>
                <w:rFonts w:ascii="Times New Roman" w:hAnsi="Times New Roman"/>
              </w:rPr>
              <w:t>117</w:t>
            </w:r>
            <w:r>
              <w:rPr>
                <w:rFonts w:ascii="Times New Roman" w:hAnsi="Times New Roman"/>
              </w:rPr>
              <w:t>,</w:t>
            </w:r>
            <w:r w:rsidR="000079C2">
              <w:rPr>
                <w:rFonts w:ascii="Times New Roman" w:hAnsi="Times New Roman"/>
              </w:rPr>
              <w:t>006</w:t>
            </w:r>
          </w:p>
        </w:tc>
      </w:tr>
      <w:tr w14:paraId="6B562159" w14:textId="77777777" w:rsidTr="00A05E4B">
        <w:tblPrEx>
          <w:tblW w:w="5000" w:type="pct"/>
          <w:tblLook w:val="01E0"/>
        </w:tblPrEx>
        <w:tc>
          <w:tcPr>
            <w:tcW w:w="716"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3C707C09" w14:textId="77777777">
            <w:pPr>
              <w:rPr>
                <w:rFonts w:ascii="Times New Roman" w:hAnsi="Times New Roman"/>
              </w:rPr>
            </w:pPr>
            <w:r w:rsidRPr="00CB7E90">
              <w:rPr>
                <w:rFonts w:ascii="Times New Roman" w:hAnsi="Times New Roman"/>
              </w:rPr>
              <w:t>TOTAL</w:t>
            </w:r>
          </w:p>
          <w:p w:rsidR="003C0DB8" w:rsidRPr="00CB7E90" w:rsidP="00F04917" w14:paraId="42532795" w14:textId="77777777">
            <w:pPr>
              <w:rPr>
                <w:rFonts w:ascii="Times New Roman" w:hAnsi="Times New Roman"/>
              </w:rPr>
            </w:pPr>
            <w:r w:rsidRPr="00CB7E90">
              <w:rPr>
                <w:rFonts w:ascii="Times New Roman" w:hAnsi="Times New Roman"/>
              </w:rPr>
              <w:t>State, local, and tribal governments</w:t>
            </w: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0B224F75" w14:textId="3892463E">
            <w:pPr>
              <w:ind w:right="144"/>
              <w:jc w:val="right"/>
              <w:rPr>
                <w:rFonts w:ascii="Times New Roman" w:hAnsi="Times New Roman"/>
              </w:rPr>
            </w:pPr>
            <w:r>
              <w:rPr>
                <w:rFonts w:ascii="Times New Roman" w:hAnsi="Times New Roman"/>
              </w:rPr>
              <w:t>2</w:t>
            </w:r>
            <w:r w:rsidR="000079C2">
              <w:rPr>
                <w:rFonts w:ascii="Times New Roman" w:hAnsi="Times New Roman"/>
              </w:rPr>
              <w:t>4</w:t>
            </w:r>
            <w:r w:rsidR="00732A09">
              <w:rPr>
                <w:rFonts w:ascii="Times New Roman" w:hAnsi="Times New Roman"/>
              </w:rPr>
              <w:t>0</w:t>
            </w:r>
          </w:p>
        </w:tc>
        <w:tc>
          <w:tcPr>
            <w:tcW w:w="631"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71F3ED14" w14:textId="77777777">
            <w:pPr>
              <w:ind w:right="144"/>
              <w:jc w:val="right"/>
              <w:rPr>
                <w:rFonts w:ascii="Times New Roman" w:hAnsi="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3E4EE431" w14:textId="45B10C15">
            <w:pPr>
              <w:ind w:right="144"/>
              <w:jc w:val="right"/>
              <w:rPr>
                <w:rFonts w:ascii="Times New Roman" w:hAnsi="Times New Roman"/>
              </w:rPr>
            </w:pPr>
            <w:r w:rsidRPr="00CB7E90">
              <w:rPr>
                <w:rFonts w:ascii="Times New Roman" w:hAnsi="Times New Roman"/>
              </w:rPr>
              <w:t>1</w:t>
            </w:r>
            <w:r>
              <w:rPr>
                <w:rFonts w:ascii="Times New Roman" w:hAnsi="Times New Roman"/>
              </w:rPr>
              <w:t>5</w:t>
            </w:r>
            <w:r w:rsidRPr="00CB7E90">
              <w:rPr>
                <w:rFonts w:ascii="Times New Roman" w:hAnsi="Times New Roman"/>
              </w:rPr>
              <w:t>,</w:t>
            </w:r>
            <w:r w:rsidR="000079C2">
              <w:rPr>
                <w:rFonts w:ascii="Times New Roman" w:hAnsi="Times New Roman"/>
              </w:rPr>
              <w:t>87</w:t>
            </w:r>
            <w:r w:rsidR="00732A09">
              <w:rPr>
                <w:rFonts w:ascii="Times New Roman" w:hAnsi="Times New Roman"/>
              </w:rPr>
              <w:t>6</w:t>
            </w:r>
          </w:p>
        </w:tc>
        <w:tc>
          <w:tcPr>
            <w:tcW w:w="642" w:type="pct"/>
            <w:tcBorders>
              <w:top w:val="single" w:sz="4" w:space="0" w:color="auto"/>
              <w:left w:val="single" w:sz="4" w:space="0" w:color="auto"/>
              <w:bottom w:val="single" w:sz="4" w:space="0" w:color="auto"/>
              <w:right w:val="single" w:sz="4" w:space="0" w:color="auto"/>
            </w:tcBorders>
            <w:shd w:val="clear" w:color="auto" w:fill="F2F2F2"/>
          </w:tcPr>
          <w:p w:rsidR="003C0DB8" w:rsidRPr="00CB7E90" w:rsidP="00F04917" w14:paraId="215F02FA" w14:textId="77777777">
            <w:pPr>
              <w:ind w:right="144"/>
              <w:jc w:val="right"/>
              <w:rPr>
                <w:rFonts w:ascii="Times New Roman" w:hAnsi="Times New Roman"/>
              </w:rPr>
            </w:pPr>
          </w:p>
        </w:tc>
        <w:tc>
          <w:tcPr>
            <w:tcW w:w="507"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F04917" w14:paraId="7394F77A" w14:textId="5F3516D0">
            <w:pPr>
              <w:ind w:right="144"/>
              <w:jc w:val="right"/>
              <w:rPr>
                <w:rFonts w:ascii="Times New Roman" w:hAnsi="Times New Roman"/>
              </w:rPr>
            </w:pPr>
            <w:r w:rsidRPr="00CB7E90">
              <w:rPr>
                <w:rFonts w:ascii="Times New Roman" w:hAnsi="Times New Roman"/>
              </w:rPr>
              <w:t>2,</w:t>
            </w:r>
            <w:r w:rsidR="000079C2">
              <w:rPr>
                <w:rFonts w:ascii="Times New Roman" w:hAnsi="Times New Roman"/>
              </w:rPr>
              <w:t>650</w:t>
            </w:r>
          </w:p>
        </w:tc>
        <w:tc>
          <w:tcPr>
            <w:tcW w:w="464" w:type="pct"/>
            <w:tcBorders>
              <w:top w:val="single" w:sz="4" w:space="0" w:color="auto"/>
              <w:left w:val="single" w:sz="4" w:space="0" w:color="auto"/>
              <w:bottom w:val="single" w:sz="4" w:space="0" w:color="auto"/>
              <w:right w:val="single" w:sz="4" w:space="0" w:color="auto"/>
            </w:tcBorders>
            <w:shd w:val="thinDiagStripe" w:color="D9D9D9" w:fill="FFFFFF"/>
            <w:vAlign w:val="center"/>
          </w:tcPr>
          <w:p w:rsidR="003C0DB8" w:rsidRPr="00CB7E90" w:rsidP="00F04917" w14:paraId="34E6EEB2" w14:textId="77777777">
            <w:pPr>
              <w:ind w:right="144"/>
              <w:jc w:val="center"/>
              <w:rPr>
                <w:rFonts w:ascii="Times New Roman" w:hAnsi="Times New Roman"/>
              </w:rPr>
            </w:pPr>
          </w:p>
        </w:tc>
        <w:tc>
          <w:tcPr>
            <w:tcW w:w="860" w:type="pct"/>
            <w:tcBorders>
              <w:top w:val="single" w:sz="4" w:space="0" w:color="auto"/>
              <w:left w:val="single" w:sz="4" w:space="0" w:color="auto"/>
              <w:bottom w:val="single" w:sz="4" w:space="0" w:color="auto"/>
              <w:right w:val="single" w:sz="4" w:space="0" w:color="auto"/>
            </w:tcBorders>
            <w:shd w:val="clear" w:color="auto" w:fill="F2F2F2"/>
            <w:vAlign w:val="center"/>
          </w:tcPr>
          <w:p w:rsidR="003C0DB8" w:rsidRPr="00CB7E90" w:rsidP="00940D53" w14:paraId="1A5FE162" w14:textId="730F27FF">
            <w:pPr>
              <w:ind w:right="144"/>
              <w:jc w:val="right"/>
              <w:rPr>
                <w:rFonts w:ascii="Times New Roman" w:hAnsi="Times New Roman"/>
              </w:rPr>
            </w:pPr>
            <w:r>
              <w:rPr>
                <w:rFonts w:ascii="Times New Roman" w:hAnsi="Times New Roman"/>
              </w:rPr>
              <w:t xml:space="preserve">$ </w:t>
            </w:r>
            <w:r w:rsidR="000079C2">
              <w:rPr>
                <w:rFonts w:ascii="Times New Roman" w:hAnsi="Times New Roman"/>
              </w:rPr>
              <w:t>117</w:t>
            </w:r>
            <w:r>
              <w:rPr>
                <w:rFonts w:ascii="Times New Roman" w:hAnsi="Times New Roman"/>
              </w:rPr>
              <w:t>,</w:t>
            </w:r>
            <w:r w:rsidR="000079C2">
              <w:rPr>
                <w:rFonts w:ascii="Times New Roman" w:hAnsi="Times New Roman"/>
              </w:rPr>
              <w:t>513</w:t>
            </w:r>
          </w:p>
        </w:tc>
      </w:tr>
      <w:tr w14:paraId="675A7B56" w14:textId="77777777" w:rsidTr="00A05E4B">
        <w:tblPrEx>
          <w:tblW w:w="5000" w:type="pct"/>
          <w:tblLook w:val="01E0"/>
        </w:tblPrEx>
        <w:tc>
          <w:tcPr>
            <w:tcW w:w="716" w:type="pct"/>
            <w:shd w:val="clear" w:color="auto" w:fill="D9D9D9"/>
          </w:tcPr>
          <w:p w:rsidR="003C0DB8" w:rsidRPr="00CB7E90" w:rsidP="00F04917" w14:paraId="06DE7DA9" w14:textId="77777777">
            <w:pPr>
              <w:jc w:val="right"/>
              <w:rPr>
                <w:rFonts w:ascii="Times New Roman" w:hAnsi="Times New Roman"/>
              </w:rPr>
            </w:pPr>
            <w:r w:rsidRPr="00CB7E90">
              <w:rPr>
                <w:rFonts w:ascii="Times New Roman" w:hAnsi="Times New Roman"/>
                <w:b/>
              </w:rPr>
              <w:t>TOTAL</w:t>
            </w:r>
          </w:p>
        </w:tc>
        <w:tc>
          <w:tcPr>
            <w:tcW w:w="632" w:type="pct"/>
            <w:shd w:val="clear" w:color="auto" w:fill="D9D9D9"/>
            <w:vAlign w:val="center"/>
          </w:tcPr>
          <w:p w:rsidR="003C0DB8" w:rsidRPr="00CB7E90" w:rsidP="00F04917" w14:paraId="20877FFB" w14:textId="06DC89C5">
            <w:pPr>
              <w:ind w:right="144"/>
              <w:jc w:val="right"/>
              <w:rPr>
                <w:rFonts w:ascii="Times New Roman" w:hAnsi="Times New Roman"/>
              </w:rPr>
            </w:pPr>
            <w:r>
              <w:rPr>
                <w:rFonts w:ascii="Times New Roman" w:hAnsi="Times New Roman"/>
                <w:b/>
              </w:rPr>
              <w:t>4</w:t>
            </w:r>
            <w:r w:rsidR="00695956">
              <w:rPr>
                <w:rFonts w:ascii="Times New Roman" w:hAnsi="Times New Roman"/>
                <w:b/>
              </w:rPr>
              <w:t>32</w:t>
            </w:r>
          </w:p>
        </w:tc>
        <w:tc>
          <w:tcPr>
            <w:tcW w:w="631" w:type="pct"/>
            <w:shd w:val="clear" w:color="auto" w:fill="D9D9D9"/>
          </w:tcPr>
          <w:p w:rsidR="003C0DB8" w:rsidP="00F04917" w14:paraId="308E8D9E" w14:textId="77777777">
            <w:pPr>
              <w:ind w:right="144"/>
              <w:jc w:val="right"/>
              <w:rPr>
                <w:rFonts w:ascii="Times New Roman" w:hAnsi="Times New Roman"/>
                <w:b/>
              </w:rPr>
            </w:pPr>
          </w:p>
        </w:tc>
        <w:tc>
          <w:tcPr>
            <w:tcW w:w="548" w:type="pct"/>
            <w:shd w:val="clear" w:color="auto" w:fill="D9D9D9"/>
            <w:vAlign w:val="center"/>
          </w:tcPr>
          <w:p w:rsidR="003C0DB8" w:rsidRPr="00F236F3" w:rsidP="00F04917" w14:paraId="094593E2" w14:textId="4DEDA1FA">
            <w:pPr>
              <w:ind w:right="144"/>
              <w:jc w:val="right"/>
              <w:rPr>
                <w:rFonts w:ascii="Times New Roman" w:hAnsi="Times New Roman"/>
                <w:color w:val="FF0000"/>
              </w:rPr>
            </w:pPr>
            <w:r>
              <w:rPr>
                <w:rFonts w:ascii="Times New Roman" w:hAnsi="Times New Roman"/>
                <w:b/>
              </w:rPr>
              <w:t>16,</w:t>
            </w:r>
            <w:r w:rsidR="00695956">
              <w:rPr>
                <w:rFonts w:ascii="Times New Roman" w:hAnsi="Times New Roman"/>
                <w:b/>
              </w:rPr>
              <w:t>072</w:t>
            </w:r>
          </w:p>
        </w:tc>
        <w:tc>
          <w:tcPr>
            <w:tcW w:w="642" w:type="pct"/>
            <w:shd w:val="clear" w:color="auto" w:fill="D9D9D9"/>
          </w:tcPr>
          <w:p w:rsidR="003C0DB8" w:rsidP="00F04917" w14:paraId="4474EB39" w14:textId="77777777">
            <w:pPr>
              <w:ind w:right="144"/>
              <w:jc w:val="right"/>
              <w:rPr>
                <w:rFonts w:ascii="Times New Roman" w:hAnsi="Times New Roman"/>
                <w:b/>
              </w:rPr>
            </w:pPr>
          </w:p>
        </w:tc>
        <w:tc>
          <w:tcPr>
            <w:tcW w:w="507" w:type="pct"/>
            <w:shd w:val="clear" w:color="auto" w:fill="D9D9D9"/>
            <w:vAlign w:val="center"/>
          </w:tcPr>
          <w:p w:rsidR="003C0DB8" w:rsidRPr="00CB7E90" w:rsidP="00F04917" w14:paraId="4D46F475" w14:textId="64198319">
            <w:pPr>
              <w:ind w:right="144"/>
              <w:jc w:val="right"/>
              <w:rPr>
                <w:rFonts w:ascii="Times New Roman" w:hAnsi="Times New Roman"/>
              </w:rPr>
            </w:pPr>
            <w:r>
              <w:rPr>
                <w:rFonts w:ascii="Times New Roman" w:hAnsi="Times New Roman"/>
                <w:b/>
              </w:rPr>
              <w:t>2</w:t>
            </w:r>
            <w:r w:rsidRPr="00CB7E90">
              <w:rPr>
                <w:rFonts w:ascii="Times New Roman" w:hAnsi="Times New Roman"/>
                <w:b/>
              </w:rPr>
              <w:t>,</w:t>
            </w:r>
            <w:r>
              <w:rPr>
                <w:rFonts w:ascii="Times New Roman" w:hAnsi="Times New Roman"/>
                <w:b/>
              </w:rPr>
              <w:t>7</w:t>
            </w:r>
            <w:r w:rsidR="00695956">
              <w:rPr>
                <w:rFonts w:ascii="Times New Roman" w:hAnsi="Times New Roman"/>
                <w:b/>
              </w:rPr>
              <w:t>8</w:t>
            </w:r>
            <w:r w:rsidR="006A3A77">
              <w:rPr>
                <w:rFonts w:ascii="Times New Roman" w:hAnsi="Times New Roman"/>
                <w:b/>
              </w:rPr>
              <w:t>2</w:t>
            </w:r>
          </w:p>
        </w:tc>
        <w:tc>
          <w:tcPr>
            <w:tcW w:w="464" w:type="pct"/>
            <w:tcBorders>
              <w:bottom w:val="single" w:sz="4" w:space="0" w:color="auto"/>
            </w:tcBorders>
            <w:shd w:val="clear" w:color="auto" w:fill="D9D9D9"/>
          </w:tcPr>
          <w:p w:rsidR="003C0DB8" w:rsidRPr="00CB7E90" w:rsidP="00F04917" w14:paraId="361CFE8D" w14:textId="77777777">
            <w:pPr>
              <w:ind w:right="144"/>
              <w:jc w:val="center"/>
              <w:rPr>
                <w:rFonts w:ascii="Times New Roman" w:hAnsi="Times New Roman"/>
              </w:rPr>
            </w:pPr>
          </w:p>
        </w:tc>
        <w:tc>
          <w:tcPr>
            <w:tcW w:w="860" w:type="pct"/>
            <w:shd w:val="clear" w:color="auto" w:fill="D9D9D9"/>
            <w:vAlign w:val="center"/>
          </w:tcPr>
          <w:p w:rsidR="003C0DB8" w:rsidRPr="00CB7E90" w:rsidP="00940D53" w14:paraId="115E3D18" w14:textId="4793F193">
            <w:pPr>
              <w:ind w:right="144"/>
              <w:jc w:val="right"/>
              <w:rPr>
                <w:rFonts w:ascii="Times New Roman" w:hAnsi="Times New Roman"/>
              </w:rPr>
            </w:pPr>
            <w:r w:rsidRPr="002168F1">
              <w:rPr>
                <w:rFonts w:ascii="Times New Roman" w:hAnsi="Times New Roman"/>
                <w:b/>
              </w:rPr>
              <w:t xml:space="preserve">$ </w:t>
            </w:r>
            <w:r w:rsidR="00600455">
              <w:rPr>
                <w:rFonts w:ascii="Times New Roman" w:hAnsi="Times New Roman"/>
                <w:b/>
              </w:rPr>
              <w:t>12</w:t>
            </w:r>
            <w:r w:rsidR="00695956">
              <w:rPr>
                <w:rFonts w:ascii="Times New Roman" w:hAnsi="Times New Roman"/>
                <w:b/>
              </w:rPr>
              <w:t>5</w:t>
            </w:r>
            <w:r w:rsidR="00600455">
              <w:rPr>
                <w:rFonts w:ascii="Times New Roman" w:hAnsi="Times New Roman"/>
                <w:b/>
              </w:rPr>
              <w:t>,</w:t>
            </w:r>
            <w:r w:rsidR="00695956">
              <w:rPr>
                <w:rFonts w:ascii="Times New Roman" w:hAnsi="Times New Roman"/>
                <w:b/>
              </w:rPr>
              <w:t>850</w:t>
            </w:r>
          </w:p>
        </w:tc>
      </w:tr>
    </w:tbl>
    <w:p w:rsidR="000B2CD7" w:rsidRPr="00CB7E90" w:rsidP="000B2CD7" w14:paraId="153A863C" w14:textId="77777777">
      <w:pPr>
        <w:rPr>
          <w:rFonts w:ascii="Times New Roman" w:hAnsi="Times New Roman"/>
          <w:b/>
          <w:sz w:val="24"/>
          <w:szCs w:val="24"/>
        </w:rPr>
      </w:pPr>
    </w:p>
    <w:p w:rsidR="008C6C7F" w:rsidRPr="00D53DEB" w:rsidP="008C6C7F" w14:paraId="386413FA" w14:textId="01F1E13B">
      <w:pPr>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6334A1" w:rsidRPr="00FA0DE2" w:rsidP="006334A1" w14:paraId="1D1DCDE5" w14:textId="77777777">
      <w:pPr>
        <w:rPr>
          <w:rFonts w:ascii="Times New Roman" w:hAnsi="Times New Roman"/>
          <w:sz w:val="24"/>
          <w:szCs w:val="24"/>
        </w:rPr>
      </w:pPr>
    </w:p>
    <w:p w:rsidR="006334A1" w:rsidRPr="00597C9D" w:rsidP="006334A1" w14:paraId="1B708F94" w14:textId="5D7A8AFF">
      <w:pPr>
        <w:rPr>
          <w:rFonts w:ascii="Times New Roman" w:hAnsi="Times New Roman"/>
          <w:b/>
          <w:bCs/>
        </w:rPr>
      </w:pPr>
      <w:r w:rsidRPr="00FA0DE2">
        <w:rPr>
          <w:rFonts w:ascii="Times New Roman" w:hAnsi="Times New Roman"/>
          <w:sz w:val="24"/>
          <w:szCs w:val="24"/>
        </w:rPr>
        <w:t>•</w:t>
      </w:r>
      <w:r>
        <w:rPr>
          <w:rFonts w:ascii="Times New Roman" w:hAnsi="Times New Roman"/>
          <w:sz w:val="24"/>
          <w:szCs w:val="24"/>
        </w:rPr>
        <w:t xml:space="preserve"> </w:t>
      </w:r>
      <w:r w:rsidRPr="00597C9D">
        <w:rPr>
          <w:rFonts w:ascii="Times New Roman" w:hAnsi="Times New Roman"/>
          <w:b/>
          <w:bCs/>
        </w:rPr>
        <w:t xml:space="preserve">The cost estimate should be split into two components: (a) a total capital and start-up cost component (annualized over its expected useful life); and (b) a total operation and maintenance and purchase of service component. The estimates should </w:t>
      </w:r>
      <w:r w:rsidRPr="00597C9D">
        <w:rPr>
          <w:rFonts w:ascii="Times New Roman" w:hAnsi="Times New Roman"/>
          <w:b/>
          <w:bCs/>
        </w:rPr>
        <w:t>take into account</w:t>
      </w:r>
      <w:r w:rsidRPr="00597C9D">
        <w:rPr>
          <w:rFonts w:ascii="Times New Roman" w:hAnsi="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34A1" w:rsidRPr="00597C9D" w:rsidP="006334A1" w14:paraId="4D7F36E6" w14:textId="77777777">
      <w:pPr>
        <w:rPr>
          <w:rFonts w:ascii="Times New Roman" w:hAnsi="Times New Roman"/>
          <w:b/>
          <w:bCs/>
        </w:rPr>
      </w:pPr>
    </w:p>
    <w:p w:rsidR="006334A1" w:rsidRPr="00597C9D" w:rsidP="006334A1" w14:paraId="4840DBE2" w14:textId="6471E080">
      <w:pPr>
        <w:rPr>
          <w:rFonts w:ascii="Times New Roman" w:hAnsi="Times New Roman"/>
          <w:b/>
          <w:bCs/>
        </w:rPr>
      </w:pPr>
      <w:r w:rsidRPr="00597C9D">
        <w:rPr>
          <w:rFonts w:ascii="Times New Roman" w:hAnsi="Times New Roman"/>
          <w:b/>
          <w:bCs/>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34A1" w:rsidRPr="00597C9D" w:rsidP="006334A1" w14:paraId="0EA76C27" w14:textId="77777777">
      <w:pPr>
        <w:rPr>
          <w:rFonts w:ascii="Times New Roman" w:hAnsi="Times New Roman"/>
          <w:b/>
          <w:bCs/>
        </w:rPr>
      </w:pPr>
    </w:p>
    <w:p w:rsidR="006334A1" w:rsidRPr="00597C9D" w:rsidP="006334A1" w14:paraId="7B405300" w14:textId="77777777">
      <w:pPr>
        <w:rPr>
          <w:rFonts w:ascii="Times New Roman" w:hAnsi="Times New Roman"/>
          <w:b/>
          <w:bCs/>
        </w:rPr>
      </w:pPr>
      <w:r w:rsidRPr="00597C9D">
        <w:rPr>
          <w:rFonts w:ascii="Times New Roman" w:hAnsi="Times New Roman"/>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34A1" w:rsidP="000B2CD7" w14:paraId="792F22DC" w14:textId="77777777">
      <w:pPr>
        <w:rPr>
          <w:rFonts w:ascii="Times New Roman" w:hAnsi="Times New Roman"/>
          <w:sz w:val="24"/>
          <w:szCs w:val="24"/>
        </w:rPr>
      </w:pPr>
    </w:p>
    <w:p w:rsidR="000B2CD7" w:rsidRPr="00CB7E90" w:rsidP="000B2CD7" w14:paraId="751A16C6" w14:textId="47A0A6E3">
      <w:pPr>
        <w:rPr>
          <w:rFonts w:ascii="Times New Roman" w:hAnsi="Times New Roman"/>
          <w:sz w:val="24"/>
          <w:szCs w:val="24"/>
        </w:rPr>
      </w:pPr>
      <w:r w:rsidRPr="00CB7E90">
        <w:rPr>
          <w:rFonts w:ascii="Times New Roman" w:hAnsi="Times New Roman"/>
          <w:sz w:val="24"/>
          <w:szCs w:val="24"/>
        </w:rPr>
        <w:t xml:space="preserve">There are no additional costs </w:t>
      </w:r>
      <w:r w:rsidRPr="00CB7E90">
        <w:rPr>
          <w:rFonts w:ascii="Times New Roman" w:hAnsi="Times New Roman"/>
          <w:sz w:val="24"/>
          <w:szCs w:val="24"/>
        </w:rPr>
        <w:t>to</w:t>
      </w:r>
      <w:r w:rsidRPr="00CB7E90">
        <w:rPr>
          <w:rFonts w:ascii="Times New Roman" w:hAnsi="Times New Roman"/>
          <w:sz w:val="24"/>
          <w:szCs w:val="24"/>
        </w:rPr>
        <w:t xml:space="preserve"> respondents or record keepers resulting from the information collection. </w:t>
      </w:r>
    </w:p>
    <w:p w:rsidR="000B2CD7" w:rsidRPr="00CB7E90" w:rsidP="000B2CD7" w14:paraId="04E8A61F" w14:textId="77777777">
      <w:pPr>
        <w:rPr>
          <w:rFonts w:ascii="Times New Roman" w:hAnsi="Times New Roman"/>
          <w:b/>
          <w:sz w:val="24"/>
          <w:szCs w:val="24"/>
        </w:rPr>
      </w:pPr>
    </w:p>
    <w:p w:rsidR="008C6C7F" w:rsidRPr="00D53DEB" w:rsidP="008C6C7F" w14:paraId="2A6D5763" w14:textId="4736FD75">
      <w:pPr>
        <w:rPr>
          <w:rFonts w:ascii="Times New Roman" w:hAnsi="Times New Roman"/>
        </w:rPr>
      </w:pPr>
      <w:bookmarkStart w:id="3" w:name="_Hlk193379383"/>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0B2CD7" w:rsidRPr="00CB7E90" w:rsidP="000B2CD7" w14:paraId="7CE099C2" w14:textId="77777777">
      <w:pPr>
        <w:rPr>
          <w:rFonts w:ascii="Times New Roman" w:hAnsi="Times New Roman"/>
          <w:sz w:val="24"/>
          <w:szCs w:val="24"/>
        </w:rPr>
      </w:pPr>
    </w:p>
    <w:p w:rsidR="000B2CD7" w:rsidRPr="00CB7E90" w:rsidP="000B2CD7" w14:paraId="4F77977E" w14:textId="38517C11">
      <w:pPr>
        <w:autoSpaceDE w:val="0"/>
        <w:autoSpaceDN w:val="0"/>
        <w:adjustRightInd w:val="0"/>
        <w:rPr>
          <w:rFonts w:ascii="Times New Roman" w:hAnsi="Times New Roman"/>
          <w:sz w:val="24"/>
          <w:szCs w:val="24"/>
        </w:rPr>
      </w:pPr>
      <w:r w:rsidRPr="00CB7E90">
        <w:rPr>
          <w:rFonts w:ascii="Times New Roman" w:hAnsi="Times New Roman"/>
          <w:sz w:val="24"/>
          <w:szCs w:val="24"/>
        </w:rPr>
        <w:t xml:space="preserve">Collection costs for the CFOI are funded on a 50/50 </w:t>
      </w:r>
      <w:r w:rsidR="00390A30">
        <w:rPr>
          <w:rFonts w:ascii="Times New Roman" w:hAnsi="Times New Roman"/>
          <w:sz w:val="24"/>
          <w:szCs w:val="24"/>
        </w:rPr>
        <w:t>f</w:t>
      </w:r>
      <w:r w:rsidRPr="00CB7E90">
        <w:rPr>
          <w:rFonts w:ascii="Times New Roman" w:hAnsi="Times New Roman"/>
          <w:sz w:val="24"/>
          <w:szCs w:val="24"/>
        </w:rPr>
        <w:t>ederal-</w:t>
      </w:r>
      <w:r w:rsidR="00390A30">
        <w:rPr>
          <w:rFonts w:ascii="Times New Roman" w:hAnsi="Times New Roman"/>
          <w:sz w:val="24"/>
          <w:szCs w:val="24"/>
        </w:rPr>
        <w:t>s</w:t>
      </w:r>
      <w:r w:rsidRPr="00CB7E90">
        <w:rPr>
          <w:rFonts w:ascii="Times New Roman" w:hAnsi="Times New Roman"/>
          <w:sz w:val="24"/>
          <w:szCs w:val="24"/>
        </w:rPr>
        <w:t xml:space="preserve">tate matching basis. The </w:t>
      </w:r>
      <w:r w:rsidR="00390A30">
        <w:rPr>
          <w:rFonts w:ascii="Times New Roman" w:hAnsi="Times New Roman"/>
          <w:sz w:val="24"/>
          <w:szCs w:val="24"/>
        </w:rPr>
        <w:t>f</w:t>
      </w:r>
      <w:r w:rsidRPr="00CB7E90">
        <w:rPr>
          <w:rFonts w:ascii="Times New Roman" w:hAnsi="Times New Roman"/>
          <w:sz w:val="24"/>
          <w:szCs w:val="24"/>
        </w:rPr>
        <w:t xml:space="preserve">ederal share of collection costs in Fiscal Year </w:t>
      </w:r>
      <w:r w:rsidRPr="00E95C86">
        <w:rPr>
          <w:rFonts w:ascii="Times New Roman" w:hAnsi="Times New Roman"/>
          <w:sz w:val="24"/>
          <w:szCs w:val="24"/>
        </w:rPr>
        <w:t>(FY</w:t>
      </w:r>
      <w:r w:rsidRPr="00987488">
        <w:rPr>
          <w:rFonts w:ascii="Times New Roman" w:hAnsi="Times New Roman"/>
          <w:sz w:val="24"/>
          <w:szCs w:val="24"/>
        </w:rPr>
        <w:t xml:space="preserve">) </w:t>
      </w:r>
      <w:r w:rsidRPr="00987488" w:rsidR="00145DA5">
        <w:rPr>
          <w:rFonts w:ascii="Times New Roman" w:hAnsi="Times New Roman"/>
          <w:sz w:val="24"/>
          <w:szCs w:val="24"/>
        </w:rPr>
        <w:t xml:space="preserve">2025 </w:t>
      </w:r>
      <w:r w:rsidRPr="00987488">
        <w:rPr>
          <w:rFonts w:ascii="Times New Roman" w:hAnsi="Times New Roman"/>
          <w:sz w:val="24"/>
          <w:szCs w:val="24"/>
        </w:rPr>
        <w:t>is $</w:t>
      </w:r>
      <w:r w:rsidRPr="00987488" w:rsidR="00F155E5">
        <w:rPr>
          <w:rFonts w:ascii="Times New Roman" w:hAnsi="Times New Roman"/>
          <w:sz w:val="24"/>
          <w:szCs w:val="24"/>
        </w:rPr>
        <w:t>2</w:t>
      </w:r>
      <w:r w:rsidRPr="00987488" w:rsidR="001346F9">
        <w:rPr>
          <w:rFonts w:ascii="Times New Roman" w:hAnsi="Times New Roman"/>
          <w:sz w:val="24"/>
          <w:szCs w:val="24"/>
        </w:rPr>
        <w:t xml:space="preserve"> </w:t>
      </w:r>
      <w:r w:rsidRPr="00987488">
        <w:rPr>
          <w:rFonts w:ascii="Times New Roman" w:hAnsi="Times New Roman"/>
          <w:sz w:val="24"/>
          <w:szCs w:val="24"/>
        </w:rPr>
        <w:t xml:space="preserve">million, an amount that is being matched by participating </w:t>
      </w:r>
      <w:r w:rsidRPr="00987488" w:rsidR="00390A30">
        <w:rPr>
          <w:rFonts w:ascii="Times New Roman" w:hAnsi="Times New Roman"/>
          <w:sz w:val="24"/>
          <w:szCs w:val="24"/>
        </w:rPr>
        <w:t>s</w:t>
      </w:r>
      <w:r w:rsidRPr="00987488">
        <w:rPr>
          <w:rFonts w:ascii="Times New Roman" w:hAnsi="Times New Roman"/>
          <w:sz w:val="24"/>
          <w:szCs w:val="24"/>
        </w:rPr>
        <w:t>tates. An additional $</w:t>
      </w:r>
      <w:r w:rsidRPr="00987488" w:rsidR="00F155E5">
        <w:rPr>
          <w:rFonts w:ascii="Times New Roman" w:hAnsi="Times New Roman"/>
          <w:sz w:val="24"/>
          <w:szCs w:val="24"/>
        </w:rPr>
        <w:t>3</w:t>
      </w:r>
      <w:r w:rsidRPr="00987488">
        <w:rPr>
          <w:rFonts w:ascii="Times New Roman" w:hAnsi="Times New Roman"/>
          <w:sz w:val="24"/>
          <w:szCs w:val="24"/>
        </w:rPr>
        <w:t xml:space="preserve"> million in FY </w:t>
      </w:r>
      <w:r w:rsidR="00145DA5">
        <w:rPr>
          <w:rFonts w:ascii="Times New Roman" w:hAnsi="Times New Roman"/>
          <w:sz w:val="24"/>
          <w:szCs w:val="24"/>
        </w:rPr>
        <w:t>2025</w:t>
      </w:r>
      <w:r w:rsidRPr="00CB7E90" w:rsidR="00145DA5">
        <w:rPr>
          <w:rFonts w:ascii="Times New Roman" w:hAnsi="Times New Roman"/>
          <w:sz w:val="24"/>
          <w:szCs w:val="24"/>
        </w:rPr>
        <w:t xml:space="preserve"> </w:t>
      </w:r>
      <w:r w:rsidRPr="00CB7E90">
        <w:rPr>
          <w:rFonts w:ascii="Times New Roman" w:hAnsi="Times New Roman"/>
          <w:sz w:val="24"/>
          <w:szCs w:val="24"/>
        </w:rPr>
        <w:t xml:space="preserve">non-collection expenses is being incurred by the BLS, for the purpose of providing and maintaining the computers, telecommunications capacity, and software needed to capture the data, as well as retaining the staff who refine the scope of the fatality census, maintain data quality standards, produce and distribute counts and rates to the </w:t>
      </w:r>
      <w:r w:rsidR="00390A30">
        <w:rPr>
          <w:rFonts w:ascii="Times New Roman" w:hAnsi="Times New Roman"/>
          <w:sz w:val="24"/>
          <w:szCs w:val="24"/>
        </w:rPr>
        <w:t>s</w:t>
      </w:r>
      <w:r w:rsidRPr="00CB7E90">
        <w:rPr>
          <w:rFonts w:ascii="Times New Roman" w:hAnsi="Times New Roman"/>
          <w:sz w:val="24"/>
          <w:szCs w:val="24"/>
        </w:rPr>
        <w:t xml:space="preserve">tates, and publish the national data.  </w:t>
      </w:r>
    </w:p>
    <w:bookmarkEnd w:id="3"/>
    <w:p w:rsidR="000B2CD7" w:rsidRPr="00CB7E90" w:rsidP="000B2CD7" w14:paraId="39FBABE5" w14:textId="77777777">
      <w:pPr>
        <w:rPr>
          <w:rFonts w:ascii="Times New Roman" w:hAnsi="Times New Roman"/>
          <w:b/>
          <w:sz w:val="24"/>
          <w:szCs w:val="24"/>
        </w:rPr>
      </w:pPr>
    </w:p>
    <w:p w:rsidR="008C6C7F" w:rsidRPr="00A47DA7" w:rsidP="008C6C7F" w14:paraId="4D276B0E" w14:textId="77777777">
      <w:pPr>
        <w:ind w:left="360" w:hanging="360"/>
        <w:rPr>
          <w:rFonts w:ascii="Times New Roman" w:hAnsi="Times New Roman"/>
          <w:b/>
          <w:bCs/>
        </w:rPr>
      </w:pPr>
      <w:r w:rsidRPr="00D53DEB">
        <w:rPr>
          <w:rFonts w:ascii="Times New Roman" w:hAnsi="Times New Roman"/>
          <w:b/>
          <w:bCs/>
        </w:rPr>
        <w:t>15.</w:t>
      </w:r>
      <w:r>
        <w:rPr>
          <w:rFonts w:ascii="Times New Roman" w:hAnsi="Times New Roman"/>
          <w:b/>
          <w:bCs/>
        </w:rPr>
        <w:t xml:space="preserve">  </w:t>
      </w:r>
      <w:r w:rsidRPr="00D53DEB">
        <w:rPr>
          <w:rFonts w:ascii="Times New Roman" w:hAnsi="Times New Roman"/>
          <w:b/>
          <w:bCs/>
        </w:rPr>
        <w:t>Explain the reasons for any program changes or adjustments</w:t>
      </w:r>
      <w:r w:rsidRPr="00A47DA7">
        <w:rPr>
          <w:rFonts w:ascii="Times New Roman" w:hAnsi="Times New Roman"/>
          <w:b/>
          <w:bCs/>
        </w:rPr>
        <w:t>.</w:t>
      </w:r>
    </w:p>
    <w:p w:rsidR="000B2CD7" w:rsidRPr="00CB7E90" w:rsidP="000B2CD7" w14:paraId="60D03017" w14:textId="77777777">
      <w:pPr>
        <w:rPr>
          <w:rFonts w:ascii="Times New Roman" w:hAnsi="Times New Roman"/>
          <w:sz w:val="24"/>
          <w:szCs w:val="24"/>
        </w:rPr>
      </w:pPr>
    </w:p>
    <w:p w:rsidR="000B2CD7" w:rsidRPr="00CB7E90" w:rsidP="000B2CD7" w14:paraId="64E25CAB" w14:textId="77777777">
      <w:pPr>
        <w:rPr>
          <w:rFonts w:ascii="Times New Roman" w:hAnsi="Times New Roman"/>
          <w:sz w:val="24"/>
          <w:szCs w:val="24"/>
        </w:rPr>
      </w:pPr>
    </w:p>
    <w:p w:rsidR="000B2CD7" w:rsidRPr="00CB7E90" w:rsidP="000B2CD7" w14:paraId="5B09E9C8" w14:textId="3C543FF0">
      <w:pPr>
        <w:rPr>
          <w:rFonts w:ascii="Times New Roman" w:hAnsi="Times New Roman"/>
          <w:sz w:val="24"/>
          <w:szCs w:val="24"/>
        </w:rPr>
      </w:pPr>
      <w:r w:rsidRPr="00CB7E90">
        <w:rPr>
          <w:rFonts w:ascii="Times New Roman" w:hAnsi="Times New Roman"/>
          <w:sz w:val="24"/>
          <w:szCs w:val="24"/>
        </w:rPr>
        <w:t xml:space="preserve">Burden and cost estimates are based on the maximum value over </w:t>
      </w:r>
      <w:r w:rsidRPr="008A3604">
        <w:rPr>
          <w:rFonts w:ascii="Times New Roman" w:hAnsi="Times New Roman"/>
          <w:sz w:val="24"/>
          <w:szCs w:val="24"/>
        </w:rPr>
        <w:t>the five-year period from 201</w:t>
      </w:r>
      <w:r w:rsidRPr="008A3604" w:rsidR="00695956">
        <w:rPr>
          <w:rFonts w:ascii="Times New Roman" w:hAnsi="Times New Roman"/>
          <w:sz w:val="24"/>
          <w:szCs w:val="24"/>
        </w:rPr>
        <w:t>9</w:t>
      </w:r>
      <w:r w:rsidRPr="008A3604">
        <w:rPr>
          <w:rFonts w:ascii="Times New Roman" w:hAnsi="Times New Roman"/>
          <w:sz w:val="24"/>
          <w:szCs w:val="24"/>
        </w:rPr>
        <w:t>-20</w:t>
      </w:r>
      <w:r w:rsidRPr="008A3604" w:rsidR="006A432D">
        <w:rPr>
          <w:rFonts w:ascii="Times New Roman" w:hAnsi="Times New Roman"/>
          <w:sz w:val="24"/>
          <w:szCs w:val="24"/>
        </w:rPr>
        <w:t>2</w:t>
      </w:r>
      <w:r w:rsidRPr="008A3604" w:rsidR="00695956">
        <w:rPr>
          <w:rFonts w:ascii="Times New Roman" w:hAnsi="Times New Roman"/>
          <w:sz w:val="24"/>
          <w:szCs w:val="24"/>
        </w:rPr>
        <w:t>3</w:t>
      </w:r>
      <w:r w:rsidRPr="008A3604">
        <w:rPr>
          <w:rFonts w:ascii="Times New Roman" w:hAnsi="Times New Roman"/>
          <w:sz w:val="24"/>
          <w:szCs w:val="24"/>
        </w:rPr>
        <w:t xml:space="preserve"> </w:t>
      </w:r>
      <w:r w:rsidRPr="008A3604" w:rsidR="002F2785">
        <w:rPr>
          <w:rFonts w:ascii="Times New Roman" w:hAnsi="Times New Roman"/>
          <w:sz w:val="24"/>
          <w:szCs w:val="24"/>
        </w:rPr>
        <w:t xml:space="preserve">data </w:t>
      </w:r>
      <w:r w:rsidRPr="008A3604">
        <w:rPr>
          <w:rFonts w:ascii="Times New Roman" w:hAnsi="Times New Roman"/>
          <w:sz w:val="24"/>
          <w:szCs w:val="24"/>
        </w:rPr>
        <w:t xml:space="preserve">to account for any additional increase in future years. The overall </w:t>
      </w:r>
      <w:r w:rsidRPr="008A3604" w:rsidR="00594533">
        <w:rPr>
          <w:rFonts w:ascii="Times New Roman" w:hAnsi="Times New Roman"/>
          <w:sz w:val="24"/>
          <w:szCs w:val="24"/>
        </w:rPr>
        <w:t>increase</w:t>
      </w:r>
      <w:r w:rsidRPr="00CB7E90">
        <w:rPr>
          <w:rFonts w:ascii="Times New Roman" w:hAnsi="Times New Roman"/>
          <w:sz w:val="24"/>
          <w:szCs w:val="24"/>
        </w:rPr>
        <w:t xml:space="preserve"> in burden hours </w:t>
      </w:r>
      <w:r w:rsidR="00545C1C">
        <w:rPr>
          <w:rFonts w:ascii="Times New Roman" w:hAnsi="Times New Roman"/>
          <w:sz w:val="24"/>
          <w:szCs w:val="24"/>
        </w:rPr>
        <w:t xml:space="preserve">from </w:t>
      </w:r>
      <w:r w:rsidRPr="00810750" w:rsidR="006A432D">
        <w:rPr>
          <w:rFonts w:ascii="Times New Roman" w:hAnsi="Times New Roman"/>
          <w:sz w:val="24"/>
          <w:szCs w:val="24"/>
        </w:rPr>
        <w:t>2,</w:t>
      </w:r>
      <w:r w:rsidRPr="00810750" w:rsidR="0059154D">
        <w:rPr>
          <w:rFonts w:ascii="Times New Roman" w:hAnsi="Times New Roman"/>
          <w:sz w:val="24"/>
          <w:szCs w:val="24"/>
        </w:rPr>
        <w:t>7</w:t>
      </w:r>
      <w:r w:rsidR="003E2ED4">
        <w:rPr>
          <w:rFonts w:ascii="Times New Roman" w:hAnsi="Times New Roman"/>
          <w:sz w:val="24"/>
          <w:szCs w:val="24"/>
        </w:rPr>
        <w:t>60</w:t>
      </w:r>
      <w:r w:rsidRPr="00810750" w:rsidR="00545C1C">
        <w:rPr>
          <w:rFonts w:ascii="Times New Roman" w:hAnsi="Times New Roman"/>
          <w:sz w:val="24"/>
          <w:szCs w:val="24"/>
        </w:rPr>
        <w:t xml:space="preserve"> to </w:t>
      </w:r>
      <w:r w:rsidRPr="00810750" w:rsidR="006A432D">
        <w:rPr>
          <w:rFonts w:ascii="Times New Roman" w:hAnsi="Times New Roman"/>
          <w:sz w:val="24"/>
          <w:szCs w:val="24"/>
        </w:rPr>
        <w:t>2,7</w:t>
      </w:r>
      <w:r w:rsidR="00594533">
        <w:rPr>
          <w:rFonts w:ascii="Times New Roman" w:hAnsi="Times New Roman"/>
          <w:sz w:val="24"/>
          <w:szCs w:val="24"/>
        </w:rPr>
        <w:t>82</w:t>
      </w:r>
      <w:r w:rsidR="00545C1C">
        <w:rPr>
          <w:rFonts w:ascii="Times New Roman" w:hAnsi="Times New Roman"/>
          <w:sz w:val="24"/>
          <w:szCs w:val="24"/>
        </w:rPr>
        <w:t xml:space="preserve"> </w:t>
      </w:r>
      <w:r w:rsidRPr="00CB7E90">
        <w:rPr>
          <w:rFonts w:ascii="Times New Roman" w:hAnsi="Times New Roman"/>
          <w:sz w:val="24"/>
          <w:szCs w:val="24"/>
        </w:rPr>
        <w:t xml:space="preserve">reflects an overall </w:t>
      </w:r>
      <w:r w:rsidR="00594533">
        <w:rPr>
          <w:rFonts w:ascii="Times New Roman" w:hAnsi="Times New Roman"/>
          <w:sz w:val="24"/>
          <w:szCs w:val="24"/>
        </w:rPr>
        <w:t>increase</w:t>
      </w:r>
      <w:r w:rsidRPr="00CB7E90">
        <w:rPr>
          <w:rFonts w:ascii="Times New Roman" w:hAnsi="Times New Roman"/>
          <w:sz w:val="24"/>
          <w:szCs w:val="24"/>
        </w:rPr>
        <w:t xml:space="preserve"> in the number of fatal occupational injuries during this period, which resulted in </w:t>
      </w:r>
      <w:r w:rsidR="00594533">
        <w:rPr>
          <w:rFonts w:ascii="Times New Roman" w:hAnsi="Times New Roman"/>
          <w:sz w:val="24"/>
          <w:szCs w:val="24"/>
        </w:rPr>
        <w:t>more</w:t>
      </w:r>
      <w:r w:rsidRPr="00CB7E90">
        <w:rPr>
          <w:rFonts w:ascii="Times New Roman" w:hAnsi="Times New Roman"/>
          <w:sz w:val="24"/>
          <w:szCs w:val="24"/>
        </w:rPr>
        <w:t xml:space="preserve"> </w:t>
      </w:r>
      <w:r w:rsidR="00041358">
        <w:rPr>
          <w:rFonts w:ascii="Times New Roman" w:hAnsi="Times New Roman"/>
          <w:sz w:val="24"/>
          <w:szCs w:val="24"/>
        </w:rPr>
        <w:t>follow-back</w:t>
      </w:r>
      <w:r w:rsidRPr="00CB7E90">
        <w:rPr>
          <w:rFonts w:ascii="Times New Roman" w:hAnsi="Times New Roman"/>
          <w:sz w:val="24"/>
          <w:szCs w:val="24"/>
        </w:rPr>
        <w:t xml:space="preserve"> questionnaires received. </w:t>
      </w:r>
    </w:p>
    <w:p w:rsidR="000B2CD7" w:rsidRPr="00CB7E90" w:rsidP="000B2CD7" w14:paraId="265A7972" w14:textId="77777777">
      <w:pPr>
        <w:rPr>
          <w:rFonts w:ascii="Times New Roman" w:hAnsi="Times New Roman"/>
          <w:b/>
          <w:sz w:val="24"/>
          <w:szCs w:val="24"/>
        </w:rPr>
      </w:pPr>
    </w:p>
    <w:p w:rsidR="008C6C7F" w:rsidRPr="00D53DEB" w:rsidP="008C6C7F" w14:paraId="5FE6708A" w14:textId="3E8B364C">
      <w:pPr>
        <w:rPr>
          <w:rFonts w:ascii="Times New Roman" w:hAnsi="Times New Roman"/>
        </w:rPr>
      </w:pPr>
      <w:r w:rsidRPr="00D53DEB">
        <w:rPr>
          <w:rFonts w:ascii="Times New Roman" w:hAnsi="Times New Roman"/>
          <w:b/>
          <w:bCs/>
        </w:rPr>
        <w:t xml:space="preserve">16. </w:t>
      </w:r>
      <w:r>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0B2CD7" w:rsidRPr="00CB7E90" w:rsidP="000B2CD7" w14:paraId="12FCE3C0" w14:textId="77777777">
      <w:pPr>
        <w:rPr>
          <w:rFonts w:ascii="Times New Roman" w:hAnsi="Times New Roman"/>
          <w:sz w:val="24"/>
          <w:szCs w:val="24"/>
        </w:rPr>
      </w:pPr>
    </w:p>
    <w:p w:rsidR="004E3FC7" w:rsidP="000B2CD7" w14:paraId="087FA83B" w14:textId="77777777">
      <w:pPr>
        <w:rPr>
          <w:rFonts w:ascii="Times New Roman" w:hAnsi="Times New Roman"/>
          <w:sz w:val="24"/>
          <w:szCs w:val="24"/>
        </w:rPr>
      </w:pPr>
    </w:p>
    <w:p w:rsidR="000B2CD7" w:rsidRPr="00CB7E90" w:rsidP="000B2CD7" w14:paraId="0AB9EE6E" w14:textId="72001702">
      <w:pPr>
        <w:rPr>
          <w:rFonts w:ascii="Times New Roman" w:hAnsi="Times New Roman"/>
          <w:sz w:val="24"/>
          <w:szCs w:val="24"/>
        </w:rPr>
      </w:pPr>
      <w:r w:rsidRPr="00CB7E90">
        <w:rPr>
          <w:rFonts w:ascii="Times New Roman" w:hAnsi="Times New Roman"/>
          <w:sz w:val="24"/>
          <w:szCs w:val="24"/>
        </w:rPr>
        <w:t>Data collection for each reference year begins January 1 and continues through November of the following year. State partners enter and code the data</w:t>
      </w:r>
      <w:r w:rsidR="00FD364D">
        <w:rPr>
          <w:rFonts w:ascii="Times New Roman" w:hAnsi="Times New Roman"/>
          <w:sz w:val="24"/>
          <w:szCs w:val="24"/>
        </w:rPr>
        <w:t>, with exception of one state for which data are collected and coded by BLS national office staff</w:t>
      </w:r>
      <w:r w:rsidRPr="00CB7E90">
        <w:rPr>
          <w:rFonts w:ascii="Times New Roman" w:hAnsi="Times New Roman"/>
          <w:sz w:val="24"/>
          <w:szCs w:val="24"/>
        </w:rPr>
        <w:t xml:space="preserve">. The BLS reviews the coding and data to validate the accuracy of </w:t>
      </w:r>
      <w:r w:rsidR="00390A30">
        <w:rPr>
          <w:rFonts w:ascii="Times New Roman" w:hAnsi="Times New Roman"/>
          <w:sz w:val="24"/>
          <w:szCs w:val="24"/>
        </w:rPr>
        <w:t>s</w:t>
      </w:r>
      <w:r w:rsidRPr="00CB7E90">
        <w:rPr>
          <w:rFonts w:ascii="Times New Roman" w:hAnsi="Times New Roman"/>
          <w:sz w:val="24"/>
          <w:szCs w:val="24"/>
        </w:rPr>
        <w:t xml:space="preserve">tate data collection. Approximately twelve months after the end of the </w:t>
      </w:r>
      <w:r w:rsidR="001E2603">
        <w:rPr>
          <w:rFonts w:ascii="Times New Roman" w:hAnsi="Times New Roman"/>
          <w:sz w:val="24"/>
          <w:szCs w:val="24"/>
        </w:rPr>
        <w:t>reference period</w:t>
      </w:r>
      <w:r w:rsidRPr="00CB7E90">
        <w:rPr>
          <w:rFonts w:ascii="Times New Roman" w:hAnsi="Times New Roman"/>
          <w:sz w:val="24"/>
          <w:szCs w:val="24"/>
        </w:rPr>
        <w:t xml:space="preserve">, the BLS combines data from all 50 </w:t>
      </w:r>
      <w:r w:rsidR="00390A30">
        <w:rPr>
          <w:rFonts w:ascii="Times New Roman" w:hAnsi="Times New Roman"/>
          <w:sz w:val="24"/>
          <w:szCs w:val="24"/>
        </w:rPr>
        <w:t>s</w:t>
      </w:r>
      <w:r w:rsidRPr="00CB7E90">
        <w:rPr>
          <w:rFonts w:ascii="Times New Roman" w:hAnsi="Times New Roman"/>
          <w:sz w:val="24"/>
          <w:szCs w:val="24"/>
        </w:rPr>
        <w:t>tates, New York City, and the District of Columbia, generates various tabulations, and publishes reference year data for the entire nation</w:t>
      </w:r>
      <w:r w:rsidR="00FD364D">
        <w:rPr>
          <w:rFonts w:ascii="Times New Roman" w:hAnsi="Times New Roman"/>
          <w:sz w:val="24"/>
          <w:szCs w:val="24"/>
        </w:rPr>
        <w:t xml:space="preserve"> and individual states</w:t>
      </w:r>
      <w:r w:rsidRPr="00CB7E90">
        <w:rPr>
          <w:rFonts w:ascii="Times New Roman" w:hAnsi="Times New Roman"/>
          <w:sz w:val="24"/>
          <w:szCs w:val="24"/>
        </w:rPr>
        <w:t xml:space="preserve">. </w:t>
      </w:r>
    </w:p>
    <w:p w:rsidR="000B2CD7" w:rsidRPr="00CB7E90" w:rsidP="000B2CD7" w14:paraId="19FCB5D9" w14:textId="77777777">
      <w:pPr>
        <w:rPr>
          <w:rFonts w:ascii="Times New Roman" w:hAnsi="Times New Roman"/>
          <w:sz w:val="24"/>
          <w:szCs w:val="24"/>
        </w:rPr>
      </w:pPr>
    </w:p>
    <w:p w:rsidR="000B2CD7" w:rsidRPr="00CB7E90" w:rsidP="000B2CD7" w14:paraId="0ED90F0A" w14:textId="77777777">
      <w:pPr>
        <w:rPr>
          <w:rFonts w:ascii="Times New Roman" w:hAnsi="Times New Roman"/>
          <w:sz w:val="24"/>
          <w:szCs w:val="24"/>
        </w:rPr>
      </w:pPr>
      <w:r w:rsidRPr="00CB7E90">
        <w:rPr>
          <w:rFonts w:ascii="Times New Roman" w:hAnsi="Times New Roman"/>
          <w:sz w:val="24"/>
          <w:szCs w:val="24"/>
        </w:rPr>
        <w:t>BLS products of the CFOI include:</w:t>
      </w:r>
    </w:p>
    <w:p w:rsidR="000B2CD7" w:rsidRPr="00CB7E90" w:rsidP="000B2CD7" w14:paraId="3822B7DE" w14:textId="77777777">
      <w:pPr>
        <w:rPr>
          <w:rFonts w:ascii="Times New Roman" w:hAnsi="Times New Roman"/>
          <w:sz w:val="24"/>
          <w:szCs w:val="24"/>
        </w:rPr>
      </w:pPr>
    </w:p>
    <w:p w:rsidR="000B2CD7" w:rsidRPr="00CB7E90" w:rsidP="000B2CD7" w14:paraId="26F49332" w14:textId="722B4305">
      <w:pPr>
        <w:numPr>
          <w:ilvl w:val="0"/>
          <w:numId w:val="3"/>
        </w:numPr>
        <w:rPr>
          <w:rFonts w:ascii="Times New Roman" w:hAnsi="Times New Roman"/>
          <w:sz w:val="24"/>
          <w:szCs w:val="24"/>
        </w:rPr>
      </w:pPr>
      <w:r>
        <w:rPr>
          <w:rFonts w:ascii="Times New Roman" w:hAnsi="Times New Roman"/>
          <w:sz w:val="24"/>
          <w:szCs w:val="24"/>
        </w:rPr>
        <w:t>An annual</w:t>
      </w:r>
      <w:r w:rsidRPr="00CB7E90">
        <w:rPr>
          <w:rFonts w:ascii="Times New Roman" w:hAnsi="Times New Roman"/>
          <w:sz w:val="24"/>
          <w:szCs w:val="24"/>
        </w:rPr>
        <w:t xml:space="preserve"> </w:t>
      </w:r>
      <w:r>
        <w:rPr>
          <w:rFonts w:ascii="Times New Roman" w:hAnsi="Times New Roman"/>
          <w:sz w:val="24"/>
          <w:szCs w:val="24"/>
        </w:rPr>
        <w:t>news</w:t>
      </w:r>
      <w:r w:rsidRPr="00CB7E90">
        <w:rPr>
          <w:rFonts w:ascii="Times New Roman" w:hAnsi="Times New Roman"/>
          <w:sz w:val="24"/>
          <w:szCs w:val="24"/>
        </w:rPr>
        <w:t xml:space="preserve"> release</w:t>
      </w:r>
      <w:r>
        <w:rPr>
          <w:rFonts w:ascii="Times New Roman" w:hAnsi="Times New Roman"/>
          <w:sz w:val="24"/>
          <w:szCs w:val="24"/>
        </w:rPr>
        <w:t xml:space="preserve"> and various related tables</w:t>
      </w:r>
    </w:p>
    <w:p w:rsidR="000B2CD7" w:rsidRPr="00CB7E90" w:rsidP="000B2CD7" w14:paraId="79DA9202" w14:textId="5A881FAB">
      <w:pPr>
        <w:numPr>
          <w:ilvl w:val="0"/>
          <w:numId w:val="3"/>
        </w:numPr>
        <w:rPr>
          <w:rFonts w:ascii="Times New Roman" w:hAnsi="Times New Roman"/>
          <w:sz w:val="24"/>
          <w:szCs w:val="24"/>
        </w:rPr>
      </w:pPr>
      <w:r>
        <w:rPr>
          <w:rFonts w:ascii="Times New Roman" w:hAnsi="Times New Roman"/>
          <w:sz w:val="24"/>
          <w:szCs w:val="24"/>
        </w:rPr>
        <w:t>R</w:t>
      </w:r>
      <w:r w:rsidRPr="00CB7E90">
        <w:rPr>
          <w:rFonts w:ascii="Times New Roman" w:hAnsi="Times New Roman"/>
          <w:sz w:val="24"/>
          <w:szCs w:val="24"/>
        </w:rPr>
        <w:t>esearch articles on special topics published i</w:t>
      </w:r>
      <w:r>
        <w:rPr>
          <w:rFonts w:ascii="Times New Roman" w:hAnsi="Times New Roman"/>
          <w:sz w:val="24"/>
          <w:szCs w:val="24"/>
        </w:rPr>
        <w:t xml:space="preserve">n </w:t>
      </w:r>
      <w:r w:rsidRPr="00CB7E90">
        <w:rPr>
          <w:rFonts w:ascii="Times New Roman" w:hAnsi="Times New Roman"/>
          <w:sz w:val="24"/>
          <w:szCs w:val="24"/>
        </w:rPr>
        <w:t>national publications</w:t>
      </w:r>
    </w:p>
    <w:p w:rsidR="000B2CD7" w:rsidRPr="00CB7E90" w:rsidP="000B2CD7" w14:paraId="51203DC1" w14:textId="3333C3C2">
      <w:pPr>
        <w:numPr>
          <w:ilvl w:val="0"/>
          <w:numId w:val="3"/>
        </w:numPr>
        <w:rPr>
          <w:rFonts w:ascii="Times New Roman" w:hAnsi="Times New Roman"/>
          <w:sz w:val="24"/>
          <w:szCs w:val="24"/>
        </w:rPr>
      </w:pPr>
      <w:r>
        <w:rPr>
          <w:rFonts w:ascii="Times New Roman" w:hAnsi="Times New Roman"/>
          <w:sz w:val="24"/>
          <w:szCs w:val="24"/>
        </w:rPr>
        <w:t>T</w:t>
      </w:r>
      <w:r w:rsidRPr="00CB7E90">
        <w:rPr>
          <w:rFonts w:ascii="Times New Roman" w:hAnsi="Times New Roman"/>
          <w:sz w:val="24"/>
          <w:szCs w:val="24"/>
        </w:rPr>
        <w:t>he CFOI limited-access research file (</w:t>
      </w:r>
      <w:r>
        <w:rPr>
          <w:rFonts w:ascii="Times New Roman" w:hAnsi="Times New Roman"/>
          <w:sz w:val="24"/>
          <w:szCs w:val="24"/>
        </w:rPr>
        <w:t xml:space="preserve">updated </w:t>
      </w:r>
      <w:r w:rsidRPr="00CB7E90">
        <w:rPr>
          <w:rFonts w:ascii="Times New Roman" w:hAnsi="Times New Roman"/>
          <w:sz w:val="24"/>
          <w:szCs w:val="24"/>
        </w:rPr>
        <w:t>annual</w:t>
      </w:r>
      <w:r>
        <w:rPr>
          <w:rFonts w:ascii="Times New Roman" w:hAnsi="Times New Roman"/>
          <w:sz w:val="24"/>
          <w:szCs w:val="24"/>
        </w:rPr>
        <w:t>ly</w:t>
      </w:r>
      <w:r w:rsidRPr="00CB7E90">
        <w:rPr>
          <w:rFonts w:ascii="Times New Roman" w:hAnsi="Times New Roman"/>
          <w:sz w:val="24"/>
          <w:szCs w:val="24"/>
        </w:rPr>
        <w:t>).</w:t>
      </w:r>
    </w:p>
    <w:p w:rsidR="000B2CD7" w:rsidRPr="00CB7E90" w:rsidP="000B2CD7" w14:paraId="5CEDE5A9" w14:textId="77777777">
      <w:pPr>
        <w:autoSpaceDE w:val="0"/>
        <w:autoSpaceDN w:val="0"/>
        <w:adjustRightInd w:val="0"/>
        <w:ind w:left="1460" w:hanging="360"/>
        <w:rPr>
          <w:rFonts w:ascii="Times New Roman" w:hAnsi="Times New Roman"/>
          <w:sz w:val="24"/>
          <w:szCs w:val="24"/>
        </w:rPr>
      </w:pPr>
    </w:p>
    <w:p w:rsidR="000B2CD7" w:rsidRPr="00CB7E90" w:rsidP="000B2CD7" w14:paraId="53A6AD39" w14:textId="161158FA">
      <w:pPr>
        <w:rPr>
          <w:rFonts w:ascii="Times New Roman" w:hAnsi="Times New Roman"/>
          <w:sz w:val="24"/>
          <w:szCs w:val="24"/>
        </w:rPr>
      </w:pPr>
      <w:r w:rsidRPr="00CB7E90">
        <w:rPr>
          <w:rFonts w:ascii="Times New Roman" w:hAnsi="Times New Roman"/>
          <w:sz w:val="24"/>
          <w:szCs w:val="24"/>
        </w:rPr>
        <w:t xml:space="preserve">State partners also publish CFOI data in various formats </w:t>
      </w:r>
      <w:r w:rsidRPr="00CB7E90" w:rsidR="00FD364D">
        <w:rPr>
          <w:rFonts w:ascii="Times New Roman" w:hAnsi="Times New Roman"/>
          <w:sz w:val="24"/>
          <w:szCs w:val="24"/>
        </w:rPr>
        <w:t>like</w:t>
      </w:r>
      <w:r w:rsidRPr="00CB7E90">
        <w:rPr>
          <w:rFonts w:ascii="Times New Roman" w:hAnsi="Times New Roman"/>
          <w:sz w:val="24"/>
          <w:szCs w:val="24"/>
        </w:rPr>
        <w:t xml:space="preserve"> those listed above. Published data are distributed to individuals attending various </w:t>
      </w:r>
      <w:r w:rsidR="006B3CB2">
        <w:rPr>
          <w:rFonts w:ascii="Times New Roman" w:hAnsi="Times New Roman"/>
          <w:sz w:val="24"/>
          <w:szCs w:val="24"/>
        </w:rPr>
        <w:t>s</w:t>
      </w:r>
      <w:r w:rsidRPr="00CB7E90">
        <w:rPr>
          <w:rFonts w:ascii="Times New Roman" w:hAnsi="Times New Roman"/>
          <w:sz w:val="24"/>
          <w:szCs w:val="24"/>
        </w:rPr>
        <w:t xml:space="preserve">tate and national safety conferences, those requesting a specific publication, and those included on the CFOI mailing list. </w:t>
      </w:r>
      <w:r w:rsidR="00FD364D">
        <w:rPr>
          <w:rFonts w:ascii="Times New Roman" w:hAnsi="Times New Roman"/>
          <w:sz w:val="24"/>
          <w:szCs w:val="24"/>
        </w:rPr>
        <w:t>News</w:t>
      </w:r>
      <w:r w:rsidRPr="00CB7E90" w:rsidR="00FD364D">
        <w:rPr>
          <w:rFonts w:ascii="Times New Roman" w:hAnsi="Times New Roman"/>
          <w:sz w:val="24"/>
          <w:szCs w:val="24"/>
        </w:rPr>
        <w:t xml:space="preserve"> </w:t>
      </w:r>
      <w:r w:rsidRPr="00CB7E90">
        <w:rPr>
          <w:rFonts w:ascii="Times New Roman" w:hAnsi="Times New Roman"/>
          <w:sz w:val="24"/>
          <w:szCs w:val="24"/>
        </w:rPr>
        <w:t xml:space="preserve">releases, charts, tabulations (both BLS- and user-generated), and research articles are available through the BLS website. An electronic data retrieval tool called Online Profiles is also available to users on the BLS website. This system generates national and </w:t>
      </w:r>
      <w:r w:rsidR="006B3CB2">
        <w:rPr>
          <w:rFonts w:ascii="Times New Roman" w:hAnsi="Times New Roman"/>
          <w:sz w:val="24"/>
          <w:szCs w:val="24"/>
        </w:rPr>
        <w:t>s</w:t>
      </w:r>
      <w:r w:rsidRPr="00CB7E90">
        <w:rPr>
          <w:rFonts w:ascii="Times New Roman" w:hAnsi="Times New Roman"/>
          <w:sz w:val="24"/>
          <w:szCs w:val="24"/>
        </w:rPr>
        <w:t>tate profile</w:t>
      </w:r>
      <w:r w:rsidR="00FD364D">
        <w:rPr>
          <w:rFonts w:ascii="Times New Roman" w:hAnsi="Times New Roman"/>
          <w:sz w:val="24"/>
          <w:szCs w:val="24"/>
        </w:rPr>
        <w:t>s</w:t>
      </w:r>
      <w:r w:rsidRPr="00CB7E90">
        <w:rPr>
          <w:rFonts w:ascii="Times New Roman" w:hAnsi="Times New Roman"/>
          <w:sz w:val="24"/>
          <w:szCs w:val="24"/>
        </w:rPr>
        <w:t xml:space="preserve"> and publication tables of fatal work-related injuries based on user selections.</w:t>
      </w:r>
    </w:p>
    <w:p w:rsidR="000B2CD7" w:rsidRPr="00CB7E90" w:rsidP="000B2CD7" w14:paraId="3C503E25" w14:textId="77777777">
      <w:pPr>
        <w:rPr>
          <w:rFonts w:ascii="Times New Roman" w:hAnsi="Times New Roman"/>
          <w:sz w:val="24"/>
          <w:szCs w:val="24"/>
        </w:rPr>
      </w:pPr>
    </w:p>
    <w:p w:rsidR="000B2CD7" w:rsidRPr="00CB7E90" w:rsidP="000B2CD7" w14:paraId="6D6CF47F" w14:textId="2523913D">
      <w:pPr>
        <w:rPr>
          <w:rFonts w:ascii="Times New Roman" w:hAnsi="Times New Roman"/>
          <w:sz w:val="24"/>
          <w:szCs w:val="24"/>
        </w:rPr>
      </w:pPr>
      <w:r w:rsidRPr="00CB7E90">
        <w:rPr>
          <w:rFonts w:ascii="Times New Roman" w:hAnsi="Times New Roman"/>
          <w:sz w:val="24"/>
          <w:szCs w:val="24"/>
        </w:rPr>
        <w:t xml:space="preserve">In addition to published tables, the BLS and participating </w:t>
      </w:r>
      <w:r w:rsidR="006B3CB2">
        <w:rPr>
          <w:rFonts w:ascii="Times New Roman" w:hAnsi="Times New Roman"/>
          <w:sz w:val="24"/>
          <w:szCs w:val="24"/>
        </w:rPr>
        <w:t>s</w:t>
      </w:r>
      <w:r w:rsidRPr="00CB7E90">
        <w:rPr>
          <w:rFonts w:ascii="Times New Roman" w:hAnsi="Times New Roman"/>
          <w:sz w:val="24"/>
          <w:szCs w:val="24"/>
        </w:rPr>
        <w:t>tate partners produce various data aggregations to fulfill data requests</w:t>
      </w:r>
      <w:r w:rsidRPr="000F7257">
        <w:rPr>
          <w:rFonts w:ascii="Times New Roman" w:hAnsi="Times New Roman"/>
          <w:sz w:val="24"/>
          <w:szCs w:val="24"/>
        </w:rPr>
        <w:t>. In 20</w:t>
      </w:r>
      <w:r w:rsidRPr="000F7257" w:rsidR="00DA2AC6">
        <w:rPr>
          <w:rFonts w:ascii="Times New Roman" w:hAnsi="Times New Roman"/>
          <w:sz w:val="24"/>
          <w:szCs w:val="24"/>
        </w:rPr>
        <w:t>2</w:t>
      </w:r>
      <w:r w:rsidRPr="000F7257" w:rsidR="00A03653">
        <w:rPr>
          <w:rFonts w:ascii="Times New Roman" w:hAnsi="Times New Roman"/>
          <w:sz w:val="24"/>
          <w:szCs w:val="24"/>
        </w:rPr>
        <w:t>4</w:t>
      </w:r>
      <w:r w:rsidRPr="000F7257">
        <w:rPr>
          <w:rFonts w:ascii="Times New Roman" w:hAnsi="Times New Roman"/>
          <w:sz w:val="24"/>
          <w:szCs w:val="24"/>
        </w:rPr>
        <w:t xml:space="preserve">, the BLS national office alone responded to approximately </w:t>
      </w:r>
      <w:r w:rsidRPr="000F7257" w:rsidR="00A03653">
        <w:rPr>
          <w:rFonts w:ascii="Times New Roman" w:hAnsi="Times New Roman"/>
          <w:sz w:val="24"/>
          <w:szCs w:val="24"/>
        </w:rPr>
        <w:t>8</w:t>
      </w:r>
      <w:r w:rsidRPr="000F7257" w:rsidR="004D12A6">
        <w:rPr>
          <w:rFonts w:ascii="Times New Roman" w:hAnsi="Times New Roman"/>
          <w:sz w:val="24"/>
          <w:szCs w:val="24"/>
        </w:rPr>
        <w:t>8</w:t>
      </w:r>
      <w:r w:rsidRPr="000F7257" w:rsidR="006C69BF">
        <w:rPr>
          <w:rFonts w:ascii="Times New Roman" w:hAnsi="Times New Roman"/>
          <w:sz w:val="24"/>
          <w:szCs w:val="24"/>
        </w:rPr>
        <w:t xml:space="preserve"> </w:t>
      </w:r>
      <w:r w:rsidRPr="000F7257">
        <w:rPr>
          <w:rFonts w:ascii="Times New Roman" w:hAnsi="Times New Roman"/>
          <w:sz w:val="24"/>
          <w:szCs w:val="24"/>
        </w:rPr>
        <w:t>requests for published and unpublished CFOI data</w:t>
      </w:r>
      <w:r w:rsidRPr="00CB7E90">
        <w:rPr>
          <w:rFonts w:ascii="Times New Roman" w:hAnsi="Times New Roman"/>
          <w:sz w:val="24"/>
          <w:szCs w:val="24"/>
        </w:rPr>
        <w:t xml:space="preserve">. This figure excludes requests received by the BLS regional offices and </w:t>
      </w:r>
      <w:r w:rsidR="006B3CB2">
        <w:rPr>
          <w:rFonts w:ascii="Times New Roman" w:hAnsi="Times New Roman"/>
          <w:sz w:val="24"/>
          <w:szCs w:val="24"/>
        </w:rPr>
        <w:t>s</w:t>
      </w:r>
      <w:r w:rsidRPr="00CB7E90">
        <w:rPr>
          <w:rFonts w:ascii="Times New Roman" w:hAnsi="Times New Roman"/>
          <w:sz w:val="24"/>
          <w:szCs w:val="24"/>
        </w:rPr>
        <w:t>tate partners.</w:t>
      </w:r>
    </w:p>
    <w:p w:rsidR="000B2CD7" w:rsidRPr="00CB7E90" w:rsidP="000B2CD7" w14:paraId="07EC8AED" w14:textId="77777777">
      <w:pPr>
        <w:rPr>
          <w:rFonts w:ascii="Times New Roman" w:hAnsi="Times New Roman"/>
          <w:sz w:val="24"/>
          <w:szCs w:val="24"/>
        </w:rPr>
      </w:pPr>
    </w:p>
    <w:p w:rsidR="000B2CD7" w:rsidRPr="00CB7E90" w:rsidP="000B2CD7" w14:paraId="189A5109" w14:textId="77777777">
      <w:pPr>
        <w:rPr>
          <w:rFonts w:ascii="Times New Roman" w:hAnsi="Times New Roman"/>
          <w:sz w:val="24"/>
          <w:szCs w:val="24"/>
        </w:rPr>
      </w:pPr>
      <w:bookmarkStart w:id="4" w:name="_Hlk102390251"/>
      <w:r w:rsidRPr="00CB7E90">
        <w:rPr>
          <w:rFonts w:ascii="Times New Roman" w:hAnsi="Times New Roman"/>
          <w:sz w:val="24"/>
          <w:szCs w:val="24"/>
        </w:rPr>
        <w:t xml:space="preserve">Each year, the CFOI creates a complete file of all work-related fatal injuries and makes most of this file available, upon written request and for statistical use only, to universities and safety and health organizations that conduct research on workplace injury. </w:t>
      </w:r>
      <w:bookmarkEnd w:id="4"/>
      <w:r w:rsidRPr="00CB7E90">
        <w:rPr>
          <w:rFonts w:ascii="Times New Roman" w:hAnsi="Times New Roman"/>
          <w:sz w:val="24"/>
          <w:szCs w:val="24"/>
        </w:rPr>
        <w:t xml:space="preserve">Data are masked to the extent possible to protect confidentiality of data sources without losing the details needed for research. State codes and personal identifiers have been removed from the file so that individual cases cannot be matched to other data sources. </w:t>
      </w:r>
    </w:p>
    <w:p w:rsidR="000B2CD7" w:rsidRPr="00CB7E90" w:rsidP="000B2CD7" w14:paraId="73237CD1" w14:textId="77777777">
      <w:pPr>
        <w:rPr>
          <w:rFonts w:ascii="Times New Roman" w:hAnsi="Times New Roman"/>
          <w:sz w:val="24"/>
          <w:szCs w:val="24"/>
        </w:rPr>
      </w:pPr>
    </w:p>
    <w:p w:rsidR="000B2CD7" w:rsidRPr="00CB7E90" w:rsidP="000B2CD7" w14:paraId="337840C2" w14:textId="0C13BAD6">
      <w:pPr>
        <w:rPr>
          <w:rFonts w:ascii="Times New Roman" w:hAnsi="Times New Roman"/>
          <w:sz w:val="24"/>
          <w:szCs w:val="24"/>
        </w:rPr>
      </w:pPr>
      <w:bookmarkStart w:id="5" w:name="_Hlk191973057"/>
      <w:r w:rsidRPr="00CB7E90">
        <w:rPr>
          <w:rFonts w:ascii="Times New Roman" w:hAnsi="Times New Roman"/>
          <w:sz w:val="24"/>
          <w:szCs w:val="24"/>
        </w:rPr>
        <w:t>The NIOSH</w:t>
      </w:r>
      <w:r w:rsidRPr="00CB7E90">
        <w:rPr>
          <w:rFonts w:ascii="Times New Roman" w:hAnsi="Times New Roman"/>
          <w:sz w:val="24"/>
          <w:szCs w:val="24"/>
        </w:rPr>
        <w:t xml:space="preserve"> currently has </w:t>
      </w:r>
      <w:r w:rsidRPr="004D2455">
        <w:rPr>
          <w:rFonts w:ascii="Times New Roman" w:hAnsi="Times New Roman"/>
          <w:sz w:val="24"/>
          <w:szCs w:val="24"/>
        </w:rPr>
        <w:t xml:space="preserve">approximately </w:t>
      </w:r>
      <w:r w:rsidRPr="004D2455" w:rsidR="00674382">
        <w:rPr>
          <w:rFonts w:ascii="Times New Roman" w:hAnsi="Times New Roman"/>
          <w:sz w:val="24"/>
          <w:szCs w:val="24"/>
        </w:rPr>
        <w:t>4</w:t>
      </w:r>
      <w:r w:rsidRPr="004D2455">
        <w:rPr>
          <w:rFonts w:ascii="Times New Roman" w:hAnsi="Times New Roman"/>
          <w:sz w:val="24"/>
          <w:szCs w:val="24"/>
        </w:rPr>
        <w:t xml:space="preserve"> staff members registered</w:t>
      </w:r>
      <w:r w:rsidRPr="00CB7E90">
        <w:rPr>
          <w:rFonts w:ascii="Times New Roman" w:hAnsi="Times New Roman"/>
          <w:sz w:val="24"/>
          <w:szCs w:val="24"/>
        </w:rPr>
        <w:t xml:space="preserve"> to use the CFOI Research File. NIOSH has requested </w:t>
      </w:r>
      <w:r w:rsidR="000D02CE">
        <w:rPr>
          <w:rFonts w:ascii="Times New Roman" w:hAnsi="Times New Roman"/>
          <w:sz w:val="24"/>
          <w:szCs w:val="24"/>
        </w:rPr>
        <w:t>continuous age variable</w:t>
      </w:r>
      <w:r w:rsidRPr="00CB7E90">
        <w:rPr>
          <w:rFonts w:ascii="Times New Roman" w:hAnsi="Times New Roman"/>
          <w:sz w:val="24"/>
          <w:szCs w:val="24"/>
        </w:rPr>
        <w:t xml:space="preserve"> </w:t>
      </w:r>
      <w:r w:rsidR="000D02CE">
        <w:rPr>
          <w:rFonts w:ascii="Times New Roman" w:hAnsi="Times New Roman"/>
          <w:sz w:val="24"/>
          <w:szCs w:val="24"/>
        </w:rPr>
        <w:t>in addition to</w:t>
      </w:r>
      <w:r w:rsidRPr="00CB7E90" w:rsidR="000D02CE">
        <w:rPr>
          <w:rFonts w:ascii="Times New Roman" w:hAnsi="Times New Roman"/>
          <w:sz w:val="24"/>
          <w:szCs w:val="24"/>
        </w:rPr>
        <w:t xml:space="preserve"> </w:t>
      </w:r>
      <w:r w:rsidRPr="00CB7E90">
        <w:rPr>
          <w:rFonts w:ascii="Times New Roman" w:hAnsi="Times New Roman"/>
          <w:sz w:val="24"/>
          <w:szCs w:val="24"/>
        </w:rPr>
        <w:t xml:space="preserve">those available on the regular Research File for their use in conducting </w:t>
      </w:r>
      <w:r w:rsidR="006B3CB2">
        <w:rPr>
          <w:rFonts w:ascii="Times New Roman" w:hAnsi="Times New Roman"/>
          <w:sz w:val="24"/>
          <w:szCs w:val="24"/>
        </w:rPr>
        <w:t>s</w:t>
      </w:r>
      <w:r w:rsidRPr="00CB7E90">
        <w:rPr>
          <w:rFonts w:ascii="Times New Roman" w:hAnsi="Times New Roman"/>
          <w:sz w:val="24"/>
          <w:szCs w:val="24"/>
        </w:rPr>
        <w:t xml:space="preserve">tate-specific research and developing prevention programs. BLS partners have agreed that </w:t>
      </w:r>
      <w:r w:rsidRPr="00CB7E90">
        <w:rPr>
          <w:rFonts w:ascii="Times New Roman" w:hAnsi="Times New Roman"/>
          <w:sz w:val="24"/>
          <w:szCs w:val="24"/>
        </w:rPr>
        <w:t>the additional</w:t>
      </w:r>
      <w:r w:rsidRPr="00CB7E90">
        <w:rPr>
          <w:rFonts w:ascii="Times New Roman" w:hAnsi="Times New Roman"/>
          <w:sz w:val="24"/>
          <w:szCs w:val="24"/>
        </w:rPr>
        <w:t xml:space="preserve"> information could be provided to NIOSH for meeting NIOSH's education and research mission. To safeguard against unauthorized use of the file, each research organization, as well as all authorized researchers, requesting the file must complete BLS confidentiality training (annually) and agree in writing to adhere to the BLS confidentiality policy. (See Attachment 1B for a list of data elements made available to researchers.)</w:t>
      </w:r>
    </w:p>
    <w:bookmarkEnd w:id="5"/>
    <w:p w:rsidR="000B2CD7" w:rsidRPr="00CB7E90" w:rsidP="000B2CD7" w14:paraId="27591C6F" w14:textId="77777777">
      <w:pPr>
        <w:rPr>
          <w:rFonts w:ascii="Times New Roman" w:hAnsi="Times New Roman"/>
          <w:sz w:val="24"/>
          <w:szCs w:val="24"/>
        </w:rPr>
      </w:pPr>
    </w:p>
    <w:p w:rsidR="008C6C7F" w:rsidRPr="00D53DEB" w:rsidP="008C6C7F" w14:paraId="1F79192A" w14:textId="77777777">
      <w:pPr>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0B2CD7" w:rsidRPr="00CB7E90" w:rsidP="000B2CD7" w14:paraId="63AF74A6" w14:textId="77777777">
      <w:pPr>
        <w:rPr>
          <w:rFonts w:ascii="Times New Roman" w:hAnsi="Times New Roman"/>
          <w:sz w:val="24"/>
          <w:szCs w:val="24"/>
        </w:rPr>
      </w:pPr>
    </w:p>
    <w:p w:rsidR="000B2CD7" w:rsidRPr="00CB7E90" w:rsidP="000B2CD7" w14:paraId="5D1AF632" w14:textId="77777777">
      <w:pPr>
        <w:rPr>
          <w:rFonts w:ascii="Times New Roman" w:hAnsi="Times New Roman"/>
          <w:sz w:val="24"/>
          <w:szCs w:val="24"/>
        </w:rPr>
      </w:pPr>
      <w:r w:rsidRPr="00CB7E90">
        <w:rPr>
          <w:rFonts w:ascii="Times New Roman" w:hAnsi="Times New Roman"/>
          <w:sz w:val="24"/>
          <w:szCs w:val="24"/>
        </w:rPr>
        <w:t xml:space="preserve">The CFOI requests permission to continue </w:t>
      </w:r>
      <w:r w:rsidRPr="00CB7E90">
        <w:rPr>
          <w:rFonts w:ascii="Times New Roman" w:hAnsi="Times New Roman"/>
          <w:sz w:val="24"/>
          <w:szCs w:val="24"/>
        </w:rPr>
        <w:t>to not</w:t>
      </w:r>
      <w:r w:rsidRPr="00CB7E90">
        <w:rPr>
          <w:rFonts w:ascii="Times New Roman" w:hAnsi="Times New Roman"/>
          <w:sz w:val="24"/>
          <w:szCs w:val="24"/>
        </w:rPr>
        <w:t xml:space="preserve"> display the expiration date on the BLS CFOI-1.  This will allow the forms to be used in subsequent years and save printing costs and personnel time.</w:t>
      </w:r>
    </w:p>
    <w:p w:rsidR="000B2CD7" w:rsidRPr="00CB7E90" w:rsidP="000B2CD7" w14:paraId="6E63B999" w14:textId="77777777">
      <w:pPr>
        <w:rPr>
          <w:rFonts w:ascii="Times New Roman" w:hAnsi="Times New Roman"/>
          <w:sz w:val="24"/>
          <w:szCs w:val="24"/>
        </w:rPr>
      </w:pPr>
    </w:p>
    <w:p w:rsidR="008C6C7F" w:rsidRPr="00D53DEB" w:rsidP="008C6C7F" w14:paraId="13E5C313" w14:textId="77777777">
      <w:pPr>
        <w:rPr>
          <w:rFonts w:ascii="Times New Roman" w:hAnsi="Times New Roman"/>
          <w:b/>
        </w:rPr>
      </w:pPr>
      <w:r w:rsidRPr="00D53DEB">
        <w:rPr>
          <w:rFonts w:ascii="Times New Roman" w:hAnsi="Times New Roman"/>
          <w:b/>
        </w:rPr>
        <w:t>18.  Explain each exception to the certification statement.</w:t>
      </w:r>
    </w:p>
    <w:p w:rsidR="000B2CD7" w:rsidRPr="00CB7E90" w:rsidP="000B2CD7" w14:paraId="1C700B90" w14:textId="77777777">
      <w:pPr>
        <w:rPr>
          <w:rFonts w:ascii="Times New Roman" w:hAnsi="Times New Roman"/>
          <w:sz w:val="24"/>
          <w:szCs w:val="24"/>
        </w:rPr>
      </w:pPr>
    </w:p>
    <w:p w:rsidR="000B2CD7" w:rsidRPr="00D45EA7" w:rsidP="000B2CD7" w14:paraId="11785B19" w14:textId="77777777">
      <w:pPr>
        <w:rPr>
          <w:rFonts w:ascii="Times New Roman" w:hAnsi="Times New Roman"/>
          <w:sz w:val="24"/>
          <w:szCs w:val="24"/>
        </w:rPr>
      </w:pPr>
      <w:r w:rsidRPr="00CB7E90">
        <w:rPr>
          <w:rFonts w:ascii="Times New Roman" w:hAnsi="Times New Roman"/>
          <w:sz w:val="24"/>
          <w:szCs w:val="24"/>
        </w:rPr>
        <w:t>There are no exceptions to the certification statement.</w:t>
      </w:r>
    </w:p>
    <w:p w:rsidR="000B2CD7" w:rsidP="000B2CD7" w14:paraId="514B9902" w14:textId="77777777"/>
    <w:p w:rsidR="000A3350" w14:paraId="5C39D424" w14:textId="77777777"/>
    <w:sectPr w:rsidSect="001D3150">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8145635"/>
      <w:docPartObj>
        <w:docPartGallery w:val="Page Numbers (Bottom of Page)"/>
        <w:docPartUnique/>
      </w:docPartObj>
    </w:sdtPr>
    <w:sdtEndPr>
      <w:rPr>
        <w:noProof/>
      </w:rPr>
    </w:sdtEndPr>
    <w:sdtContent>
      <w:p w:rsidR="00BF33E7" w14:paraId="2829970D" w14:textId="02A8E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33E7" w14:paraId="3D892F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5C68" w:rsidP="000B2CD7" w14:paraId="41A83A9D" w14:textId="77777777">
      <w:r>
        <w:separator/>
      </w:r>
    </w:p>
  </w:footnote>
  <w:footnote w:type="continuationSeparator" w:id="1">
    <w:p w:rsidR="00E95C68" w:rsidP="000B2CD7" w14:paraId="611A293D" w14:textId="77777777">
      <w:r>
        <w:continuationSeparator/>
      </w:r>
    </w:p>
  </w:footnote>
  <w:footnote w:id="2">
    <w:p w:rsidR="00E66638" w14:paraId="16D77BF3" w14:textId="02970553">
      <w:pPr>
        <w:pStyle w:val="FootnoteText"/>
      </w:pPr>
      <w:r>
        <w:rPr>
          <w:rStyle w:val="FootnoteReference"/>
        </w:rPr>
        <w:footnoteRef/>
      </w:r>
      <w:r>
        <w:t xml:space="preserve"> See </w:t>
      </w:r>
      <w:r w:rsidRPr="00E66638">
        <w:t>National Research Council. 1987. </w:t>
      </w:r>
      <w:r w:rsidRPr="00E66638">
        <w:rPr>
          <w:i/>
          <w:iCs/>
        </w:rPr>
        <w:t>Counting Injuries and Illnesses in the Workplace: Proposals for a Better System</w:t>
      </w:r>
      <w:r w:rsidRPr="00E66638">
        <w:t>. Washington, DC: The National Academies Press. https://doi.org/10.17226/18911.</w:t>
      </w:r>
    </w:p>
  </w:footnote>
  <w:footnote w:id="3">
    <w:p w:rsidR="005E7F7E" w:rsidRPr="00297E6D" w:rsidP="005E7F7E" w14:paraId="1C3C8D21" w14:textId="77777777">
      <w:pPr>
        <w:pStyle w:val="FootnoteText"/>
        <w:rPr>
          <w:rFonts w:asciiTheme="minorHAnsi" w:hAnsiTheme="minorHAnsi" w:cstheme="minorHAnsi"/>
        </w:rPr>
      </w:pPr>
      <w:r w:rsidRPr="00297E6D">
        <w:rPr>
          <w:rStyle w:val="FootnoteReference"/>
          <w:rFonts w:asciiTheme="minorHAnsi" w:eastAsiaTheme="majorEastAsia" w:hAnsiTheme="minorHAnsi" w:cstheme="minorHAnsi"/>
        </w:rPr>
        <w:footnoteRef/>
      </w:r>
      <w:r w:rsidRPr="00297E6D">
        <w:rPr>
          <w:rFonts w:asciiTheme="minorHAnsi" w:hAnsiTheme="minorHAnsi" w:cstheme="minorHAnsi"/>
        </w:rPr>
        <w:t xml:space="preserve"> See https://injuryprevention.bmj.com/content/injuryprev/11/5/282.full.pdf.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047" w:rsidRPr="00ED5FA0" w:rsidP="00200AC3" w14:paraId="6791CAAF" w14:textId="77777777">
    <w:pPr>
      <w:tabs>
        <w:tab w:val="center" w:pos="4320"/>
        <w:tab w:val="right" w:pos="8640"/>
      </w:tabs>
    </w:pPr>
    <w:r w:rsidRPr="00ED5FA0">
      <w:t>Census of Fatal Occupational Injuries</w:t>
    </w:r>
  </w:p>
  <w:p w:rsidR="00321047" w:rsidRPr="00ED5FA0" w:rsidP="00200AC3" w14:paraId="5F199C60" w14:textId="2BAC57A6">
    <w:pPr>
      <w:tabs>
        <w:tab w:val="center" w:pos="4320"/>
        <w:tab w:val="right" w:pos="8640"/>
      </w:tabs>
    </w:pPr>
    <w:r>
      <w:t xml:space="preserve">OMB Control Number:  </w:t>
    </w:r>
    <w:r w:rsidR="00F90F51">
      <w:t>1220-0133</w:t>
    </w:r>
  </w:p>
  <w:p w:rsidR="00321047" w14:paraId="5B3469AA" w14:textId="392F323B">
    <w:pPr>
      <w:pStyle w:val="Header"/>
    </w:pPr>
    <w:r>
      <w:t xml:space="preserve">OMB Expiration Date:  </w:t>
    </w:r>
    <w:r w:rsidR="00F90F51">
      <w:t>12/31/</w:t>
    </w:r>
    <w:r w:rsidR="000A7914">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242F"/>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0CEC7452"/>
    <w:multiLevelType w:val="hybridMultilevel"/>
    <w:tmpl w:val="68C47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187669"/>
    <w:multiLevelType w:val="hybridMultilevel"/>
    <w:tmpl w:val="EFA087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2598F"/>
    <w:multiLevelType w:val="hybridMultilevel"/>
    <w:tmpl w:val="2BDE540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7D3433"/>
    <w:multiLevelType w:val="hybridMultilevel"/>
    <w:tmpl w:val="9DE037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9D69D3"/>
    <w:multiLevelType w:val="hybridMultilevel"/>
    <w:tmpl w:val="00B6A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1E75B5"/>
    <w:multiLevelType w:val="hybridMultilevel"/>
    <w:tmpl w:val="D708F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461E57"/>
    <w:multiLevelType w:val="hybridMultilevel"/>
    <w:tmpl w:val="2BF232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2677D55"/>
    <w:multiLevelType w:val="hybridMultilevel"/>
    <w:tmpl w:val="6B02A020"/>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5770DF6"/>
    <w:multiLevelType w:val="hybridMultilevel"/>
    <w:tmpl w:val="9496E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49420B"/>
    <w:multiLevelType w:val="hybridMultilevel"/>
    <w:tmpl w:val="D47AE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F351736"/>
    <w:multiLevelType w:val="hybridMultilevel"/>
    <w:tmpl w:val="499A19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0083BA8"/>
    <w:multiLevelType w:val="hybridMultilevel"/>
    <w:tmpl w:val="C8BA25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7B538CC"/>
    <w:multiLevelType w:val="hybridMultilevel"/>
    <w:tmpl w:val="74AA0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902A7F"/>
    <w:multiLevelType w:val="hybridMultilevel"/>
    <w:tmpl w:val="4038F9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2499498">
    <w:abstractNumId w:val="0"/>
  </w:num>
  <w:num w:numId="2" w16cid:durableId="1820531013">
    <w:abstractNumId w:val="8"/>
  </w:num>
  <w:num w:numId="3" w16cid:durableId="1225527767">
    <w:abstractNumId w:val="1"/>
  </w:num>
  <w:num w:numId="4" w16cid:durableId="424227004">
    <w:abstractNumId w:val="15"/>
  </w:num>
  <w:num w:numId="5" w16cid:durableId="1737239694">
    <w:abstractNumId w:val="12"/>
  </w:num>
  <w:num w:numId="6" w16cid:durableId="2119906456">
    <w:abstractNumId w:val="2"/>
  </w:num>
  <w:num w:numId="7" w16cid:durableId="2113894679">
    <w:abstractNumId w:val="7"/>
  </w:num>
  <w:num w:numId="8" w16cid:durableId="2026977560">
    <w:abstractNumId w:val="13"/>
  </w:num>
  <w:num w:numId="9" w16cid:durableId="610406134">
    <w:abstractNumId w:val="4"/>
  </w:num>
  <w:num w:numId="10" w16cid:durableId="1813324249">
    <w:abstractNumId w:val="3"/>
  </w:num>
  <w:num w:numId="11" w16cid:durableId="432436819">
    <w:abstractNumId w:val="11"/>
  </w:num>
  <w:num w:numId="12" w16cid:durableId="2125030868">
    <w:abstractNumId w:val="5"/>
  </w:num>
  <w:num w:numId="13" w16cid:durableId="272398778">
    <w:abstractNumId w:val="10"/>
  </w:num>
  <w:num w:numId="14" w16cid:durableId="244002668">
    <w:abstractNumId w:val="9"/>
  </w:num>
  <w:num w:numId="15" w16cid:durableId="1563908069">
    <w:abstractNumId w:val="14"/>
  </w:num>
  <w:num w:numId="16" w16cid:durableId="1848475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D7"/>
    <w:rsid w:val="00000464"/>
    <w:rsid w:val="00004D59"/>
    <w:rsid w:val="000079C2"/>
    <w:rsid w:val="00014F86"/>
    <w:rsid w:val="000208AB"/>
    <w:rsid w:val="00030B6B"/>
    <w:rsid w:val="0003454C"/>
    <w:rsid w:val="00035855"/>
    <w:rsid w:val="00035ABC"/>
    <w:rsid w:val="00041358"/>
    <w:rsid w:val="000423C0"/>
    <w:rsid w:val="00047ABC"/>
    <w:rsid w:val="00053CA2"/>
    <w:rsid w:val="000545A1"/>
    <w:rsid w:val="00056B1E"/>
    <w:rsid w:val="00057384"/>
    <w:rsid w:val="0006138E"/>
    <w:rsid w:val="00063606"/>
    <w:rsid w:val="00063BAE"/>
    <w:rsid w:val="00065678"/>
    <w:rsid w:val="00067C2C"/>
    <w:rsid w:val="00070701"/>
    <w:rsid w:val="00070F8C"/>
    <w:rsid w:val="000749D7"/>
    <w:rsid w:val="00083F6E"/>
    <w:rsid w:val="00087217"/>
    <w:rsid w:val="00090D0F"/>
    <w:rsid w:val="00093238"/>
    <w:rsid w:val="0009539A"/>
    <w:rsid w:val="00095FAA"/>
    <w:rsid w:val="00096EC9"/>
    <w:rsid w:val="000A30E4"/>
    <w:rsid w:val="000A313F"/>
    <w:rsid w:val="000A3350"/>
    <w:rsid w:val="000A7788"/>
    <w:rsid w:val="000A7914"/>
    <w:rsid w:val="000A7D52"/>
    <w:rsid w:val="000B2CD7"/>
    <w:rsid w:val="000C5248"/>
    <w:rsid w:val="000C5FFE"/>
    <w:rsid w:val="000D02CE"/>
    <w:rsid w:val="000D258B"/>
    <w:rsid w:val="000D4B36"/>
    <w:rsid w:val="000E07AD"/>
    <w:rsid w:val="000E12E5"/>
    <w:rsid w:val="000E6360"/>
    <w:rsid w:val="000F6410"/>
    <w:rsid w:val="000F7257"/>
    <w:rsid w:val="00101F4B"/>
    <w:rsid w:val="00102414"/>
    <w:rsid w:val="001024D6"/>
    <w:rsid w:val="001025F4"/>
    <w:rsid w:val="00113A68"/>
    <w:rsid w:val="00113E8E"/>
    <w:rsid w:val="00115FCB"/>
    <w:rsid w:val="001167D5"/>
    <w:rsid w:val="001227E9"/>
    <w:rsid w:val="0012525D"/>
    <w:rsid w:val="001346F9"/>
    <w:rsid w:val="00142A7A"/>
    <w:rsid w:val="00144028"/>
    <w:rsid w:val="001454AF"/>
    <w:rsid w:val="00145DA5"/>
    <w:rsid w:val="00147D85"/>
    <w:rsid w:val="00150AFC"/>
    <w:rsid w:val="0015105B"/>
    <w:rsid w:val="00155BCF"/>
    <w:rsid w:val="00160170"/>
    <w:rsid w:val="00162FC5"/>
    <w:rsid w:val="001655AE"/>
    <w:rsid w:val="00165EFC"/>
    <w:rsid w:val="001744A5"/>
    <w:rsid w:val="00175D7A"/>
    <w:rsid w:val="001768CD"/>
    <w:rsid w:val="00182752"/>
    <w:rsid w:val="0018281F"/>
    <w:rsid w:val="00183598"/>
    <w:rsid w:val="00193456"/>
    <w:rsid w:val="00196519"/>
    <w:rsid w:val="001A3D91"/>
    <w:rsid w:val="001A4828"/>
    <w:rsid w:val="001A588D"/>
    <w:rsid w:val="001B4A58"/>
    <w:rsid w:val="001B77FF"/>
    <w:rsid w:val="001C1E0A"/>
    <w:rsid w:val="001D2A18"/>
    <w:rsid w:val="001D3150"/>
    <w:rsid w:val="001D3FA1"/>
    <w:rsid w:val="001D617D"/>
    <w:rsid w:val="001D6CCA"/>
    <w:rsid w:val="001E23B0"/>
    <w:rsid w:val="001E2603"/>
    <w:rsid w:val="001E4001"/>
    <w:rsid w:val="001E5CAD"/>
    <w:rsid w:val="001F5C7A"/>
    <w:rsid w:val="00200AC3"/>
    <w:rsid w:val="0020318F"/>
    <w:rsid w:val="00210620"/>
    <w:rsid w:val="002132ED"/>
    <w:rsid w:val="00216175"/>
    <w:rsid w:val="00216721"/>
    <w:rsid w:val="002168F1"/>
    <w:rsid w:val="00217E10"/>
    <w:rsid w:val="002205B7"/>
    <w:rsid w:val="00226526"/>
    <w:rsid w:val="00227A71"/>
    <w:rsid w:val="00241C4F"/>
    <w:rsid w:val="00246C92"/>
    <w:rsid w:val="00247AE2"/>
    <w:rsid w:val="00250DBC"/>
    <w:rsid w:val="00252803"/>
    <w:rsid w:val="0025717E"/>
    <w:rsid w:val="002571D1"/>
    <w:rsid w:val="00265C64"/>
    <w:rsid w:val="002669E2"/>
    <w:rsid w:val="0027054E"/>
    <w:rsid w:val="0028076D"/>
    <w:rsid w:val="002867CA"/>
    <w:rsid w:val="00286F43"/>
    <w:rsid w:val="00287217"/>
    <w:rsid w:val="00296156"/>
    <w:rsid w:val="00297E6D"/>
    <w:rsid w:val="002A0EE0"/>
    <w:rsid w:val="002A2DD4"/>
    <w:rsid w:val="002A41D6"/>
    <w:rsid w:val="002B0E38"/>
    <w:rsid w:val="002B4123"/>
    <w:rsid w:val="002B415B"/>
    <w:rsid w:val="002B6D49"/>
    <w:rsid w:val="002C3401"/>
    <w:rsid w:val="002C7D90"/>
    <w:rsid w:val="002D6297"/>
    <w:rsid w:val="002D7D8A"/>
    <w:rsid w:val="002E5B74"/>
    <w:rsid w:val="002F1BE1"/>
    <w:rsid w:val="002F2785"/>
    <w:rsid w:val="002F5143"/>
    <w:rsid w:val="002F5740"/>
    <w:rsid w:val="00301734"/>
    <w:rsid w:val="00303A12"/>
    <w:rsid w:val="00313AF9"/>
    <w:rsid w:val="003143AF"/>
    <w:rsid w:val="003174C8"/>
    <w:rsid w:val="003176A0"/>
    <w:rsid w:val="00320788"/>
    <w:rsid w:val="00321047"/>
    <w:rsid w:val="0032273F"/>
    <w:rsid w:val="003234B1"/>
    <w:rsid w:val="00324E79"/>
    <w:rsid w:val="003259C4"/>
    <w:rsid w:val="003263D1"/>
    <w:rsid w:val="003275BA"/>
    <w:rsid w:val="00327765"/>
    <w:rsid w:val="003314D0"/>
    <w:rsid w:val="003325B6"/>
    <w:rsid w:val="00340092"/>
    <w:rsid w:val="00344237"/>
    <w:rsid w:val="00354218"/>
    <w:rsid w:val="00356F3D"/>
    <w:rsid w:val="003630FC"/>
    <w:rsid w:val="00363728"/>
    <w:rsid w:val="00364478"/>
    <w:rsid w:val="00364C5A"/>
    <w:rsid w:val="00367274"/>
    <w:rsid w:val="003808C2"/>
    <w:rsid w:val="00382C0A"/>
    <w:rsid w:val="00390A30"/>
    <w:rsid w:val="00391882"/>
    <w:rsid w:val="00393B0C"/>
    <w:rsid w:val="00394171"/>
    <w:rsid w:val="00397EE8"/>
    <w:rsid w:val="003A54C6"/>
    <w:rsid w:val="003A5F9D"/>
    <w:rsid w:val="003A7659"/>
    <w:rsid w:val="003B2C3C"/>
    <w:rsid w:val="003B5E4E"/>
    <w:rsid w:val="003B6EC2"/>
    <w:rsid w:val="003B7384"/>
    <w:rsid w:val="003C0DB8"/>
    <w:rsid w:val="003D527C"/>
    <w:rsid w:val="003D740A"/>
    <w:rsid w:val="003E1039"/>
    <w:rsid w:val="003E1F36"/>
    <w:rsid w:val="003E2ED4"/>
    <w:rsid w:val="003E4762"/>
    <w:rsid w:val="003E673F"/>
    <w:rsid w:val="003F0F19"/>
    <w:rsid w:val="003F2469"/>
    <w:rsid w:val="003F489C"/>
    <w:rsid w:val="004077C4"/>
    <w:rsid w:val="0041270A"/>
    <w:rsid w:val="00412A4E"/>
    <w:rsid w:val="00421243"/>
    <w:rsid w:val="004271BC"/>
    <w:rsid w:val="004313A9"/>
    <w:rsid w:val="00435144"/>
    <w:rsid w:val="004368CF"/>
    <w:rsid w:val="0043792F"/>
    <w:rsid w:val="004456E5"/>
    <w:rsid w:val="00450304"/>
    <w:rsid w:val="00450F51"/>
    <w:rsid w:val="004528DF"/>
    <w:rsid w:val="00455EDB"/>
    <w:rsid w:val="00457BF9"/>
    <w:rsid w:val="00457E58"/>
    <w:rsid w:val="0046089F"/>
    <w:rsid w:val="00461D2D"/>
    <w:rsid w:val="00465A68"/>
    <w:rsid w:val="00473392"/>
    <w:rsid w:val="00475AAC"/>
    <w:rsid w:val="00481C52"/>
    <w:rsid w:val="0048274E"/>
    <w:rsid w:val="00490708"/>
    <w:rsid w:val="00497D91"/>
    <w:rsid w:val="004A0D42"/>
    <w:rsid w:val="004A32A2"/>
    <w:rsid w:val="004A4B48"/>
    <w:rsid w:val="004A7308"/>
    <w:rsid w:val="004B0209"/>
    <w:rsid w:val="004B15F1"/>
    <w:rsid w:val="004B1E4B"/>
    <w:rsid w:val="004C12EE"/>
    <w:rsid w:val="004D12A6"/>
    <w:rsid w:val="004D2455"/>
    <w:rsid w:val="004D2CB6"/>
    <w:rsid w:val="004D3422"/>
    <w:rsid w:val="004D388A"/>
    <w:rsid w:val="004D739F"/>
    <w:rsid w:val="004E132D"/>
    <w:rsid w:val="004E1E11"/>
    <w:rsid w:val="004E220C"/>
    <w:rsid w:val="004E3831"/>
    <w:rsid w:val="004E3FC7"/>
    <w:rsid w:val="004F0E7C"/>
    <w:rsid w:val="004F7997"/>
    <w:rsid w:val="00506B1F"/>
    <w:rsid w:val="005132D1"/>
    <w:rsid w:val="00517AE5"/>
    <w:rsid w:val="00517EED"/>
    <w:rsid w:val="005233ED"/>
    <w:rsid w:val="005279F4"/>
    <w:rsid w:val="0053053B"/>
    <w:rsid w:val="005314C9"/>
    <w:rsid w:val="0053281D"/>
    <w:rsid w:val="00534205"/>
    <w:rsid w:val="0053475B"/>
    <w:rsid w:val="00536983"/>
    <w:rsid w:val="00544EA1"/>
    <w:rsid w:val="00545C1C"/>
    <w:rsid w:val="005478EE"/>
    <w:rsid w:val="005570F9"/>
    <w:rsid w:val="005575AB"/>
    <w:rsid w:val="00560B6F"/>
    <w:rsid w:val="00562BA8"/>
    <w:rsid w:val="005729C4"/>
    <w:rsid w:val="00581A45"/>
    <w:rsid w:val="0058617C"/>
    <w:rsid w:val="00586A3B"/>
    <w:rsid w:val="00586CC2"/>
    <w:rsid w:val="0058701C"/>
    <w:rsid w:val="0059154D"/>
    <w:rsid w:val="00591E06"/>
    <w:rsid w:val="00593F02"/>
    <w:rsid w:val="00594533"/>
    <w:rsid w:val="005948E5"/>
    <w:rsid w:val="00594B9F"/>
    <w:rsid w:val="005973FB"/>
    <w:rsid w:val="00597C9D"/>
    <w:rsid w:val="005B344E"/>
    <w:rsid w:val="005B48AD"/>
    <w:rsid w:val="005D0966"/>
    <w:rsid w:val="005D0B29"/>
    <w:rsid w:val="005D2ACB"/>
    <w:rsid w:val="005E20BA"/>
    <w:rsid w:val="005E38A6"/>
    <w:rsid w:val="005E6F2B"/>
    <w:rsid w:val="005E7F7E"/>
    <w:rsid w:val="005F0FDB"/>
    <w:rsid w:val="00600455"/>
    <w:rsid w:val="006067C0"/>
    <w:rsid w:val="00611CB1"/>
    <w:rsid w:val="00612B18"/>
    <w:rsid w:val="00614CCB"/>
    <w:rsid w:val="00615C59"/>
    <w:rsid w:val="006334A1"/>
    <w:rsid w:val="0063768B"/>
    <w:rsid w:val="00642773"/>
    <w:rsid w:val="006548DE"/>
    <w:rsid w:val="00656E8D"/>
    <w:rsid w:val="006600AE"/>
    <w:rsid w:val="00660C91"/>
    <w:rsid w:val="00663A64"/>
    <w:rsid w:val="00664F06"/>
    <w:rsid w:val="00672A1A"/>
    <w:rsid w:val="00674382"/>
    <w:rsid w:val="006762FF"/>
    <w:rsid w:val="00676C95"/>
    <w:rsid w:val="0068735D"/>
    <w:rsid w:val="00693898"/>
    <w:rsid w:val="00695956"/>
    <w:rsid w:val="006A3A77"/>
    <w:rsid w:val="006A432D"/>
    <w:rsid w:val="006A512C"/>
    <w:rsid w:val="006A6E42"/>
    <w:rsid w:val="006B3CB2"/>
    <w:rsid w:val="006B5633"/>
    <w:rsid w:val="006C69BF"/>
    <w:rsid w:val="006F467D"/>
    <w:rsid w:val="006F4B27"/>
    <w:rsid w:val="006F7278"/>
    <w:rsid w:val="00705DB8"/>
    <w:rsid w:val="007106BD"/>
    <w:rsid w:val="00710B64"/>
    <w:rsid w:val="00714C7D"/>
    <w:rsid w:val="00715A5A"/>
    <w:rsid w:val="00732A09"/>
    <w:rsid w:val="00735754"/>
    <w:rsid w:val="0073591B"/>
    <w:rsid w:val="00743360"/>
    <w:rsid w:val="0074765D"/>
    <w:rsid w:val="00750EC4"/>
    <w:rsid w:val="0076096F"/>
    <w:rsid w:val="00762AE7"/>
    <w:rsid w:val="00765505"/>
    <w:rsid w:val="007679B1"/>
    <w:rsid w:val="0077017B"/>
    <w:rsid w:val="0077147A"/>
    <w:rsid w:val="00771D73"/>
    <w:rsid w:val="00772489"/>
    <w:rsid w:val="0077281F"/>
    <w:rsid w:val="00777341"/>
    <w:rsid w:val="00777D26"/>
    <w:rsid w:val="007869B3"/>
    <w:rsid w:val="0078794D"/>
    <w:rsid w:val="007A5F3D"/>
    <w:rsid w:val="007A648A"/>
    <w:rsid w:val="007A79F4"/>
    <w:rsid w:val="007B48EB"/>
    <w:rsid w:val="007C7773"/>
    <w:rsid w:val="007C77BC"/>
    <w:rsid w:val="007C7884"/>
    <w:rsid w:val="007C791C"/>
    <w:rsid w:val="007D729B"/>
    <w:rsid w:val="007E30A2"/>
    <w:rsid w:val="007E3B31"/>
    <w:rsid w:val="007F692A"/>
    <w:rsid w:val="00801679"/>
    <w:rsid w:val="00810750"/>
    <w:rsid w:val="00811F2F"/>
    <w:rsid w:val="00813ABD"/>
    <w:rsid w:val="00821E2A"/>
    <w:rsid w:val="0082252A"/>
    <w:rsid w:val="00822F30"/>
    <w:rsid w:val="00825415"/>
    <w:rsid w:val="00830C42"/>
    <w:rsid w:val="00835616"/>
    <w:rsid w:val="00842B28"/>
    <w:rsid w:val="00842FAD"/>
    <w:rsid w:val="0084302C"/>
    <w:rsid w:val="00847455"/>
    <w:rsid w:val="00847781"/>
    <w:rsid w:val="00847C65"/>
    <w:rsid w:val="00867785"/>
    <w:rsid w:val="00872B06"/>
    <w:rsid w:val="00873880"/>
    <w:rsid w:val="00876A68"/>
    <w:rsid w:val="00880075"/>
    <w:rsid w:val="00881789"/>
    <w:rsid w:val="008818F1"/>
    <w:rsid w:val="008938DB"/>
    <w:rsid w:val="008A3604"/>
    <w:rsid w:val="008A60D1"/>
    <w:rsid w:val="008B3DA6"/>
    <w:rsid w:val="008B5899"/>
    <w:rsid w:val="008C0F29"/>
    <w:rsid w:val="008C66FE"/>
    <w:rsid w:val="008C6C7F"/>
    <w:rsid w:val="008D460C"/>
    <w:rsid w:val="008D48BB"/>
    <w:rsid w:val="008E0713"/>
    <w:rsid w:val="008E4D32"/>
    <w:rsid w:val="008E7CFC"/>
    <w:rsid w:val="008F2E04"/>
    <w:rsid w:val="00900E56"/>
    <w:rsid w:val="009026C4"/>
    <w:rsid w:val="00904DED"/>
    <w:rsid w:val="009050C8"/>
    <w:rsid w:val="009058CB"/>
    <w:rsid w:val="009074BA"/>
    <w:rsid w:val="00937184"/>
    <w:rsid w:val="00937CFB"/>
    <w:rsid w:val="0094030C"/>
    <w:rsid w:val="00940D53"/>
    <w:rsid w:val="009420AB"/>
    <w:rsid w:val="00946D05"/>
    <w:rsid w:val="009602A0"/>
    <w:rsid w:val="009622AB"/>
    <w:rsid w:val="00964026"/>
    <w:rsid w:val="00971315"/>
    <w:rsid w:val="00987488"/>
    <w:rsid w:val="009905E1"/>
    <w:rsid w:val="009959CC"/>
    <w:rsid w:val="00997A59"/>
    <w:rsid w:val="009A404B"/>
    <w:rsid w:val="009B20A3"/>
    <w:rsid w:val="009C054A"/>
    <w:rsid w:val="009C0A2F"/>
    <w:rsid w:val="009C3744"/>
    <w:rsid w:val="009C3BD1"/>
    <w:rsid w:val="009C4ADC"/>
    <w:rsid w:val="009C6E52"/>
    <w:rsid w:val="009D03A2"/>
    <w:rsid w:val="009D05CC"/>
    <w:rsid w:val="009E61AD"/>
    <w:rsid w:val="009E713F"/>
    <w:rsid w:val="009E7C29"/>
    <w:rsid w:val="009F01FA"/>
    <w:rsid w:val="009F1609"/>
    <w:rsid w:val="009F1B19"/>
    <w:rsid w:val="009F3586"/>
    <w:rsid w:val="009F5EE0"/>
    <w:rsid w:val="00A03653"/>
    <w:rsid w:val="00A0384C"/>
    <w:rsid w:val="00A05E4B"/>
    <w:rsid w:val="00A07565"/>
    <w:rsid w:val="00A07F5F"/>
    <w:rsid w:val="00A130BD"/>
    <w:rsid w:val="00A131EE"/>
    <w:rsid w:val="00A15689"/>
    <w:rsid w:val="00A1759B"/>
    <w:rsid w:val="00A20411"/>
    <w:rsid w:val="00A249E7"/>
    <w:rsid w:val="00A466E3"/>
    <w:rsid w:val="00A47DA7"/>
    <w:rsid w:val="00A503F4"/>
    <w:rsid w:val="00A54D6E"/>
    <w:rsid w:val="00A5608B"/>
    <w:rsid w:val="00A57476"/>
    <w:rsid w:val="00A705AA"/>
    <w:rsid w:val="00A72476"/>
    <w:rsid w:val="00A83839"/>
    <w:rsid w:val="00A84530"/>
    <w:rsid w:val="00A86F00"/>
    <w:rsid w:val="00A90662"/>
    <w:rsid w:val="00A92D57"/>
    <w:rsid w:val="00A97060"/>
    <w:rsid w:val="00AA055B"/>
    <w:rsid w:val="00AA5F2B"/>
    <w:rsid w:val="00AB0F3D"/>
    <w:rsid w:val="00AB441E"/>
    <w:rsid w:val="00AC1F50"/>
    <w:rsid w:val="00AC3C28"/>
    <w:rsid w:val="00AD014B"/>
    <w:rsid w:val="00AD690C"/>
    <w:rsid w:val="00AD6E6C"/>
    <w:rsid w:val="00AE205F"/>
    <w:rsid w:val="00AF0E5F"/>
    <w:rsid w:val="00AF4BA4"/>
    <w:rsid w:val="00AF6DCD"/>
    <w:rsid w:val="00B042EA"/>
    <w:rsid w:val="00B05267"/>
    <w:rsid w:val="00B0570F"/>
    <w:rsid w:val="00B13362"/>
    <w:rsid w:val="00B1439E"/>
    <w:rsid w:val="00B2255E"/>
    <w:rsid w:val="00B24965"/>
    <w:rsid w:val="00B24F2B"/>
    <w:rsid w:val="00B33AF9"/>
    <w:rsid w:val="00B50309"/>
    <w:rsid w:val="00B56D08"/>
    <w:rsid w:val="00B6127D"/>
    <w:rsid w:val="00B61748"/>
    <w:rsid w:val="00B61DA5"/>
    <w:rsid w:val="00B61DD2"/>
    <w:rsid w:val="00B64D40"/>
    <w:rsid w:val="00B65823"/>
    <w:rsid w:val="00B74DC6"/>
    <w:rsid w:val="00B74E55"/>
    <w:rsid w:val="00B76649"/>
    <w:rsid w:val="00B82CB9"/>
    <w:rsid w:val="00B942A8"/>
    <w:rsid w:val="00B97F98"/>
    <w:rsid w:val="00BA16A2"/>
    <w:rsid w:val="00BA5A5E"/>
    <w:rsid w:val="00BC0786"/>
    <w:rsid w:val="00BC0AC9"/>
    <w:rsid w:val="00BC29E8"/>
    <w:rsid w:val="00BC6167"/>
    <w:rsid w:val="00BD6761"/>
    <w:rsid w:val="00BE2FD7"/>
    <w:rsid w:val="00BF0389"/>
    <w:rsid w:val="00BF15F8"/>
    <w:rsid w:val="00BF22A9"/>
    <w:rsid w:val="00BF33E7"/>
    <w:rsid w:val="00BF4644"/>
    <w:rsid w:val="00C035A1"/>
    <w:rsid w:val="00C0622D"/>
    <w:rsid w:val="00C108FF"/>
    <w:rsid w:val="00C166F0"/>
    <w:rsid w:val="00C229FA"/>
    <w:rsid w:val="00C246CB"/>
    <w:rsid w:val="00C32649"/>
    <w:rsid w:val="00C334A3"/>
    <w:rsid w:val="00C50750"/>
    <w:rsid w:val="00C714CB"/>
    <w:rsid w:val="00C732C4"/>
    <w:rsid w:val="00C760FE"/>
    <w:rsid w:val="00C76247"/>
    <w:rsid w:val="00C83143"/>
    <w:rsid w:val="00C90A9F"/>
    <w:rsid w:val="00C91C34"/>
    <w:rsid w:val="00CA6341"/>
    <w:rsid w:val="00CB2693"/>
    <w:rsid w:val="00CB6BEC"/>
    <w:rsid w:val="00CB700E"/>
    <w:rsid w:val="00CB7E90"/>
    <w:rsid w:val="00CC0B28"/>
    <w:rsid w:val="00CC3C00"/>
    <w:rsid w:val="00CD3754"/>
    <w:rsid w:val="00CD3B24"/>
    <w:rsid w:val="00CE211B"/>
    <w:rsid w:val="00CE584D"/>
    <w:rsid w:val="00CF1C07"/>
    <w:rsid w:val="00CF64DE"/>
    <w:rsid w:val="00CF749D"/>
    <w:rsid w:val="00D06F8F"/>
    <w:rsid w:val="00D12BB4"/>
    <w:rsid w:val="00D151B9"/>
    <w:rsid w:val="00D200AC"/>
    <w:rsid w:val="00D308B7"/>
    <w:rsid w:val="00D34050"/>
    <w:rsid w:val="00D347C1"/>
    <w:rsid w:val="00D37352"/>
    <w:rsid w:val="00D418FC"/>
    <w:rsid w:val="00D435F1"/>
    <w:rsid w:val="00D45EA7"/>
    <w:rsid w:val="00D461E2"/>
    <w:rsid w:val="00D46CFB"/>
    <w:rsid w:val="00D507AE"/>
    <w:rsid w:val="00D51055"/>
    <w:rsid w:val="00D524AD"/>
    <w:rsid w:val="00D534CB"/>
    <w:rsid w:val="00D537B2"/>
    <w:rsid w:val="00D53DEB"/>
    <w:rsid w:val="00D6603A"/>
    <w:rsid w:val="00D704DE"/>
    <w:rsid w:val="00D71CBD"/>
    <w:rsid w:val="00D72B57"/>
    <w:rsid w:val="00D86425"/>
    <w:rsid w:val="00D956EE"/>
    <w:rsid w:val="00D95E8E"/>
    <w:rsid w:val="00DA074A"/>
    <w:rsid w:val="00DA2AC6"/>
    <w:rsid w:val="00DA3215"/>
    <w:rsid w:val="00DA7183"/>
    <w:rsid w:val="00DA73C8"/>
    <w:rsid w:val="00DB2A42"/>
    <w:rsid w:val="00DC16EB"/>
    <w:rsid w:val="00DC1D2F"/>
    <w:rsid w:val="00DD2A26"/>
    <w:rsid w:val="00DD62E2"/>
    <w:rsid w:val="00DE155B"/>
    <w:rsid w:val="00DE3349"/>
    <w:rsid w:val="00DE4C2E"/>
    <w:rsid w:val="00DF1DFD"/>
    <w:rsid w:val="00DF1E5F"/>
    <w:rsid w:val="00E00310"/>
    <w:rsid w:val="00E04087"/>
    <w:rsid w:val="00E074AB"/>
    <w:rsid w:val="00E1313F"/>
    <w:rsid w:val="00E16470"/>
    <w:rsid w:val="00E24C90"/>
    <w:rsid w:val="00E25A7B"/>
    <w:rsid w:val="00E343E9"/>
    <w:rsid w:val="00E3653C"/>
    <w:rsid w:val="00E41F19"/>
    <w:rsid w:val="00E434F3"/>
    <w:rsid w:val="00E50AAC"/>
    <w:rsid w:val="00E5773A"/>
    <w:rsid w:val="00E64337"/>
    <w:rsid w:val="00E650D1"/>
    <w:rsid w:val="00E66638"/>
    <w:rsid w:val="00E70488"/>
    <w:rsid w:val="00E71453"/>
    <w:rsid w:val="00E72D8B"/>
    <w:rsid w:val="00E73C30"/>
    <w:rsid w:val="00E83AE2"/>
    <w:rsid w:val="00E92D78"/>
    <w:rsid w:val="00E93482"/>
    <w:rsid w:val="00E95C68"/>
    <w:rsid w:val="00E95C86"/>
    <w:rsid w:val="00E95CA6"/>
    <w:rsid w:val="00EA245F"/>
    <w:rsid w:val="00EA376D"/>
    <w:rsid w:val="00EB37FC"/>
    <w:rsid w:val="00EB53F0"/>
    <w:rsid w:val="00EC4E1A"/>
    <w:rsid w:val="00EC59F0"/>
    <w:rsid w:val="00EC5A83"/>
    <w:rsid w:val="00EC679D"/>
    <w:rsid w:val="00ED1851"/>
    <w:rsid w:val="00ED5732"/>
    <w:rsid w:val="00ED5D66"/>
    <w:rsid w:val="00ED5FA0"/>
    <w:rsid w:val="00EE1C3A"/>
    <w:rsid w:val="00EE4B6B"/>
    <w:rsid w:val="00EE6124"/>
    <w:rsid w:val="00EF2B17"/>
    <w:rsid w:val="00EF3530"/>
    <w:rsid w:val="00EF36F0"/>
    <w:rsid w:val="00EF7970"/>
    <w:rsid w:val="00F006DF"/>
    <w:rsid w:val="00F04917"/>
    <w:rsid w:val="00F06FAE"/>
    <w:rsid w:val="00F14B4C"/>
    <w:rsid w:val="00F155E5"/>
    <w:rsid w:val="00F21DDE"/>
    <w:rsid w:val="00F236F3"/>
    <w:rsid w:val="00F30B2E"/>
    <w:rsid w:val="00F33692"/>
    <w:rsid w:val="00F35B2E"/>
    <w:rsid w:val="00F373BF"/>
    <w:rsid w:val="00F403CF"/>
    <w:rsid w:val="00F40C38"/>
    <w:rsid w:val="00F41B76"/>
    <w:rsid w:val="00F4372E"/>
    <w:rsid w:val="00F46663"/>
    <w:rsid w:val="00F531B5"/>
    <w:rsid w:val="00F54364"/>
    <w:rsid w:val="00F60534"/>
    <w:rsid w:val="00F63F8B"/>
    <w:rsid w:val="00F71D9E"/>
    <w:rsid w:val="00F75288"/>
    <w:rsid w:val="00F7700F"/>
    <w:rsid w:val="00F8256D"/>
    <w:rsid w:val="00F90F51"/>
    <w:rsid w:val="00F94507"/>
    <w:rsid w:val="00F95799"/>
    <w:rsid w:val="00F95BA3"/>
    <w:rsid w:val="00F97682"/>
    <w:rsid w:val="00FA0DE2"/>
    <w:rsid w:val="00FA44C1"/>
    <w:rsid w:val="00FB0A8E"/>
    <w:rsid w:val="00FB751E"/>
    <w:rsid w:val="00FC3375"/>
    <w:rsid w:val="00FD364D"/>
    <w:rsid w:val="00FD3C74"/>
    <w:rsid w:val="00FD4F69"/>
    <w:rsid w:val="00FE1AB6"/>
    <w:rsid w:val="00FE6D99"/>
    <w:rsid w:val="00FE73E4"/>
    <w:rsid w:val="00FF00C5"/>
    <w:rsid w:val="00FF1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945F67"/>
  <w15:docId w15:val="{9A88F38B-BE24-49C4-B6A7-713E858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CD7"/>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0B2CD7"/>
    <w:pPr>
      <w:keepNext/>
      <w:outlineLvl w:val="0"/>
    </w:pPr>
    <w:rPr>
      <w:rFonts w:ascii="Times New Roman" w:hAnsi="Times New Roman"/>
      <w:sz w:val="24"/>
      <w:u w:val="single"/>
    </w:rPr>
  </w:style>
  <w:style w:type="paragraph" w:styleId="Heading2">
    <w:name w:val="heading 2"/>
    <w:basedOn w:val="Normal"/>
    <w:next w:val="Normal"/>
    <w:link w:val="Heading2Char"/>
    <w:qFormat/>
    <w:rsid w:val="000B2CD7"/>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D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0B2CD7"/>
    <w:rPr>
      <w:rFonts w:ascii="Times New Roman" w:eastAsia="Times New Roman" w:hAnsi="Times New Roman" w:cs="Times New Roman"/>
      <w:b/>
      <w:sz w:val="24"/>
      <w:szCs w:val="20"/>
    </w:rPr>
  </w:style>
  <w:style w:type="character" w:styleId="FootnoteReference">
    <w:name w:val="footnote reference"/>
    <w:semiHidden/>
    <w:rsid w:val="000B2CD7"/>
    <w:rPr>
      <w:vertAlign w:val="superscript"/>
    </w:rPr>
  </w:style>
  <w:style w:type="paragraph" w:styleId="PlainText">
    <w:name w:val="Plain Text"/>
    <w:basedOn w:val="Normal"/>
    <w:link w:val="PlainTextChar"/>
    <w:rsid w:val="000B2CD7"/>
    <w:rPr>
      <w:rFonts w:ascii="Courier New" w:hAnsi="Courier New"/>
    </w:rPr>
  </w:style>
  <w:style w:type="character" w:customStyle="1" w:styleId="PlainTextChar">
    <w:name w:val="Plain Text Char"/>
    <w:basedOn w:val="DefaultParagraphFont"/>
    <w:link w:val="PlainText"/>
    <w:rsid w:val="000B2CD7"/>
    <w:rPr>
      <w:rFonts w:ascii="Courier New" w:eastAsia="Times New Roman" w:hAnsi="Courier New" w:cs="Times New Roman"/>
      <w:sz w:val="20"/>
      <w:szCs w:val="20"/>
    </w:rPr>
  </w:style>
  <w:style w:type="paragraph" w:styleId="BodyText">
    <w:name w:val="Body Text"/>
    <w:basedOn w:val="Normal"/>
    <w:link w:val="BodyTextChar"/>
    <w:rsid w:val="000B2CD7"/>
    <w:rPr>
      <w:rFonts w:ascii="Times New Roman" w:hAnsi="Times New Roman"/>
      <w:sz w:val="24"/>
    </w:rPr>
  </w:style>
  <w:style w:type="character" w:customStyle="1" w:styleId="BodyTextChar">
    <w:name w:val="Body Text Char"/>
    <w:basedOn w:val="DefaultParagraphFont"/>
    <w:link w:val="BodyText"/>
    <w:rsid w:val="000B2CD7"/>
    <w:rPr>
      <w:rFonts w:ascii="Times New Roman" w:eastAsia="Times New Roman" w:hAnsi="Times New Roman" w:cs="Times New Roman"/>
      <w:sz w:val="24"/>
      <w:szCs w:val="20"/>
    </w:rPr>
  </w:style>
  <w:style w:type="paragraph" w:styleId="Title">
    <w:name w:val="Title"/>
    <w:basedOn w:val="Normal"/>
    <w:link w:val="TitleChar"/>
    <w:qFormat/>
    <w:rsid w:val="000B2CD7"/>
    <w:pPr>
      <w:jc w:val="center"/>
    </w:pPr>
    <w:rPr>
      <w:rFonts w:ascii="Times New Roman" w:hAnsi="Times New Roman"/>
      <w:b/>
      <w:sz w:val="24"/>
    </w:rPr>
  </w:style>
  <w:style w:type="character" w:customStyle="1" w:styleId="TitleChar">
    <w:name w:val="Title Char"/>
    <w:basedOn w:val="DefaultParagraphFont"/>
    <w:link w:val="Title"/>
    <w:rsid w:val="000B2CD7"/>
    <w:rPr>
      <w:rFonts w:ascii="Times New Roman" w:eastAsia="Times New Roman" w:hAnsi="Times New Roman" w:cs="Times New Roman"/>
      <w:b/>
      <w:sz w:val="24"/>
      <w:szCs w:val="20"/>
    </w:rPr>
  </w:style>
  <w:style w:type="character" w:styleId="CommentReference">
    <w:name w:val="annotation reference"/>
    <w:uiPriority w:val="99"/>
    <w:semiHidden/>
    <w:rsid w:val="000B2CD7"/>
    <w:rPr>
      <w:sz w:val="16"/>
      <w:szCs w:val="16"/>
    </w:rPr>
  </w:style>
  <w:style w:type="paragraph" w:styleId="CommentText">
    <w:name w:val="annotation text"/>
    <w:basedOn w:val="Normal"/>
    <w:link w:val="CommentTextChar"/>
    <w:uiPriority w:val="99"/>
    <w:semiHidden/>
    <w:rsid w:val="000B2CD7"/>
  </w:style>
  <w:style w:type="character" w:customStyle="1" w:styleId="CommentTextChar">
    <w:name w:val="Comment Text Char"/>
    <w:basedOn w:val="DefaultParagraphFont"/>
    <w:link w:val="CommentText"/>
    <w:uiPriority w:val="99"/>
    <w:semiHidden/>
    <w:rsid w:val="000B2CD7"/>
    <w:rPr>
      <w:rFonts w:ascii="Courier" w:eastAsia="Times New Roman" w:hAnsi="Courier" w:cs="Times New Roman"/>
      <w:sz w:val="20"/>
      <w:szCs w:val="20"/>
    </w:rPr>
  </w:style>
  <w:style w:type="character" w:styleId="Hyperlink">
    <w:name w:val="Hyperlink"/>
    <w:rsid w:val="000B2CD7"/>
    <w:rPr>
      <w:color w:val="0000FF"/>
      <w:u w:val="single"/>
    </w:rPr>
  </w:style>
  <w:style w:type="paragraph" w:styleId="ListParagraph">
    <w:name w:val="List Paragraph"/>
    <w:basedOn w:val="Normal"/>
    <w:uiPriority w:val="34"/>
    <w:qFormat/>
    <w:rsid w:val="000B2CD7"/>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B2CD7"/>
  </w:style>
  <w:style w:type="character" w:customStyle="1" w:styleId="FootnoteTextChar">
    <w:name w:val="Footnote Text Char"/>
    <w:basedOn w:val="DefaultParagraphFont"/>
    <w:link w:val="FootnoteText"/>
    <w:rsid w:val="000B2CD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B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7308"/>
    <w:rPr>
      <w:b/>
      <w:bCs/>
    </w:rPr>
  </w:style>
  <w:style w:type="character" w:customStyle="1" w:styleId="CommentSubjectChar">
    <w:name w:val="Comment Subject Char"/>
    <w:basedOn w:val="CommentTextChar"/>
    <w:link w:val="CommentSubject"/>
    <w:uiPriority w:val="99"/>
    <w:semiHidden/>
    <w:rsid w:val="004A7308"/>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830C42"/>
    <w:rPr>
      <w:color w:val="954F72" w:themeColor="followedHyperlink"/>
      <w:u w:val="single"/>
    </w:rPr>
  </w:style>
  <w:style w:type="paragraph" w:styleId="Header">
    <w:name w:val="header"/>
    <w:basedOn w:val="Normal"/>
    <w:link w:val="HeaderChar"/>
    <w:uiPriority w:val="99"/>
    <w:unhideWhenUsed/>
    <w:rsid w:val="00200AC3"/>
    <w:pPr>
      <w:tabs>
        <w:tab w:val="center" w:pos="4680"/>
        <w:tab w:val="right" w:pos="9360"/>
      </w:tabs>
    </w:pPr>
  </w:style>
  <w:style w:type="character" w:customStyle="1" w:styleId="HeaderChar">
    <w:name w:val="Header Char"/>
    <w:basedOn w:val="DefaultParagraphFont"/>
    <w:link w:val="Header"/>
    <w:uiPriority w:val="99"/>
    <w:rsid w:val="00200AC3"/>
    <w:rPr>
      <w:rFonts w:ascii="Courier" w:eastAsia="Times New Roman" w:hAnsi="Courier" w:cs="Times New Roman"/>
      <w:sz w:val="20"/>
      <w:szCs w:val="20"/>
    </w:rPr>
  </w:style>
  <w:style w:type="paragraph" w:styleId="Footer">
    <w:name w:val="footer"/>
    <w:basedOn w:val="Normal"/>
    <w:link w:val="FooterChar"/>
    <w:uiPriority w:val="99"/>
    <w:unhideWhenUsed/>
    <w:rsid w:val="00200AC3"/>
    <w:pPr>
      <w:tabs>
        <w:tab w:val="center" w:pos="4680"/>
        <w:tab w:val="right" w:pos="9360"/>
      </w:tabs>
    </w:pPr>
  </w:style>
  <w:style w:type="character" w:customStyle="1" w:styleId="FooterChar">
    <w:name w:val="Footer Char"/>
    <w:basedOn w:val="DefaultParagraphFont"/>
    <w:link w:val="Footer"/>
    <w:uiPriority w:val="99"/>
    <w:rsid w:val="00200AC3"/>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9074BA"/>
    <w:rPr>
      <w:color w:val="605E5C"/>
      <w:shd w:val="clear" w:color="auto" w:fill="E1DFDD"/>
    </w:rPr>
  </w:style>
  <w:style w:type="paragraph" w:styleId="EndnoteText">
    <w:name w:val="endnote text"/>
    <w:basedOn w:val="Normal"/>
    <w:link w:val="EndnoteTextChar"/>
    <w:uiPriority w:val="99"/>
    <w:semiHidden/>
    <w:unhideWhenUsed/>
    <w:rsid w:val="00BF33E7"/>
  </w:style>
  <w:style w:type="character" w:customStyle="1" w:styleId="EndnoteTextChar">
    <w:name w:val="Endnote Text Char"/>
    <w:basedOn w:val="DefaultParagraphFont"/>
    <w:link w:val="EndnoteText"/>
    <w:uiPriority w:val="99"/>
    <w:semiHidden/>
    <w:rsid w:val="00BF33E7"/>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BF33E7"/>
    <w:rPr>
      <w:vertAlign w:val="superscript"/>
    </w:rPr>
  </w:style>
  <w:style w:type="paragraph" w:styleId="Revision">
    <w:name w:val="Revision"/>
    <w:hidden/>
    <w:uiPriority w:val="99"/>
    <w:semiHidden/>
    <w:rsid w:val="007C77BC"/>
    <w:pPr>
      <w:spacing w:after="0" w:line="240" w:lineRule="auto"/>
    </w:pPr>
    <w:rPr>
      <w:rFonts w:ascii="Courier" w:eastAsia="Times New Roman" w:hAnsi="Courier" w:cs="Times New Roman"/>
      <w:sz w:val="20"/>
      <w:szCs w:val="20"/>
    </w:rPr>
  </w:style>
  <w:style w:type="table" w:styleId="TableGrid">
    <w:name w:val="Table Grid"/>
    <w:basedOn w:val="TableNormal"/>
    <w:uiPriority w:val="39"/>
    <w:rsid w:val="005E7F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iif/publications.htm" TargetMode="External" /><Relationship Id="rId7" Type="http://schemas.openxmlformats.org/officeDocument/2006/relationships/hyperlink" Target="https://www.bls.gov/iif/notices/2025/cfoi-and-soii-race-and-ethnicity-planned-updates-for-collection-and-publication.htm" TargetMode="External" /><Relationship Id="rId8" Type="http://schemas.openxmlformats.org/officeDocument/2006/relationships/hyperlink" Target="https://www.opm.gov/policy-data-oversight/pay-leave/salaries-wages/salary-tables/24Tables/html/DCB_h.aspx" TargetMode="External" /><Relationship Id="rId9" Type="http://schemas.openxmlformats.org/officeDocument/2006/relationships/hyperlink" Target="https://www.bls.gov/news.release/archives/ecec_1217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9B65-3BC9-46AB-AA36-CBE4E7A9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7832</Words>
  <Characters>44646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W. Steve - BLS</dc:creator>
  <cp:lastModifiedBy>Kincaid, Nora</cp:lastModifiedBy>
  <cp:revision>6</cp:revision>
  <dcterms:created xsi:type="dcterms:W3CDTF">2025-05-27T15:16:00Z</dcterms:created>
  <dcterms:modified xsi:type="dcterms:W3CDTF">2025-08-14T13:40:00Z</dcterms:modified>
</cp:coreProperties>
</file>