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F50" w:rsidRPr="00964A1E" w:rsidP="006A23F0" w14:paraId="4290B8FD" w14:textId="77777777">
      <w:pPr>
        <w:pStyle w:val="Heading1"/>
        <w:spacing w:after="0" w:line="240" w:lineRule="auto"/>
      </w:pPr>
      <w:r w:rsidRPr="00964A1E">
        <w:t>SUPPORTING STATEMENT FOR</w:t>
      </w:r>
    </w:p>
    <w:p w:rsidR="00254F50" w:rsidRPr="00964A1E" w:rsidP="006A23F0" w14:paraId="4515A0EB" w14:textId="77777777">
      <w:pPr>
        <w:pStyle w:val="Heading1"/>
        <w:spacing w:after="480" w:line="240" w:lineRule="auto"/>
      </w:pPr>
      <w:r w:rsidRPr="00964A1E">
        <w:t xml:space="preserve"> JOBS FOR VETERANS STATE GRANTS REPORTS</w:t>
      </w:r>
    </w:p>
    <w:p w:rsidR="004670FF" w:rsidP="00964A1E" w14:paraId="770A769E" w14:textId="16DAFD3D">
      <w:pPr>
        <w:pStyle w:val="Heading1"/>
      </w:pPr>
      <w:r w:rsidRPr="00964A1E">
        <w:t>OMB CONTROL NO. 1293-0009</w:t>
      </w:r>
    </w:p>
    <w:p w:rsidR="00136205" w:rsidP="00136205" w14:paraId="6A31BF0F" w14:textId="420B3208">
      <w:r w:rsidRPr="00340647">
        <w:t xml:space="preserve">This </w:t>
      </w:r>
      <w:r w:rsidR="00E3606E">
        <w:t>Information Collection Request (</w:t>
      </w:r>
      <w:r w:rsidRPr="00340647">
        <w:t>ICR</w:t>
      </w:r>
      <w:r w:rsidR="00E3606E">
        <w:t>)</w:t>
      </w:r>
      <w:r w:rsidRPr="00340647">
        <w:t xml:space="preserve"> seeks </w:t>
      </w:r>
      <w:r w:rsidR="00853CC8">
        <w:t xml:space="preserve">a revision to a currently approved </w:t>
      </w:r>
      <w:r w:rsidR="006E64A9">
        <w:t>collection</w:t>
      </w:r>
      <w:r w:rsidR="00853CC8">
        <w:t xml:space="preserve">. </w:t>
      </w:r>
    </w:p>
    <w:p w:rsidR="0053358B" w:rsidP="00D36DD3" w14:paraId="2078D510" w14:textId="49442C89">
      <w:pPr>
        <w:pStyle w:val="Heading2"/>
        <w:numPr>
          <w:ilvl w:val="0"/>
          <w:numId w:val="11"/>
        </w:numPr>
        <w:ind w:hanging="720"/>
      </w:pPr>
      <w:r>
        <w:t>Justification</w:t>
      </w:r>
    </w:p>
    <w:p w:rsidR="000D15C1" w:rsidRPr="00D72F02" w:rsidP="00D72F02" w14:paraId="576D5A76" w14:textId="738B208A">
      <w:pPr>
        <w:pStyle w:val="Heading3"/>
        <w:numPr>
          <w:ilvl w:val="0"/>
          <w:numId w:val="21"/>
        </w:numPr>
        <w:ind w:hanging="720"/>
      </w:pPr>
      <w:r w:rsidRPr="00D72F02">
        <w:t xml:space="preserve">Explain the </w:t>
      </w:r>
      <w:r w:rsidRPr="00D72F02" w:rsidR="00C97A31">
        <w:t>circumstances that make the collection of information necessary</w:t>
      </w:r>
      <w:r w:rsidRPr="00D72F02" w:rsidR="000173F9">
        <w:t xml:space="preserve">. </w:t>
      </w:r>
      <w:r w:rsidRPr="00D72F02" w:rsidR="00C97A31">
        <w:t>Identify any legal or administrative requirements that necessitate the collection</w:t>
      </w:r>
      <w:r w:rsidRPr="00D72F02" w:rsidR="000173F9">
        <w:t xml:space="preserve">. </w:t>
      </w:r>
      <w:r w:rsidRPr="00D72F02" w:rsidR="00C97A31">
        <w:t>Attach a copy of the appropriate section of each statute and regulation mandating or authorizing the collection of information.</w:t>
      </w:r>
    </w:p>
    <w:p w:rsidR="00C97A31" w:rsidP="00C97A31" w14:paraId="24EE0625" w14:textId="48D69B9B">
      <w:r w:rsidRPr="00705C9A">
        <w:t xml:space="preserve">The Department of Labor’s (Department) Veterans’ Employment and Training Service (VETS) administers funds for the multi-year Jobs for Veterans State Grant (JVSG) to each </w:t>
      </w:r>
      <w:r w:rsidR="0001743E">
        <w:t>s</w:t>
      </w:r>
      <w:r w:rsidRPr="00705C9A" w:rsidR="0001743E">
        <w:t>tate</w:t>
      </w:r>
      <w:r w:rsidRPr="00705C9A">
        <w:t xml:space="preserve">, the District of Columbia, </w:t>
      </w:r>
      <w:r w:rsidR="00D45446">
        <w:t xml:space="preserve">Guam, </w:t>
      </w:r>
      <w:r w:rsidRPr="00705C9A">
        <w:t>Puerto Rico</w:t>
      </w:r>
      <w:r w:rsidR="00992A35">
        <w:t>,</w:t>
      </w:r>
      <w:r w:rsidRPr="00705C9A">
        <w:t xml:space="preserve"> and the Virgin Islands on a fiscal year basis. These non-competitive, formula-driven grants are codified under 38 U.S.C.</w:t>
      </w:r>
      <w:r w:rsidR="00FD4F7F">
        <w:t>§</w:t>
      </w:r>
      <w:r w:rsidRPr="00705C9A">
        <w:t xml:space="preserve"> 4102A(b)(5):</w:t>
      </w:r>
    </w:p>
    <w:p w:rsidR="00247B79" w:rsidRPr="00C56A82" w:rsidP="00C56A82" w14:paraId="7601F23C" w14:textId="35AD796F">
      <w:pPr>
        <w:ind w:left="720" w:right="720"/>
        <w:rPr>
          <w:rStyle w:val="Emphasis"/>
        </w:rPr>
      </w:pPr>
      <w:r w:rsidRPr="00C56A82">
        <w:rPr>
          <w:rStyle w:val="Emphasis"/>
        </w:rPr>
        <w:t>“Subject to subsection (c) make available for use in each State by grant or contract such funds as may be necessary to support—(A) disabled veterans’ outreach program specialists appointed under section 4103A(a)(1) of this title, (B) local veterans’ employment representatives assigned under section 4104(b) of this title, and (C) the reasonable expenses of such specialists and representatives described in subparagraphs (A) and (B), respectively, for training, travel, supplies, and other business expenses…”</w:t>
      </w:r>
    </w:p>
    <w:p w:rsidR="00857419" w:rsidP="00857419" w14:paraId="7C3F5376" w14:textId="53EF0E2E">
      <w:r>
        <w:t xml:space="preserve">VETS provides funds to </w:t>
      </w:r>
      <w:r w:rsidR="0001743E">
        <w:t xml:space="preserve">states </w:t>
      </w:r>
      <w:r>
        <w:t xml:space="preserve">in accordance with an allocation formula required by 38 U.S.C. </w:t>
      </w:r>
      <w:r w:rsidR="0001743E">
        <w:t xml:space="preserve">§ </w:t>
      </w:r>
      <w:r>
        <w:t>4102A (c)(2)(B) and as published in regulation at Title 20, Part 1001, Subpart F of the Code of Federal Regulations (C</w:t>
      </w:r>
      <w:r w:rsidR="002A4231">
        <w:t>.</w:t>
      </w:r>
      <w:r>
        <w:t>F</w:t>
      </w:r>
      <w:r w:rsidR="002A4231">
        <w:t>.</w:t>
      </w:r>
      <w:r>
        <w:t>R</w:t>
      </w:r>
      <w:r w:rsidR="002A4231">
        <w:t>.</w:t>
      </w:r>
      <w:r>
        <w:t xml:space="preserve">). The Assistant Secretary for Veterans’ Employment and Training </w:t>
      </w:r>
      <w:r w:rsidR="0001743E">
        <w:t xml:space="preserve">(ASVET) </w:t>
      </w:r>
      <w:r>
        <w:t xml:space="preserve">monitors and supervises the distribution and use of those funds as required by </w:t>
      </w:r>
      <w:r w:rsidR="0001743E">
        <w:t>§</w:t>
      </w:r>
      <w:r>
        <w:t xml:space="preserve">4102A (b)(6). Additionally, and in accordance with 38 U.S.C. </w:t>
      </w:r>
      <w:r w:rsidR="0001743E">
        <w:t xml:space="preserve">§ </w:t>
      </w:r>
      <w:r>
        <w:t>4107(b), the Secretary reviews performance and provides an annual report to Congress that includes:</w:t>
      </w:r>
    </w:p>
    <w:p w:rsidR="00857419" w:rsidP="00857419" w14:paraId="1DCCDA47" w14:textId="14FFD4C7">
      <w:pPr>
        <w:pStyle w:val="ListParagraph"/>
        <w:numPr>
          <w:ilvl w:val="0"/>
          <w:numId w:val="13"/>
        </w:numPr>
      </w:pPr>
      <w:r>
        <w:t xml:space="preserve">A characterization of the quality and character of priority of services provided to veterans (38 U.S.C. </w:t>
      </w:r>
      <w:r w:rsidR="0001743E">
        <w:t xml:space="preserve">§ </w:t>
      </w:r>
      <w:r>
        <w:t>4215</w:t>
      </w:r>
      <w:r w:rsidR="0001743E">
        <w:t>;</w:t>
      </w:r>
      <w:r>
        <w:t xml:space="preserve"> 20 C</w:t>
      </w:r>
      <w:r w:rsidR="0001743E">
        <w:t>.</w:t>
      </w:r>
      <w:r>
        <w:t>F</w:t>
      </w:r>
      <w:r w:rsidR="0001743E">
        <w:t>.</w:t>
      </w:r>
      <w:r>
        <w:t>R</w:t>
      </w:r>
      <w:r w:rsidR="0001743E">
        <w:t>.</w:t>
      </w:r>
      <w:r>
        <w:t xml:space="preserve"> </w:t>
      </w:r>
      <w:r w:rsidR="0001743E">
        <w:t xml:space="preserve">§§ </w:t>
      </w:r>
      <w:r>
        <w:t>1010.320, 1010.330</w:t>
      </w:r>
      <w:r>
        <w:t>);</w:t>
      </w:r>
    </w:p>
    <w:p w:rsidR="00857419" w:rsidP="00857419" w14:paraId="67536569" w14:textId="73567AF6">
      <w:pPr>
        <w:pStyle w:val="ListParagraph"/>
        <w:numPr>
          <w:ilvl w:val="0"/>
          <w:numId w:val="13"/>
        </w:numPr>
      </w:pPr>
      <w:r>
        <w:t xml:space="preserve">Efforts to coordinate with the Veterans Administration </w:t>
      </w:r>
      <w:r w:rsidR="0001743E">
        <w:t>(</w:t>
      </w:r>
      <w:r>
        <w:t xml:space="preserve">in accordance with 38 U.S.C. </w:t>
      </w:r>
      <w:r w:rsidR="0001743E">
        <w:t xml:space="preserve">§§ </w:t>
      </w:r>
      <w:r>
        <w:t>4102A(b)(3)</w:t>
      </w:r>
      <w:r w:rsidR="0001743E">
        <w:t xml:space="preserve">, </w:t>
      </w:r>
      <w:r>
        <w:t>4109</w:t>
      </w:r>
      <w:r w:rsidR="0001743E">
        <w:t>)</w:t>
      </w:r>
      <w:r>
        <w:t>; and</w:t>
      </w:r>
    </w:p>
    <w:p w:rsidR="00247B79" w:rsidP="00857419" w14:paraId="77D64115" w14:textId="663F16C1">
      <w:pPr>
        <w:pStyle w:val="ListParagraph"/>
        <w:numPr>
          <w:ilvl w:val="0"/>
          <w:numId w:val="13"/>
        </w:numPr>
      </w:pPr>
      <w:r>
        <w:t xml:space="preserve">Incentive fund usage </w:t>
      </w:r>
      <w:r w:rsidR="0001743E">
        <w:t>(</w:t>
      </w:r>
      <w:r>
        <w:t xml:space="preserve">as described in 38 U.S.C. </w:t>
      </w:r>
      <w:r w:rsidR="0001743E">
        <w:t xml:space="preserve">§ </w:t>
      </w:r>
      <w:r>
        <w:t>4112</w:t>
      </w:r>
      <w:r w:rsidR="0001743E">
        <w:t>)</w:t>
      </w:r>
      <w:r>
        <w:t>.</w:t>
      </w:r>
    </w:p>
    <w:p w:rsidR="00493665" w:rsidP="00E325FA" w14:paraId="100553CD" w14:textId="77777777">
      <w:pPr>
        <w:pStyle w:val="ListParagraph"/>
      </w:pPr>
    </w:p>
    <w:p w:rsidR="008A3939" w:rsidP="006C270B" w14:paraId="2264CBF3" w14:textId="6816BAAE">
      <w:pPr>
        <w:pStyle w:val="ListParagraph"/>
        <w:ind w:left="0"/>
        <w:contextualSpacing w:val="0"/>
      </w:pPr>
      <w:r w:rsidRPr="008A3939">
        <w:t xml:space="preserve">VETS is requesting continued approval for the information collection that streamlines the annual funding request process for grantees, reports the use of grantee funds in sufficient detail to allow </w:t>
      </w:r>
      <w:r w:rsidRPr="008A3939">
        <w:t>interim adjustments that ensure all appropriated funding is expended properly, allows VETS to conduct appropriate oversight and monitoring of grant activities, and provides data needed for VETS’ Annual Report to Congress.</w:t>
      </w:r>
    </w:p>
    <w:p w:rsidR="008A3939" w:rsidP="006C270B" w14:paraId="4B04821F" w14:textId="56C9735E">
      <w:pPr>
        <w:pStyle w:val="ListParagraph"/>
        <w:ind w:left="0"/>
        <w:contextualSpacing w:val="0"/>
      </w:pPr>
      <w:r w:rsidRPr="006C270B">
        <w:t>The forms and reports collect required programmatic and financial data from States requesting and obligating grant funds. The continued use of standardized formats for collecting this information helps to ensure that requested data is provided in a uniform way, reporting burdens are minimized, the impact of collection requirements on respondents are properly assessed, collection instruments are clearly understood by respondents, and the information is easily consolidated for</w:t>
      </w:r>
      <w:r w:rsidR="00E63133">
        <w:t xml:space="preserve"> use by the </w:t>
      </w:r>
      <w:r w:rsidR="00005996">
        <w:t>Department</w:t>
      </w:r>
      <w:r w:rsidRPr="006C270B">
        <w:t>.</w:t>
      </w:r>
    </w:p>
    <w:p w:rsidR="003B3171" w:rsidP="009174C4" w14:paraId="178CF52F" w14:textId="77777777">
      <w:r>
        <w:t>The legislative and/or regulatory justification for each information collection is as follows:</w:t>
      </w:r>
    </w:p>
    <w:p w:rsidR="00921779" w:rsidP="009174C4" w14:paraId="1EA807F6" w14:textId="40A4FD6D">
      <w:pPr>
        <w:pStyle w:val="ListParagraph"/>
        <w:numPr>
          <w:ilvl w:val="0"/>
          <w:numId w:val="14"/>
        </w:numPr>
        <w:contextualSpacing w:val="0"/>
      </w:pPr>
      <w:r w:rsidRPr="00C56A82">
        <w:rPr>
          <w:rStyle w:val="Strong"/>
        </w:rPr>
        <w:t>Manager’s Report on Services to Veterans:</w:t>
      </w:r>
      <w:r>
        <w:t xml:space="preserve"> 38 U.S.C. </w:t>
      </w:r>
      <w:r w:rsidR="002A4231">
        <w:t xml:space="preserve">§ </w:t>
      </w:r>
      <w:r>
        <w:t xml:space="preserve">4104(e) requires a report on employment and training services provided to veterans and eligible persons by each local employment service delivery point or area. This narrative report is provided to the State Director for Veterans' Employment and Training (DVET) each </w:t>
      </w:r>
      <w:r w:rsidR="00F24CB5">
        <w:t xml:space="preserve">federal </w:t>
      </w:r>
      <w:r>
        <w:t>fiscal quarter</w:t>
      </w:r>
      <w:r w:rsidR="000173F9">
        <w:t xml:space="preserve">. </w:t>
      </w:r>
      <w:r>
        <w:t>It addresses:</w:t>
      </w:r>
    </w:p>
    <w:p w:rsidR="00921779" w:rsidP="009174C4" w14:paraId="30656EB0" w14:textId="3E541301">
      <w:pPr>
        <w:pStyle w:val="ListParagraph"/>
        <w:numPr>
          <w:ilvl w:val="1"/>
          <w:numId w:val="14"/>
        </w:numPr>
        <w:contextualSpacing w:val="0"/>
      </w:pPr>
      <w:r>
        <w:t xml:space="preserve">Outreach efforts to employers and other organizations to promote the hiring of veterans and other eligible </w:t>
      </w:r>
      <w:r>
        <w:t>persons;</w:t>
      </w:r>
    </w:p>
    <w:p w:rsidR="00921779" w:rsidP="009174C4" w14:paraId="30A8BEEB" w14:textId="77777777">
      <w:pPr>
        <w:pStyle w:val="ListParagraph"/>
        <w:numPr>
          <w:ilvl w:val="1"/>
          <w:numId w:val="14"/>
        </w:numPr>
        <w:contextualSpacing w:val="0"/>
      </w:pPr>
      <w:r>
        <w:t xml:space="preserve">Veterans and other eligible persons enrolled in case management (receiving intensive services) from staff assigned to the local </w:t>
      </w:r>
      <w:r>
        <w:t>office;</w:t>
      </w:r>
    </w:p>
    <w:p w:rsidR="00921779" w:rsidP="009174C4" w14:paraId="4BBAAF0B" w14:textId="77777777">
      <w:pPr>
        <w:pStyle w:val="ListParagraph"/>
        <w:numPr>
          <w:ilvl w:val="1"/>
          <w:numId w:val="14"/>
        </w:numPr>
        <w:contextualSpacing w:val="0"/>
      </w:pPr>
      <w:r>
        <w:t>Outreach efforts to locate and serve veterans and other eligible persons with barriers to employment; and</w:t>
      </w:r>
    </w:p>
    <w:p w:rsidR="00921779" w:rsidP="009174C4" w14:paraId="63891060" w14:textId="36433D0F">
      <w:pPr>
        <w:pStyle w:val="ListParagraph"/>
        <w:numPr>
          <w:ilvl w:val="1"/>
          <w:numId w:val="14"/>
        </w:numPr>
        <w:contextualSpacing w:val="0"/>
      </w:pPr>
      <w:r>
        <w:t xml:space="preserve">Compliance with Priority of Service requirements established at 38 U.S.C. </w:t>
      </w:r>
      <w:r w:rsidR="00406769">
        <w:t xml:space="preserve">§ </w:t>
      </w:r>
      <w:r>
        <w:t>4215 and 20 C</w:t>
      </w:r>
      <w:r w:rsidR="00406769">
        <w:t>.</w:t>
      </w:r>
      <w:r>
        <w:t>F</w:t>
      </w:r>
      <w:r w:rsidR="00406769">
        <w:t>.</w:t>
      </w:r>
      <w:r>
        <w:t>R</w:t>
      </w:r>
      <w:r w:rsidR="00406769">
        <w:t>.</w:t>
      </w:r>
      <w:r>
        <w:t>, Part 1010.</w:t>
      </w:r>
    </w:p>
    <w:p w:rsidR="009174C4" w:rsidP="009174C4" w14:paraId="143CC972" w14:textId="29E0B9FE">
      <w:pPr>
        <w:pStyle w:val="ListParagraph"/>
        <w:numPr>
          <w:ilvl w:val="0"/>
          <w:numId w:val="14"/>
        </w:numPr>
        <w:contextualSpacing w:val="0"/>
      </w:pPr>
      <w:r w:rsidRPr="00C56A82">
        <w:rPr>
          <w:rStyle w:val="Strong"/>
        </w:rPr>
        <w:t>VETS-401 JVSG Budget Information Summary:</w:t>
      </w:r>
      <w:r>
        <w:t xml:space="preserve">  In accordance with 2 C.F.R, applicants for non-construction program grants must submit certain detailed budget forecast information</w:t>
      </w:r>
      <w:r w:rsidR="00F24CB5">
        <w:t>,</w:t>
      </w:r>
      <w:r>
        <w:t xml:space="preserve"> as specified by the awarding agency. The awarding agency uses the information provided for the award and general management of the grant. VETS currently uses the single-page VETS 401, which provides </w:t>
      </w:r>
      <w:r w:rsidR="00DD5511">
        <w:t xml:space="preserve">VETS </w:t>
      </w:r>
      <w:r>
        <w:t>all the budget information needed to accommodate the JVSG program and its five component activities by cost category and cash needs by quarter.</w:t>
      </w:r>
    </w:p>
    <w:p w:rsidR="003B3171" w:rsidP="009174C4" w14:paraId="556F365D" w14:textId="61336D78">
      <w:pPr>
        <w:pStyle w:val="ListParagraph"/>
        <w:numPr>
          <w:ilvl w:val="0"/>
          <w:numId w:val="14"/>
        </w:numPr>
        <w:contextualSpacing w:val="0"/>
      </w:pPr>
      <w:r w:rsidRPr="00C56A82">
        <w:rPr>
          <w:rStyle w:val="Strong"/>
        </w:rPr>
        <w:t>VETS-402 JVSG Expenditure Detail Report (EDR):</w:t>
      </w:r>
      <w:r>
        <w:t xml:space="preserve"> Financial reports ensure that the </w:t>
      </w:r>
      <w:r w:rsidR="00D04976">
        <w:t>recipient</w:t>
      </w:r>
      <w:r>
        <w:t xml:space="preserve"> adheres to the budget approved by the awarding agency. VETS collects and compiles the EDR information to effectively monitor the use of JVSG funds in accordance with the regulations at 29</w:t>
      </w:r>
      <w:r w:rsidR="002A4231">
        <w:t xml:space="preserve"> C.F.R. §</w:t>
      </w:r>
      <w:r>
        <w:t xml:space="preserve"> 97.41</w:t>
      </w:r>
      <w:r w:rsidR="002A4231">
        <w:t>(a)(3)</w:t>
      </w:r>
      <w:r w:rsidR="000173F9">
        <w:t xml:space="preserve">. </w:t>
      </w:r>
      <w:r>
        <w:t xml:space="preserve">JVSG recipients use the EDR </w:t>
      </w:r>
      <w:r>
        <w:t xml:space="preserve">to detail total expenditures by </w:t>
      </w:r>
      <w:r w:rsidR="00930798">
        <w:t>activity</w:t>
      </w:r>
      <w:r>
        <w:t xml:space="preserve"> to supplement the quarterly SF-425 Federal Financial Report (FFR)</w:t>
      </w:r>
      <w:r w:rsidR="00F24CB5">
        <w:t>,</w:t>
      </w:r>
      <w:r>
        <w:t xml:space="preserve"> which is used to report total grant spending and draw down of funds. The EDR effectively crosswalks to both the FFR and the JVSG Budget Information Summary (VETS-401) to ensure </w:t>
      </w:r>
      <w:r w:rsidR="00D04976">
        <w:t>recipients</w:t>
      </w:r>
      <w:r>
        <w:t xml:space="preserve"> obligate awarded funding in accordance with their approved budget plan.</w:t>
      </w:r>
    </w:p>
    <w:p w:rsidR="009174C4" w:rsidP="009174C4" w14:paraId="77EA13CB" w14:textId="208A8AB8">
      <w:pPr>
        <w:pStyle w:val="ListParagraph"/>
        <w:contextualSpacing w:val="0"/>
      </w:pPr>
      <w:r>
        <w:t xml:space="preserve">Because 38 U.S.C. </w:t>
      </w:r>
      <w:r w:rsidR="002A4231">
        <w:t xml:space="preserve">§ </w:t>
      </w:r>
      <w:r>
        <w:t xml:space="preserve">4102A(b)(5) stipulates that JVSG funds are made available to support </w:t>
      </w:r>
      <w:r w:rsidR="002D3FE1">
        <w:t xml:space="preserve">disabled veterans’ outreach program (DVOP) </w:t>
      </w:r>
      <w:r>
        <w:t xml:space="preserve">specialists, </w:t>
      </w:r>
      <w:r w:rsidR="002D3FE1">
        <w:t>local veterans’ employment representatives (LVER)</w:t>
      </w:r>
      <w:r>
        <w:t xml:space="preserve">, and consolidated DVOP/LVER </w:t>
      </w:r>
      <w:r w:rsidR="002D3FE1">
        <w:t xml:space="preserve">(CDOL) </w:t>
      </w:r>
      <w:r>
        <w:t xml:space="preserve">positions, VETS requires recipients report the amounts expended for salaries and benefits (the primary costs for staff) and </w:t>
      </w:r>
      <w:r w:rsidR="005C13F0">
        <w:t>number of Fun</w:t>
      </w:r>
      <w:r w:rsidR="00754155">
        <w:t>ded Positions</w:t>
      </w:r>
      <w:r>
        <w:t xml:space="preserve"> for each activity</w:t>
      </w:r>
      <w:r w:rsidR="00B3470F">
        <w:t xml:space="preserve"> on the EDR</w:t>
      </w:r>
      <w:r>
        <w:t>.</w:t>
      </w:r>
    </w:p>
    <w:p w:rsidR="003B3171" w:rsidP="009174C4" w14:paraId="6858061D" w14:textId="66430E4A">
      <w:pPr>
        <w:pStyle w:val="ListParagraph"/>
        <w:numPr>
          <w:ilvl w:val="0"/>
          <w:numId w:val="14"/>
        </w:numPr>
        <w:contextualSpacing w:val="0"/>
      </w:pPr>
      <w:r w:rsidRPr="00C56A82">
        <w:rPr>
          <w:rStyle w:val="Strong"/>
        </w:rPr>
        <w:t>VETS-403 JVSG Technical Performance Narrative (TPN):</w:t>
      </w:r>
      <w:r>
        <w:t xml:space="preserve"> 2 C.F.R. </w:t>
      </w:r>
      <w:r w:rsidR="002A4231">
        <w:t xml:space="preserve">§ </w:t>
      </w:r>
      <w:r>
        <w:t xml:space="preserve">200.329 requires grant recipients to report a comparison of actual accomplishments to their established objectives, performance trend analysis, and other information at intervals established by the awarding agency. 38 U.S.C. </w:t>
      </w:r>
      <w:r w:rsidR="002A4231">
        <w:t xml:space="preserve">§ </w:t>
      </w:r>
      <w:r>
        <w:t>4102A(b)(6) requires VETS to monitor and supervise the use of funds provided to each recipient. The TPN guides recipients to report only on those elements that VETS needs for appropriate oversight.</w:t>
      </w:r>
    </w:p>
    <w:p w:rsidR="00B51509" w:rsidP="009174C4" w14:paraId="35475EBA" w14:textId="550BEDAB">
      <w:pPr>
        <w:pStyle w:val="ListParagraph"/>
        <w:numPr>
          <w:ilvl w:val="0"/>
          <w:numId w:val="14"/>
        </w:numPr>
        <w:contextualSpacing w:val="0"/>
      </w:pPr>
      <w:r w:rsidRPr="00D76C99">
        <w:rPr>
          <w:rStyle w:val="Strong"/>
        </w:rPr>
        <w:t>VETS-</w:t>
      </w:r>
      <w:r>
        <w:rPr>
          <w:rStyle w:val="Strong"/>
        </w:rPr>
        <w:t>404</w:t>
      </w:r>
      <w:r w:rsidRPr="00D76C99">
        <w:rPr>
          <w:rStyle w:val="Strong"/>
        </w:rPr>
        <w:t xml:space="preserve"> </w:t>
      </w:r>
      <w:r>
        <w:rPr>
          <w:rStyle w:val="Strong"/>
        </w:rPr>
        <w:t>Incentive Award Report</w:t>
      </w:r>
      <w:r w:rsidR="00E23CCA">
        <w:rPr>
          <w:rStyle w:val="Strong"/>
        </w:rPr>
        <w:t xml:space="preserve"> (IAR)</w:t>
      </w:r>
      <w:r w:rsidRPr="00D76C99">
        <w:rPr>
          <w:rStyle w:val="Strong"/>
        </w:rPr>
        <w:t>:</w:t>
      </w:r>
      <w:r w:rsidR="001D3B0D">
        <w:rPr>
          <w:rStyle w:val="Strong"/>
        </w:rPr>
        <w:t xml:space="preserve"> </w:t>
      </w:r>
      <w:r w:rsidRPr="000A72E5" w:rsidR="00405E76">
        <w:rPr>
          <w:rStyle w:val="Strong"/>
          <w:b w:val="0"/>
          <w:bCs w:val="0"/>
        </w:rPr>
        <w:t>As a condition for the receipt of funds</w:t>
      </w:r>
      <w:r w:rsidR="000A72E5">
        <w:rPr>
          <w:rStyle w:val="Strong"/>
          <w:b w:val="0"/>
          <w:bCs w:val="0"/>
        </w:rPr>
        <w:t xml:space="preserve"> per 38 USC 4102A(c)(2)(A</w:t>
      </w:r>
      <w:r w:rsidR="00FA4A71">
        <w:rPr>
          <w:rStyle w:val="Strong"/>
          <w:b w:val="0"/>
          <w:bCs w:val="0"/>
        </w:rPr>
        <w:t>)(i)(III)</w:t>
      </w:r>
      <w:r w:rsidRPr="000A72E5" w:rsidR="00405E76">
        <w:rPr>
          <w:rStyle w:val="Strong"/>
          <w:b w:val="0"/>
          <w:bCs w:val="0"/>
        </w:rPr>
        <w:t xml:space="preserve">, recipients must </w:t>
      </w:r>
      <w:r w:rsidRPr="000A72E5" w:rsidR="000A72E5">
        <w:rPr>
          <w:rStyle w:val="Strong"/>
          <w:b w:val="0"/>
          <w:bCs w:val="0"/>
        </w:rPr>
        <w:t xml:space="preserve">establish </w:t>
      </w:r>
      <w:r w:rsidR="00FA4A71">
        <w:rPr>
          <w:rStyle w:val="Strong"/>
          <w:b w:val="0"/>
          <w:bCs w:val="0"/>
        </w:rPr>
        <w:t>an annual</w:t>
      </w:r>
      <w:r w:rsidRPr="000A72E5" w:rsidR="000A72E5">
        <w:rPr>
          <w:rStyle w:val="Strong"/>
          <w:b w:val="0"/>
          <w:bCs w:val="0"/>
        </w:rPr>
        <w:t xml:space="preserve"> performance incentive award program</w:t>
      </w:r>
      <w:r w:rsidR="00A3441F">
        <w:rPr>
          <w:rStyle w:val="Strong"/>
          <w:b w:val="0"/>
          <w:bCs w:val="0"/>
        </w:rPr>
        <w:t>.</w:t>
      </w:r>
      <w:r w:rsidR="00E23CCA">
        <w:rPr>
          <w:rStyle w:val="Strong"/>
          <w:b w:val="0"/>
          <w:bCs w:val="0"/>
        </w:rPr>
        <w:t xml:space="preserve"> </w:t>
      </w:r>
      <w:r w:rsidR="005E0F84">
        <w:rPr>
          <w:rStyle w:val="Strong"/>
          <w:b w:val="0"/>
          <w:bCs w:val="0"/>
        </w:rPr>
        <w:t xml:space="preserve">Recipients report on their incentive award program implementation, including </w:t>
      </w:r>
      <w:r w:rsidR="003C2FF6">
        <w:rPr>
          <w:rStyle w:val="Strong"/>
          <w:b w:val="0"/>
          <w:bCs w:val="0"/>
        </w:rPr>
        <w:t>the type</w:t>
      </w:r>
      <w:r w:rsidR="002D68B9">
        <w:rPr>
          <w:rStyle w:val="Strong"/>
          <w:b w:val="0"/>
          <w:bCs w:val="0"/>
        </w:rPr>
        <w:t xml:space="preserve"> and </w:t>
      </w:r>
      <w:r w:rsidR="002D68B9">
        <w:rPr>
          <w:rStyle w:val="Strong"/>
          <w:b w:val="0"/>
          <w:bCs w:val="0"/>
        </w:rPr>
        <w:t>amount</w:t>
      </w:r>
      <w:r w:rsidR="003C2FF6">
        <w:rPr>
          <w:rStyle w:val="Strong"/>
          <w:b w:val="0"/>
          <w:bCs w:val="0"/>
        </w:rPr>
        <w:t xml:space="preserve"> of award</w:t>
      </w:r>
      <w:r w:rsidR="002D68B9">
        <w:rPr>
          <w:rStyle w:val="Strong"/>
          <w:b w:val="0"/>
          <w:bCs w:val="0"/>
        </w:rPr>
        <w:t>s</w:t>
      </w:r>
      <w:r w:rsidR="003C2FF6">
        <w:rPr>
          <w:rStyle w:val="Strong"/>
          <w:b w:val="0"/>
          <w:bCs w:val="0"/>
        </w:rPr>
        <w:t xml:space="preserve"> issued and the name and title of the individual or office who received the award</w:t>
      </w:r>
      <w:r w:rsidR="002D68B9">
        <w:rPr>
          <w:rStyle w:val="Strong"/>
          <w:b w:val="0"/>
          <w:bCs w:val="0"/>
        </w:rPr>
        <w:t>.</w:t>
      </w:r>
    </w:p>
    <w:p w:rsidR="009174C4" w:rsidP="009174C4" w14:paraId="73C60715" w14:textId="30AA4DE9">
      <w:pPr>
        <w:pStyle w:val="ListParagraph"/>
        <w:numPr>
          <w:ilvl w:val="0"/>
          <w:numId w:val="14"/>
        </w:numPr>
        <w:contextualSpacing w:val="0"/>
      </w:pPr>
      <w:r w:rsidRPr="00D76C99">
        <w:rPr>
          <w:rStyle w:val="Strong"/>
        </w:rPr>
        <w:t>VETS-501 JVSG Staffing Directory:</w:t>
      </w:r>
      <w:r>
        <w:t xml:space="preserve">  </w:t>
      </w:r>
      <w:r w:rsidR="00343784">
        <w:t>Recipients</w:t>
      </w:r>
      <w:r w:rsidR="003E71C8">
        <w:t xml:space="preserve"> use the VETS-501 to</w:t>
      </w:r>
      <w:r>
        <w:t xml:space="preserve"> provide information that allows VETS to ensure they have complied with several staffing requirements</w:t>
      </w:r>
      <w:r w:rsidR="000173F9">
        <w:t xml:space="preserve">. </w:t>
      </w:r>
      <w:r>
        <w:t>The form was designed to streamline the requirement for certain staffing information and to minimize the reporting burden on grant applicants</w:t>
      </w:r>
      <w:r w:rsidR="00CE166D">
        <w:t xml:space="preserve">. </w:t>
      </w:r>
      <w:r>
        <w:t>The VETS-501 form:</w:t>
      </w:r>
    </w:p>
    <w:p w:rsidR="009174C4" w:rsidP="009174C4" w14:paraId="50E52F71" w14:textId="7727DE9D">
      <w:pPr>
        <w:pStyle w:val="ListParagraph"/>
        <w:numPr>
          <w:ilvl w:val="1"/>
          <w:numId w:val="14"/>
        </w:numPr>
        <w:contextualSpacing w:val="0"/>
      </w:pPr>
      <w:r>
        <w:t>Satisfies an assurance required by the Drug-Free Workplace Act of 1988, and implemented at 34 C</w:t>
      </w:r>
      <w:r w:rsidR="00406769">
        <w:t>.</w:t>
      </w:r>
      <w:r>
        <w:t>F</w:t>
      </w:r>
      <w:r w:rsidR="00406769">
        <w:t>.</w:t>
      </w:r>
      <w:r>
        <w:t>R</w:t>
      </w:r>
      <w:r w:rsidR="00406769">
        <w:t>.</w:t>
      </w:r>
      <w:r>
        <w:t xml:space="preserve"> </w:t>
      </w:r>
      <w:r w:rsidR="00406769">
        <w:t xml:space="preserve">§§ </w:t>
      </w:r>
      <w:r>
        <w:t>85.605 and 85.610</w:t>
      </w:r>
      <w:r w:rsidR="004B4BE7">
        <w:t>,</w:t>
      </w:r>
      <w:r>
        <w:t xml:space="preserve"> by providing the locations where grant-funded staff will be </w:t>
      </w:r>
      <w:r>
        <w:t>assigned;</w:t>
      </w:r>
    </w:p>
    <w:p w:rsidR="009174C4" w:rsidP="009174C4" w14:paraId="433238B3" w14:textId="3E47A3B2">
      <w:pPr>
        <w:pStyle w:val="ListParagraph"/>
        <w:numPr>
          <w:ilvl w:val="1"/>
          <w:numId w:val="14"/>
        </w:numPr>
        <w:contextualSpacing w:val="0"/>
      </w:pPr>
      <w:r>
        <w:t xml:space="preserve">Includes the name and assignment information for all </w:t>
      </w:r>
      <w:r w:rsidR="00F24CB5">
        <w:t>grant-</w:t>
      </w:r>
      <w:r>
        <w:t xml:space="preserve">funded staff to ensure the grantee is in compliance with 38 U.S.C. </w:t>
      </w:r>
      <w:r w:rsidR="004B4BE7">
        <w:t xml:space="preserve">§ </w:t>
      </w:r>
      <w:r>
        <w:t xml:space="preserve">4102A(c)(8)(A), which requires each employee hired by the State to perform the duties of </w:t>
      </w:r>
      <w:r w:rsidR="00E50496">
        <w:t>JVSG-funded staff position to</w:t>
      </w:r>
      <w:r>
        <w:t xml:space="preserve"> satisfactorily complete training</w:t>
      </w:r>
      <w:r w:rsidR="00F24CB5">
        <w:t>, authorized under 38 U.S.C. § 4109, and</w:t>
      </w:r>
      <w:r>
        <w:t xml:space="preserve"> provided by the National Veterans’ Employment and Training Institute</w:t>
      </w:r>
      <w:r w:rsidR="00F24CB5">
        <w:t xml:space="preserve"> (NVTI)</w:t>
      </w:r>
      <w:r>
        <w:t xml:space="preserve"> authorized during the 18-month period that begins on the date on which the employee is so assigned; and</w:t>
      </w:r>
    </w:p>
    <w:p w:rsidR="00D96027" w:rsidP="00D460DB" w14:paraId="37B7EECC" w14:textId="1B08EDCD">
      <w:pPr>
        <w:pStyle w:val="ListParagraph"/>
        <w:numPr>
          <w:ilvl w:val="1"/>
          <w:numId w:val="14"/>
        </w:numPr>
        <w:contextualSpacing w:val="0"/>
      </w:pPr>
      <w:r>
        <w:t>Provides information on positions filled by non-veterans to ensure the proper justification is provided</w:t>
      </w:r>
      <w:r w:rsidR="00F24CB5">
        <w:t>,</w:t>
      </w:r>
      <w:r>
        <w:t xml:space="preserve"> as mandated by 38 U.S.C. </w:t>
      </w:r>
      <w:r w:rsidR="004B4BE7">
        <w:t xml:space="preserve">§ </w:t>
      </w:r>
      <w:r>
        <w:t>4102A(c)(5)(B)</w:t>
      </w:r>
      <w:r w:rsidR="00F24CB5">
        <w:t>,</w:t>
      </w:r>
      <w:r>
        <w:t xml:space="preserve"> </w:t>
      </w:r>
      <w:r w:rsidR="00F24CB5">
        <w:t xml:space="preserve">which </w:t>
      </w:r>
      <w:r>
        <w:t>requires grant recipients notify VETS of and provide rationale for each non-veteran employed as a DVOP</w:t>
      </w:r>
      <w:r w:rsidR="00EF4F33">
        <w:t xml:space="preserve">, </w:t>
      </w:r>
      <w:r>
        <w:t>LVER</w:t>
      </w:r>
      <w:r w:rsidR="00EF4F33">
        <w:t>, or CODL</w:t>
      </w:r>
      <w:r w:rsidR="00C738D4">
        <w:t xml:space="preserve"> staff</w:t>
      </w:r>
      <w:r>
        <w:t xml:space="preserve"> for more than six months.</w:t>
      </w:r>
    </w:p>
    <w:p w:rsidR="00950A83" w:rsidP="00D72F02" w14:paraId="61A47391" w14:textId="147222D8">
      <w:pPr>
        <w:pStyle w:val="Heading3"/>
        <w:numPr>
          <w:ilvl w:val="0"/>
          <w:numId w:val="21"/>
        </w:numPr>
        <w:ind w:hanging="720"/>
      </w:pPr>
      <w:r w:rsidRPr="00265455">
        <w:t>Indicate how, by whom, and for what purpose the information is to be used</w:t>
      </w:r>
      <w:r w:rsidRPr="00265455" w:rsidR="00CE166D">
        <w:t xml:space="preserve">. </w:t>
      </w:r>
      <w:r w:rsidRPr="00265455">
        <w:t>Except for a new collection, indicate the actual use the agency has made of the information received from the current collection</w:t>
      </w:r>
      <w:r>
        <w:t>.</w:t>
      </w:r>
    </w:p>
    <w:p w:rsidR="00265455" w:rsidP="00265455" w14:paraId="4B4339DF" w14:textId="502CF484">
      <w:r w:rsidRPr="00A61D63">
        <w:t>The information collections described in 1 above are a continued collection of information required under the JVSG program. State agencies that receive formula funding under the JVSG</w:t>
      </w:r>
      <w:r w:rsidR="00DE7207">
        <w:t xml:space="preserve"> submit all forms</w:t>
      </w:r>
      <w:r w:rsidRPr="00A61D63">
        <w:t xml:space="preserve">. Except for the narrative Manager’s Report on Services to Veterans, </w:t>
      </w:r>
      <w:r w:rsidRPr="00A61D63">
        <w:t>all of</w:t>
      </w:r>
      <w:r w:rsidRPr="00A61D63">
        <w:t xml:space="preserve"> the information is provided on the forms submitted for approval. The forms and instructions are made available to the </w:t>
      </w:r>
      <w:r w:rsidR="00DE7207">
        <w:t>s</w:t>
      </w:r>
      <w:r w:rsidRPr="00A61D63" w:rsidR="00DE7207">
        <w:t xml:space="preserve">tate </w:t>
      </w:r>
      <w:r w:rsidRPr="00A61D63">
        <w:t>agencies electronically through the VETS website, and requirements are transmitted via Veterans’ Program Letters (VPLs)</w:t>
      </w:r>
      <w:r w:rsidR="002A4231">
        <w:t xml:space="preserve">, which are </w:t>
      </w:r>
      <w:r w:rsidRPr="00A61D63">
        <w:t>VETS’ policy guidance. All forms are used to collect and aggregate staffing, services</w:t>
      </w:r>
      <w:r w:rsidR="00DE7207">
        <w:t>,</w:t>
      </w:r>
      <w:r w:rsidRPr="00A61D63">
        <w:t xml:space="preserve"> or financial expenditure information, as described in the paragraphs below.</w:t>
      </w:r>
    </w:p>
    <w:p w:rsidR="00A61D63" w:rsidP="00265455" w14:paraId="4DB51A7E" w14:textId="675781A4">
      <w:r>
        <w:t>States</w:t>
      </w:r>
      <w:r w:rsidR="001E4B9A">
        <w:t xml:space="preserve"> use the</w:t>
      </w:r>
      <w:r w:rsidRPr="00F14117" w:rsidR="00F14117">
        <w:t xml:space="preserve"> VETS-401 and VETS-501 to request formula funding available through the JVSG</w:t>
      </w:r>
      <w:r w:rsidRPr="00F14117" w:rsidR="00CE166D">
        <w:t xml:space="preserve">. </w:t>
      </w:r>
      <w:r w:rsidRPr="00F14117" w:rsidR="00F14117">
        <w:t xml:space="preserve">As part of a request for formula funding, VETS </w:t>
      </w:r>
      <w:r>
        <w:t xml:space="preserve">uses the information on these forms </w:t>
      </w:r>
      <w:r w:rsidRPr="00F14117" w:rsidR="00F14117">
        <w:t>to make informed grant award decisions.</w:t>
      </w:r>
    </w:p>
    <w:p w:rsidR="00F14117" w:rsidP="00265455" w14:paraId="695966D2" w14:textId="660C3121">
      <w:r w:rsidRPr="00E74FEF">
        <w:t>The VETS-401 allows states to enter projected grant-funded expenses for all activities by cost category and for each quarter. VETS uses this information to administer interim adjustments, such as distributing limited Continuing Resolution funds appropriately, and to ensure states are planning to expend appropriated funding properly. VETS also uses this information to report to Congress annually the amounts that states allocate to each activity, the percentage of the grant states plan to spend on salaries and benefits compared to administrative and overhead expenses, and the number of full-time equivalent</w:t>
      </w:r>
      <w:r w:rsidR="00C5779D">
        <w:t xml:space="preserve"> (FTE)</w:t>
      </w:r>
      <w:r w:rsidRPr="00E74FEF">
        <w:t xml:space="preserve"> positions the state certifies can be fully supported by the grant. Because the planned budget is closely aligned with the layout on the other JVSG forms, the information is also used to compare the budget with actual expenditures on a quarterly basis.</w:t>
      </w:r>
    </w:p>
    <w:p w:rsidR="00914E76" w:rsidP="00914E76" w14:paraId="3847B24D" w14:textId="377E2DF5">
      <w:r>
        <w:t xml:space="preserve">On the VETS-402, state agencies report detailed expenditures by quarter, activity, </w:t>
      </w:r>
      <w:r w:rsidR="00AE374F">
        <w:t xml:space="preserve">and </w:t>
      </w:r>
      <w:r>
        <w:t>cost category</w:t>
      </w:r>
      <w:r w:rsidR="001E4B9A">
        <w:t xml:space="preserve"> (salaries, benefit</w:t>
      </w:r>
      <w:r w:rsidR="00573EFA">
        <w:t>s, and other)</w:t>
      </w:r>
      <w:r>
        <w:t xml:space="preserve">. VETS uses this data to ensure states are obligating grant funds in accordance with their approved budget, track the number of </w:t>
      </w:r>
      <w:r w:rsidR="00C5779D">
        <w:t>FTE</w:t>
      </w:r>
      <w:r>
        <w:t xml:space="preserve"> staff paid by the grant, and monitor quarterly spending by relevant cost-category and activity. VETS also uses the information to make timely and informed decisions regarding the distribution of stopgap funding.</w:t>
      </w:r>
    </w:p>
    <w:p w:rsidR="00573EFA" w:rsidP="00573EFA" w14:paraId="247BED7D" w14:textId="343F01C5">
      <w:r>
        <w:t xml:space="preserve">State agencies use the VETS-403 to provide periodic narrative progress updates and analysis regarding their expenditures, staffing, and performance outcomes. VETS uses these reports to </w:t>
      </w:r>
      <w:r>
        <w:t xml:space="preserve">monitor the states’ use of funds to staff DVOP, LVER, and CODL positions; track turnover; </w:t>
      </w:r>
      <w:r>
        <w:t>identify new hires requiring training; and ensure such staff are appropriately distributed across the states to fulfill their purposes as effectively and productively as possible.</w:t>
      </w:r>
    </w:p>
    <w:p w:rsidR="00573EFA" w:rsidP="00914E76" w14:paraId="68DA9466" w14:textId="48A8F7B8">
      <w:r>
        <w:t>Recipients use the VETS-404 IAR to</w:t>
      </w:r>
      <w:r>
        <w:rPr>
          <w:rStyle w:val="Strong"/>
          <w:b w:val="0"/>
          <w:bCs w:val="0"/>
        </w:rPr>
        <w:t xml:space="preserve"> report on their incentive award program implementation, including the amount and type of award issued and the name and title of the individual or office who received the award. VETS uses this information to ensure the recipient adhered to their approved incentive award plan.</w:t>
      </w:r>
      <w:r w:rsidR="00CC7E16">
        <w:rPr>
          <w:rStyle w:val="Strong"/>
          <w:b w:val="0"/>
          <w:bCs w:val="0"/>
        </w:rPr>
        <w:t xml:space="preserve"> This information was previously reported as an attachment to the VETS-403 </w:t>
      </w:r>
      <w:r w:rsidR="00CC7E16">
        <w:rPr>
          <w:rStyle w:val="Strong"/>
          <w:b w:val="0"/>
          <w:bCs w:val="0"/>
        </w:rPr>
        <w:t>TPN</w:t>
      </w:r>
      <w:r w:rsidR="005A411A">
        <w:rPr>
          <w:rStyle w:val="Strong"/>
          <w:b w:val="0"/>
          <w:bCs w:val="0"/>
        </w:rPr>
        <w:t>, but</w:t>
      </w:r>
      <w:r w:rsidR="005A411A">
        <w:rPr>
          <w:rStyle w:val="Strong"/>
          <w:b w:val="0"/>
          <w:bCs w:val="0"/>
        </w:rPr>
        <w:t xml:space="preserve"> is being separated into its own form per recipients’ request.</w:t>
      </w:r>
    </w:p>
    <w:p w:rsidR="00914E76" w:rsidP="00914E76" w14:paraId="21B68C05" w14:textId="77E31F1F">
      <w:r>
        <w:t xml:space="preserve">Individual service delivery points or service delivery areas within the states use the </w:t>
      </w:r>
      <w:r>
        <w:t>Manager’s Report on Services to Veterans to assure VETS that the approved state plan is being followed at the local level. VETS uses it as a monitoring tool to evaluate services provided and outcomes that result from those activities</w:t>
      </w:r>
      <w:r w:rsidR="00573EFA">
        <w:t>, and to identify opportunities to provide technical assistance</w:t>
      </w:r>
      <w:r>
        <w:t>.</w:t>
      </w:r>
    </w:p>
    <w:p w:rsidR="00914E76" w:rsidP="00914E76" w14:paraId="23AAD4A8" w14:textId="6A86BE1E">
      <w:r>
        <w:t xml:space="preserve">The VETS-501 contains the addresses of all locations at which JVSG-funded staff operate, </w:t>
      </w:r>
      <w:r w:rsidR="00AE374F">
        <w:t xml:space="preserve">staff </w:t>
      </w:r>
      <w:r>
        <w:t xml:space="preserve">names, activities, whether they are assigned to the grant full- or half-time, the date of assignment, and the date they completed required training. VETS uses the information on this form to ensure staff are trained within 18 months of hire </w:t>
      </w:r>
      <w:r w:rsidR="00AE374F">
        <w:t>(</w:t>
      </w:r>
      <w:r>
        <w:t>as required by statute</w:t>
      </w:r>
      <w:r w:rsidR="00AE374F">
        <w:t>)</w:t>
      </w:r>
      <w:r>
        <w:t>, monitor vacancies, identify locations to conduct onsite monitoring visits, identify any positions filled by non-veterans, and ensure the state is appropriately assigning staff across the state to provide individualized career services to veterans with employment</w:t>
      </w:r>
      <w:r w:rsidRPr="004667CB" w:rsidR="004667CB">
        <w:t xml:space="preserve"> </w:t>
      </w:r>
      <w:r w:rsidR="004667CB">
        <w:t>barriers</w:t>
      </w:r>
      <w:r>
        <w:t>.</w:t>
      </w:r>
    </w:p>
    <w:p w:rsidR="00E74FEF" w:rsidP="00914E76" w14:paraId="6BFCAD0D" w14:textId="6DB3014F">
      <w:r>
        <w:t>All</w:t>
      </w:r>
      <w:r w:rsidR="00914E76">
        <w:t xml:space="preserve"> the information collections, past and proposed revisions, have been or will be used to report staff utilization rates, use of funding, and results to Congress annually.</w:t>
      </w:r>
    </w:p>
    <w:p w:rsidR="00AD6297" w:rsidP="00D72F02" w14:paraId="28577D3B" w14:textId="2FFF7D3A">
      <w:pPr>
        <w:pStyle w:val="Heading3"/>
        <w:numPr>
          <w:ilvl w:val="0"/>
          <w:numId w:val="21"/>
        </w:numPr>
        <w:ind w:hanging="720"/>
      </w:pPr>
      <w:r w:rsidRPr="00C67AE4">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D4A44" w:rsidP="006D4A44" w14:paraId="40C3115F" w14:textId="1E1B11CC">
      <w:r>
        <w:t>The Manager’s Report on Services to Veterans is not a form. All other information collections are forms made available to grantees through the VETS website.</w:t>
      </w:r>
      <w:r w:rsidR="00BC69D4">
        <w:t xml:space="preserve"> </w:t>
      </w:r>
      <w:r>
        <w:t>Manager’s Report on Services to Veterans is completed in narrative form electronically using the grant recipient’s preferred format (usually Microsoft Word) and submitted via email.</w:t>
      </w:r>
    </w:p>
    <w:p w:rsidR="006D4A44" w:rsidP="006D4A44" w14:paraId="167E356B" w14:textId="2977EFD6">
      <w:r>
        <w:t xml:space="preserve">The VETS-401 is </w:t>
      </w:r>
      <w:r w:rsidR="00D22447">
        <w:t>completed as an online form in</w:t>
      </w:r>
      <w:r>
        <w:t xml:space="preserve"> the grant modification system (GrantSolutions) with any budget-related grant modification</w:t>
      </w:r>
      <w:r w:rsidR="00496C67">
        <w:t>. This method allows for automatic inclusion of the approved budget into the award package</w:t>
      </w:r>
      <w:r w:rsidR="00CF5686">
        <w:t xml:space="preserve">, </w:t>
      </w:r>
      <w:r w:rsidR="00496C67">
        <w:t>support</w:t>
      </w:r>
      <w:r w:rsidR="00CF5686">
        <w:t>s</w:t>
      </w:r>
      <w:r w:rsidR="00496C67">
        <w:t xml:space="preserve"> </w:t>
      </w:r>
      <w:r w:rsidR="00CF5686">
        <w:t xml:space="preserve">validation checks to ensure </w:t>
      </w:r>
      <w:r w:rsidR="00780F8B">
        <w:t>the entries are accurate, and avoids version control issues</w:t>
      </w:r>
      <w:r>
        <w:t>.</w:t>
      </w:r>
    </w:p>
    <w:p w:rsidR="006D4A44" w:rsidP="006D4A44" w14:paraId="02D3FD6D" w14:textId="5B5C8A6E">
      <w:r>
        <w:t>The VETS-402</w:t>
      </w:r>
      <w:r w:rsidR="00780F8B">
        <w:t xml:space="preserve"> EDR</w:t>
      </w:r>
      <w:r>
        <w:t xml:space="preserve"> is a Microsoft Excel workbook. It is updated and submitted via email on a quarterly basis. VETS is working toward incorporating this form into a new system currently in </w:t>
      </w:r>
      <w:r>
        <w:t>development, the VETS Grantee Reporting System (VGRS). Electronic submission is projected to go live in 202</w:t>
      </w:r>
      <w:r w:rsidR="00780F8B">
        <w:t>7</w:t>
      </w:r>
      <w:r>
        <w:t>.</w:t>
      </w:r>
    </w:p>
    <w:p w:rsidR="006D4A44" w:rsidP="006D4A44" w14:paraId="19ADF0E1" w14:textId="18C026B2">
      <w:r>
        <w:t xml:space="preserve">The VETS-403 </w:t>
      </w:r>
      <w:r w:rsidR="00780F8B">
        <w:t xml:space="preserve">TPN </w:t>
      </w:r>
      <w:r>
        <w:t>is a fillable PDF document. Once completed, it is submitted via email. VETS is working toward incorporating this form into VGRS. Electronic submission is projected to go live in 202</w:t>
      </w:r>
      <w:r w:rsidR="00780F8B">
        <w:t>7</w:t>
      </w:r>
      <w:r>
        <w:t>.</w:t>
      </w:r>
    </w:p>
    <w:p w:rsidR="00780F8B" w:rsidRPr="00555060" w:rsidP="006D4A44" w14:paraId="40417C79" w14:textId="2590FAD7">
      <w:pPr>
        <w:rPr>
          <w:b/>
          <w:bCs/>
        </w:rPr>
      </w:pPr>
      <w:r>
        <w:t>The VETS-404 IAR is a Microsoft Excel workbook that is submitted</w:t>
      </w:r>
      <w:r w:rsidR="00555060">
        <w:t xml:space="preserve"> via email once per year. VETS is working toward incorporating this form into VGRS. Electronic submission is projected to go live in 202</w:t>
      </w:r>
      <w:r w:rsidR="003C3BF9">
        <w:t>8</w:t>
      </w:r>
      <w:r w:rsidR="00555060">
        <w:t>.</w:t>
      </w:r>
    </w:p>
    <w:p w:rsidR="00C67AE4" w:rsidP="006D4A44" w14:paraId="0D62BE0D" w14:textId="585E91C7">
      <w:r>
        <w:t>The VETS-501 is a Microsoft Excel worksheet. Once completed, recipients upload it as an attachment to GrantSolutions with any staffing-related grant modification. VETS is considering incorporating this form into VGRS</w:t>
      </w:r>
      <w:r w:rsidR="00555060">
        <w:t xml:space="preserve"> after it goes live in 2027</w:t>
      </w:r>
      <w:r>
        <w:t>.</w:t>
      </w:r>
    </w:p>
    <w:p w:rsidR="006D4A44" w:rsidP="00D72F02" w14:paraId="01FD6C9E" w14:textId="56CD139A">
      <w:pPr>
        <w:pStyle w:val="Heading3"/>
        <w:numPr>
          <w:ilvl w:val="0"/>
          <w:numId w:val="21"/>
        </w:numPr>
        <w:ind w:hanging="720"/>
      </w:pPr>
      <w:r w:rsidRPr="007004DF">
        <w:t>Describe efforts to identify duplication</w:t>
      </w:r>
      <w:r w:rsidRPr="007004DF" w:rsidR="00CE166D">
        <w:t xml:space="preserve">. </w:t>
      </w:r>
      <w:r w:rsidRPr="007004DF">
        <w:t>Show specifically why any similar information already available cannot be used or modified for use for the purposes described in Item A.2 above.</w:t>
      </w:r>
    </w:p>
    <w:p w:rsidR="007004DF" w:rsidP="007004DF" w14:paraId="72C95CE8" w14:textId="1D8F6374">
      <w:r w:rsidRPr="002C30ED">
        <w:t>The continued information collection modifies current formats to eliminate both duplication and the collection of redundant information</w:t>
      </w:r>
      <w:r w:rsidRPr="002C30ED" w:rsidR="00CE166D">
        <w:t xml:space="preserve">. </w:t>
      </w:r>
      <w:r w:rsidRPr="002C30ED">
        <w:t>The forms standardize and streamline the methods of collection and ensure that only necessary information is captured and reported in a uniform manner, so that similar data can be easily collected, aggregated, and compared from quarter to quarter and from state to state</w:t>
      </w:r>
      <w:r w:rsidRPr="002C30ED" w:rsidR="00CE166D">
        <w:t xml:space="preserve">. </w:t>
      </w:r>
      <w:r w:rsidRPr="002C30ED">
        <w:t>A search of the published application forms and federal reports indicates that these forms and reports do not duplicate any similar information already available.</w:t>
      </w:r>
    </w:p>
    <w:p w:rsidR="002C30ED" w:rsidP="00D72F02" w14:paraId="4983B554" w14:textId="30A92432">
      <w:pPr>
        <w:pStyle w:val="Heading3"/>
        <w:numPr>
          <w:ilvl w:val="0"/>
          <w:numId w:val="21"/>
        </w:numPr>
        <w:ind w:hanging="720"/>
      </w:pPr>
      <w:r w:rsidRPr="004957C3">
        <w:t>If the collection of information impacts small businesses or other small entities, describe any methods used to minimize burden.</w:t>
      </w:r>
    </w:p>
    <w:p w:rsidR="004957C3" w:rsidP="004957C3" w14:paraId="41C56BC6" w14:textId="47F302DE">
      <w:r w:rsidRPr="00A77E57">
        <w:t>This information collection does not impact small businesses or other small entities.</w:t>
      </w:r>
    </w:p>
    <w:p w:rsidR="00A77E57" w:rsidP="00F27EC2" w14:paraId="50C1CBE6" w14:textId="1C3B10F1">
      <w:pPr>
        <w:pStyle w:val="Heading3"/>
        <w:numPr>
          <w:ilvl w:val="0"/>
          <w:numId w:val="21"/>
        </w:numPr>
        <w:ind w:hanging="720"/>
      </w:pPr>
      <w:r w:rsidRPr="003908D2">
        <w:t>Describe the consequence to federal program or policy activities if the collection is not conducted or is conducted less frequently, as well as any technical or legal obstacles to reducing burden.</w:t>
      </w:r>
    </w:p>
    <w:p w:rsidR="005F6FDC" w:rsidP="005F6FDC" w14:paraId="78126C0E" w14:textId="2CA6AB20">
      <w:r>
        <w:t xml:space="preserve">The VETS-401 JVSG Budget Information Summary and VETS-501 JVSG Staffing Directory are completed annually </w:t>
      </w:r>
      <w:r w:rsidR="00FA436C">
        <w:t>and</w:t>
      </w:r>
      <w:r>
        <w:t xml:space="preserve"> as-needed if the recipient requests a grant modification that pertains to their budget and/or staffing, respectively.</w:t>
      </w:r>
    </w:p>
    <w:p w:rsidR="005F6FDC" w:rsidP="005F6FDC" w14:paraId="1FDEDC41" w14:textId="1A30F9A9">
      <w:r>
        <w:t xml:space="preserve">The Manager’s Report on Services to Veterans, VETS-402 JVSG EDR, and VETS-403 JVSG </w:t>
      </w:r>
      <w:r w:rsidR="00891C50">
        <w:t>TPN</w:t>
      </w:r>
      <w:r>
        <w:t xml:space="preserve"> are required on a quarterly basis.</w:t>
      </w:r>
    </w:p>
    <w:p w:rsidR="00A85B49" w:rsidP="005F6FDC" w14:paraId="1AEBACEF" w14:textId="3A1FA583">
      <w:r>
        <w:t>The VETS-404 IAR is completed annually and submitted with the fourth quarter report.</w:t>
      </w:r>
    </w:p>
    <w:p w:rsidR="005F6FDC" w:rsidP="005F6FDC" w14:paraId="7D12E29B" w14:textId="46BE767B">
      <w:r>
        <w:t xml:space="preserve">Without these collections, VETS </w:t>
      </w:r>
      <w:r w:rsidR="00DE4F79">
        <w:t>could not</w:t>
      </w:r>
      <w:r>
        <w:t xml:space="preserve"> report on the activities and outcomes associated with the funding provided by Congress to provide services to </w:t>
      </w:r>
      <w:r w:rsidR="00FA436C">
        <w:t xml:space="preserve">veterans </w:t>
      </w:r>
      <w:r>
        <w:t xml:space="preserve">as codified under 38 U.S.C. </w:t>
      </w:r>
      <w:r w:rsidR="00786ED4">
        <w:t xml:space="preserve">§ </w:t>
      </w:r>
      <w:r>
        <w:t xml:space="preserve">4102A(b)(5) and 38 U.S.C. </w:t>
      </w:r>
      <w:r w:rsidR="00786ED4">
        <w:t xml:space="preserve">§ </w:t>
      </w:r>
      <w:r>
        <w:t xml:space="preserve">4102A(c)(2)(B). Further, without these collections the Secretary of Labor would not have the information needed to report to Congress in accordance with 38 U.S.C. </w:t>
      </w:r>
      <w:r w:rsidR="00786ED4">
        <w:t>§</w:t>
      </w:r>
      <w:r>
        <w:t>4107(b).</w:t>
      </w:r>
    </w:p>
    <w:p w:rsidR="005F6FDC" w:rsidP="005F6FDC" w14:paraId="1928C7A2" w14:textId="2617B235">
      <w:r>
        <w:t xml:space="preserve">Without these forms, VETS would also be unable to meet its fiduciary and programmatic oversight obligations. The annual collections establish the recipient’s approved plan, and the quarterly collections provide periodic progress updates as required by 2 C.F.R. </w:t>
      </w:r>
      <w:r w:rsidR="00786ED4">
        <w:t xml:space="preserve">§ </w:t>
      </w:r>
      <w:r>
        <w:t>200.</w:t>
      </w:r>
    </w:p>
    <w:p w:rsidR="003908D2" w:rsidP="005F6FDC" w14:paraId="5286DB82" w14:textId="6C2AE5FE">
      <w:r>
        <w:t>The forms also provide a framework to assist grant recipients as they submit required planning and progress information. They prevent recipients from supplying extraneous information and expending more time and resources on reporting than VETS requires.</w:t>
      </w:r>
    </w:p>
    <w:p w:rsidR="005F6FDC" w:rsidP="00A85B49" w14:paraId="44C63869" w14:textId="4DDA410E">
      <w:pPr>
        <w:pStyle w:val="Heading3"/>
        <w:keepNext w:val="0"/>
        <w:numPr>
          <w:ilvl w:val="0"/>
          <w:numId w:val="21"/>
        </w:numPr>
        <w:ind w:hanging="720"/>
      </w:pPr>
      <w:r w:rsidRPr="00A83B2B">
        <w:t>Explain any special circumstances that would cause an information collection to be conducted in a manner:</w:t>
      </w:r>
    </w:p>
    <w:p w:rsidR="00A83B2B" w:rsidP="00A85B49" w14:paraId="59FB0274" w14:textId="1EEC19EB">
      <w:pPr>
        <w:pStyle w:val="Heading3"/>
        <w:keepNext w:val="0"/>
        <w:numPr>
          <w:ilvl w:val="0"/>
          <w:numId w:val="20"/>
        </w:numPr>
        <w:ind w:left="1440"/>
      </w:pPr>
      <w:r>
        <w:t>r</w:t>
      </w:r>
      <w:r w:rsidRPr="00487B40">
        <w:t xml:space="preserve">equiring respondents to report information to the agency more often than </w:t>
      </w:r>
      <w:r w:rsidRPr="00487B40">
        <w:t>quarterly;</w:t>
      </w:r>
    </w:p>
    <w:p w:rsidR="00DA4207" w:rsidP="00A85B49" w14:paraId="577AA2FA" w14:textId="62AB1AF8">
      <w:pPr>
        <w:pStyle w:val="Heading3"/>
        <w:keepNext w:val="0"/>
        <w:numPr>
          <w:ilvl w:val="0"/>
          <w:numId w:val="20"/>
        </w:numPr>
        <w:ind w:left="1440"/>
      </w:pPr>
      <w:r w:rsidRPr="00B82412">
        <w:t xml:space="preserve">requiring respondents to prepare a written response to a collection of information in fewer than 30 days after receipt of </w:t>
      </w:r>
      <w:r w:rsidRPr="00B82412">
        <w:t>it;</w:t>
      </w:r>
    </w:p>
    <w:p w:rsidR="00DA4207" w:rsidP="00A85B49" w14:paraId="22E488F6" w14:textId="59368AB0">
      <w:pPr>
        <w:pStyle w:val="Heading3"/>
        <w:keepNext w:val="0"/>
        <w:numPr>
          <w:ilvl w:val="0"/>
          <w:numId w:val="20"/>
        </w:numPr>
        <w:ind w:left="1440"/>
      </w:pPr>
      <w:r>
        <w:t xml:space="preserve">requiring respondents to submit more than an original and two copies of any </w:t>
      </w:r>
      <w:r>
        <w:t>document;</w:t>
      </w:r>
    </w:p>
    <w:p w:rsidR="00DA4207" w:rsidP="00A85B49" w14:paraId="7022A895" w14:textId="1C735FAD">
      <w:pPr>
        <w:pStyle w:val="Heading3"/>
        <w:keepNext w:val="0"/>
        <w:numPr>
          <w:ilvl w:val="0"/>
          <w:numId w:val="20"/>
        </w:numPr>
        <w:ind w:left="1440"/>
      </w:pPr>
      <w:r>
        <w:t xml:space="preserve">requiring respondents to retain records, other than health, medical, government contract, grant-in-aid, or tax records for more than three </w:t>
      </w:r>
      <w:r>
        <w:t>years;</w:t>
      </w:r>
    </w:p>
    <w:p w:rsidR="00DA4207" w:rsidP="00A85B49" w14:paraId="2D5D495F" w14:textId="12F7D4EC">
      <w:pPr>
        <w:pStyle w:val="Heading3"/>
        <w:keepNext w:val="0"/>
        <w:numPr>
          <w:ilvl w:val="0"/>
          <w:numId w:val="20"/>
        </w:numPr>
        <w:ind w:left="1440"/>
      </w:pPr>
      <w:r>
        <w:t xml:space="preserve">in connection with a statistical survey, that is not designed to produce valid and reliable results that can be generalized to the universe of </w:t>
      </w:r>
      <w:r>
        <w:t>study;</w:t>
      </w:r>
    </w:p>
    <w:p w:rsidR="00DA4207" w:rsidP="00A85B49" w14:paraId="6A0003E7" w14:textId="79AC5DD4">
      <w:pPr>
        <w:pStyle w:val="Heading3"/>
        <w:keepNext w:val="0"/>
        <w:numPr>
          <w:ilvl w:val="0"/>
          <w:numId w:val="20"/>
        </w:numPr>
        <w:ind w:left="1440"/>
      </w:pPr>
      <w:r>
        <w:t xml:space="preserve">requiring the use of statistical data classification that has not been reviewed and approved by </w:t>
      </w:r>
      <w:r>
        <w:t>OMB;</w:t>
      </w:r>
    </w:p>
    <w:p w:rsidR="00DA4207" w:rsidP="00A85B49" w14:paraId="060B37F0" w14:textId="2E7E7366">
      <w:pPr>
        <w:pStyle w:val="Heading3"/>
        <w:keepNext w:val="0"/>
        <w:numPr>
          <w:ilvl w:val="0"/>
          <w:numId w:val="20"/>
        </w:numPr>
        <w:ind w:left="1440"/>
      </w:pPr>
      <w: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82412" w:rsidRPr="00B82412" w:rsidP="00A85B49" w14:paraId="6C404394" w14:textId="21634513">
      <w:pPr>
        <w:pStyle w:val="Heading3"/>
        <w:keepNext w:val="0"/>
        <w:numPr>
          <w:ilvl w:val="0"/>
          <w:numId w:val="20"/>
        </w:numPr>
        <w:ind w:left="1440"/>
      </w:pPr>
      <w:r>
        <w:t>requiring respondents to submit proprietary trade secret, or other confidential information unless the agency can demonstrate that it has instituted procedures to protect the information's confidentially to the extent permitted by law.</w:t>
      </w:r>
    </w:p>
    <w:p w:rsidR="00487B40" w:rsidP="00487B40" w14:paraId="26DE1B68" w14:textId="5C77348E">
      <w:r w:rsidRPr="00B17DFB">
        <w:t xml:space="preserve">VETS </w:t>
      </w:r>
      <w:r w:rsidRPr="00B17DFB">
        <w:t>does</w:t>
      </w:r>
      <w:r w:rsidRPr="00B17DFB">
        <w:t xml:space="preserve"> not anticipate any special circumstances that would necessitate any of the above-listed requirements.</w:t>
      </w:r>
    </w:p>
    <w:p w:rsidR="00B17DFB" w:rsidP="00F27EC2" w14:paraId="64280306" w14:textId="1BB50CE7">
      <w:pPr>
        <w:pStyle w:val="Heading3"/>
        <w:numPr>
          <w:ilvl w:val="0"/>
          <w:numId w:val="21"/>
        </w:numPr>
        <w:ind w:hanging="720"/>
      </w:pPr>
      <w:r w:rsidRPr="003A2D7F">
        <w:t xml:space="preserve">If applicable, provide a copy and identify the date and page number of </w:t>
      </w:r>
      <w:r w:rsidRPr="003A2D7F">
        <w:t>publication</w:t>
      </w:r>
      <w:r w:rsidRPr="003A2D7F">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3A2D7F" w:rsidR="00CE166D">
        <w:t xml:space="preserve">. </w:t>
      </w:r>
      <w:r w:rsidRPr="003A2D7F">
        <w:t>Specifically address comments received on cost and hour burden.</w:t>
      </w:r>
    </w:p>
    <w:p w:rsidR="00873B9C" w:rsidP="00B963F1" w14:paraId="154D0A4C" w14:textId="77777777">
      <w:pPr>
        <w:pStyle w:val="Heading3"/>
        <w:ind w:left="72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3B9C" w:rsidP="00B963F1" w14:paraId="181BDB84" w14:textId="31F56301">
      <w:pPr>
        <w:pStyle w:val="Heading3"/>
        <w:ind w:left="720"/>
      </w:pPr>
      <w:r>
        <w:t>Consultation with representatives of those from whom information is to be obtained or those who must compile records should occur at least once every 3 years -- even if the collection-of-information activity is the same as in prior periods</w:t>
      </w:r>
      <w:r w:rsidR="00CE166D">
        <w:t xml:space="preserve">. </w:t>
      </w:r>
      <w:r>
        <w:t>There may be circumstances that may preclude consultation in a specific situation</w:t>
      </w:r>
      <w:r w:rsidR="00CE166D">
        <w:t xml:space="preserve">. </w:t>
      </w:r>
      <w:r>
        <w:t>These circumstances should be explained.</w:t>
      </w:r>
    </w:p>
    <w:p w:rsidR="003A2D7F" w:rsidP="00D91FC0" w14:paraId="79325594" w14:textId="7E330F65">
      <w:r>
        <w:t xml:space="preserve">The Department published a </w:t>
      </w:r>
      <w:r w:rsidRPr="00DB560C">
        <w:rPr>
          <w:rStyle w:val="Emphasis"/>
        </w:rPr>
        <w:t>Federal Register</w:t>
      </w:r>
      <w:r>
        <w:t xml:space="preserve"> notice on </w:t>
      </w:r>
      <w:r w:rsidR="00FE3ACB">
        <w:t>November 14, 2024</w:t>
      </w:r>
      <w:r>
        <w:t xml:space="preserve"> (8</w:t>
      </w:r>
      <w:r w:rsidR="00F727B3">
        <w:t>9</w:t>
      </w:r>
      <w:r>
        <w:t xml:space="preserve"> FR </w:t>
      </w:r>
      <w:r w:rsidR="00F727B3">
        <w:t>90054</w:t>
      </w:r>
      <w:r>
        <w:t xml:space="preserve">), notifying the public of its intent to pursue this information collection (OMB Number 1293-0009). The Department received </w:t>
      </w:r>
      <w:r w:rsidR="002055A0">
        <w:t>seven</w:t>
      </w:r>
      <w:r>
        <w:t xml:space="preserve"> responses to the notice on a variety of subjects and replied directly to commenters to ensure </w:t>
      </w:r>
      <w:r w:rsidR="002055A0">
        <w:t>we understood</w:t>
      </w:r>
      <w:r>
        <w:t xml:space="preserve"> all </w:t>
      </w:r>
      <w:r w:rsidR="002055A0">
        <w:t>suggestions and to provide technical assistance</w:t>
      </w:r>
      <w:r w:rsidR="008B661C">
        <w:t xml:space="preserve"> if appropriate</w:t>
      </w:r>
      <w:r>
        <w:t>. The comments and our replies are summarized below.</w:t>
      </w:r>
    </w:p>
    <w:p w:rsidR="00707510" w:rsidRPr="00ED7424" w:rsidP="00707510" w14:paraId="19E3C52C" w14:textId="77777777">
      <w:pPr>
        <w:spacing w:after="0"/>
        <w:ind w:left="720"/>
        <w:rPr>
          <w:rStyle w:val="Strong"/>
        </w:rPr>
      </w:pPr>
      <w:r w:rsidRPr="00ED7424">
        <w:rPr>
          <w:rStyle w:val="Strong"/>
        </w:rPr>
        <w:t>Estimated burden hours</w:t>
      </w:r>
    </w:p>
    <w:p w:rsidR="00600BFD" w:rsidP="00707510" w14:paraId="4CC56962" w14:textId="3BB8F14A">
      <w:pPr>
        <w:ind w:left="720"/>
      </w:pPr>
      <w:r>
        <w:t>Five</w:t>
      </w:r>
      <w:r w:rsidR="00707510">
        <w:t xml:space="preserve"> commenters </w:t>
      </w:r>
      <w:r w:rsidR="001020D4">
        <w:t>provided their burden hour estimates for completing the various information collections</w:t>
      </w:r>
      <w:r w:rsidR="00707510">
        <w:t>.</w:t>
      </w:r>
      <w:r w:rsidR="00191DB6">
        <w:t xml:space="preserve"> </w:t>
      </w:r>
      <w:r w:rsidR="00F2681E">
        <w:t>Most of the</w:t>
      </w:r>
      <w:r w:rsidR="00807C5A">
        <w:t>se were increases.</w:t>
      </w:r>
      <w:r w:rsidR="006D74A4">
        <w:t xml:space="preserve"> </w:t>
      </w:r>
      <w:r w:rsidR="001B6E2C">
        <w:t xml:space="preserve">We responded that </w:t>
      </w:r>
      <w:r w:rsidR="004E7EEA">
        <w:t xml:space="preserve">we would </w:t>
      </w:r>
      <w:r w:rsidR="005B6E70">
        <w:t xml:space="preserve">average </w:t>
      </w:r>
      <w:r>
        <w:t>the</w:t>
      </w:r>
      <w:r w:rsidR="004E7EEA">
        <w:t xml:space="preserve"> estimates </w:t>
      </w:r>
      <w:r w:rsidR="006D74A4">
        <w:t xml:space="preserve">and consider updating </w:t>
      </w:r>
      <w:r w:rsidR="000C17AE">
        <w:t>them</w:t>
      </w:r>
      <w:r w:rsidR="00451614">
        <w:t>.</w:t>
      </w:r>
      <w:r w:rsidR="005A7F42">
        <w:t xml:space="preserve"> </w:t>
      </w:r>
      <w:r w:rsidR="000C17AE">
        <w:t xml:space="preserve">Below is a summary of comments </w:t>
      </w:r>
      <w:r w:rsidR="00DD35CB">
        <w:t>and decisions</w:t>
      </w:r>
      <w:r w:rsidR="00EB0619">
        <w:t>:</w:t>
      </w:r>
    </w:p>
    <w:p w:rsidR="00EB0619" w:rsidP="00EB0619" w14:paraId="2C0B8692" w14:textId="6FE099D4">
      <w:pPr>
        <w:pStyle w:val="ListParagraph"/>
        <w:numPr>
          <w:ilvl w:val="0"/>
          <w:numId w:val="24"/>
        </w:numPr>
      </w:pPr>
      <w:r>
        <w:t>VETS-401: The previous approved</w:t>
      </w:r>
      <w:r w:rsidR="00C65756">
        <w:t xml:space="preserve"> burden estimate was 1.5 hours per submission. </w:t>
      </w:r>
      <w:r w:rsidR="00DD35CB">
        <w:t>Five</w:t>
      </w:r>
      <w:r w:rsidR="00C65756">
        <w:t xml:space="preserve"> commenters stated that the form take</w:t>
      </w:r>
      <w:r w:rsidR="00873541">
        <w:t>s the following amounts of time: 2 hours, 1.5 hours, 1.5 hours, 4 hours</w:t>
      </w:r>
      <w:r w:rsidR="00DD35CB">
        <w:t>, and 10 hours</w:t>
      </w:r>
      <w:r w:rsidR="00873541">
        <w:t xml:space="preserve">. </w:t>
      </w:r>
      <w:r w:rsidR="003956B6">
        <w:t xml:space="preserve">We are increasing the burden </w:t>
      </w:r>
      <w:r w:rsidR="007957AF">
        <w:t xml:space="preserve">per </w:t>
      </w:r>
      <w:r w:rsidR="00055E7F">
        <w:t>response</w:t>
      </w:r>
      <w:r w:rsidR="007957AF">
        <w:t xml:space="preserve"> </w:t>
      </w:r>
      <w:r w:rsidR="003956B6">
        <w:t>from 1.5 to 2 hour</w:t>
      </w:r>
      <w:r w:rsidR="00585AF1">
        <w:t>s</w:t>
      </w:r>
      <w:r w:rsidR="00572AE9">
        <w:t xml:space="preserve">. Recipients who struggle with this one-page form may contact their federal point of contact for technical </w:t>
      </w:r>
      <w:r w:rsidR="00507AAB">
        <w:t>assistance</w:t>
      </w:r>
      <w:r w:rsidR="00D90643">
        <w:t>.</w:t>
      </w:r>
    </w:p>
    <w:p w:rsidR="00D90643" w:rsidP="00EB0619" w14:paraId="0BBDDA26" w14:textId="1C7C00A8">
      <w:pPr>
        <w:pStyle w:val="ListParagraph"/>
        <w:numPr>
          <w:ilvl w:val="0"/>
          <w:numId w:val="24"/>
        </w:numPr>
      </w:pPr>
      <w:r>
        <w:t xml:space="preserve">VETS-402 EDR: The previous approved burden estimate was 2 hours per submission. </w:t>
      </w:r>
      <w:r w:rsidR="00507AAB">
        <w:t>Five</w:t>
      </w:r>
      <w:r>
        <w:t xml:space="preserve"> commenters stated that the form takes the following amounts of time: 1.75 hours, 2 hours, 2 hours, 3 hours</w:t>
      </w:r>
      <w:r w:rsidR="00507AAB">
        <w:t>, and 15 hours</w:t>
      </w:r>
      <w:r>
        <w:t xml:space="preserve">. </w:t>
      </w:r>
      <w:r w:rsidR="00507AAB">
        <w:t xml:space="preserve">We </w:t>
      </w:r>
      <w:r w:rsidR="00E93D43">
        <w:t xml:space="preserve">do not consider 15 hours to be a reasonable estimate based on the form requirements and </w:t>
      </w:r>
      <w:r w:rsidR="00507AAB">
        <w:t xml:space="preserve">are maintaining the current </w:t>
      </w:r>
      <w:r w:rsidR="009C1FE2">
        <w:t xml:space="preserve">burden hour </w:t>
      </w:r>
      <w:r w:rsidR="009B4134">
        <w:t>estimate</w:t>
      </w:r>
      <w:r w:rsidRPr="009B4134" w:rsidR="009B4134">
        <w:t xml:space="preserve"> per response </w:t>
      </w:r>
      <w:r w:rsidR="009C1FE2">
        <w:t>of 2 hours per submission.</w:t>
      </w:r>
      <w:r w:rsidR="00E93D43">
        <w:t xml:space="preserve"> </w:t>
      </w:r>
    </w:p>
    <w:p w:rsidR="00E93D43" w:rsidP="00EB0619" w14:paraId="6A031C9B" w14:textId="42FE0F86">
      <w:pPr>
        <w:pStyle w:val="ListParagraph"/>
        <w:numPr>
          <w:ilvl w:val="0"/>
          <w:numId w:val="24"/>
        </w:numPr>
      </w:pPr>
      <w:r>
        <w:t xml:space="preserve">VETS-403 TPN: The previous approved burden estimate was 2 hours per submission. Five commenters stated that the form takes the following amounts of time: 6 hours, 7 hours, 2 hours, 1 hour, and 4 hours. We do not consider </w:t>
      </w:r>
      <w:r w:rsidR="005A7607">
        <w:t>the higher estimates to be reasonable</w:t>
      </w:r>
      <w:r w:rsidR="0067081F">
        <w:t>; in addition, one component of this form was previously a stand-alone incentive award report which has now been moved to a separate form. For these reasons, we</w:t>
      </w:r>
      <w:r w:rsidR="0005456F">
        <w:t xml:space="preserve"> are maintaining the current burden </w:t>
      </w:r>
      <w:r w:rsidR="00055E7F">
        <w:t xml:space="preserve">hour per response </w:t>
      </w:r>
      <w:r w:rsidR="0005456F">
        <w:t>estimate of 2 hours per submission. R</w:t>
      </w:r>
      <w:r w:rsidR="005A7607">
        <w:t xml:space="preserve">ecipients who struggle with responses may contact their federal POC for technical assistance. </w:t>
      </w:r>
    </w:p>
    <w:p w:rsidR="0005456F" w:rsidP="00EB0619" w14:paraId="2C593B5D" w14:textId="1C633D4E">
      <w:pPr>
        <w:pStyle w:val="ListParagraph"/>
        <w:numPr>
          <w:ilvl w:val="0"/>
          <w:numId w:val="24"/>
        </w:numPr>
      </w:pPr>
      <w:r>
        <w:t xml:space="preserve">VETS-404 IAR: </w:t>
      </w:r>
      <w:r w:rsidR="001B28F4">
        <w:t>This is a new form, and we estimate it should take an average of one hour to complete. Four commenters agreed with one hour, and another requested that we raise the estimate to two hours because it is new and will take users time to become familiar with it. We agree with the other four commenters that one hour is an appropriate amount of time to complete this form.</w:t>
      </w:r>
    </w:p>
    <w:p w:rsidR="00DE4F79" w:rsidP="00EB0619" w14:paraId="4DEAA7F0" w14:textId="381DDF2B">
      <w:pPr>
        <w:pStyle w:val="ListParagraph"/>
        <w:numPr>
          <w:ilvl w:val="0"/>
          <w:numId w:val="24"/>
        </w:numPr>
      </w:pPr>
      <w:r>
        <w:t>VETS-501: The previous approved burden estimate was 1.5 hours per submission. Five commenters stated that the form takes the following amounts of time: 4 hours, 1.5 hours, 1.5 hours, 1.5 hours, 2 hours, and 2.5 hours. We are increasing the burden hour</w:t>
      </w:r>
      <w:r w:rsidR="00291D97">
        <w:t xml:space="preserve"> </w:t>
      </w:r>
      <w:r w:rsidRPr="00291D97" w:rsidR="00291D97">
        <w:t>per response</w:t>
      </w:r>
      <w:r>
        <w:t xml:space="preserve"> from 1.5 to 2 hours.</w:t>
      </w:r>
    </w:p>
    <w:p w:rsidR="001B28F4" w:rsidP="00EB0619" w14:paraId="232693CE" w14:textId="1B9C0682">
      <w:pPr>
        <w:pStyle w:val="ListParagraph"/>
        <w:numPr>
          <w:ilvl w:val="0"/>
          <w:numId w:val="24"/>
        </w:numPr>
      </w:pPr>
      <w:r>
        <w:t xml:space="preserve">Managers Reports: </w:t>
      </w:r>
      <w:r w:rsidR="00F06F3B">
        <w:t>The previous approved burden estimate was 1.75 hours per response and 51 responses per</w:t>
      </w:r>
      <w:r w:rsidR="000D2F18">
        <w:t xml:space="preserve"> year. </w:t>
      </w:r>
      <w:r w:rsidR="001E69A3">
        <w:t>One</w:t>
      </w:r>
      <w:r w:rsidR="000D2F18">
        <w:t xml:space="preserve"> commenter stated that t</w:t>
      </w:r>
      <w:r w:rsidR="001975A7">
        <w:t xml:space="preserve">hey complete the </w:t>
      </w:r>
      <w:r w:rsidR="001E69A3">
        <w:t>report</w:t>
      </w:r>
      <w:r w:rsidR="001975A7">
        <w:t xml:space="preserve"> 32 times per year and that it takes 3 hours per response; another com</w:t>
      </w:r>
      <w:r w:rsidR="001E69A3">
        <w:t xml:space="preserve">menter stated that they complete the report four times per year and that it takes 3.75 hours per response. After adding these </w:t>
      </w:r>
      <w:r w:rsidR="007D2FEB">
        <w:t xml:space="preserve">comments to those previously collected, we are decreasing the number of collections per recipient per year from 51 to </w:t>
      </w:r>
      <w:r w:rsidR="00FA03A5">
        <w:t>44, and</w:t>
      </w:r>
      <w:r w:rsidR="00FA03A5">
        <w:t xml:space="preserve"> increasing the burden </w:t>
      </w:r>
      <w:r w:rsidR="008F6DED">
        <w:t xml:space="preserve">per response </w:t>
      </w:r>
      <w:r w:rsidR="00FA03A5">
        <w:t>from 1.75 to 2 hours.</w:t>
      </w:r>
      <w:r>
        <w:t xml:space="preserve"> </w:t>
      </w:r>
    </w:p>
    <w:p w:rsidR="00707510" w:rsidP="00707510" w14:paraId="520FDBC9" w14:textId="09657EB9">
      <w:pPr>
        <w:ind w:left="720"/>
      </w:pPr>
      <w:r>
        <w:t xml:space="preserve">The updated estimates are </w:t>
      </w:r>
      <w:r w:rsidR="00CA2BC3">
        <w:t>reflected later</w:t>
      </w:r>
      <w:r>
        <w:t xml:space="preserve"> in this Statement and, if approved, will be used for each of the forms.</w:t>
      </w:r>
      <w:r w:rsidR="004E7EEA">
        <w:t xml:space="preserve"> </w:t>
      </w:r>
      <w:r w:rsidR="00191DB6">
        <w:t xml:space="preserve"> </w:t>
      </w:r>
      <w:r>
        <w:t xml:space="preserve"> </w:t>
      </w:r>
    </w:p>
    <w:p w:rsidR="00287CE5" w:rsidRPr="00DB560C" w:rsidP="009C329D" w14:paraId="43217B6B" w14:textId="4050B425">
      <w:pPr>
        <w:spacing w:after="0"/>
        <w:ind w:left="720"/>
        <w:rPr>
          <w:rStyle w:val="Strong"/>
        </w:rPr>
      </w:pPr>
      <w:r>
        <w:rPr>
          <w:rStyle w:val="Strong"/>
        </w:rPr>
        <w:t>Method of submission</w:t>
      </w:r>
    </w:p>
    <w:p w:rsidR="00287CE5" w:rsidP="00DB560C" w14:paraId="76888D36" w14:textId="08310FD1">
      <w:pPr>
        <w:ind w:left="720"/>
      </w:pPr>
      <w:r>
        <w:t>One c</w:t>
      </w:r>
      <w:r>
        <w:t xml:space="preserve">ommenter </w:t>
      </w:r>
      <w:r w:rsidR="00DD677D">
        <w:t xml:space="preserve">requested that VETS develop a system for online submission of all forms instead of </w:t>
      </w:r>
      <w:r w:rsidR="007166AF">
        <w:t>submission via email attachment.</w:t>
      </w:r>
    </w:p>
    <w:p w:rsidR="00287CE5" w:rsidP="00DB560C" w14:paraId="33D337CE" w14:textId="6F0AB736">
      <w:pPr>
        <w:ind w:left="720"/>
      </w:pPr>
      <w:r>
        <w:t xml:space="preserve">We explained that the VETS-401 is already submitted via an online form in GrantSolutions and that VETS is developing </w:t>
      </w:r>
      <w:r w:rsidR="009C5D0E">
        <w:t>a system for quarterly reporting via online forms. We anticipate that the system will go live</w:t>
      </w:r>
      <w:r w:rsidR="00F8329D">
        <w:t>, supporting most of the remaining forms,</w:t>
      </w:r>
      <w:r w:rsidR="009C5D0E">
        <w:t xml:space="preserve"> beginning in Fiscal Year 2027</w:t>
      </w:r>
      <w:r w:rsidR="00F8329D">
        <w:t>.</w:t>
      </w:r>
    </w:p>
    <w:p w:rsidR="00BC027D" w:rsidP="009C329D" w14:paraId="100AE617" w14:textId="77777777">
      <w:pPr>
        <w:spacing w:after="0"/>
        <w:ind w:left="720"/>
        <w:rPr>
          <w:rStyle w:val="Strong"/>
        </w:rPr>
      </w:pPr>
      <w:r>
        <w:rPr>
          <w:rStyle w:val="Strong"/>
        </w:rPr>
        <w:t>Formatting</w:t>
      </w:r>
      <w:r>
        <w:rPr>
          <w:rStyle w:val="Strong"/>
        </w:rPr>
        <w:t xml:space="preserve"> suggestions</w:t>
      </w:r>
    </w:p>
    <w:p w:rsidR="00BC027D" w:rsidP="009C329D" w14:paraId="164628A3" w14:textId="248C259A">
      <w:pPr>
        <w:spacing w:after="0"/>
        <w:ind w:left="720"/>
        <w:rPr>
          <w:rStyle w:val="Strong"/>
          <w:b w:val="0"/>
          <w:bCs w:val="0"/>
        </w:rPr>
      </w:pPr>
      <w:r w:rsidRPr="00CC24C7">
        <w:rPr>
          <w:rStyle w:val="Strong"/>
          <w:b w:val="0"/>
          <w:bCs w:val="0"/>
        </w:rPr>
        <w:t xml:space="preserve">One commenter </w:t>
      </w:r>
      <w:r w:rsidR="00A60C9E">
        <w:rPr>
          <w:rStyle w:val="Strong"/>
          <w:b w:val="0"/>
          <w:bCs w:val="0"/>
        </w:rPr>
        <w:t>suggested</w:t>
      </w:r>
      <w:r w:rsidRPr="00CC24C7">
        <w:rPr>
          <w:rStyle w:val="Strong"/>
          <w:b w:val="0"/>
          <w:bCs w:val="0"/>
        </w:rPr>
        <w:t xml:space="preserve"> </w:t>
      </w:r>
      <w:r w:rsidR="005017CB">
        <w:rPr>
          <w:rStyle w:val="Strong"/>
          <w:b w:val="0"/>
          <w:bCs w:val="0"/>
        </w:rPr>
        <w:t>changes to conditional formatting</w:t>
      </w:r>
      <w:r w:rsidR="005F4942">
        <w:rPr>
          <w:rStyle w:val="Strong"/>
          <w:b w:val="0"/>
          <w:bCs w:val="0"/>
        </w:rPr>
        <w:t xml:space="preserve"> in two fields in the VETS-501</w:t>
      </w:r>
      <w:r w:rsidR="00693021">
        <w:rPr>
          <w:rStyle w:val="Strong"/>
          <w:b w:val="0"/>
          <w:bCs w:val="0"/>
        </w:rPr>
        <w:t xml:space="preserve"> and that the number of blank rows be reduced to make it easier to navigate</w:t>
      </w:r>
      <w:r w:rsidR="005F4942">
        <w:rPr>
          <w:rStyle w:val="Strong"/>
          <w:b w:val="0"/>
          <w:bCs w:val="0"/>
        </w:rPr>
        <w:t xml:space="preserve">. </w:t>
      </w:r>
    </w:p>
    <w:p w:rsidR="00693021" w:rsidP="009C329D" w14:paraId="0EC06DB7" w14:textId="77777777">
      <w:pPr>
        <w:spacing w:after="0"/>
        <w:ind w:left="720"/>
        <w:rPr>
          <w:rStyle w:val="Strong"/>
          <w:b w:val="0"/>
          <w:bCs w:val="0"/>
        </w:rPr>
      </w:pPr>
    </w:p>
    <w:p w:rsidR="00BC027D" w:rsidRPr="00CC24C7" w:rsidP="009C329D" w14:paraId="1C3D91C0" w14:textId="31B17421">
      <w:pPr>
        <w:spacing w:after="0"/>
        <w:ind w:left="720"/>
        <w:rPr>
          <w:rStyle w:val="Strong"/>
          <w:b w:val="0"/>
          <w:bCs w:val="0"/>
        </w:rPr>
      </w:pPr>
      <w:r>
        <w:rPr>
          <w:rStyle w:val="Strong"/>
          <w:b w:val="0"/>
          <w:bCs w:val="0"/>
        </w:rPr>
        <w:t>We</w:t>
      </w:r>
      <w:r w:rsidR="00FF04E2">
        <w:rPr>
          <w:rStyle w:val="Strong"/>
          <w:b w:val="0"/>
          <w:bCs w:val="0"/>
        </w:rPr>
        <w:t xml:space="preserve"> </w:t>
      </w:r>
      <w:r w:rsidR="00836F1B">
        <w:rPr>
          <w:rStyle w:val="Strong"/>
          <w:b w:val="0"/>
          <w:bCs w:val="0"/>
        </w:rPr>
        <w:t>replied that we would</w:t>
      </w:r>
      <w:r w:rsidR="00FF04E2">
        <w:rPr>
          <w:rStyle w:val="Strong"/>
          <w:b w:val="0"/>
          <w:bCs w:val="0"/>
        </w:rPr>
        <w:t xml:space="preserve"> implement the conditional formatting sugg</w:t>
      </w:r>
      <w:r w:rsidR="00836F1B">
        <w:rPr>
          <w:rStyle w:val="Strong"/>
          <w:b w:val="0"/>
          <w:bCs w:val="0"/>
        </w:rPr>
        <w:t xml:space="preserve">estions but could not reduce the number of blank rows due to some recipients needing </w:t>
      </w:r>
      <w:r w:rsidR="00915B13">
        <w:rPr>
          <w:rStyle w:val="Strong"/>
          <w:b w:val="0"/>
          <w:bCs w:val="0"/>
        </w:rPr>
        <w:t xml:space="preserve">many more rows due to having </w:t>
      </w:r>
      <w:r w:rsidR="00915B13">
        <w:rPr>
          <w:rStyle w:val="Strong"/>
          <w:b w:val="0"/>
          <w:bCs w:val="0"/>
        </w:rPr>
        <w:t>a large number of</w:t>
      </w:r>
      <w:r w:rsidR="00915B13">
        <w:rPr>
          <w:rStyle w:val="Strong"/>
          <w:b w:val="0"/>
          <w:bCs w:val="0"/>
        </w:rPr>
        <w:t xml:space="preserve"> staff funded by the grant.</w:t>
      </w:r>
      <w:r w:rsidR="00B81A16">
        <w:rPr>
          <w:rStyle w:val="Strong"/>
          <w:b w:val="0"/>
          <w:bCs w:val="0"/>
        </w:rPr>
        <w:t xml:space="preserve"> However, we advised the commenter that they could use a column filter to hide blank rows</w:t>
      </w:r>
      <w:r w:rsidR="000224AC">
        <w:rPr>
          <w:rStyle w:val="Strong"/>
          <w:b w:val="0"/>
          <w:bCs w:val="0"/>
        </w:rPr>
        <w:t xml:space="preserve"> to ease in navigation.</w:t>
      </w:r>
    </w:p>
    <w:p w:rsidR="00BC027D" w:rsidP="009C329D" w14:paraId="717D455C" w14:textId="77777777">
      <w:pPr>
        <w:spacing w:after="0"/>
        <w:ind w:left="720"/>
        <w:rPr>
          <w:rStyle w:val="Strong"/>
        </w:rPr>
      </w:pPr>
    </w:p>
    <w:p w:rsidR="00287CE5" w:rsidRPr="00153619" w:rsidP="009C329D" w14:paraId="28CC18B2" w14:textId="59D6A845">
      <w:pPr>
        <w:spacing w:after="0"/>
        <w:ind w:left="720"/>
        <w:rPr>
          <w:rStyle w:val="Strong"/>
        </w:rPr>
      </w:pPr>
      <w:r>
        <w:rPr>
          <w:rStyle w:val="Strong"/>
        </w:rPr>
        <w:t>Request</w:t>
      </w:r>
      <w:r w:rsidR="00E63097">
        <w:rPr>
          <w:rStyle w:val="Strong"/>
        </w:rPr>
        <w:t xml:space="preserve"> for corrections</w:t>
      </w:r>
    </w:p>
    <w:p w:rsidR="00287CE5" w:rsidP="00153619" w14:paraId="38DC2122" w14:textId="4094FE46">
      <w:pPr>
        <w:ind w:left="720"/>
      </w:pPr>
      <w:r>
        <w:t>One</w:t>
      </w:r>
      <w:r w:rsidR="003146BF">
        <w:t xml:space="preserve"> commenter pointed out </w:t>
      </w:r>
      <w:r w:rsidR="00F10D9F">
        <w:t xml:space="preserve">an </w:t>
      </w:r>
      <w:r w:rsidR="003146BF">
        <w:t>error</w:t>
      </w:r>
      <w:r w:rsidR="00F10D9F">
        <w:t xml:space="preserve"> on</w:t>
      </w:r>
      <w:r w:rsidR="003146BF">
        <w:t xml:space="preserve"> the VETS-402 EDR.</w:t>
      </w:r>
    </w:p>
    <w:p w:rsidR="00287CE5" w:rsidP="00F74109" w14:paraId="1642EFD8" w14:textId="18881365">
      <w:pPr>
        <w:ind w:left="720"/>
      </w:pPr>
      <w:r>
        <w:t xml:space="preserve">We replied to advise the </w:t>
      </w:r>
      <w:r w:rsidR="00774EAC">
        <w:t>commenter to use the newest version</w:t>
      </w:r>
      <w:r w:rsidR="00F10D9F">
        <w:t xml:space="preserve"> of the VETS-402 EDR. The newest version</w:t>
      </w:r>
      <w:r w:rsidR="00774EAC">
        <w:t xml:space="preserve"> </w:t>
      </w:r>
      <w:r w:rsidR="00F10D9F">
        <w:t xml:space="preserve">includes a fix for the error and </w:t>
      </w:r>
      <w:r w:rsidR="00774EAC">
        <w:t xml:space="preserve">was approved by OMB as part of a </w:t>
      </w:r>
      <w:r w:rsidR="00774EAC">
        <w:t>nonsubstantive</w:t>
      </w:r>
      <w:r w:rsidR="00774EAC">
        <w:t xml:space="preserve"> change request </w:t>
      </w:r>
      <w:r w:rsidR="006503B4">
        <w:t>on</w:t>
      </w:r>
      <w:r w:rsidR="00774EAC">
        <w:t xml:space="preserve"> May</w:t>
      </w:r>
      <w:r w:rsidR="006503B4">
        <w:t xml:space="preserve"> 3,</w:t>
      </w:r>
      <w:r w:rsidR="00774EAC">
        <w:t xml:space="preserve"> 2024</w:t>
      </w:r>
      <w:r>
        <w:t>.</w:t>
      </w:r>
    </w:p>
    <w:p w:rsidR="00287CE5" w:rsidP="00287CE5" w14:paraId="700B805C" w14:textId="64560766">
      <w:r>
        <w:t xml:space="preserve">In addition to the required information collection activities, VETS shared draft versions of the forms with grant recipients, who are the primary respondents of these forms, </w:t>
      </w:r>
      <w:r w:rsidR="00F74109">
        <w:t>and held a one-hour “working session” with them</w:t>
      </w:r>
      <w:r>
        <w:t xml:space="preserve"> </w:t>
      </w:r>
      <w:r w:rsidR="006A6CC0">
        <w:t xml:space="preserve">to </w:t>
      </w:r>
      <w:r w:rsidR="00EF4C9E">
        <w:t xml:space="preserve">ask for their input on the </w:t>
      </w:r>
      <w:r w:rsidR="00107CEE">
        <w:t xml:space="preserve">new VETS-404 form and hear any other ideas or suggestions </w:t>
      </w:r>
      <w:r w:rsidR="00E63097">
        <w:t>for</w:t>
      </w:r>
      <w:r w:rsidR="00EE6363">
        <w:t xml:space="preserve"> any of</w:t>
      </w:r>
      <w:r w:rsidR="00E63097">
        <w:t xml:space="preserve"> the forms</w:t>
      </w:r>
      <w:r>
        <w:t>.</w:t>
      </w:r>
      <w:r w:rsidR="00E63097">
        <w:t xml:space="preserve"> </w:t>
      </w:r>
      <w:r w:rsidR="00FD2CEA">
        <w:t xml:space="preserve">The </w:t>
      </w:r>
      <w:r w:rsidR="002D27BA">
        <w:t xml:space="preserve">session </w:t>
      </w:r>
      <w:r w:rsidR="00FD2CEA">
        <w:t>results</w:t>
      </w:r>
      <w:r w:rsidR="006D39A1">
        <w:t xml:space="preserve"> (which we will implement as requested by the attendees)</w:t>
      </w:r>
      <w:r w:rsidR="00FD2CEA">
        <w:t xml:space="preserve"> are summarized below:</w:t>
      </w:r>
    </w:p>
    <w:p w:rsidR="002D27BA" w:rsidP="002D27BA" w14:paraId="4711EA5C" w14:textId="570E76B3">
      <w:pPr>
        <w:pStyle w:val="ListParagraph"/>
        <w:numPr>
          <w:ilvl w:val="0"/>
          <w:numId w:val="23"/>
        </w:numPr>
      </w:pPr>
      <w:r>
        <w:rPr>
          <w:b/>
          <w:bCs/>
        </w:rPr>
        <w:t>VETS-404 p</w:t>
      </w:r>
      <w:r w:rsidRPr="00AA51FF">
        <w:rPr>
          <w:b/>
          <w:bCs/>
        </w:rPr>
        <w:t>latform.</w:t>
      </w:r>
      <w:r>
        <w:t xml:space="preserve"> </w:t>
      </w:r>
      <w:r>
        <w:t>The majority of</w:t>
      </w:r>
      <w:r>
        <w:t xml:space="preserve"> </w:t>
      </w:r>
      <w:r w:rsidR="009A6C28">
        <w:t>attendees</w:t>
      </w:r>
      <w:r w:rsidR="00597EFC">
        <w:t xml:space="preserve"> preferred for this form to be in Microsoft Excel</w:t>
      </w:r>
      <w:r w:rsidR="00450FF2">
        <w:t xml:space="preserve"> in order to take advantage of its automatic calculation ability.</w:t>
      </w:r>
    </w:p>
    <w:p w:rsidR="00450FF2" w:rsidRPr="00A622F1" w:rsidP="002D27BA" w14:paraId="3211F036" w14:textId="22A7D2BD">
      <w:pPr>
        <w:pStyle w:val="ListParagraph"/>
        <w:numPr>
          <w:ilvl w:val="0"/>
          <w:numId w:val="23"/>
        </w:numPr>
        <w:rPr>
          <w:b/>
          <w:bCs/>
        </w:rPr>
      </w:pPr>
      <w:r>
        <w:rPr>
          <w:b/>
          <w:bCs/>
        </w:rPr>
        <w:t>VETS-404 f</w:t>
      </w:r>
      <w:r w:rsidRPr="00AA51FF">
        <w:rPr>
          <w:b/>
          <w:bCs/>
        </w:rPr>
        <w:t xml:space="preserve">ormat. </w:t>
      </w:r>
      <w:r w:rsidRPr="008C1C20" w:rsidR="00743B57">
        <w:t xml:space="preserve">Most </w:t>
      </w:r>
      <w:r w:rsidR="009A6C28">
        <w:t>attendees</w:t>
      </w:r>
      <w:r w:rsidRPr="008C1C20" w:rsidR="00743B57">
        <w:t xml:space="preserve"> requested three separate tables</w:t>
      </w:r>
      <w:r w:rsidRPr="008C1C20" w:rsidR="0088229B">
        <w:t xml:space="preserve">: one for individual awards, one for office awards, and one for other incentive </w:t>
      </w:r>
      <w:r w:rsidRPr="008C1C20" w:rsidR="008C1C20">
        <w:t xml:space="preserve">non-cash </w:t>
      </w:r>
      <w:r w:rsidRPr="008C1C20" w:rsidR="0088229B">
        <w:t>awards that are charged to the base allocation</w:t>
      </w:r>
      <w:r w:rsidRPr="008C1C20" w:rsidR="008C1C20">
        <w:t>.</w:t>
      </w:r>
    </w:p>
    <w:p w:rsidR="00A622F1" w:rsidRPr="0031344C" w:rsidP="002D27BA" w14:paraId="226D4992" w14:textId="41EBEC22">
      <w:pPr>
        <w:pStyle w:val="ListParagraph"/>
        <w:numPr>
          <w:ilvl w:val="0"/>
          <w:numId w:val="23"/>
        </w:numPr>
        <w:rPr>
          <w:b/>
          <w:bCs/>
        </w:rPr>
      </w:pPr>
      <w:r>
        <w:rPr>
          <w:b/>
          <w:bCs/>
        </w:rPr>
        <w:t>VETS-40</w:t>
      </w:r>
      <w:r w:rsidR="00EE6363">
        <w:rPr>
          <w:b/>
          <w:bCs/>
        </w:rPr>
        <w:t>4 with an</w:t>
      </w:r>
      <w:r>
        <w:rPr>
          <w:b/>
          <w:bCs/>
        </w:rPr>
        <w:t xml:space="preserve"> EDR crosswalk. </w:t>
      </w:r>
      <w:r w:rsidR="009A6C28">
        <w:t>Attendees</w:t>
      </w:r>
      <w:r w:rsidRPr="00D13350">
        <w:t xml:space="preserve"> requested a field </w:t>
      </w:r>
      <w:r w:rsidR="00DC2875">
        <w:t>where they could</w:t>
      </w:r>
      <w:r w:rsidRPr="00D13350">
        <w:t xml:space="preserve"> enter the total amount of reported incentive award outlays and obligations</w:t>
      </w:r>
      <w:r w:rsidRPr="00D13350" w:rsidR="00D13350">
        <w:t xml:space="preserve"> from</w:t>
      </w:r>
      <w:r w:rsidRPr="00D13350">
        <w:t xml:space="preserve"> the VETS-402 EDR</w:t>
      </w:r>
      <w:r w:rsidRPr="00D13350" w:rsidR="00D13350">
        <w:t xml:space="preserve"> so that the VETS-404 IAR cou</w:t>
      </w:r>
      <w:r w:rsidRPr="00DC2875" w:rsidR="00D13350">
        <w:t>ld</w:t>
      </w:r>
      <w:r w:rsidRPr="00DC2875" w:rsidR="0005386F">
        <w:t xml:space="preserve"> calculate the difference between the two amounts</w:t>
      </w:r>
      <w:r w:rsidRPr="00DC2875" w:rsidR="00DC2875">
        <w:t xml:space="preserve">, if any. </w:t>
      </w:r>
      <w:r w:rsidR="009A6C28">
        <w:t>Attendees</w:t>
      </w:r>
      <w:r w:rsidRPr="00D13350" w:rsidR="009A6C28">
        <w:t xml:space="preserve"> </w:t>
      </w:r>
      <w:r w:rsidRPr="00DC2875" w:rsidR="00DC2875">
        <w:t>felt that this calculation could help prevent conflicts between the two reports.</w:t>
      </w:r>
    </w:p>
    <w:p w:rsidR="0031344C" w:rsidRPr="006A2908" w:rsidP="002D27BA" w14:paraId="5A0D049C" w14:textId="347DCCE0">
      <w:pPr>
        <w:pStyle w:val="ListParagraph"/>
        <w:numPr>
          <w:ilvl w:val="0"/>
          <w:numId w:val="23"/>
        </w:numPr>
        <w:rPr>
          <w:b/>
          <w:bCs/>
        </w:rPr>
      </w:pPr>
      <w:r>
        <w:rPr>
          <w:b/>
          <w:bCs/>
        </w:rPr>
        <w:t>Add field</w:t>
      </w:r>
      <w:r w:rsidR="001B28F4">
        <w:rPr>
          <w:b/>
          <w:bCs/>
        </w:rPr>
        <w:t>s</w:t>
      </w:r>
      <w:r w:rsidR="00B34E56">
        <w:rPr>
          <w:b/>
          <w:bCs/>
        </w:rPr>
        <w:t xml:space="preserve"> to the TPN to account for eligible non-veteran participants. </w:t>
      </w:r>
      <w:r w:rsidRPr="009A6C28" w:rsidR="00B34E56">
        <w:t xml:space="preserve">The TPN asks for an analysis of </w:t>
      </w:r>
      <w:r w:rsidRPr="009A6C28" w:rsidR="009A6C28">
        <w:t xml:space="preserve">services provided to non-veteran participants. However, some nonveterans are eligible for those services. </w:t>
      </w:r>
      <w:r w:rsidR="009A6C28">
        <w:t>Attendees</w:t>
      </w:r>
      <w:r w:rsidR="00156BE6">
        <w:t xml:space="preserve"> asked for field</w:t>
      </w:r>
      <w:r w:rsidR="00914F71">
        <w:t>s</w:t>
      </w:r>
      <w:r w:rsidR="00156BE6">
        <w:t xml:space="preserve"> in this question where they </w:t>
      </w:r>
      <w:r w:rsidR="00A30DE2">
        <w:t>can enter the number of</w:t>
      </w:r>
      <w:r w:rsidR="00C003A0">
        <w:t xml:space="preserve"> eligible non-veteran</w:t>
      </w:r>
      <w:r w:rsidR="00A30DE2">
        <w:t xml:space="preserve"> individuals who received services under the grant</w:t>
      </w:r>
      <w:r w:rsidR="006A2908">
        <w:t>.</w:t>
      </w:r>
    </w:p>
    <w:p w:rsidR="00914F71" w:rsidP="00287CE5" w14:paraId="24FF2B27" w14:textId="528C6775">
      <w:r>
        <w:t xml:space="preserve">We have implemented </w:t>
      </w:r>
      <w:r>
        <w:t>all of</w:t>
      </w:r>
      <w:r>
        <w:t xml:space="preserve"> these requests and believe they will make the forms easier for recipients to use.</w:t>
      </w:r>
    </w:p>
    <w:p w:rsidR="00E22E9C" w:rsidP="00287CE5" w14:paraId="3EA4A694" w14:textId="34EB044D">
      <w:r>
        <w:t>Finally, VETS consulted federal and contracted staff within the agency to request input</w:t>
      </w:r>
      <w:r w:rsidR="008376B7">
        <w:t xml:space="preserve"> on various proposed changes to the forms before, during, and after the open comment period.</w:t>
      </w:r>
      <w:r w:rsidR="00E36E51">
        <w:t xml:space="preserve"> Together, we explored ways to streamline reporting</w:t>
      </w:r>
      <w:r w:rsidR="001334E2">
        <w:t>, remove unnecessary questions</w:t>
      </w:r>
      <w:r w:rsidR="00686536">
        <w:t xml:space="preserve">, </w:t>
      </w:r>
      <w:r w:rsidR="001334E2">
        <w:t xml:space="preserve">and </w:t>
      </w:r>
      <w:r w:rsidR="00686536">
        <w:t>clarify</w:t>
      </w:r>
      <w:r w:rsidR="001334E2">
        <w:t xml:space="preserve"> messaging on the forms and instructions to be consistent with JVSG guidance</w:t>
      </w:r>
      <w:r w:rsidR="00086C25">
        <w:t>.</w:t>
      </w:r>
    </w:p>
    <w:p w:rsidR="00B85A9B" w:rsidP="0018582F" w14:paraId="07DAAEBF" w14:textId="53B792C8">
      <w:pPr>
        <w:pStyle w:val="Heading3"/>
        <w:numPr>
          <w:ilvl w:val="0"/>
          <w:numId w:val="21"/>
        </w:numPr>
        <w:ind w:hanging="720"/>
      </w:pPr>
      <w:r w:rsidRPr="00B85A9B">
        <w:t>Explain any decision to provide any payments or gifts to respondents, other than remuneration of contractors or grantees.</w:t>
      </w:r>
    </w:p>
    <w:p w:rsidR="00D72F02" w:rsidP="00D72F02" w14:paraId="4486F7C5" w14:textId="13FE7E0A">
      <w:r w:rsidRPr="0018582F">
        <w:t>VETS did not provide any payments or gifts to respondents.</w:t>
      </w:r>
    </w:p>
    <w:p w:rsidR="0018582F" w:rsidP="0018582F" w14:paraId="0CD1239E" w14:textId="0290102A">
      <w:pPr>
        <w:pStyle w:val="Heading3"/>
        <w:numPr>
          <w:ilvl w:val="0"/>
          <w:numId w:val="21"/>
        </w:numPr>
        <w:ind w:hanging="720"/>
      </w:pPr>
      <w:r w:rsidRPr="0018582F">
        <w:t>Describe any assurance of confidentiality provided to respondents and the basis for the assurance in statute, regulation, or agency policy.</w:t>
      </w:r>
    </w:p>
    <w:p w:rsidR="0018582F" w:rsidP="0018582F" w14:paraId="6BC8D1F4" w14:textId="2BFF9465">
      <w:r>
        <w:t>VETS did not provide any</w:t>
      </w:r>
      <w:r w:rsidRPr="0018582F">
        <w:t xml:space="preserve"> assurance of confidentiality to respondents.</w:t>
      </w:r>
    </w:p>
    <w:p w:rsidR="0018582F" w:rsidP="0018582F" w14:paraId="316305E5" w14:textId="653C3716">
      <w:pPr>
        <w:pStyle w:val="Heading3"/>
        <w:numPr>
          <w:ilvl w:val="0"/>
          <w:numId w:val="21"/>
        </w:numPr>
        <w:ind w:hanging="720"/>
      </w:pPr>
      <w:r w:rsidRPr="0018582F">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582F" w:rsidP="0018582F" w14:paraId="543A9357" w14:textId="2298E106">
      <w:r w:rsidRPr="0018582F">
        <w:t>No questions of this nature are included in any component described in this information collection request.</w:t>
      </w:r>
    </w:p>
    <w:p w:rsidR="0018582F" w:rsidP="00E325FA" w14:paraId="30F01350" w14:textId="5B029DDB">
      <w:pPr>
        <w:pStyle w:val="Heading3"/>
        <w:keepNext w:val="0"/>
        <w:keepLines w:val="0"/>
        <w:numPr>
          <w:ilvl w:val="0"/>
          <w:numId w:val="21"/>
        </w:numPr>
        <w:ind w:hanging="720"/>
      </w:pPr>
      <w:r>
        <w:t>Provide estimates of the hour burden of the collection of information. The statement should:</w:t>
      </w:r>
      <w:r>
        <w:br/>
      </w:r>
      <w:r>
        <w:br/>
      </w:r>
      <w: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 </w:t>
      </w:r>
      <w:r>
        <w:br/>
      </w:r>
      <w:r>
        <w:br/>
      </w:r>
      <w:r>
        <w:t>If this request for approval covers more than one form, provide separate hour burden estimates for each form.</w:t>
      </w:r>
      <w:r>
        <w:br/>
      </w:r>
      <w:r>
        <w:br/>
      </w:r>
      <w:r>
        <w:t xml:space="preserve">Provide estimates of annualized cost to respondents for the hour burdens for collections of information, identifying and using appropriate wage rate categories. The cost of contracting out or paying outside parties for information collection </w:t>
      </w:r>
      <w:r>
        <w:t>activities should not be included here. Instead, this cost should be included in Item 13.</w:t>
      </w:r>
    </w:p>
    <w:p w:rsidR="0018582F" w:rsidP="0018582F" w14:paraId="09B5BEC0" w14:textId="02788724">
      <w:r>
        <w:t xml:space="preserve">For all </w:t>
      </w:r>
      <w:r w:rsidR="000C11C8">
        <w:t xml:space="preserve">collections, VETS used </w:t>
      </w:r>
      <w:r w:rsidR="000C11C8">
        <w:t>previously-approved</w:t>
      </w:r>
      <w:r w:rsidR="000C11C8">
        <w:t xml:space="preserve"> burden hours as a starting point, and adjusted these as described in Item 8 above based on actual users’ comments during the 60-day comment period.</w:t>
      </w:r>
    </w:p>
    <w:p w:rsidR="009F2E8F" w:rsidP="00AE1D5F" w14:paraId="328EF756" w14:textId="4439F697">
      <w:r w:rsidRPr="000C2C67">
        <w:rPr>
          <w:rStyle w:val="Emphasis"/>
        </w:rPr>
        <w:t>Affected Public:</w:t>
      </w:r>
      <w:r>
        <w:t xml:space="preserve"> </w:t>
      </w:r>
      <w:r w:rsidR="009C114E">
        <w:t>JVSG</w:t>
      </w:r>
      <w:r>
        <w:t xml:space="preserve"> Applicants/Recipients (54), an agency within each recipient state or territory.</w:t>
      </w:r>
    </w:p>
    <w:p w:rsidR="009F2E8F" w:rsidRPr="009F2E8F" w:rsidP="00E325FA" w14:paraId="67865BF7" w14:textId="5E1018DA">
      <w:pPr>
        <w:spacing w:after="0"/>
        <w:rPr>
          <w:rStyle w:val="Strong"/>
        </w:rPr>
      </w:pPr>
      <w:r>
        <w:rPr>
          <w:rStyle w:val="Strong"/>
        </w:rPr>
        <w:t xml:space="preserve">Table 12-1. </w:t>
      </w:r>
      <w:r>
        <w:rPr>
          <w:rStyle w:val="Strong"/>
        </w:rPr>
        <w:t>Estimated Annualized Respondent Cost and Hour Burden</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4"/>
        <w:gridCol w:w="1415"/>
        <w:gridCol w:w="1329"/>
        <w:gridCol w:w="1236"/>
        <w:gridCol w:w="998"/>
        <w:gridCol w:w="1296"/>
        <w:gridCol w:w="889"/>
        <w:gridCol w:w="1756"/>
      </w:tblGrid>
      <w:tr w14:paraId="27AD5038" w14:textId="77777777" w:rsidTr="00084CBE">
        <w:tblPrEx>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214"/>
          <w:tblHeader/>
        </w:trPr>
        <w:tc>
          <w:tcPr>
            <w:tcW w:w="1604"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50444F" w14:paraId="65433ED3" w14:textId="77777777">
            <w:pPr>
              <w:spacing w:line="276" w:lineRule="auto"/>
              <w:jc w:val="center"/>
              <w:rPr>
                <w:b/>
                <w:sz w:val="22"/>
              </w:rPr>
            </w:pPr>
            <w:r w:rsidRPr="00E60FB0">
              <w:rPr>
                <w:b/>
                <w:sz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50444F" w14:paraId="5FCE0469" w14:textId="77777777">
            <w:pPr>
              <w:spacing w:line="276" w:lineRule="auto"/>
              <w:jc w:val="center"/>
              <w:rPr>
                <w:b/>
                <w:sz w:val="22"/>
              </w:rPr>
            </w:pPr>
            <w:r w:rsidRPr="00F935EE">
              <w:rPr>
                <w:b/>
                <w:sz w:val="22"/>
              </w:rPr>
              <w:t>No.</w:t>
            </w:r>
            <w:r w:rsidRPr="00E60FB0">
              <w:rPr>
                <w:b/>
                <w:sz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tcPr>
          <w:p w:rsidR="00AA79F5" w:rsidRPr="00E60FB0" w:rsidP="009F2E8F" w14:paraId="0131112C" w14:textId="6794DF0A">
            <w:pPr>
              <w:spacing w:line="276" w:lineRule="auto"/>
              <w:jc w:val="center"/>
              <w:rPr>
                <w:b/>
                <w:sz w:val="22"/>
              </w:rPr>
            </w:pPr>
            <w:r w:rsidRPr="00E60FB0">
              <w:rPr>
                <w:b/>
                <w:sz w:val="22"/>
              </w:rPr>
              <w:t>No. of Responses</w:t>
            </w:r>
            <w:r w:rsidR="009F2E8F">
              <w:rPr>
                <w:b/>
                <w:sz w:val="22"/>
              </w:rPr>
              <w:t xml:space="preserve"> </w:t>
            </w:r>
            <w:r w:rsidRPr="00E60FB0">
              <w:rPr>
                <w:b/>
                <w:sz w:val="22"/>
              </w:rPr>
              <w:t>per</w:t>
            </w:r>
            <w:r>
              <w:rPr>
                <w:b/>
                <w:sz w:val="22"/>
              </w:rPr>
              <w:t xml:space="preserve"> Respondent</w:t>
            </w:r>
          </w:p>
        </w:tc>
        <w:tc>
          <w:tcPr>
            <w:tcW w:w="1236"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50444F" w14:paraId="526C6414" w14:textId="77777777">
            <w:pPr>
              <w:spacing w:line="276" w:lineRule="auto"/>
              <w:jc w:val="center"/>
              <w:rPr>
                <w:b/>
                <w:sz w:val="22"/>
              </w:rPr>
            </w:pPr>
            <w:r w:rsidRPr="00E60FB0">
              <w:rPr>
                <w:b/>
                <w:sz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50444F" w14:paraId="23483BB8" w14:textId="77777777">
            <w:pPr>
              <w:spacing w:line="276" w:lineRule="auto"/>
              <w:jc w:val="center"/>
              <w:rPr>
                <w:b/>
                <w:sz w:val="22"/>
              </w:rPr>
            </w:pPr>
            <w:r w:rsidRPr="006626FF">
              <w:rPr>
                <w:b/>
                <w:sz w:val="22"/>
              </w:rPr>
              <w:t>Average Burden (H</w:t>
            </w:r>
            <w:r w:rsidRPr="00E60FB0">
              <w:rPr>
                <w:b/>
                <w:sz w:val="22"/>
              </w:rPr>
              <w:t>our</w:t>
            </w:r>
            <w:r>
              <w:rPr>
                <w:b/>
                <w:sz w:val="22"/>
              </w:rPr>
              <w:t>s)</w:t>
            </w:r>
          </w:p>
        </w:tc>
        <w:tc>
          <w:tcPr>
            <w:tcW w:w="1296"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50444F" w14:paraId="2527C8BA" w14:textId="77777777">
            <w:pPr>
              <w:spacing w:line="276" w:lineRule="auto"/>
              <w:jc w:val="center"/>
              <w:rPr>
                <w:b/>
                <w:sz w:val="22"/>
              </w:rPr>
            </w:pPr>
            <w:r w:rsidRPr="00E60FB0">
              <w:rPr>
                <w:b/>
                <w:sz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294CA6F3" w14:paraId="464A95F0" w14:textId="65E910F7">
            <w:pPr>
              <w:spacing w:line="276" w:lineRule="auto"/>
              <w:jc w:val="center"/>
              <w:rPr>
                <w:b/>
                <w:bCs/>
                <w:sz w:val="22"/>
                <w:vertAlign w:val="superscript"/>
              </w:rPr>
            </w:pPr>
            <w:r w:rsidRPr="294CA6F3">
              <w:rPr>
                <w:b/>
                <w:bCs/>
                <w:sz w:val="22"/>
              </w:rPr>
              <w:t>Hourly</w:t>
            </w:r>
            <w:r w:rsidRPr="294CA6F3" w:rsidR="17F80FB9">
              <w:rPr>
                <w:b/>
                <w:bCs/>
                <w:sz w:val="22"/>
              </w:rPr>
              <w:t xml:space="preserve"> </w:t>
            </w:r>
            <w:r w:rsidRPr="294CA6F3">
              <w:rPr>
                <w:b/>
                <w:bCs/>
                <w:sz w:val="22"/>
              </w:rPr>
              <w:t>Wage Rate</w:t>
            </w:r>
            <w:r>
              <w:rPr>
                <w:rStyle w:val="FootnoteReference"/>
                <w:b/>
                <w:bCs/>
                <w:sz w:val="22"/>
              </w:rPr>
              <w:footnoteReference w:id="3"/>
            </w:r>
          </w:p>
        </w:tc>
        <w:tc>
          <w:tcPr>
            <w:tcW w:w="1756" w:type="dxa"/>
            <w:tcBorders>
              <w:top w:val="single" w:sz="4" w:space="0" w:color="auto"/>
              <w:left w:val="single" w:sz="4" w:space="0" w:color="auto"/>
              <w:bottom w:val="single" w:sz="4" w:space="0" w:color="auto"/>
              <w:right w:val="single" w:sz="4" w:space="0" w:color="auto"/>
            </w:tcBorders>
            <w:shd w:val="clear" w:color="auto" w:fill="8DB3E2"/>
            <w:hideMark/>
          </w:tcPr>
          <w:p w:rsidR="00AA79F5" w:rsidRPr="00E60FB0" w:rsidP="0050444F" w14:paraId="3666FAB9" w14:textId="77777777">
            <w:pPr>
              <w:spacing w:line="276" w:lineRule="auto"/>
              <w:jc w:val="center"/>
              <w:rPr>
                <w:b/>
                <w:sz w:val="22"/>
              </w:rPr>
            </w:pPr>
            <w:r w:rsidRPr="00E60FB0">
              <w:rPr>
                <w:b/>
                <w:sz w:val="22"/>
              </w:rPr>
              <w:t>Total Burden Cost</w:t>
            </w:r>
          </w:p>
        </w:tc>
      </w:tr>
      <w:tr w14:paraId="3B09790D" w14:textId="77777777" w:rsidTr="00084CBE">
        <w:tblPrEx>
          <w:tblW w:w="10523" w:type="dxa"/>
          <w:tblLook w:val="04A0"/>
        </w:tblPrEx>
        <w:trPr>
          <w:cantSplit/>
        </w:trPr>
        <w:tc>
          <w:tcPr>
            <w:tcW w:w="1604" w:type="dxa"/>
            <w:tcBorders>
              <w:top w:val="single" w:sz="4" w:space="0" w:color="auto"/>
              <w:left w:val="single" w:sz="4" w:space="0" w:color="auto"/>
              <w:bottom w:val="single" w:sz="4" w:space="0" w:color="auto"/>
              <w:right w:val="single" w:sz="4" w:space="0" w:color="auto"/>
            </w:tcBorders>
            <w:hideMark/>
          </w:tcPr>
          <w:p w:rsidR="00AA79F5" w:rsidRPr="00E60FB0" w:rsidP="0050444F" w14:paraId="3EEB32FC" w14:textId="77777777">
            <w:pPr>
              <w:spacing w:line="276" w:lineRule="auto"/>
              <w:rPr>
                <w:sz w:val="22"/>
              </w:rPr>
            </w:pPr>
            <w:r>
              <w:t>VETS-401 Budget</w:t>
            </w:r>
          </w:p>
        </w:tc>
        <w:tc>
          <w:tcPr>
            <w:tcW w:w="1415" w:type="dxa"/>
            <w:tcBorders>
              <w:top w:val="single" w:sz="4" w:space="0" w:color="auto"/>
              <w:left w:val="single" w:sz="4" w:space="0" w:color="auto"/>
              <w:bottom w:val="single" w:sz="4" w:space="0" w:color="auto"/>
              <w:right w:val="single" w:sz="4" w:space="0" w:color="auto"/>
            </w:tcBorders>
          </w:tcPr>
          <w:p w:rsidR="00AA79F5" w:rsidRPr="00E60FB0" w:rsidP="00370C4D" w14:paraId="600FC1B1" w14:textId="77777777">
            <w:pPr>
              <w:spacing w:line="276" w:lineRule="auto"/>
              <w:jc w:val="right"/>
              <w:rPr>
                <w:sz w:val="22"/>
              </w:rPr>
            </w:pPr>
            <w:r>
              <w:t>54</w:t>
            </w:r>
          </w:p>
        </w:tc>
        <w:tc>
          <w:tcPr>
            <w:tcW w:w="1329" w:type="dxa"/>
            <w:tcBorders>
              <w:top w:val="single" w:sz="4" w:space="0" w:color="auto"/>
              <w:left w:val="single" w:sz="4" w:space="0" w:color="auto"/>
              <w:bottom w:val="single" w:sz="4" w:space="0" w:color="auto"/>
              <w:right w:val="single" w:sz="4" w:space="0" w:color="auto"/>
            </w:tcBorders>
          </w:tcPr>
          <w:p w:rsidR="00AA79F5" w:rsidRPr="00E60FB0" w:rsidP="00370C4D" w14:paraId="57867C77" w14:textId="77777777">
            <w:pPr>
              <w:spacing w:line="276" w:lineRule="auto"/>
              <w:jc w:val="right"/>
              <w:rPr>
                <w:sz w:val="22"/>
              </w:rPr>
            </w:pPr>
            <w:r w:rsidRPr="007C4F8C">
              <w:t>1</w:t>
            </w:r>
          </w:p>
        </w:tc>
        <w:tc>
          <w:tcPr>
            <w:tcW w:w="1236" w:type="dxa"/>
            <w:tcBorders>
              <w:top w:val="single" w:sz="4" w:space="0" w:color="auto"/>
              <w:left w:val="single" w:sz="4" w:space="0" w:color="auto"/>
              <w:bottom w:val="single" w:sz="4" w:space="0" w:color="auto"/>
              <w:right w:val="single" w:sz="4" w:space="0" w:color="auto"/>
            </w:tcBorders>
          </w:tcPr>
          <w:p w:rsidR="00AA79F5" w:rsidRPr="00E60FB0" w:rsidP="00370C4D" w14:paraId="5D61C0EA" w14:textId="77777777">
            <w:pPr>
              <w:spacing w:line="276" w:lineRule="auto"/>
              <w:jc w:val="right"/>
              <w:rPr>
                <w:sz w:val="22"/>
              </w:rPr>
            </w:pPr>
            <w:r>
              <w:t>54</w:t>
            </w:r>
          </w:p>
        </w:tc>
        <w:tc>
          <w:tcPr>
            <w:tcW w:w="998" w:type="dxa"/>
            <w:tcBorders>
              <w:top w:val="single" w:sz="4" w:space="0" w:color="auto"/>
              <w:left w:val="single" w:sz="4" w:space="0" w:color="auto"/>
              <w:bottom w:val="single" w:sz="4" w:space="0" w:color="auto"/>
              <w:right w:val="single" w:sz="4" w:space="0" w:color="auto"/>
            </w:tcBorders>
          </w:tcPr>
          <w:p w:rsidR="00AA79F5" w:rsidRPr="00E60FB0" w:rsidP="00370C4D" w14:paraId="0A32A921" w14:textId="4E3A8099">
            <w:pPr>
              <w:spacing w:line="276" w:lineRule="auto"/>
              <w:jc w:val="right"/>
              <w:rPr>
                <w:sz w:val="22"/>
              </w:rPr>
            </w:pPr>
            <w:r>
              <w:t>2</w:t>
            </w:r>
          </w:p>
        </w:tc>
        <w:tc>
          <w:tcPr>
            <w:tcW w:w="1296" w:type="dxa"/>
            <w:tcBorders>
              <w:top w:val="single" w:sz="4" w:space="0" w:color="auto"/>
              <w:left w:val="single" w:sz="4" w:space="0" w:color="auto"/>
              <w:bottom w:val="single" w:sz="4" w:space="0" w:color="auto"/>
              <w:right w:val="single" w:sz="4" w:space="0" w:color="auto"/>
            </w:tcBorders>
          </w:tcPr>
          <w:p w:rsidR="00AA79F5" w:rsidRPr="00E60FB0" w:rsidP="00370C4D" w14:paraId="548EFB7A" w14:textId="5570A7AC">
            <w:pPr>
              <w:spacing w:line="276" w:lineRule="auto"/>
              <w:jc w:val="right"/>
              <w:rPr>
                <w:sz w:val="22"/>
              </w:rPr>
            </w:pPr>
            <w:r>
              <w:t>108</w:t>
            </w:r>
          </w:p>
        </w:tc>
        <w:tc>
          <w:tcPr>
            <w:tcW w:w="889" w:type="dxa"/>
            <w:tcBorders>
              <w:top w:val="single" w:sz="4" w:space="0" w:color="auto"/>
              <w:left w:val="single" w:sz="4" w:space="0" w:color="auto"/>
              <w:bottom w:val="single" w:sz="4" w:space="0" w:color="auto"/>
              <w:right w:val="single" w:sz="4" w:space="0" w:color="auto"/>
            </w:tcBorders>
          </w:tcPr>
          <w:p w:rsidR="00AA79F5" w:rsidRPr="00E60FB0" w:rsidP="00370C4D" w14:paraId="0C5262C5" w14:textId="2C76B9A8">
            <w:pPr>
              <w:spacing w:line="276" w:lineRule="auto"/>
              <w:jc w:val="right"/>
              <w:rPr>
                <w:sz w:val="22"/>
              </w:rPr>
            </w:pPr>
            <w:r>
              <w:rPr>
                <w:sz w:val="22"/>
              </w:rPr>
              <w:t>$</w:t>
            </w:r>
            <w:r w:rsidR="00957A02">
              <w:rPr>
                <w:sz w:val="22"/>
              </w:rPr>
              <w:t>61.37</w:t>
            </w:r>
          </w:p>
        </w:tc>
        <w:tc>
          <w:tcPr>
            <w:tcW w:w="1756" w:type="dxa"/>
            <w:tcBorders>
              <w:top w:val="single" w:sz="4" w:space="0" w:color="auto"/>
              <w:left w:val="single" w:sz="4" w:space="0" w:color="auto"/>
              <w:bottom w:val="single" w:sz="4" w:space="0" w:color="auto"/>
              <w:right w:val="single" w:sz="4" w:space="0" w:color="auto"/>
            </w:tcBorders>
          </w:tcPr>
          <w:p w:rsidR="00AA79F5" w:rsidRPr="00E60FB0" w:rsidP="294CA6F3" w14:paraId="5D9BBF5F" w14:textId="40577621">
            <w:pPr>
              <w:spacing w:line="276" w:lineRule="auto"/>
              <w:jc w:val="right"/>
              <w:rPr>
                <w:sz w:val="22"/>
              </w:rPr>
            </w:pPr>
            <w:r w:rsidRPr="294CA6F3">
              <w:rPr>
                <w:sz w:val="22"/>
              </w:rPr>
              <w:t>$</w:t>
            </w:r>
            <w:r w:rsidR="00A73D87">
              <w:rPr>
                <w:sz w:val="22"/>
              </w:rPr>
              <w:t>6,628</w:t>
            </w:r>
          </w:p>
        </w:tc>
      </w:tr>
      <w:tr w14:paraId="51D273BE" w14:textId="77777777" w:rsidTr="00084CBE">
        <w:tblPrEx>
          <w:tblW w:w="10523" w:type="dxa"/>
          <w:tblLook w:val="04A0"/>
        </w:tblPrEx>
        <w:trPr>
          <w:cantSplit/>
        </w:trPr>
        <w:tc>
          <w:tcPr>
            <w:tcW w:w="1604" w:type="dxa"/>
            <w:tcBorders>
              <w:top w:val="single" w:sz="4" w:space="0" w:color="auto"/>
              <w:left w:val="single" w:sz="4" w:space="0" w:color="auto"/>
              <w:bottom w:val="single" w:sz="4" w:space="0" w:color="auto"/>
              <w:right w:val="single" w:sz="4" w:space="0" w:color="auto"/>
            </w:tcBorders>
          </w:tcPr>
          <w:p w:rsidR="00AA79F5" w:rsidRPr="00E60FB0" w:rsidP="0050444F" w14:paraId="7575C3E2" w14:textId="77777777">
            <w:pPr>
              <w:spacing w:line="276" w:lineRule="auto"/>
              <w:rPr>
                <w:sz w:val="22"/>
              </w:rPr>
            </w:pPr>
            <w:r>
              <w:t>VETS-402 EDR</w:t>
            </w:r>
          </w:p>
        </w:tc>
        <w:tc>
          <w:tcPr>
            <w:tcW w:w="1415" w:type="dxa"/>
            <w:tcBorders>
              <w:top w:val="single" w:sz="4" w:space="0" w:color="auto"/>
              <w:left w:val="single" w:sz="4" w:space="0" w:color="auto"/>
              <w:bottom w:val="single" w:sz="4" w:space="0" w:color="auto"/>
              <w:right w:val="single" w:sz="4" w:space="0" w:color="auto"/>
            </w:tcBorders>
          </w:tcPr>
          <w:p w:rsidR="00AA79F5" w:rsidRPr="00E60FB0" w:rsidP="00370C4D" w14:paraId="41E89EFA" w14:textId="77777777">
            <w:pPr>
              <w:spacing w:line="276" w:lineRule="auto"/>
              <w:jc w:val="right"/>
              <w:rPr>
                <w:sz w:val="22"/>
              </w:rPr>
            </w:pPr>
            <w:r>
              <w:t>54</w:t>
            </w:r>
          </w:p>
        </w:tc>
        <w:tc>
          <w:tcPr>
            <w:tcW w:w="1329" w:type="dxa"/>
            <w:tcBorders>
              <w:top w:val="single" w:sz="4" w:space="0" w:color="auto"/>
              <w:left w:val="single" w:sz="4" w:space="0" w:color="auto"/>
              <w:bottom w:val="single" w:sz="4" w:space="0" w:color="auto"/>
              <w:right w:val="single" w:sz="4" w:space="0" w:color="auto"/>
            </w:tcBorders>
          </w:tcPr>
          <w:p w:rsidR="00AA79F5" w:rsidRPr="00E60FB0" w:rsidP="294CA6F3" w14:paraId="1427A9A0" w14:textId="7DFEE369">
            <w:pPr>
              <w:spacing w:line="276" w:lineRule="auto"/>
              <w:jc w:val="right"/>
              <w:rPr>
                <w:vertAlign w:val="superscript"/>
              </w:rPr>
            </w:pPr>
            <w:r>
              <w:t>6</w:t>
            </w:r>
            <w:r>
              <w:rPr>
                <w:rStyle w:val="FootnoteReference"/>
              </w:rPr>
              <w:footnoteReference w:id="4"/>
            </w:r>
          </w:p>
        </w:tc>
        <w:tc>
          <w:tcPr>
            <w:tcW w:w="1236" w:type="dxa"/>
            <w:tcBorders>
              <w:top w:val="single" w:sz="4" w:space="0" w:color="auto"/>
              <w:left w:val="single" w:sz="4" w:space="0" w:color="auto"/>
              <w:bottom w:val="single" w:sz="4" w:space="0" w:color="auto"/>
              <w:right w:val="single" w:sz="4" w:space="0" w:color="auto"/>
            </w:tcBorders>
          </w:tcPr>
          <w:p w:rsidR="00AA79F5" w:rsidRPr="00E60FB0" w:rsidP="00370C4D" w14:paraId="50A31992" w14:textId="77777777">
            <w:pPr>
              <w:spacing w:line="276" w:lineRule="auto"/>
              <w:jc w:val="right"/>
              <w:rPr>
                <w:sz w:val="22"/>
              </w:rPr>
            </w:pPr>
            <w:r>
              <w:t>324</w:t>
            </w:r>
          </w:p>
        </w:tc>
        <w:tc>
          <w:tcPr>
            <w:tcW w:w="998" w:type="dxa"/>
            <w:tcBorders>
              <w:top w:val="single" w:sz="4" w:space="0" w:color="auto"/>
              <w:left w:val="single" w:sz="4" w:space="0" w:color="auto"/>
              <w:bottom w:val="single" w:sz="4" w:space="0" w:color="auto"/>
              <w:right w:val="single" w:sz="4" w:space="0" w:color="auto"/>
            </w:tcBorders>
          </w:tcPr>
          <w:p w:rsidR="00AA79F5" w:rsidRPr="00E60FB0" w:rsidP="00370C4D" w14:paraId="1C18C398" w14:textId="77777777">
            <w:pPr>
              <w:spacing w:line="276" w:lineRule="auto"/>
              <w:jc w:val="right"/>
              <w:rPr>
                <w:sz w:val="22"/>
              </w:rPr>
            </w:pPr>
            <w:r>
              <w:t>2</w:t>
            </w:r>
          </w:p>
        </w:tc>
        <w:tc>
          <w:tcPr>
            <w:tcW w:w="1296" w:type="dxa"/>
            <w:tcBorders>
              <w:top w:val="single" w:sz="4" w:space="0" w:color="auto"/>
              <w:left w:val="single" w:sz="4" w:space="0" w:color="auto"/>
              <w:bottom w:val="single" w:sz="4" w:space="0" w:color="auto"/>
              <w:right w:val="single" w:sz="4" w:space="0" w:color="auto"/>
            </w:tcBorders>
          </w:tcPr>
          <w:p w:rsidR="00AA79F5" w:rsidRPr="00E60FB0" w:rsidP="00370C4D" w14:paraId="7D14519E" w14:textId="77777777">
            <w:pPr>
              <w:spacing w:line="276" w:lineRule="auto"/>
              <w:jc w:val="right"/>
              <w:rPr>
                <w:sz w:val="22"/>
              </w:rPr>
            </w:pPr>
            <w:r>
              <w:t>648</w:t>
            </w:r>
          </w:p>
        </w:tc>
        <w:tc>
          <w:tcPr>
            <w:tcW w:w="889" w:type="dxa"/>
            <w:tcBorders>
              <w:top w:val="single" w:sz="4" w:space="0" w:color="auto"/>
              <w:left w:val="single" w:sz="4" w:space="0" w:color="auto"/>
              <w:bottom w:val="single" w:sz="4" w:space="0" w:color="auto"/>
              <w:right w:val="single" w:sz="4" w:space="0" w:color="auto"/>
            </w:tcBorders>
          </w:tcPr>
          <w:p w:rsidR="00AA79F5" w:rsidRPr="00E60FB0" w:rsidP="00370C4D" w14:paraId="0F8C0B78" w14:textId="57ED7670">
            <w:pPr>
              <w:spacing w:line="276" w:lineRule="auto"/>
              <w:jc w:val="right"/>
              <w:rPr>
                <w:sz w:val="22"/>
              </w:rPr>
            </w:pPr>
            <w:r>
              <w:rPr>
                <w:sz w:val="22"/>
              </w:rPr>
              <w:t>$61.37</w:t>
            </w:r>
          </w:p>
        </w:tc>
        <w:tc>
          <w:tcPr>
            <w:tcW w:w="1756" w:type="dxa"/>
            <w:tcBorders>
              <w:top w:val="single" w:sz="4" w:space="0" w:color="auto"/>
              <w:left w:val="single" w:sz="4" w:space="0" w:color="auto"/>
              <w:bottom w:val="single" w:sz="4" w:space="0" w:color="auto"/>
              <w:right w:val="single" w:sz="4" w:space="0" w:color="auto"/>
            </w:tcBorders>
          </w:tcPr>
          <w:p w:rsidR="00AA79F5" w:rsidRPr="00E60FB0" w:rsidP="00370C4D" w14:paraId="0AA0B1D2" w14:textId="35FF00E2">
            <w:pPr>
              <w:spacing w:line="276" w:lineRule="auto"/>
              <w:jc w:val="right"/>
              <w:rPr>
                <w:sz w:val="22"/>
              </w:rPr>
            </w:pPr>
            <w:r>
              <w:rPr>
                <w:sz w:val="22"/>
              </w:rPr>
              <w:t>$</w:t>
            </w:r>
            <w:r w:rsidR="00C642FA">
              <w:rPr>
                <w:sz w:val="22"/>
              </w:rPr>
              <w:t>39</w:t>
            </w:r>
            <w:r w:rsidR="00F95580">
              <w:rPr>
                <w:sz w:val="22"/>
              </w:rPr>
              <w:t>,768</w:t>
            </w:r>
          </w:p>
        </w:tc>
      </w:tr>
      <w:tr w14:paraId="1E7D2887" w14:textId="77777777" w:rsidTr="00084CBE">
        <w:tblPrEx>
          <w:tblW w:w="10523" w:type="dxa"/>
          <w:tblLook w:val="04A0"/>
        </w:tblPrEx>
        <w:trPr>
          <w:cantSplit/>
        </w:trPr>
        <w:tc>
          <w:tcPr>
            <w:tcW w:w="1604" w:type="dxa"/>
            <w:tcBorders>
              <w:top w:val="single" w:sz="4" w:space="0" w:color="auto"/>
              <w:left w:val="single" w:sz="4" w:space="0" w:color="auto"/>
              <w:bottom w:val="single" w:sz="4" w:space="0" w:color="auto"/>
              <w:right w:val="single" w:sz="4" w:space="0" w:color="auto"/>
            </w:tcBorders>
          </w:tcPr>
          <w:p w:rsidR="00AA79F5" w:rsidRPr="00E60FB0" w:rsidP="0050444F" w14:paraId="11AF318B" w14:textId="77777777">
            <w:pPr>
              <w:spacing w:line="276" w:lineRule="auto"/>
              <w:rPr>
                <w:sz w:val="22"/>
              </w:rPr>
            </w:pPr>
            <w:r>
              <w:t>VETS-403 TPN</w:t>
            </w:r>
          </w:p>
        </w:tc>
        <w:tc>
          <w:tcPr>
            <w:tcW w:w="1415" w:type="dxa"/>
            <w:tcBorders>
              <w:top w:val="single" w:sz="4" w:space="0" w:color="auto"/>
              <w:left w:val="single" w:sz="4" w:space="0" w:color="auto"/>
              <w:bottom w:val="single" w:sz="4" w:space="0" w:color="auto"/>
              <w:right w:val="single" w:sz="4" w:space="0" w:color="auto"/>
            </w:tcBorders>
          </w:tcPr>
          <w:p w:rsidR="00AA79F5" w:rsidRPr="00E60FB0" w:rsidP="00370C4D" w14:paraId="090C5C18" w14:textId="77777777">
            <w:pPr>
              <w:spacing w:line="276" w:lineRule="auto"/>
              <w:jc w:val="right"/>
              <w:rPr>
                <w:sz w:val="22"/>
              </w:rPr>
            </w:pPr>
            <w:r>
              <w:t>54</w:t>
            </w:r>
          </w:p>
        </w:tc>
        <w:tc>
          <w:tcPr>
            <w:tcW w:w="1329" w:type="dxa"/>
            <w:tcBorders>
              <w:top w:val="single" w:sz="4" w:space="0" w:color="auto"/>
              <w:left w:val="single" w:sz="4" w:space="0" w:color="auto"/>
              <w:bottom w:val="single" w:sz="4" w:space="0" w:color="auto"/>
              <w:right w:val="single" w:sz="4" w:space="0" w:color="auto"/>
            </w:tcBorders>
          </w:tcPr>
          <w:p w:rsidR="00AA79F5" w:rsidRPr="00E60FB0" w:rsidP="00370C4D" w14:paraId="3A35B9D8" w14:textId="77777777">
            <w:pPr>
              <w:spacing w:line="276" w:lineRule="auto"/>
              <w:jc w:val="right"/>
              <w:rPr>
                <w:sz w:val="22"/>
              </w:rPr>
            </w:pPr>
            <w:r>
              <w:t>4</w:t>
            </w:r>
          </w:p>
        </w:tc>
        <w:tc>
          <w:tcPr>
            <w:tcW w:w="1236" w:type="dxa"/>
            <w:tcBorders>
              <w:top w:val="single" w:sz="4" w:space="0" w:color="auto"/>
              <w:left w:val="single" w:sz="4" w:space="0" w:color="auto"/>
              <w:bottom w:val="single" w:sz="4" w:space="0" w:color="auto"/>
              <w:right w:val="single" w:sz="4" w:space="0" w:color="auto"/>
            </w:tcBorders>
          </w:tcPr>
          <w:p w:rsidR="00AA79F5" w:rsidRPr="00E60FB0" w:rsidP="00370C4D" w14:paraId="3A2764FE" w14:textId="77777777">
            <w:pPr>
              <w:spacing w:line="276" w:lineRule="auto"/>
              <w:jc w:val="right"/>
              <w:rPr>
                <w:sz w:val="22"/>
              </w:rPr>
            </w:pPr>
            <w:r>
              <w:t>216</w:t>
            </w:r>
          </w:p>
        </w:tc>
        <w:tc>
          <w:tcPr>
            <w:tcW w:w="998" w:type="dxa"/>
            <w:tcBorders>
              <w:top w:val="single" w:sz="4" w:space="0" w:color="auto"/>
              <w:left w:val="single" w:sz="4" w:space="0" w:color="auto"/>
              <w:bottom w:val="single" w:sz="4" w:space="0" w:color="auto"/>
              <w:right w:val="single" w:sz="4" w:space="0" w:color="auto"/>
            </w:tcBorders>
          </w:tcPr>
          <w:p w:rsidR="00AA79F5" w:rsidRPr="00E60FB0" w:rsidP="00370C4D" w14:paraId="145A2FBB" w14:textId="3B6E7584">
            <w:pPr>
              <w:spacing w:line="276" w:lineRule="auto"/>
              <w:jc w:val="right"/>
              <w:rPr>
                <w:sz w:val="22"/>
              </w:rPr>
            </w:pPr>
            <w:r>
              <w:t>2</w:t>
            </w:r>
          </w:p>
        </w:tc>
        <w:tc>
          <w:tcPr>
            <w:tcW w:w="1296" w:type="dxa"/>
            <w:tcBorders>
              <w:top w:val="single" w:sz="4" w:space="0" w:color="auto"/>
              <w:left w:val="single" w:sz="4" w:space="0" w:color="auto"/>
              <w:bottom w:val="single" w:sz="4" w:space="0" w:color="auto"/>
              <w:right w:val="single" w:sz="4" w:space="0" w:color="auto"/>
            </w:tcBorders>
          </w:tcPr>
          <w:p w:rsidR="00AA79F5" w:rsidRPr="00E60FB0" w:rsidP="00370C4D" w14:paraId="62E5C909" w14:textId="77777777">
            <w:pPr>
              <w:spacing w:line="276" w:lineRule="auto"/>
              <w:jc w:val="right"/>
              <w:rPr>
                <w:sz w:val="22"/>
              </w:rPr>
            </w:pPr>
            <w:r>
              <w:t>432</w:t>
            </w:r>
          </w:p>
        </w:tc>
        <w:tc>
          <w:tcPr>
            <w:tcW w:w="889" w:type="dxa"/>
            <w:tcBorders>
              <w:top w:val="single" w:sz="4" w:space="0" w:color="auto"/>
              <w:left w:val="single" w:sz="4" w:space="0" w:color="auto"/>
              <w:bottom w:val="single" w:sz="4" w:space="0" w:color="auto"/>
              <w:right w:val="single" w:sz="4" w:space="0" w:color="auto"/>
            </w:tcBorders>
          </w:tcPr>
          <w:p w:rsidR="00AA79F5" w:rsidRPr="00E60FB0" w:rsidP="00370C4D" w14:paraId="245E4FA3" w14:textId="414F2C62">
            <w:pPr>
              <w:spacing w:line="276" w:lineRule="auto"/>
              <w:jc w:val="right"/>
              <w:rPr>
                <w:sz w:val="22"/>
              </w:rPr>
            </w:pPr>
            <w:r>
              <w:rPr>
                <w:sz w:val="22"/>
              </w:rPr>
              <w:t>$61.37</w:t>
            </w:r>
          </w:p>
        </w:tc>
        <w:tc>
          <w:tcPr>
            <w:tcW w:w="1756" w:type="dxa"/>
            <w:tcBorders>
              <w:top w:val="single" w:sz="4" w:space="0" w:color="auto"/>
              <w:left w:val="single" w:sz="4" w:space="0" w:color="auto"/>
              <w:bottom w:val="single" w:sz="4" w:space="0" w:color="auto"/>
              <w:right w:val="single" w:sz="4" w:space="0" w:color="auto"/>
            </w:tcBorders>
          </w:tcPr>
          <w:p w:rsidR="00AA79F5" w:rsidRPr="00E60FB0" w:rsidP="00370C4D" w14:paraId="5121F33C" w14:textId="6FF2045C">
            <w:pPr>
              <w:spacing w:line="276" w:lineRule="auto"/>
              <w:jc w:val="right"/>
              <w:rPr>
                <w:sz w:val="22"/>
              </w:rPr>
            </w:pPr>
            <w:r>
              <w:rPr>
                <w:sz w:val="22"/>
              </w:rPr>
              <w:t>$2</w:t>
            </w:r>
            <w:r w:rsidR="00F95580">
              <w:rPr>
                <w:sz w:val="22"/>
              </w:rPr>
              <w:t>6,512</w:t>
            </w:r>
          </w:p>
        </w:tc>
      </w:tr>
      <w:tr w14:paraId="012E503E" w14:textId="77777777" w:rsidTr="00084CBE">
        <w:tblPrEx>
          <w:tblW w:w="10523" w:type="dxa"/>
          <w:tblLook w:val="04A0"/>
        </w:tblPrEx>
        <w:trPr>
          <w:cantSplit/>
        </w:trPr>
        <w:tc>
          <w:tcPr>
            <w:tcW w:w="1604" w:type="dxa"/>
            <w:tcBorders>
              <w:top w:val="single" w:sz="4" w:space="0" w:color="auto"/>
              <w:left w:val="single" w:sz="4" w:space="0" w:color="auto"/>
              <w:bottom w:val="single" w:sz="4" w:space="0" w:color="auto"/>
              <w:right w:val="single" w:sz="4" w:space="0" w:color="auto"/>
            </w:tcBorders>
          </w:tcPr>
          <w:p w:rsidR="00F04BCF" w:rsidP="0050444F" w14:paraId="1E8BF942" w14:textId="60DEFB67">
            <w:pPr>
              <w:spacing w:line="276" w:lineRule="auto"/>
            </w:pPr>
            <w:r>
              <w:t>VETS-404 IAR</w:t>
            </w:r>
          </w:p>
        </w:tc>
        <w:tc>
          <w:tcPr>
            <w:tcW w:w="1415" w:type="dxa"/>
            <w:tcBorders>
              <w:top w:val="single" w:sz="4" w:space="0" w:color="auto"/>
              <w:left w:val="single" w:sz="4" w:space="0" w:color="auto"/>
              <w:bottom w:val="single" w:sz="4" w:space="0" w:color="auto"/>
              <w:right w:val="single" w:sz="4" w:space="0" w:color="auto"/>
            </w:tcBorders>
          </w:tcPr>
          <w:p w:rsidR="00F04BCF" w:rsidP="00370C4D" w14:paraId="7AE62B78" w14:textId="1EAE7E72">
            <w:pPr>
              <w:spacing w:line="276" w:lineRule="auto"/>
              <w:jc w:val="right"/>
            </w:pPr>
            <w:r>
              <w:t>54</w:t>
            </w:r>
          </w:p>
        </w:tc>
        <w:tc>
          <w:tcPr>
            <w:tcW w:w="1329" w:type="dxa"/>
            <w:tcBorders>
              <w:top w:val="single" w:sz="4" w:space="0" w:color="auto"/>
              <w:left w:val="single" w:sz="4" w:space="0" w:color="auto"/>
              <w:bottom w:val="single" w:sz="4" w:space="0" w:color="auto"/>
              <w:right w:val="single" w:sz="4" w:space="0" w:color="auto"/>
            </w:tcBorders>
          </w:tcPr>
          <w:p w:rsidR="00F04BCF" w:rsidP="00370C4D" w14:paraId="6B1E9A45" w14:textId="107C078F">
            <w:pPr>
              <w:spacing w:line="276" w:lineRule="auto"/>
              <w:jc w:val="right"/>
            </w:pPr>
            <w:r>
              <w:t>1</w:t>
            </w:r>
          </w:p>
        </w:tc>
        <w:tc>
          <w:tcPr>
            <w:tcW w:w="1236" w:type="dxa"/>
            <w:tcBorders>
              <w:top w:val="single" w:sz="4" w:space="0" w:color="auto"/>
              <w:left w:val="single" w:sz="4" w:space="0" w:color="auto"/>
              <w:bottom w:val="single" w:sz="4" w:space="0" w:color="auto"/>
              <w:right w:val="single" w:sz="4" w:space="0" w:color="auto"/>
            </w:tcBorders>
          </w:tcPr>
          <w:p w:rsidR="00F04BCF" w:rsidP="00370C4D" w14:paraId="101136B1" w14:textId="41C2111C">
            <w:pPr>
              <w:spacing w:line="276" w:lineRule="auto"/>
              <w:jc w:val="right"/>
            </w:pPr>
            <w:r>
              <w:t>54</w:t>
            </w:r>
          </w:p>
        </w:tc>
        <w:tc>
          <w:tcPr>
            <w:tcW w:w="998" w:type="dxa"/>
            <w:tcBorders>
              <w:top w:val="single" w:sz="4" w:space="0" w:color="auto"/>
              <w:left w:val="single" w:sz="4" w:space="0" w:color="auto"/>
              <w:bottom w:val="single" w:sz="4" w:space="0" w:color="auto"/>
              <w:right w:val="single" w:sz="4" w:space="0" w:color="auto"/>
            </w:tcBorders>
          </w:tcPr>
          <w:p w:rsidR="00F04BCF" w:rsidP="00370C4D" w14:paraId="7F6BCDE2" w14:textId="4D172528">
            <w:pPr>
              <w:spacing w:line="276" w:lineRule="auto"/>
              <w:jc w:val="right"/>
            </w:pPr>
            <w:r>
              <w:t>1</w:t>
            </w:r>
          </w:p>
        </w:tc>
        <w:tc>
          <w:tcPr>
            <w:tcW w:w="1296" w:type="dxa"/>
            <w:tcBorders>
              <w:top w:val="single" w:sz="4" w:space="0" w:color="auto"/>
              <w:left w:val="single" w:sz="4" w:space="0" w:color="auto"/>
              <w:bottom w:val="single" w:sz="4" w:space="0" w:color="auto"/>
              <w:right w:val="single" w:sz="4" w:space="0" w:color="auto"/>
            </w:tcBorders>
          </w:tcPr>
          <w:p w:rsidR="00F04BCF" w:rsidP="00370C4D" w14:paraId="65C65009" w14:textId="6E9512A6">
            <w:pPr>
              <w:spacing w:line="276" w:lineRule="auto"/>
              <w:jc w:val="right"/>
            </w:pPr>
            <w:r>
              <w:t>54</w:t>
            </w:r>
          </w:p>
        </w:tc>
        <w:tc>
          <w:tcPr>
            <w:tcW w:w="889" w:type="dxa"/>
            <w:tcBorders>
              <w:top w:val="single" w:sz="4" w:space="0" w:color="auto"/>
              <w:left w:val="single" w:sz="4" w:space="0" w:color="auto"/>
              <w:bottom w:val="single" w:sz="4" w:space="0" w:color="auto"/>
              <w:right w:val="single" w:sz="4" w:space="0" w:color="auto"/>
            </w:tcBorders>
          </w:tcPr>
          <w:p w:rsidR="00F04BCF" w:rsidP="00370C4D" w14:paraId="03F949B5" w14:textId="15668A8A">
            <w:pPr>
              <w:spacing w:line="276" w:lineRule="auto"/>
              <w:jc w:val="right"/>
              <w:rPr>
                <w:sz w:val="22"/>
              </w:rPr>
            </w:pPr>
            <w:r>
              <w:rPr>
                <w:sz w:val="22"/>
              </w:rPr>
              <w:t>$61.37</w:t>
            </w:r>
          </w:p>
        </w:tc>
        <w:tc>
          <w:tcPr>
            <w:tcW w:w="1756" w:type="dxa"/>
            <w:tcBorders>
              <w:top w:val="single" w:sz="4" w:space="0" w:color="auto"/>
              <w:left w:val="single" w:sz="4" w:space="0" w:color="auto"/>
              <w:bottom w:val="single" w:sz="4" w:space="0" w:color="auto"/>
              <w:right w:val="single" w:sz="4" w:space="0" w:color="auto"/>
            </w:tcBorders>
          </w:tcPr>
          <w:p w:rsidR="00F04BCF" w:rsidP="00370C4D" w14:paraId="0D8D4F77" w14:textId="765B9FDC">
            <w:pPr>
              <w:spacing w:line="276" w:lineRule="auto"/>
              <w:jc w:val="right"/>
              <w:rPr>
                <w:sz w:val="22"/>
              </w:rPr>
            </w:pPr>
            <w:r>
              <w:rPr>
                <w:sz w:val="22"/>
              </w:rPr>
              <w:t>$</w:t>
            </w:r>
            <w:r w:rsidR="00F95580">
              <w:rPr>
                <w:sz w:val="22"/>
              </w:rPr>
              <w:t>3,</w:t>
            </w:r>
            <w:r w:rsidR="00B128AA">
              <w:rPr>
                <w:sz w:val="22"/>
              </w:rPr>
              <w:t>314</w:t>
            </w:r>
          </w:p>
        </w:tc>
      </w:tr>
      <w:tr w14:paraId="6EFD8104" w14:textId="77777777" w:rsidTr="00084CBE">
        <w:tblPrEx>
          <w:tblW w:w="10523" w:type="dxa"/>
          <w:tblLook w:val="04A0"/>
        </w:tblPrEx>
        <w:trPr>
          <w:cantSplit/>
        </w:trPr>
        <w:tc>
          <w:tcPr>
            <w:tcW w:w="1604" w:type="dxa"/>
            <w:tcBorders>
              <w:top w:val="single" w:sz="4" w:space="0" w:color="auto"/>
              <w:left w:val="single" w:sz="4" w:space="0" w:color="auto"/>
              <w:bottom w:val="single" w:sz="4" w:space="0" w:color="auto"/>
              <w:right w:val="single" w:sz="4" w:space="0" w:color="auto"/>
            </w:tcBorders>
          </w:tcPr>
          <w:p w:rsidR="00AA79F5" w:rsidRPr="00E60FB0" w:rsidP="0050444F" w14:paraId="428893D1" w14:textId="77777777">
            <w:pPr>
              <w:spacing w:line="276" w:lineRule="auto"/>
              <w:rPr>
                <w:sz w:val="22"/>
              </w:rPr>
            </w:pPr>
            <w:r>
              <w:t>VETS-501 Staffing</w:t>
            </w:r>
          </w:p>
        </w:tc>
        <w:tc>
          <w:tcPr>
            <w:tcW w:w="1415" w:type="dxa"/>
            <w:tcBorders>
              <w:top w:val="single" w:sz="4" w:space="0" w:color="auto"/>
              <w:left w:val="single" w:sz="4" w:space="0" w:color="auto"/>
              <w:bottom w:val="single" w:sz="4" w:space="0" w:color="auto"/>
              <w:right w:val="single" w:sz="4" w:space="0" w:color="auto"/>
            </w:tcBorders>
          </w:tcPr>
          <w:p w:rsidR="00AA79F5" w:rsidRPr="00E60FB0" w:rsidP="00370C4D" w14:paraId="0C9B8B6D" w14:textId="77777777">
            <w:pPr>
              <w:spacing w:line="276" w:lineRule="auto"/>
              <w:jc w:val="right"/>
              <w:rPr>
                <w:sz w:val="22"/>
              </w:rPr>
            </w:pPr>
            <w:r>
              <w:t>54</w:t>
            </w:r>
          </w:p>
        </w:tc>
        <w:tc>
          <w:tcPr>
            <w:tcW w:w="1329" w:type="dxa"/>
            <w:tcBorders>
              <w:top w:val="single" w:sz="4" w:space="0" w:color="auto"/>
              <w:left w:val="single" w:sz="4" w:space="0" w:color="auto"/>
              <w:bottom w:val="single" w:sz="4" w:space="0" w:color="auto"/>
              <w:right w:val="single" w:sz="4" w:space="0" w:color="auto"/>
            </w:tcBorders>
          </w:tcPr>
          <w:p w:rsidR="00AA79F5" w:rsidRPr="00E60FB0" w:rsidP="00370C4D" w14:paraId="4640878D" w14:textId="77777777">
            <w:pPr>
              <w:spacing w:line="276" w:lineRule="auto"/>
              <w:jc w:val="right"/>
              <w:rPr>
                <w:sz w:val="22"/>
              </w:rPr>
            </w:pPr>
            <w:r>
              <w:t>1</w:t>
            </w:r>
          </w:p>
        </w:tc>
        <w:tc>
          <w:tcPr>
            <w:tcW w:w="1236" w:type="dxa"/>
            <w:tcBorders>
              <w:top w:val="single" w:sz="4" w:space="0" w:color="auto"/>
              <w:left w:val="single" w:sz="4" w:space="0" w:color="auto"/>
              <w:bottom w:val="single" w:sz="4" w:space="0" w:color="auto"/>
              <w:right w:val="single" w:sz="4" w:space="0" w:color="auto"/>
            </w:tcBorders>
          </w:tcPr>
          <w:p w:rsidR="00AA79F5" w:rsidRPr="00E60FB0" w:rsidP="00370C4D" w14:paraId="349CF37B" w14:textId="77777777">
            <w:pPr>
              <w:spacing w:line="276" w:lineRule="auto"/>
              <w:jc w:val="right"/>
              <w:rPr>
                <w:sz w:val="22"/>
              </w:rPr>
            </w:pPr>
            <w:r>
              <w:t>54</w:t>
            </w:r>
          </w:p>
        </w:tc>
        <w:tc>
          <w:tcPr>
            <w:tcW w:w="998" w:type="dxa"/>
            <w:tcBorders>
              <w:top w:val="single" w:sz="4" w:space="0" w:color="auto"/>
              <w:left w:val="single" w:sz="4" w:space="0" w:color="auto"/>
              <w:bottom w:val="single" w:sz="4" w:space="0" w:color="auto"/>
              <w:right w:val="single" w:sz="4" w:space="0" w:color="auto"/>
            </w:tcBorders>
          </w:tcPr>
          <w:p w:rsidR="00AA79F5" w:rsidRPr="00E60FB0" w:rsidP="00370C4D" w14:paraId="04358590" w14:textId="623DA6EB">
            <w:pPr>
              <w:spacing w:line="276" w:lineRule="auto"/>
              <w:jc w:val="right"/>
              <w:rPr>
                <w:sz w:val="22"/>
              </w:rPr>
            </w:pPr>
            <w:r>
              <w:t>2</w:t>
            </w:r>
          </w:p>
        </w:tc>
        <w:tc>
          <w:tcPr>
            <w:tcW w:w="1296" w:type="dxa"/>
            <w:tcBorders>
              <w:top w:val="single" w:sz="4" w:space="0" w:color="auto"/>
              <w:left w:val="single" w:sz="4" w:space="0" w:color="auto"/>
              <w:bottom w:val="single" w:sz="4" w:space="0" w:color="auto"/>
              <w:right w:val="single" w:sz="4" w:space="0" w:color="auto"/>
            </w:tcBorders>
          </w:tcPr>
          <w:p w:rsidR="00AA79F5" w:rsidRPr="00E60FB0" w:rsidP="00370C4D" w14:paraId="14518A8E" w14:textId="7859325B">
            <w:pPr>
              <w:spacing w:line="276" w:lineRule="auto"/>
              <w:jc w:val="right"/>
              <w:rPr>
                <w:sz w:val="22"/>
              </w:rPr>
            </w:pPr>
            <w:r>
              <w:t>108</w:t>
            </w:r>
          </w:p>
        </w:tc>
        <w:tc>
          <w:tcPr>
            <w:tcW w:w="889" w:type="dxa"/>
            <w:tcBorders>
              <w:top w:val="single" w:sz="4" w:space="0" w:color="auto"/>
              <w:left w:val="single" w:sz="4" w:space="0" w:color="auto"/>
              <w:bottom w:val="single" w:sz="4" w:space="0" w:color="auto"/>
              <w:right w:val="single" w:sz="4" w:space="0" w:color="auto"/>
            </w:tcBorders>
          </w:tcPr>
          <w:p w:rsidR="00AA79F5" w:rsidRPr="00E60FB0" w:rsidP="00370C4D" w14:paraId="173D27A1" w14:textId="62DAE029">
            <w:pPr>
              <w:spacing w:line="276" w:lineRule="auto"/>
              <w:jc w:val="right"/>
              <w:rPr>
                <w:sz w:val="22"/>
              </w:rPr>
            </w:pPr>
            <w:r>
              <w:rPr>
                <w:sz w:val="22"/>
              </w:rPr>
              <w:t>$61.37</w:t>
            </w:r>
          </w:p>
        </w:tc>
        <w:tc>
          <w:tcPr>
            <w:tcW w:w="1756" w:type="dxa"/>
            <w:tcBorders>
              <w:top w:val="single" w:sz="4" w:space="0" w:color="auto"/>
              <w:left w:val="single" w:sz="4" w:space="0" w:color="auto"/>
              <w:bottom w:val="single" w:sz="4" w:space="0" w:color="auto"/>
              <w:right w:val="single" w:sz="4" w:space="0" w:color="auto"/>
            </w:tcBorders>
          </w:tcPr>
          <w:p w:rsidR="00AA79F5" w:rsidRPr="00E60FB0" w:rsidP="00370C4D" w14:paraId="20260E40" w14:textId="23B4C698">
            <w:pPr>
              <w:spacing w:line="276" w:lineRule="auto"/>
              <w:jc w:val="right"/>
              <w:rPr>
                <w:sz w:val="22"/>
              </w:rPr>
            </w:pPr>
            <w:r w:rsidRPr="294CA6F3">
              <w:rPr>
                <w:sz w:val="22"/>
              </w:rPr>
              <w:t>$</w:t>
            </w:r>
            <w:r>
              <w:rPr>
                <w:sz w:val="22"/>
              </w:rPr>
              <w:t>6,628</w:t>
            </w:r>
          </w:p>
        </w:tc>
      </w:tr>
      <w:tr w14:paraId="1C425385" w14:textId="77777777" w:rsidTr="00084CBE">
        <w:tblPrEx>
          <w:tblW w:w="10523" w:type="dxa"/>
          <w:tblLook w:val="04A0"/>
        </w:tblPrEx>
        <w:trPr>
          <w:cantSplit/>
        </w:trPr>
        <w:tc>
          <w:tcPr>
            <w:tcW w:w="1604" w:type="dxa"/>
            <w:tcBorders>
              <w:top w:val="single" w:sz="4" w:space="0" w:color="auto"/>
              <w:left w:val="single" w:sz="4" w:space="0" w:color="auto"/>
              <w:bottom w:val="single" w:sz="4" w:space="0" w:color="auto"/>
              <w:right w:val="single" w:sz="4" w:space="0" w:color="auto"/>
            </w:tcBorders>
          </w:tcPr>
          <w:p w:rsidR="00AA79F5" w:rsidRPr="00E60FB0" w:rsidP="294CA6F3" w14:paraId="0E4B7982" w14:textId="490201A8">
            <w:pPr>
              <w:spacing w:line="276" w:lineRule="auto"/>
              <w:rPr>
                <w:vertAlign w:val="superscript"/>
              </w:rPr>
            </w:pPr>
            <w:r>
              <w:t>Manager</w:t>
            </w:r>
            <w:r w:rsidR="00EF3585">
              <w:t>’</w:t>
            </w:r>
            <w:r>
              <w:t>s Report</w:t>
            </w:r>
            <w:r>
              <w:rPr>
                <w:rStyle w:val="FootnoteReference"/>
              </w:rPr>
              <w:footnoteReference w:id="5"/>
            </w:r>
          </w:p>
        </w:tc>
        <w:tc>
          <w:tcPr>
            <w:tcW w:w="1415" w:type="dxa"/>
            <w:tcBorders>
              <w:top w:val="single" w:sz="4" w:space="0" w:color="auto"/>
              <w:left w:val="single" w:sz="4" w:space="0" w:color="auto"/>
              <w:bottom w:val="single" w:sz="4" w:space="0" w:color="auto"/>
              <w:right w:val="single" w:sz="4" w:space="0" w:color="auto"/>
            </w:tcBorders>
          </w:tcPr>
          <w:p w:rsidR="00AA79F5" w:rsidRPr="00E60FB0" w:rsidP="00370C4D" w14:paraId="008117DE" w14:textId="77777777">
            <w:pPr>
              <w:spacing w:line="276" w:lineRule="auto"/>
              <w:jc w:val="right"/>
              <w:rPr>
                <w:sz w:val="22"/>
              </w:rPr>
            </w:pPr>
            <w:r>
              <w:t>54</w:t>
            </w:r>
          </w:p>
        </w:tc>
        <w:tc>
          <w:tcPr>
            <w:tcW w:w="1329" w:type="dxa"/>
            <w:tcBorders>
              <w:top w:val="single" w:sz="4" w:space="0" w:color="auto"/>
              <w:left w:val="single" w:sz="4" w:space="0" w:color="auto"/>
              <w:bottom w:val="single" w:sz="4" w:space="0" w:color="auto"/>
              <w:right w:val="single" w:sz="4" w:space="0" w:color="auto"/>
            </w:tcBorders>
          </w:tcPr>
          <w:p w:rsidR="00AA79F5" w:rsidRPr="00E60FB0" w:rsidP="00370C4D" w14:paraId="737D567E" w14:textId="23B0D24A">
            <w:pPr>
              <w:spacing w:line="276" w:lineRule="auto"/>
              <w:jc w:val="right"/>
              <w:rPr>
                <w:sz w:val="22"/>
              </w:rPr>
            </w:pPr>
            <w:r>
              <w:t>44</w:t>
            </w:r>
          </w:p>
        </w:tc>
        <w:tc>
          <w:tcPr>
            <w:tcW w:w="1236" w:type="dxa"/>
            <w:tcBorders>
              <w:top w:val="single" w:sz="4" w:space="0" w:color="auto"/>
              <w:left w:val="single" w:sz="4" w:space="0" w:color="auto"/>
              <w:bottom w:val="single" w:sz="4" w:space="0" w:color="auto"/>
              <w:right w:val="single" w:sz="4" w:space="0" w:color="auto"/>
            </w:tcBorders>
          </w:tcPr>
          <w:p w:rsidR="00AA79F5" w:rsidRPr="00E60FB0" w:rsidP="00370C4D" w14:paraId="2A6C1E7B" w14:textId="392578C8">
            <w:pPr>
              <w:spacing w:line="276" w:lineRule="auto"/>
              <w:jc w:val="right"/>
              <w:rPr>
                <w:sz w:val="22"/>
              </w:rPr>
            </w:pPr>
            <w:r>
              <w:t>2,</w:t>
            </w:r>
            <w:r w:rsidR="00DE5169">
              <w:t>376</w:t>
            </w:r>
          </w:p>
        </w:tc>
        <w:tc>
          <w:tcPr>
            <w:tcW w:w="998" w:type="dxa"/>
            <w:tcBorders>
              <w:top w:val="single" w:sz="4" w:space="0" w:color="auto"/>
              <w:left w:val="single" w:sz="4" w:space="0" w:color="auto"/>
              <w:bottom w:val="single" w:sz="4" w:space="0" w:color="auto"/>
              <w:right w:val="single" w:sz="4" w:space="0" w:color="auto"/>
            </w:tcBorders>
          </w:tcPr>
          <w:p w:rsidR="00AA79F5" w:rsidRPr="00E60FB0" w:rsidP="00370C4D" w14:paraId="10DA19B2" w14:textId="0EEE0FD8">
            <w:pPr>
              <w:spacing w:line="276" w:lineRule="auto"/>
              <w:jc w:val="right"/>
              <w:rPr>
                <w:sz w:val="22"/>
              </w:rPr>
            </w:pPr>
            <w:r>
              <w:t>2</w:t>
            </w:r>
          </w:p>
        </w:tc>
        <w:tc>
          <w:tcPr>
            <w:tcW w:w="1296" w:type="dxa"/>
            <w:tcBorders>
              <w:top w:val="single" w:sz="4" w:space="0" w:color="auto"/>
              <w:left w:val="single" w:sz="4" w:space="0" w:color="auto"/>
              <w:bottom w:val="single" w:sz="4" w:space="0" w:color="auto"/>
              <w:right w:val="single" w:sz="4" w:space="0" w:color="auto"/>
            </w:tcBorders>
          </w:tcPr>
          <w:p w:rsidR="00AA79F5" w:rsidRPr="00E60FB0" w:rsidP="00370C4D" w14:paraId="1A18804F" w14:textId="020EF088">
            <w:pPr>
              <w:spacing w:line="276" w:lineRule="auto"/>
              <w:jc w:val="right"/>
              <w:rPr>
                <w:sz w:val="22"/>
              </w:rPr>
            </w:pPr>
            <w:r>
              <w:t>4,752</w:t>
            </w:r>
          </w:p>
        </w:tc>
        <w:tc>
          <w:tcPr>
            <w:tcW w:w="889" w:type="dxa"/>
            <w:tcBorders>
              <w:top w:val="single" w:sz="4" w:space="0" w:color="auto"/>
              <w:left w:val="single" w:sz="4" w:space="0" w:color="auto"/>
              <w:bottom w:val="single" w:sz="4" w:space="0" w:color="auto"/>
              <w:right w:val="single" w:sz="4" w:space="0" w:color="auto"/>
            </w:tcBorders>
          </w:tcPr>
          <w:p w:rsidR="00AA79F5" w:rsidRPr="00E60FB0" w:rsidP="00370C4D" w14:paraId="38FF047B" w14:textId="1A10EC0C">
            <w:pPr>
              <w:spacing w:line="276" w:lineRule="auto"/>
              <w:jc w:val="right"/>
              <w:rPr>
                <w:sz w:val="22"/>
              </w:rPr>
            </w:pPr>
            <w:r>
              <w:rPr>
                <w:sz w:val="22"/>
              </w:rPr>
              <w:t>$61.37</w:t>
            </w:r>
          </w:p>
        </w:tc>
        <w:tc>
          <w:tcPr>
            <w:tcW w:w="1756" w:type="dxa"/>
            <w:tcBorders>
              <w:top w:val="single" w:sz="4" w:space="0" w:color="auto"/>
              <w:left w:val="single" w:sz="4" w:space="0" w:color="auto"/>
              <w:bottom w:val="single" w:sz="4" w:space="0" w:color="auto"/>
              <w:right w:val="single" w:sz="4" w:space="0" w:color="auto"/>
            </w:tcBorders>
          </w:tcPr>
          <w:p w:rsidR="00AA79F5" w:rsidRPr="00E60FB0" w:rsidP="00370C4D" w14:paraId="2A5BBBDA" w14:textId="67A1D43B">
            <w:pPr>
              <w:spacing w:line="276" w:lineRule="auto"/>
              <w:jc w:val="right"/>
              <w:rPr>
                <w:sz w:val="22"/>
              </w:rPr>
            </w:pPr>
            <w:r>
              <w:rPr>
                <w:sz w:val="22"/>
              </w:rPr>
              <w:t>$</w:t>
            </w:r>
            <w:r w:rsidR="005E2984">
              <w:rPr>
                <w:sz w:val="22"/>
              </w:rPr>
              <w:t>291,630</w:t>
            </w:r>
          </w:p>
        </w:tc>
      </w:tr>
      <w:tr w14:paraId="28F8AEBE" w14:textId="77777777" w:rsidTr="000F54C3">
        <w:tblPrEx>
          <w:tblW w:w="10523" w:type="dxa"/>
          <w:tblLook w:val="04A0"/>
        </w:tblPrEx>
        <w:trPr>
          <w:cantSplit/>
        </w:trPr>
        <w:tc>
          <w:tcPr>
            <w:tcW w:w="1604" w:type="dxa"/>
            <w:tcBorders>
              <w:top w:val="single" w:sz="4" w:space="0" w:color="auto"/>
              <w:left w:val="single" w:sz="4" w:space="0" w:color="auto"/>
              <w:bottom w:val="single" w:sz="4" w:space="0" w:color="auto"/>
              <w:right w:val="single" w:sz="4" w:space="0" w:color="auto"/>
            </w:tcBorders>
          </w:tcPr>
          <w:p w:rsidR="00AA79F5" w:rsidRPr="00E60FB0" w:rsidP="0050444F" w14:paraId="378AC712" w14:textId="77777777">
            <w:pPr>
              <w:spacing w:line="276" w:lineRule="auto"/>
              <w:rPr>
                <w:sz w:val="22"/>
              </w:rPr>
            </w:pPr>
            <w:r>
              <w:rPr>
                <w:b/>
                <w:snapToGrid w:val="0"/>
              </w:rPr>
              <w:t xml:space="preserve">Unduplicated </w:t>
            </w:r>
            <w:r w:rsidRPr="007C4F8C">
              <w:rPr>
                <w:b/>
                <w:snapToGrid w:val="0"/>
              </w:rPr>
              <w:t>Total</w:t>
            </w:r>
          </w:p>
        </w:tc>
        <w:tc>
          <w:tcPr>
            <w:tcW w:w="1415" w:type="dxa"/>
            <w:tcBorders>
              <w:top w:val="single" w:sz="4" w:space="0" w:color="auto"/>
              <w:left w:val="single" w:sz="4" w:space="0" w:color="auto"/>
              <w:bottom w:val="single" w:sz="4" w:space="0" w:color="auto"/>
              <w:right w:val="single" w:sz="4" w:space="0" w:color="auto"/>
            </w:tcBorders>
          </w:tcPr>
          <w:p w:rsidR="00AA79F5" w:rsidRPr="00E60FB0" w:rsidP="00370C4D" w14:paraId="6203C864" w14:textId="2E5515BB">
            <w:pPr>
              <w:spacing w:line="276" w:lineRule="auto"/>
              <w:jc w:val="right"/>
              <w:rPr>
                <w:sz w:val="22"/>
              </w:rPr>
            </w:pPr>
            <w:r>
              <w:rPr>
                <w:b/>
                <w:snapToGrid w:val="0"/>
              </w:rPr>
              <w:t>54</w:t>
            </w:r>
            <w:r w:rsidR="00B04936">
              <w:rPr>
                <w:b/>
                <w:snapToGrid w:val="0"/>
              </w:rPr>
              <w:t>*</w:t>
            </w:r>
          </w:p>
        </w:tc>
        <w:tc>
          <w:tcPr>
            <w:tcW w:w="1329" w:type="dxa"/>
            <w:tcBorders>
              <w:top w:val="single" w:sz="4" w:space="0" w:color="auto"/>
              <w:left w:val="single" w:sz="4" w:space="0" w:color="auto"/>
              <w:bottom w:val="single" w:sz="4" w:space="0" w:color="auto"/>
              <w:right w:val="single" w:sz="4" w:space="0" w:color="auto"/>
            </w:tcBorders>
          </w:tcPr>
          <w:p w:rsidR="00AA79F5" w:rsidRPr="00E60FB0" w:rsidP="00370C4D" w14:paraId="462B8FC6" w14:textId="1499802D">
            <w:pPr>
              <w:spacing w:line="276" w:lineRule="auto"/>
              <w:jc w:val="right"/>
              <w:rPr>
                <w:sz w:val="22"/>
              </w:rPr>
            </w:pPr>
            <w:r>
              <w:rPr>
                <w:b/>
                <w:snapToGrid w:val="0"/>
              </w:rPr>
              <w:t>57</w:t>
            </w:r>
          </w:p>
        </w:tc>
        <w:tc>
          <w:tcPr>
            <w:tcW w:w="1236" w:type="dxa"/>
            <w:tcBorders>
              <w:top w:val="single" w:sz="4" w:space="0" w:color="auto"/>
              <w:left w:val="single" w:sz="4" w:space="0" w:color="auto"/>
              <w:bottom w:val="single" w:sz="4" w:space="0" w:color="auto"/>
              <w:right w:val="single" w:sz="4" w:space="0" w:color="auto"/>
            </w:tcBorders>
          </w:tcPr>
          <w:p w:rsidR="00AA79F5" w:rsidRPr="00E60FB0" w:rsidP="00370C4D" w14:paraId="10378AE8" w14:textId="02A94091">
            <w:pPr>
              <w:spacing w:line="276" w:lineRule="auto"/>
              <w:jc w:val="right"/>
              <w:rPr>
                <w:sz w:val="22"/>
              </w:rPr>
            </w:pPr>
            <w:r>
              <w:rPr>
                <w:b/>
                <w:snapToGrid w:val="0"/>
              </w:rPr>
              <w:t>3,</w:t>
            </w:r>
            <w:r w:rsidR="00DE5169">
              <w:rPr>
                <w:b/>
                <w:snapToGrid w:val="0"/>
              </w:rPr>
              <w:t>078</w:t>
            </w:r>
          </w:p>
        </w:tc>
        <w:tc>
          <w:tcPr>
            <w:tcW w:w="998" w:type="dxa"/>
            <w:tcBorders>
              <w:top w:val="single" w:sz="4" w:space="0" w:color="auto"/>
              <w:left w:val="single" w:sz="4" w:space="0" w:color="auto"/>
              <w:bottom w:val="single" w:sz="4" w:space="0" w:color="auto"/>
              <w:right w:val="single" w:sz="4" w:space="0" w:color="auto"/>
            </w:tcBorders>
            <w:shd w:val="clear" w:color="auto" w:fill="000000" w:themeFill="text1"/>
          </w:tcPr>
          <w:p w:rsidR="00AA79F5" w:rsidRPr="00E60FB0" w:rsidP="00370C4D" w14:paraId="3DD88FF1" w14:textId="3FBBD627">
            <w:pPr>
              <w:spacing w:line="276" w:lineRule="auto"/>
              <w:jc w:val="right"/>
              <w:rPr>
                <w:sz w:val="22"/>
              </w:rPr>
            </w:pPr>
          </w:p>
        </w:tc>
        <w:tc>
          <w:tcPr>
            <w:tcW w:w="1296" w:type="dxa"/>
            <w:tcBorders>
              <w:top w:val="single" w:sz="4" w:space="0" w:color="auto"/>
              <w:left w:val="single" w:sz="4" w:space="0" w:color="auto"/>
              <w:bottom w:val="single" w:sz="4" w:space="0" w:color="auto"/>
              <w:right w:val="single" w:sz="4" w:space="0" w:color="auto"/>
            </w:tcBorders>
          </w:tcPr>
          <w:p w:rsidR="00AA79F5" w:rsidRPr="00E60FB0" w:rsidP="00370C4D" w14:paraId="3816EA17" w14:textId="03C97041">
            <w:pPr>
              <w:spacing w:line="276" w:lineRule="auto"/>
              <w:jc w:val="right"/>
              <w:rPr>
                <w:sz w:val="22"/>
              </w:rPr>
            </w:pPr>
            <w:r>
              <w:rPr>
                <w:b/>
                <w:snapToGrid w:val="0"/>
              </w:rPr>
              <w:t>6,</w:t>
            </w:r>
            <w:r w:rsidR="00BB4EBA">
              <w:rPr>
                <w:b/>
                <w:snapToGrid w:val="0"/>
              </w:rPr>
              <w:t>102</w:t>
            </w:r>
          </w:p>
        </w:tc>
        <w:tc>
          <w:tcPr>
            <w:tcW w:w="889" w:type="dxa"/>
            <w:tcBorders>
              <w:top w:val="single" w:sz="4" w:space="0" w:color="auto"/>
              <w:left w:val="single" w:sz="4" w:space="0" w:color="auto"/>
              <w:bottom w:val="single" w:sz="4" w:space="0" w:color="auto"/>
              <w:right w:val="single" w:sz="4" w:space="0" w:color="auto"/>
            </w:tcBorders>
            <w:shd w:val="clear" w:color="auto" w:fill="000000" w:themeFill="text1"/>
          </w:tcPr>
          <w:p w:rsidR="00AA79F5" w:rsidRPr="00957A02" w:rsidP="00370C4D" w14:paraId="621F5084" w14:textId="2B0B726E">
            <w:pPr>
              <w:spacing w:line="276" w:lineRule="auto"/>
              <w:jc w:val="right"/>
              <w:rPr>
                <w:b/>
                <w:bCs/>
                <w:sz w:val="22"/>
              </w:rPr>
            </w:pPr>
          </w:p>
        </w:tc>
        <w:tc>
          <w:tcPr>
            <w:tcW w:w="1756" w:type="dxa"/>
            <w:tcBorders>
              <w:top w:val="single" w:sz="4" w:space="0" w:color="auto"/>
              <w:left w:val="single" w:sz="4" w:space="0" w:color="auto"/>
              <w:bottom w:val="single" w:sz="4" w:space="0" w:color="auto"/>
              <w:right w:val="single" w:sz="4" w:space="0" w:color="auto"/>
            </w:tcBorders>
          </w:tcPr>
          <w:p w:rsidR="00AA79F5" w:rsidRPr="00710264" w:rsidP="00370C4D" w14:paraId="6660C1D3" w14:textId="1BE3E11A">
            <w:pPr>
              <w:spacing w:line="276" w:lineRule="auto"/>
              <w:jc w:val="right"/>
              <w:rPr>
                <w:b/>
                <w:bCs/>
                <w:sz w:val="22"/>
              </w:rPr>
            </w:pPr>
            <w:r w:rsidRPr="00710264">
              <w:rPr>
                <w:b/>
                <w:bCs/>
                <w:sz w:val="22"/>
              </w:rPr>
              <w:t>$</w:t>
            </w:r>
            <w:r w:rsidR="005E2984">
              <w:rPr>
                <w:b/>
                <w:bCs/>
                <w:sz w:val="22"/>
              </w:rPr>
              <w:t>374,480</w:t>
            </w:r>
          </w:p>
        </w:tc>
      </w:tr>
    </w:tbl>
    <w:p w:rsidR="00084CBE" w14:paraId="3C4CBB1D" w14:textId="3334B817">
      <w:r>
        <w:t>*=not cumulative</w:t>
      </w:r>
    </w:p>
    <w:p w:rsidR="009F2E8F" w:rsidP="000F54C3" w14:paraId="396D536A" w14:textId="5D9900FC">
      <w:pPr>
        <w:pStyle w:val="Heading3"/>
        <w:keepNext w:val="0"/>
        <w:keepLines w:val="0"/>
        <w:numPr>
          <w:ilvl w:val="0"/>
          <w:numId w:val="21"/>
        </w:numPr>
        <w:ind w:hanging="720"/>
      </w:pPr>
      <w:r w:rsidRPr="009F2E8F">
        <w:t>Provide an estimate of the total annual cost burden to respondents or recordkeepers resulting from the collection of information. (Do not include the cost of any hour burden shown in Items 12 and 14).</w:t>
      </w:r>
    </w:p>
    <w:p w:rsidR="00257311" w:rsidP="000F54C3" w14:paraId="7B8B939D" w14:textId="27375EA5">
      <w:pPr>
        <w:pStyle w:val="Heading3"/>
        <w:keepNext w:val="0"/>
        <w:keepLines w:val="0"/>
        <w:numPr>
          <w:ilvl w:val="0"/>
          <w:numId w:val="22"/>
        </w:numPr>
        <w:ind w:left="1440"/>
      </w:pPr>
      <w:r>
        <w:t>The cost estimate should be split into two components</w:t>
      </w:r>
      <w:r w:rsidR="004359FB">
        <w:t>: (</w:t>
      </w:r>
      <w:r>
        <w:t xml:space="preserve">a) a total capital and </w:t>
      </w:r>
      <w:r>
        <w:t>start up</w:t>
      </w:r>
      <w:r>
        <w:t xml:space="preserve"> cost component (annualized over its expected useful life); and (b) a total operation and maintenance and purchase of service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t>time period</w:t>
      </w:r>
      <w: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57311" w:rsidP="000F54C3" w14:paraId="1C546DFB" w14:textId="7A6704BD">
      <w:pPr>
        <w:pStyle w:val="Heading3"/>
        <w:keepNext w:val="0"/>
        <w:keepLines w:val="0"/>
        <w:numPr>
          <w:ilvl w:val="0"/>
          <w:numId w:val="22"/>
        </w:numPr>
        <w:ind w:left="1440"/>
      </w:pPr>
      <w: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2E8F" w:rsidP="000F54C3" w14:paraId="35EDBD58" w14:textId="33DF592B">
      <w:pPr>
        <w:pStyle w:val="Heading3"/>
        <w:keepNext w:val="0"/>
        <w:keepLines w:val="0"/>
        <w:numPr>
          <w:ilvl w:val="0"/>
          <w:numId w:val="22"/>
        </w:numPr>
        <w:ind w:left="1440"/>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7311" w:rsidP="00257311" w14:paraId="4C4464C4" w14:textId="717AEECC">
      <w:r w:rsidRPr="00257311">
        <w:t xml:space="preserve">Respondents will not need to purchase any equipment or special software to respond to this information collection request. </w:t>
      </w:r>
      <w:r w:rsidR="00F3481E">
        <w:t>As</w:t>
      </w:r>
      <w:r w:rsidRPr="00257311" w:rsidR="00F3481E">
        <w:t xml:space="preserve"> </w:t>
      </w:r>
      <w:r w:rsidRPr="00257311">
        <w:t xml:space="preserve">these data collection requirements apply to state formula grant recipients, administrative resources are provided as part of the grant to offset staff costs associated with reporting and systems modifications. </w:t>
      </w:r>
      <w:r w:rsidR="00F3481E">
        <w:t>T</w:t>
      </w:r>
      <w:r w:rsidRPr="00257311">
        <w:t>here is no additional cost to respondents.</w:t>
      </w:r>
    </w:p>
    <w:p w:rsidR="00257311" w:rsidP="00257311" w14:paraId="220B518D" w14:textId="7DAF4ACE">
      <w:pPr>
        <w:pStyle w:val="Heading3"/>
        <w:numPr>
          <w:ilvl w:val="0"/>
          <w:numId w:val="21"/>
        </w:numPr>
        <w:ind w:hanging="720"/>
      </w:pPr>
      <w:r w:rsidRPr="00257311">
        <w:t>Provide estimates of the annualized cost to the Federal Government</w:t>
      </w:r>
      <w:r w:rsidRPr="00257311" w:rsidR="000173F9">
        <w:t xml:space="preserve">. </w:t>
      </w:r>
      <w:r w:rsidRPr="00257311">
        <w:t>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E2441D" w:rsidRPr="00EC3AB4" w14:paraId="5C7F2CA6" w14:textId="7941EA80">
      <w:r w:rsidRPr="00EC3AB4">
        <w:t xml:space="preserve">The cost to the federal government involves staff review and analysis of the information submitted by recipients. </w:t>
      </w:r>
      <w:bookmarkStart w:id="0" w:name="_Hlk124322162"/>
      <w:r w:rsidRPr="00EC3AB4" w:rsidR="00087CA6">
        <w:t>VETS</w:t>
      </w:r>
      <w:r w:rsidRPr="00EC3AB4">
        <w:t xml:space="preserve"> estimates that it takes </w:t>
      </w:r>
      <w:r w:rsidRPr="00EC3AB4" w:rsidR="00CE2063">
        <w:t>GS-13</w:t>
      </w:r>
      <w:r w:rsidRPr="00EC3AB4" w:rsidR="00CC5AEA">
        <w:t xml:space="preserve"> step 5</w:t>
      </w:r>
      <w:r w:rsidRPr="00EC3AB4" w:rsidR="00585C06">
        <w:t xml:space="preserve"> </w:t>
      </w:r>
      <w:r w:rsidRPr="00EC3AB4" w:rsidR="00300F84">
        <w:t>staff</w:t>
      </w:r>
      <w:r w:rsidRPr="00EC3AB4">
        <w:t xml:space="preserve"> </w:t>
      </w:r>
      <w:bookmarkEnd w:id="0"/>
      <w:r w:rsidRPr="00EC3AB4">
        <w:t>earning</w:t>
      </w:r>
      <w:r w:rsidRPr="00EC3AB4" w:rsidR="00585C06">
        <w:t xml:space="preserve"> </w:t>
      </w:r>
      <w:bookmarkStart w:id="1" w:name="_Hlk124322610"/>
      <w:r w:rsidRPr="000F54C3">
        <w:t>$</w:t>
      </w:r>
      <w:r w:rsidRPr="00EC3AB4" w:rsidR="00002EE0">
        <w:t>57.</w:t>
      </w:r>
      <w:r w:rsidRPr="00EC3AB4" w:rsidR="00CC5AEA">
        <w:t>23</w:t>
      </w:r>
      <w:r w:rsidRPr="00EC3AB4">
        <w:t xml:space="preserve"> per hour</w:t>
      </w:r>
      <w:r>
        <w:rPr>
          <w:rStyle w:val="FootnoteReference"/>
        </w:rPr>
        <w:footnoteReference w:id="6"/>
      </w:r>
      <w:r w:rsidRPr="00EC3AB4">
        <w:t xml:space="preserve"> </w:t>
      </w:r>
      <w:bookmarkEnd w:id="1"/>
      <w:r w:rsidRPr="00EC3AB4">
        <w:t xml:space="preserve">an average of </w:t>
      </w:r>
      <w:r w:rsidRPr="00EC3AB4" w:rsidR="00300F84">
        <w:t>one</w:t>
      </w:r>
      <w:r w:rsidRPr="00EC3AB4">
        <w:t xml:space="preserve"> hour per </w:t>
      </w:r>
      <w:r w:rsidRPr="00EC3AB4" w:rsidR="00585C06">
        <w:t>response</w:t>
      </w:r>
      <w:r w:rsidRPr="00EC3AB4">
        <w:t xml:space="preserve"> to review</w:t>
      </w:r>
      <w:r w:rsidRPr="00EC3AB4" w:rsidR="00CE2063">
        <w:t xml:space="preserve"> and process</w:t>
      </w:r>
      <w:r w:rsidRPr="00EC3AB4" w:rsidR="00BA19AF">
        <w:t xml:space="preserve"> </w:t>
      </w:r>
      <w:r w:rsidRPr="00EC3AB4" w:rsidR="009437FA">
        <w:t>each of the five forms (excluding the Managers Reports)</w:t>
      </w:r>
      <w:r w:rsidRPr="00EC3AB4">
        <w:t>.</w:t>
      </w:r>
      <w:r w:rsidRPr="00EC3AB4" w:rsidR="005B67F7">
        <w:t xml:space="preserve"> </w:t>
      </w:r>
      <w:r w:rsidRPr="00EC3AB4" w:rsidR="009437FA">
        <w:t xml:space="preserve">The recipients submitting 702 non-Managers Reports responses per year would thus produce an annual burden of 702 hours at a burden cost of </w:t>
      </w:r>
      <w:r w:rsidRPr="000F54C3" w:rsidR="009437FA">
        <w:t>$</w:t>
      </w:r>
      <w:r w:rsidRPr="00EC3AB4" w:rsidR="009437FA">
        <w:t>40,175 for the Federal Government</w:t>
      </w:r>
    </w:p>
    <w:p w:rsidR="00874350" w14:paraId="67ADE3E9" w14:textId="3CB59DD5">
      <w:r w:rsidRPr="00EC3AB4">
        <w:t>VETS estimates that it takes those staff</w:t>
      </w:r>
      <w:r w:rsidRPr="00EC3AB4" w:rsidR="00321F27">
        <w:t xml:space="preserve"> one half-hour per Managers Report to review. </w:t>
      </w:r>
      <w:r w:rsidRPr="00EC3AB4" w:rsidR="00DE0257">
        <w:t xml:space="preserve">The </w:t>
      </w:r>
      <w:r w:rsidRPr="00EC3AB4" w:rsidR="00585AF5">
        <w:t xml:space="preserve">recipients submitting </w:t>
      </w:r>
      <w:r w:rsidRPr="00EC3AB4" w:rsidR="009437FA">
        <w:t>2,376 Managers Reports</w:t>
      </w:r>
      <w:r w:rsidRPr="00EC3AB4" w:rsidR="00880058">
        <w:t xml:space="preserve"> per year </w:t>
      </w:r>
      <w:r w:rsidRPr="00EC3AB4" w:rsidR="00DE0257">
        <w:t>would produce a</w:t>
      </w:r>
      <w:r w:rsidRPr="00EC3AB4" w:rsidR="00300F84">
        <w:t>n</w:t>
      </w:r>
      <w:r w:rsidRPr="00EC3AB4" w:rsidR="00DE0257">
        <w:t xml:space="preserve"> annual burden of </w:t>
      </w:r>
      <w:r w:rsidRPr="00EC3AB4">
        <w:t>1,188</w:t>
      </w:r>
      <w:r w:rsidRPr="00EC3AB4" w:rsidR="00300F84">
        <w:t xml:space="preserve"> </w:t>
      </w:r>
      <w:r w:rsidRPr="00EC3AB4" w:rsidR="00DE0257">
        <w:t xml:space="preserve">hours at a burden cost of </w:t>
      </w:r>
      <w:r w:rsidRPr="000F54C3" w:rsidR="00DE0257">
        <w:t>$</w:t>
      </w:r>
      <w:r w:rsidRPr="00EC3AB4">
        <w:t>67,989</w:t>
      </w:r>
      <w:r w:rsidRPr="00EC3AB4" w:rsidR="00DE0257">
        <w:t xml:space="preserve"> for the Federal Government.</w:t>
      </w:r>
    </w:p>
    <w:p w:rsidR="00321F27" w:rsidP="000F54C3" w14:paraId="49D6BDF5" w14:textId="6C732B0C">
      <w:r>
        <w:t xml:space="preserve">Therefore, </w:t>
      </w:r>
      <w:r w:rsidRPr="000F54C3">
        <w:rPr>
          <w:b/>
          <w:bCs/>
        </w:rPr>
        <w:t>the total annual federal review cost is $108,16</w:t>
      </w:r>
      <w:r w:rsidRPr="000F54C3" w:rsidR="00EC3AB4">
        <w:rPr>
          <w:b/>
          <w:bCs/>
        </w:rPr>
        <w:t>4</w:t>
      </w:r>
      <w:r w:rsidR="00C3441C">
        <w:t xml:space="preserve"> ($40,175 + $67,</w:t>
      </w:r>
      <w:r w:rsidR="00EC3AB4">
        <w:t>989).</w:t>
      </w:r>
    </w:p>
    <w:p w:rsidR="00257311" w:rsidP="00257311" w14:paraId="45D5F345" w14:textId="53A24A65">
      <w:pPr>
        <w:pStyle w:val="Heading3"/>
        <w:numPr>
          <w:ilvl w:val="0"/>
          <w:numId w:val="21"/>
        </w:numPr>
        <w:ind w:hanging="720"/>
      </w:pPr>
      <w:r w:rsidRPr="00257311">
        <w:t>Explain the reasons for any program changes or adjustments.</w:t>
      </w:r>
    </w:p>
    <w:p w:rsidR="00257311" w:rsidP="00257311" w14:paraId="70DBBC2D" w14:textId="05860C4D">
      <w:r>
        <w:t xml:space="preserve">The total burden hours for this </w:t>
      </w:r>
      <w:r w:rsidR="00566342">
        <w:t>ICR</w:t>
      </w:r>
      <w:r>
        <w:t xml:space="preserve"> </w:t>
      </w:r>
      <w:r w:rsidRPr="00BB38EE" w:rsidR="00361CEE">
        <w:t>increased from 6,</w:t>
      </w:r>
      <w:r w:rsidR="00162D9E">
        <w:t>06</w:t>
      </w:r>
      <w:r w:rsidR="00607EDA">
        <w:t>2</w:t>
      </w:r>
      <w:r w:rsidRPr="00BB38EE" w:rsidR="00361CEE">
        <w:t xml:space="preserve"> to 6,426</w:t>
      </w:r>
      <w:r>
        <w:t xml:space="preserve">. This </w:t>
      </w:r>
      <w:r w:rsidR="007852DC">
        <w:t>increase</w:t>
      </w:r>
      <w:r>
        <w:t xml:space="preserve"> is primarily due to </w:t>
      </w:r>
      <w:r w:rsidR="007852DC">
        <w:t xml:space="preserve">increasing the </w:t>
      </w:r>
      <w:r w:rsidR="0042389E">
        <w:t xml:space="preserve">agency estimated </w:t>
      </w:r>
      <w:r w:rsidR="0031377F">
        <w:t xml:space="preserve">response time </w:t>
      </w:r>
      <w:r w:rsidR="007852DC">
        <w:t>on three of the collections</w:t>
      </w:r>
      <w:r w:rsidRPr="0042389E" w:rsidR="0042389E">
        <w:t xml:space="preserve"> </w:t>
      </w:r>
      <w:r w:rsidR="0042389E">
        <w:t xml:space="preserve">which in turn </w:t>
      </w:r>
      <w:r w:rsidR="00B238A2">
        <w:t xml:space="preserve">slightly </w:t>
      </w:r>
      <w:r w:rsidR="0042389E">
        <w:t>increased estimated burden hours</w:t>
      </w:r>
      <w:r>
        <w:t>.</w:t>
      </w:r>
    </w:p>
    <w:p w:rsidR="00257311" w:rsidRPr="000C4468" w:rsidP="00257311" w14:paraId="1E783E41" w14:textId="21E36EA9">
      <w:r>
        <w:t>VETS also has added a VETS-404 IAR form to replace a formerly stand-alone requirement that was included in the VETS-402 TPN</w:t>
      </w:r>
      <w:r>
        <w:t>.</w:t>
      </w:r>
    </w:p>
    <w:p w:rsidR="00A214B4" w:rsidP="000F54C3" w14:paraId="5B12F331" w14:textId="25980F71">
      <w:pPr>
        <w:pStyle w:val="Heading3"/>
        <w:keepNext w:val="0"/>
        <w:keepLines w:val="0"/>
        <w:numPr>
          <w:ilvl w:val="0"/>
          <w:numId w:val="21"/>
        </w:numPr>
        <w:ind w:hanging="720"/>
      </w:pPr>
      <w:r w:rsidRPr="00A214B4">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A214B4" w:rsidP="00A214B4" w14:paraId="4A466D40" w14:textId="4AB53B4E">
      <w:r w:rsidRPr="00A214B4">
        <w:t>The Department does not publish the results of this information collection.</w:t>
      </w:r>
    </w:p>
    <w:p w:rsidR="00A214B4" w:rsidP="00A214B4" w14:paraId="25B0EE03" w14:textId="4C6D0E47">
      <w:pPr>
        <w:pStyle w:val="Heading3"/>
        <w:numPr>
          <w:ilvl w:val="0"/>
          <w:numId w:val="21"/>
        </w:numPr>
        <w:ind w:hanging="720"/>
      </w:pPr>
      <w:r w:rsidRPr="00A214B4">
        <w:t>If seeking approval to not display the expiration date for OMB approval of the information collection, explain the reasons that display would be inappropriate.</w:t>
      </w:r>
    </w:p>
    <w:p w:rsidR="00A214B4" w:rsidP="00A214B4" w14:paraId="0EC98FD0" w14:textId="7A3E5F7D">
      <w:r w:rsidRPr="00A214B4">
        <w:t>The Department does not seek an exception to the requirement to display the expiration date on this information collection.</w:t>
      </w:r>
    </w:p>
    <w:p w:rsidR="00A214B4" w:rsidP="00A214B4" w14:paraId="45E22E21" w14:textId="1313077D">
      <w:pPr>
        <w:pStyle w:val="Heading3"/>
        <w:numPr>
          <w:ilvl w:val="0"/>
          <w:numId w:val="21"/>
        </w:numPr>
        <w:ind w:hanging="720"/>
      </w:pPr>
      <w:r>
        <w:t>Explain each exception to the certification statement.</w:t>
      </w:r>
    </w:p>
    <w:p w:rsidR="00A214B4" w:rsidP="00A214B4" w14:paraId="5C131396" w14:textId="55952E40">
      <w:r w:rsidRPr="00A214B4">
        <w:t>The Department is not requesting an exception to any of the certification requirements for this information collection. This request complies with 5 C.F.R. § 1320.9.</w:t>
      </w:r>
    </w:p>
    <w:p w:rsidR="00A214B4" w:rsidP="00A214B4" w14:paraId="590DDC13" w14:textId="4D6B9010">
      <w:pPr>
        <w:pStyle w:val="Heading2"/>
        <w:numPr>
          <w:ilvl w:val="0"/>
          <w:numId w:val="11"/>
        </w:numPr>
        <w:ind w:hanging="720"/>
      </w:pPr>
      <w:r>
        <w:t>Collections of Information Employing Statistical Methods</w:t>
      </w:r>
    </w:p>
    <w:p w:rsidR="00A214B4" w:rsidRPr="00A214B4" w:rsidP="00A214B4" w14:paraId="32828BAE" w14:textId="6CC3194B">
      <w:r w:rsidRPr="00A214B4">
        <w:t>There are no statistical methods in this collection.</w:t>
      </w:r>
    </w:p>
    <w:sectPr w:rsidSect="00D96027">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AA8" w:rsidP="00C21152" w14:paraId="14BFD3D2"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B6AA8" w14:paraId="1E2DDA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34371750"/>
      <w:docPartObj>
        <w:docPartGallery w:val="Page Numbers (Bottom of Page)"/>
        <w:docPartUnique/>
      </w:docPartObj>
    </w:sdtPr>
    <w:sdtEndPr>
      <w:rPr>
        <w:rStyle w:val="PageNumber"/>
      </w:rPr>
    </w:sdtEndPr>
    <w:sdtContent>
      <w:p w:rsidR="00BB6AA8" w:rsidP="00C21152" w14:paraId="4EFA5781"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B6AA8" w14:paraId="74FBBE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5861" w:rsidP="00BB6AA8" w14:paraId="4BEEE3B3" w14:textId="77777777">
      <w:pPr>
        <w:spacing w:line="240" w:lineRule="auto"/>
      </w:pPr>
      <w:r>
        <w:separator/>
      </w:r>
    </w:p>
  </w:footnote>
  <w:footnote w:type="continuationSeparator" w:id="1">
    <w:p w:rsidR="00245861" w:rsidP="00BB6AA8" w14:paraId="334FC3F4" w14:textId="77777777">
      <w:pPr>
        <w:spacing w:line="240" w:lineRule="auto"/>
      </w:pPr>
      <w:r>
        <w:continuationSeparator/>
      </w:r>
    </w:p>
  </w:footnote>
  <w:footnote w:type="continuationNotice" w:id="2">
    <w:p w:rsidR="00245861" w14:paraId="7A2C8B73" w14:textId="77777777">
      <w:pPr>
        <w:spacing w:line="240" w:lineRule="auto"/>
      </w:pPr>
    </w:p>
  </w:footnote>
  <w:footnote w:id="3">
    <w:p w:rsidR="294CA6F3" w:rsidP="294CA6F3" w14:paraId="3DBA20C0" w14:textId="49098B65">
      <w:pPr>
        <w:pStyle w:val="FootnoteText"/>
        <w:rPr>
          <w:rFonts w:eastAsia="Calibri"/>
        </w:rPr>
      </w:pPr>
      <w:r w:rsidRPr="294CA6F3">
        <w:rPr>
          <w:rStyle w:val="FootnoteReference"/>
          <w:rFonts w:eastAsia="Calibri"/>
        </w:rPr>
        <w:footnoteRef/>
      </w:r>
      <w:r w:rsidRPr="294CA6F3">
        <w:rPr>
          <w:rFonts w:eastAsia="Calibri"/>
        </w:rPr>
        <w:t xml:space="preserve"> </w:t>
      </w:r>
      <w:r w:rsidRPr="00FD3D9E" w:rsidR="00FD3D9E">
        <w:t>Hourly rate is based on the Department’s Bureau of Labor Statistics’ quarterly economic analysis series titled “Employer Costs for Employee Compensation.” The $</w:t>
      </w:r>
      <w:r w:rsidR="00CB3DBC">
        <w:t>61.37</w:t>
      </w:r>
      <w:r w:rsidRPr="00FD3D9E" w:rsidR="00FD3D9E">
        <w:t xml:space="preserve"> figure was derived from Table 3 titled, “Employer costs per hour worked for employee compensation and costs as a percent of total compensation: State and local government workers, by major occupational and industry group,” dated </w:t>
      </w:r>
      <w:r w:rsidR="00CB3DBC">
        <w:t>June 2024</w:t>
      </w:r>
      <w:r w:rsidRPr="00FD3D9E" w:rsidR="00FD3D9E">
        <w:t>.</w:t>
      </w:r>
    </w:p>
  </w:footnote>
  <w:footnote w:id="4">
    <w:p w:rsidR="294CA6F3" w:rsidP="294CA6F3" w14:paraId="55C0FCA5" w14:textId="06732B67">
      <w:pPr>
        <w:pStyle w:val="FootnoteText"/>
        <w:rPr>
          <w:rFonts w:eastAsia="Calibri"/>
        </w:rPr>
      </w:pPr>
      <w:r w:rsidRPr="294CA6F3">
        <w:rPr>
          <w:rStyle w:val="FootnoteReference"/>
          <w:rFonts w:eastAsia="Calibri"/>
        </w:rPr>
        <w:footnoteRef/>
      </w:r>
      <w:r w:rsidRPr="294CA6F3">
        <w:rPr>
          <w:rFonts w:eastAsia="Calibri"/>
        </w:rPr>
        <w:t xml:space="preserve"> </w:t>
      </w:r>
      <w:r w:rsidR="17F80FB9">
        <w:t>The VETS-402 EDR is a workbook updated on a quarterly basis until all funds are expended or the period of performance has ended. On average, grantees need six quarters to expend each year’s funding.</w:t>
      </w:r>
    </w:p>
  </w:footnote>
  <w:footnote w:id="5">
    <w:p w:rsidR="294CA6F3" w:rsidP="294CA6F3" w14:paraId="33B92E3E" w14:textId="5AA8A36D">
      <w:pPr>
        <w:pStyle w:val="FootnoteText"/>
        <w:rPr>
          <w:rFonts w:eastAsia="Calibri"/>
        </w:rPr>
      </w:pPr>
      <w:r w:rsidRPr="294CA6F3">
        <w:rPr>
          <w:rStyle w:val="FootnoteReference"/>
          <w:rFonts w:eastAsia="Calibri"/>
        </w:rPr>
        <w:footnoteRef/>
      </w:r>
      <w:r w:rsidRPr="294CA6F3">
        <w:rPr>
          <w:rFonts w:eastAsia="Calibri"/>
        </w:rPr>
        <w:t xml:space="preserve"> </w:t>
      </w:r>
      <w:r w:rsidR="17F80FB9">
        <w:t>Manager</w:t>
      </w:r>
      <w:r w:rsidR="00EF3585">
        <w:t>’</w:t>
      </w:r>
      <w:r w:rsidR="17F80FB9">
        <w:t xml:space="preserve">s Reports are submitted by </w:t>
      </w:r>
      <w:r w:rsidR="262051E2">
        <w:t>many</w:t>
      </w:r>
      <w:r w:rsidR="17F80FB9">
        <w:t xml:space="preserve"> respondents and require a time commitment that is determined largely by grantees’ discretion. Values on this row reflect actual estimates rather than VETS requirements.</w:t>
      </w:r>
    </w:p>
  </w:footnote>
  <w:footnote w:id="6">
    <w:p w:rsidR="00751B50" w14:paraId="148D4C94" w14:textId="1B7E4BBA">
      <w:pPr>
        <w:pStyle w:val="FootnoteText"/>
      </w:pPr>
      <w:r>
        <w:rPr>
          <w:rStyle w:val="FootnoteReference"/>
        </w:rPr>
        <w:footnoteRef/>
      </w:r>
      <w:r w:rsidR="004B286A">
        <w:t xml:space="preserve"> Source: </w:t>
      </w:r>
      <w:hyperlink r:id="rId1" w:history="1">
        <w:r w:rsidRPr="00E73FBF" w:rsidR="00E73FBF">
          <w:rPr>
            <w:rStyle w:val="Hyperlink"/>
          </w:rPr>
          <w:t>Pay &amp; Leave : Salaries &amp; Wages - OPM.gov</w:t>
        </w:r>
      </w:hyperlink>
      <w:r w:rsidR="00E73FBF">
        <w:t xml:space="preserve">. Rest of US salary </w:t>
      </w:r>
      <w:r w:rsidR="00833575">
        <w:t xml:space="preserve">is </w:t>
      </w:r>
      <w:r w:rsidR="00E73FBF">
        <w:t>used because</w:t>
      </w:r>
      <w:r w:rsidR="007D1F70">
        <w:t xml:space="preserve"> the GS-13 staff conducting this work </w:t>
      </w:r>
      <w:r w:rsidR="007D1F70">
        <w:t>are located in</w:t>
      </w:r>
      <w:r w:rsidR="007D1F70">
        <w:t xml:space="preserve"> every state</w:t>
      </w:r>
      <w:r w:rsidR="003651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713A" w:rsidP="0066713A" w14:paraId="4602515F" w14:textId="77777777">
    <w:pPr>
      <w:pStyle w:val="Header"/>
      <w:spacing w:after="0"/>
    </w:pPr>
    <w:r>
      <w:t>Jobs for Veterans State Grants Reports</w:t>
    </w:r>
  </w:p>
  <w:p w:rsidR="0066713A" w:rsidRPr="00CC663B" w:rsidP="0066713A" w14:paraId="61F88A18" w14:textId="7E2F96C6">
    <w:pPr>
      <w:pStyle w:val="Header"/>
      <w:spacing w:after="0"/>
    </w:pPr>
    <w:r w:rsidRPr="00CC663B">
      <w:t>OMB Control Number</w:t>
    </w:r>
    <w:r w:rsidRPr="002D1673" w:rsidR="00853CC8">
      <w:t>:</w:t>
    </w:r>
    <w:r w:rsidRPr="00CC663B">
      <w:t xml:space="preserve"> </w:t>
    </w:r>
    <w:r w:rsidRPr="000F54C3">
      <w:t>1293-0009</w:t>
    </w:r>
  </w:p>
  <w:p w:rsidR="0066713A" w:rsidRPr="00CC663B" w:rsidP="0066713A" w14:paraId="2099C2B5" w14:textId="51FD5D00">
    <w:pPr>
      <w:pStyle w:val="Header"/>
      <w:tabs>
        <w:tab w:val="clear" w:pos="4680"/>
        <w:tab w:val="clear" w:pos="9360"/>
      </w:tabs>
      <w:spacing w:after="480"/>
    </w:pPr>
    <w:r w:rsidRPr="00CC663B">
      <w:t xml:space="preserve">OMB Expiration Date: </w:t>
    </w:r>
    <w:r w:rsidRPr="00AE1D5F" w:rsidR="00853CC8">
      <w:rPr>
        <w:rFonts w:eastAsiaTheme="minorEastAsia"/>
        <w:szCs w:val="20"/>
      </w:rPr>
      <w:t>6/30/25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4D9" w:rsidP="0053358B" w14:paraId="5B9CA979" w14:textId="77777777">
    <w:pPr>
      <w:pStyle w:val="Header"/>
      <w:spacing w:after="0"/>
    </w:pPr>
    <w:r>
      <w:t>Jobs for Veterans State Grants Reports</w:t>
    </w:r>
  </w:p>
  <w:p w:rsidR="007D64D9" w:rsidP="0053358B" w14:paraId="241E68F7" w14:textId="77777777">
    <w:pPr>
      <w:pStyle w:val="Header"/>
      <w:spacing w:after="0"/>
    </w:pPr>
    <w:r>
      <w:t xml:space="preserve">OMB Control Number </w:t>
    </w:r>
    <w:r w:rsidRPr="5AC4E9C8">
      <w:rPr>
        <w:color w:val="7D0000"/>
      </w:rPr>
      <w:t>1293-0009</w:t>
    </w:r>
  </w:p>
  <w:p w:rsidR="00053444" w:rsidP="0053358B" w14:paraId="1AECEFF9" w14:textId="4EB6B8F0">
    <w:pPr>
      <w:pStyle w:val="Header"/>
      <w:tabs>
        <w:tab w:val="clear" w:pos="4680"/>
        <w:tab w:val="clear" w:pos="9360"/>
      </w:tabs>
      <w:spacing w:after="480"/>
    </w:pPr>
    <w:r>
      <w:t xml:space="preserve">OMB Expiration Date: </w:t>
    </w:r>
    <w:r w:rsidR="00C13CB7">
      <w:rPr>
        <w:color w:val="7D0000"/>
      </w:rPr>
      <w:t>mm/dd/</w:t>
    </w:r>
    <w:r w:rsidR="00C13CB7">
      <w:rPr>
        <w:color w:val="7D0000"/>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1CAE89E"/>
    <w:lvl w:ilvl="0">
      <w:start w:val="1"/>
      <w:numFmt w:val="decimal"/>
      <w:lvlText w:val="%1."/>
      <w:lvlJc w:val="left"/>
      <w:pPr>
        <w:tabs>
          <w:tab w:val="num" w:pos="1800"/>
        </w:tabs>
        <w:ind w:left="1800" w:hanging="360"/>
      </w:pPr>
    </w:lvl>
  </w:abstractNum>
  <w:abstractNum w:abstractNumId="1">
    <w:nsid w:val="FFFFFF7D"/>
    <w:multiLevelType w:val="singleLevel"/>
    <w:tmpl w:val="AA5AAC6E"/>
    <w:lvl w:ilvl="0">
      <w:start w:val="1"/>
      <w:numFmt w:val="decimal"/>
      <w:lvlText w:val="%1."/>
      <w:lvlJc w:val="left"/>
      <w:pPr>
        <w:tabs>
          <w:tab w:val="num" w:pos="1440"/>
        </w:tabs>
        <w:ind w:left="1440" w:hanging="360"/>
      </w:pPr>
    </w:lvl>
  </w:abstractNum>
  <w:abstractNum w:abstractNumId="2">
    <w:nsid w:val="FFFFFF7E"/>
    <w:multiLevelType w:val="singleLevel"/>
    <w:tmpl w:val="A134DAD0"/>
    <w:lvl w:ilvl="0">
      <w:start w:val="1"/>
      <w:numFmt w:val="decimal"/>
      <w:lvlText w:val="%1."/>
      <w:lvlJc w:val="left"/>
      <w:pPr>
        <w:tabs>
          <w:tab w:val="num" w:pos="1080"/>
        </w:tabs>
        <w:ind w:left="1080" w:hanging="360"/>
      </w:pPr>
    </w:lvl>
  </w:abstractNum>
  <w:abstractNum w:abstractNumId="3">
    <w:nsid w:val="FFFFFF7F"/>
    <w:multiLevelType w:val="singleLevel"/>
    <w:tmpl w:val="016E2964"/>
    <w:lvl w:ilvl="0">
      <w:start w:val="1"/>
      <w:numFmt w:val="decimal"/>
      <w:lvlText w:val="%1."/>
      <w:lvlJc w:val="left"/>
      <w:pPr>
        <w:tabs>
          <w:tab w:val="num" w:pos="720"/>
        </w:tabs>
        <w:ind w:left="720" w:hanging="360"/>
      </w:pPr>
    </w:lvl>
  </w:abstractNum>
  <w:abstractNum w:abstractNumId="4">
    <w:nsid w:val="FFFFFF80"/>
    <w:multiLevelType w:val="singleLevel"/>
    <w:tmpl w:val="AE2EAB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C2E3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6A69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AC2CE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086217A"/>
    <w:lvl w:ilvl="0">
      <w:start w:val="1"/>
      <w:numFmt w:val="decimal"/>
      <w:lvlText w:val="%1."/>
      <w:lvlJc w:val="left"/>
      <w:pPr>
        <w:tabs>
          <w:tab w:val="num" w:pos="360"/>
        </w:tabs>
        <w:ind w:left="360" w:hanging="360"/>
      </w:pPr>
    </w:lvl>
  </w:abstractNum>
  <w:abstractNum w:abstractNumId="9">
    <w:nsid w:val="FFFFFF89"/>
    <w:multiLevelType w:val="singleLevel"/>
    <w:tmpl w:val="DC3CA508"/>
    <w:lvl w:ilvl="0">
      <w:start w:val="1"/>
      <w:numFmt w:val="bullet"/>
      <w:lvlText w:val=""/>
      <w:lvlJc w:val="left"/>
      <w:pPr>
        <w:tabs>
          <w:tab w:val="num" w:pos="360"/>
        </w:tabs>
        <w:ind w:left="360" w:hanging="360"/>
      </w:pPr>
      <w:rPr>
        <w:rFonts w:ascii="Symbol" w:hAnsi="Symbol" w:hint="default"/>
      </w:rPr>
    </w:lvl>
  </w:abstractNum>
  <w:abstractNum w:abstractNumId="10">
    <w:nsid w:val="06C27A5D"/>
    <w:multiLevelType w:val="hybridMultilevel"/>
    <w:tmpl w:val="20B64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996A1B"/>
    <w:multiLevelType w:val="hybridMultilevel"/>
    <w:tmpl w:val="A04C1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713F6F"/>
    <w:multiLevelType w:val="hybridMultilevel"/>
    <w:tmpl w:val="9CFE4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7D3D3E"/>
    <w:multiLevelType w:val="hybridMultilevel"/>
    <w:tmpl w:val="914232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925F98"/>
    <w:multiLevelType w:val="hybridMultilevel"/>
    <w:tmpl w:val="727A56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672728"/>
    <w:multiLevelType w:val="hybridMultilevel"/>
    <w:tmpl w:val="F8BA99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BD0777"/>
    <w:multiLevelType w:val="hybridMultilevel"/>
    <w:tmpl w:val="2610B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5F44C2"/>
    <w:multiLevelType w:val="hybridMultilevel"/>
    <w:tmpl w:val="293E89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34B2D53"/>
    <w:multiLevelType w:val="hybridMultilevel"/>
    <w:tmpl w:val="B3A0AC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EE1D77"/>
    <w:multiLevelType w:val="hybridMultilevel"/>
    <w:tmpl w:val="7CEA9C62"/>
    <w:lvl w:ilvl="0">
      <w:start w:val="1"/>
      <w:numFmt w:val="upp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694552"/>
    <w:multiLevelType w:val="hybridMultilevel"/>
    <w:tmpl w:val="11B8FC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6A783B"/>
    <w:multiLevelType w:val="hybridMultilevel"/>
    <w:tmpl w:val="6CA43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ED1B46"/>
    <w:multiLevelType w:val="hybridMultilevel"/>
    <w:tmpl w:val="12F6E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C051DA"/>
    <w:multiLevelType w:val="hybridMultilevel"/>
    <w:tmpl w:val="C4CE9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4459447">
    <w:abstractNumId w:val="0"/>
  </w:num>
  <w:num w:numId="2" w16cid:durableId="86661559">
    <w:abstractNumId w:val="1"/>
  </w:num>
  <w:num w:numId="3" w16cid:durableId="1806466251">
    <w:abstractNumId w:val="2"/>
  </w:num>
  <w:num w:numId="4" w16cid:durableId="29189862">
    <w:abstractNumId w:val="3"/>
  </w:num>
  <w:num w:numId="5" w16cid:durableId="1019812176">
    <w:abstractNumId w:val="8"/>
  </w:num>
  <w:num w:numId="6" w16cid:durableId="1700276871">
    <w:abstractNumId w:val="4"/>
  </w:num>
  <w:num w:numId="7" w16cid:durableId="530923796">
    <w:abstractNumId w:val="5"/>
  </w:num>
  <w:num w:numId="8" w16cid:durableId="672805784">
    <w:abstractNumId w:val="6"/>
  </w:num>
  <w:num w:numId="9" w16cid:durableId="1705868168">
    <w:abstractNumId w:val="7"/>
  </w:num>
  <w:num w:numId="10" w16cid:durableId="673336880">
    <w:abstractNumId w:val="9"/>
  </w:num>
  <w:num w:numId="11" w16cid:durableId="953443300">
    <w:abstractNumId w:val="15"/>
  </w:num>
  <w:num w:numId="12" w16cid:durableId="430518188">
    <w:abstractNumId w:val="18"/>
  </w:num>
  <w:num w:numId="13" w16cid:durableId="1634479142">
    <w:abstractNumId w:val="12"/>
  </w:num>
  <w:num w:numId="14" w16cid:durableId="1073044719">
    <w:abstractNumId w:val="19"/>
  </w:num>
  <w:num w:numId="15" w16cid:durableId="1094789078">
    <w:abstractNumId w:val="11"/>
  </w:num>
  <w:num w:numId="16" w16cid:durableId="659503385">
    <w:abstractNumId w:val="14"/>
  </w:num>
  <w:num w:numId="17" w16cid:durableId="1186796783">
    <w:abstractNumId w:val="21"/>
  </w:num>
  <w:num w:numId="18" w16cid:durableId="763107936">
    <w:abstractNumId w:val="20"/>
  </w:num>
  <w:num w:numId="19" w16cid:durableId="231887686">
    <w:abstractNumId w:val="22"/>
  </w:num>
  <w:num w:numId="20" w16cid:durableId="360598128">
    <w:abstractNumId w:val="16"/>
  </w:num>
  <w:num w:numId="21" w16cid:durableId="1842770963">
    <w:abstractNumId w:val="13"/>
  </w:num>
  <w:num w:numId="22" w16cid:durableId="751394628">
    <w:abstractNumId w:val="10"/>
  </w:num>
  <w:num w:numId="23" w16cid:durableId="2066175084">
    <w:abstractNumId w:val="23"/>
  </w:num>
  <w:num w:numId="24" w16cid:durableId="14025601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DC"/>
    <w:rsid w:val="00002EE0"/>
    <w:rsid w:val="000034B2"/>
    <w:rsid w:val="0000441D"/>
    <w:rsid w:val="00004655"/>
    <w:rsid w:val="00005996"/>
    <w:rsid w:val="00010FF6"/>
    <w:rsid w:val="000173F9"/>
    <w:rsid w:val="0001743E"/>
    <w:rsid w:val="000224AC"/>
    <w:rsid w:val="00045AB7"/>
    <w:rsid w:val="00051561"/>
    <w:rsid w:val="00053444"/>
    <w:rsid w:val="0005386F"/>
    <w:rsid w:val="0005456F"/>
    <w:rsid w:val="00054730"/>
    <w:rsid w:val="00055E7F"/>
    <w:rsid w:val="00057527"/>
    <w:rsid w:val="00062567"/>
    <w:rsid w:val="00066A5D"/>
    <w:rsid w:val="0007056F"/>
    <w:rsid w:val="00072986"/>
    <w:rsid w:val="00072E49"/>
    <w:rsid w:val="00082487"/>
    <w:rsid w:val="00084CBE"/>
    <w:rsid w:val="00086C25"/>
    <w:rsid w:val="00087CA6"/>
    <w:rsid w:val="00090258"/>
    <w:rsid w:val="000910FE"/>
    <w:rsid w:val="00092795"/>
    <w:rsid w:val="000935B4"/>
    <w:rsid w:val="000A72E5"/>
    <w:rsid w:val="000B1332"/>
    <w:rsid w:val="000B2724"/>
    <w:rsid w:val="000C081A"/>
    <w:rsid w:val="000C11C8"/>
    <w:rsid w:val="000C17AE"/>
    <w:rsid w:val="000C2C67"/>
    <w:rsid w:val="000C3878"/>
    <w:rsid w:val="000C4468"/>
    <w:rsid w:val="000D0CF4"/>
    <w:rsid w:val="000D15C1"/>
    <w:rsid w:val="000D2F18"/>
    <w:rsid w:val="000D38F6"/>
    <w:rsid w:val="000D5B33"/>
    <w:rsid w:val="000E1FEE"/>
    <w:rsid w:val="000E2EAD"/>
    <w:rsid w:val="000F5020"/>
    <w:rsid w:val="000F54C3"/>
    <w:rsid w:val="000F760C"/>
    <w:rsid w:val="001020D4"/>
    <w:rsid w:val="00102A5E"/>
    <w:rsid w:val="00107CEE"/>
    <w:rsid w:val="00111FBF"/>
    <w:rsid w:val="00114B24"/>
    <w:rsid w:val="001221FF"/>
    <w:rsid w:val="001240F5"/>
    <w:rsid w:val="00132509"/>
    <w:rsid w:val="001334E2"/>
    <w:rsid w:val="001361DC"/>
    <w:rsid w:val="00136205"/>
    <w:rsid w:val="00140662"/>
    <w:rsid w:val="0014264F"/>
    <w:rsid w:val="00153619"/>
    <w:rsid w:val="00156BE6"/>
    <w:rsid w:val="00162D9E"/>
    <w:rsid w:val="0018208A"/>
    <w:rsid w:val="0018582F"/>
    <w:rsid w:val="00186655"/>
    <w:rsid w:val="00191DB6"/>
    <w:rsid w:val="001975A7"/>
    <w:rsid w:val="001A0917"/>
    <w:rsid w:val="001A3143"/>
    <w:rsid w:val="001B28F4"/>
    <w:rsid w:val="001B6E2C"/>
    <w:rsid w:val="001C38C0"/>
    <w:rsid w:val="001D0552"/>
    <w:rsid w:val="001D3B0D"/>
    <w:rsid w:val="001D48FB"/>
    <w:rsid w:val="001D7622"/>
    <w:rsid w:val="001E4B9A"/>
    <w:rsid w:val="001E69A3"/>
    <w:rsid w:val="001E6E62"/>
    <w:rsid w:val="001F0310"/>
    <w:rsid w:val="00200B2B"/>
    <w:rsid w:val="0020125A"/>
    <w:rsid w:val="00204B08"/>
    <w:rsid w:val="002055A0"/>
    <w:rsid w:val="0020575E"/>
    <w:rsid w:val="00205B08"/>
    <w:rsid w:val="00205B0A"/>
    <w:rsid w:val="00207F49"/>
    <w:rsid w:val="0022305C"/>
    <w:rsid w:val="00227DCF"/>
    <w:rsid w:val="00232E6F"/>
    <w:rsid w:val="002403B2"/>
    <w:rsid w:val="00245861"/>
    <w:rsid w:val="00247B79"/>
    <w:rsid w:val="00251A65"/>
    <w:rsid w:val="00253E85"/>
    <w:rsid w:val="00254F50"/>
    <w:rsid w:val="002553EB"/>
    <w:rsid w:val="00257311"/>
    <w:rsid w:val="00265455"/>
    <w:rsid w:val="00266752"/>
    <w:rsid w:val="00271D1C"/>
    <w:rsid w:val="00274B76"/>
    <w:rsid w:val="0028683D"/>
    <w:rsid w:val="00287CE5"/>
    <w:rsid w:val="00290666"/>
    <w:rsid w:val="00291D97"/>
    <w:rsid w:val="00293414"/>
    <w:rsid w:val="00295391"/>
    <w:rsid w:val="002A01D0"/>
    <w:rsid w:val="002A2319"/>
    <w:rsid w:val="002A4231"/>
    <w:rsid w:val="002A65DC"/>
    <w:rsid w:val="002B4646"/>
    <w:rsid w:val="002C260D"/>
    <w:rsid w:val="002C30ED"/>
    <w:rsid w:val="002D1673"/>
    <w:rsid w:val="002D27BA"/>
    <w:rsid w:val="002D3151"/>
    <w:rsid w:val="002D3FE1"/>
    <w:rsid w:val="002D57FA"/>
    <w:rsid w:val="002D68B9"/>
    <w:rsid w:val="00300F84"/>
    <w:rsid w:val="0031344C"/>
    <w:rsid w:val="0031377F"/>
    <w:rsid w:val="003146BF"/>
    <w:rsid w:val="00317D0E"/>
    <w:rsid w:val="0032061F"/>
    <w:rsid w:val="00320FCF"/>
    <w:rsid w:val="00321F27"/>
    <w:rsid w:val="00326E72"/>
    <w:rsid w:val="00332C8A"/>
    <w:rsid w:val="0033728C"/>
    <w:rsid w:val="00340647"/>
    <w:rsid w:val="00343784"/>
    <w:rsid w:val="00351DB0"/>
    <w:rsid w:val="003617CF"/>
    <w:rsid w:val="00361CEE"/>
    <w:rsid w:val="00365070"/>
    <w:rsid w:val="00365134"/>
    <w:rsid w:val="0036641D"/>
    <w:rsid w:val="00370C4D"/>
    <w:rsid w:val="00370E94"/>
    <w:rsid w:val="003743C8"/>
    <w:rsid w:val="00377B47"/>
    <w:rsid w:val="00382FAB"/>
    <w:rsid w:val="003834A1"/>
    <w:rsid w:val="003908D2"/>
    <w:rsid w:val="003956B6"/>
    <w:rsid w:val="003965CF"/>
    <w:rsid w:val="00396F6E"/>
    <w:rsid w:val="003A2D7F"/>
    <w:rsid w:val="003B3171"/>
    <w:rsid w:val="003B5912"/>
    <w:rsid w:val="003B7B79"/>
    <w:rsid w:val="003C2FF6"/>
    <w:rsid w:val="003C3BF9"/>
    <w:rsid w:val="003D3CB3"/>
    <w:rsid w:val="003D5FBD"/>
    <w:rsid w:val="003E2642"/>
    <w:rsid w:val="003E6C95"/>
    <w:rsid w:val="003E71C8"/>
    <w:rsid w:val="003F2168"/>
    <w:rsid w:val="003F6B84"/>
    <w:rsid w:val="00405E76"/>
    <w:rsid w:val="00406769"/>
    <w:rsid w:val="0041200D"/>
    <w:rsid w:val="004134FF"/>
    <w:rsid w:val="004167E0"/>
    <w:rsid w:val="00417641"/>
    <w:rsid w:val="0042389E"/>
    <w:rsid w:val="00424DBC"/>
    <w:rsid w:val="004359FB"/>
    <w:rsid w:val="00441C0B"/>
    <w:rsid w:val="004438E5"/>
    <w:rsid w:val="004469AF"/>
    <w:rsid w:val="004509DC"/>
    <w:rsid w:val="00450FF2"/>
    <w:rsid w:val="00451614"/>
    <w:rsid w:val="00457972"/>
    <w:rsid w:val="0046326B"/>
    <w:rsid w:val="00463623"/>
    <w:rsid w:val="00464AE2"/>
    <w:rsid w:val="004667CB"/>
    <w:rsid w:val="004670FF"/>
    <w:rsid w:val="00472272"/>
    <w:rsid w:val="00487B40"/>
    <w:rsid w:val="00493665"/>
    <w:rsid w:val="004957C3"/>
    <w:rsid w:val="0049688E"/>
    <w:rsid w:val="00496C67"/>
    <w:rsid w:val="004A1707"/>
    <w:rsid w:val="004B26D3"/>
    <w:rsid w:val="004B286A"/>
    <w:rsid w:val="004B3600"/>
    <w:rsid w:val="004B3E26"/>
    <w:rsid w:val="004B4BE7"/>
    <w:rsid w:val="004B54E3"/>
    <w:rsid w:val="004C087C"/>
    <w:rsid w:val="004D0ED7"/>
    <w:rsid w:val="004D2422"/>
    <w:rsid w:val="004D3900"/>
    <w:rsid w:val="004E046D"/>
    <w:rsid w:val="004E3D88"/>
    <w:rsid w:val="004E48EE"/>
    <w:rsid w:val="004E7178"/>
    <w:rsid w:val="004E7EEA"/>
    <w:rsid w:val="004F05A2"/>
    <w:rsid w:val="005017CB"/>
    <w:rsid w:val="0050444F"/>
    <w:rsid w:val="00506117"/>
    <w:rsid w:val="00507AAB"/>
    <w:rsid w:val="00512210"/>
    <w:rsid w:val="00515C3D"/>
    <w:rsid w:val="00524822"/>
    <w:rsid w:val="005256D4"/>
    <w:rsid w:val="00525BFE"/>
    <w:rsid w:val="0053358B"/>
    <w:rsid w:val="00536DB5"/>
    <w:rsid w:val="005479A4"/>
    <w:rsid w:val="0055085A"/>
    <w:rsid w:val="00555060"/>
    <w:rsid w:val="0055781F"/>
    <w:rsid w:val="00564BB0"/>
    <w:rsid w:val="00565376"/>
    <w:rsid w:val="00566342"/>
    <w:rsid w:val="005710F1"/>
    <w:rsid w:val="00572AE9"/>
    <w:rsid w:val="00573EFA"/>
    <w:rsid w:val="00581B73"/>
    <w:rsid w:val="0058358E"/>
    <w:rsid w:val="00585AF1"/>
    <w:rsid w:val="00585AF5"/>
    <w:rsid w:val="00585C06"/>
    <w:rsid w:val="0059278B"/>
    <w:rsid w:val="00594008"/>
    <w:rsid w:val="00595E41"/>
    <w:rsid w:val="00597EFC"/>
    <w:rsid w:val="005A411A"/>
    <w:rsid w:val="005A7607"/>
    <w:rsid w:val="005A7F42"/>
    <w:rsid w:val="005B0846"/>
    <w:rsid w:val="005B67F7"/>
    <w:rsid w:val="005B6AE3"/>
    <w:rsid w:val="005B6E70"/>
    <w:rsid w:val="005C0A0B"/>
    <w:rsid w:val="005C13F0"/>
    <w:rsid w:val="005D023D"/>
    <w:rsid w:val="005D332C"/>
    <w:rsid w:val="005E050F"/>
    <w:rsid w:val="005E0F84"/>
    <w:rsid w:val="005E2984"/>
    <w:rsid w:val="005F1EA4"/>
    <w:rsid w:val="005F4942"/>
    <w:rsid w:val="005F6FDC"/>
    <w:rsid w:val="00600BFD"/>
    <w:rsid w:val="00607EDA"/>
    <w:rsid w:val="0061039E"/>
    <w:rsid w:val="006120A2"/>
    <w:rsid w:val="00614AEF"/>
    <w:rsid w:val="00620103"/>
    <w:rsid w:val="00621D36"/>
    <w:rsid w:val="00633258"/>
    <w:rsid w:val="006365E6"/>
    <w:rsid w:val="0063676C"/>
    <w:rsid w:val="00642A20"/>
    <w:rsid w:val="006463EE"/>
    <w:rsid w:val="006503B4"/>
    <w:rsid w:val="00656E67"/>
    <w:rsid w:val="00657006"/>
    <w:rsid w:val="0066167A"/>
    <w:rsid w:val="006626FF"/>
    <w:rsid w:val="00662F36"/>
    <w:rsid w:val="0066713A"/>
    <w:rsid w:val="0067081F"/>
    <w:rsid w:val="00675C36"/>
    <w:rsid w:val="00686536"/>
    <w:rsid w:val="006872D4"/>
    <w:rsid w:val="00687AC1"/>
    <w:rsid w:val="00693021"/>
    <w:rsid w:val="00694D00"/>
    <w:rsid w:val="006A23F0"/>
    <w:rsid w:val="006A2908"/>
    <w:rsid w:val="006A6CC0"/>
    <w:rsid w:val="006C024C"/>
    <w:rsid w:val="006C270B"/>
    <w:rsid w:val="006C78EF"/>
    <w:rsid w:val="006C7E82"/>
    <w:rsid w:val="006D2463"/>
    <w:rsid w:val="006D39A1"/>
    <w:rsid w:val="006D4A44"/>
    <w:rsid w:val="006D719F"/>
    <w:rsid w:val="006D74A4"/>
    <w:rsid w:val="006E494E"/>
    <w:rsid w:val="006E64A9"/>
    <w:rsid w:val="007004DF"/>
    <w:rsid w:val="00704A55"/>
    <w:rsid w:val="00705C9A"/>
    <w:rsid w:val="00707510"/>
    <w:rsid w:val="00710264"/>
    <w:rsid w:val="0071174B"/>
    <w:rsid w:val="0071648B"/>
    <w:rsid w:val="007166AF"/>
    <w:rsid w:val="007238EC"/>
    <w:rsid w:val="00731532"/>
    <w:rsid w:val="00736C5E"/>
    <w:rsid w:val="00737927"/>
    <w:rsid w:val="00743B57"/>
    <w:rsid w:val="00744E59"/>
    <w:rsid w:val="0074664A"/>
    <w:rsid w:val="00751051"/>
    <w:rsid w:val="00751B50"/>
    <w:rsid w:val="00754155"/>
    <w:rsid w:val="00774EAC"/>
    <w:rsid w:val="007769F7"/>
    <w:rsid w:val="007806FB"/>
    <w:rsid w:val="00780F8B"/>
    <w:rsid w:val="00781B51"/>
    <w:rsid w:val="00782424"/>
    <w:rsid w:val="007852DC"/>
    <w:rsid w:val="00786ED4"/>
    <w:rsid w:val="00787580"/>
    <w:rsid w:val="00792BCE"/>
    <w:rsid w:val="007957AF"/>
    <w:rsid w:val="007A7734"/>
    <w:rsid w:val="007B5419"/>
    <w:rsid w:val="007C2D6C"/>
    <w:rsid w:val="007C3F2C"/>
    <w:rsid w:val="007C4F8C"/>
    <w:rsid w:val="007C6AB9"/>
    <w:rsid w:val="007D1F70"/>
    <w:rsid w:val="007D2FEB"/>
    <w:rsid w:val="007D64D9"/>
    <w:rsid w:val="007D6ED8"/>
    <w:rsid w:val="007E3434"/>
    <w:rsid w:val="007E7FAB"/>
    <w:rsid w:val="007F2049"/>
    <w:rsid w:val="0080721C"/>
    <w:rsid w:val="00807C5A"/>
    <w:rsid w:val="0081128B"/>
    <w:rsid w:val="00816FBF"/>
    <w:rsid w:val="008302A6"/>
    <w:rsid w:val="00833575"/>
    <w:rsid w:val="00836F1B"/>
    <w:rsid w:val="008376B7"/>
    <w:rsid w:val="00842FE7"/>
    <w:rsid w:val="00853CC8"/>
    <w:rsid w:val="00857419"/>
    <w:rsid w:val="008623CD"/>
    <w:rsid w:val="00865222"/>
    <w:rsid w:val="00866488"/>
    <w:rsid w:val="0086656D"/>
    <w:rsid w:val="00866691"/>
    <w:rsid w:val="00872076"/>
    <w:rsid w:val="00873541"/>
    <w:rsid w:val="00873B9C"/>
    <w:rsid w:val="00874350"/>
    <w:rsid w:val="0087656E"/>
    <w:rsid w:val="00880058"/>
    <w:rsid w:val="0088229B"/>
    <w:rsid w:val="00886689"/>
    <w:rsid w:val="00891BE2"/>
    <w:rsid w:val="00891C50"/>
    <w:rsid w:val="008940C3"/>
    <w:rsid w:val="008A1BC5"/>
    <w:rsid w:val="008A3939"/>
    <w:rsid w:val="008B1251"/>
    <w:rsid w:val="008B3764"/>
    <w:rsid w:val="008B661C"/>
    <w:rsid w:val="008C1C20"/>
    <w:rsid w:val="008C49A5"/>
    <w:rsid w:val="008D4D93"/>
    <w:rsid w:val="008D535A"/>
    <w:rsid w:val="008E6FD3"/>
    <w:rsid w:val="008E71E4"/>
    <w:rsid w:val="008F1782"/>
    <w:rsid w:val="008F229B"/>
    <w:rsid w:val="008F6DED"/>
    <w:rsid w:val="009013D2"/>
    <w:rsid w:val="00907C5A"/>
    <w:rsid w:val="009124B0"/>
    <w:rsid w:val="00912F40"/>
    <w:rsid w:val="00914E76"/>
    <w:rsid w:val="00914F71"/>
    <w:rsid w:val="00915B13"/>
    <w:rsid w:val="009174C4"/>
    <w:rsid w:val="00921779"/>
    <w:rsid w:val="00922270"/>
    <w:rsid w:val="00930798"/>
    <w:rsid w:val="00934462"/>
    <w:rsid w:val="009437FA"/>
    <w:rsid w:val="00950A83"/>
    <w:rsid w:val="00952F49"/>
    <w:rsid w:val="009562E4"/>
    <w:rsid w:val="00957A02"/>
    <w:rsid w:val="00961AB2"/>
    <w:rsid w:val="00963406"/>
    <w:rsid w:val="00964A1E"/>
    <w:rsid w:val="00966B2A"/>
    <w:rsid w:val="00982127"/>
    <w:rsid w:val="00992A35"/>
    <w:rsid w:val="00993381"/>
    <w:rsid w:val="009A6C28"/>
    <w:rsid w:val="009B02CD"/>
    <w:rsid w:val="009B4134"/>
    <w:rsid w:val="009C114E"/>
    <w:rsid w:val="009C1FE2"/>
    <w:rsid w:val="009C2487"/>
    <w:rsid w:val="009C329D"/>
    <w:rsid w:val="009C5D0E"/>
    <w:rsid w:val="009D6F64"/>
    <w:rsid w:val="009E2967"/>
    <w:rsid w:val="009F2E8F"/>
    <w:rsid w:val="00A13276"/>
    <w:rsid w:val="00A214B4"/>
    <w:rsid w:val="00A2547A"/>
    <w:rsid w:val="00A25D01"/>
    <w:rsid w:val="00A2770C"/>
    <w:rsid w:val="00A30CBB"/>
    <w:rsid w:val="00A30DE2"/>
    <w:rsid w:val="00A311F6"/>
    <w:rsid w:val="00A3441F"/>
    <w:rsid w:val="00A37EC4"/>
    <w:rsid w:val="00A4068F"/>
    <w:rsid w:val="00A41CEF"/>
    <w:rsid w:val="00A435BF"/>
    <w:rsid w:val="00A55984"/>
    <w:rsid w:val="00A60C9E"/>
    <w:rsid w:val="00A61D63"/>
    <w:rsid w:val="00A622F1"/>
    <w:rsid w:val="00A71282"/>
    <w:rsid w:val="00A73D87"/>
    <w:rsid w:val="00A77E57"/>
    <w:rsid w:val="00A83B2B"/>
    <w:rsid w:val="00A84507"/>
    <w:rsid w:val="00A85A52"/>
    <w:rsid w:val="00A85B49"/>
    <w:rsid w:val="00A96D9E"/>
    <w:rsid w:val="00A96F77"/>
    <w:rsid w:val="00AA2594"/>
    <w:rsid w:val="00AA46A2"/>
    <w:rsid w:val="00AA51FF"/>
    <w:rsid w:val="00AA7735"/>
    <w:rsid w:val="00AA79F5"/>
    <w:rsid w:val="00AC1C91"/>
    <w:rsid w:val="00AC47CD"/>
    <w:rsid w:val="00AC51D7"/>
    <w:rsid w:val="00AD49DA"/>
    <w:rsid w:val="00AD6297"/>
    <w:rsid w:val="00AD735B"/>
    <w:rsid w:val="00AD7F5F"/>
    <w:rsid w:val="00AE028D"/>
    <w:rsid w:val="00AE1D5F"/>
    <w:rsid w:val="00AE374F"/>
    <w:rsid w:val="00AF63E7"/>
    <w:rsid w:val="00B04936"/>
    <w:rsid w:val="00B0516D"/>
    <w:rsid w:val="00B05A8A"/>
    <w:rsid w:val="00B128AA"/>
    <w:rsid w:val="00B13806"/>
    <w:rsid w:val="00B170FF"/>
    <w:rsid w:val="00B17DFB"/>
    <w:rsid w:val="00B238A2"/>
    <w:rsid w:val="00B23BE8"/>
    <w:rsid w:val="00B25716"/>
    <w:rsid w:val="00B3325E"/>
    <w:rsid w:val="00B3470F"/>
    <w:rsid w:val="00B34E56"/>
    <w:rsid w:val="00B4029D"/>
    <w:rsid w:val="00B4139B"/>
    <w:rsid w:val="00B4238B"/>
    <w:rsid w:val="00B501A5"/>
    <w:rsid w:val="00B51509"/>
    <w:rsid w:val="00B54BC5"/>
    <w:rsid w:val="00B64DE7"/>
    <w:rsid w:val="00B751BA"/>
    <w:rsid w:val="00B754B2"/>
    <w:rsid w:val="00B76D84"/>
    <w:rsid w:val="00B771EA"/>
    <w:rsid w:val="00B81A16"/>
    <w:rsid w:val="00B82412"/>
    <w:rsid w:val="00B82639"/>
    <w:rsid w:val="00B85A9B"/>
    <w:rsid w:val="00B91E2A"/>
    <w:rsid w:val="00B9303D"/>
    <w:rsid w:val="00B93B18"/>
    <w:rsid w:val="00B963F1"/>
    <w:rsid w:val="00BA0AA1"/>
    <w:rsid w:val="00BA19AF"/>
    <w:rsid w:val="00BA2977"/>
    <w:rsid w:val="00BA2BC0"/>
    <w:rsid w:val="00BA2EA9"/>
    <w:rsid w:val="00BA3754"/>
    <w:rsid w:val="00BA4AFB"/>
    <w:rsid w:val="00BB38EE"/>
    <w:rsid w:val="00BB3FF4"/>
    <w:rsid w:val="00BB4EBA"/>
    <w:rsid w:val="00BB5260"/>
    <w:rsid w:val="00BB6AA8"/>
    <w:rsid w:val="00BB7D6C"/>
    <w:rsid w:val="00BC027D"/>
    <w:rsid w:val="00BC5038"/>
    <w:rsid w:val="00BC69D4"/>
    <w:rsid w:val="00BC7616"/>
    <w:rsid w:val="00BD1867"/>
    <w:rsid w:val="00BD30E0"/>
    <w:rsid w:val="00BD3796"/>
    <w:rsid w:val="00BE01DF"/>
    <w:rsid w:val="00BE4978"/>
    <w:rsid w:val="00BF0097"/>
    <w:rsid w:val="00BF4FA8"/>
    <w:rsid w:val="00C003A0"/>
    <w:rsid w:val="00C13CB7"/>
    <w:rsid w:val="00C16F83"/>
    <w:rsid w:val="00C21152"/>
    <w:rsid w:val="00C24D10"/>
    <w:rsid w:val="00C3441C"/>
    <w:rsid w:val="00C435E9"/>
    <w:rsid w:val="00C43934"/>
    <w:rsid w:val="00C44F88"/>
    <w:rsid w:val="00C475ED"/>
    <w:rsid w:val="00C5470F"/>
    <w:rsid w:val="00C56A82"/>
    <w:rsid w:val="00C5779D"/>
    <w:rsid w:val="00C57AE5"/>
    <w:rsid w:val="00C603DC"/>
    <w:rsid w:val="00C61D79"/>
    <w:rsid w:val="00C642FA"/>
    <w:rsid w:val="00C65756"/>
    <w:rsid w:val="00C6692E"/>
    <w:rsid w:val="00C67AE4"/>
    <w:rsid w:val="00C738D4"/>
    <w:rsid w:val="00C85243"/>
    <w:rsid w:val="00C86232"/>
    <w:rsid w:val="00C921AB"/>
    <w:rsid w:val="00C93186"/>
    <w:rsid w:val="00C97A31"/>
    <w:rsid w:val="00CA0BDF"/>
    <w:rsid w:val="00CA203F"/>
    <w:rsid w:val="00CA2BC3"/>
    <w:rsid w:val="00CA31AA"/>
    <w:rsid w:val="00CA5560"/>
    <w:rsid w:val="00CB3C20"/>
    <w:rsid w:val="00CB3DBC"/>
    <w:rsid w:val="00CB4773"/>
    <w:rsid w:val="00CC2012"/>
    <w:rsid w:val="00CC24C7"/>
    <w:rsid w:val="00CC5AEA"/>
    <w:rsid w:val="00CC663B"/>
    <w:rsid w:val="00CC7E16"/>
    <w:rsid w:val="00CD42A0"/>
    <w:rsid w:val="00CE166D"/>
    <w:rsid w:val="00CE2063"/>
    <w:rsid w:val="00CE2169"/>
    <w:rsid w:val="00CF5686"/>
    <w:rsid w:val="00CF77CC"/>
    <w:rsid w:val="00D04976"/>
    <w:rsid w:val="00D057BE"/>
    <w:rsid w:val="00D06BD0"/>
    <w:rsid w:val="00D13350"/>
    <w:rsid w:val="00D13C7F"/>
    <w:rsid w:val="00D1477D"/>
    <w:rsid w:val="00D15410"/>
    <w:rsid w:val="00D15992"/>
    <w:rsid w:val="00D22447"/>
    <w:rsid w:val="00D22BC4"/>
    <w:rsid w:val="00D2543E"/>
    <w:rsid w:val="00D3196F"/>
    <w:rsid w:val="00D33151"/>
    <w:rsid w:val="00D35D4E"/>
    <w:rsid w:val="00D36DD3"/>
    <w:rsid w:val="00D377AB"/>
    <w:rsid w:val="00D4068B"/>
    <w:rsid w:val="00D45446"/>
    <w:rsid w:val="00D460DB"/>
    <w:rsid w:val="00D476BC"/>
    <w:rsid w:val="00D62BD8"/>
    <w:rsid w:val="00D72F02"/>
    <w:rsid w:val="00D755A0"/>
    <w:rsid w:val="00D76C99"/>
    <w:rsid w:val="00D80D6C"/>
    <w:rsid w:val="00D82017"/>
    <w:rsid w:val="00D90643"/>
    <w:rsid w:val="00D91FC0"/>
    <w:rsid w:val="00D96027"/>
    <w:rsid w:val="00D96FD0"/>
    <w:rsid w:val="00DA2E0C"/>
    <w:rsid w:val="00DA4207"/>
    <w:rsid w:val="00DA750C"/>
    <w:rsid w:val="00DB0BD8"/>
    <w:rsid w:val="00DB560C"/>
    <w:rsid w:val="00DB6BE3"/>
    <w:rsid w:val="00DC05BB"/>
    <w:rsid w:val="00DC1498"/>
    <w:rsid w:val="00DC2875"/>
    <w:rsid w:val="00DC5795"/>
    <w:rsid w:val="00DD35CB"/>
    <w:rsid w:val="00DD3925"/>
    <w:rsid w:val="00DD5265"/>
    <w:rsid w:val="00DD5511"/>
    <w:rsid w:val="00DD677D"/>
    <w:rsid w:val="00DE0257"/>
    <w:rsid w:val="00DE3949"/>
    <w:rsid w:val="00DE4F79"/>
    <w:rsid w:val="00DE5169"/>
    <w:rsid w:val="00DE7207"/>
    <w:rsid w:val="00DF79D8"/>
    <w:rsid w:val="00E13737"/>
    <w:rsid w:val="00E13F61"/>
    <w:rsid w:val="00E144B2"/>
    <w:rsid w:val="00E15186"/>
    <w:rsid w:val="00E21AF3"/>
    <w:rsid w:val="00E22E9C"/>
    <w:rsid w:val="00E23CCA"/>
    <w:rsid w:val="00E2441D"/>
    <w:rsid w:val="00E31246"/>
    <w:rsid w:val="00E313E5"/>
    <w:rsid w:val="00E325FA"/>
    <w:rsid w:val="00E3606E"/>
    <w:rsid w:val="00E36E51"/>
    <w:rsid w:val="00E4795D"/>
    <w:rsid w:val="00E50496"/>
    <w:rsid w:val="00E53F18"/>
    <w:rsid w:val="00E60FB0"/>
    <w:rsid w:val="00E63097"/>
    <w:rsid w:val="00E63133"/>
    <w:rsid w:val="00E70E54"/>
    <w:rsid w:val="00E73FBF"/>
    <w:rsid w:val="00E74FEF"/>
    <w:rsid w:val="00E8269E"/>
    <w:rsid w:val="00E93D43"/>
    <w:rsid w:val="00EA38E2"/>
    <w:rsid w:val="00EA7187"/>
    <w:rsid w:val="00EA7699"/>
    <w:rsid w:val="00EB0619"/>
    <w:rsid w:val="00EB0D0C"/>
    <w:rsid w:val="00EC1C61"/>
    <w:rsid w:val="00EC36D4"/>
    <w:rsid w:val="00EC3AB4"/>
    <w:rsid w:val="00ED7424"/>
    <w:rsid w:val="00EE6363"/>
    <w:rsid w:val="00EF0BCF"/>
    <w:rsid w:val="00EF3585"/>
    <w:rsid w:val="00EF35CD"/>
    <w:rsid w:val="00EF4C9E"/>
    <w:rsid w:val="00EF4F33"/>
    <w:rsid w:val="00EF5219"/>
    <w:rsid w:val="00EF6155"/>
    <w:rsid w:val="00F04BCF"/>
    <w:rsid w:val="00F06F3B"/>
    <w:rsid w:val="00F10D9F"/>
    <w:rsid w:val="00F12AAB"/>
    <w:rsid w:val="00F13889"/>
    <w:rsid w:val="00F14117"/>
    <w:rsid w:val="00F202DB"/>
    <w:rsid w:val="00F24CB5"/>
    <w:rsid w:val="00F2681E"/>
    <w:rsid w:val="00F27EC2"/>
    <w:rsid w:val="00F3104C"/>
    <w:rsid w:val="00F3481E"/>
    <w:rsid w:val="00F565C7"/>
    <w:rsid w:val="00F636F1"/>
    <w:rsid w:val="00F71211"/>
    <w:rsid w:val="00F71DD4"/>
    <w:rsid w:val="00F727B3"/>
    <w:rsid w:val="00F74109"/>
    <w:rsid w:val="00F80462"/>
    <w:rsid w:val="00F805B5"/>
    <w:rsid w:val="00F80A4D"/>
    <w:rsid w:val="00F816EC"/>
    <w:rsid w:val="00F8329D"/>
    <w:rsid w:val="00F83F41"/>
    <w:rsid w:val="00F85325"/>
    <w:rsid w:val="00F935EE"/>
    <w:rsid w:val="00F95580"/>
    <w:rsid w:val="00F97AE3"/>
    <w:rsid w:val="00FA03A5"/>
    <w:rsid w:val="00FA436C"/>
    <w:rsid w:val="00FA4A71"/>
    <w:rsid w:val="00FC6DC7"/>
    <w:rsid w:val="00FC70B2"/>
    <w:rsid w:val="00FD2CEA"/>
    <w:rsid w:val="00FD3D9E"/>
    <w:rsid w:val="00FD4F7F"/>
    <w:rsid w:val="00FE1CD4"/>
    <w:rsid w:val="00FE3ACB"/>
    <w:rsid w:val="00FE4318"/>
    <w:rsid w:val="00FF04E2"/>
    <w:rsid w:val="09F5613C"/>
    <w:rsid w:val="0FECAA0B"/>
    <w:rsid w:val="17F80FB9"/>
    <w:rsid w:val="24320910"/>
    <w:rsid w:val="262051E2"/>
    <w:rsid w:val="294CA6F3"/>
    <w:rsid w:val="29BBB51F"/>
    <w:rsid w:val="3C8FA268"/>
    <w:rsid w:val="43961171"/>
    <w:rsid w:val="49F0B761"/>
    <w:rsid w:val="50551F55"/>
    <w:rsid w:val="50EC8F6F"/>
    <w:rsid w:val="5600DB22"/>
    <w:rsid w:val="5A83B83D"/>
    <w:rsid w:val="5AC4E9C8"/>
    <w:rsid w:val="5AC7BCC6"/>
    <w:rsid w:val="608DFB35"/>
    <w:rsid w:val="638CA7AF"/>
    <w:rsid w:val="643C70AC"/>
    <w:rsid w:val="655ABE41"/>
    <w:rsid w:val="69CCE11C"/>
    <w:rsid w:val="6A4E3136"/>
    <w:rsid w:val="6ED46E6F"/>
    <w:rsid w:val="72F0DFFB"/>
    <w:rsid w:val="776BD0E5"/>
    <w:rsid w:val="79F4F3C5"/>
    <w:rsid w:val="7FAF7D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0BE249"/>
  <w15:chartTrackingRefBased/>
  <w15:docId w15:val="{A9EC1CAA-9032-405E-A2A2-9649BBED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0FF"/>
    <w:pPr>
      <w:spacing w:after="240"/>
    </w:pPr>
    <w:rPr>
      <w:rFonts w:ascii="Times New Roman" w:hAnsi="Times New Roman"/>
      <w:sz w:val="24"/>
    </w:rPr>
  </w:style>
  <w:style w:type="paragraph" w:styleId="Heading1">
    <w:name w:val="heading 1"/>
    <w:basedOn w:val="Normal"/>
    <w:next w:val="Normal"/>
    <w:link w:val="Heading1Char"/>
    <w:uiPriority w:val="9"/>
    <w:qFormat/>
    <w:rsid w:val="00964A1E"/>
    <w:pPr>
      <w:keepNext/>
      <w:keepLines/>
      <w:jc w:val="center"/>
      <w:outlineLvl w:val="0"/>
    </w:pPr>
    <w:rPr>
      <w:rFonts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BA2977"/>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553EB"/>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DB0BD8"/>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BD8"/>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BD8"/>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DB0BD8"/>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DB0BD8"/>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DB0BD8"/>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9A4"/>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5479A4"/>
    <w:rPr>
      <w:rFonts w:ascii="Times New Roman" w:hAnsi="Times New Roman"/>
      <w:sz w:val="20"/>
    </w:rPr>
  </w:style>
  <w:style w:type="paragraph" w:styleId="Footer">
    <w:name w:val="footer"/>
    <w:basedOn w:val="Normal"/>
    <w:link w:val="FooterChar"/>
    <w:uiPriority w:val="99"/>
    <w:unhideWhenUsed/>
    <w:rsid w:val="005479A4"/>
    <w:pPr>
      <w:tabs>
        <w:tab w:val="center" w:pos="4680"/>
        <w:tab w:val="right" w:pos="9360"/>
      </w:tabs>
      <w:spacing w:line="240" w:lineRule="auto"/>
    </w:pPr>
    <w:rPr>
      <w:sz w:val="20"/>
    </w:rPr>
  </w:style>
  <w:style w:type="character" w:customStyle="1" w:styleId="FooterChar">
    <w:name w:val="Footer Char"/>
    <w:basedOn w:val="DefaultParagraphFont"/>
    <w:link w:val="Footer"/>
    <w:uiPriority w:val="99"/>
    <w:rsid w:val="005479A4"/>
    <w:rPr>
      <w:rFonts w:ascii="Times New Roman" w:hAnsi="Times New Roman"/>
      <w:sz w:val="20"/>
    </w:rPr>
  </w:style>
  <w:style w:type="character" w:styleId="PageNumber">
    <w:name w:val="page number"/>
    <w:basedOn w:val="DefaultParagraphFont"/>
    <w:uiPriority w:val="99"/>
    <w:semiHidden/>
    <w:unhideWhenUsed/>
    <w:rsid w:val="00515C3D"/>
    <w:rPr>
      <w:rFonts w:ascii="Times New Roman" w:hAnsi="Times New Roman"/>
      <w:sz w:val="22"/>
    </w:rPr>
  </w:style>
  <w:style w:type="character" w:customStyle="1" w:styleId="Heading1Char">
    <w:name w:val="Heading 1 Char"/>
    <w:basedOn w:val="DefaultParagraphFont"/>
    <w:link w:val="Heading1"/>
    <w:uiPriority w:val="9"/>
    <w:rsid w:val="00964A1E"/>
    <w:rPr>
      <w:rFonts w:ascii="Times New Roman" w:hAnsi="Times New Roman" w:eastAsiaTheme="majorEastAsia" w:cstheme="majorBidi"/>
      <w:b/>
      <w:bCs/>
      <w:color w:val="000000" w:themeColor="text1"/>
      <w:sz w:val="28"/>
      <w:szCs w:val="32"/>
    </w:rPr>
  </w:style>
  <w:style w:type="character" w:customStyle="1" w:styleId="Heading2Char">
    <w:name w:val="Heading 2 Char"/>
    <w:basedOn w:val="DefaultParagraphFont"/>
    <w:link w:val="Heading2"/>
    <w:uiPriority w:val="9"/>
    <w:rsid w:val="00BA2977"/>
    <w:rPr>
      <w:rFonts w:ascii="Times New Roman" w:hAnsi="Times New Roman" w:eastAsiaTheme="majorEastAsia" w:cstheme="majorBidi"/>
      <w:b/>
      <w:sz w:val="26"/>
      <w:szCs w:val="26"/>
    </w:rPr>
  </w:style>
  <w:style w:type="paragraph" w:styleId="Title">
    <w:name w:val="Title"/>
    <w:basedOn w:val="Normal"/>
    <w:next w:val="Normal"/>
    <w:link w:val="TitleChar"/>
    <w:uiPriority w:val="10"/>
    <w:qFormat/>
    <w:rsid w:val="00AD735B"/>
    <w:pPr>
      <w:spacing w:line="240" w:lineRule="auto"/>
      <w:contextualSpacing/>
    </w:pPr>
    <w:rPr>
      <w:rFonts w:eastAsiaTheme="majorEastAsia" w:cs="Times New Roman (Headings CS)"/>
      <w:kern w:val="28"/>
      <w:sz w:val="32"/>
      <w:szCs w:val="56"/>
    </w:rPr>
  </w:style>
  <w:style w:type="character" w:customStyle="1" w:styleId="TitleChar">
    <w:name w:val="Title Char"/>
    <w:basedOn w:val="DefaultParagraphFont"/>
    <w:link w:val="Title"/>
    <w:uiPriority w:val="10"/>
    <w:rsid w:val="00AD735B"/>
    <w:rPr>
      <w:rFonts w:ascii="Times New Roman" w:hAnsi="Times New Roman" w:eastAsiaTheme="majorEastAsia" w:cs="Times New Roman (Headings CS)"/>
      <w:kern w:val="28"/>
      <w:sz w:val="32"/>
      <w:szCs w:val="56"/>
    </w:rPr>
  </w:style>
  <w:style w:type="paragraph" w:styleId="Subtitle">
    <w:name w:val="Subtitle"/>
    <w:basedOn w:val="Normal"/>
    <w:next w:val="Normal"/>
    <w:link w:val="SubtitleChar"/>
    <w:uiPriority w:val="11"/>
    <w:qFormat/>
    <w:rsid w:val="005479A4"/>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479A4"/>
    <w:rPr>
      <w:rFonts w:ascii="Times New Roman" w:hAnsi="Times New Roman" w:eastAsiaTheme="minorEastAsia"/>
      <w:color w:val="5A5A5A" w:themeColor="text1" w:themeTint="A5"/>
      <w:spacing w:val="15"/>
    </w:rPr>
  </w:style>
  <w:style w:type="character" w:styleId="SubtleEmphasis">
    <w:name w:val="Subtle Emphasis"/>
    <w:basedOn w:val="DefaultParagraphFont"/>
    <w:uiPriority w:val="19"/>
    <w:qFormat/>
    <w:rsid w:val="005479A4"/>
    <w:rPr>
      <w:rFonts w:ascii="Times New Roman" w:hAnsi="Times New Roman"/>
      <w:i/>
      <w:iCs/>
      <w:color w:val="404040" w:themeColor="text1" w:themeTint="BF"/>
    </w:rPr>
  </w:style>
  <w:style w:type="character" w:styleId="Emphasis">
    <w:name w:val="Emphasis"/>
    <w:basedOn w:val="DefaultParagraphFont"/>
    <w:uiPriority w:val="20"/>
    <w:qFormat/>
    <w:rsid w:val="005479A4"/>
    <w:rPr>
      <w:rFonts w:ascii="Times New Roman" w:hAnsi="Times New Roman"/>
      <w:i/>
      <w:iCs/>
    </w:rPr>
  </w:style>
  <w:style w:type="character" w:styleId="IntenseEmphasis">
    <w:name w:val="Intense Emphasis"/>
    <w:basedOn w:val="DefaultParagraphFont"/>
    <w:uiPriority w:val="21"/>
    <w:qFormat/>
    <w:rsid w:val="005479A4"/>
    <w:rPr>
      <w:rFonts w:ascii="Times New Roman" w:hAnsi="Times New Roman"/>
      <w:b/>
      <w:i/>
      <w:iCs/>
      <w:color w:val="000000" w:themeColor="text1"/>
    </w:rPr>
  </w:style>
  <w:style w:type="character" w:styleId="Strong">
    <w:name w:val="Strong"/>
    <w:basedOn w:val="DefaultParagraphFont"/>
    <w:uiPriority w:val="22"/>
    <w:qFormat/>
    <w:rsid w:val="005479A4"/>
    <w:rPr>
      <w:rFonts w:ascii="Times New Roman" w:hAnsi="Times New Roman"/>
      <w:b/>
      <w:bCs/>
    </w:rPr>
  </w:style>
  <w:style w:type="paragraph" w:styleId="Quote">
    <w:name w:val="Quote"/>
    <w:basedOn w:val="Normal"/>
    <w:next w:val="Normal"/>
    <w:link w:val="QuoteChar"/>
    <w:uiPriority w:val="29"/>
    <w:qFormat/>
    <w:rsid w:val="005479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79A4"/>
    <w:rPr>
      <w:rFonts w:ascii="Times New Roman" w:hAnsi="Times New Roman"/>
      <w:i/>
      <w:iCs/>
      <w:color w:val="404040" w:themeColor="text1" w:themeTint="BF"/>
      <w:sz w:val="24"/>
    </w:rPr>
  </w:style>
  <w:style w:type="paragraph" w:styleId="IntenseQuote">
    <w:name w:val="Intense Quote"/>
    <w:basedOn w:val="Normal"/>
    <w:next w:val="Normal"/>
    <w:link w:val="IntenseQuoteChar"/>
    <w:uiPriority w:val="30"/>
    <w:qFormat/>
    <w:rsid w:val="005479A4"/>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5479A4"/>
    <w:rPr>
      <w:rFonts w:ascii="Times New Roman" w:hAnsi="Times New Roman"/>
      <w:i/>
      <w:iCs/>
      <w:color w:val="000000" w:themeColor="text1"/>
      <w:sz w:val="24"/>
    </w:rPr>
  </w:style>
  <w:style w:type="character" w:styleId="SubtleReference">
    <w:name w:val="Subtle Reference"/>
    <w:basedOn w:val="DefaultParagraphFont"/>
    <w:uiPriority w:val="31"/>
    <w:qFormat/>
    <w:rsid w:val="005479A4"/>
    <w:rPr>
      <w:rFonts w:ascii="Times New Roman" w:hAnsi="Times New Roman"/>
      <w:smallCaps/>
      <w:color w:val="5A5A5A" w:themeColor="text1" w:themeTint="A5"/>
    </w:rPr>
  </w:style>
  <w:style w:type="character" w:styleId="IntenseReference">
    <w:name w:val="Intense Reference"/>
    <w:basedOn w:val="DefaultParagraphFont"/>
    <w:uiPriority w:val="32"/>
    <w:qFormat/>
    <w:rsid w:val="005479A4"/>
    <w:rPr>
      <w:rFonts w:ascii="Times New Roman" w:hAnsi="Times New Roman"/>
      <w:b/>
      <w:bCs/>
      <w:smallCaps/>
      <w:color w:val="000000" w:themeColor="text1"/>
      <w:spacing w:val="5"/>
    </w:rPr>
  </w:style>
  <w:style w:type="character" w:styleId="BookTitle">
    <w:name w:val="Book Title"/>
    <w:basedOn w:val="DefaultParagraphFont"/>
    <w:uiPriority w:val="33"/>
    <w:qFormat/>
    <w:rsid w:val="005479A4"/>
    <w:rPr>
      <w:rFonts w:ascii="Times New Roman" w:hAnsi="Times New Roman"/>
      <w:b/>
      <w:bCs/>
      <w:i/>
      <w:iCs/>
      <w:spacing w:val="5"/>
    </w:rPr>
  </w:style>
  <w:style w:type="character" w:customStyle="1" w:styleId="Heading3Char">
    <w:name w:val="Heading 3 Char"/>
    <w:basedOn w:val="DefaultParagraphFont"/>
    <w:link w:val="Heading3"/>
    <w:uiPriority w:val="9"/>
    <w:rsid w:val="002553EB"/>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semiHidden/>
    <w:rsid w:val="00DB0BD8"/>
    <w:rPr>
      <w:rFonts w:ascii="Times New Roman" w:hAnsi="Times New Roman"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B0BD8"/>
    <w:rPr>
      <w:rFonts w:ascii="Times New Roman" w:hAnsi="Times New Roman"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B0BD8"/>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semiHidden/>
    <w:rsid w:val="00DB0BD8"/>
    <w:rPr>
      <w:rFonts w:ascii="Times New Roman" w:hAnsi="Times New Roman" w:eastAsiaTheme="majorEastAsia" w:cstheme="majorBidi"/>
      <w:i/>
      <w:iCs/>
      <w:color w:val="1F3763" w:themeColor="accent1" w:themeShade="7F"/>
      <w:sz w:val="24"/>
    </w:rPr>
  </w:style>
  <w:style w:type="character" w:customStyle="1" w:styleId="Heading8Char">
    <w:name w:val="Heading 8 Char"/>
    <w:basedOn w:val="DefaultParagraphFont"/>
    <w:link w:val="Heading8"/>
    <w:uiPriority w:val="9"/>
    <w:semiHidden/>
    <w:rsid w:val="00DB0BD8"/>
    <w:rPr>
      <w:rFonts w:ascii="Times New Roman" w:hAnsi="Times New Roman"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rsid w:val="00DB0BD8"/>
    <w:rPr>
      <w:rFonts w:ascii="Times New Roman" w:hAnsi="Times New Roman" w:eastAsiaTheme="majorEastAsia"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642A20"/>
    <w:pPr>
      <w:outlineLvl w:val="9"/>
    </w:pPr>
    <w:rPr>
      <w:b w:val="0"/>
      <w:color w:val="2F5496" w:themeColor="accent1" w:themeShade="BF"/>
    </w:rPr>
  </w:style>
  <w:style w:type="paragraph" w:styleId="BlockText">
    <w:name w:val="Block Text"/>
    <w:basedOn w:val="Normal"/>
    <w:uiPriority w:val="99"/>
    <w:semiHidden/>
    <w:unhideWhenUsed/>
    <w:rsid w:val="00642A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642A20"/>
    <w:rPr>
      <w:rFonts w:ascii="Times New Roman" w:hAnsi="Times New Roman"/>
      <w:sz w:val="16"/>
      <w:szCs w:val="16"/>
    </w:rPr>
  </w:style>
  <w:style w:type="paragraph" w:styleId="DocumentMap">
    <w:name w:val="Document Map"/>
    <w:basedOn w:val="Normal"/>
    <w:link w:val="DocumentMapChar"/>
    <w:uiPriority w:val="99"/>
    <w:semiHidden/>
    <w:unhideWhenUsed/>
    <w:rsid w:val="00642A20"/>
    <w:pPr>
      <w:spacing w:line="240" w:lineRule="auto"/>
    </w:pPr>
    <w:rPr>
      <w:sz w:val="26"/>
      <w:szCs w:val="26"/>
    </w:rPr>
  </w:style>
  <w:style w:type="character" w:customStyle="1" w:styleId="DocumentMapChar">
    <w:name w:val="Document Map Char"/>
    <w:basedOn w:val="DefaultParagraphFont"/>
    <w:link w:val="DocumentMap"/>
    <w:uiPriority w:val="99"/>
    <w:semiHidden/>
    <w:rsid w:val="00642A20"/>
    <w:rPr>
      <w:rFonts w:ascii="Times New Roman" w:hAnsi="Times New Roman"/>
      <w:sz w:val="26"/>
      <w:szCs w:val="26"/>
    </w:rPr>
  </w:style>
  <w:style w:type="character" w:styleId="EndnoteReference">
    <w:name w:val="endnote reference"/>
    <w:basedOn w:val="DefaultParagraphFont"/>
    <w:uiPriority w:val="99"/>
    <w:semiHidden/>
    <w:unhideWhenUsed/>
    <w:rsid w:val="00642A20"/>
    <w:rPr>
      <w:rFonts w:ascii="Times New Roman" w:hAnsi="Times New Roman"/>
      <w:vertAlign w:val="superscript"/>
    </w:rPr>
  </w:style>
  <w:style w:type="paragraph" w:styleId="EnvelopeAddress">
    <w:name w:val="envelope address"/>
    <w:basedOn w:val="Normal"/>
    <w:uiPriority w:val="99"/>
    <w:semiHidden/>
    <w:unhideWhenUsed/>
    <w:rsid w:val="00642A20"/>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642A20"/>
    <w:pPr>
      <w:spacing w:line="240" w:lineRule="auto"/>
    </w:pPr>
    <w:rPr>
      <w:rFonts w:eastAsiaTheme="majorEastAsia" w:cstheme="majorBidi"/>
      <w:sz w:val="20"/>
      <w:szCs w:val="20"/>
    </w:rPr>
  </w:style>
  <w:style w:type="character" w:styleId="FollowedHyperlink">
    <w:name w:val="FollowedHyperlink"/>
    <w:basedOn w:val="DefaultParagraphFont"/>
    <w:uiPriority w:val="99"/>
    <w:semiHidden/>
    <w:unhideWhenUsed/>
    <w:rsid w:val="00642A20"/>
    <w:rPr>
      <w:rFonts w:ascii="Times New Roman" w:hAnsi="Times New Roman"/>
      <w:color w:val="954F72" w:themeColor="followedHyperlink"/>
      <w:u w:val="single"/>
    </w:rPr>
  </w:style>
  <w:style w:type="character" w:styleId="FootnoteReference">
    <w:name w:val="footnote reference"/>
    <w:basedOn w:val="DefaultParagraphFont"/>
    <w:uiPriority w:val="99"/>
    <w:semiHidden/>
    <w:unhideWhenUsed/>
    <w:rsid w:val="00642A20"/>
    <w:rPr>
      <w:rFonts w:ascii="Times New Roman" w:hAnsi="Times New Roman"/>
      <w:vertAlign w:val="superscript"/>
    </w:rPr>
  </w:style>
  <w:style w:type="character" w:customStyle="1" w:styleId="Hashtag1">
    <w:name w:val="Hashtag1"/>
    <w:basedOn w:val="DefaultParagraphFont"/>
    <w:uiPriority w:val="99"/>
    <w:semiHidden/>
    <w:unhideWhenUsed/>
    <w:rsid w:val="00642A20"/>
    <w:rPr>
      <w:rFonts w:ascii="Times New Roman" w:hAnsi="Times New Roman"/>
      <w:color w:val="2B579A"/>
      <w:shd w:val="clear" w:color="auto" w:fill="E1DFDD"/>
    </w:rPr>
  </w:style>
  <w:style w:type="character" w:styleId="Hyperlink">
    <w:name w:val="Hyperlink"/>
    <w:basedOn w:val="DefaultParagraphFont"/>
    <w:uiPriority w:val="99"/>
    <w:unhideWhenUsed/>
    <w:rsid w:val="004438E5"/>
    <w:rPr>
      <w:rFonts w:ascii="Times New Roman" w:hAnsi="Times New Roman"/>
      <w:color w:val="0563C1" w:themeColor="hyperlink"/>
      <w:u w:val="single"/>
    </w:rPr>
  </w:style>
  <w:style w:type="paragraph" w:styleId="Index1">
    <w:name w:val="index 1"/>
    <w:basedOn w:val="Normal"/>
    <w:next w:val="Normal"/>
    <w:autoRedefine/>
    <w:uiPriority w:val="99"/>
    <w:semiHidden/>
    <w:unhideWhenUsed/>
    <w:rsid w:val="004438E5"/>
    <w:pPr>
      <w:spacing w:line="240" w:lineRule="auto"/>
      <w:ind w:left="240" w:hanging="240"/>
    </w:pPr>
  </w:style>
  <w:style w:type="paragraph" w:styleId="IndexHeading">
    <w:name w:val="index heading"/>
    <w:basedOn w:val="Normal"/>
    <w:next w:val="Index1"/>
    <w:uiPriority w:val="99"/>
    <w:semiHidden/>
    <w:unhideWhenUsed/>
    <w:rsid w:val="004438E5"/>
    <w:rPr>
      <w:rFonts w:eastAsiaTheme="majorEastAsia" w:cstheme="majorBidi"/>
      <w:b/>
      <w:bCs/>
    </w:rPr>
  </w:style>
  <w:style w:type="character" w:styleId="LineNumber">
    <w:name w:val="line number"/>
    <w:basedOn w:val="DefaultParagraphFont"/>
    <w:uiPriority w:val="99"/>
    <w:semiHidden/>
    <w:unhideWhenUsed/>
    <w:rsid w:val="004438E5"/>
    <w:rPr>
      <w:rFonts w:ascii="Times New Roman" w:hAnsi="Times New Roman"/>
    </w:rPr>
  </w:style>
  <w:style w:type="paragraph" w:styleId="MessageHeader">
    <w:name w:val="Message Header"/>
    <w:basedOn w:val="Normal"/>
    <w:link w:val="MessageHeaderChar"/>
    <w:uiPriority w:val="99"/>
    <w:semiHidden/>
    <w:unhideWhenUsed/>
    <w:rsid w:val="004438E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4438E5"/>
    <w:rPr>
      <w:rFonts w:ascii="Times New Roman" w:hAnsi="Times New Roman" w:eastAsiaTheme="majorEastAsia" w:cstheme="majorBidi"/>
      <w:sz w:val="24"/>
      <w:szCs w:val="24"/>
      <w:shd w:val="pct20" w:color="auto" w:fill="auto"/>
    </w:rPr>
  </w:style>
  <w:style w:type="character" w:customStyle="1" w:styleId="Mention1">
    <w:name w:val="Mention1"/>
    <w:basedOn w:val="DefaultParagraphFont"/>
    <w:uiPriority w:val="99"/>
    <w:semiHidden/>
    <w:unhideWhenUsed/>
    <w:rsid w:val="004438E5"/>
    <w:rPr>
      <w:rFonts w:ascii="Times New Roman" w:hAnsi="Times New Roman"/>
      <w:color w:val="2B579A"/>
      <w:shd w:val="clear" w:color="auto" w:fill="E1DFDD"/>
    </w:rPr>
  </w:style>
  <w:style w:type="character" w:styleId="PlaceholderText">
    <w:name w:val="Placeholder Text"/>
    <w:basedOn w:val="DefaultParagraphFont"/>
    <w:uiPriority w:val="99"/>
    <w:semiHidden/>
    <w:rsid w:val="004438E5"/>
    <w:rPr>
      <w:rFonts w:ascii="Times New Roman" w:hAnsi="Times New Roman"/>
      <w:color w:val="FF0000"/>
    </w:rPr>
  </w:style>
  <w:style w:type="character" w:customStyle="1" w:styleId="SmartHyperlink1">
    <w:name w:val="Smart Hyperlink1"/>
    <w:basedOn w:val="DefaultParagraphFont"/>
    <w:uiPriority w:val="99"/>
    <w:semiHidden/>
    <w:unhideWhenUsed/>
    <w:rsid w:val="003D3CB3"/>
    <w:rPr>
      <w:rFonts w:ascii="Times New Roman" w:hAnsi="Times New Roman"/>
      <w:u w:val="dotted"/>
    </w:rPr>
  </w:style>
  <w:style w:type="character" w:customStyle="1" w:styleId="SmartLink1">
    <w:name w:val="SmartLink1"/>
    <w:basedOn w:val="DefaultParagraphFont"/>
    <w:uiPriority w:val="99"/>
    <w:semiHidden/>
    <w:unhideWhenUsed/>
    <w:rsid w:val="003D3CB3"/>
    <w:rPr>
      <w:rFonts w:ascii="Times New Roman" w:hAnsi="Times New Roman"/>
      <w:color w:val="0000FF"/>
      <w:u w:val="single"/>
      <w:shd w:val="clear" w:color="auto" w:fill="F3F2F1"/>
    </w:rPr>
  </w:style>
  <w:style w:type="character" w:customStyle="1" w:styleId="UnresolvedMention1">
    <w:name w:val="Unresolved Mention1"/>
    <w:basedOn w:val="DefaultParagraphFont"/>
    <w:uiPriority w:val="99"/>
    <w:semiHidden/>
    <w:unhideWhenUsed/>
    <w:rsid w:val="003D3CB3"/>
    <w:rPr>
      <w:rFonts w:ascii="Times New Roman" w:hAnsi="Times New Roman"/>
      <w:color w:val="FF0000"/>
      <w:shd w:val="clear" w:color="auto" w:fill="E1DFDD"/>
    </w:rPr>
  </w:style>
  <w:style w:type="paragraph" w:styleId="TOAHeading">
    <w:name w:val="toa heading"/>
    <w:basedOn w:val="Normal"/>
    <w:next w:val="Normal"/>
    <w:uiPriority w:val="99"/>
    <w:semiHidden/>
    <w:unhideWhenUsed/>
    <w:rsid w:val="003D3CB3"/>
    <w:pPr>
      <w:spacing w:before="120"/>
    </w:pPr>
    <w:rPr>
      <w:rFonts w:eastAsiaTheme="majorEastAsia" w:cstheme="majorBidi"/>
      <w:b/>
      <w:bCs/>
      <w:szCs w:val="24"/>
    </w:rPr>
  </w:style>
  <w:style w:type="paragraph" w:styleId="CommentText">
    <w:name w:val="annotation text"/>
    <w:basedOn w:val="Normal"/>
    <w:link w:val="CommentTextChar"/>
    <w:uiPriority w:val="99"/>
    <w:unhideWhenUsed/>
    <w:rsid w:val="0074664A"/>
    <w:pPr>
      <w:spacing w:line="240" w:lineRule="auto"/>
    </w:pPr>
    <w:rPr>
      <w:sz w:val="20"/>
      <w:szCs w:val="20"/>
    </w:rPr>
  </w:style>
  <w:style w:type="character" w:customStyle="1" w:styleId="CommentTextChar">
    <w:name w:val="Comment Text Char"/>
    <w:basedOn w:val="DefaultParagraphFont"/>
    <w:link w:val="CommentText"/>
    <w:uiPriority w:val="99"/>
    <w:rsid w:val="0074664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664A"/>
    <w:rPr>
      <w:b/>
      <w:bCs/>
    </w:rPr>
  </w:style>
  <w:style w:type="character" w:customStyle="1" w:styleId="CommentSubjectChar">
    <w:name w:val="Comment Subject Char"/>
    <w:basedOn w:val="CommentTextChar"/>
    <w:link w:val="CommentSubject"/>
    <w:uiPriority w:val="99"/>
    <w:semiHidden/>
    <w:rsid w:val="0074664A"/>
    <w:rPr>
      <w:rFonts w:ascii="Times New Roman" w:hAnsi="Times New Roman"/>
      <w:b/>
      <w:bCs/>
      <w:sz w:val="20"/>
      <w:szCs w:val="20"/>
    </w:rPr>
  </w:style>
  <w:style w:type="paragraph" w:styleId="BalloonText">
    <w:name w:val="Balloon Text"/>
    <w:basedOn w:val="Normal"/>
    <w:link w:val="BalloonTextChar"/>
    <w:uiPriority w:val="99"/>
    <w:semiHidden/>
    <w:unhideWhenUsed/>
    <w:rsid w:val="0074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64A"/>
    <w:rPr>
      <w:rFonts w:ascii="Segoe UI" w:hAnsi="Segoe UI" w:cs="Segoe UI"/>
      <w:sz w:val="18"/>
      <w:szCs w:val="18"/>
    </w:rPr>
  </w:style>
  <w:style w:type="paragraph" w:styleId="ListParagraph">
    <w:name w:val="List Paragraph"/>
    <w:basedOn w:val="Normal"/>
    <w:uiPriority w:val="34"/>
    <w:qFormat/>
    <w:rsid w:val="00857419"/>
    <w:pPr>
      <w:ind w:left="720"/>
      <w:contextualSpacing/>
    </w:pPr>
  </w:style>
  <w:style w:type="paragraph" w:customStyle="1" w:styleId="TableReferences">
    <w:name w:val="Table References"/>
    <w:basedOn w:val="Normal"/>
    <w:link w:val="TableReferencesChar"/>
    <w:qFormat/>
    <w:rsid w:val="009F2E8F"/>
    <w:rPr>
      <w:sz w:val="20"/>
    </w:rPr>
  </w:style>
  <w:style w:type="character" w:customStyle="1" w:styleId="TableReferencesChar">
    <w:name w:val="Table References Char"/>
    <w:basedOn w:val="DefaultParagraphFont"/>
    <w:link w:val="TableReferences"/>
    <w:rsid w:val="009F2E8F"/>
    <w:rPr>
      <w:rFonts w:ascii="Times New Roman" w:hAnsi="Times New Roman"/>
      <w:sz w:val="20"/>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E53F18"/>
    <w:rPr>
      <w:color w:val="2B579A"/>
      <w:shd w:val="clear" w:color="auto" w:fill="E6E6E6"/>
    </w:rPr>
  </w:style>
  <w:style w:type="paragraph" w:styleId="Revision">
    <w:name w:val="Revision"/>
    <w:hidden/>
    <w:uiPriority w:val="99"/>
    <w:semiHidden/>
    <w:rsid w:val="00227DCF"/>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CA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5Tables/html/RUS_h.aspx"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artorano.Roslyn.F\Downloads\TEMPLATE%20-%20Styles%20Pane%20Presets%202021051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2" ma:contentTypeDescription="Create a new document." ma:contentTypeScope="" ma:versionID="f19187922aa7882f4ecf2328d5845cff">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9c98899b80fcc5b768abb18efa59c98"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xsi:nil="true"/>
  </documentManagement>
</p:properties>
</file>

<file path=customXml/itemProps1.xml><?xml version="1.0" encoding="utf-8"?>
<ds:datastoreItem xmlns:ds="http://schemas.openxmlformats.org/officeDocument/2006/customXml" ds:itemID="{1FF4B5FC-FE5C-4209-B8F4-FA7EEE8BAD64}">
  <ds:schemaRefs>
    <ds:schemaRef ds:uri="http://schemas.microsoft.com/sharepoint/v3/contenttype/forms"/>
  </ds:schemaRefs>
</ds:datastoreItem>
</file>

<file path=customXml/itemProps2.xml><?xml version="1.0" encoding="utf-8"?>
<ds:datastoreItem xmlns:ds="http://schemas.openxmlformats.org/officeDocument/2006/customXml" ds:itemID="{361B89D6-A3B6-455C-A75C-23A2C0874340}">
  <ds:schemaRefs>
    <ds:schemaRef ds:uri="http://schemas.openxmlformats.org/officeDocument/2006/bibliography"/>
  </ds:schemaRefs>
</ds:datastoreItem>
</file>

<file path=customXml/itemProps3.xml><?xml version="1.0" encoding="utf-8"?>
<ds:datastoreItem xmlns:ds="http://schemas.openxmlformats.org/officeDocument/2006/customXml" ds:itemID="{D49D4863-6978-49F7-83BD-8B1C5B0F6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3620A-9BA1-476C-966E-89948919D0AB}">
  <ds:schemaRefs>
    <ds:schemaRef ds:uri="http://schemas.microsoft.com/office/2006/metadata/properties"/>
    <ds:schemaRef ds:uri="http://schemas.microsoft.com/office/infopath/2007/PartnerControls"/>
    <ds:schemaRef ds:uri="0af022dc-40eb-4267-9920-65ac96adc2df"/>
  </ds:schemaRefs>
</ds:datastoreItem>
</file>

<file path=docProps/app.xml><?xml version="1.0" encoding="utf-8"?>
<Properties xmlns="http://schemas.openxmlformats.org/officeDocument/2006/extended-properties" xmlns:vt="http://schemas.openxmlformats.org/officeDocument/2006/docPropsVTypes">
  <Template>TEMPLATE - Styles Pane Presets 20210513</Template>
  <TotalTime>162</TotalTime>
  <Pages>15</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JVSG Forms Supporting Statement</vt:lpstr>
    </vt:vector>
  </TitlesOfParts>
  <Company>U.S. Department of Labor</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JVSG Forms Supporting Statement</dc:title>
  <dc:subject>JVSG Forms Supporting Statement</dc:subject>
  <dc:creator>U.S. Department of Labor</dc:creator>
  <cp:keywords>JVSG, forms, OMB</cp:keywords>
  <cp:lastModifiedBy>Haydin, Rebekah - VETS</cp:lastModifiedBy>
  <cp:revision>83</cp:revision>
  <dcterms:created xsi:type="dcterms:W3CDTF">2025-03-03T23:32:00Z</dcterms:created>
  <dcterms:modified xsi:type="dcterms:W3CDTF">2025-03-05T21:59:00Z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ies>
</file>