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1EE3" w:rsidRPr="007A5D4B" w:rsidP="00551EE3" w14:paraId="066BEC26" w14:textId="77777777">
      <w:pPr>
        <w:suppressAutoHyphens/>
        <w:jc w:val="center"/>
        <w:rPr>
          <w:rFonts w:cs="Arial"/>
          <w:b/>
          <w:sz w:val="22"/>
          <w:szCs w:val="22"/>
        </w:rPr>
      </w:pPr>
      <w:r>
        <w:rPr>
          <w:rFonts w:cs="Arial"/>
          <w:b/>
          <w:sz w:val="22"/>
          <w:szCs w:val="22"/>
        </w:rPr>
        <w:t>D</w:t>
      </w:r>
      <w:r w:rsidRPr="007A5D4B">
        <w:rPr>
          <w:rFonts w:cs="Arial"/>
          <w:b/>
          <w:sz w:val="22"/>
          <w:szCs w:val="22"/>
        </w:rPr>
        <w:t xml:space="preserve">EPARTMENT OF THE TREASURY </w:t>
      </w:r>
    </w:p>
    <w:p w:rsidR="00551EE3" w:rsidRPr="007A5D4B" w:rsidP="00551EE3" w14:paraId="754F107E" w14:textId="77777777">
      <w:pPr>
        <w:suppressAutoHyphens/>
        <w:jc w:val="center"/>
        <w:rPr>
          <w:rFonts w:cs="Arial"/>
          <w:b/>
          <w:sz w:val="22"/>
          <w:szCs w:val="22"/>
        </w:rPr>
      </w:pPr>
    </w:p>
    <w:p w:rsidR="00551EE3" w:rsidRPr="007A5D4B" w:rsidP="00551EE3" w14:paraId="7538B5CB" w14:textId="77777777">
      <w:pPr>
        <w:suppressAutoHyphens/>
        <w:jc w:val="center"/>
        <w:rPr>
          <w:rFonts w:cs="Arial"/>
          <w:b/>
          <w:sz w:val="22"/>
          <w:szCs w:val="22"/>
        </w:rPr>
      </w:pPr>
      <w:r w:rsidRPr="007A5D4B">
        <w:rPr>
          <w:rFonts w:cs="Arial"/>
          <w:b/>
          <w:sz w:val="22"/>
          <w:szCs w:val="22"/>
        </w:rPr>
        <w:t xml:space="preserve">ALCOHOL AND TOBACCO TAX AND TRADE BUREAU </w:t>
      </w:r>
    </w:p>
    <w:p w:rsidR="00551EE3" w:rsidRPr="0062354A" w:rsidP="00551EE3" w14:paraId="1BA32F0D" w14:textId="77777777">
      <w:pPr>
        <w:suppressAutoHyphens/>
        <w:jc w:val="center"/>
        <w:rPr>
          <w:rFonts w:cs="Arial"/>
          <w:b/>
          <w:sz w:val="28"/>
          <w:szCs w:val="28"/>
        </w:rPr>
      </w:pPr>
    </w:p>
    <w:p w:rsidR="00551EE3" w:rsidRPr="007A5D4B" w:rsidP="00551EE3" w14:paraId="5E50B467" w14:textId="77777777">
      <w:pPr>
        <w:suppressAutoHyphens/>
        <w:jc w:val="center"/>
        <w:rPr>
          <w:rFonts w:cs="Arial"/>
          <w:b/>
          <w:sz w:val="22"/>
          <w:szCs w:val="22"/>
        </w:rPr>
      </w:pPr>
      <w:r w:rsidRPr="007A5D4B">
        <w:rPr>
          <w:rFonts w:cs="Arial"/>
          <w:b/>
          <w:sz w:val="22"/>
          <w:szCs w:val="22"/>
        </w:rPr>
        <w:t xml:space="preserve">Supporting Statement –– Information Collection Request </w:t>
      </w:r>
    </w:p>
    <w:p w:rsidR="00551EE3" w:rsidRPr="00A61F80" w:rsidP="00551EE3" w14:paraId="5925B37A" w14:textId="77777777">
      <w:pPr>
        <w:suppressAutoHyphens/>
        <w:jc w:val="center"/>
        <w:rPr>
          <w:rFonts w:cs="Arial"/>
          <w:b/>
        </w:rPr>
      </w:pPr>
    </w:p>
    <w:p w:rsidR="00551EE3" w:rsidRPr="005325B2" w:rsidP="00551EE3" w14:paraId="166323EB" w14:textId="77777777">
      <w:pPr>
        <w:suppressAutoHyphens/>
        <w:jc w:val="center"/>
        <w:rPr>
          <w:rFonts w:cs="Arial"/>
          <w:b/>
          <w:sz w:val="22"/>
          <w:szCs w:val="22"/>
          <w:u w:val="single"/>
        </w:rPr>
      </w:pPr>
      <w:r w:rsidRPr="005325B2">
        <w:rPr>
          <w:rFonts w:cs="Arial"/>
          <w:b/>
          <w:sz w:val="22"/>
          <w:szCs w:val="22"/>
          <w:u w:val="single"/>
        </w:rPr>
        <w:t xml:space="preserve">OMB Control Number 1513–0090 </w:t>
      </w:r>
    </w:p>
    <w:p w:rsidR="00551EE3" w:rsidRPr="00A61F80" w:rsidP="0062354A" w14:paraId="7465A49E" w14:textId="77777777">
      <w:pPr>
        <w:suppressAutoHyphens/>
        <w:jc w:val="center"/>
        <w:rPr>
          <w:rFonts w:cs="Arial"/>
        </w:rPr>
      </w:pPr>
    </w:p>
    <w:p w:rsidR="00551EE3" w:rsidRPr="005325B2" w:rsidP="005325B2" w14:paraId="7A692EB7" w14:textId="77777777">
      <w:pPr>
        <w:jc w:val="center"/>
        <w:rPr>
          <w:rFonts w:cs="Arial"/>
          <w:b/>
          <w:sz w:val="22"/>
          <w:szCs w:val="22"/>
        </w:rPr>
      </w:pPr>
      <w:r w:rsidRPr="005325B2">
        <w:rPr>
          <w:rFonts w:cs="Arial"/>
          <w:b/>
          <w:sz w:val="22"/>
          <w:szCs w:val="22"/>
        </w:rPr>
        <w:t>Excise Tax Return – Alcohol and Tobacco Products (Puerto Rico)</w:t>
      </w:r>
      <w:r w:rsidR="005325B2">
        <w:rPr>
          <w:rFonts w:cs="Arial"/>
          <w:b/>
          <w:sz w:val="22"/>
          <w:szCs w:val="22"/>
        </w:rPr>
        <w:t xml:space="preserve"> </w:t>
      </w:r>
    </w:p>
    <w:p w:rsidR="00551EE3" w:rsidRPr="0062354A" w:rsidP="00551EE3" w14:paraId="30322349" w14:textId="77777777">
      <w:pPr>
        <w:suppressAutoHyphens/>
        <w:rPr>
          <w:rFonts w:cs="Arial"/>
          <w:sz w:val="36"/>
          <w:szCs w:val="36"/>
        </w:rPr>
      </w:pPr>
    </w:p>
    <w:p w:rsidR="00C91673" w:rsidRPr="00C961D8" w:rsidP="00C91673" w14:paraId="44F1DAC1" w14:textId="77777777">
      <w:pPr>
        <w:ind w:right="-324"/>
        <w:rPr>
          <w:rFonts w:cs="Arial"/>
          <w:b/>
          <w:sz w:val="22"/>
          <w:szCs w:val="22"/>
          <w:u w:val="single"/>
        </w:rPr>
      </w:pPr>
      <w:r w:rsidRPr="00C961D8">
        <w:rPr>
          <w:rFonts w:cs="Arial"/>
          <w:b/>
          <w:sz w:val="22"/>
          <w:szCs w:val="22"/>
          <w:u w:val="single"/>
        </w:rPr>
        <w:t xml:space="preserve">Changes Since Last Approval </w:t>
      </w:r>
    </w:p>
    <w:p w:rsidR="00C91673" w:rsidRPr="00C961D8" w:rsidP="00C91673" w14:paraId="0D61E9DF" w14:textId="77777777">
      <w:pPr>
        <w:ind w:right="-324"/>
        <w:rPr>
          <w:rFonts w:cs="Arial"/>
          <w:sz w:val="22"/>
          <w:szCs w:val="22"/>
        </w:rPr>
      </w:pPr>
    </w:p>
    <w:p w:rsidR="00C91673" w:rsidRPr="00C961D8" w:rsidP="00C91673" w14:paraId="0055B5A1" w14:textId="5730109E">
      <w:pPr>
        <w:spacing w:after="120"/>
        <w:ind w:left="360" w:right="-324"/>
        <w:rPr>
          <w:rFonts w:cs="Arial"/>
          <w:sz w:val="22"/>
          <w:szCs w:val="22"/>
        </w:rPr>
      </w:pPr>
      <w:r w:rsidRPr="00C961D8">
        <w:rPr>
          <w:rFonts w:cs="Arial"/>
          <w:sz w:val="22"/>
          <w:szCs w:val="22"/>
        </w:rPr>
        <w:t xml:space="preserve">In this Supporting Statement, TTB is updating the information provided in Questions 8, 12, and 14 to reflect changes to, respectively, the 60-day notice publication information, </w:t>
      </w:r>
      <w:r w:rsidR="00C3191E">
        <w:rPr>
          <w:rFonts w:cs="Arial"/>
          <w:sz w:val="22"/>
          <w:szCs w:val="22"/>
        </w:rPr>
        <w:t xml:space="preserve">the estimated </w:t>
      </w:r>
      <w:r w:rsidRPr="00C961D8">
        <w:rPr>
          <w:rFonts w:cs="Arial"/>
          <w:sz w:val="22"/>
          <w:szCs w:val="22"/>
        </w:rPr>
        <w:t xml:space="preserve">respondent labor costs, and </w:t>
      </w:r>
      <w:r w:rsidR="0025364E">
        <w:rPr>
          <w:rFonts w:cs="Arial"/>
          <w:sz w:val="22"/>
          <w:szCs w:val="22"/>
        </w:rPr>
        <w:t xml:space="preserve">the </w:t>
      </w:r>
      <w:r w:rsidR="00C3191E">
        <w:rPr>
          <w:rFonts w:cs="Arial"/>
          <w:sz w:val="22"/>
          <w:szCs w:val="22"/>
        </w:rPr>
        <w:t xml:space="preserve">estimated </w:t>
      </w:r>
      <w:r w:rsidRPr="00C961D8">
        <w:rPr>
          <w:rFonts w:cs="Arial"/>
          <w:sz w:val="22"/>
          <w:szCs w:val="22"/>
        </w:rPr>
        <w:t xml:space="preserve">Federal Government labor costs associated with this information collection. </w:t>
      </w:r>
    </w:p>
    <w:p w:rsidR="00C91673" w:rsidRPr="00A61F80" w:rsidP="00551EE3" w14:paraId="5E4FB002" w14:textId="77777777">
      <w:pPr>
        <w:suppressAutoHyphens/>
        <w:rPr>
          <w:rFonts w:cs="Arial"/>
          <w:sz w:val="28"/>
          <w:szCs w:val="28"/>
        </w:rPr>
      </w:pPr>
    </w:p>
    <w:p w:rsidR="00551EE3" w:rsidRPr="007A5D4B" w:rsidP="00551EE3" w14:paraId="0E80644A" w14:textId="77777777">
      <w:pPr>
        <w:suppressAutoHyphens/>
        <w:rPr>
          <w:rFonts w:cs="Arial"/>
          <w:b/>
          <w:sz w:val="22"/>
          <w:szCs w:val="22"/>
          <w:u w:val="single"/>
        </w:rPr>
      </w:pPr>
      <w:r w:rsidRPr="007A5D4B">
        <w:rPr>
          <w:rFonts w:cs="Arial"/>
          <w:b/>
          <w:sz w:val="22"/>
          <w:szCs w:val="22"/>
          <w:u w:val="single"/>
        </w:rPr>
        <w:t xml:space="preserve">A.  Justification </w:t>
      </w:r>
    </w:p>
    <w:p w:rsidR="00551EE3" w:rsidRPr="007A5D4B" w:rsidP="00551EE3" w14:paraId="6E942A45" w14:textId="77777777">
      <w:pPr>
        <w:suppressAutoHyphens/>
        <w:rPr>
          <w:rFonts w:cs="Arial"/>
          <w:sz w:val="22"/>
          <w:szCs w:val="22"/>
        </w:rPr>
      </w:pPr>
    </w:p>
    <w:p w:rsidR="00551EE3" w:rsidRPr="005325B2" w:rsidP="00551EE3" w14:paraId="45268C88" w14:textId="77777777">
      <w:pPr>
        <w:tabs>
          <w:tab w:val="left" w:pos="360"/>
        </w:tabs>
        <w:suppressAutoHyphens/>
        <w:rPr>
          <w:rFonts w:cs="Arial"/>
          <w:i/>
          <w:sz w:val="22"/>
          <w:szCs w:val="22"/>
        </w:rPr>
      </w:pPr>
      <w:r w:rsidRPr="005325B2">
        <w:rPr>
          <w:rFonts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551EE3" w:rsidP="00B81389" w14:paraId="72EA13CC" w14:textId="77777777">
      <w:pPr>
        <w:rPr>
          <w:rFonts w:cs="Arial"/>
          <w:sz w:val="22"/>
          <w:szCs w:val="22"/>
        </w:rPr>
      </w:pPr>
    </w:p>
    <w:p w:rsidR="00551EE3" w:rsidP="00551EE3" w14:paraId="19066383" w14:textId="77777777">
      <w:pPr>
        <w:ind w:left="360"/>
        <w:rPr>
          <w:rFonts w:cs="Arial"/>
          <w:sz w:val="22"/>
          <w:szCs w:val="22"/>
        </w:rPr>
      </w:pPr>
      <w:r w:rsidRPr="00987432">
        <w:rPr>
          <w:rFonts w:cs="Arial"/>
          <w:sz w:val="22"/>
          <w:szCs w:val="22"/>
        </w:rPr>
        <w:t>The Alcohol and Tobacco Tax and Trade Bureau (TTB) administers chapter 51 (distilled spirits, wine</w:t>
      </w:r>
      <w:r w:rsidR="005B5034">
        <w:rPr>
          <w:rFonts w:cs="Arial"/>
          <w:sz w:val="22"/>
          <w:szCs w:val="22"/>
        </w:rPr>
        <w:t>,</w:t>
      </w:r>
      <w:r w:rsidRPr="00987432">
        <w:rPr>
          <w:rFonts w:cs="Arial"/>
          <w:sz w:val="22"/>
          <w:szCs w:val="22"/>
        </w:rPr>
        <w:t xml:space="preserve"> and beer), chapter 52 (tobacco products</w:t>
      </w:r>
      <w:r w:rsidR="00661654">
        <w:rPr>
          <w:rFonts w:cs="Arial"/>
          <w:sz w:val="22"/>
          <w:szCs w:val="22"/>
        </w:rPr>
        <w:t xml:space="preserve">, </w:t>
      </w:r>
      <w:r w:rsidRPr="00987432">
        <w:rPr>
          <w:rFonts w:cs="Arial"/>
          <w:sz w:val="22"/>
          <w:szCs w:val="22"/>
        </w:rPr>
        <w:t>cigarette papers and tubes</w:t>
      </w:r>
      <w:r w:rsidR="00661654">
        <w:rPr>
          <w:rFonts w:cs="Arial"/>
          <w:sz w:val="22"/>
          <w:szCs w:val="22"/>
        </w:rPr>
        <w:t>, and processed tobacco</w:t>
      </w:r>
      <w:r w:rsidRPr="00987432">
        <w:rPr>
          <w:rFonts w:cs="Arial"/>
          <w:sz w:val="22"/>
          <w:szCs w:val="22"/>
        </w:rPr>
        <w:t>), and sections 4181–4182 (firearms and ammunition excise taxes) of the Internal Revenue Code of 1986, as amended, (IRC, 26 U.S.C.)</w:t>
      </w:r>
      <w:r w:rsidR="005B5034">
        <w:rPr>
          <w:rFonts w:cs="Arial"/>
          <w:sz w:val="22"/>
          <w:szCs w:val="22"/>
        </w:rPr>
        <w:t>.  TTB administers those IRC provisions</w:t>
      </w:r>
      <w:r w:rsidRPr="00987432">
        <w:rPr>
          <w:rFonts w:cs="Arial"/>
          <w:sz w:val="22"/>
          <w:szCs w:val="22"/>
        </w:rPr>
        <w:t xml:space="preserve"> pursuant to section 1111(d) of the Homeland Security Act of 2002, as codified at 6 U.S.C. 531(d).  In addition, the Secretary of the Treasury </w:t>
      </w:r>
      <w:r w:rsidR="00802A81">
        <w:rPr>
          <w:rFonts w:cs="Arial"/>
          <w:sz w:val="22"/>
          <w:szCs w:val="22"/>
        </w:rPr>
        <w:t>(</w:t>
      </w:r>
      <w:r w:rsidR="007E48BB">
        <w:rPr>
          <w:rFonts w:cs="Arial"/>
          <w:sz w:val="22"/>
          <w:szCs w:val="22"/>
        </w:rPr>
        <w:t xml:space="preserve">the </w:t>
      </w:r>
      <w:r w:rsidR="00802A81">
        <w:rPr>
          <w:rFonts w:cs="Arial"/>
          <w:sz w:val="22"/>
          <w:szCs w:val="22"/>
        </w:rPr>
        <w:t xml:space="preserve">Secretary) </w:t>
      </w:r>
      <w:r w:rsidRPr="00987432">
        <w:rPr>
          <w:rFonts w:cs="Arial"/>
          <w:sz w:val="22"/>
          <w:szCs w:val="22"/>
        </w:rPr>
        <w:t xml:space="preserve">has delegated certain IRC administrative and enforcement authorities to TTB through Treasury Order 120–01. </w:t>
      </w:r>
    </w:p>
    <w:p w:rsidR="00551EE3" w:rsidP="00551EE3" w14:paraId="2524495F" w14:textId="77777777">
      <w:pPr>
        <w:ind w:left="360"/>
        <w:rPr>
          <w:rFonts w:cs="Arial"/>
          <w:sz w:val="22"/>
          <w:szCs w:val="22"/>
        </w:rPr>
      </w:pPr>
    </w:p>
    <w:p w:rsidR="00EF6AC1" w:rsidP="00551EE3" w14:paraId="7C1F7E80" w14:textId="77777777">
      <w:pPr>
        <w:ind w:left="360"/>
        <w:rPr>
          <w:rFonts w:cs="Arial"/>
          <w:sz w:val="22"/>
          <w:szCs w:val="22"/>
        </w:rPr>
      </w:pPr>
      <w:r>
        <w:rPr>
          <w:rFonts w:cs="Arial"/>
          <w:sz w:val="22"/>
          <w:szCs w:val="22"/>
        </w:rPr>
        <w:t xml:space="preserve">Under </w:t>
      </w:r>
      <w:r w:rsidR="0091671F">
        <w:rPr>
          <w:rFonts w:cs="Arial"/>
          <w:sz w:val="22"/>
          <w:szCs w:val="22"/>
        </w:rPr>
        <w:t xml:space="preserve">those </w:t>
      </w:r>
      <w:r>
        <w:rPr>
          <w:rFonts w:cs="Arial"/>
          <w:sz w:val="22"/>
          <w:szCs w:val="22"/>
        </w:rPr>
        <w:t xml:space="preserve">statutory and delegated authorities, </w:t>
      </w:r>
      <w:r w:rsidRPr="000211EC" w:rsidR="00551EE3">
        <w:rPr>
          <w:rFonts w:cs="Arial"/>
          <w:sz w:val="22"/>
          <w:szCs w:val="22"/>
        </w:rPr>
        <w:t xml:space="preserve">TTB is responsible for the collection of the </w:t>
      </w:r>
      <w:r w:rsidR="0010294C">
        <w:rPr>
          <w:rFonts w:cs="Arial"/>
          <w:sz w:val="22"/>
          <w:szCs w:val="22"/>
        </w:rPr>
        <w:t xml:space="preserve">Federal </w:t>
      </w:r>
      <w:r w:rsidRPr="000211EC" w:rsidR="00551EE3">
        <w:rPr>
          <w:rFonts w:cs="Arial"/>
          <w:sz w:val="22"/>
          <w:szCs w:val="22"/>
        </w:rPr>
        <w:t>excise taxes on distilled spirits, wine,</w:t>
      </w:r>
      <w:r w:rsidR="00551EE3">
        <w:rPr>
          <w:rFonts w:cs="Arial"/>
          <w:sz w:val="22"/>
          <w:szCs w:val="22"/>
        </w:rPr>
        <w:t xml:space="preserve"> beer, tobacco products</w:t>
      </w:r>
      <w:r w:rsidRPr="000211EC" w:rsidR="00551EE3">
        <w:rPr>
          <w:rFonts w:cs="Arial"/>
          <w:sz w:val="22"/>
          <w:szCs w:val="22"/>
        </w:rPr>
        <w:t>, and cigarette papers</w:t>
      </w:r>
      <w:r w:rsidR="00551EE3">
        <w:rPr>
          <w:rFonts w:cs="Arial"/>
          <w:sz w:val="22"/>
          <w:szCs w:val="22"/>
        </w:rPr>
        <w:t xml:space="preserve"> </w:t>
      </w:r>
      <w:r w:rsidRPr="000211EC" w:rsidR="00551EE3">
        <w:rPr>
          <w:rFonts w:cs="Arial"/>
          <w:sz w:val="22"/>
          <w:szCs w:val="22"/>
        </w:rPr>
        <w:t xml:space="preserve">and tubes </w:t>
      </w:r>
      <w:r w:rsidR="005B5034">
        <w:rPr>
          <w:rFonts w:cs="Arial"/>
          <w:sz w:val="22"/>
          <w:szCs w:val="22"/>
        </w:rPr>
        <w:t xml:space="preserve">imposed </w:t>
      </w:r>
      <w:r w:rsidRPr="000211EC" w:rsidR="00551EE3">
        <w:rPr>
          <w:rFonts w:cs="Arial"/>
          <w:sz w:val="22"/>
          <w:szCs w:val="22"/>
        </w:rPr>
        <w:t xml:space="preserve">by </w:t>
      </w:r>
      <w:r w:rsidR="003A5546">
        <w:rPr>
          <w:rFonts w:cs="Arial"/>
          <w:sz w:val="22"/>
          <w:szCs w:val="22"/>
        </w:rPr>
        <w:t xml:space="preserve">chapters 51 and 52 of </w:t>
      </w:r>
      <w:r>
        <w:rPr>
          <w:rFonts w:cs="Arial"/>
          <w:sz w:val="22"/>
          <w:szCs w:val="22"/>
        </w:rPr>
        <w:t>the IRC</w:t>
      </w:r>
      <w:r w:rsidR="003A5546">
        <w:rPr>
          <w:rFonts w:cs="Arial"/>
          <w:sz w:val="22"/>
          <w:szCs w:val="22"/>
        </w:rPr>
        <w:t xml:space="preserve">.  As provided at </w:t>
      </w:r>
      <w:r w:rsidRPr="000211EC" w:rsidR="00551EE3">
        <w:rPr>
          <w:rFonts w:cs="Arial"/>
          <w:sz w:val="22"/>
          <w:szCs w:val="22"/>
        </w:rPr>
        <w:t>26 U.S.C. 5061(a) and 26 U.S.C. 5703(b)</w:t>
      </w:r>
      <w:r w:rsidR="003F7192">
        <w:rPr>
          <w:rFonts w:cs="Arial"/>
          <w:sz w:val="22"/>
          <w:szCs w:val="22"/>
        </w:rPr>
        <w:t xml:space="preserve">, </w:t>
      </w:r>
      <w:r w:rsidR="003A5546">
        <w:rPr>
          <w:rFonts w:cs="Arial"/>
          <w:sz w:val="22"/>
          <w:szCs w:val="22"/>
        </w:rPr>
        <w:t xml:space="preserve">the IRC </w:t>
      </w:r>
      <w:r>
        <w:rPr>
          <w:rFonts w:cs="Arial"/>
          <w:sz w:val="22"/>
          <w:szCs w:val="22"/>
        </w:rPr>
        <w:t xml:space="preserve">requires that </w:t>
      </w:r>
      <w:r w:rsidR="0010294C">
        <w:rPr>
          <w:rFonts w:cs="Arial"/>
          <w:sz w:val="22"/>
          <w:szCs w:val="22"/>
        </w:rPr>
        <w:t>th</w:t>
      </w:r>
      <w:r w:rsidR="00802A81">
        <w:rPr>
          <w:rFonts w:cs="Arial"/>
          <w:sz w:val="22"/>
          <w:szCs w:val="22"/>
        </w:rPr>
        <w:t>o</w:t>
      </w:r>
      <w:r w:rsidR="0010294C">
        <w:rPr>
          <w:rFonts w:cs="Arial"/>
          <w:sz w:val="22"/>
          <w:szCs w:val="22"/>
        </w:rPr>
        <w:t xml:space="preserve">se </w:t>
      </w:r>
      <w:r w:rsidR="00551EE3">
        <w:rPr>
          <w:rFonts w:cs="Arial"/>
          <w:sz w:val="22"/>
          <w:szCs w:val="22"/>
        </w:rPr>
        <w:t xml:space="preserve">taxes </w:t>
      </w:r>
      <w:r>
        <w:rPr>
          <w:rFonts w:cs="Arial"/>
          <w:sz w:val="22"/>
          <w:szCs w:val="22"/>
        </w:rPr>
        <w:t xml:space="preserve">be </w:t>
      </w:r>
      <w:r w:rsidRPr="000211EC" w:rsidR="00551EE3">
        <w:rPr>
          <w:rFonts w:cs="Arial"/>
          <w:sz w:val="22"/>
          <w:szCs w:val="22"/>
        </w:rPr>
        <w:t>collect</w:t>
      </w:r>
      <w:r w:rsidR="00551EE3">
        <w:rPr>
          <w:rFonts w:cs="Arial"/>
          <w:sz w:val="22"/>
          <w:szCs w:val="22"/>
        </w:rPr>
        <w:t>ed</w:t>
      </w:r>
      <w:r w:rsidR="003F7192">
        <w:rPr>
          <w:rFonts w:cs="Arial"/>
          <w:sz w:val="22"/>
          <w:szCs w:val="22"/>
        </w:rPr>
        <w:t xml:space="preserve"> on the basis of a return, filed </w:t>
      </w:r>
      <w:r w:rsidR="003A5546">
        <w:rPr>
          <w:rFonts w:cs="Arial"/>
          <w:sz w:val="22"/>
          <w:szCs w:val="22"/>
        </w:rPr>
        <w:t xml:space="preserve">for the periods, at the times, and containing the information the Secretary requires by </w:t>
      </w:r>
      <w:r w:rsidRPr="003A5546" w:rsidR="003A5546">
        <w:rPr>
          <w:rFonts w:cs="Arial"/>
          <w:sz w:val="22"/>
          <w:szCs w:val="22"/>
        </w:rPr>
        <w:t xml:space="preserve">regulation.  </w:t>
      </w:r>
      <w:r w:rsidRPr="003A5546" w:rsidR="00DD1884">
        <w:rPr>
          <w:rFonts w:cs="Arial"/>
          <w:sz w:val="22"/>
          <w:szCs w:val="22"/>
        </w:rPr>
        <w:t>T</w:t>
      </w:r>
      <w:r w:rsidRPr="003A5546">
        <w:rPr>
          <w:rFonts w:cs="Arial"/>
          <w:sz w:val="22"/>
          <w:szCs w:val="22"/>
        </w:rPr>
        <w:t>he IRC at 26 U.S.C. 7652(a)</w:t>
      </w:r>
      <w:r w:rsidRPr="003A5546" w:rsidR="00DD1884">
        <w:rPr>
          <w:rFonts w:cs="Arial"/>
          <w:sz w:val="22"/>
          <w:szCs w:val="22"/>
        </w:rPr>
        <w:t xml:space="preserve"> </w:t>
      </w:r>
      <w:r w:rsidR="00B92D21">
        <w:rPr>
          <w:rFonts w:cs="Arial"/>
          <w:sz w:val="22"/>
          <w:szCs w:val="22"/>
        </w:rPr>
        <w:t xml:space="preserve">also </w:t>
      </w:r>
      <w:r w:rsidRPr="003A5546" w:rsidR="00DD1884">
        <w:rPr>
          <w:rFonts w:cs="Arial"/>
          <w:sz w:val="22"/>
          <w:szCs w:val="22"/>
        </w:rPr>
        <w:t>provides that</w:t>
      </w:r>
      <w:r w:rsidRPr="003A5546">
        <w:rPr>
          <w:rFonts w:cs="Arial"/>
          <w:sz w:val="22"/>
          <w:szCs w:val="22"/>
        </w:rPr>
        <w:t xml:space="preserve"> </w:t>
      </w:r>
      <w:r w:rsidRPr="003A5546" w:rsidR="005750D0">
        <w:rPr>
          <w:rFonts w:cs="Arial"/>
          <w:sz w:val="22"/>
          <w:szCs w:val="22"/>
        </w:rPr>
        <w:t>taxes</w:t>
      </w:r>
      <w:r w:rsidR="00B92D21">
        <w:rPr>
          <w:rFonts w:cs="Arial"/>
          <w:sz w:val="22"/>
          <w:szCs w:val="22"/>
        </w:rPr>
        <w:t xml:space="preserve"> </w:t>
      </w:r>
      <w:r w:rsidRPr="003A5546" w:rsidR="005750D0">
        <w:rPr>
          <w:rFonts w:cs="Arial"/>
          <w:sz w:val="22"/>
          <w:szCs w:val="22"/>
        </w:rPr>
        <w:t>imposed by the IRC o</w:t>
      </w:r>
      <w:r w:rsidRPr="003A5546" w:rsidR="001E7D26">
        <w:rPr>
          <w:rFonts w:cs="Arial"/>
          <w:sz w:val="22"/>
          <w:szCs w:val="22"/>
        </w:rPr>
        <w:t xml:space="preserve">n domestic </w:t>
      </w:r>
      <w:r w:rsidR="0091671F">
        <w:rPr>
          <w:rFonts w:cs="Arial"/>
          <w:sz w:val="22"/>
          <w:szCs w:val="22"/>
        </w:rPr>
        <w:t>articles</w:t>
      </w:r>
      <w:r w:rsidR="00B92D21">
        <w:rPr>
          <w:rFonts w:cs="Arial"/>
          <w:sz w:val="22"/>
          <w:szCs w:val="22"/>
        </w:rPr>
        <w:t xml:space="preserve">, including </w:t>
      </w:r>
      <w:r w:rsidR="00A13F3A">
        <w:rPr>
          <w:rFonts w:cs="Arial"/>
          <w:sz w:val="22"/>
          <w:szCs w:val="22"/>
        </w:rPr>
        <w:t xml:space="preserve">excise taxes on </w:t>
      </w:r>
      <w:r w:rsidR="00B92D21">
        <w:rPr>
          <w:rFonts w:cs="Arial"/>
          <w:sz w:val="22"/>
          <w:szCs w:val="22"/>
        </w:rPr>
        <w:t xml:space="preserve">alcohol and tobacco </w:t>
      </w:r>
      <w:r w:rsidR="00A13F3A">
        <w:rPr>
          <w:rFonts w:cs="Arial"/>
          <w:sz w:val="22"/>
          <w:szCs w:val="22"/>
        </w:rPr>
        <w:t xml:space="preserve">products, </w:t>
      </w:r>
      <w:r w:rsidRPr="003A5546">
        <w:rPr>
          <w:rFonts w:cs="Arial"/>
          <w:sz w:val="22"/>
          <w:szCs w:val="22"/>
        </w:rPr>
        <w:t xml:space="preserve">apply at the same rates to </w:t>
      </w:r>
      <w:r w:rsidR="00A13F3A">
        <w:rPr>
          <w:rFonts w:cs="Arial"/>
          <w:sz w:val="22"/>
          <w:szCs w:val="22"/>
        </w:rPr>
        <w:t xml:space="preserve">similar products </w:t>
      </w:r>
      <w:r w:rsidRPr="003A5546" w:rsidR="00F80085">
        <w:rPr>
          <w:rFonts w:cs="Arial"/>
          <w:sz w:val="22"/>
          <w:szCs w:val="22"/>
        </w:rPr>
        <w:t xml:space="preserve">manufactured in </w:t>
      </w:r>
      <w:r w:rsidRPr="003A5546">
        <w:rPr>
          <w:rFonts w:cs="Arial"/>
          <w:sz w:val="22"/>
          <w:szCs w:val="22"/>
        </w:rPr>
        <w:t>Puerto Ric</w:t>
      </w:r>
      <w:r w:rsidRPr="003A5546" w:rsidR="00F80085">
        <w:rPr>
          <w:rFonts w:cs="Arial"/>
          <w:sz w:val="22"/>
          <w:szCs w:val="22"/>
        </w:rPr>
        <w:t>o and</w:t>
      </w:r>
      <w:r w:rsidRPr="003A5546">
        <w:rPr>
          <w:rFonts w:cs="Arial"/>
          <w:sz w:val="22"/>
          <w:szCs w:val="22"/>
        </w:rPr>
        <w:t xml:space="preserve"> brought into the United States</w:t>
      </w:r>
      <w:r w:rsidRPr="003A5546" w:rsidR="00F80085">
        <w:rPr>
          <w:rFonts w:cs="Arial"/>
          <w:sz w:val="22"/>
          <w:szCs w:val="22"/>
        </w:rPr>
        <w:t xml:space="preserve">, to be paid and collected </w:t>
      </w:r>
      <w:r w:rsidRPr="003A5546" w:rsidR="001E7D26">
        <w:rPr>
          <w:rFonts w:cs="Arial"/>
          <w:sz w:val="22"/>
          <w:szCs w:val="22"/>
        </w:rPr>
        <w:t>under such regulations as the Secretary shall issue</w:t>
      </w:r>
      <w:r w:rsidRPr="003A5546" w:rsidR="00F80085">
        <w:rPr>
          <w:rFonts w:cs="Arial"/>
          <w:sz w:val="22"/>
          <w:szCs w:val="22"/>
        </w:rPr>
        <w:t xml:space="preserve">. </w:t>
      </w:r>
      <w:r w:rsidRPr="003A5546" w:rsidR="000A1511">
        <w:rPr>
          <w:rFonts w:cs="Arial"/>
          <w:sz w:val="22"/>
          <w:szCs w:val="22"/>
        </w:rPr>
        <w:t xml:space="preserve"> In addition, </w:t>
      </w:r>
      <w:r w:rsidR="00CC0930">
        <w:rPr>
          <w:rFonts w:cs="Arial"/>
          <w:sz w:val="22"/>
          <w:szCs w:val="22"/>
        </w:rPr>
        <w:t xml:space="preserve">that </w:t>
      </w:r>
      <w:r w:rsidRPr="003A5546" w:rsidR="003A5546">
        <w:rPr>
          <w:rFonts w:cs="Arial"/>
          <w:sz w:val="22"/>
          <w:szCs w:val="22"/>
        </w:rPr>
        <w:t xml:space="preserve">section </w:t>
      </w:r>
      <w:r w:rsidRPr="003A5546" w:rsidR="000A1511">
        <w:rPr>
          <w:rFonts w:cs="Arial"/>
          <w:sz w:val="22"/>
          <w:szCs w:val="22"/>
        </w:rPr>
        <w:t xml:space="preserve">requires </w:t>
      </w:r>
      <w:r w:rsidR="005B5034">
        <w:rPr>
          <w:rFonts w:cs="Arial"/>
          <w:sz w:val="22"/>
          <w:szCs w:val="22"/>
        </w:rPr>
        <w:t xml:space="preserve">the transfer of </w:t>
      </w:r>
      <w:r w:rsidRPr="003A5546" w:rsidR="000A1511">
        <w:rPr>
          <w:rFonts w:cs="Arial"/>
          <w:sz w:val="22"/>
          <w:szCs w:val="22"/>
        </w:rPr>
        <w:t>the majority of taxes</w:t>
      </w:r>
      <w:r w:rsidR="00B92D21">
        <w:rPr>
          <w:rFonts w:cs="Arial"/>
          <w:sz w:val="22"/>
          <w:szCs w:val="22"/>
        </w:rPr>
        <w:t xml:space="preserve"> collected </w:t>
      </w:r>
      <w:r w:rsidR="00A13F3A">
        <w:rPr>
          <w:rFonts w:cs="Arial"/>
          <w:sz w:val="22"/>
          <w:szCs w:val="22"/>
        </w:rPr>
        <w:t xml:space="preserve">on Puerto Rican products brought into the United States </w:t>
      </w:r>
      <w:r w:rsidR="00B92D21">
        <w:rPr>
          <w:rFonts w:cs="Arial"/>
          <w:sz w:val="22"/>
          <w:szCs w:val="22"/>
        </w:rPr>
        <w:t xml:space="preserve">to </w:t>
      </w:r>
      <w:r w:rsidR="005B5034">
        <w:rPr>
          <w:rFonts w:cs="Arial"/>
          <w:sz w:val="22"/>
          <w:szCs w:val="22"/>
        </w:rPr>
        <w:t>t</w:t>
      </w:r>
      <w:r w:rsidRPr="003A5546" w:rsidR="000A1511">
        <w:rPr>
          <w:rFonts w:cs="Arial"/>
          <w:sz w:val="22"/>
          <w:szCs w:val="22"/>
        </w:rPr>
        <w:t xml:space="preserve">he treasury of </w:t>
      </w:r>
      <w:r w:rsidR="000C093C">
        <w:rPr>
          <w:rFonts w:cs="Arial"/>
          <w:sz w:val="22"/>
          <w:szCs w:val="22"/>
        </w:rPr>
        <w:t xml:space="preserve">the Commonwealth of </w:t>
      </w:r>
      <w:r w:rsidRPr="003A5546" w:rsidR="000A1511">
        <w:rPr>
          <w:rFonts w:cs="Arial"/>
          <w:sz w:val="22"/>
          <w:szCs w:val="22"/>
        </w:rPr>
        <w:t>Puerto Rico.</w:t>
      </w:r>
      <w:r w:rsidR="000A1511">
        <w:rPr>
          <w:rFonts w:cs="Arial"/>
          <w:sz w:val="22"/>
          <w:szCs w:val="22"/>
        </w:rPr>
        <w:t xml:space="preserve"> </w:t>
      </w:r>
    </w:p>
    <w:p w:rsidR="00EF6AC1" w:rsidP="00551EE3" w14:paraId="5F44EF28" w14:textId="77777777">
      <w:pPr>
        <w:ind w:left="360"/>
        <w:rPr>
          <w:rFonts w:cs="Arial"/>
          <w:sz w:val="22"/>
          <w:szCs w:val="22"/>
        </w:rPr>
      </w:pPr>
    </w:p>
    <w:p w:rsidR="00551EE3" w:rsidRPr="000211EC" w:rsidP="00CC0930" w14:paraId="7297B8B4" w14:textId="55617218">
      <w:pPr>
        <w:ind w:left="360"/>
        <w:rPr>
          <w:rFonts w:cs="Arial"/>
          <w:bCs/>
          <w:sz w:val="22"/>
          <w:szCs w:val="22"/>
        </w:rPr>
      </w:pPr>
      <w:r>
        <w:rPr>
          <w:rFonts w:cs="Arial"/>
          <w:sz w:val="22"/>
          <w:szCs w:val="22"/>
        </w:rPr>
        <w:t xml:space="preserve">As authorized by the IRC, </w:t>
      </w:r>
      <w:r w:rsidR="00F80085">
        <w:rPr>
          <w:rFonts w:cs="Arial"/>
          <w:sz w:val="22"/>
          <w:szCs w:val="22"/>
        </w:rPr>
        <w:t xml:space="preserve">the TTB regulations in </w:t>
      </w:r>
      <w:r w:rsidR="00083F31">
        <w:rPr>
          <w:rFonts w:cs="Arial"/>
          <w:sz w:val="22"/>
          <w:szCs w:val="22"/>
        </w:rPr>
        <w:t>27 CFR</w:t>
      </w:r>
      <w:r w:rsidR="0010294C">
        <w:rPr>
          <w:rFonts w:cs="Arial"/>
          <w:sz w:val="22"/>
          <w:szCs w:val="22"/>
        </w:rPr>
        <w:t xml:space="preserve"> part 26 (for distilled spirits, wine, and beer) and part 41 (for tobacco products and cigarette papers and tubes)</w:t>
      </w:r>
      <w:r w:rsidR="00083F31">
        <w:rPr>
          <w:rFonts w:cs="Arial"/>
          <w:sz w:val="22"/>
          <w:szCs w:val="22"/>
        </w:rPr>
        <w:t>, prescribe the use of TTB F 5000.25, Excise Tax Return –</w:t>
      </w:r>
      <w:r w:rsidRPr="000211EC">
        <w:rPr>
          <w:rFonts w:cs="Arial"/>
          <w:sz w:val="22"/>
          <w:szCs w:val="22"/>
        </w:rPr>
        <w:t xml:space="preserve"> Alcohol and Tobacco (Puerto Rico)</w:t>
      </w:r>
      <w:r>
        <w:rPr>
          <w:rFonts w:cs="Arial"/>
          <w:sz w:val="22"/>
          <w:szCs w:val="22"/>
        </w:rPr>
        <w:t xml:space="preserve"> </w:t>
      </w:r>
      <w:r w:rsidR="00C3191E">
        <w:rPr>
          <w:rFonts w:cs="Arial"/>
          <w:sz w:val="22"/>
          <w:szCs w:val="22"/>
        </w:rPr>
        <w:t xml:space="preserve">as the return </w:t>
      </w:r>
      <w:r>
        <w:rPr>
          <w:rFonts w:cs="Arial"/>
          <w:sz w:val="22"/>
          <w:szCs w:val="22"/>
        </w:rPr>
        <w:t xml:space="preserve">for </w:t>
      </w:r>
      <w:r w:rsidRPr="00B81389">
        <w:rPr>
          <w:rFonts w:cs="Arial"/>
          <w:sz w:val="22"/>
          <w:szCs w:val="22"/>
        </w:rPr>
        <w:t xml:space="preserve">collection of the </w:t>
      </w:r>
      <w:r w:rsidRPr="00B81389" w:rsidR="0010294C">
        <w:rPr>
          <w:rFonts w:cs="Arial"/>
          <w:sz w:val="22"/>
          <w:szCs w:val="22"/>
        </w:rPr>
        <w:t xml:space="preserve">excise </w:t>
      </w:r>
      <w:r w:rsidRPr="00B81389">
        <w:rPr>
          <w:rFonts w:cs="Arial"/>
          <w:sz w:val="22"/>
          <w:szCs w:val="22"/>
        </w:rPr>
        <w:t>tax</w:t>
      </w:r>
      <w:r w:rsidRPr="00B81389" w:rsidR="0010294C">
        <w:rPr>
          <w:rFonts w:cs="Arial"/>
          <w:sz w:val="22"/>
          <w:szCs w:val="22"/>
        </w:rPr>
        <w:t>es</w:t>
      </w:r>
      <w:r w:rsidRPr="00B81389" w:rsidR="00F80085">
        <w:rPr>
          <w:rFonts w:cs="Arial"/>
          <w:sz w:val="22"/>
          <w:szCs w:val="22"/>
        </w:rPr>
        <w:t xml:space="preserve"> </w:t>
      </w:r>
      <w:r w:rsidR="003A5546">
        <w:rPr>
          <w:rFonts w:cs="Arial"/>
          <w:sz w:val="22"/>
          <w:szCs w:val="22"/>
        </w:rPr>
        <w:t>imposed</w:t>
      </w:r>
      <w:r w:rsidRPr="00B81389" w:rsidR="00F80085">
        <w:rPr>
          <w:rFonts w:cs="Arial"/>
          <w:sz w:val="22"/>
          <w:szCs w:val="22"/>
        </w:rPr>
        <w:t xml:space="preserve"> by </w:t>
      </w:r>
      <w:r>
        <w:rPr>
          <w:rFonts w:cs="Arial"/>
          <w:sz w:val="22"/>
          <w:szCs w:val="22"/>
        </w:rPr>
        <w:t xml:space="preserve">the IRC on </w:t>
      </w:r>
      <w:r w:rsidR="005B5034">
        <w:rPr>
          <w:rFonts w:cs="Arial"/>
          <w:sz w:val="22"/>
          <w:szCs w:val="22"/>
        </w:rPr>
        <w:t xml:space="preserve">such </w:t>
      </w:r>
      <w:r>
        <w:rPr>
          <w:rFonts w:cs="Arial"/>
          <w:sz w:val="22"/>
          <w:szCs w:val="22"/>
        </w:rPr>
        <w:t xml:space="preserve">products.  </w:t>
      </w:r>
      <w:r w:rsidR="005B5034">
        <w:rPr>
          <w:rFonts w:cs="Arial"/>
          <w:sz w:val="22"/>
          <w:szCs w:val="22"/>
        </w:rPr>
        <w:t xml:space="preserve">Those </w:t>
      </w:r>
      <w:r w:rsidR="00CC0930">
        <w:rPr>
          <w:rFonts w:cs="Arial"/>
          <w:sz w:val="22"/>
          <w:szCs w:val="22"/>
        </w:rPr>
        <w:t xml:space="preserve">regulations are </w:t>
      </w:r>
      <w:r w:rsidR="005B5034">
        <w:rPr>
          <w:rFonts w:cs="Arial"/>
          <w:sz w:val="22"/>
          <w:szCs w:val="22"/>
        </w:rPr>
        <w:t xml:space="preserve">found in </w:t>
      </w:r>
      <w:r w:rsidR="00CC0930">
        <w:rPr>
          <w:rFonts w:cs="Arial"/>
          <w:sz w:val="22"/>
          <w:szCs w:val="22"/>
        </w:rPr>
        <w:t>§§ </w:t>
      </w:r>
      <w:r w:rsidRPr="00B81389" w:rsidR="00F80085">
        <w:rPr>
          <w:rFonts w:cs="Arial"/>
          <w:bCs/>
          <w:sz w:val="22"/>
          <w:szCs w:val="22"/>
        </w:rPr>
        <w:t>26.81</w:t>
      </w:r>
      <w:r w:rsidR="00CC0930">
        <w:rPr>
          <w:rFonts w:cs="Arial"/>
          <w:bCs/>
          <w:sz w:val="22"/>
          <w:szCs w:val="22"/>
        </w:rPr>
        <w:t xml:space="preserve">, </w:t>
      </w:r>
      <w:r w:rsidRPr="00B81389" w:rsidR="00872D85">
        <w:rPr>
          <w:rFonts w:cs="Arial"/>
          <w:bCs/>
          <w:sz w:val="22"/>
          <w:szCs w:val="22"/>
        </w:rPr>
        <w:t>26.96</w:t>
      </w:r>
      <w:r w:rsidR="00CC0930">
        <w:rPr>
          <w:rFonts w:cs="Arial"/>
          <w:bCs/>
          <w:sz w:val="22"/>
          <w:szCs w:val="22"/>
        </w:rPr>
        <w:t xml:space="preserve">, </w:t>
      </w:r>
      <w:r w:rsidRPr="00B81389" w:rsidR="00872D85">
        <w:rPr>
          <w:rFonts w:cs="Arial"/>
          <w:bCs/>
          <w:sz w:val="22"/>
          <w:szCs w:val="22"/>
        </w:rPr>
        <w:t>26.105</w:t>
      </w:r>
      <w:r w:rsidR="00CC0930">
        <w:rPr>
          <w:rFonts w:cs="Arial"/>
          <w:bCs/>
          <w:sz w:val="22"/>
          <w:szCs w:val="22"/>
        </w:rPr>
        <w:t xml:space="preserve">, </w:t>
      </w:r>
      <w:r w:rsidRPr="00B81389" w:rsidR="00872D85">
        <w:rPr>
          <w:rFonts w:cs="Arial"/>
          <w:bCs/>
          <w:sz w:val="22"/>
          <w:szCs w:val="22"/>
        </w:rPr>
        <w:t>26.112</w:t>
      </w:r>
      <w:r w:rsidR="00CC0930">
        <w:rPr>
          <w:rFonts w:cs="Arial"/>
          <w:bCs/>
          <w:sz w:val="22"/>
          <w:szCs w:val="22"/>
        </w:rPr>
        <w:t xml:space="preserve">, </w:t>
      </w:r>
      <w:r w:rsidRPr="00B81389" w:rsidR="00872D85">
        <w:rPr>
          <w:rFonts w:cs="Arial"/>
          <w:bCs/>
          <w:sz w:val="22"/>
          <w:szCs w:val="22"/>
        </w:rPr>
        <w:t>26.113</w:t>
      </w:r>
      <w:r w:rsidR="00CC0930">
        <w:rPr>
          <w:rFonts w:cs="Arial"/>
          <w:bCs/>
          <w:sz w:val="22"/>
          <w:szCs w:val="22"/>
        </w:rPr>
        <w:t xml:space="preserve">, </w:t>
      </w:r>
      <w:r w:rsidRPr="00B81389">
        <w:rPr>
          <w:rFonts w:cs="Arial"/>
          <w:bCs/>
          <w:sz w:val="22"/>
          <w:szCs w:val="22"/>
        </w:rPr>
        <w:t>41.105</w:t>
      </w:r>
      <w:r w:rsidR="00CC0930">
        <w:rPr>
          <w:rFonts w:cs="Arial"/>
          <w:bCs/>
          <w:sz w:val="22"/>
          <w:szCs w:val="22"/>
        </w:rPr>
        <w:t xml:space="preserve">, </w:t>
      </w:r>
      <w:r w:rsidRPr="00B81389" w:rsidR="00872D85">
        <w:rPr>
          <w:rFonts w:cs="Arial"/>
          <w:bCs/>
          <w:sz w:val="22"/>
          <w:szCs w:val="22"/>
        </w:rPr>
        <w:t>41.112 and</w:t>
      </w:r>
      <w:r w:rsidR="00CC0930">
        <w:rPr>
          <w:rFonts w:cs="Arial"/>
          <w:bCs/>
          <w:sz w:val="22"/>
          <w:szCs w:val="22"/>
        </w:rPr>
        <w:t xml:space="preserve"> </w:t>
      </w:r>
      <w:r w:rsidRPr="00B81389" w:rsidR="00872D85">
        <w:rPr>
          <w:rFonts w:cs="Arial"/>
          <w:bCs/>
          <w:sz w:val="22"/>
          <w:szCs w:val="22"/>
        </w:rPr>
        <w:t>41.114.</w:t>
      </w:r>
      <w:r w:rsidR="00872D85">
        <w:rPr>
          <w:rFonts w:cs="Arial"/>
          <w:bCs/>
          <w:sz w:val="22"/>
          <w:szCs w:val="22"/>
        </w:rPr>
        <w:t xml:space="preserve"> </w:t>
      </w:r>
    </w:p>
    <w:p w:rsidR="00872D85" w:rsidP="00590642" w14:paraId="4195D62A" w14:textId="77777777">
      <w:pPr>
        <w:tabs>
          <w:tab w:val="left" w:pos="1440"/>
          <w:tab w:val="left" w:pos="4320"/>
          <w:tab w:val="left" w:pos="7200"/>
        </w:tabs>
        <w:ind w:left="360"/>
        <w:rPr>
          <w:rFonts w:cs="Arial"/>
          <w:bCs/>
          <w:sz w:val="22"/>
          <w:szCs w:val="22"/>
        </w:rPr>
      </w:pPr>
    </w:p>
    <w:p w:rsidR="00551EE3" w:rsidRPr="00C3191E" w:rsidP="0062354A" w14:paraId="0F62908D" w14:textId="35DC464C">
      <w:pPr>
        <w:suppressAutoHyphens/>
        <w:ind w:left="360"/>
        <w:rPr>
          <w:rFonts w:cs="Arial"/>
          <w:sz w:val="22"/>
          <w:szCs w:val="22"/>
        </w:rPr>
      </w:pPr>
      <w:r w:rsidRPr="00C3191E">
        <w:rPr>
          <w:rFonts w:cs="Arial"/>
          <w:sz w:val="22"/>
          <w:szCs w:val="22"/>
        </w:rPr>
        <w:t>This information collection is aligned with</w:t>
      </w:r>
      <w:r w:rsidR="00C3191E">
        <w:rPr>
          <w:rFonts w:cs="Arial"/>
          <w:sz w:val="22"/>
          <w:szCs w:val="22"/>
        </w:rPr>
        <w:t xml:space="preserve"> </w:t>
      </w:r>
      <w:r w:rsidRPr="0062354A">
        <w:rPr>
          <w:rFonts w:cs="Arial"/>
          <w:sz w:val="22"/>
          <w:szCs w:val="22"/>
        </w:rPr>
        <w:t>Line of Business/Sub-function:</w:t>
      </w:r>
      <w:r w:rsidRPr="00C3191E">
        <w:rPr>
          <w:rFonts w:cs="Arial"/>
          <w:sz w:val="22"/>
          <w:szCs w:val="22"/>
        </w:rPr>
        <w:t xml:space="preserve">  </w:t>
      </w:r>
      <w:r w:rsidRPr="0062354A">
        <w:rPr>
          <w:rFonts w:cs="Arial"/>
          <w:i/>
          <w:iCs/>
          <w:sz w:val="22"/>
          <w:szCs w:val="22"/>
        </w:rPr>
        <w:t>General Government/Taxation Managemen</w:t>
      </w:r>
      <w:r w:rsidRPr="00C3191E">
        <w:rPr>
          <w:rFonts w:cs="Arial"/>
          <w:sz w:val="22"/>
          <w:szCs w:val="22"/>
        </w:rPr>
        <w:t>t.</w:t>
      </w:r>
      <w:r w:rsidRPr="00C3191E" w:rsidR="00590642">
        <w:rPr>
          <w:rFonts w:cs="Arial"/>
          <w:sz w:val="22"/>
          <w:szCs w:val="22"/>
        </w:rPr>
        <w:t xml:space="preserve"> </w:t>
      </w:r>
    </w:p>
    <w:p w:rsidR="00A61F80" w:rsidRPr="00A61F80" w:rsidP="00C3191E" w14:paraId="464BE54D" w14:textId="77777777">
      <w:pPr>
        <w:tabs>
          <w:tab w:val="left" w:pos="1080"/>
        </w:tabs>
        <w:suppressAutoHyphens/>
        <w:spacing w:line="240" w:lineRule="atLeast"/>
        <w:rPr>
          <w:rFonts w:cs="Arial"/>
          <w:sz w:val="28"/>
          <w:szCs w:val="28"/>
        </w:rPr>
      </w:pPr>
    </w:p>
    <w:p w:rsidR="00024AB9" w:rsidRPr="00872D85" w:rsidP="00C3191E" w14:paraId="68A89004" w14:textId="77777777">
      <w:pPr>
        <w:suppressAutoHyphens/>
        <w:rPr>
          <w:rFonts w:cs="Arial"/>
          <w:i/>
          <w:sz w:val="22"/>
          <w:szCs w:val="22"/>
        </w:rPr>
      </w:pPr>
      <w:r w:rsidRPr="00872D85">
        <w:rPr>
          <w:rFonts w:cs="Arial"/>
          <w:i/>
          <w:sz w:val="22"/>
          <w:szCs w:val="22"/>
        </w:rPr>
        <w:t xml:space="preserve">2.  How, by whom, and for what purpose is this information used? </w:t>
      </w:r>
    </w:p>
    <w:p w:rsidR="00024AB9" w:rsidP="00C3191E" w14:paraId="25A9C983" w14:textId="77777777">
      <w:pPr>
        <w:suppressAutoHyphens/>
        <w:rPr>
          <w:rFonts w:cs="Arial"/>
          <w:sz w:val="22"/>
          <w:szCs w:val="22"/>
        </w:rPr>
      </w:pPr>
    </w:p>
    <w:p w:rsidR="00311087" w:rsidRPr="00DD1884" w:rsidP="00DD1884" w14:paraId="7DA47B2E" w14:textId="01C44F7B">
      <w:pPr>
        <w:ind w:left="360"/>
        <w:rPr>
          <w:rFonts w:cs="Arial"/>
          <w:sz w:val="22"/>
          <w:szCs w:val="22"/>
        </w:rPr>
      </w:pPr>
      <w:r w:rsidRPr="00A67B87">
        <w:rPr>
          <w:rFonts w:cs="Arial"/>
          <w:sz w:val="22"/>
          <w:szCs w:val="22"/>
        </w:rPr>
        <w:t xml:space="preserve">This </w:t>
      </w:r>
      <w:r>
        <w:rPr>
          <w:rFonts w:cs="Arial"/>
          <w:sz w:val="22"/>
          <w:szCs w:val="22"/>
        </w:rPr>
        <w:t xml:space="preserve">information </w:t>
      </w:r>
      <w:r w:rsidRPr="00A67B87">
        <w:rPr>
          <w:rFonts w:cs="Arial"/>
          <w:sz w:val="22"/>
          <w:szCs w:val="22"/>
        </w:rPr>
        <w:t>collection is necessary to ensure the tax provisions of the IRC are appropriately applied</w:t>
      </w:r>
      <w:r>
        <w:rPr>
          <w:rFonts w:cs="Arial"/>
          <w:sz w:val="22"/>
          <w:szCs w:val="22"/>
        </w:rPr>
        <w:t xml:space="preserve">.  </w:t>
      </w:r>
      <w:r w:rsidR="00EF5FC9">
        <w:rPr>
          <w:rFonts w:cs="Arial"/>
          <w:sz w:val="22"/>
          <w:szCs w:val="22"/>
        </w:rPr>
        <w:t xml:space="preserve">TTB uses the information provided by respondents on TTB F 5000.25 to establish the taxpayer’s identity, the amount and type of excise taxes due, and the amount of tax paid.  </w:t>
      </w:r>
      <w:r w:rsidRPr="000211EC" w:rsidR="00EF5FC9">
        <w:rPr>
          <w:rFonts w:cs="Arial"/>
          <w:sz w:val="22"/>
          <w:szCs w:val="22"/>
        </w:rPr>
        <w:t xml:space="preserve">TTB </w:t>
      </w:r>
      <w:r w:rsidR="00EF5FC9">
        <w:rPr>
          <w:rFonts w:cs="Arial"/>
          <w:sz w:val="22"/>
          <w:szCs w:val="22"/>
        </w:rPr>
        <w:t xml:space="preserve">personnel </w:t>
      </w:r>
      <w:r w:rsidRPr="000211EC" w:rsidR="00EF5FC9">
        <w:rPr>
          <w:rFonts w:cs="Arial"/>
          <w:sz w:val="22"/>
          <w:szCs w:val="22"/>
        </w:rPr>
        <w:t>examine each return at least once</w:t>
      </w:r>
      <w:r w:rsidR="00EF5FC9">
        <w:rPr>
          <w:rFonts w:cs="Arial"/>
          <w:sz w:val="22"/>
          <w:szCs w:val="22"/>
        </w:rPr>
        <w:t>, and TTB may perform a</w:t>
      </w:r>
      <w:r w:rsidRPr="000211EC" w:rsidR="00EF5FC9">
        <w:rPr>
          <w:rFonts w:cs="Arial"/>
          <w:sz w:val="22"/>
          <w:szCs w:val="22"/>
        </w:rPr>
        <w:t xml:space="preserve">dditional </w:t>
      </w:r>
      <w:r w:rsidR="00EF5FC9">
        <w:rPr>
          <w:rFonts w:cs="Arial"/>
          <w:sz w:val="22"/>
          <w:szCs w:val="22"/>
        </w:rPr>
        <w:t xml:space="preserve">return </w:t>
      </w:r>
      <w:r w:rsidRPr="000211EC" w:rsidR="00EF5FC9">
        <w:rPr>
          <w:rFonts w:cs="Arial"/>
          <w:sz w:val="22"/>
          <w:szCs w:val="22"/>
        </w:rPr>
        <w:t>examination</w:t>
      </w:r>
      <w:r w:rsidR="00EF5FC9">
        <w:rPr>
          <w:rFonts w:cs="Arial"/>
          <w:sz w:val="22"/>
          <w:szCs w:val="22"/>
        </w:rPr>
        <w:t>s</w:t>
      </w:r>
      <w:r w:rsidRPr="000211EC" w:rsidR="00EF5FC9">
        <w:rPr>
          <w:rFonts w:cs="Arial"/>
          <w:sz w:val="22"/>
          <w:szCs w:val="22"/>
        </w:rPr>
        <w:t xml:space="preserve"> during on</w:t>
      </w:r>
      <w:r w:rsidRPr="000211EC" w:rsidR="00EF5FC9">
        <w:rPr>
          <w:rFonts w:cs="Arial"/>
          <w:sz w:val="22"/>
          <w:szCs w:val="22"/>
        </w:rPr>
        <w:noBreakHyphen/>
        <w:t xml:space="preserve">site </w:t>
      </w:r>
      <w:r w:rsidR="00EF5FC9">
        <w:rPr>
          <w:rFonts w:cs="Arial"/>
          <w:sz w:val="22"/>
          <w:szCs w:val="22"/>
        </w:rPr>
        <w:t xml:space="preserve">audits </w:t>
      </w:r>
      <w:r w:rsidRPr="000211EC" w:rsidR="00EF5FC9">
        <w:rPr>
          <w:rFonts w:cs="Arial"/>
          <w:sz w:val="22"/>
          <w:szCs w:val="22"/>
        </w:rPr>
        <w:t>of the taxpayer.</w:t>
      </w:r>
      <w:r w:rsidR="00EF5FC9">
        <w:rPr>
          <w:rFonts w:cs="Arial"/>
          <w:sz w:val="22"/>
          <w:szCs w:val="22"/>
        </w:rPr>
        <w:t xml:space="preserve">  The required information and examinations allow TTB to determine if the taxpayer has paid the correct amount of tax and to take additional action, such collection or refund of tax, when necessary.  </w:t>
      </w:r>
      <w:r w:rsidR="00DD1884">
        <w:rPr>
          <w:rFonts w:cs="Arial"/>
          <w:sz w:val="22"/>
          <w:szCs w:val="22"/>
        </w:rPr>
        <w:t xml:space="preserve">In addition, information provided on TTB F 5000.25 </w:t>
      </w:r>
      <w:r w:rsidR="00E02428">
        <w:rPr>
          <w:rFonts w:cs="Arial"/>
          <w:sz w:val="22"/>
          <w:szCs w:val="22"/>
        </w:rPr>
        <w:t>is necessary for T</w:t>
      </w:r>
      <w:r w:rsidR="00B95637">
        <w:rPr>
          <w:rFonts w:cs="Arial"/>
          <w:sz w:val="22"/>
          <w:szCs w:val="22"/>
        </w:rPr>
        <w:t>T</w:t>
      </w:r>
      <w:r w:rsidR="00E02428">
        <w:rPr>
          <w:rFonts w:cs="Arial"/>
          <w:sz w:val="22"/>
          <w:szCs w:val="22"/>
        </w:rPr>
        <w:t xml:space="preserve">B to determine </w:t>
      </w:r>
      <w:r w:rsidR="005750D0">
        <w:rPr>
          <w:rFonts w:cs="Arial"/>
          <w:sz w:val="22"/>
          <w:szCs w:val="22"/>
        </w:rPr>
        <w:t xml:space="preserve">the amount of </w:t>
      </w:r>
      <w:r w:rsidR="00E02428">
        <w:rPr>
          <w:rFonts w:cs="Arial"/>
          <w:sz w:val="22"/>
          <w:szCs w:val="22"/>
        </w:rPr>
        <w:t xml:space="preserve">collected </w:t>
      </w:r>
      <w:r w:rsidR="00DD1884">
        <w:rPr>
          <w:rFonts w:cs="Arial"/>
          <w:sz w:val="22"/>
          <w:szCs w:val="22"/>
        </w:rPr>
        <w:t>alcohol and tobacco</w:t>
      </w:r>
      <w:r w:rsidR="00E02428">
        <w:rPr>
          <w:rFonts w:cs="Arial"/>
          <w:sz w:val="22"/>
          <w:szCs w:val="22"/>
        </w:rPr>
        <w:t xml:space="preserve"> </w:t>
      </w:r>
      <w:r w:rsidR="00DD1884">
        <w:rPr>
          <w:rFonts w:cs="Arial"/>
          <w:sz w:val="22"/>
          <w:szCs w:val="22"/>
        </w:rPr>
        <w:t>excise tax</w:t>
      </w:r>
      <w:r w:rsidR="00F21391">
        <w:rPr>
          <w:rFonts w:cs="Arial"/>
          <w:sz w:val="22"/>
          <w:szCs w:val="22"/>
        </w:rPr>
        <w:t xml:space="preserve">es </w:t>
      </w:r>
      <w:r w:rsidR="00476214">
        <w:rPr>
          <w:rFonts w:cs="Arial"/>
          <w:sz w:val="22"/>
          <w:szCs w:val="22"/>
        </w:rPr>
        <w:t>that it must transfer to t</w:t>
      </w:r>
      <w:r w:rsidRPr="00DD1884" w:rsidR="00DD1884">
        <w:rPr>
          <w:rFonts w:cs="Arial"/>
          <w:sz w:val="22"/>
          <w:szCs w:val="22"/>
        </w:rPr>
        <w:t>he treasury of Puerto Rico.</w:t>
      </w:r>
      <w:r w:rsidR="00DD1884">
        <w:rPr>
          <w:rFonts w:cs="Arial"/>
          <w:sz w:val="22"/>
          <w:szCs w:val="22"/>
        </w:rPr>
        <w:t xml:space="preserve"> </w:t>
      </w:r>
    </w:p>
    <w:p w:rsidR="00024AB9" w:rsidRPr="00626375" w:rsidP="001E0C71" w14:paraId="2A1696B0" w14:textId="77777777">
      <w:pPr>
        <w:rPr>
          <w:rFonts w:cs="Arial"/>
          <w:sz w:val="28"/>
          <w:szCs w:val="28"/>
        </w:rPr>
      </w:pPr>
    </w:p>
    <w:p w:rsidR="00024AB9" w:rsidRPr="00B81389" w:rsidP="00024AB9" w14:paraId="3F9FA4E5" w14:textId="77777777">
      <w:pPr>
        <w:suppressAutoHyphens/>
        <w:rPr>
          <w:rFonts w:cs="Arial"/>
          <w:i/>
          <w:sz w:val="22"/>
          <w:szCs w:val="22"/>
        </w:rPr>
      </w:pPr>
      <w:r w:rsidRPr="00B81389">
        <w:rPr>
          <w:rFonts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024AB9" w:rsidRPr="007A5D4B" w:rsidP="00B81389" w14:paraId="6A85BF8D" w14:textId="77777777">
      <w:pPr>
        <w:suppressAutoHyphens/>
        <w:rPr>
          <w:rFonts w:cs="Arial"/>
          <w:sz w:val="22"/>
          <w:szCs w:val="22"/>
        </w:rPr>
      </w:pPr>
    </w:p>
    <w:p w:rsidR="008D6E67" w:rsidRPr="00C3191E" w:rsidP="00311087" w14:paraId="281286AD" w14:textId="1FB43AA1">
      <w:pPr>
        <w:suppressAutoHyphens/>
        <w:spacing w:line="240" w:lineRule="atLeast"/>
        <w:ind w:left="360"/>
        <w:rPr>
          <w:rFonts w:cs="Arial"/>
          <w:sz w:val="22"/>
          <w:szCs w:val="22"/>
        </w:rPr>
      </w:pPr>
      <w:r>
        <w:rPr>
          <w:rFonts w:cs="Arial"/>
          <w:sz w:val="22"/>
          <w:szCs w:val="22"/>
        </w:rPr>
        <w:t>Currently, r</w:t>
      </w:r>
      <w:r w:rsidRPr="00A67B87" w:rsidR="00A67B87">
        <w:rPr>
          <w:rFonts w:cs="Arial"/>
          <w:sz w:val="22"/>
          <w:szCs w:val="22"/>
        </w:rPr>
        <w:t xml:space="preserve">espondents may electronically complete </w:t>
      </w:r>
      <w:r w:rsidR="00A67B87">
        <w:rPr>
          <w:rFonts w:cs="Arial"/>
          <w:sz w:val="22"/>
          <w:szCs w:val="22"/>
        </w:rPr>
        <w:t xml:space="preserve">TTB F 5000.25 and pay </w:t>
      </w:r>
      <w:r w:rsidR="0075596E">
        <w:rPr>
          <w:rFonts w:cs="Arial"/>
          <w:sz w:val="22"/>
          <w:szCs w:val="22"/>
        </w:rPr>
        <w:t xml:space="preserve">any </w:t>
      </w:r>
      <w:r w:rsidR="00A67B87">
        <w:rPr>
          <w:rFonts w:cs="Arial"/>
          <w:sz w:val="22"/>
          <w:szCs w:val="22"/>
        </w:rPr>
        <w:t xml:space="preserve">taxes due </w:t>
      </w:r>
      <w:r w:rsidRPr="00A67B87" w:rsidR="00A67B87">
        <w:rPr>
          <w:rFonts w:cs="Arial"/>
          <w:sz w:val="22"/>
          <w:szCs w:val="22"/>
        </w:rPr>
        <w:t xml:space="preserve">via the Federal government’s Pay.gov system; see </w:t>
      </w:r>
      <w:r w:rsidRPr="00A67B87" w:rsidR="00A67B87">
        <w:rPr>
          <w:rFonts w:cs="Arial"/>
          <w:i/>
          <w:sz w:val="22"/>
          <w:szCs w:val="22"/>
        </w:rPr>
        <w:t>https://www.ttb.gov/epayment</w:t>
      </w:r>
      <w:r w:rsidRPr="00A67B87" w:rsidR="00A67B87">
        <w:rPr>
          <w:rFonts w:cs="Arial"/>
          <w:sz w:val="22"/>
          <w:szCs w:val="22"/>
        </w:rPr>
        <w:t>.  Respondents may also download fil</w:t>
      </w:r>
      <w:r w:rsidR="0075596E">
        <w:rPr>
          <w:rFonts w:cs="Arial"/>
          <w:sz w:val="22"/>
          <w:szCs w:val="22"/>
        </w:rPr>
        <w:t xml:space="preserve">lable-printable versions of TTB F 5000.25 </w:t>
      </w:r>
      <w:r w:rsidRPr="00A67B87" w:rsidR="00A67B87">
        <w:rPr>
          <w:rFonts w:cs="Arial"/>
          <w:sz w:val="22"/>
          <w:szCs w:val="22"/>
        </w:rPr>
        <w:t xml:space="preserve">at no cost from the TTB website </w:t>
      </w:r>
      <w:r w:rsidRPr="00C3191E" w:rsidR="00A67B87">
        <w:rPr>
          <w:rFonts w:cs="Arial"/>
          <w:sz w:val="22"/>
          <w:szCs w:val="22"/>
        </w:rPr>
        <w:t xml:space="preserve">at </w:t>
      </w:r>
      <w:r w:rsidRPr="0062354A" w:rsidR="00C91673">
        <w:rPr>
          <w:i/>
          <w:iCs/>
          <w:sz w:val="22"/>
          <w:szCs w:val="22"/>
        </w:rPr>
        <w:t>https://www.ttb.gov/public-information/forms</w:t>
      </w:r>
      <w:r w:rsidRPr="00C3191E" w:rsidR="00C91673">
        <w:rPr>
          <w:rFonts w:cs="Arial"/>
          <w:sz w:val="22"/>
          <w:szCs w:val="22"/>
        </w:rPr>
        <w:t xml:space="preserve">. </w:t>
      </w:r>
    </w:p>
    <w:p w:rsidR="00024AB9" w:rsidRPr="00626375" w:rsidP="00024AB9" w14:paraId="69C55763" w14:textId="77777777">
      <w:pPr>
        <w:suppressAutoHyphens/>
        <w:rPr>
          <w:rFonts w:cs="Arial"/>
          <w:sz w:val="28"/>
          <w:szCs w:val="28"/>
        </w:rPr>
      </w:pPr>
    </w:p>
    <w:p w:rsidR="00024AB9" w:rsidRPr="00B81389" w:rsidP="00024AB9" w14:paraId="52B6682D" w14:textId="77777777">
      <w:pPr>
        <w:suppressAutoHyphens/>
        <w:rPr>
          <w:rFonts w:cs="Arial"/>
          <w:i/>
          <w:sz w:val="22"/>
          <w:szCs w:val="22"/>
        </w:rPr>
      </w:pPr>
      <w:r w:rsidRPr="00B81389">
        <w:rPr>
          <w:rFonts w:cs="Arial"/>
          <w:i/>
          <w:sz w:val="22"/>
          <w:szCs w:val="22"/>
        </w:rPr>
        <w:t xml:space="preserve">4.  What efforts are used to identify duplication?  Can similar information already available be used or modified for use for the purposes described in Item 2 above? </w:t>
      </w:r>
    </w:p>
    <w:p w:rsidR="00024AB9" w:rsidP="00B81389" w14:paraId="3AC75FD0" w14:textId="77777777">
      <w:pPr>
        <w:rPr>
          <w:rFonts w:cs="Arial"/>
          <w:sz w:val="22"/>
          <w:szCs w:val="22"/>
          <w:highlight w:val="yellow"/>
        </w:rPr>
      </w:pPr>
    </w:p>
    <w:p w:rsidR="008A207C" w:rsidRPr="008A207C" w:rsidP="008A207C" w14:paraId="0DB383C2" w14:textId="77777777">
      <w:pPr>
        <w:ind w:left="360"/>
        <w:rPr>
          <w:rFonts w:cs="Arial"/>
          <w:sz w:val="22"/>
          <w:szCs w:val="22"/>
        </w:rPr>
      </w:pPr>
      <w:r>
        <w:rPr>
          <w:rFonts w:cs="Arial"/>
          <w:sz w:val="22"/>
          <w:szCs w:val="22"/>
        </w:rPr>
        <w:t xml:space="preserve">The information TTB requires on </w:t>
      </w:r>
      <w:r w:rsidR="00590642">
        <w:rPr>
          <w:rFonts w:cs="Arial"/>
          <w:sz w:val="22"/>
          <w:szCs w:val="22"/>
        </w:rPr>
        <w:t>TTB F </w:t>
      </w:r>
      <w:r w:rsidR="00E24E90">
        <w:rPr>
          <w:rFonts w:cs="Arial"/>
          <w:sz w:val="22"/>
          <w:szCs w:val="22"/>
        </w:rPr>
        <w:t xml:space="preserve">5000.25 </w:t>
      </w:r>
      <w:r>
        <w:rPr>
          <w:rFonts w:cs="Arial"/>
          <w:sz w:val="22"/>
          <w:szCs w:val="22"/>
        </w:rPr>
        <w:t xml:space="preserve">is minimal and is unique </w:t>
      </w:r>
      <w:r w:rsidR="00D7745E">
        <w:rPr>
          <w:rFonts w:cs="Arial"/>
          <w:sz w:val="22"/>
          <w:szCs w:val="22"/>
        </w:rPr>
        <w:t xml:space="preserve">to </w:t>
      </w:r>
      <w:r w:rsidR="0075596E">
        <w:rPr>
          <w:rFonts w:cs="Arial"/>
          <w:sz w:val="22"/>
          <w:szCs w:val="22"/>
        </w:rPr>
        <w:t xml:space="preserve">each taxpayer and </w:t>
      </w:r>
      <w:r w:rsidR="00FF61F7">
        <w:rPr>
          <w:rFonts w:cs="Arial"/>
          <w:sz w:val="22"/>
          <w:szCs w:val="22"/>
        </w:rPr>
        <w:t xml:space="preserve">to </w:t>
      </w:r>
      <w:r w:rsidR="0075596E">
        <w:rPr>
          <w:rFonts w:cs="Arial"/>
          <w:sz w:val="22"/>
          <w:szCs w:val="22"/>
        </w:rPr>
        <w:t xml:space="preserve">each </w:t>
      </w:r>
      <w:r w:rsidR="005B5034">
        <w:rPr>
          <w:rFonts w:cs="Arial"/>
          <w:sz w:val="22"/>
          <w:szCs w:val="22"/>
        </w:rPr>
        <w:t>p</w:t>
      </w:r>
      <w:r>
        <w:rPr>
          <w:rFonts w:cs="Arial"/>
          <w:sz w:val="22"/>
          <w:szCs w:val="22"/>
        </w:rPr>
        <w:t xml:space="preserve">eriod for which </w:t>
      </w:r>
      <w:r w:rsidR="00FF61F7">
        <w:rPr>
          <w:rFonts w:cs="Arial"/>
          <w:sz w:val="22"/>
          <w:szCs w:val="22"/>
        </w:rPr>
        <w:t xml:space="preserve">they file </w:t>
      </w:r>
      <w:r>
        <w:rPr>
          <w:rFonts w:cs="Arial"/>
          <w:sz w:val="22"/>
          <w:szCs w:val="22"/>
        </w:rPr>
        <w:t>a return.  Only TTB collects the</w:t>
      </w:r>
      <w:r w:rsidRPr="008A207C">
        <w:rPr>
          <w:rFonts w:cs="Arial"/>
          <w:sz w:val="22"/>
          <w:szCs w:val="22"/>
        </w:rPr>
        <w:t xml:space="preserve"> Federal excise tax on alcohol and tobacco products </w:t>
      </w:r>
      <w:r>
        <w:rPr>
          <w:rFonts w:cs="Arial"/>
          <w:sz w:val="22"/>
          <w:szCs w:val="22"/>
        </w:rPr>
        <w:t>of Puerto Rican manufacture brought into the United States, and this information is not available to TTB from o</w:t>
      </w:r>
      <w:r w:rsidRPr="008A207C">
        <w:rPr>
          <w:rFonts w:cs="Arial"/>
          <w:sz w:val="22"/>
          <w:szCs w:val="22"/>
        </w:rPr>
        <w:t>ther sources.</w:t>
      </w:r>
      <w:r>
        <w:rPr>
          <w:rFonts w:cs="Arial"/>
          <w:sz w:val="22"/>
          <w:szCs w:val="22"/>
        </w:rPr>
        <w:t xml:space="preserve"> </w:t>
      </w:r>
    </w:p>
    <w:p w:rsidR="00024AB9" w:rsidRPr="00626375" w:rsidP="00024AB9" w14:paraId="3AD2711C" w14:textId="77777777">
      <w:pPr>
        <w:suppressAutoHyphens/>
        <w:rPr>
          <w:rFonts w:cs="Arial"/>
          <w:sz w:val="28"/>
          <w:szCs w:val="28"/>
        </w:rPr>
      </w:pPr>
    </w:p>
    <w:p w:rsidR="00DB3ED1" w:rsidRPr="00EE4C1D" w:rsidP="00590642" w14:paraId="364A0B86" w14:textId="77777777">
      <w:pPr>
        <w:suppressAutoHyphens/>
        <w:spacing w:line="240" w:lineRule="atLeast"/>
        <w:rPr>
          <w:rFonts w:cs="Arial"/>
          <w:i/>
          <w:sz w:val="22"/>
          <w:szCs w:val="22"/>
        </w:rPr>
      </w:pPr>
      <w:r w:rsidRPr="00EE4C1D">
        <w:rPr>
          <w:rFonts w:cs="Arial"/>
          <w:i/>
          <w:sz w:val="22"/>
          <w:szCs w:val="22"/>
        </w:rPr>
        <w:t xml:space="preserve">5.  </w:t>
      </w:r>
      <w:r w:rsidRPr="00EE4C1D">
        <w:rPr>
          <w:rFonts w:cs="Arial"/>
          <w:i/>
          <w:sz w:val="22"/>
          <w:szCs w:val="22"/>
        </w:rPr>
        <w:t>If this collection of information impacts small businesses or other small</w:t>
      </w:r>
      <w:r w:rsidRPr="00EE4C1D" w:rsidR="00A13D67">
        <w:rPr>
          <w:rFonts w:cs="Arial"/>
          <w:i/>
          <w:sz w:val="22"/>
          <w:szCs w:val="22"/>
        </w:rPr>
        <w:t xml:space="preserve"> entities, what</w:t>
      </w:r>
      <w:r w:rsidRPr="00EE4C1D">
        <w:rPr>
          <w:rFonts w:cs="Arial"/>
          <w:i/>
          <w:sz w:val="22"/>
          <w:szCs w:val="22"/>
        </w:rPr>
        <w:t xml:space="preserve"> </w:t>
      </w:r>
      <w:r w:rsidRPr="00EE4C1D">
        <w:rPr>
          <w:rFonts w:cs="Arial"/>
          <w:i/>
          <w:sz w:val="22"/>
          <w:szCs w:val="22"/>
        </w:rPr>
        <w:t>methods are used to minimize burden?</w:t>
      </w:r>
      <w:r w:rsidRPr="00EE4C1D">
        <w:rPr>
          <w:rFonts w:cs="Arial"/>
          <w:i/>
          <w:sz w:val="22"/>
          <w:szCs w:val="22"/>
        </w:rPr>
        <w:t xml:space="preserve"> </w:t>
      </w:r>
    </w:p>
    <w:p w:rsidR="00DB3ED1" w:rsidRPr="00EE4C1D" w:rsidP="00B81389" w14:paraId="51A8F10A" w14:textId="77777777">
      <w:pPr>
        <w:suppressAutoHyphens/>
        <w:spacing w:line="240" w:lineRule="atLeast"/>
        <w:rPr>
          <w:rFonts w:cs="Arial"/>
          <w:sz w:val="22"/>
          <w:szCs w:val="22"/>
        </w:rPr>
      </w:pPr>
    </w:p>
    <w:p w:rsidR="00821B61" w:rsidRPr="00DD1884" w:rsidP="00821B61" w14:paraId="5933F2E9" w14:textId="1487BE15">
      <w:pPr>
        <w:ind w:left="360"/>
        <w:rPr>
          <w:rFonts w:cs="Arial"/>
          <w:sz w:val="22"/>
          <w:szCs w:val="22"/>
        </w:rPr>
      </w:pPr>
      <w:r w:rsidRPr="00EE4C1D">
        <w:rPr>
          <w:rFonts w:cs="Arial"/>
          <w:sz w:val="22"/>
          <w:szCs w:val="22"/>
        </w:rPr>
        <w:t>This information collection does not have a significant impact on a substantial number of small businesses or other small entities</w:t>
      </w:r>
      <w:r w:rsidR="00A61F80">
        <w:rPr>
          <w:rFonts w:cs="Arial"/>
          <w:sz w:val="22"/>
          <w:szCs w:val="22"/>
        </w:rPr>
        <w:t>, and t</w:t>
      </w:r>
      <w:r w:rsidRPr="00476214" w:rsidR="00476214">
        <w:rPr>
          <w:rFonts w:cs="Arial"/>
          <w:sz w:val="22"/>
          <w:szCs w:val="22"/>
        </w:rPr>
        <w:t>h</w:t>
      </w:r>
      <w:r w:rsidR="00A61F80">
        <w:rPr>
          <w:rFonts w:cs="Arial"/>
          <w:sz w:val="22"/>
          <w:szCs w:val="22"/>
        </w:rPr>
        <w:t>e information required on TTB F </w:t>
      </w:r>
      <w:r w:rsidRPr="00476214" w:rsidR="00476214">
        <w:rPr>
          <w:rFonts w:cs="Arial"/>
          <w:sz w:val="22"/>
          <w:szCs w:val="22"/>
        </w:rPr>
        <w:t xml:space="preserve">5000.25 is minimal.  The excise tax liabilities reported on that form are based on the amount of taxable commodities produced </w:t>
      </w:r>
      <w:r w:rsidR="00A61F80">
        <w:rPr>
          <w:rFonts w:cs="Arial"/>
          <w:sz w:val="22"/>
          <w:szCs w:val="22"/>
        </w:rPr>
        <w:t xml:space="preserve">and removed </w:t>
      </w:r>
      <w:r w:rsidRPr="00476214" w:rsidR="00476214">
        <w:rPr>
          <w:rFonts w:cs="Arial"/>
          <w:sz w:val="22"/>
          <w:szCs w:val="22"/>
        </w:rPr>
        <w:t xml:space="preserve">by respondents during a given time period.  TTB notes that respondents account for their production of alcohol or tobacco products during the normal course of business to control and track their </w:t>
      </w:r>
      <w:r w:rsidR="00A61F80">
        <w:rPr>
          <w:rFonts w:cs="Arial"/>
          <w:sz w:val="22"/>
          <w:szCs w:val="22"/>
        </w:rPr>
        <w:t xml:space="preserve">operations </w:t>
      </w:r>
      <w:r w:rsidRPr="00476214" w:rsidR="00476214">
        <w:rPr>
          <w:rFonts w:cs="Arial"/>
          <w:sz w:val="22"/>
          <w:szCs w:val="22"/>
        </w:rPr>
        <w:t>and inventory</w:t>
      </w:r>
      <w:r w:rsidR="00476214">
        <w:rPr>
          <w:rFonts w:cs="Arial"/>
          <w:sz w:val="22"/>
          <w:szCs w:val="22"/>
        </w:rPr>
        <w:t xml:space="preserve">.  While </w:t>
      </w:r>
      <w:r w:rsidRPr="00EE4C1D">
        <w:rPr>
          <w:rFonts w:cs="Arial"/>
          <w:sz w:val="22"/>
          <w:szCs w:val="22"/>
        </w:rPr>
        <w:t xml:space="preserve">all tobacco entities, regardless of size, </w:t>
      </w:r>
      <w:r w:rsidRPr="00EE4C1D" w:rsidR="00EE4C1D">
        <w:rPr>
          <w:rFonts w:cs="Arial"/>
          <w:sz w:val="22"/>
          <w:szCs w:val="22"/>
        </w:rPr>
        <w:t xml:space="preserve">and all large alcohol entities </w:t>
      </w:r>
      <w:r w:rsidRPr="00EE4C1D">
        <w:rPr>
          <w:rFonts w:cs="Arial"/>
          <w:sz w:val="22"/>
          <w:szCs w:val="22"/>
        </w:rPr>
        <w:t>are required to pay tax and file returns on a semi-monthly basis</w:t>
      </w:r>
      <w:r w:rsidRPr="00EE4C1D" w:rsidR="00EE4C1D">
        <w:rPr>
          <w:rFonts w:cs="Arial"/>
          <w:sz w:val="22"/>
          <w:szCs w:val="22"/>
        </w:rPr>
        <w:t xml:space="preserve"> (three times in September)</w:t>
      </w:r>
      <w:r w:rsidR="00476214">
        <w:rPr>
          <w:rFonts w:cs="Arial"/>
          <w:sz w:val="22"/>
          <w:szCs w:val="22"/>
        </w:rPr>
        <w:t>, most small alcohol taxpayers may p</w:t>
      </w:r>
      <w:r w:rsidRPr="00EE4C1D" w:rsidR="00EE4C1D">
        <w:rPr>
          <w:rFonts w:cs="Arial"/>
          <w:sz w:val="22"/>
          <w:szCs w:val="22"/>
        </w:rPr>
        <w:t xml:space="preserve">ay tax and </w:t>
      </w:r>
      <w:r w:rsidRPr="00EE4C1D">
        <w:rPr>
          <w:rFonts w:cs="Arial"/>
          <w:sz w:val="22"/>
          <w:szCs w:val="22"/>
        </w:rPr>
        <w:t>file returns</w:t>
      </w:r>
      <w:r w:rsidRPr="00EE4C1D" w:rsidR="00EE4C1D">
        <w:rPr>
          <w:rFonts w:cs="Arial"/>
          <w:sz w:val="22"/>
          <w:szCs w:val="22"/>
        </w:rPr>
        <w:t xml:space="preserve"> </w:t>
      </w:r>
      <w:r w:rsidRPr="00EE4C1D">
        <w:rPr>
          <w:rFonts w:cs="Arial"/>
          <w:sz w:val="22"/>
          <w:szCs w:val="22"/>
        </w:rPr>
        <w:t>on an annual or quarterly basis</w:t>
      </w:r>
      <w:r w:rsidR="00476214">
        <w:rPr>
          <w:rFonts w:cs="Arial"/>
          <w:sz w:val="22"/>
          <w:szCs w:val="22"/>
        </w:rPr>
        <w:t xml:space="preserve"> under the </w:t>
      </w:r>
      <w:r w:rsidR="00476214">
        <w:rPr>
          <w:rFonts w:cs="Arial"/>
          <w:sz w:val="22"/>
          <w:szCs w:val="22"/>
        </w:rPr>
        <w:t>a</w:t>
      </w:r>
      <w:r w:rsidRPr="00476214" w:rsidR="00476214">
        <w:rPr>
          <w:rFonts w:cs="Arial"/>
          <w:sz w:val="22"/>
          <w:szCs w:val="22"/>
        </w:rPr>
        <w:t>uthority of 26 U.S.C. 5061(d)</w:t>
      </w:r>
      <w:r w:rsidRPr="00EE4C1D">
        <w:rPr>
          <w:rFonts w:cs="Arial"/>
          <w:sz w:val="22"/>
          <w:szCs w:val="22"/>
        </w:rPr>
        <w:t>.</w:t>
      </w:r>
      <w:r>
        <w:rPr>
          <w:rStyle w:val="FootnoteReference"/>
          <w:rFonts w:cs="Arial"/>
          <w:sz w:val="22"/>
          <w:szCs w:val="22"/>
        </w:rPr>
        <w:footnoteReference w:id="2"/>
      </w:r>
      <w:r w:rsidRPr="00EE4C1D">
        <w:rPr>
          <w:rFonts w:cs="Arial"/>
          <w:sz w:val="22"/>
          <w:szCs w:val="22"/>
        </w:rPr>
        <w:t xml:space="preserve">  Waiver or reduction of </w:t>
      </w:r>
      <w:r w:rsidR="00A61F80">
        <w:rPr>
          <w:rFonts w:cs="Arial"/>
          <w:sz w:val="22"/>
          <w:szCs w:val="22"/>
        </w:rPr>
        <w:t>those filing</w:t>
      </w:r>
      <w:r w:rsidRPr="00EE4C1D" w:rsidR="00EE4C1D">
        <w:rPr>
          <w:rFonts w:cs="Arial"/>
          <w:sz w:val="22"/>
          <w:szCs w:val="22"/>
        </w:rPr>
        <w:t xml:space="preserve"> </w:t>
      </w:r>
      <w:r w:rsidRPr="00EE4C1D">
        <w:rPr>
          <w:rFonts w:cs="Arial"/>
          <w:sz w:val="22"/>
          <w:szCs w:val="22"/>
        </w:rPr>
        <w:t>requirement</w:t>
      </w:r>
      <w:r w:rsidRPr="00EE4C1D" w:rsidR="00EE4C1D">
        <w:rPr>
          <w:rFonts w:cs="Arial"/>
          <w:sz w:val="22"/>
          <w:szCs w:val="22"/>
        </w:rPr>
        <w:t>s</w:t>
      </w:r>
      <w:r w:rsidRPr="00EE4C1D">
        <w:rPr>
          <w:rFonts w:cs="Arial"/>
          <w:sz w:val="22"/>
          <w:szCs w:val="22"/>
        </w:rPr>
        <w:t>, simply because the r</w:t>
      </w:r>
      <w:r w:rsidR="001F4B48">
        <w:rPr>
          <w:rFonts w:cs="Arial"/>
          <w:sz w:val="22"/>
          <w:szCs w:val="22"/>
        </w:rPr>
        <w:t>espondent’s business is small, wo</w:t>
      </w:r>
      <w:r w:rsidRPr="00EE4C1D">
        <w:rPr>
          <w:rFonts w:cs="Arial"/>
          <w:sz w:val="22"/>
          <w:szCs w:val="22"/>
        </w:rPr>
        <w:t xml:space="preserve">uld jeopardize </w:t>
      </w:r>
      <w:r w:rsidR="001F4B48">
        <w:rPr>
          <w:rFonts w:cs="Arial"/>
          <w:sz w:val="22"/>
          <w:szCs w:val="22"/>
        </w:rPr>
        <w:t>the ability of TTB t</w:t>
      </w:r>
      <w:r>
        <w:rPr>
          <w:rFonts w:cs="Arial"/>
          <w:sz w:val="22"/>
          <w:szCs w:val="22"/>
        </w:rPr>
        <w:t>o</w:t>
      </w:r>
      <w:r w:rsidRPr="005B5034" w:rsidR="005B5034">
        <w:rPr>
          <w:rFonts w:cs="Arial"/>
          <w:sz w:val="22"/>
          <w:szCs w:val="22"/>
        </w:rPr>
        <w:t xml:space="preserve"> ensure th</w:t>
      </w:r>
      <w:r w:rsidR="005B5034">
        <w:rPr>
          <w:rFonts w:cs="Arial"/>
          <w:sz w:val="22"/>
          <w:szCs w:val="22"/>
        </w:rPr>
        <w:t>at th</w:t>
      </w:r>
      <w:r w:rsidRPr="005B5034" w:rsidR="005B5034">
        <w:rPr>
          <w:rFonts w:cs="Arial"/>
          <w:sz w:val="22"/>
          <w:szCs w:val="22"/>
        </w:rPr>
        <w:t>e tax provisions of the IRC are appropriately applied</w:t>
      </w:r>
      <w:r w:rsidR="007947A0">
        <w:rPr>
          <w:rFonts w:cs="Arial"/>
          <w:sz w:val="22"/>
          <w:szCs w:val="22"/>
        </w:rPr>
        <w:t xml:space="preserve"> and to </w:t>
      </w:r>
      <w:r>
        <w:rPr>
          <w:rFonts w:cs="Arial"/>
          <w:sz w:val="22"/>
          <w:szCs w:val="22"/>
        </w:rPr>
        <w:t xml:space="preserve">determine the amount of </w:t>
      </w:r>
      <w:r w:rsidR="00476214">
        <w:rPr>
          <w:rFonts w:cs="Arial"/>
          <w:sz w:val="22"/>
          <w:szCs w:val="22"/>
        </w:rPr>
        <w:t xml:space="preserve">alcohol and tobacco excise </w:t>
      </w:r>
      <w:r>
        <w:rPr>
          <w:rFonts w:cs="Arial"/>
          <w:sz w:val="22"/>
          <w:szCs w:val="22"/>
        </w:rPr>
        <w:t xml:space="preserve">taxes </w:t>
      </w:r>
      <w:r w:rsidR="00476214">
        <w:rPr>
          <w:rFonts w:cs="Arial"/>
          <w:sz w:val="22"/>
          <w:szCs w:val="22"/>
        </w:rPr>
        <w:t xml:space="preserve">that it must transfer to </w:t>
      </w:r>
      <w:r w:rsidR="007947A0">
        <w:rPr>
          <w:rFonts w:cs="Arial"/>
          <w:sz w:val="22"/>
          <w:szCs w:val="22"/>
        </w:rPr>
        <w:t xml:space="preserve">the </w:t>
      </w:r>
      <w:r w:rsidRPr="00DD1884">
        <w:rPr>
          <w:rFonts w:cs="Arial"/>
          <w:sz w:val="22"/>
          <w:szCs w:val="22"/>
        </w:rPr>
        <w:t>treasury of Puerto Rico.</w:t>
      </w:r>
      <w:r>
        <w:rPr>
          <w:rFonts w:cs="Arial"/>
          <w:sz w:val="22"/>
          <w:szCs w:val="22"/>
        </w:rPr>
        <w:t xml:space="preserve"> </w:t>
      </w:r>
    </w:p>
    <w:p w:rsidR="00354F0F" w:rsidRPr="00626375" w:rsidP="001E0C71" w14:paraId="38FAAC29" w14:textId="77777777">
      <w:pPr>
        <w:rPr>
          <w:rFonts w:cs="Arial"/>
          <w:sz w:val="28"/>
          <w:szCs w:val="28"/>
        </w:rPr>
      </w:pPr>
    </w:p>
    <w:p w:rsidR="00DB3ED1" w:rsidRPr="00EE4C1D" w:rsidP="00227B91" w14:paraId="03AB80BB" w14:textId="77777777">
      <w:pPr>
        <w:suppressAutoHyphens/>
        <w:spacing w:line="240" w:lineRule="atLeast"/>
        <w:rPr>
          <w:rFonts w:cs="Arial"/>
          <w:i/>
          <w:sz w:val="22"/>
          <w:szCs w:val="22"/>
        </w:rPr>
      </w:pPr>
      <w:r w:rsidRPr="00EE4C1D">
        <w:rPr>
          <w:rFonts w:cs="Arial"/>
          <w:i/>
          <w:sz w:val="22"/>
          <w:szCs w:val="22"/>
        </w:rPr>
        <w:t xml:space="preserve">6.  </w:t>
      </w:r>
      <w:r w:rsidRPr="00EE4C1D">
        <w:rPr>
          <w:rFonts w:cs="Arial"/>
          <w:i/>
          <w:sz w:val="22"/>
          <w:szCs w:val="22"/>
        </w:rPr>
        <w:t>What consequences to Federal program or policy activities and what, if any, technical or legal obstacles to reducing burden will occur if this collection is not conducted or is conducted less frequently?</w:t>
      </w:r>
      <w:r w:rsidRPr="00EE4C1D">
        <w:rPr>
          <w:rFonts w:cs="Arial"/>
          <w:i/>
          <w:sz w:val="22"/>
          <w:szCs w:val="22"/>
        </w:rPr>
        <w:t xml:space="preserve"> </w:t>
      </w:r>
    </w:p>
    <w:p w:rsidR="00DB3ED1" w:rsidRPr="00EE4C1D" w:rsidP="00227B91" w14:paraId="6576459F" w14:textId="77777777">
      <w:pPr>
        <w:suppressAutoHyphens/>
        <w:spacing w:line="240" w:lineRule="atLeast"/>
        <w:ind w:left="360"/>
        <w:rPr>
          <w:rFonts w:cs="Arial"/>
          <w:sz w:val="22"/>
          <w:szCs w:val="22"/>
        </w:rPr>
      </w:pPr>
    </w:p>
    <w:p w:rsidR="00F21391" w:rsidP="00DD1884" w14:paraId="0559CDBD" w14:textId="77777777">
      <w:pPr>
        <w:ind w:left="360"/>
        <w:rPr>
          <w:rFonts w:cs="Arial"/>
          <w:sz w:val="22"/>
          <w:szCs w:val="22"/>
        </w:rPr>
      </w:pPr>
      <w:r w:rsidRPr="0075596E">
        <w:rPr>
          <w:rFonts w:cs="Arial"/>
          <w:sz w:val="22"/>
          <w:szCs w:val="22"/>
        </w:rPr>
        <w:t>Th</w:t>
      </w:r>
      <w:r>
        <w:rPr>
          <w:rFonts w:cs="Arial"/>
          <w:sz w:val="22"/>
          <w:szCs w:val="22"/>
        </w:rPr>
        <w:t xml:space="preserve">e </w:t>
      </w:r>
      <w:r w:rsidRPr="0075596E">
        <w:rPr>
          <w:rFonts w:cs="Arial"/>
          <w:sz w:val="22"/>
          <w:szCs w:val="22"/>
        </w:rPr>
        <w:t>information collect</w:t>
      </w:r>
      <w:r>
        <w:rPr>
          <w:rFonts w:cs="Arial"/>
          <w:sz w:val="22"/>
          <w:szCs w:val="22"/>
        </w:rPr>
        <w:t xml:space="preserve">ed on TTB F 5000.25 </w:t>
      </w:r>
      <w:r w:rsidRPr="0075596E">
        <w:rPr>
          <w:rFonts w:cs="Arial"/>
          <w:sz w:val="22"/>
          <w:szCs w:val="22"/>
        </w:rPr>
        <w:t>is necessary to ensure the tax provisions of the IRC are appropriately applied</w:t>
      </w:r>
      <w:r>
        <w:rPr>
          <w:rFonts w:cs="Arial"/>
          <w:sz w:val="22"/>
          <w:szCs w:val="22"/>
        </w:rPr>
        <w:t>.</w:t>
      </w:r>
      <w:r w:rsidRPr="00EE4C1D" w:rsidR="00CC4962">
        <w:rPr>
          <w:rFonts w:cs="Arial"/>
          <w:sz w:val="22"/>
          <w:szCs w:val="22"/>
        </w:rPr>
        <w:t xml:space="preserve">  Not collecting </w:t>
      </w:r>
      <w:r w:rsidR="00EE4C1D">
        <w:rPr>
          <w:rFonts w:cs="Arial"/>
          <w:sz w:val="22"/>
          <w:szCs w:val="22"/>
        </w:rPr>
        <w:t xml:space="preserve">or reducing the frequency of this collection </w:t>
      </w:r>
      <w:r w:rsidRPr="00EE4C1D" w:rsidR="00062EDD">
        <w:rPr>
          <w:rFonts w:cs="Arial"/>
          <w:sz w:val="22"/>
          <w:szCs w:val="22"/>
        </w:rPr>
        <w:t xml:space="preserve">would seriously jeopardize TTB's </w:t>
      </w:r>
      <w:r w:rsidRPr="00EE4C1D" w:rsidR="000A1511">
        <w:rPr>
          <w:rFonts w:cs="Arial"/>
          <w:sz w:val="22"/>
          <w:szCs w:val="22"/>
        </w:rPr>
        <w:t xml:space="preserve">ability to </w:t>
      </w:r>
      <w:r w:rsidR="00821B61">
        <w:rPr>
          <w:rFonts w:cs="Arial"/>
          <w:sz w:val="22"/>
          <w:szCs w:val="22"/>
        </w:rPr>
        <w:t xml:space="preserve">determine and account for </w:t>
      </w:r>
      <w:r w:rsidR="00EE4C1D">
        <w:rPr>
          <w:rFonts w:cs="Arial"/>
          <w:sz w:val="22"/>
          <w:szCs w:val="22"/>
        </w:rPr>
        <w:t xml:space="preserve">the </w:t>
      </w:r>
      <w:r w:rsidRPr="00EE4C1D" w:rsidR="00062EDD">
        <w:rPr>
          <w:rFonts w:cs="Arial"/>
          <w:sz w:val="22"/>
          <w:szCs w:val="22"/>
        </w:rPr>
        <w:t>excise tax</w:t>
      </w:r>
      <w:r w:rsidRPr="00EE4C1D" w:rsidR="000A1511">
        <w:rPr>
          <w:rFonts w:cs="Arial"/>
          <w:sz w:val="22"/>
          <w:szCs w:val="22"/>
        </w:rPr>
        <w:t xml:space="preserve">es due </w:t>
      </w:r>
      <w:r w:rsidRPr="00EE4C1D" w:rsidR="001E0C71">
        <w:rPr>
          <w:rFonts w:cs="Arial"/>
          <w:sz w:val="22"/>
          <w:szCs w:val="22"/>
        </w:rPr>
        <w:t>on alcohol and tobacco</w:t>
      </w:r>
      <w:r w:rsidRPr="00EE4C1D" w:rsidR="00227B91">
        <w:rPr>
          <w:rFonts w:cs="Arial"/>
          <w:sz w:val="22"/>
          <w:szCs w:val="22"/>
        </w:rPr>
        <w:t xml:space="preserve"> products of Puerto Rican origin</w:t>
      </w:r>
      <w:r w:rsidRPr="00EE4C1D" w:rsidR="000A1511">
        <w:rPr>
          <w:rFonts w:cs="Arial"/>
          <w:sz w:val="22"/>
          <w:szCs w:val="22"/>
        </w:rPr>
        <w:t xml:space="preserve"> brought into the United States</w:t>
      </w:r>
      <w:r>
        <w:rPr>
          <w:rFonts w:cs="Arial"/>
          <w:sz w:val="22"/>
          <w:szCs w:val="22"/>
        </w:rPr>
        <w:t xml:space="preserve">.  Such actions would also </w:t>
      </w:r>
      <w:r w:rsidRPr="00EE4C1D" w:rsidR="00CC4962">
        <w:rPr>
          <w:rFonts w:cs="Arial"/>
          <w:sz w:val="22"/>
          <w:szCs w:val="22"/>
        </w:rPr>
        <w:t xml:space="preserve">compromise TTB’s ability to calculate the amount of such </w:t>
      </w:r>
      <w:r w:rsidRPr="00EE4C1D" w:rsidR="00DD1884">
        <w:rPr>
          <w:rFonts w:cs="Arial"/>
          <w:sz w:val="22"/>
          <w:szCs w:val="22"/>
        </w:rPr>
        <w:t xml:space="preserve">taxes </w:t>
      </w:r>
      <w:r w:rsidR="00FD0E11">
        <w:rPr>
          <w:rFonts w:cs="Arial"/>
          <w:sz w:val="22"/>
          <w:szCs w:val="22"/>
        </w:rPr>
        <w:t>it must transfer to the t</w:t>
      </w:r>
      <w:r w:rsidRPr="00EE4C1D" w:rsidR="00DD1884">
        <w:rPr>
          <w:rFonts w:cs="Arial"/>
          <w:sz w:val="22"/>
          <w:szCs w:val="22"/>
        </w:rPr>
        <w:t>reasury of Puerto Rico</w:t>
      </w:r>
      <w:r>
        <w:rPr>
          <w:rFonts w:cs="Arial"/>
          <w:sz w:val="22"/>
          <w:szCs w:val="22"/>
        </w:rPr>
        <w:t xml:space="preserve">. </w:t>
      </w:r>
    </w:p>
    <w:p w:rsidR="00867EAF" w:rsidRPr="00626375" w:rsidP="00227B91" w14:paraId="6136917E" w14:textId="77777777">
      <w:pPr>
        <w:suppressAutoHyphens/>
        <w:spacing w:line="240" w:lineRule="atLeast"/>
        <w:rPr>
          <w:rFonts w:cs="Arial"/>
          <w:sz w:val="28"/>
          <w:szCs w:val="28"/>
        </w:rPr>
      </w:pPr>
    </w:p>
    <w:p w:rsidR="00831689" w:rsidRPr="0040277E" w:rsidP="00227B91" w14:paraId="057873B5" w14:textId="77777777">
      <w:pPr>
        <w:suppressAutoHyphens/>
        <w:spacing w:line="240" w:lineRule="atLeast"/>
        <w:rPr>
          <w:rFonts w:cs="Arial"/>
          <w:i/>
          <w:sz w:val="22"/>
          <w:szCs w:val="22"/>
        </w:rPr>
      </w:pPr>
      <w:r w:rsidRPr="0040277E">
        <w:rPr>
          <w:rFonts w:cs="Arial"/>
          <w:i/>
          <w:sz w:val="22"/>
          <w:szCs w:val="22"/>
        </w:rPr>
        <w:t xml:space="preserve">7.  </w:t>
      </w:r>
      <w:r w:rsidRPr="0040277E">
        <w:rPr>
          <w:rFonts w:cs="Arial"/>
          <w:i/>
          <w:sz w:val="22"/>
          <w:szCs w:val="22"/>
        </w:rPr>
        <w:t>Are there any special circumstances associated with this information collection</w:t>
      </w:r>
      <w:r w:rsidRPr="0040277E" w:rsidR="009F3B23">
        <w:rPr>
          <w:rFonts w:cs="Arial"/>
          <w:i/>
          <w:sz w:val="22"/>
          <w:szCs w:val="22"/>
        </w:rPr>
        <w:t xml:space="preserve"> that would require it to be conducted in a manner inconsistent with OMB guidelines</w:t>
      </w:r>
      <w:r w:rsidRPr="0040277E">
        <w:rPr>
          <w:rFonts w:cs="Arial"/>
          <w:i/>
          <w:sz w:val="22"/>
          <w:szCs w:val="22"/>
        </w:rPr>
        <w:t xml:space="preserve">? </w:t>
      </w:r>
    </w:p>
    <w:p w:rsidR="00831689" w:rsidRPr="000211EC" w:rsidP="0040277E" w14:paraId="78FB8D90" w14:textId="77777777">
      <w:pPr>
        <w:suppressAutoHyphens/>
        <w:spacing w:line="240" w:lineRule="atLeast"/>
        <w:rPr>
          <w:rFonts w:cs="Arial"/>
          <w:sz w:val="22"/>
          <w:szCs w:val="22"/>
        </w:rPr>
      </w:pPr>
    </w:p>
    <w:p w:rsidR="0040277E" w:rsidP="00227B91" w14:paraId="6572D0F6" w14:textId="77777777">
      <w:pPr>
        <w:pStyle w:val="PlainText"/>
        <w:ind w:left="360"/>
        <w:rPr>
          <w:rFonts w:ascii="Arial" w:hAnsi="Arial" w:cs="Arial"/>
          <w:sz w:val="22"/>
          <w:szCs w:val="22"/>
        </w:rPr>
      </w:pPr>
      <w:r>
        <w:rPr>
          <w:rFonts w:ascii="Arial" w:hAnsi="Arial" w:cs="Arial"/>
          <w:sz w:val="22"/>
          <w:szCs w:val="22"/>
        </w:rPr>
        <w:t>Under 5 </w:t>
      </w:r>
      <w:r w:rsidRPr="00FA0DB0">
        <w:rPr>
          <w:rFonts w:ascii="Arial" w:hAnsi="Arial" w:cs="Arial"/>
          <w:sz w:val="22"/>
          <w:szCs w:val="22"/>
        </w:rPr>
        <w:t>CFR 1320.5(d)(2)(i), requiring respondents to report information to an agency more often than quarterly is a special circ</w:t>
      </w:r>
      <w:r>
        <w:rPr>
          <w:rFonts w:ascii="Arial" w:hAnsi="Arial" w:cs="Arial"/>
          <w:sz w:val="22"/>
          <w:szCs w:val="22"/>
        </w:rPr>
        <w:t xml:space="preserve">umstance.  In the case of this information collection, </w:t>
      </w:r>
      <w:r w:rsidR="0075596E">
        <w:rPr>
          <w:rFonts w:ascii="Arial" w:hAnsi="Arial" w:cs="Arial"/>
          <w:sz w:val="22"/>
          <w:szCs w:val="22"/>
        </w:rPr>
        <w:t xml:space="preserve">the IRC at 26 U.S.C. 5061(d) and 5703(b) requires alcohol and tobacco excise taxpayers </w:t>
      </w:r>
      <w:r w:rsidRPr="00FA0DB0">
        <w:rPr>
          <w:rFonts w:ascii="Arial" w:hAnsi="Arial" w:cs="Arial"/>
          <w:sz w:val="22"/>
          <w:szCs w:val="22"/>
        </w:rPr>
        <w:t xml:space="preserve">to pay </w:t>
      </w:r>
      <w:r w:rsidR="00C52D00">
        <w:rPr>
          <w:rFonts w:ascii="Arial" w:hAnsi="Arial" w:cs="Arial"/>
          <w:sz w:val="22"/>
          <w:szCs w:val="22"/>
        </w:rPr>
        <w:t xml:space="preserve">such </w:t>
      </w:r>
      <w:r w:rsidRPr="00FA0DB0">
        <w:rPr>
          <w:rFonts w:ascii="Arial" w:hAnsi="Arial" w:cs="Arial"/>
          <w:sz w:val="22"/>
          <w:szCs w:val="22"/>
        </w:rPr>
        <w:t>tax</w:t>
      </w:r>
      <w:r>
        <w:rPr>
          <w:rFonts w:ascii="Arial" w:hAnsi="Arial" w:cs="Arial"/>
          <w:sz w:val="22"/>
          <w:szCs w:val="22"/>
        </w:rPr>
        <w:t>es</w:t>
      </w:r>
      <w:r w:rsidRPr="00FA0DB0">
        <w:rPr>
          <w:rFonts w:ascii="Arial" w:hAnsi="Arial" w:cs="Arial"/>
          <w:sz w:val="22"/>
          <w:szCs w:val="22"/>
        </w:rPr>
        <w:t xml:space="preserve"> on a semi-monthly basis</w:t>
      </w:r>
      <w:r>
        <w:rPr>
          <w:rFonts w:ascii="Arial" w:hAnsi="Arial" w:cs="Arial"/>
          <w:sz w:val="22"/>
          <w:szCs w:val="22"/>
        </w:rPr>
        <w:t xml:space="preserve"> </w:t>
      </w:r>
      <w:r w:rsidR="00476214">
        <w:rPr>
          <w:rFonts w:ascii="Arial" w:hAnsi="Arial" w:cs="Arial"/>
          <w:sz w:val="22"/>
          <w:szCs w:val="22"/>
        </w:rPr>
        <w:t>(</w:t>
      </w:r>
      <w:r>
        <w:rPr>
          <w:rFonts w:ascii="Arial" w:hAnsi="Arial" w:cs="Arial"/>
          <w:sz w:val="22"/>
          <w:szCs w:val="22"/>
        </w:rPr>
        <w:t>three times in September</w:t>
      </w:r>
      <w:r w:rsidR="00476214">
        <w:rPr>
          <w:rFonts w:ascii="Arial" w:hAnsi="Arial" w:cs="Arial"/>
          <w:sz w:val="22"/>
          <w:szCs w:val="22"/>
        </w:rPr>
        <w:t>)</w:t>
      </w:r>
      <w:r w:rsidRPr="00FA0DB0">
        <w:rPr>
          <w:rFonts w:ascii="Arial" w:hAnsi="Arial" w:cs="Arial"/>
          <w:sz w:val="22"/>
          <w:szCs w:val="22"/>
        </w:rPr>
        <w:t>, unless</w:t>
      </w:r>
      <w:r>
        <w:rPr>
          <w:rFonts w:ascii="Arial" w:hAnsi="Arial" w:cs="Arial"/>
          <w:sz w:val="22"/>
          <w:szCs w:val="22"/>
        </w:rPr>
        <w:t>, for certain small alcohol excise taxpayers,</w:t>
      </w:r>
      <w:r w:rsidRPr="00FA0DB0">
        <w:rPr>
          <w:rFonts w:ascii="Arial" w:hAnsi="Arial" w:cs="Arial"/>
          <w:sz w:val="22"/>
          <w:szCs w:val="22"/>
        </w:rPr>
        <w:t xml:space="preserve"> </w:t>
      </w:r>
      <w:r>
        <w:rPr>
          <w:rFonts w:ascii="Arial" w:hAnsi="Arial" w:cs="Arial"/>
          <w:sz w:val="22"/>
          <w:szCs w:val="22"/>
        </w:rPr>
        <w:t xml:space="preserve">they are authorized by </w:t>
      </w:r>
      <w:r w:rsidRPr="00FA0DB0">
        <w:rPr>
          <w:rFonts w:ascii="Arial" w:hAnsi="Arial" w:cs="Arial"/>
          <w:sz w:val="22"/>
          <w:szCs w:val="22"/>
        </w:rPr>
        <w:t>26 U.S.C. 5061(d)(4)</w:t>
      </w:r>
      <w:r>
        <w:rPr>
          <w:rFonts w:ascii="Arial" w:hAnsi="Arial" w:cs="Arial"/>
          <w:sz w:val="22"/>
          <w:szCs w:val="22"/>
        </w:rPr>
        <w:t xml:space="preserve"> to pay quarterly or annually. </w:t>
      </w:r>
      <w:r w:rsidR="00821B61">
        <w:rPr>
          <w:rFonts w:ascii="Arial" w:hAnsi="Arial" w:cs="Arial"/>
          <w:sz w:val="22"/>
          <w:szCs w:val="22"/>
        </w:rPr>
        <w:t xml:space="preserve"> To account for those excise </w:t>
      </w:r>
      <w:r w:rsidR="00FB3D8D">
        <w:rPr>
          <w:rFonts w:ascii="Arial" w:hAnsi="Arial" w:cs="Arial"/>
          <w:sz w:val="22"/>
          <w:szCs w:val="22"/>
        </w:rPr>
        <w:t>t</w:t>
      </w:r>
      <w:r w:rsidR="00821B61">
        <w:rPr>
          <w:rFonts w:ascii="Arial" w:hAnsi="Arial" w:cs="Arial"/>
          <w:sz w:val="22"/>
          <w:szCs w:val="22"/>
        </w:rPr>
        <w:t>ax payments, t</w:t>
      </w:r>
      <w:r>
        <w:rPr>
          <w:rFonts w:ascii="Arial" w:hAnsi="Arial" w:cs="Arial"/>
          <w:sz w:val="22"/>
          <w:szCs w:val="22"/>
        </w:rPr>
        <w:t xml:space="preserve">he TTB regulations at 27 CFR 26.112 and 41.114 require </w:t>
      </w:r>
      <w:r w:rsidR="0075596E">
        <w:rPr>
          <w:rFonts w:ascii="Arial" w:hAnsi="Arial" w:cs="Arial"/>
          <w:sz w:val="22"/>
          <w:szCs w:val="22"/>
        </w:rPr>
        <w:t xml:space="preserve">respondents to file </w:t>
      </w:r>
      <w:r>
        <w:rPr>
          <w:rFonts w:ascii="Arial" w:hAnsi="Arial" w:cs="Arial"/>
          <w:sz w:val="22"/>
          <w:szCs w:val="22"/>
        </w:rPr>
        <w:t>excise tax returns on the same schedule</w:t>
      </w:r>
      <w:r>
        <w:rPr>
          <w:rFonts w:ascii="Arial" w:hAnsi="Arial" w:cs="Arial"/>
          <w:sz w:val="22"/>
          <w:szCs w:val="22"/>
        </w:rPr>
        <w:t xml:space="preserve"> as their related tax payments.  As such, respondents who file TTB F 5000.25 must do so up to 25 times a year</w:t>
      </w:r>
      <w:r w:rsidR="0075596E">
        <w:rPr>
          <w:rFonts w:ascii="Arial" w:hAnsi="Arial" w:cs="Arial"/>
          <w:sz w:val="22"/>
          <w:szCs w:val="22"/>
        </w:rPr>
        <w:t xml:space="preserve"> as required by the IRC</w:t>
      </w:r>
      <w:r>
        <w:rPr>
          <w:rFonts w:ascii="Arial" w:hAnsi="Arial" w:cs="Arial"/>
          <w:sz w:val="22"/>
          <w:szCs w:val="22"/>
        </w:rPr>
        <w:t xml:space="preserve">, unless they are </w:t>
      </w:r>
      <w:r w:rsidR="00C52D00">
        <w:rPr>
          <w:rFonts w:ascii="Arial" w:hAnsi="Arial" w:cs="Arial"/>
          <w:sz w:val="22"/>
          <w:szCs w:val="22"/>
        </w:rPr>
        <w:t xml:space="preserve">small alcohol taxpayers </w:t>
      </w:r>
      <w:r>
        <w:rPr>
          <w:rFonts w:ascii="Arial" w:hAnsi="Arial" w:cs="Arial"/>
          <w:sz w:val="22"/>
          <w:szCs w:val="22"/>
        </w:rPr>
        <w:t>otherwise qualified to file quarterly or annually u</w:t>
      </w:r>
      <w:r w:rsidR="00821B61">
        <w:rPr>
          <w:rFonts w:ascii="Arial" w:hAnsi="Arial" w:cs="Arial"/>
          <w:sz w:val="22"/>
          <w:szCs w:val="22"/>
        </w:rPr>
        <w:t>n</w:t>
      </w:r>
      <w:r>
        <w:rPr>
          <w:rFonts w:ascii="Arial" w:hAnsi="Arial" w:cs="Arial"/>
          <w:sz w:val="22"/>
          <w:szCs w:val="22"/>
        </w:rPr>
        <w:t xml:space="preserve">der </w:t>
      </w:r>
      <w:r w:rsidRPr="0075596E" w:rsidR="0075596E">
        <w:rPr>
          <w:rFonts w:ascii="Arial" w:hAnsi="Arial" w:cs="Arial"/>
          <w:sz w:val="22"/>
          <w:szCs w:val="22"/>
        </w:rPr>
        <w:t xml:space="preserve">26 U.S.C. 5061(d) </w:t>
      </w:r>
      <w:r w:rsidR="0075596E">
        <w:rPr>
          <w:rFonts w:ascii="Arial" w:hAnsi="Arial" w:cs="Arial"/>
          <w:sz w:val="22"/>
          <w:szCs w:val="22"/>
        </w:rPr>
        <w:t xml:space="preserve">and </w:t>
      </w:r>
      <w:r>
        <w:rPr>
          <w:rFonts w:ascii="Arial" w:hAnsi="Arial" w:cs="Arial"/>
          <w:sz w:val="22"/>
          <w:szCs w:val="22"/>
        </w:rPr>
        <w:t xml:space="preserve">§ 26.112(b). </w:t>
      </w:r>
    </w:p>
    <w:p w:rsidR="00831689" w:rsidP="00227B91" w14:paraId="00C74CC1" w14:textId="77777777">
      <w:pPr>
        <w:rPr>
          <w:rFonts w:cs="Arial"/>
          <w:sz w:val="28"/>
          <w:szCs w:val="28"/>
        </w:rPr>
      </w:pPr>
    </w:p>
    <w:p w:rsidR="007F1378" w:rsidRPr="00FA2CF6" w:rsidP="007F1378" w14:paraId="78D8445A" w14:textId="77777777">
      <w:pPr>
        <w:contextualSpacing/>
        <w:rPr>
          <w:rFonts w:cs="Arial"/>
          <w:i/>
          <w:sz w:val="22"/>
          <w:szCs w:val="22"/>
        </w:rPr>
      </w:pPr>
      <w:r w:rsidRPr="00FA2CF6">
        <w:rPr>
          <w:rFonts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7F1378" w:rsidRPr="00FA2CF6" w:rsidP="007F1378" w14:paraId="1BC33266" w14:textId="77777777">
      <w:pPr>
        <w:suppressAutoHyphens/>
        <w:ind w:left="540" w:hanging="540"/>
        <w:contextualSpacing/>
        <w:rPr>
          <w:rFonts w:cs="Arial"/>
          <w:sz w:val="22"/>
          <w:szCs w:val="22"/>
        </w:rPr>
      </w:pPr>
    </w:p>
    <w:p w:rsidR="007F1378" w:rsidRPr="00FA2CF6" w:rsidP="007F1378" w14:paraId="2A714241" w14:textId="70C61AC5">
      <w:pPr>
        <w:ind w:left="360"/>
        <w:contextualSpacing/>
        <w:rPr>
          <w:rFonts w:cs="Arial"/>
          <w:sz w:val="22"/>
          <w:szCs w:val="22"/>
        </w:rPr>
      </w:pPr>
      <w:r w:rsidRPr="00FA2CF6">
        <w:rPr>
          <w:rFonts w:cs="Arial"/>
          <w:sz w:val="22"/>
          <w:szCs w:val="22"/>
        </w:rPr>
        <w:t xml:space="preserve">To solicit comments from the public, TTB published a “60-day” comment request notice for this information collection in the Federal Register on November </w:t>
      </w:r>
      <w:r w:rsidR="00C16FB0">
        <w:rPr>
          <w:rFonts w:cs="Arial"/>
          <w:sz w:val="22"/>
          <w:szCs w:val="22"/>
        </w:rPr>
        <w:t>29</w:t>
      </w:r>
      <w:r w:rsidRPr="00FA2CF6">
        <w:rPr>
          <w:rFonts w:cs="Arial"/>
          <w:sz w:val="22"/>
          <w:szCs w:val="22"/>
        </w:rPr>
        <w:t>, 202</w:t>
      </w:r>
      <w:r w:rsidR="00C16FB0">
        <w:rPr>
          <w:rFonts w:cs="Arial"/>
          <w:sz w:val="22"/>
          <w:szCs w:val="22"/>
        </w:rPr>
        <w:t>4</w:t>
      </w:r>
      <w:r w:rsidRPr="00FA2CF6">
        <w:rPr>
          <w:rFonts w:cs="Arial"/>
          <w:sz w:val="22"/>
          <w:szCs w:val="22"/>
        </w:rPr>
        <w:t>, at 8</w:t>
      </w:r>
      <w:r w:rsidR="00C16FB0">
        <w:rPr>
          <w:rFonts w:cs="Arial"/>
          <w:sz w:val="22"/>
          <w:szCs w:val="22"/>
        </w:rPr>
        <w:t>9</w:t>
      </w:r>
      <w:r w:rsidRPr="00FA2CF6">
        <w:rPr>
          <w:rFonts w:cs="Arial"/>
          <w:sz w:val="22"/>
          <w:szCs w:val="22"/>
        </w:rPr>
        <w:t xml:space="preserve"> FR </w:t>
      </w:r>
      <w:r w:rsidR="008B69A5">
        <w:rPr>
          <w:rFonts w:cs="Arial"/>
          <w:sz w:val="22"/>
          <w:szCs w:val="22"/>
        </w:rPr>
        <w:t>94871</w:t>
      </w:r>
      <w:r w:rsidRPr="00FA2CF6">
        <w:rPr>
          <w:rFonts w:cs="Arial"/>
          <w:sz w:val="22"/>
          <w:szCs w:val="22"/>
        </w:rPr>
        <w:t xml:space="preserve">.  TTB received no comments on this information collection in response. </w:t>
      </w:r>
    </w:p>
    <w:p w:rsidR="007F1378" w:rsidRPr="00FA2CF6" w:rsidP="007F1378" w14:paraId="5607913A" w14:textId="77777777">
      <w:pPr>
        <w:suppressAutoHyphens/>
        <w:rPr>
          <w:rFonts w:cs="Arial"/>
          <w:sz w:val="28"/>
          <w:szCs w:val="28"/>
        </w:rPr>
      </w:pPr>
    </w:p>
    <w:p w:rsidR="007F1378" w:rsidRPr="00A96F56" w:rsidP="007F1378" w14:paraId="7B5B4132" w14:textId="77777777">
      <w:pPr>
        <w:suppressAutoHyphens/>
        <w:rPr>
          <w:rFonts w:cs="Arial"/>
          <w:i/>
          <w:sz w:val="22"/>
          <w:szCs w:val="22"/>
        </w:rPr>
      </w:pPr>
      <w:r w:rsidRPr="00A96F56">
        <w:rPr>
          <w:rFonts w:cs="Arial"/>
          <w:i/>
          <w:sz w:val="22"/>
          <w:szCs w:val="22"/>
        </w:rPr>
        <w:t xml:space="preserve">9.  Was any payment or gift given to respondents, other than remuneration of contractors or grantees?  If so, why? </w:t>
      </w:r>
    </w:p>
    <w:p w:rsidR="007F1378" w:rsidRPr="00A96F56" w:rsidP="007F1378" w14:paraId="76E12747" w14:textId="77777777">
      <w:pPr>
        <w:suppressAutoHyphens/>
        <w:rPr>
          <w:rFonts w:cs="Arial"/>
          <w:sz w:val="22"/>
          <w:szCs w:val="22"/>
        </w:rPr>
      </w:pPr>
    </w:p>
    <w:p w:rsidR="007F1378" w:rsidRPr="00A96F56" w:rsidP="007F1378" w14:paraId="36ACC269" w14:textId="77777777">
      <w:pPr>
        <w:suppressAutoHyphens/>
        <w:ind w:left="360"/>
        <w:rPr>
          <w:rFonts w:cs="Arial"/>
          <w:sz w:val="22"/>
          <w:szCs w:val="22"/>
        </w:rPr>
      </w:pPr>
      <w:r w:rsidRPr="00A96F56">
        <w:rPr>
          <w:rFonts w:cs="Arial"/>
          <w:sz w:val="22"/>
          <w:szCs w:val="22"/>
        </w:rPr>
        <w:t xml:space="preserve">No payment or gift is associated with this information collection. </w:t>
      </w:r>
    </w:p>
    <w:p w:rsidR="007F1378" w:rsidRPr="00A96F56" w:rsidP="007F1378" w14:paraId="1CAAF41D" w14:textId="77777777">
      <w:pPr>
        <w:suppressAutoHyphens/>
        <w:rPr>
          <w:rFonts w:cs="Arial"/>
          <w:sz w:val="28"/>
          <w:szCs w:val="28"/>
        </w:rPr>
      </w:pPr>
    </w:p>
    <w:p w:rsidR="007F1378" w:rsidRPr="00A96F56" w:rsidP="007F1378" w14:paraId="6563B853" w14:textId="77777777">
      <w:pPr>
        <w:suppressAutoHyphens/>
        <w:rPr>
          <w:rFonts w:cs="Arial"/>
          <w:i/>
          <w:sz w:val="22"/>
          <w:szCs w:val="22"/>
        </w:rPr>
      </w:pPr>
      <w:r w:rsidRPr="00A96F56">
        <w:rPr>
          <w:rFonts w:cs="Arial"/>
          <w:i/>
          <w:sz w:val="22"/>
          <w:szCs w:val="22"/>
        </w:rPr>
        <w:t xml:space="preserve">10.  What assurance of confidentiality was provided to respondents, and what was the basis for the assurance in statute, regulations, or agency policy? </w:t>
      </w:r>
    </w:p>
    <w:p w:rsidR="007F1378" w:rsidRPr="00A96F56" w:rsidP="007F1378" w14:paraId="3DA34668" w14:textId="77777777">
      <w:pPr>
        <w:rPr>
          <w:rFonts w:cs="Arial"/>
          <w:sz w:val="22"/>
          <w:szCs w:val="22"/>
        </w:rPr>
      </w:pPr>
    </w:p>
    <w:p w:rsidR="007F1378" w:rsidRPr="00A96F56" w:rsidP="007F1378" w14:paraId="3BD0E018" w14:textId="77777777">
      <w:pPr>
        <w:ind w:left="360"/>
        <w:rPr>
          <w:rFonts w:cs="Arial"/>
          <w:sz w:val="22"/>
          <w:szCs w:val="22"/>
        </w:rPr>
      </w:pPr>
      <w:r w:rsidRPr="00A96F56">
        <w:rPr>
          <w:rFonts w:cs="Arial"/>
          <w:sz w:val="22"/>
          <w:szCs w:val="22"/>
        </w:rPr>
        <w:t xml:space="preserve">TTB provides no specific assurance of confidentiality for this information collection request.  However, </w:t>
      </w:r>
      <w:r>
        <w:rPr>
          <w:rFonts w:cs="Arial"/>
          <w:sz w:val="22"/>
          <w:szCs w:val="22"/>
        </w:rPr>
        <w:t>the IRC at</w:t>
      </w:r>
      <w:r w:rsidRPr="00A96F56">
        <w:rPr>
          <w:rFonts w:cs="Arial"/>
          <w:sz w:val="22"/>
          <w:szCs w:val="22"/>
        </w:rPr>
        <w:t xml:space="preserve"> 26 U.S.C. 6103 prohibits disclosure of tax returns and related information unless </w:t>
      </w:r>
      <w:r>
        <w:rPr>
          <w:rFonts w:cs="Arial"/>
          <w:sz w:val="22"/>
          <w:szCs w:val="22"/>
        </w:rPr>
        <w:t xml:space="preserve">that section specifically authorizes such </w:t>
      </w:r>
      <w:r w:rsidRPr="00A96F56">
        <w:rPr>
          <w:rFonts w:cs="Arial"/>
          <w:sz w:val="22"/>
          <w:szCs w:val="22"/>
        </w:rPr>
        <w:t xml:space="preserve">disclosure.  TTB maintains the </w:t>
      </w:r>
      <w:r>
        <w:rPr>
          <w:rFonts w:cs="Arial"/>
          <w:sz w:val="22"/>
          <w:szCs w:val="22"/>
        </w:rPr>
        <w:t xml:space="preserve">collected information </w:t>
      </w:r>
      <w:r w:rsidRPr="00A96F56">
        <w:rPr>
          <w:rFonts w:cs="Arial"/>
          <w:sz w:val="22"/>
          <w:szCs w:val="22"/>
        </w:rPr>
        <w:t xml:space="preserve">in secure file rooms and computer systems with controlled access. </w:t>
      </w:r>
    </w:p>
    <w:p w:rsidR="007F1378" w:rsidRPr="00A96F56" w:rsidP="007F1378" w14:paraId="5731CA2A" w14:textId="77777777">
      <w:pPr>
        <w:suppressAutoHyphens/>
        <w:rPr>
          <w:rFonts w:cs="Arial"/>
          <w:sz w:val="28"/>
          <w:szCs w:val="28"/>
        </w:rPr>
      </w:pPr>
    </w:p>
    <w:p w:rsidR="007F1378" w:rsidRPr="00A96F56" w:rsidP="007F1378" w14:paraId="2C25981B" w14:textId="77777777">
      <w:pPr>
        <w:rPr>
          <w:rFonts w:cs="Arial"/>
          <w:i/>
          <w:sz w:val="22"/>
          <w:szCs w:val="22"/>
        </w:rPr>
      </w:pPr>
      <w:r w:rsidRPr="00A96F56">
        <w:rPr>
          <w:rFonts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7F1378" w:rsidRPr="00A96F56" w:rsidP="007F1378" w14:paraId="39491E66" w14:textId="77777777">
      <w:pPr>
        <w:rPr>
          <w:rFonts w:cs="Arial"/>
          <w:i/>
          <w:sz w:val="22"/>
          <w:szCs w:val="22"/>
        </w:rPr>
      </w:pPr>
    </w:p>
    <w:p w:rsidR="00C91673" w:rsidRPr="00C82CC7" w:rsidP="00C91673" w14:paraId="4143D169" w14:textId="485F38BD">
      <w:pPr>
        <w:widowControl w:val="0"/>
        <w:suppressAutoHyphens/>
        <w:autoSpaceDE w:val="0"/>
        <w:autoSpaceDN w:val="0"/>
        <w:adjustRightInd w:val="0"/>
        <w:ind w:left="360"/>
        <w:contextualSpacing/>
        <w:rPr>
          <w:rFonts w:cs="Arial"/>
          <w:sz w:val="22"/>
          <w:szCs w:val="22"/>
        </w:rPr>
      </w:pPr>
      <w:r w:rsidRPr="00C82CC7">
        <w:rPr>
          <w:rFonts w:cs="Arial"/>
          <w:sz w:val="22"/>
          <w:szCs w:val="22"/>
        </w:rPr>
        <w:t xml:space="preserve">This information collection contains no questions of a sensitive nature.  However, this information request collects personally identifiable information (PII) in </w:t>
      </w:r>
      <w:r w:rsidR="0025364E">
        <w:rPr>
          <w:rFonts w:cs="Arial"/>
          <w:sz w:val="22"/>
          <w:szCs w:val="22"/>
        </w:rPr>
        <w:t xml:space="preserve">a </w:t>
      </w:r>
      <w:r w:rsidRPr="00C82CC7">
        <w:rPr>
          <w:rFonts w:cs="Arial"/>
          <w:sz w:val="22"/>
          <w:szCs w:val="22"/>
        </w:rPr>
        <w:t>government electronic system, the Integrated Revenue Information System (IRIS).  As such, TTB has conducted Privacy and Civil Liberties Impact Assessments (PCLIAs) for t</w:t>
      </w:r>
      <w:r>
        <w:rPr>
          <w:rFonts w:cs="Arial"/>
          <w:sz w:val="22"/>
          <w:szCs w:val="22"/>
        </w:rPr>
        <w:t xml:space="preserve">hat </w:t>
      </w:r>
      <w:r w:rsidRPr="00C82CC7">
        <w:rPr>
          <w:rFonts w:cs="Arial"/>
          <w:sz w:val="22"/>
          <w:szCs w:val="22"/>
        </w:rPr>
        <w:t>system</w:t>
      </w:r>
      <w:r>
        <w:rPr>
          <w:rFonts w:cs="Arial"/>
          <w:sz w:val="22"/>
          <w:szCs w:val="22"/>
        </w:rPr>
        <w:t xml:space="preserve">, and the </w:t>
      </w:r>
      <w:r w:rsidRPr="00C82CC7">
        <w:rPr>
          <w:rFonts w:cs="Arial"/>
          <w:sz w:val="22"/>
          <w:szCs w:val="22"/>
        </w:rPr>
        <w:t>collected information is included within TTB’s record system, titled “Department of the Treasury, Alcohol and Tobacco Tax and Trade Bureau (TTB) .001—Regulatory Enforcement System of Records</w:t>
      </w:r>
      <w:r>
        <w:rPr>
          <w:rFonts w:cs="Arial"/>
          <w:sz w:val="22"/>
          <w:szCs w:val="22"/>
        </w:rPr>
        <w:t>.</w:t>
      </w:r>
      <w:r w:rsidRPr="00C82CC7">
        <w:rPr>
          <w:rFonts w:cs="Arial"/>
          <w:sz w:val="22"/>
          <w:szCs w:val="22"/>
        </w:rPr>
        <w:t xml:space="preserve">” </w:t>
      </w:r>
      <w:r>
        <w:rPr>
          <w:rFonts w:cs="Arial"/>
          <w:sz w:val="22"/>
          <w:szCs w:val="22"/>
        </w:rPr>
        <w:t xml:space="preserve"> </w:t>
      </w:r>
      <w:r w:rsidRPr="00C82CC7">
        <w:rPr>
          <w:rFonts w:cs="Arial"/>
          <w:sz w:val="22"/>
          <w:szCs w:val="22"/>
        </w:rPr>
        <w:t xml:space="preserve">TTB published a System of Records Notice (SORN) </w:t>
      </w:r>
      <w:r>
        <w:rPr>
          <w:rFonts w:cs="Arial"/>
          <w:sz w:val="22"/>
          <w:szCs w:val="22"/>
        </w:rPr>
        <w:t xml:space="preserve">for that system </w:t>
      </w:r>
      <w:r w:rsidRPr="00C82CC7">
        <w:rPr>
          <w:rFonts w:cs="Arial"/>
          <w:sz w:val="22"/>
          <w:szCs w:val="22"/>
        </w:rPr>
        <w:t xml:space="preserve">on October 11, 2022, at 87 FR 61435.  Links to TTB’s PCLIAs and SORN may be found on the TTB website at </w:t>
      </w:r>
      <w:r w:rsidRPr="00C82CC7">
        <w:rPr>
          <w:rFonts w:cs="Arial"/>
          <w:i/>
          <w:iCs/>
          <w:sz w:val="22"/>
          <w:szCs w:val="22"/>
        </w:rPr>
        <w:t>https://www.ttb.gov/public-information/foia</w:t>
      </w:r>
      <w:r w:rsidRPr="00C82CC7">
        <w:rPr>
          <w:rFonts w:cs="Arial"/>
          <w:sz w:val="22"/>
          <w:szCs w:val="22"/>
        </w:rPr>
        <w:t xml:space="preserve">. </w:t>
      </w:r>
    </w:p>
    <w:p w:rsidR="008B4B12" w:rsidRPr="00D815A9" w:rsidP="00227B91" w14:paraId="76BA851D" w14:textId="77777777">
      <w:pPr>
        <w:pStyle w:val="PlainText"/>
        <w:rPr>
          <w:rFonts w:ascii="Arial" w:hAnsi="Arial" w:cs="Arial"/>
          <w:sz w:val="28"/>
          <w:szCs w:val="28"/>
        </w:rPr>
      </w:pPr>
    </w:p>
    <w:p w:rsidR="001B4A45" w:rsidRPr="00D815A9" w:rsidP="001B4A45" w14:paraId="6C91A1DE" w14:textId="77777777">
      <w:pPr>
        <w:suppressAutoHyphens/>
        <w:rPr>
          <w:i/>
          <w:sz w:val="22"/>
          <w:szCs w:val="22"/>
        </w:rPr>
      </w:pPr>
      <w:r w:rsidRPr="00D815A9">
        <w:rPr>
          <w:i/>
          <w:sz w:val="22"/>
          <w:szCs w:val="22"/>
        </w:rPr>
        <w:t xml:space="preserve">12.  What is the estimated hour burden of this collection of information? </w:t>
      </w:r>
    </w:p>
    <w:p w:rsidR="001B4A45" w:rsidRPr="00D815A9" w:rsidP="001B4A45" w14:paraId="29FBB710" w14:textId="77777777">
      <w:pPr>
        <w:suppressAutoHyphens/>
        <w:rPr>
          <w:sz w:val="22"/>
          <w:szCs w:val="22"/>
        </w:rPr>
      </w:pPr>
    </w:p>
    <w:p w:rsidR="00D815A9" w:rsidRPr="00D815A9" w:rsidP="001B4A45" w14:paraId="38AAAC91" w14:textId="5D49B4B9">
      <w:pPr>
        <w:ind w:left="360"/>
        <w:rPr>
          <w:sz w:val="22"/>
          <w:szCs w:val="22"/>
        </w:rPr>
      </w:pPr>
      <w:r w:rsidRPr="00D815A9">
        <w:rPr>
          <w:sz w:val="22"/>
          <w:szCs w:val="22"/>
          <w:u w:val="single"/>
        </w:rPr>
        <w:t>Estimated Respondent Burden:</w:t>
      </w:r>
      <w:r w:rsidRPr="00D815A9">
        <w:rPr>
          <w:sz w:val="22"/>
          <w:szCs w:val="22"/>
        </w:rPr>
        <w:t xml:space="preserve">  </w:t>
      </w:r>
      <w:r w:rsidR="00C3191E">
        <w:rPr>
          <w:sz w:val="22"/>
          <w:szCs w:val="22"/>
        </w:rPr>
        <w:t>TTB estimates that t</w:t>
      </w:r>
      <w:r w:rsidRPr="00D815A9">
        <w:rPr>
          <w:sz w:val="22"/>
          <w:szCs w:val="22"/>
        </w:rPr>
        <w:t xml:space="preserve">here are 24 respondents to this information collection, 18 of which file 25 times annually (450 total responses) and 6 of which file quarterly (24 total responses), resulting in a total of 474 annual responses.  TTB estimates that a respondent requires 0.75 hour (45 minutes) to complete </w:t>
      </w:r>
      <w:r w:rsidR="00C3191E">
        <w:rPr>
          <w:sz w:val="22"/>
          <w:szCs w:val="22"/>
        </w:rPr>
        <w:t>one</w:t>
      </w:r>
      <w:r w:rsidRPr="00D815A9">
        <w:rPr>
          <w:sz w:val="22"/>
          <w:szCs w:val="22"/>
        </w:rPr>
        <w:t xml:space="preserve"> response, resulting in an estimated total of 356 hours of annual burden. </w:t>
      </w:r>
    </w:p>
    <w:p w:rsidR="00D815A9" w:rsidRPr="00D815A9" w:rsidP="001B4A45" w14:paraId="06AB02A8" w14:textId="77777777">
      <w:pPr>
        <w:ind w:left="360"/>
        <w:rPr>
          <w:sz w:val="22"/>
          <w:szCs w:val="22"/>
        </w:rPr>
      </w:pPr>
    </w:p>
    <w:p w:rsidR="001B4A45" w:rsidRPr="00D815A9" w:rsidP="001B4A45" w14:paraId="6991A18C" w14:textId="6FA70B80">
      <w:pPr>
        <w:ind w:left="360"/>
        <w:rPr>
          <w:sz w:val="22"/>
          <w:szCs w:val="22"/>
        </w:rPr>
      </w:pPr>
      <w:r w:rsidRPr="00D815A9">
        <w:rPr>
          <w:sz w:val="22"/>
          <w:szCs w:val="22"/>
          <w:u w:val="single"/>
        </w:rPr>
        <w:t>Estimated Respondent Labor Costs:</w:t>
      </w:r>
      <w:r w:rsidRPr="00D815A9">
        <w:rPr>
          <w:sz w:val="22"/>
          <w:szCs w:val="22"/>
        </w:rPr>
        <w:t xml:space="preserve">  Based on the average fully-loaded labor rate of $</w:t>
      </w:r>
      <w:r w:rsidR="003D5A41">
        <w:rPr>
          <w:sz w:val="22"/>
          <w:szCs w:val="22"/>
        </w:rPr>
        <w:t>62.99</w:t>
      </w:r>
      <w:r w:rsidRPr="00D815A9">
        <w:rPr>
          <w:sz w:val="22"/>
          <w:szCs w:val="22"/>
        </w:rPr>
        <w:t xml:space="preserve"> per hour for accountants and auditors employed in the beverage and tobacco product manufacturing industries, TTB estimates the </w:t>
      </w:r>
      <w:r w:rsidRPr="00D815A9" w:rsidR="00D815A9">
        <w:rPr>
          <w:sz w:val="22"/>
          <w:szCs w:val="22"/>
        </w:rPr>
        <w:t xml:space="preserve">annual </w:t>
      </w:r>
      <w:r w:rsidRPr="00D815A9">
        <w:rPr>
          <w:sz w:val="22"/>
          <w:szCs w:val="22"/>
        </w:rPr>
        <w:t>per-respondent and total respondent labor costs for this information collection as follows:</w:t>
      </w:r>
      <w:r>
        <w:rPr>
          <w:rFonts w:eastAsia="Calibri"/>
          <w:sz w:val="22"/>
          <w:szCs w:val="22"/>
          <w:vertAlign w:val="superscript"/>
        </w:rPr>
        <w:footnoteReference w:id="3"/>
      </w:r>
      <w:r w:rsidRPr="00D815A9">
        <w:rPr>
          <w:sz w:val="22"/>
          <w:szCs w:val="22"/>
        </w:rPr>
        <w:t xml:space="preserve"> </w:t>
      </w:r>
    </w:p>
    <w:p w:rsidR="001B4A45" w:rsidP="001B4A45" w14:paraId="12EF72BF" w14:textId="77777777">
      <w:pPr>
        <w:suppressAutoHyphens/>
        <w:ind w:left="360"/>
        <w:rPr>
          <w:sz w:val="22"/>
          <w:szCs w:val="22"/>
        </w:rPr>
      </w:pPr>
    </w:p>
    <w:p w:rsidR="0062354A" w14:paraId="4BCD4D7B" w14:textId="020CEDA8">
      <w:pPr>
        <w:rPr>
          <w:sz w:val="22"/>
          <w:szCs w:val="22"/>
        </w:rPr>
      </w:pPr>
      <w:r>
        <w:rPr>
          <w:sz w:val="22"/>
          <w:szCs w:val="22"/>
        </w:rPr>
        <w:br w:type="page"/>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612"/>
        <w:gridCol w:w="1613"/>
        <w:gridCol w:w="1613"/>
        <w:gridCol w:w="1613"/>
        <w:gridCol w:w="1613"/>
      </w:tblGrid>
      <w:tr w14:paraId="15ACD585" w14:textId="77777777" w:rsidTr="0082595F">
        <w:tblPrEx>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692"/>
          <w:jc w:val="center"/>
        </w:trPr>
        <w:tc>
          <w:tcPr>
            <w:tcW w:w="8064" w:type="dxa"/>
            <w:gridSpan w:val="5"/>
            <w:shd w:val="clear" w:color="auto" w:fill="auto"/>
            <w:vAlign w:val="center"/>
          </w:tcPr>
          <w:p w:rsidR="001B4A45" w:rsidRPr="00281E47" w:rsidP="0082595F" w14:paraId="0711B8AC" w14:textId="77777777">
            <w:pPr>
              <w:suppressAutoHyphens/>
              <w:jc w:val="center"/>
              <w:rPr>
                <w:rFonts w:eastAsia="Calibri"/>
                <w:b/>
                <w:sz w:val="20"/>
                <w:szCs w:val="20"/>
              </w:rPr>
            </w:pPr>
            <w:r w:rsidRPr="00281E47">
              <w:rPr>
                <w:rFonts w:eastAsia="Calibri"/>
                <w:b/>
                <w:sz w:val="20"/>
                <w:szCs w:val="20"/>
              </w:rPr>
              <w:t xml:space="preserve">NAICS 312000 - Beverage &amp; Tobacco Product Manufacturing </w:t>
            </w:r>
          </w:p>
          <w:p w:rsidR="001B4A45" w:rsidRPr="00281E47" w:rsidP="0082595F" w14:paraId="4DE64333" w14:textId="1DD8B6EE">
            <w:pPr>
              <w:suppressAutoHyphens/>
              <w:jc w:val="center"/>
              <w:rPr>
                <w:rFonts w:eastAsia="Calibri"/>
                <w:b/>
                <w:sz w:val="20"/>
                <w:szCs w:val="20"/>
              </w:rPr>
            </w:pPr>
            <w:r w:rsidRPr="00281E47">
              <w:rPr>
                <w:rFonts w:eastAsia="Calibri"/>
                <w:b/>
                <w:sz w:val="20"/>
                <w:szCs w:val="20"/>
              </w:rPr>
              <w:t>Accountants and Auditors Average Fully-loaded Labor Rate/Hour = $</w:t>
            </w:r>
            <w:r w:rsidRPr="00281E47" w:rsidR="00A7100B">
              <w:rPr>
                <w:rFonts w:eastAsia="Calibri"/>
                <w:b/>
                <w:sz w:val="20"/>
                <w:szCs w:val="20"/>
              </w:rPr>
              <w:t>62</w:t>
            </w:r>
            <w:r w:rsidRPr="00281E47">
              <w:rPr>
                <w:rFonts w:eastAsia="Calibri"/>
                <w:b/>
                <w:sz w:val="20"/>
                <w:szCs w:val="20"/>
              </w:rPr>
              <w:t>.</w:t>
            </w:r>
            <w:r w:rsidRPr="00281E47" w:rsidR="00A7100B">
              <w:rPr>
                <w:rFonts w:eastAsia="Calibri"/>
                <w:b/>
                <w:sz w:val="20"/>
                <w:szCs w:val="20"/>
              </w:rPr>
              <w:t>99</w:t>
            </w:r>
            <w:r w:rsidRPr="00281E47">
              <w:rPr>
                <w:rFonts w:eastAsia="Calibri"/>
                <w:b/>
                <w:sz w:val="20"/>
                <w:szCs w:val="20"/>
              </w:rPr>
              <w:t xml:space="preserve"> </w:t>
            </w:r>
          </w:p>
        </w:tc>
      </w:tr>
      <w:tr w14:paraId="6F0FBEBB" w14:textId="77777777" w:rsidTr="0082595F">
        <w:tblPrEx>
          <w:tblW w:w="8064" w:type="dxa"/>
          <w:jc w:val="center"/>
          <w:tblLayout w:type="fixed"/>
          <w:tblCellMar>
            <w:left w:w="29" w:type="dxa"/>
            <w:right w:w="29" w:type="dxa"/>
          </w:tblCellMar>
          <w:tblLook w:val="04A0"/>
        </w:tblPrEx>
        <w:trPr>
          <w:trHeight w:val="576"/>
          <w:jc w:val="center"/>
        </w:trPr>
        <w:tc>
          <w:tcPr>
            <w:tcW w:w="1612" w:type="dxa"/>
            <w:shd w:val="clear" w:color="auto" w:fill="auto"/>
            <w:tcMar>
              <w:left w:w="29" w:type="dxa"/>
              <w:right w:w="29" w:type="dxa"/>
            </w:tcMar>
            <w:vAlign w:val="center"/>
          </w:tcPr>
          <w:p w:rsidR="001B4A45" w:rsidRPr="00281E47" w:rsidP="0082595F" w14:paraId="22880890" w14:textId="77777777">
            <w:pPr>
              <w:suppressAutoHyphens/>
              <w:jc w:val="center"/>
              <w:rPr>
                <w:rFonts w:eastAsia="Calibri"/>
                <w:sz w:val="20"/>
                <w:szCs w:val="20"/>
              </w:rPr>
            </w:pPr>
            <w:r w:rsidRPr="00281E47">
              <w:rPr>
                <w:rFonts w:eastAsia="Calibri"/>
                <w:sz w:val="20"/>
                <w:szCs w:val="20"/>
              </w:rPr>
              <w:t xml:space="preserve">Filing Frequency </w:t>
            </w:r>
          </w:p>
        </w:tc>
        <w:tc>
          <w:tcPr>
            <w:tcW w:w="1613" w:type="dxa"/>
            <w:shd w:val="clear" w:color="auto" w:fill="auto"/>
            <w:tcMar>
              <w:left w:w="29" w:type="dxa"/>
              <w:right w:w="29" w:type="dxa"/>
            </w:tcMar>
            <w:vAlign w:val="center"/>
          </w:tcPr>
          <w:p w:rsidR="001B4A45" w:rsidRPr="00281E47" w:rsidP="0082595F" w14:paraId="57BD4D75" w14:textId="77777777">
            <w:pPr>
              <w:suppressAutoHyphens/>
              <w:jc w:val="center"/>
              <w:rPr>
                <w:rFonts w:eastAsia="Calibri"/>
                <w:sz w:val="20"/>
                <w:szCs w:val="20"/>
              </w:rPr>
            </w:pPr>
            <w:r w:rsidRPr="00281E47">
              <w:rPr>
                <w:rFonts w:eastAsia="Calibri"/>
                <w:sz w:val="20"/>
                <w:szCs w:val="20"/>
              </w:rPr>
              <w:t xml:space="preserve">Avg. Time / Response </w:t>
            </w:r>
          </w:p>
        </w:tc>
        <w:tc>
          <w:tcPr>
            <w:tcW w:w="1613" w:type="dxa"/>
            <w:shd w:val="clear" w:color="auto" w:fill="auto"/>
            <w:tcMar>
              <w:left w:w="29" w:type="dxa"/>
              <w:right w:w="29" w:type="dxa"/>
            </w:tcMar>
            <w:vAlign w:val="center"/>
          </w:tcPr>
          <w:p w:rsidR="001B4A45" w:rsidRPr="00281E47" w:rsidP="0082595F" w14:paraId="145176D8" w14:textId="77777777">
            <w:pPr>
              <w:suppressAutoHyphens/>
              <w:jc w:val="center"/>
              <w:rPr>
                <w:rFonts w:eastAsia="Calibri"/>
                <w:sz w:val="20"/>
                <w:szCs w:val="20"/>
              </w:rPr>
            </w:pPr>
            <w:r w:rsidRPr="00281E47">
              <w:rPr>
                <w:rFonts w:eastAsia="Calibri"/>
                <w:sz w:val="20"/>
                <w:szCs w:val="20"/>
              </w:rPr>
              <w:t>Labor Cost / Response*</w:t>
            </w:r>
          </w:p>
        </w:tc>
        <w:tc>
          <w:tcPr>
            <w:tcW w:w="1613" w:type="dxa"/>
            <w:shd w:val="clear" w:color="auto" w:fill="auto"/>
            <w:vAlign w:val="center"/>
          </w:tcPr>
          <w:p w:rsidR="001B4A45" w:rsidRPr="00281E47" w:rsidP="0082595F" w14:paraId="1449012E" w14:textId="77777777">
            <w:pPr>
              <w:suppressAutoHyphens/>
              <w:jc w:val="center"/>
              <w:rPr>
                <w:rFonts w:eastAsia="Calibri"/>
                <w:sz w:val="20"/>
                <w:szCs w:val="20"/>
              </w:rPr>
            </w:pPr>
            <w:r w:rsidRPr="00281E47">
              <w:rPr>
                <w:rFonts w:eastAsia="Calibri"/>
                <w:sz w:val="20"/>
                <w:szCs w:val="20"/>
              </w:rPr>
              <w:t>Responses / Respondent</w:t>
            </w:r>
          </w:p>
        </w:tc>
        <w:tc>
          <w:tcPr>
            <w:tcW w:w="1613" w:type="dxa"/>
            <w:shd w:val="clear" w:color="auto" w:fill="auto"/>
            <w:vAlign w:val="center"/>
          </w:tcPr>
          <w:p w:rsidR="001B4A45" w:rsidRPr="00281E47" w:rsidP="0082595F" w14:paraId="4FBF0AD7" w14:textId="77777777">
            <w:pPr>
              <w:suppressAutoHyphens/>
              <w:jc w:val="center"/>
              <w:rPr>
                <w:rFonts w:eastAsia="Calibri"/>
                <w:sz w:val="20"/>
                <w:szCs w:val="20"/>
              </w:rPr>
            </w:pPr>
            <w:r w:rsidRPr="00281E47">
              <w:rPr>
                <w:rFonts w:eastAsia="Calibri"/>
                <w:sz w:val="20"/>
                <w:szCs w:val="20"/>
              </w:rPr>
              <w:t xml:space="preserve">Labor Costs / Respondent </w:t>
            </w:r>
          </w:p>
        </w:tc>
      </w:tr>
      <w:tr w14:paraId="6437FFDB" w14:textId="77777777" w:rsidTr="0082595F">
        <w:tblPrEx>
          <w:tblW w:w="8064" w:type="dxa"/>
          <w:jc w:val="center"/>
          <w:tblLayout w:type="fixed"/>
          <w:tblCellMar>
            <w:left w:w="29" w:type="dxa"/>
            <w:right w:w="29" w:type="dxa"/>
          </w:tblCellMar>
          <w:tblLook w:val="04A0"/>
        </w:tblPrEx>
        <w:trPr>
          <w:trHeight w:val="576"/>
          <w:jc w:val="center"/>
        </w:trPr>
        <w:tc>
          <w:tcPr>
            <w:tcW w:w="1612" w:type="dxa"/>
            <w:shd w:val="clear" w:color="auto" w:fill="auto"/>
            <w:tcMar>
              <w:left w:w="29" w:type="dxa"/>
              <w:right w:w="29" w:type="dxa"/>
            </w:tcMar>
            <w:vAlign w:val="center"/>
          </w:tcPr>
          <w:p w:rsidR="001B4A45" w:rsidRPr="00281E47" w:rsidP="0082595F" w14:paraId="4A1509F6" w14:textId="77777777">
            <w:pPr>
              <w:suppressAutoHyphens/>
              <w:jc w:val="center"/>
              <w:rPr>
                <w:rFonts w:eastAsia="Calibri"/>
                <w:sz w:val="20"/>
                <w:szCs w:val="20"/>
              </w:rPr>
            </w:pPr>
            <w:r w:rsidRPr="00281E47">
              <w:rPr>
                <w:rFonts w:eastAsia="Calibri"/>
                <w:sz w:val="20"/>
                <w:szCs w:val="20"/>
              </w:rPr>
              <w:t xml:space="preserve">Semi-monthly** </w:t>
            </w:r>
          </w:p>
        </w:tc>
        <w:tc>
          <w:tcPr>
            <w:tcW w:w="1613" w:type="dxa"/>
            <w:shd w:val="clear" w:color="auto" w:fill="auto"/>
            <w:tcMar>
              <w:left w:w="29" w:type="dxa"/>
              <w:right w:w="29" w:type="dxa"/>
            </w:tcMar>
            <w:vAlign w:val="center"/>
          </w:tcPr>
          <w:p w:rsidR="001B4A45" w:rsidRPr="00281E47" w:rsidP="0082595F" w14:paraId="242C104A" w14:textId="77777777">
            <w:pPr>
              <w:suppressAutoHyphens/>
              <w:jc w:val="center"/>
              <w:rPr>
                <w:rFonts w:eastAsia="Calibri"/>
                <w:sz w:val="20"/>
                <w:szCs w:val="20"/>
              </w:rPr>
            </w:pPr>
            <w:r w:rsidRPr="00281E47">
              <w:rPr>
                <w:rFonts w:eastAsia="Calibri"/>
                <w:sz w:val="20"/>
                <w:szCs w:val="20"/>
              </w:rPr>
              <w:t>0.75 hr.</w:t>
            </w:r>
          </w:p>
        </w:tc>
        <w:tc>
          <w:tcPr>
            <w:tcW w:w="1613" w:type="dxa"/>
            <w:shd w:val="clear" w:color="auto" w:fill="auto"/>
            <w:tcMar>
              <w:left w:w="29" w:type="dxa"/>
              <w:right w:w="29" w:type="dxa"/>
            </w:tcMar>
            <w:vAlign w:val="center"/>
          </w:tcPr>
          <w:p w:rsidR="001B4A45" w:rsidRPr="00281E47" w:rsidP="0082595F" w14:paraId="4979AC44" w14:textId="719220F0">
            <w:pPr>
              <w:suppressAutoHyphens/>
              <w:jc w:val="center"/>
              <w:rPr>
                <w:rFonts w:eastAsia="Calibri"/>
                <w:sz w:val="20"/>
                <w:szCs w:val="20"/>
              </w:rPr>
            </w:pPr>
            <w:r w:rsidRPr="00281E47">
              <w:rPr>
                <w:rFonts w:eastAsia="Calibri"/>
                <w:sz w:val="20"/>
                <w:szCs w:val="20"/>
              </w:rPr>
              <w:t>$</w:t>
            </w:r>
            <w:r w:rsidRPr="00281E47" w:rsidR="00A7100B">
              <w:rPr>
                <w:rFonts w:eastAsia="Calibri"/>
                <w:sz w:val="20"/>
                <w:szCs w:val="20"/>
              </w:rPr>
              <w:t>47</w:t>
            </w:r>
            <w:r w:rsidRPr="00281E47">
              <w:rPr>
                <w:rFonts w:eastAsia="Calibri"/>
                <w:sz w:val="20"/>
                <w:szCs w:val="20"/>
              </w:rPr>
              <w:t>.</w:t>
            </w:r>
            <w:r w:rsidRPr="00281E47" w:rsidR="00A7100B">
              <w:rPr>
                <w:rFonts w:eastAsia="Calibri"/>
                <w:sz w:val="20"/>
                <w:szCs w:val="20"/>
              </w:rPr>
              <w:t>24</w:t>
            </w:r>
          </w:p>
        </w:tc>
        <w:tc>
          <w:tcPr>
            <w:tcW w:w="1613" w:type="dxa"/>
            <w:shd w:val="clear" w:color="auto" w:fill="auto"/>
            <w:vAlign w:val="center"/>
          </w:tcPr>
          <w:p w:rsidR="001B4A45" w:rsidRPr="00281E47" w:rsidP="0082595F" w14:paraId="5BD28E2F" w14:textId="77777777">
            <w:pPr>
              <w:suppressAutoHyphens/>
              <w:jc w:val="center"/>
              <w:rPr>
                <w:rFonts w:eastAsia="Calibri"/>
                <w:sz w:val="20"/>
                <w:szCs w:val="20"/>
              </w:rPr>
            </w:pPr>
            <w:r w:rsidRPr="00281E47">
              <w:rPr>
                <w:rFonts w:eastAsia="Calibri"/>
                <w:sz w:val="20"/>
                <w:szCs w:val="20"/>
              </w:rPr>
              <w:t>25</w:t>
            </w:r>
          </w:p>
        </w:tc>
        <w:tc>
          <w:tcPr>
            <w:tcW w:w="1613" w:type="dxa"/>
            <w:shd w:val="clear" w:color="auto" w:fill="auto"/>
            <w:vAlign w:val="center"/>
          </w:tcPr>
          <w:p w:rsidR="001B4A45" w:rsidRPr="00281E47" w:rsidP="0082595F" w14:paraId="37A586FA" w14:textId="40115A19">
            <w:pPr>
              <w:suppressAutoHyphens/>
              <w:jc w:val="center"/>
              <w:rPr>
                <w:rFonts w:eastAsia="Calibri"/>
                <w:sz w:val="20"/>
                <w:szCs w:val="20"/>
              </w:rPr>
            </w:pPr>
            <w:r w:rsidRPr="00281E47">
              <w:rPr>
                <w:rFonts w:eastAsia="Calibri"/>
                <w:sz w:val="20"/>
                <w:szCs w:val="20"/>
              </w:rPr>
              <w:t>$</w:t>
            </w:r>
            <w:r w:rsidRPr="00281E47" w:rsidR="001D0AAE">
              <w:rPr>
                <w:rFonts w:eastAsia="Calibri"/>
                <w:sz w:val="20"/>
                <w:szCs w:val="20"/>
              </w:rPr>
              <w:t>1,181.00</w:t>
            </w:r>
          </w:p>
        </w:tc>
      </w:tr>
      <w:tr w14:paraId="1F4D3939" w14:textId="77777777" w:rsidTr="0082595F">
        <w:tblPrEx>
          <w:tblW w:w="8064" w:type="dxa"/>
          <w:jc w:val="center"/>
          <w:tblLayout w:type="fixed"/>
          <w:tblCellMar>
            <w:left w:w="29" w:type="dxa"/>
            <w:right w:w="29" w:type="dxa"/>
          </w:tblCellMar>
          <w:tblLook w:val="04A0"/>
        </w:tblPrEx>
        <w:trPr>
          <w:trHeight w:val="576"/>
          <w:jc w:val="center"/>
        </w:trPr>
        <w:tc>
          <w:tcPr>
            <w:tcW w:w="1612" w:type="dxa"/>
            <w:shd w:val="clear" w:color="auto" w:fill="auto"/>
            <w:tcMar>
              <w:left w:w="29" w:type="dxa"/>
              <w:right w:w="29" w:type="dxa"/>
            </w:tcMar>
            <w:vAlign w:val="center"/>
          </w:tcPr>
          <w:p w:rsidR="001B4A45" w:rsidRPr="00281E47" w:rsidP="0082595F" w14:paraId="535F68FF" w14:textId="77777777">
            <w:pPr>
              <w:suppressAutoHyphens/>
              <w:jc w:val="center"/>
              <w:rPr>
                <w:rFonts w:eastAsia="Calibri"/>
                <w:sz w:val="20"/>
                <w:szCs w:val="20"/>
              </w:rPr>
            </w:pPr>
            <w:r w:rsidRPr="00281E47">
              <w:rPr>
                <w:rFonts w:eastAsia="Calibri"/>
                <w:sz w:val="20"/>
                <w:szCs w:val="20"/>
              </w:rPr>
              <w:t xml:space="preserve">Quarterly </w:t>
            </w:r>
          </w:p>
        </w:tc>
        <w:tc>
          <w:tcPr>
            <w:tcW w:w="1613" w:type="dxa"/>
            <w:shd w:val="clear" w:color="auto" w:fill="auto"/>
            <w:tcMar>
              <w:left w:w="29" w:type="dxa"/>
              <w:right w:w="29" w:type="dxa"/>
            </w:tcMar>
            <w:vAlign w:val="center"/>
          </w:tcPr>
          <w:p w:rsidR="001B4A45" w:rsidRPr="00281E47" w:rsidP="0082595F" w14:paraId="0E4BE2D2" w14:textId="77777777">
            <w:pPr>
              <w:suppressAutoHyphens/>
              <w:jc w:val="center"/>
              <w:rPr>
                <w:rFonts w:eastAsia="Calibri"/>
                <w:sz w:val="20"/>
                <w:szCs w:val="20"/>
              </w:rPr>
            </w:pPr>
            <w:r w:rsidRPr="00281E47">
              <w:rPr>
                <w:rFonts w:eastAsia="Calibri"/>
                <w:sz w:val="20"/>
                <w:szCs w:val="20"/>
              </w:rPr>
              <w:t>0.75 hr.</w:t>
            </w:r>
          </w:p>
        </w:tc>
        <w:tc>
          <w:tcPr>
            <w:tcW w:w="1613" w:type="dxa"/>
            <w:shd w:val="clear" w:color="auto" w:fill="auto"/>
            <w:tcMar>
              <w:left w:w="29" w:type="dxa"/>
              <w:right w:w="29" w:type="dxa"/>
            </w:tcMar>
            <w:vAlign w:val="center"/>
          </w:tcPr>
          <w:p w:rsidR="001B4A45" w:rsidRPr="00281E47" w:rsidP="0082595F" w14:paraId="10494026" w14:textId="2743EF27">
            <w:pPr>
              <w:suppressAutoHyphens/>
              <w:jc w:val="center"/>
              <w:rPr>
                <w:rFonts w:eastAsia="Calibri"/>
                <w:sz w:val="20"/>
                <w:szCs w:val="20"/>
              </w:rPr>
            </w:pPr>
            <w:r w:rsidRPr="00281E47">
              <w:rPr>
                <w:rFonts w:eastAsia="Calibri"/>
                <w:sz w:val="20"/>
                <w:szCs w:val="20"/>
              </w:rPr>
              <w:t>$</w:t>
            </w:r>
            <w:r w:rsidRPr="00281E47" w:rsidR="00A7100B">
              <w:rPr>
                <w:rFonts w:eastAsia="Calibri"/>
                <w:sz w:val="20"/>
                <w:szCs w:val="20"/>
              </w:rPr>
              <w:t>47</w:t>
            </w:r>
            <w:r w:rsidRPr="00281E47">
              <w:rPr>
                <w:rFonts w:eastAsia="Calibri"/>
                <w:sz w:val="20"/>
                <w:szCs w:val="20"/>
              </w:rPr>
              <w:t>.</w:t>
            </w:r>
            <w:r w:rsidRPr="00281E47" w:rsidR="00A7100B">
              <w:rPr>
                <w:rFonts w:eastAsia="Calibri"/>
                <w:sz w:val="20"/>
                <w:szCs w:val="20"/>
              </w:rPr>
              <w:t>24</w:t>
            </w:r>
          </w:p>
        </w:tc>
        <w:tc>
          <w:tcPr>
            <w:tcW w:w="1613" w:type="dxa"/>
            <w:shd w:val="clear" w:color="auto" w:fill="auto"/>
            <w:vAlign w:val="center"/>
          </w:tcPr>
          <w:p w:rsidR="001B4A45" w:rsidRPr="00281E47" w:rsidP="0082595F" w14:paraId="652EAB93" w14:textId="77777777">
            <w:pPr>
              <w:suppressAutoHyphens/>
              <w:jc w:val="center"/>
              <w:rPr>
                <w:rFonts w:eastAsia="Calibri"/>
                <w:sz w:val="20"/>
                <w:szCs w:val="20"/>
              </w:rPr>
            </w:pPr>
            <w:r w:rsidRPr="00281E47">
              <w:rPr>
                <w:rFonts w:eastAsia="Calibri"/>
                <w:sz w:val="20"/>
                <w:szCs w:val="20"/>
              </w:rPr>
              <w:t>4</w:t>
            </w:r>
          </w:p>
        </w:tc>
        <w:tc>
          <w:tcPr>
            <w:tcW w:w="1613" w:type="dxa"/>
            <w:shd w:val="clear" w:color="auto" w:fill="auto"/>
            <w:vAlign w:val="center"/>
          </w:tcPr>
          <w:p w:rsidR="001B4A45" w:rsidRPr="00281E47" w:rsidP="0082595F" w14:paraId="4A7901F7" w14:textId="5F8EEEA6">
            <w:pPr>
              <w:suppressAutoHyphens/>
              <w:jc w:val="center"/>
              <w:rPr>
                <w:rFonts w:eastAsia="Calibri"/>
                <w:sz w:val="20"/>
                <w:szCs w:val="20"/>
              </w:rPr>
            </w:pPr>
            <w:r w:rsidRPr="00281E47">
              <w:rPr>
                <w:rFonts w:eastAsia="Calibri"/>
                <w:sz w:val="20"/>
                <w:szCs w:val="20"/>
              </w:rPr>
              <w:t>$</w:t>
            </w:r>
            <w:r w:rsidRPr="00281E47" w:rsidR="00A7100B">
              <w:rPr>
                <w:rFonts w:eastAsia="Calibri"/>
                <w:sz w:val="20"/>
                <w:szCs w:val="20"/>
              </w:rPr>
              <w:t>188</w:t>
            </w:r>
            <w:r w:rsidRPr="00281E47">
              <w:rPr>
                <w:rFonts w:eastAsia="Calibri"/>
                <w:sz w:val="20"/>
                <w:szCs w:val="20"/>
              </w:rPr>
              <w:t>.</w:t>
            </w:r>
            <w:r w:rsidRPr="00281E47" w:rsidR="00A7100B">
              <w:rPr>
                <w:rFonts w:eastAsia="Calibri"/>
                <w:sz w:val="20"/>
                <w:szCs w:val="20"/>
              </w:rPr>
              <w:t>9</w:t>
            </w:r>
            <w:r w:rsidRPr="00281E47" w:rsidR="001D0AAE">
              <w:rPr>
                <w:rFonts w:eastAsia="Calibri"/>
                <w:sz w:val="20"/>
                <w:szCs w:val="20"/>
              </w:rPr>
              <w:t>6</w:t>
            </w:r>
          </w:p>
        </w:tc>
      </w:tr>
      <w:tr w14:paraId="39AFE17A" w14:textId="77777777" w:rsidTr="0082595F">
        <w:tblPrEx>
          <w:tblW w:w="8064" w:type="dxa"/>
          <w:jc w:val="center"/>
          <w:tblLayout w:type="fixed"/>
          <w:tblCellMar>
            <w:left w:w="29" w:type="dxa"/>
            <w:right w:w="29" w:type="dxa"/>
          </w:tblCellMar>
          <w:tblLook w:val="04A0"/>
        </w:tblPrEx>
        <w:trPr>
          <w:trHeight w:val="710"/>
          <w:jc w:val="center"/>
        </w:trPr>
        <w:tc>
          <w:tcPr>
            <w:tcW w:w="8064" w:type="dxa"/>
            <w:gridSpan w:val="5"/>
            <w:shd w:val="clear" w:color="auto" w:fill="auto"/>
            <w:tcMar>
              <w:left w:w="29" w:type="dxa"/>
              <w:right w:w="29" w:type="dxa"/>
            </w:tcMar>
            <w:vAlign w:val="center"/>
          </w:tcPr>
          <w:p w:rsidR="001B4A45" w:rsidRPr="00281E47" w:rsidP="0082595F" w14:paraId="70990709" w14:textId="1EA518B5">
            <w:pPr>
              <w:ind w:left="360"/>
              <w:rPr>
                <w:rFonts w:eastAsia="Calibri"/>
                <w:sz w:val="20"/>
                <w:szCs w:val="20"/>
              </w:rPr>
            </w:pPr>
            <w:r w:rsidRPr="00281E47">
              <w:rPr>
                <w:rFonts w:eastAsia="Calibri"/>
                <w:b/>
                <w:i/>
                <w:sz w:val="20"/>
                <w:szCs w:val="20"/>
              </w:rPr>
              <w:t>Total:</w:t>
            </w:r>
            <w:r w:rsidRPr="00281E47">
              <w:rPr>
                <w:rFonts w:eastAsia="Calibri"/>
                <w:b/>
                <w:sz w:val="20"/>
                <w:szCs w:val="20"/>
              </w:rPr>
              <w:t xml:space="preserve">  </w:t>
            </w:r>
            <w:r w:rsidRPr="00281E47">
              <w:rPr>
                <w:rFonts w:eastAsia="Calibri"/>
                <w:sz w:val="20"/>
                <w:szCs w:val="20"/>
              </w:rPr>
              <w:t>$</w:t>
            </w:r>
            <w:r w:rsidRPr="00281E47" w:rsidR="001D0AAE">
              <w:rPr>
                <w:rFonts w:eastAsia="Calibri"/>
                <w:sz w:val="20"/>
                <w:szCs w:val="20"/>
              </w:rPr>
              <w:t>47.24</w:t>
            </w:r>
            <w:r w:rsidRPr="00281E47" w:rsidR="0062354A">
              <w:rPr>
                <w:rFonts w:eastAsia="Calibri"/>
                <w:sz w:val="20"/>
                <w:szCs w:val="20"/>
              </w:rPr>
              <w:t xml:space="preserve"> per </w:t>
            </w:r>
            <w:r w:rsidRPr="00281E47">
              <w:rPr>
                <w:rFonts w:eastAsia="Calibri"/>
                <w:sz w:val="20"/>
                <w:szCs w:val="20"/>
              </w:rPr>
              <w:t xml:space="preserve">response x </w:t>
            </w:r>
            <w:r w:rsidRPr="00281E47" w:rsidR="00D815A9">
              <w:rPr>
                <w:rFonts w:eastAsia="Calibri"/>
                <w:sz w:val="20"/>
                <w:szCs w:val="20"/>
              </w:rPr>
              <w:t>474</w:t>
            </w:r>
            <w:r w:rsidRPr="00281E47">
              <w:rPr>
                <w:rFonts w:eastAsia="Calibri"/>
                <w:sz w:val="20"/>
                <w:szCs w:val="20"/>
              </w:rPr>
              <w:t xml:space="preserve"> annual responses = </w:t>
            </w:r>
            <w:r w:rsidRPr="00281E47" w:rsidR="001D0AAE">
              <w:rPr>
                <w:rFonts w:eastAsia="Calibri"/>
                <w:sz w:val="20"/>
                <w:szCs w:val="20"/>
              </w:rPr>
              <w:t xml:space="preserve">$22,391.76 </w:t>
            </w:r>
            <w:r w:rsidRPr="00281E47">
              <w:rPr>
                <w:rFonts w:eastAsia="Calibri"/>
                <w:sz w:val="20"/>
                <w:szCs w:val="20"/>
              </w:rPr>
              <w:t xml:space="preserve">in </w:t>
            </w:r>
            <w:r w:rsidRPr="00281E47" w:rsidR="0062354A">
              <w:rPr>
                <w:rFonts w:eastAsia="Calibri"/>
                <w:sz w:val="20"/>
                <w:szCs w:val="20"/>
              </w:rPr>
              <w:t xml:space="preserve">total </w:t>
            </w:r>
            <w:r w:rsidRPr="00281E47" w:rsidR="001D0AAE">
              <w:rPr>
                <w:rFonts w:eastAsia="Calibri"/>
                <w:sz w:val="20"/>
                <w:szCs w:val="20"/>
              </w:rPr>
              <w:t xml:space="preserve">estimated </w:t>
            </w:r>
            <w:r w:rsidRPr="00281E47">
              <w:rPr>
                <w:rFonts w:eastAsia="Calibri"/>
                <w:sz w:val="20"/>
                <w:szCs w:val="20"/>
              </w:rPr>
              <w:t xml:space="preserve">annual respondent labor costs for this information collection. </w:t>
            </w:r>
          </w:p>
        </w:tc>
      </w:tr>
    </w:tbl>
    <w:p w:rsidR="001B4A45" w:rsidRPr="00D815A9" w:rsidP="0062354A" w14:paraId="14E59920" w14:textId="77777777">
      <w:pPr>
        <w:spacing w:before="40"/>
        <w:ind w:left="360"/>
        <w:rPr>
          <w:sz w:val="18"/>
          <w:szCs w:val="18"/>
        </w:rPr>
      </w:pPr>
      <w:r>
        <w:rPr>
          <w:sz w:val="22"/>
          <w:szCs w:val="22"/>
        </w:rPr>
        <w:t xml:space="preserve">  </w:t>
      </w:r>
      <w:r w:rsidRPr="00D815A9">
        <w:rPr>
          <w:sz w:val="22"/>
          <w:szCs w:val="22"/>
        </w:rPr>
        <w:t xml:space="preserve">* </w:t>
      </w:r>
      <w:r w:rsidRPr="00D815A9">
        <w:rPr>
          <w:sz w:val="18"/>
          <w:szCs w:val="18"/>
        </w:rPr>
        <w:t>Labor costs are r</w:t>
      </w:r>
      <w:r w:rsidRPr="00D815A9">
        <w:rPr>
          <w:sz w:val="18"/>
          <w:szCs w:val="18"/>
        </w:rPr>
        <w:t xml:space="preserve">ounded to the nearest whole cent.    </w:t>
      </w:r>
      <w:r w:rsidRPr="00D815A9">
        <w:rPr>
          <w:sz w:val="22"/>
          <w:szCs w:val="22"/>
        </w:rPr>
        <w:t xml:space="preserve">** </w:t>
      </w:r>
      <w:r w:rsidRPr="00D815A9">
        <w:rPr>
          <w:sz w:val="18"/>
          <w:szCs w:val="18"/>
        </w:rPr>
        <w:t xml:space="preserve">There are three filing periods in September. </w:t>
      </w:r>
    </w:p>
    <w:p w:rsidR="001B4A45" w:rsidRPr="00D815A9" w:rsidP="001B4A45" w14:paraId="47301BBE" w14:textId="77777777">
      <w:pPr>
        <w:ind w:left="360"/>
        <w:rPr>
          <w:sz w:val="22"/>
          <w:szCs w:val="22"/>
        </w:rPr>
      </w:pPr>
    </w:p>
    <w:p w:rsidR="00505377" w:rsidRPr="00D815A9" w:rsidP="004818E1" w14:paraId="1BA52DEE" w14:textId="77777777">
      <w:pPr>
        <w:suppressAutoHyphens/>
        <w:spacing w:line="240" w:lineRule="atLeast"/>
        <w:ind w:left="360"/>
        <w:rPr>
          <w:rFonts w:cs="Arial"/>
          <w:sz w:val="22"/>
          <w:szCs w:val="22"/>
        </w:rPr>
      </w:pPr>
      <w:r w:rsidRPr="00D815A9">
        <w:rPr>
          <w:rFonts w:cs="Arial"/>
          <w:sz w:val="22"/>
          <w:szCs w:val="22"/>
          <w:u w:val="single"/>
        </w:rPr>
        <w:t>Recordkeeping B</w:t>
      </w:r>
      <w:r w:rsidRPr="00D815A9">
        <w:rPr>
          <w:rFonts w:cs="Arial"/>
          <w:sz w:val="22"/>
          <w:szCs w:val="22"/>
          <w:u w:val="single"/>
        </w:rPr>
        <w:t>urden:</w:t>
      </w:r>
      <w:r w:rsidRPr="00D815A9">
        <w:rPr>
          <w:rFonts w:cs="Arial"/>
          <w:sz w:val="22"/>
          <w:szCs w:val="22"/>
        </w:rPr>
        <w:t xml:space="preserve">  Under </w:t>
      </w:r>
      <w:r w:rsidRPr="00D815A9" w:rsidR="00924F97">
        <w:rPr>
          <w:rFonts w:cs="Arial"/>
          <w:sz w:val="22"/>
          <w:szCs w:val="22"/>
        </w:rPr>
        <w:t xml:space="preserve">the record retention provisions of </w:t>
      </w:r>
      <w:r w:rsidRPr="00D815A9">
        <w:rPr>
          <w:rFonts w:cs="Arial"/>
          <w:sz w:val="22"/>
          <w:szCs w:val="22"/>
        </w:rPr>
        <w:t>27 CFR 26.</w:t>
      </w:r>
      <w:r w:rsidRPr="00D815A9" w:rsidR="00924F97">
        <w:rPr>
          <w:rFonts w:cs="Arial"/>
          <w:sz w:val="22"/>
          <w:szCs w:val="22"/>
        </w:rPr>
        <w:t>276</w:t>
      </w:r>
      <w:r w:rsidRPr="00D815A9">
        <w:rPr>
          <w:rFonts w:cs="Arial"/>
          <w:sz w:val="22"/>
          <w:szCs w:val="22"/>
        </w:rPr>
        <w:t xml:space="preserve"> and 41.22, respondents must retain </w:t>
      </w:r>
      <w:r w:rsidR="00736737">
        <w:rPr>
          <w:rFonts w:cs="Arial"/>
          <w:sz w:val="22"/>
          <w:szCs w:val="22"/>
        </w:rPr>
        <w:t xml:space="preserve">record </w:t>
      </w:r>
      <w:r w:rsidRPr="00D815A9">
        <w:rPr>
          <w:rFonts w:cs="Arial"/>
          <w:sz w:val="22"/>
          <w:szCs w:val="22"/>
        </w:rPr>
        <w:t xml:space="preserve">copies of </w:t>
      </w:r>
      <w:r w:rsidR="00736737">
        <w:rPr>
          <w:rFonts w:cs="Arial"/>
          <w:sz w:val="22"/>
          <w:szCs w:val="22"/>
        </w:rPr>
        <w:t xml:space="preserve">submitted forms, including </w:t>
      </w:r>
      <w:r w:rsidRPr="00D815A9">
        <w:rPr>
          <w:rFonts w:cs="Arial"/>
          <w:sz w:val="22"/>
          <w:szCs w:val="22"/>
        </w:rPr>
        <w:t>TTB F 5000.25</w:t>
      </w:r>
      <w:r w:rsidR="00736737">
        <w:rPr>
          <w:rFonts w:cs="Arial"/>
          <w:sz w:val="22"/>
          <w:szCs w:val="22"/>
        </w:rPr>
        <w:t>,</w:t>
      </w:r>
      <w:r w:rsidRPr="00D815A9">
        <w:rPr>
          <w:rFonts w:cs="Arial"/>
          <w:sz w:val="22"/>
          <w:szCs w:val="22"/>
        </w:rPr>
        <w:t xml:space="preserve"> </w:t>
      </w:r>
      <w:r w:rsidRPr="00D815A9" w:rsidR="00924F97">
        <w:rPr>
          <w:rFonts w:cs="Arial"/>
          <w:sz w:val="22"/>
          <w:szCs w:val="22"/>
        </w:rPr>
        <w:t xml:space="preserve">at their business premises </w:t>
      </w:r>
      <w:r w:rsidRPr="00D815A9" w:rsidR="005D793D">
        <w:rPr>
          <w:rFonts w:cs="Arial"/>
          <w:sz w:val="22"/>
          <w:szCs w:val="22"/>
        </w:rPr>
        <w:t>for at least three years</w:t>
      </w:r>
      <w:r w:rsidRPr="00D815A9" w:rsidR="00924F97">
        <w:rPr>
          <w:rFonts w:cs="Arial"/>
          <w:sz w:val="22"/>
          <w:szCs w:val="22"/>
        </w:rPr>
        <w:t xml:space="preserve"> after the </w:t>
      </w:r>
      <w:r w:rsidR="00736737">
        <w:rPr>
          <w:rFonts w:cs="Arial"/>
          <w:sz w:val="22"/>
          <w:szCs w:val="22"/>
        </w:rPr>
        <w:t>form</w:t>
      </w:r>
      <w:r w:rsidRPr="00D815A9" w:rsidR="00924F97">
        <w:rPr>
          <w:rFonts w:cs="Arial"/>
          <w:sz w:val="22"/>
          <w:szCs w:val="22"/>
        </w:rPr>
        <w:t>’s submission</w:t>
      </w:r>
      <w:r w:rsidRPr="00D815A9" w:rsidR="005D793D">
        <w:rPr>
          <w:rFonts w:cs="Arial"/>
          <w:sz w:val="22"/>
          <w:szCs w:val="22"/>
        </w:rPr>
        <w:t xml:space="preserve">. </w:t>
      </w:r>
    </w:p>
    <w:p w:rsidR="00CE382E" w:rsidRPr="00D815A9" w:rsidP="00227B91" w14:paraId="2ADFB823" w14:textId="77777777">
      <w:pPr>
        <w:suppressAutoHyphens/>
        <w:spacing w:line="240" w:lineRule="atLeast"/>
        <w:ind w:left="480" w:hanging="480"/>
        <w:rPr>
          <w:rFonts w:cs="Arial"/>
          <w:sz w:val="28"/>
          <w:szCs w:val="28"/>
        </w:rPr>
      </w:pPr>
    </w:p>
    <w:p w:rsidR="008D6E67" w:rsidRPr="00D815A9" w:rsidP="008D6E67" w14:paraId="63A7E4CA" w14:textId="77777777">
      <w:pPr>
        <w:suppressAutoHyphens/>
        <w:spacing w:line="240" w:lineRule="atLeast"/>
        <w:rPr>
          <w:rFonts w:cs="Arial"/>
          <w:i/>
          <w:sz w:val="22"/>
          <w:szCs w:val="22"/>
        </w:rPr>
      </w:pPr>
      <w:r w:rsidRPr="00D815A9">
        <w:rPr>
          <w:rFonts w:cs="Arial"/>
          <w:i/>
          <w:sz w:val="22"/>
          <w:szCs w:val="22"/>
        </w:rPr>
        <w:t xml:space="preserve">13.  What is the estimated total annual cost burden to respondents or recordkeepers resulting from this collection of information (excluding the value of the burden hours in Question 12 above? </w:t>
      </w:r>
    </w:p>
    <w:p w:rsidR="009564BA" w:rsidRPr="00D815A9" w:rsidP="00227B91" w14:paraId="3B00FD90" w14:textId="77777777">
      <w:pPr>
        <w:suppressAutoHyphens/>
        <w:spacing w:line="240" w:lineRule="atLeast"/>
        <w:rPr>
          <w:rFonts w:cs="Arial"/>
          <w:sz w:val="22"/>
          <w:szCs w:val="22"/>
        </w:rPr>
      </w:pPr>
    </w:p>
    <w:p w:rsidR="00D815A9" w:rsidP="00D815A9" w14:paraId="300C5188" w14:textId="77777777">
      <w:pPr>
        <w:suppressAutoHyphens/>
        <w:ind w:left="360"/>
        <w:rPr>
          <w:sz w:val="22"/>
          <w:szCs w:val="22"/>
        </w:rPr>
      </w:pPr>
      <w:r>
        <w:rPr>
          <w:sz w:val="22"/>
          <w:szCs w:val="22"/>
        </w:rPr>
        <w:t xml:space="preserve">The information required on TTB F 5000.25 is minimal.  The </w:t>
      </w:r>
      <w:r w:rsidRPr="003164E9">
        <w:rPr>
          <w:sz w:val="22"/>
          <w:szCs w:val="22"/>
        </w:rPr>
        <w:t xml:space="preserve">excise tax liabilities </w:t>
      </w:r>
      <w:r w:rsidR="00736737">
        <w:rPr>
          <w:sz w:val="22"/>
          <w:szCs w:val="22"/>
        </w:rPr>
        <w:t xml:space="preserve">reported on that </w:t>
      </w:r>
      <w:r>
        <w:rPr>
          <w:sz w:val="22"/>
          <w:szCs w:val="22"/>
        </w:rPr>
        <w:t xml:space="preserve">form </w:t>
      </w:r>
      <w:r w:rsidRPr="003164E9">
        <w:rPr>
          <w:sz w:val="22"/>
          <w:szCs w:val="22"/>
        </w:rPr>
        <w:t>are based</w:t>
      </w:r>
      <w:r>
        <w:rPr>
          <w:sz w:val="22"/>
          <w:szCs w:val="22"/>
        </w:rPr>
        <w:t>, in general,</w:t>
      </w:r>
      <w:r w:rsidRPr="003164E9">
        <w:rPr>
          <w:sz w:val="22"/>
          <w:szCs w:val="22"/>
        </w:rPr>
        <w:t xml:space="preserve"> on the amount of taxable commodities produced </w:t>
      </w:r>
      <w:r w:rsidR="00A61F80">
        <w:rPr>
          <w:sz w:val="22"/>
          <w:szCs w:val="22"/>
        </w:rPr>
        <w:t xml:space="preserve">and removed </w:t>
      </w:r>
      <w:r w:rsidRPr="003164E9">
        <w:rPr>
          <w:sz w:val="22"/>
          <w:szCs w:val="22"/>
        </w:rPr>
        <w:t xml:space="preserve">by </w:t>
      </w:r>
      <w:r>
        <w:rPr>
          <w:sz w:val="22"/>
          <w:szCs w:val="22"/>
        </w:rPr>
        <w:t>respondents during a given time period</w:t>
      </w:r>
      <w:r w:rsidR="00736737">
        <w:rPr>
          <w:sz w:val="22"/>
          <w:szCs w:val="22"/>
        </w:rPr>
        <w:t xml:space="preserve">.  </w:t>
      </w:r>
      <w:r>
        <w:rPr>
          <w:sz w:val="22"/>
          <w:szCs w:val="22"/>
        </w:rPr>
        <w:t xml:space="preserve">TTB notes that respondents </w:t>
      </w:r>
      <w:r w:rsidR="00A61F80">
        <w:rPr>
          <w:sz w:val="22"/>
          <w:szCs w:val="22"/>
        </w:rPr>
        <w:t xml:space="preserve">track their operations </w:t>
      </w:r>
      <w:r>
        <w:rPr>
          <w:sz w:val="22"/>
          <w:szCs w:val="22"/>
        </w:rPr>
        <w:t xml:space="preserve">during the </w:t>
      </w:r>
      <w:r w:rsidRPr="003164E9">
        <w:rPr>
          <w:sz w:val="22"/>
          <w:szCs w:val="22"/>
        </w:rPr>
        <w:t>normal course of business</w:t>
      </w:r>
      <w:r>
        <w:rPr>
          <w:sz w:val="22"/>
          <w:szCs w:val="22"/>
        </w:rPr>
        <w:t xml:space="preserve"> to </w:t>
      </w:r>
      <w:r w:rsidR="00A61F80">
        <w:rPr>
          <w:sz w:val="22"/>
          <w:szCs w:val="22"/>
        </w:rPr>
        <w:t xml:space="preserve">account for </w:t>
      </w:r>
      <w:r>
        <w:rPr>
          <w:sz w:val="22"/>
          <w:szCs w:val="22"/>
        </w:rPr>
        <w:t>their production and inventory</w:t>
      </w:r>
      <w:r w:rsidR="00A61F80">
        <w:rPr>
          <w:sz w:val="22"/>
          <w:szCs w:val="22"/>
        </w:rPr>
        <w:t xml:space="preserve"> of alcohol and tobacco products</w:t>
      </w:r>
      <w:r>
        <w:rPr>
          <w:sz w:val="22"/>
          <w:szCs w:val="22"/>
        </w:rPr>
        <w:t xml:space="preserve">.  As such, </w:t>
      </w:r>
      <w:r w:rsidRPr="001A3F69">
        <w:rPr>
          <w:sz w:val="22"/>
          <w:szCs w:val="22"/>
        </w:rPr>
        <w:t>TTB believes that there are no annualized start-up</w:t>
      </w:r>
      <w:r w:rsidR="00736737">
        <w:rPr>
          <w:sz w:val="22"/>
          <w:szCs w:val="22"/>
        </w:rPr>
        <w:t xml:space="preserve">, </w:t>
      </w:r>
      <w:r w:rsidRPr="001A3F69">
        <w:rPr>
          <w:sz w:val="22"/>
          <w:szCs w:val="22"/>
        </w:rPr>
        <w:t>maintenance</w:t>
      </w:r>
      <w:r w:rsidR="00736737">
        <w:rPr>
          <w:sz w:val="22"/>
          <w:szCs w:val="22"/>
        </w:rPr>
        <w:t>, or overhead</w:t>
      </w:r>
      <w:r w:rsidRPr="001A3F69">
        <w:rPr>
          <w:sz w:val="22"/>
          <w:szCs w:val="22"/>
        </w:rPr>
        <w:t xml:space="preserve"> costs to respondents associated with this information collection</w:t>
      </w:r>
      <w:r>
        <w:rPr>
          <w:sz w:val="22"/>
          <w:szCs w:val="22"/>
        </w:rPr>
        <w:t xml:space="preserve">. </w:t>
      </w:r>
    </w:p>
    <w:p w:rsidR="00D815A9" w:rsidP="00D815A9" w14:paraId="63A0AE8A" w14:textId="77777777">
      <w:pPr>
        <w:suppressAutoHyphens/>
        <w:ind w:left="360"/>
        <w:rPr>
          <w:sz w:val="22"/>
          <w:szCs w:val="22"/>
        </w:rPr>
      </w:pPr>
    </w:p>
    <w:p w:rsidR="008D6E67" w:rsidP="00C756D9" w14:paraId="2654BFB2" w14:textId="77777777">
      <w:pPr>
        <w:suppressAutoHyphens/>
        <w:ind w:left="360"/>
        <w:rPr>
          <w:rFonts w:cs="Arial"/>
          <w:sz w:val="22"/>
          <w:szCs w:val="22"/>
        </w:rPr>
      </w:pPr>
      <w:r>
        <w:rPr>
          <w:sz w:val="22"/>
          <w:szCs w:val="22"/>
        </w:rPr>
        <w:t xml:space="preserve">As for </w:t>
      </w:r>
      <w:r w:rsidR="00C756D9">
        <w:rPr>
          <w:sz w:val="22"/>
          <w:szCs w:val="22"/>
        </w:rPr>
        <w:t xml:space="preserve">other costs to respondents, </w:t>
      </w:r>
      <w:r w:rsidRPr="004B476A">
        <w:rPr>
          <w:sz w:val="22"/>
          <w:szCs w:val="22"/>
        </w:rPr>
        <w:t xml:space="preserve">TTB estimates </w:t>
      </w:r>
      <w:r>
        <w:rPr>
          <w:sz w:val="22"/>
          <w:szCs w:val="22"/>
        </w:rPr>
        <w:t xml:space="preserve">that respondents have no more than $2.00 per response in postage and mailing supply costs </w:t>
      </w:r>
      <w:r w:rsidR="00C756D9">
        <w:rPr>
          <w:sz w:val="22"/>
          <w:szCs w:val="22"/>
        </w:rPr>
        <w:t xml:space="preserve">for this information collection.  </w:t>
      </w:r>
      <w:r w:rsidR="00736737">
        <w:rPr>
          <w:sz w:val="22"/>
          <w:szCs w:val="22"/>
        </w:rPr>
        <w:t xml:space="preserve">For taxpayers who respond </w:t>
      </w:r>
      <w:r w:rsidR="00E632E0">
        <w:rPr>
          <w:sz w:val="22"/>
          <w:szCs w:val="22"/>
        </w:rPr>
        <w:t xml:space="preserve">via paper, such </w:t>
      </w:r>
      <w:r w:rsidR="00C756D9">
        <w:rPr>
          <w:sz w:val="22"/>
          <w:szCs w:val="22"/>
        </w:rPr>
        <w:t xml:space="preserve">costs would be $50.00 for each semi-monthly respondent and $8.00 for each quarterly respondent.  Given 474 total annual responses to this information collection, the estimated cost to respondents for postage and mail supplies is no more than $948.00. </w:t>
      </w:r>
    </w:p>
    <w:p w:rsidR="009564BA" w:rsidRPr="00626375" w:rsidP="009564BA" w14:paraId="1C4AE828" w14:textId="77777777">
      <w:pPr>
        <w:tabs>
          <w:tab w:val="left" w:pos="540"/>
        </w:tabs>
        <w:ind w:left="540" w:hanging="540"/>
        <w:rPr>
          <w:sz w:val="28"/>
          <w:szCs w:val="28"/>
        </w:rPr>
      </w:pPr>
    </w:p>
    <w:p w:rsidR="009564BA" w:rsidRPr="00AF060A" w:rsidP="009564BA" w14:paraId="00B90DDE" w14:textId="77777777">
      <w:pPr>
        <w:suppressAutoHyphens/>
        <w:ind w:left="480" w:hanging="480"/>
        <w:rPr>
          <w:i/>
          <w:sz w:val="22"/>
          <w:szCs w:val="22"/>
        </w:rPr>
      </w:pPr>
      <w:r w:rsidRPr="00AF060A">
        <w:rPr>
          <w:i/>
          <w:sz w:val="22"/>
          <w:szCs w:val="22"/>
        </w:rPr>
        <w:t xml:space="preserve">14.  What is the annualized cost to the Federal Government? </w:t>
      </w:r>
    </w:p>
    <w:p w:rsidR="009564BA" w:rsidP="009564BA" w14:paraId="5655AE20" w14:textId="77777777">
      <w:pPr>
        <w:suppressAutoHyphens/>
        <w:ind w:left="480" w:hanging="480"/>
        <w:rPr>
          <w:sz w:val="22"/>
          <w:szCs w:val="22"/>
        </w:rPr>
      </w:pPr>
    </w:p>
    <w:p w:rsidR="008D6E67" w:rsidP="00D40409" w14:paraId="3005EF79" w14:textId="77777777">
      <w:pPr>
        <w:suppressAutoHyphens/>
        <w:ind w:left="360"/>
        <w:rPr>
          <w:sz w:val="22"/>
          <w:szCs w:val="22"/>
        </w:rPr>
      </w:pPr>
      <w:r w:rsidRPr="008D6E67">
        <w:rPr>
          <w:sz w:val="22"/>
          <w:szCs w:val="22"/>
        </w:rPr>
        <w:t>TTB est</w:t>
      </w:r>
      <w:r w:rsidR="00D40409">
        <w:rPr>
          <w:sz w:val="22"/>
          <w:szCs w:val="22"/>
        </w:rPr>
        <w:t xml:space="preserve">imates </w:t>
      </w:r>
      <w:r w:rsidR="00E45696">
        <w:rPr>
          <w:sz w:val="22"/>
          <w:szCs w:val="22"/>
        </w:rPr>
        <w:t xml:space="preserve">the </w:t>
      </w:r>
      <w:r w:rsidR="00D40409">
        <w:rPr>
          <w:sz w:val="22"/>
          <w:szCs w:val="22"/>
        </w:rPr>
        <w:t xml:space="preserve">annualized </w:t>
      </w:r>
      <w:r w:rsidR="00E45696">
        <w:rPr>
          <w:sz w:val="22"/>
          <w:szCs w:val="22"/>
        </w:rPr>
        <w:t xml:space="preserve">labor </w:t>
      </w:r>
      <w:r w:rsidR="00D40409">
        <w:rPr>
          <w:sz w:val="22"/>
          <w:szCs w:val="22"/>
        </w:rPr>
        <w:t xml:space="preserve">costs to the Federal Government for this information collection </w:t>
      </w:r>
      <w:r w:rsidRPr="00D40409" w:rsidR="00D40409">
        <w:rPr>
          <w:sz w:val="22"/>
          <w:szCs w:val="22"/>
        </w:rPr>
        <w:t xml:space="preserve">as follows: </w:t>
      </w:r>
    </w:p>
    <w:p w:rsidR="00E45696" w:rsidP="00D40409" w14:paraId="6EC0BED5" w14:textId="77777777">
      <w:pPr>
        <w:suppressAutoHyphens/>
        <w:ind w:left="360"/>
        <w:rPr>
          <w:sz w:val="22"/>
          <w:szCs w:val="22"/>
        </w:rPr>
      </w:pPr>
    </w:p>
    <w:p w:rsidR="00281E47" w14:paraId="62269BE8" w14:textId="28A0E575">
      <w:pPr>
        <w:rPr>
          <w:sz w:val="22"/>
          <w:szCs w:val="22"/>
        </w:rPr>
      </w:pPr>
      <w:r>
        <w:rPr>
          <w:sz w:val="22"/>
          <w:szCs w:val="22"/>
        </w:rPr>
        <w:br w:type="page"/>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tblPr>
      <w:tblGrid>
        <w:gridCol w:w="1795"/>
        <w:gridCol w:w="1260"/>
        <w:gridCol w:w="1440"/>
        <w:gridCol w:w="1260"/>
        <w:gridCol w:w="1260"/>
        <w:gridCol w:w="1625"/>
      </w:tblGrid>
      <w:tr w14:paraId="6528CA57" w14:textId="77777777" w:rsidTr="0082595F">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4A0"/>
        </w:tblPrEx>
        <w:trPr>
          <w:trHeight w:val="576"/>
          <w:jc w:val="center"/>
        </w:trPr>
        <w:tc>
          <w:tcPr>
            <w:tcW w:w="8640" w:type="dxa"/>
            <w:gridSpan w:val="6"/>
            <w:shd w:val="clear" w:color="auto" w:fill="auto"/>
            <w:vAlign w:val="center"/>
          </w:tcPr>
          <w:p w:rsidR="00E45696" w:rsidRPr="0082595F" w:rsidP="0082595F" w14:paraId="7365F553" w14:textId="77777777">
            <w:pPr>
              <w:suppressAutoHyphens/>
              <w:jc w:val="center"/>
              <w:rPr>
                <w:rFonts w:eastAsia="Calibri"/>
                <w:b/>
                <w:sz w:val="20"/>
                <w:szCs w:val="20"/>
              </w:rPr>
            </w:pPr>
            <w:r w:rsidRPr="0082595F">
              <w:rPr>
                <w:rFonts w:eastAsia="Calibri"/>
                <w:b/>
                <w:sz w:val="20"/>
                <w:szCs w:val="20"/>
              </w:rPr>
              <w:t xml:space="preserve">Costs for TTB Personnel in San Juan, Puerto Rico </w:t>
            </w:r>
          </w:p>
          <w:p w:rsidR="00E45696" w:rsidRPr="0082595F" w:rsidP="0082595F" w14:paraId="29816C69" w14:textId="77777777">
            <w:pPr>
              <w:suppressAutoHyphens/>
              <w:jc w:val="center"/>
              <w:rPr>
                <w:rFonts w:eastAsia="Calibri"/>
                <w:b/>
                <w:sz w:val="18"/>
                <w:szCs w:val="18"/>
              </w:rPr>
            </w:pPr>
            <w:r w:rsidRPr="0082595F">
              <w:rPr>
                <w:rFonts w:eastAsia="Calibri"/>
                <w:b/>
                <w:sz w:val="18"/>
                <w:szCs w:val="18"/>
              </w:rPr>
              <w:t>(</w:t>
            </w:r>
            <w:r w:rsidRPr="0082595F" w:rsidR="00D22C4B">
              <w:rPr>
                <w:rFonts w:eastAsia="Calibri"/>
                <w:b/>
                <w:sz w:val="18"/>
                <w:szCs w:val="18"/>
              </w:rPr>
              <w:t xml:space="preserve">Based on the </w:t>
            </w:r>
            <w:r w:rsidRPr="0082595F">
              <w:rPr>
                <w:rFonts w:eastAsia="Calibri"/>
                <w:b/>
                <w:sz w:val="18"/>
                <w:szCs w:val="18"/>
              </w:rPr>
              <w:t>“Rest of United States” Hourly Pay Table)</w:t>
            </w:r>
          </w:p>
        </w:tc>
      </w:tr>
      <w:tr w14:paraId="30D744EC" w14:textId="77777777" w:rsidTr="0082595F">
        <w:tblPrEx>
          <w:tblW w:w="8640" w:type="dxa"/>
          <w:jc w:val="center"/>
          <w:tblLayout w:type="fixed"/>
          <w:tblCellMar>
            <w:left w:w="144" w:type="dxa"/>
            <w:right w:w="144" w:type="dxa"/>
          </w:tblCellMar>
          <w:tblLook w:val="04A0"/>
        </w:tblPrEx>
        <w:trPr>
          <w:trHeight w:val="576"/>
          <w:jc w:val="center"/>
        </w:trPr>
        <w:tc>
          <w:tcPr>
            <w:tcW w:w="1795" w:type="dxa"/>
            <w:shd w:val="clear" w:color="auto" w:fill="auto"/>
            <w:vAlign w:val="center"/>
          </w:tcPr>
          <w:p w:rsidR="00E45696" w:rsidRPr="0082595F" w:rsidP="0082595F" w14:paraId="68E74F68" w14:textId="77777777">
            <w:pPr>
              <w:suppressAutoHyphens/>
              <w:jc w:val="center"/>
              <w:rPr>
                <w:rFonts w:eastAsia="Calibri"/>
                <w:sz w:val="20"/>
                <w:szCs w:val="20"/>
              </w:rPr>
            </w:pPr>
            <w:r w:rsidRPr="0082595F">
              <w:rPr>
                <w:rFonts w:eastAsia="Calibri"/>
                <w:sz w:val="20"/>
                <w:szCs w:val="20"/>
              </w:rPr>
              <w:t xml:space="preserve">Position </w:t>
            </w:r>
          </w:p>
        </w:tc>
        <w:tc>
          <w:tcPr>
            <w:tcW w:w="1260" w:type="dxa"/>
            <w:shd w:val="clear" w:color="auto" w:fill="auto"/>
            <w:tcMar>
              <w:left w:w="29" w:type="dxa"/>
              <w:right w:w="29" w:type="dxa"/>
            </w:tcMar>
            <w:vAlign w:val="center"/>
          </w:tcPr>
          <w:p w:rsidR="00E45696" w:rsidRPr="0082595F" w:rsidP="0082595F" w14:paraId="0CDE46E4" w14:textId="77777777">
            <w:pPr>
              <w:suppressAutoHyphens/>
              <w:jc w:val="center"/>
              <w:rPr>
                <w:rFonts w:eastAsia="Calibri"/>
                <w:sz w:val="20"/>
                <w:szCs w:val="20"/>
              </w:rPr>
            </w:pPr>
            <w:r w:rsidRPr="0082595F">
              <w:rPr>
                <w:rFonts w:eastAsia="Calibri"/>
                <w:sz w:val="20"/>
                <w:szCs w:val="20"/>
              </w:rPr>
              <w:t>Fully-loaded Labor Rate/Hour</w:t>
            </w:r>
            <w:r>
              <w:rPr>
                <w:rFonts w:eastAsia="Calibri"/>
                <w:sz w:val="20"/>
                <w:szCs w:val="20"/>
                <w:vertAlign w:val="superscript"/>
              </w:rPr>
              <w:footnoteReference w:id="4"/>
            </w:r>
          </w:p>
        </w:tc>
        <w:tc>
          <w:tcPr>
            <w:tcW w:w="1440" w:type="dxa"/>
            <w:shd w:val="clear" w:color="auto" w:fill="auto"/>
            <w:tcMar>
              <w:left w:w="29" w:type="dxa"/>
              <w:right w:w="29" w:type="dxa"/>
            </w:tcMar>
            <w:vAlign w:val="center"/>
          </w:tcPr>
          <w:p w:rsidR="00E45696" w:rsidRPr="0082595F" w:rsidP="0082595F" w14:paraId="465240D7" w14:textId="77777777">
            <w:pPr>
              <w:suppressAutoHyphens/>
              <w:jc w:val="center"/>
              <w:rPr>
                <w:rFonts w:eastAsia="Calibri"/>
                <w:sz w:val="20"/>
                <w:szCs w:val="20"/>
              </w:rPr>
            </w:pPr>
            <w:r w:rsidRPr="0082595F">
              <w:rPr>
                <w:rFonts w:eastAsia="Calibri"/>
                <w:sz w:val="20"/>
                <w:szCs w:val="20"/>
              </w:rPr>
              <w:t>Processing Time per Response</w:t>
            </w:r>
          </w:p>
        </w:tc>
        <w:tc>
          <w:tcPr>
            <w:tcW w:w="1260" w:type="dxa"/>
            <w:shd w:val="clear" w:color="auto" w:fill="auto"/>
            <w:tcMar>
              <w:left w:w="29" w:type="dxa"/>
              <w:right w:w="29" w:type="dxa"/>
            </w:tcMar>
            <w:vAlign w:val="center"/>
          </w:tcPr>
          <w:p w:rsidR="00E45696" w:rsidRPr="0082595F" w:rsidP="0082595F" w14:paraId="5C8E51CB" w14:textId="77777777">
            <w:pPr>
              <w:suppressAutoHyphens/>
              <w:jc w:val="center"/>
              <w:rPr>
                <w:rFonts w:eastAsia="Calibri"/>
                <w:sz w:val="20"/>
                <w:szCs w:val="20"/>
              </w:rPr>
            </w:pPr>
            <w:r w:rsidRPr="0082595F">
              <w:rPr>
                <w:rFonts w:eastAsia="Calibri"/>
                <w:sz w:val="20"/>
                <w:szCs w:val="20"/>
              </w:rPr>
              <w:t>Costs per Response*</w:t>
            </w:r>
          </w:p>
        </w:tc>
        <w:tc>
          <w:tcPr>
            <w:tcW w:w="1260" w:type="dxa"/>
            <w:shd w:val="clear" w:color="auto" w:fill="auto"/>
            <w:tcMar>
              <w:left w:w="29" w:type="dxa"/>
              <w:right w:w="29" w:type="dxa"/>
            </w:tcMar>
            <w:vAlign w:val="center"/>
          </w:tcPr>
          <w:p w:rsidR="00E45696" w:rsidRPr="0082595F" w:rsidP="0082595F" w14:paraId="5AE4C2D8" w14:textId="77777777">
            <w:pPr>
              <w:suppressAutoHyphens/>
              <w:jc w:val="center"/>
              <w:rPr>
                <w:rFonts w:eastAsia="Calibri"/>
                <w:sz w:val="20"/>
                <w:szCs w:val="20"/>
              </w:rPr>
            </w:pPr>
            <w:r w:rsidRPr="0082595F">
              <w:rPr>
                <w:rFonts w:eastAsia="Calibri"/>
                <w:sz w:val="20"/>
                <w:szCs w:val="20"/>
              </w:rPr>
              <w:t>Total Responses</w:t>
            </w:r>
          </w:p>
        </w:tc>
        <w:tc>
          <w:tcPr>
            <w:tcW w:w="1625" w:type="dxa"/>
            <w:shd w:val="clear" w:color="auto" w:fill="auto"/>
            <w:tcMar>
              <w:left w:w="29" w:type="dxa"/>
              <w:right w:w="29" w:type="dxa"/>
            </w:tcMar>
            <w:vAlign w:val="center"/>
          </w:tcPr>
          <w:p w:rsidR="00E45696" w:rsidRPr="0082595F" w:rsidP="0082595F" w14:paraId="1513BA1A" w14:textId="77777777">
            <w:pPr>
              <w:suppressAutoHyphens/>
              <w:jc w:val="center"/>
              <w:rPr>
                <w:rFonts w:eastAsia="Calibri"/>
                <w:sz w:val="20"/>
                <w:szCs w:val="20"/>
              </w:rPr>
            </w:pPr>
            <w:r w:rsidRPr="0082595F">
              <w:rPr>
                <w:rFonts w:eastAsia="Calibri"/>
                <w:sz w:val="20"/>
                <w:szCs w:val="20"/>
              </w:rPr>
              <w:t>Total Costs</w:t>
            </w:r>
          </w:p>
        </w:tc>
      </w:tr>
      <w:tr w14:paraId="3AFDD724" w14:textId="77777777" w:rsidTr="0082595F">
        <w:tblPrEx>
          <w:tblW w:w="8640" w:type="dxa"/>
          <w:jc w:val="center"/>
          <w:tblLayout w:type="fixed"/>
          <w:tblCellMar>
            <w:left w:w="144" w:type="dxa"/>
            <w:right w:w="144" w:type="dxa"/>
          </w:tblCellMar>
          <w:tblLook w:val="04A0"/>
        </w:tblPrEx>
        <w:trPr>
          <w:trHeight w:val="576"/>
          <w:jc w:val="center"/>
        </w:trPr>
        <w:tc>
          <w:tcPr>
            <w:tcW w:w="1795" w:type="dxa"/>
            <w:shd w:val="clear" w:color="auto" w:fill="auto"/>
            <w:vAlign w:val="center"/>
          </w:tcPr>
          <w:p w:rsidR="00D22C4B" w:rsidRPr="0082595F" w:rsidP="0082595F" w14:paraId="4D7BE488" w14:textId="77777777">
            <w:pPr>
              <w:suppressAutoHyphens/>
              <w:jc w:val="center"/>
              <w:rPr>
                <w:rFonts w:eastAsia="Calibri"/>
                <w:sz w:val="20"/>
                <w:szCs w:val="20"/>
              </w:rPr>
            </w:pPr>
            <w:r w:rsidRPr="0082595F">
              <w:rPr>
                <w:rFonts w:eastAsia="Calibri"/>
                <w:sz w:val="20"/>
                <w:szCs w:val="20"/>
              </w:rPr>
              <w:t xml:space="preserve">GS–5, Step 5, </w:t>
            </w:r>
          </w:p>
          <w:p w:rsidR="00D22C4B" w:rsidRPr="0082595F" w:rsidP="0082595F" w14:paraId="24FB043C" w14:textId="77777777">
            <w:pPr>
              <w:suppressAutoHyphens/>
              <w:jc w:val="center"/>
              <w:rPr>
                <w:rFonts w:eastAsia="Calibri"/>
                <w:sz w:val="20"/>
                <w:szCs w:val="20"/>
              </w:rPr>
            </w:pPr>
            <w:r w:rsidRPr="0082595F">
              <w:rPr>
                <w:rFonts w:eastAsia="Calibri"/>
                <w:sz w:val="20"/>
                <w:szCs w:val="20"/>
              </w:rPr>
              <w:t xml:space="preserve">Clerk </w:t>
            </w:r>
          </w:p>
        </w:tc>
        <w:tc>
          <w:tcPr>
            <w:tcW w:w="1260" w:type="dxa"/>
            <w:shd w:val="clear" w:color="auto" w:fill="auto"/>
            <w:tcMar>
              <w:left w:w="29" w:type="dxa"/>
              <w:right w:w="29" w:type="dxa"/>
            </w:tcMar>
            <w:vAlign w:val="center"/>
          </w:tcPr>
          <w:p w:rsidR="00D22C4B" w:rsidRPr="0082595F" w:rsidP="0082595F" w14:paraId="4CDE2892" w14:textId="6DD00880">
            <w:pPr>
              <w:suppressAutoHyphens/>
              <w:jc w:val="center"/>
              <w:rPr>
                <w:rFonts w:eastAsia="Calibri"/>
                <w:sz w:val="20"/>
                <w:szCs w:val="20"/>
              </w:rPr>
            </w:pPr>
            <w:r w:rsidRPr="0082595F">
              <w:rPr>
                <w:rFonts w:eastAsia="Calibri"/>
                <w:sz w:val="20"/>
                <w:szCs w:val="20"/>
              </w:rPr>
              <w:t>$</w:t>
            </w:r>
            <w:r w:rsidR="00084517">
              <w:rPr>
                <w:rFonts w:eastAsia="Calibri"/>
                <w:sz w:val="20"/>
                <w:szCs w:val="20"/>
              </w:rPr>
              <w:t>37.18</w:t>
            </w:r>
          </w:p>
        </w:tc>
        <w:tc>
          <w:tcPr>
            <w:tcW w:w="1440" w:type="dxa"/>
            <w:shd w:val="clear" w:color="auto" w:fill="auto"/>
            <w:tcMar>
              <w:left w:w="29" w:type="dxa"/>
              <w:right w:w="29" w:type="dxa"/>
            </w:tcMar>
            <w:vAlign w:val="center"/>
          </w:tcPr>
          <w:p w:rsidR="00D22C4B" w:rsidRPr="0082595F" w:rsidP="0082595F" w14:paraId="01C73A6A" w14:textId="77777777">
            <w:pPr>
              <w:suppressAutoHyphens/>
              <w:jc w:val="center"/>
              <w:rPr>
                <w:rFonts w:eastAsia="Calibri"/>
                <w:sz w:val="20"/>
                <w:szCs w:val="20"/>
              </w:rPr>
            </w:pPr>
            <w:r w:rsidRPr="0082595F">
              <w:rPr>
                <w:rFonts w:eastAsia="Calibri"/>
                <w:sz w:val="20"/>
                <w:szCs w:val="20"/>
              </w:rPr>
              <w:t>0.2 hours</w:t>
            </w:r>
          </w:p>
        </w:tc>
        <w:tc>
          <w:tcPr>
            <w:tcW w:w="1260" w:type="dxa"/>
            <w:shd w:val="clear" w:color="auto" w:fill="auto"/>
            <w:tcMar>
              <w:left w:w="29" w:type="dxa"/>
              <w:right w:w="29" w:type="dxa"/>
            </w:tcMar>
            <w:vAlign w:val="center"/>
          </w:tcPr>
          <w:p w:rsidR="00D22C4B" w:rsidRPr="0082595F" w:rsidP="0082595F" w14:paraId="5318B206" w14:textId="60E314C1">
            <w:pPr>
              <w:suppressAutoHyphens/>
              <w:jc w:val="center"/>
              <w:rPr>
                <w:rFonts w:eastAsia="Calibri"/>
                <w:sz w:val="20"/>
                <w:szCs w:val="20"/>
              </w:rPr>
            </w:pPr>
            <w:r w:rsidRPr="0082595F">
              <w:rPr>
                <w:rFonts w:eastAsia="Calibri"/>
                <w:sz w:val="20"/>
                <w:szCs w:val="20"/>
              </w:rPr>
              <w:t>$</w:t>
            </w:r>
            <w:r w:rsidR="00AD550E">
              <w:rPr>
                <w:rFonts w:eastAsia="Calibri"/>
                <w:sz w:val="20"/>
                <w:szCs w:val="20"/>
              </w:rPr>
              <w:t>7.44</w:t>
            </w:r>
          </w:p>
        </w:tc>
        <w:tc>
          <w:tcPr>
            <w:tcW w:w="1260" w:type="dxa"/>
            <w:vMerge w:val="restart"/>
            <w:shd w:val="clear" w:color="auto" w:fill="auto"/>
            <w:tcMar>
              <w:left w:w="29" w:type="dxa"/>
              <w:right w:w="29" w:type="dxa"/>
            </w:tcMar>
            <w:vAlign w:val="center"/>
          </w:tcPr>
          <w:p w:rsidR="00D22C4B" w:rsidRPr="0082595F" w:rsidP="0082595F" w14:paraId="75726EE3" w14:textId="77777777">
            <w:pPr>
              <w:suppressAutoHyphens/>
              <w:jc w:val="center"/>
              <w:rPr>
                <w:rFonts w:eastAsia="Calibri"/>
                <w:sz w:val="20"/>
                <w:szCs w:val="20"/>
              </w:rPr>
            </w:pPr>
            <w:r w:rsidRPr="0082595F">
              <w:rPr>
                <w:rFonts w:eastAsia="Calibri"/>
                <w:sz w:val="20"/>
                <w:szCs w:val="20"/>
              </w:rPr>
              <w:t>474</w:t>
            </w:r>
          </w:p>
        </w:tc>
        <w:tc>
          <w:tcPr>
            <w:tcW w:w="1625" w:type="dxa"/>
            <w:shd w:val="clear" w:color="auto" w:fill="auto"/>
            <w:tcMar>
              <w:left w:w="29" w:type="dxa"/>
              <w:right w:w="29" w:type="dxa"/>
            </w:tcMar>
            <w:vAlign w:val="center"/>
          </w:tcPr>
          <w:p w:rsidR="00D22C4B" w:rsidRPr="0082595F" w:rsidP="0082595F" w14:paraId="42150216" w14:textId="02A00C81">
            <w:pPr>
              <w:suppressAutoHyphens/>
              <w:jc w:val="center"/>
              <w:rPr>
                <w:rFonts w:eastAsia="Calibri"/>
                <w:sz w:val="20"/>
                <w:szCs w:val="20"/>
              </w:rPr>
            </w:pPr>
            <w:r w:rsidRPr="0082595F">
              <w:rPr>
                <w:rFonts w:eastAsia="Calibri"/>
                <w:sz w:val="20"/>
                <w:szCs w:val="20"/>
              </w:rPr>
              <w:t>$</w:t>
            </w:r>
            <w:r w:rsidR="00580157">
              <w:rPr>
                <w:rFonts w:eastAsia="Calibri"/>
                <w:sz w:val="20"/>
                <w:szCs w:val="20"/>
              </w:rPr>
              <w:t>3,526</w:t>
            </w:r>
            <w:r w:rsidR="00F40BE4">
              <w:rPr>
                <w:rFonts w:eastAsia="Calibri"/>
                <w:sz w:val="20"/>
                <w:szCs w:val="20"/>
              </w:rPr>
              <w:t>.56</w:t>
            </w:r>
          </w:p>
        </w:tc>
      </w:tr>
      <w:tr w14:paraId="0D3BE9CD" w14:textId="77777777" w:rsidTr="0082595F">
        <w:tblPrEx>
          <w:tblW w:w="8640" w:type="dxa"/>
          <w:jc w:val="center"/>
          <w:tblLayout w:type="fixed"/>
          <w:tblCellMar>
            <w:left w:w="144" w:type="dxa"/>
            <w:right w:w="144" w:type="dxa"/>
          </w:tblCellMar>
          <w:tblLook w:val="04A0"/>
        </w:tblPrEx>
        <w:trPr>
          <w:trHeight w:val="576"/>
          <w:jc w:val="center"/>
        </w:trPr>
        <w:tc>
          <w:tcPr>
            <w:tcW w:w="1795" w:type="dxa"/>
            <w:tcBorders>
              <w:top w:val="single" w:sz="4" w:space="0" w:color="auto"/>
              <w:bottom w:val="single" w:sz="12" w:space="0" w:color="auto"/>
            </w:tcBorders>
            <w:shd w:val="clear" w:color="auto" w:fill="auto"/>
            <w:vAlign w:val="center"/>
          </w:tcPr>
          <w:p w:rsidR="00D22C4B" w:rsidRPr="0082595F" w:rsidP="0082595F" w14:paraId="37334F0E" w14:textId="77777777">
            <w:pPr>
              <w:suppressAutoHyphens/>
              <w:jc w:val="center"/>
              <w:rPr>
                <w:rFonts w:eastAsia="Calibri"/>
                <w:sz w:val="20"/>
                <w:szCs w:val="20"/>
              </w:rPr>
            </w:pPr>
            <w:r w:rsidRPr="0082595F">
              <w:rPr>
                <w:rFonts w:eastAsia="Calibri"/>
                <w:sz w:val="20"/>
                <w:szCs w:val="20"/>
              </w:rPr>
              <w:t>GS-11, Step 5, Specialist</w:t>
            </w:r>
          </w:p>
        </w:tc>
        <w:tc>
          <w:tcPr>
            <w:tcW w:w="1260" w:type="dxa"/>
            <w:tcBorders>
              <w:top w:val="single" w:sz="4" w:space="0" w:color="auto"/>
              <w:bottom w:val="single" w:sz="12" w:space="0" w:color="auto"/>
            </w:tcBorders>
            <w:shd w:val="clear" w:color="auto" w:fill="auto"/>
            <w:tcMar>
              <w:left w:w="29" w:type="dxa"/>
              <w:right w:w="29" w:type="dxa"/>
            </w:tcMar>
            <w:vAlign w:val="center"/>
          </w:tcPr>
          <w:p w:rsidR="00D22C4B" w:rsidRPr="0082595F" w:rsidP="0082595F" w14:paraId="466C90CC" w14:textId="633B91BC">
            <w:pPr>
              <w:suppressAutoHyphens/>
              <w:jc w:val="center"/>
              <w:rPr>
                <w:rFonts w:eastAsia="Calibri"/>
                <w:sz w:val="20"/>
                <w:szCs w:val="20"/>
              </w:rPr>
            </w:pPr>
            <w:r w:rsidRPr="0082595F">
              <w:rPr>
                <w:rFonts w:eastAsia="Calibri"/>
                <w:sz w:val="20"/>
                <w:szCs w:val="20"/>
              </w:rPr>
              <w:t>$</w:t>
            </w:r>
            <w:r w:rsidR="00F40BE4">
              <w:rPr>
                <w:rFonts w:eastAsia="Calibri"/>
                <w:sz w:val="20"/>
                <w:szCs w:val="20"/>
              </w:rPr>
              <w:t>68.1</w:t>
            </w:r>
            <w:r w:rsidR="001D0AAE">
              <w:rPr>
                <w:rFonts w:eastAsia="Calibri"/>
                <w:sz w:val="20"/>
                <w:szCs w:val="20"/>
              </w:rPr>
              <w:t>7</w:t>
            </w:r>
          </w:p>
        </w:tc>
        <w:tc>
          <w:tcPr>
            <w:tcW w:w="1440" w:type="dxa"/>
            <w:tcBorders>
              <w:top w:val="single" w:sz="4" w:space="0" w:color="auto"/>
              <w:bottom w:val="single" w:sz="12" w:space="0" w:color="auto"/>
            </w:tcBorders>
            <w:shd w:val="clear" w:color="auto" w:fill="auto"/>
            <w:tcMar>
              <w:left w:w="29" w:type="dxa"/>
              <w:right w:w="29" w:type="dxa"/>
            </w:tcMar>
            <w:vAlign w:val="center"/>
          </w:tcPr>
          <w:p w:rsidR="00D22C4B" w:rsidRPr="0082595F" w:rsidP="0082595F" w14:paraId="4DFBAB3D" w14:textId="77777777">
            <w:pPr>
              <w:suppressAutoHyphens/>
              <w:jc w:val="center"/>
              <w:rPr>
                <w:rFonts w:eastAsia="Calibri"/>
                <w:sz w:val="20"/>
                <w:szCs w:val="20"/>
              </w:rPr>
            </w:pPr>
            <w:r w:rsidRPr="0082595F">
              <w:rPr>
                <w:rFonts w:eastAsia="Calibri"/>
                <w:sz w:val="20"/>
                <w:szCs w:val="20"/>
              </w:rPr>
              <w:t>0.8 hours</w:t>
            </w:r>
          </w:p>
        </w:tc>
        <w:tc>
          <w:tcPr>
            <w:tcW w:w="1260" w:type="dxa"/>
            <w:tcBorders>
              <w:top w:val="single" w:sz="4" w:space="0" w:color="auto"/>
              <w:bottom w:val="single" w:sz="12" w:space="0" w:color="auto"/>
            </w:tcBorders>
            <w:shd w:val="clear" w:color="auto" w:fill="auto"/>
            <w:tcMar>
              <w:left w:w="29" w:type="dxa"/>
              <w:right w:w="29" w:type="dxa"/>
            </w:tcMar>
            <w:vAlign w:val="center"/>
          </w:tcPr>
          <w:p w:rsidR="00D22C4B" w:rsidRPr="0082595F" w:rsidP="0082595F" w14:paraId="4AE527CA" w14:textId="7F52CB42">
            <w:pPr>
              <w:suppressAutoHyphens/>
              <w:jc w:val="center"/>
              <w:rPr>
                <w:rFonts w:eastAsia="Calibri"/>
                <w:sz w:val="20"/>
                <w:szCs w:val="20"/>
              </w:rPr>
            </w:pPr>
            <w:r w:rsidRPr="0082595F">
              <w:rPr>
                <w:rFonts w:eastAsia="Calibri"/>
                <w:sz w:val="20"/>
                <w:szCs w:val="20"/>
              </w:rPr>
              <w:t>$</w:t>
            </w:r>
            <w:r w:rsidR="00A514C4">
              <w:rPr>
                <w:rFonts w:eastAsia="Calibri"/>
                <w:sz w:val="20"/>
                <w:szCs w:val="20"/>
              </w:rPr>
              <w:t>54.54</w:t>
            </w:r>
          </w:p>
        </w:tc>
        <w:tc>
          <w:tcPr>
            <w:tcW w:w="1260" w:type="dxa"/>
            <w:vMerge/>
            <w:tcBorders>
              <w:bottom w:val="single" w:sz="12" w:space="0" w:color="auto"/>
            </w:tcBorders>
            <w:shd w:val="clear" w:color="auto" w:fill="auto"/>
            <w:tcMar>
              <w:left w:w="29" w:type="dxa"/>
              <w:right w:w="29" w:type="dxa"/>
            </w:tcMar>
            <w:vAlign w:val="center"/>
          </w:tcPr>
          <w:p w:rsidR="00D22C4B" w:rsidRPr="0082595F" w:rsidP="0082595F" w14:paraId="5434480C" w14:textId="77777777">
            <w:pPr>
              <w:suppressAutoHyphens/>
              <w:jc w:val="center"/>
              <w:rPr>
                <w:rFonts w:eastAsia="Calibri"/>
                <w:sz w:val="20"/>
                <w:szCs w:val="20"/>
              </w:rPr>
            </w:pPr>
          </w:p>
        </w:tc>
        <w:tc>
          <w:tcPr>
            <w:tcW w:w="1625" w:type="dxa"/>
            <w:tcBorders>
              <w:top w:val="single" w:sz="4" w:space="0" w:color="auto"/>
              <w:bottom w:val="single" w:sz="12" w:space="0" w:color="auto"/>
            </w:tcBorders>
            <w:shd w:val="clear" w:color="auto" w:fill="auto"/>
            <w:tcMar>
              <w:left w:w="29" w:type="dxa"/>
              <w:right w:w="29" w:type="dxa"/>
            </w:tcMar>
            <w:vAlign w:val="center"/>
          </w:tcPr>
          <w:p w:rsidR="00D22C4B" w:rsidRPr="0082595F" w:rsidP="0082595F" w14:paraId="74BCE220" w14:textId="264CADBF">
            <w:pPr>
              <w:suppressAutoHyphens/>
              <w:jc w:val="center"/>
              <w:rPr>
                <w:rFonts w:eastAsia="Calibri"/>
                <w:sz w:val="20"/>
                <w:szCs w:val="20"/>
              </w:rPr>
            </w:pPr>
            <w:r w:rsidRPr="0082595F">
              <w:rPr>
                <w:rFonts w:eastAsia="Calibri"/>
                <w:sz w:val="20"/>
                <w:szCs w:val="20"/>
              </w:rPr>
              <w:t>$</w:t>
            </w:r>
            <w:r w:rsidR="001B16C9">
              <w:rPr>
                <w:rFonts w:eastAsia="Calibri"/>
                <w:sz w:val="20"/>
                <w:szCs w:val="20"/>
              </w:rPr>
              <w:t>25,851.96</w:t>
            </w:r>
          </w:p>
        </w:tc>
      </w:tr>
      <w:tr w14:paraId="54082097" w14:textId="77777777" w:rsidTr="0082595F">
        <w:tblPrEx>
          <w:tblW w:w="8640" w:type="dxa"/>
          <w:jc w:val="center"/>
          <w:tblLayout w:type="fixed"/>
          <w:tblCellMar>
            <w:left w:w="144" w:type="dxa"/>
            <w:right w:w="144" w:type="dxa"/>
          </w:tblCellMar>
          <w:tblLook w:val="04A0"/>
        </w:tblPrEx>
        <w:trPr>
          <w:trHeight w:val="576"/>
          <w:jc w:val="center"/>
        </w:trPr>
        <w:tc>
          <w:tcPr>
            <w:tcW w:w="1795" w:type="dxa"/>
            <w:tcBorders>
              <w:top w:val="single" w:sz="12" w:space="0" w:color="auto"/>
              <w:left w:val="single" w:sz="2" w:space="0" w:color="auto"/>
              <w:bottom w:val="single" w:sz="2" w:space="0" w:color="auto"/>
              <w:right w:val="single" w:sz="2" w:space="0" w:color="auto"/>
            </w:tcBorders>
            <w:shd w:val="clear" w:color="auto" w:fill="auto"/>
            <w:vAlign w:val="center"/>
          </w:tcPr>
          <w:p w:rsidR="00E45696" w:rsidRPr="0082595F" w:rsidP="0082595F" w14:paraId="4E8520D5" w14:textId="77777777">
            <w:pPr>
              <w:suppressAutoHyphens/>
              <w:jc w:val="center"/>
              <w:rPr>
                <w:rFonts w:eastAsia="Calibri"/>
                <w:b/>
                <w:sz w:val="20"/>
                <w:szCs w:val="20"/>
              </w:rPr>
            </w:pPr>
            <w:r w:rsidRPr="0082595F">
              <w:rPr>
                <w:rFonts w:eastAsia="Calibri"/>
                <w:b/>
                <w:sz w:val="20"/>
                <w:szCs w:val="20"/>
              </w:rPr>
              <w:t>TOTALS</w:t>
            </w:r>
          </w:p>
        </w:tc>
        <w:tc>
          <w:tcPr>
            <w:tcW w:w="1260" w:type="dxa"/>
            <w:tcBorders>
              <w:top w:val="single" w:sz="12" w:space="0" w:color="auto"/>
              <w:left w:val="single" w:sz="2" w:space="0" w:color="auto"/>
              <w:bottom w:val="single" w:sz="2" w:space="0" w:color="auto"/>
              <w:right w:val="single" w:sz="2" w:space="0" w:color="auto"/>
            </w:tcBorders>
            <w:shd w:val="clear" w:color="auto" w:fill="auto"/>
            <w:vAlign w:val="center"/>
          </w:tcPr>
          <w:p w:rsidR="00E45696" w:rsidRPr="0082595F" w:rsidP="0082595F" w14:paraId="64497088" w14:textId="66B23B25">
            <w:pPr>
              <w:suppressAutoHyphens/>
              <w:jc w:val="center"/>
              <w:rPr>
                <w:rFonts w:eastAsia="Calibri"/>
                <w:b/>
                <w:sz w:val="20"/>
                <w:szCs w:val="20"/>
              </w:rPr>
            </w:pPr>
            <w:r w:rsidRPr="0082595F">
              <w:rPr>
                <w:rFonts w:eastAsia="Calibri"/>
                <w:b/>
                <w:sz w:val="20"/>
                <w:szCs w:val="20"/>
              </w:rPr>
              <w:t>($</w:t>
            </w:r>
            <w:r w:rsidR="001D0AAE">
              <w:rPr>
                <w:rFonts w:eastAsia="Calibri"/>
                <w:b/>
                <w:sz w:val="20"/>
                <w:szCs w:val="20"/>
              </w:rPr>
              <w:t>61.98</w:t>
            </w:r>
            <w:r w:rsidRPr="0082595F">
              <w:rPr>
                <w:rFonts w:eastAsia="Calibri"/>
                <w:b/>
                <w:sz w:val="20"/>
                <w:szCs w:val="20"/>
              </w:rPr>
              <w:t>)</w:t>
            </w:r>
          </w:p>
        </w:tc>
        <w:tc>
          <w:tcPr>
            <w:tcW w:w="1440" w:type="dxa"/>
            <w:tcBorders>
              <w:top w:val="single" w:sz="12" w:space="0" w:color="auto"/>
              <w:left w:val="single" w:sz="2" w:space="0" w:color="auto"/>
              <w:bottom w:val="single" w:sz="2" w:space="0" w:color="auto"/>
              <w:right w:val="single" w:sz="2" w:space="0" w:color="auto"/>
            </w:tcBorders>
            <w:shd w:val="clear" w:color="auto" w:fill="auto"/>
            <w:vAlign w:val="center"/>
          </w:tcPr>
          <w:p w:rsidR="00E45696" w:rsidRPr="0082595F" w:rsidP="0082595F" w14:paraId="706EF37C" w14:textId="77777777">
            <w:pPr>
              <w:suppressAutoHyphens/>
              <w:jc w:val="center"/>
              <w:rPr>
                <w:rFonts w:eastAsia="Calibri"/>
                <w:b/>
                <w:sz w:val="20"/>
                <w:szCs w:val="20"/>
              </w:rPr>
            </w:pPr>
            <w:r w:rsidRPr="0082595F">
              <w:rPr>
                <w:rFonts w:eastAsia="Calibri"/>
                <w:b/>
                <w:sz w:val="20"/>
                <w:szCs w:val="20"/>
              </w:rPr>
              <w:t>1 hour</w:t>
            </w:r>
          </w:p>
        </w:tc>
        <w:tc>
          <w:tcPr>
            <w:tcW w:w="1260" w:type="dxa"/>
            <w:tcBorders>
              <w:top w:val="single" w:sz="1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E45696" w:rsidRPr="0082595F" w:rsidP="0082595F" w14:paraId="6B7FD355" w14:textId="5E93F493">
            <w:pPr>
              <w:suppressAutoHyphens/>
              <w:jc w:val="center"/>
              <w:rPr>
                <w:rFonts w:eastAsia="Calibri"/>
                <w:b/>
                <w:sz w:val="20"/>
                <w:szCs w:val="20"/>
              </w:rPr>
            </w:pPr>
            <w:r w:rsidRPr="0082595F">
              <w:rPr>
                <w:rFonts w:eastAsia="Calibri"/>
                <w:b/>
                <w:sz w:val="20"/>
                <w:szCs w:val="20"/>
              </w:rPr>
              <w:t>$</w:t>
            </w:r>
            <w:r w:rsidR="00EF694B">
              <w:rPr>
                <w:rFonts w:eastAsia="Calibri"/>
                <w:b/>
                <w:sz w:val="20"/>
                <w:szCs w:val="20"/>
              </w:rPr>
              <w:t>61.98</w:t>
            </w:r>
          </w:p>
        </w:tc>
        <w:tc>
          <w:tcPr>
            <w:tcW w:w="1260" w:type="dxa"/>
            <w:tcBorders>
              <w:top w:val="single" w:sz="1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E45696" w:rsidRPr="0082595F" w:rsidP="0082595F" w14:paraId="21DB4450" w14:textId="77777777">
            <w:pPr>
              <w:suppressAutoHyphens/>
              <w:jc w:val="center"/>
              <w:rPr>
                <w:rFonts w:eastAsia="Calibri"/>
                <w:b/>
                <w:sz w:val="20"/>
                <w:szCs w:val="20"/>
              </w:rPr>
            </w:pPr>
            <w:r w:rsidRPr="0082595F">
              <w:rPr>
                <w:rFonts w:eastAsia="Calibri"/>
                <w:b/>
                <w:sz w:val="20"/>
                <w:szCs w:val="20"/>
              </w:rPr>
              <w:t>474</w:t>
            </w:r>
          </w:p>
        </w:tc>
        <w:tc>
          <w:tcPr>
            <w:tcW w:w="1625" w:type="dxa"/>
            <w:tcBorders>
              <w:top w:val="single" w:sz="1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E45696" w:rsidRPr="0082595F" w:rsidP="0082595F" w14:paraId="73D88235" w14:textId="6D1A8816">
            <w:pPr>
              <w:suppressAutoHyphens/>
              <w:jc w:val="center"/>
              <w:rPr>
                <w:rFonts w:eastAsia="Calibri"/>
                <w:b/>
                <w:sz w:val="20"/>
                <w:szCs w:val="20"/>
              </w:rPr>
            </w:pPr>
            <w:r w:rsidRPr="0082595F">
              <w:rPr>
                <w:rFonts w:eastAsia="Calibri"/>
                <w:b/>
                <w:sz w:val="20"/>
                <w:szCs w:val="20"/>
              </w:rPr>
              <w:t>$</w:t>
            </w:r>
            <w:r w:rsidR="009905F0">
              <w:rPr>
                <w:rFonts w:eastAsia="Calibri"/>
                <w:b/>
                <w:sz w:val="20"/>
                <w:szCs w:val="20"/>
              </w:rPr>
              <w:t>29,</w:t>
            </w:r>
            <w:r w:rsidR="00F77E3E">
              <w:rPr>
                <w:rFonts w:eastAsia="Calibri"/>
                <w:b/>
                <w:sz w:val="20"/>
                <w:szCs w:val="20"/>
              </w:rPr>
              <w:t>378.52</w:t>
            </w:r>
          </w:p>
        </w:tc>
      </w:tr>
    </w:tbl>
    <w:p w:rsidR="00E45696" w:rsidRPr="00D22C4B" w:rsidP="00281E47" w14:paraId="17C2D256" w14:textId="77777777">
      <w:pPr>
        <w:suppressAutoHyphens/>
        <w:spacing w:before="40"/>
        <w:ind w:left="360"/>
        <w:rPr>
          <w:sz w:val="18"/>
          <w:szCs w:val="18"/>
        </w:rPr>
      </w:pPr>
      <w:r>
        <w:rPr>
          <w:sz w:val="22"/>
          <w:szCs w:val="22"/>
        </w:rPr>
        <w:t xml:space="preserve">* </w:t>
      </w:r>
      <w:r w:rsidRPr="00D22C4B">
        <w:rPr>
          <w:sz w:val="18"/>
          <w:szCs w:val="18"/>
        </w:rPr>
        <w:t xml:space="preserve">Labor costs rounded to the nearest whole cent. </w:t>
      </w:r>
    </w:p>
    <w:p w:rsidR="00E45696" w:rsidRPr="00D40409" w:rsidP="00D40409" w14:paraId="280BE344" w14:textId="77777777">
      <w:pPr>
        <w:suppressAutoHyphens/>
        <w:ind w:left="360"/>
        <w:rPr>
          <w:sz w:val="22"/>
          <w:szCs w:val="22"/>
        </w:rPr>
      </w:pPr>
    </w:p>
    <w:p w:rsidR="002D48CA" w:rsidP="00D40409" w14:paraId="6B1A801E" w14:textId="113443A4">
      <w:pPr>
        <w:ind w:left="360"/>
        <w:rPr>
          <w:rFonts w:cs="Arial"/>
          <w:sz w:val="22"/>
          <w:szCs w:val="22"/>
        </w:rPr>
      </w:pPr>
      <w:r>
        <w:rPr>
          <w:rFonts w:cs="Arial"/>
          <w:sz w:val="22"/>
          <w:szCs w:val="22"/>
        </w:rPr>
        <w:t xml:space="preserve">For this information collection, TTB </w:t>
      </w:r>
      <w:r w:rsidR="00E632E0">
        <w:rPr>
          <w:rFonts w:cs="Arial"/>
          <w:sz w:val="22"/>
          <w:szCs w:val="22"/>
        </w:rPr>
        <w:t xml:space="preserve">further </w:t>
      </w:r>
      <w:r>
        <w:rPr>
          <w:rFonts w:cs="Arial"/>
          <w:sz w:val="22"/>
          <w:szCs w:val="22"/>
        </w:rPr>
        <w:t xml:space="preserve">estimates $1.00 per response in overhead costs, </w:t>
      </w:r>
      <w:r w:rsidR="00E632E0">
        <w:rPr>
          <w:rFonts w:cs="Arial"/>
          <w:sz w:val="22"/>
          <w:szCs w:val="22"/>
        </w:rPr>
        <w:t xml:space="preserve">which total </w:t>
      </w:r>
      <w:r>
        <w:rPr>
          <w:rFonts w:cs="Arial"/>
          <w:sz w:val="22"/>
          <w:szCs w:val="22"/>
        </w:rPr>
        <w:t xml:space="preserve">$474.00.  </w:t>
      </w:r>
      <w:r w:rsidR="00940BCA">
        <w:rPr>
          <w:rFonts w:cs="Arial"/>
          <w:sz w:val="22"/>
          <w:szCs w:val="22"/>
        </w:rPr>
        <w:t xml:space="preserve">However, </w:t>
      </w:r>
      <w:r w:rsidR="001F4B48">
        <w:rPr>
          <w:rFonts w:cs="Arial"/>
          <w:sz w:val="22"/>
          <w:szCs w:val="22"/>
        </w:rPr>
        <w:t>T</w:t>
      </w:r>
      <w:r>
        <w:rPr>
          <w:rFonts w:cs="Arial"/>
          <w:sz w:val="22"/>
          <w:szCs w:val="22"/>
        </w:rPr>
        <w:t>TB’s p</w:t>
      </w:r>
      <w:r w:rsidRPr="00D40409">
        <w:rPr>
          <w:rFonts w:cs="Arial"/>
          <w:sz w:val="22"/>
          <w:szCs w:val="22"/>
        </w:rPr>
        <w:t xml:space="preserve">rinting and distribution costs </w:t>
      </w:r>
      <w:r>
        <w:rPr>
          <w:rFonts w:cs="Arial"/>
          <w:sz w:val="22"/>
          <w:szCs w:val="22"/>
        </w:rPr>
        <w:t>for this collection’s form, TTB F 5000.25, h</w:t>
      </w:r>
      <w:r w:rsidRPr="00D40409">
        <w:rPr>
          <w:rFonts w:cs="Arial"/>
          <w:sz w:val="22"/>
          <w:szCs w:val="22"/>
        </w:rPr>
        <w:t xml:space="preserve">ave decreased to $0.00 due to the availability of </w:t>
      </w:r>
      <w:r w:rsidR="00E632E0">
        <w:rPr>
          <w:rFonts w:cs="Arial"/>
          <w:sz w:val="22"/>
          <w:szCs w:val="22"/>
        </w:rPr>
        <w:t xml:space="preserve">the form </w:t>
      </w:r>
      <w:r w:rsidRPr="00D40409" w:rsidR="00D40409">
        <w:rPr>
          <w:rFonts w:cs="Arial"/>
          <w:sz w:val="22"/>
          <w:szCs w:val="22"/>
        </w:rPr>
        <w:t xml:space="preserve">at no cost </w:t>
      </w:r>
      <w:r w:rsidRPr="00D40409">
        <w:rPr>
          <w:rFonts w:cs="Arial"/>
          <w:sz w:val="22"/>
          <w:szCs w:val="22"/>
        </w:rPr>
        <w:t xml:space="preserve">to the public </w:t>
      </w:r>
      <w:r>
        <w:rPr>
          <w:rFonts w:cs="Arial"/>
          <w:sz w:val="22"/>
          <w:szCs w:val="22"/>
        </w:rPr>
        <w:t xml:space="preserve">on </w:t>
      </w:r>
      <w:r w:rsidRPr="00D40409">
        <w:rPr>
          <w:rFonts w:cs="Arial"/>
          <w:sz w:val="22"/>
          <w:szCs w:val="22"/>
        </w:rPr>
        <w:t>the</w:t>
      </w:r>
      <w:r w:rsidRPr="00D6136F">
        <w:rPr>
          <w:rFonts w:cs="Arial"/>
          <w:sz w:val="22"/>
          <w:szCs w:val="22"/>
        </w:rPr>
        <w:t xml:space="preserve"> TTB website (see </w:t>
      </w:r>
      <w:r w:rsidRPr="00281E47" w:rsidR="00FD70A2">
        <w:rPr>
          <w:rFonts w:cs="Arial"/>
          <w:i/>
          <w:iCs/>
          <w:sz w:val="22"/>
          <w:szCs w:val="22"/>
        </w:rPr>
        <w:t>https://www.ttb.gov/public-information/forms</w:t>
      </w:r>
      <w:r>
        <w:rPr>
          <w:rFonts w:cs="Arial"/>
          <w:sz w:val="22"/>
          <w:szCs w:val="22"/>
        </w:rPr>
        <w:t>) and on the</w:t>
      </w:r>
      <w:r w:rsidR="00E632E0">
        <w:rPr>
          <w:rFonts w:cs="Arial"/>
          <w:sz w:val="22"/>
          <w:szCs w:val="22"/>
        </w:rPr>
        <w:t xml:space="preserve"> </w:t>
      </w:r>
      <w:r w:rsidRPr="00D40409" w:rsidR="00D40409">
        <w:rPr>
          <w:rFonts w:cs="Arial"/>
          <w:sz w:val="22"/>
          <w:szCs w:val="22"/>
        </w:rPr>
        <w:t xml:space="preserve">Pay.gov website </w:t>
      </w:r>
      <w:r>
        <w:rPr>
          <w:rFonts w:cs="Arial"/>
          <w:sz w:val="22"/>
          <w:szCs w:val="22"/>
        </w:rPr>
        <w:t>(see the T</w:t>
      </w:r>
      <w:r w:rsidR="00940BCA">
        <w:rPr>
          <w:rFonts w:cs="Arial"/>
          <w:sz w:val="22"/>
          <w:szCs w:val="22"/>
        </w:rPr>
        <w:t>T</w:t>
      </w:r>
      <w:r>
        <w:rPr>
          <w:rFonts w:cs="Arial"/>
          <w:sz w:val="22"/>
          <w:szCs w:val="22"/>
        </w:rPr>
        <w:t xml:space="preserve">B website at </w:t>
      </w:r>
      <w:r w:rsidRPr="00D6136F">
        <w:rPr>
          <w:rFonts w:cs="Arial"/>
          <w:i/>
          <w:sz w:val="22"/>
          <w:szCs w:val="22"/>
        </w:rPr>
        <w:t>https://www.ttb.gov/epayment</w:t>
      </w:r>
      <w:r>
        <w:rPr>
          <w:rFonts w:cs="Arial"/>
          <w:sz w:val="22"/>
          <w:szCs w:val="22"/>
        </w:rPr>
        <w:t xml:space="preserve">). </w:t>
      </w:r>
    </w:p>
    <w:p w:rsidR="00B229CE" w:rsidP="00D40409" w14:paraId="72B1E59F" w14:textId="77777777">
      <w:pPr>
        <w:ind w:left="360"/>
        <w:rPr>
          <w:rFonts w:cs="Arial"/>
          <w:sz w:val="22"/>
          <w:szCs w:val="22"/>
        </w:rPr>
      </w:pPr>
    </w:p>
    <w:p w:rsidR="00B229CE" w:rsidRPr="00D40409" w:rsidP="00D40409" w14:paraId="2DC3062A" w14:textId="11BBA867">
      <w:pPr>
        <w:ind w:left="360"/>
        <w:rPr>
          <w:rFonts w:cs="Arial"/>
          <w:sz w:val="22"/>
          <w:szCs w:val="22"/>
        </w:rPr>
      </w:pPr>
      <w:r>
        <w:rPr>
          <w:rFonts w:cs="Arial"/>
          <w:sz w:val="22"/>
          <w:szCs w:val="22"/>
        </w:rPr>
        <w:t xml:space="preserve">Therefore, the total cost to the Federal Government for this information collection is </w:t>
      </w:r>
      <w:r w:rsidRPr="00281E47">
        <w:rPr>
          <w:rFonts w:cs="Arial"/>
          <w:b/>
          <w:bCs/>
          <w:sz w:val="22"/>
          <w:szCs w:val="22"/>
        </w:rPr>
        <w:t>$</w:t>
      </w:r>
      <w:r w:rsidRPr="00281E47" w:rsidR="00E46B8D">
        <w:rPr>
          <w:rFonts w:cs="Arial"/>
          <w:b/>
          <w:bCs/>
          <w:sz w:val="22"/>
          <w:szCs w:val="22"/>
        </w:rPr>
        <w:t>29,852.52</w:t>
      </w:r>
      <w:r>
        <w:rPr>
          <w:rFonts w:cs="Arial"/>
          <w:sz w:val="22"/>
          <w:szCs w:val="22"/>
        </w:rPr>
        <w:t xml:space="preserve">. </w:t>
      </w:r>
    </w:p>
    <w:p w:rsidR="00E958C2" w:rsidRPr="00626375" w:rsidP="00227B91" w14:paraId="2DD04769" w14:textId="77777777">
      <w:pPr>
        <w:suppressAutoHyphens/>
        <w:spacing w:line="240" w:lineRule="atLeast"/>
        <w:rPr>
          <w:rFonts w:cs="Arial"/>
          <w:bCs/>
          <w:sz w:val="28"/>
          <w:szCs w:val="28"/>
        </w:rPr>
      </w:pPr>
    </w:p>
    <w:p w:rsidR="00F65D84" w:rsidRPr="00283126" w:rsidP="00227B91" w14:paraId="2A504BEE" w14:textId="77777777">
      <w:pPr>
        <w:suppressAutoHyphens/>
        <w:spacing w:line="240" w:lineRule="atLeast"/>
        <w:rPr>
          <w:rFonts w:cs="Arial"/>
          <w:i/>
          <w:sz w:val="22"/>
          <w:szCs w:val="22"/>
        </w:rPr>
      </w:pPr>
      <w:r w:rsidRPr="00283126">
        <w:rPr>
          <w:rFonts w:cs="Arial"/>
          <w:i/>
          <w:sz w:val="22"/>
          <w:szCs w:val="22"/>
        </w:rPr>
        <w:t xml:space="preserve">15.  </w:t>
      </w:r>
      <w:r w:rsidRPr="00283126">
        <w:rPr>
          <w:rFonts w:cs="Arial"/>
          <w:i/>
          <w:sz w:val="22"/>
          <w:szCs w:val="22"/>
        </w:rPr>
        <w:t>What is the reason for any program changes or adjustments?</w:t>
      </w:r>
      <w:r w:rsidRPr="00283126">
        <w:rPr>
          <w:rFonts w:cs="Arial"/>
          <w:i/>
          <w:sz w:val="22"/>
          <w:szCs w:val="22"/>
        </w:rPr>
        <w:t xml:space="preserve"> </w:t>
      </w:r>
    </w:p>
    <w:p w:rsidR="00F65D84" w:rsidRPr="00283126" w:rsidP="00281E47" w14:paraId="657DB98F" w14:textId="77777777">
      <w:pPr>
        <w:suppressAutoHyphens/>
        <w:spacing w:line="240" w:lineRule="atLeast"/>
        <w:rPr>
          <w:rFonts w:cs="Arial"/>
          <w:sz w:val="22"/>
          <w:szCs w:val="22"/>
        </w:rPr>
      </w:pPr>
    </w:p>
    <w:p w:rsidR="004E7FCB" w:rsidRPr="00283126" w:rsidP="00227B91" w14:paraId="23448375" w14:textId="77777777">
      <w:pPr>
        <w:ind w:left="360"/>
        <w:rPr>
          <w:rFonts w:cs="Arial"/>
          <w:sz w:val="22"/>
          <w:szCs w:val="22"/>
        </w:rPr>
      </w:pPr>
      <w:r w:rsidRPr="00283126">
        <w:rPr>
          <w:rFonts w:cs="Arial"/>
          <w:sz w:val="22"/>
          <w:szCs w:val="22"/>
        </w:rPr>
        <w:t xml:space="preserve">There are no program changes </w:t>
      </w:r>
      <w:r w:rsidR="00B229CE">
        <w:rPr>
          <w:rFonts w:cs="Arial"/>
          <w:sz w:val="22"/>
          <w:szCs w:val="22"/>
        </w:rPr>
        <w:t xml:space="preserve">or adjustments </w:t>
      </w:r>
      <w:r w:rsidRPr="00283126">
        <w:rPr>
          <w:rFonts w:cs="Arial"/>
          <w:sz w:val="22"/>
          <w:szCs w:val="22"/>
        </w:rPr>
        <w:t>associated with this information collection.</w:t>
      </w:r>
      <w:r w:rsidRPr="00283126" w:rsidR="00EE58BA">
        <w:rPr>
          <w:rFonts w:cs="Arial"/>
          <w:sz w:val="22"/>
          <w:szCs w:val="22"/>
        </w:rPr>
        <w:t xml:space="preserve"> </w:t>
      </w:r>
    </w:p>
    <w:p w:rsidR="004E7FCB" w:rsidRPr="00626375" w:rsidP="00227B91" w14:paraId="1673F78C" w14:textId="77777777">
      <w:pPr>
        <w:rPr>
          <w:rFonts w:cs="Arial"/>
          <w:sz w:val="28"/>
          <w:szCs w:val="28"/>
        </w:rPr>
      </w:pPr>
    </w:p>
    <w:p w:rsidR="00F65D84" w:rsidRPr="00283126" w:rsidP="00227B91" w14:paraId="79EC79BE" w14:textId="77777777">
      <w:pPr>
        <w:rPr>
          <w:rFonts w:cs="Arial"/>
          <w:i/>
          <w:sz w:val="22"/>
          <w:szCs w:val="22"/>
        </w:rPr>
      </w:pPr>
      <w:r w:rsidRPr="00283126">
        <w:rPr>
          <w:rFonts w:cs="Arial"/>
          <w:i/>
          <w:sz w:val="22"/>
          <w:szCs w:val="22"/>
        </w:rPr>
        <w:t xml:space="preserve">16.  </w:t>
      </w:r>
      <w:r w:rsidRPr="00283126">
        <w:rPr>
          <w:rFonts w:cs="Arial"/>
          <w:i/>
          <w:sz w:val="22"/>
          <w:szCs w:val="22"/>
        </w:rPr>
        <w:t>Outline plans for tabulation and publication for collections of information whose results will be published.</w:t>
      </w:r>
      <w:r w:rsidRPr="00283126">
        <w:rPr>
          <w:rFonts w:cs="Arial"/>
          <w:i/>
          <w:sz w:val="22"/>
          <w:szCs w:val="22"/>
        </w:rPr>
        <w:t xml:space="preserve"> </w:t>
      </w:r>
    </w:p>
    <w:p w:rsidR="00F65D84" w:rsidRPr="00283126" w:rsidP="00227B91" w14:paraId="00075D99" w14:textId="77777777">
      <w:pPr>
        <w:suppressAutoHyphens/>
        <w:spacing w:line="240" w:lineRule="atLeast"/>
        <w:ind w:left="360"/>
        <w:rPr>
          <w:rFonts w:cs="Arial"/>
          <w:sz w:val="22"/>
          <w:szCs w:val="22"/>
        </w:rPr>
      </w:pPr>
    </w:p>
    <w:p w:rsidR="008B7320" w:rsidRPr="008B7320" w:rsidP="008B7320" w14:paraId="359E5587" w14:textId="77777777">
      <w:pPr>
        <w:suppressAutoHyphens/>
        <w:ind w:left="360"/>
        <w:rPr>
          <w:rFonts w:cs="Arial"/>
          <w:sz w:val="22"/>
          <w:szCs w:val="22"/>
        </w:rPr>
      </w:pPr>
      <w:r w:rsidRPr="008B7320">
        <w:rPr>
          <w:rFonts w:cs="Arial"/>
          <w:sz w:val="22"/>
          <w:szCs w:val="22"/>
        </w:rPr>
        <w:t xml:space="preserve">Using data from this information collection, TTB </w:t>
      </w:r>
      <w:r w:rsidR="00E632E0">
        <w:rPr>
          <w:rFonts w:cs="Arial"/>
          <w:sz w:val="22"/>
          <w:szCs w:val="22"/>
        </w:rPr>
        <w:t xml:space="preserve">publishes </w:t>
      </w:r>
      <w:r w:rsidRPr="008B7320">
        <w:rPr>
          <w:rFonts w:cs="Arial"/>
          <w:sz w:val="22"/>
          <w:szCs w:val="22"/>
        </w:rPr>
        <w:t>the total amount</w:t>
      </w:r>
      <w:r w:rsidR="00E632E0">
        <w:rPr>
          <w:rFonts w:cs="Arial"/>
          <w:sz w:val="22"/>
          <w:szCs w:val="22"/>
        </w:rPr>
        <w:t>s</w:t>
      </w:r>
      <w:r w:rsidRPr="008B7320">
        <w:rPr>
          <w:rFonts w:cs="Arial"/>
          <w:sz w:val="22"/>
          <w:szCs w:val="22"/>
        </w:rPr>
        <w:t xml:space="preserve"> of </w:t>
      </w:r>
      <w:r w:rsidR="00E632E0">
        <w:rPr>
          <w:rFonts w:cs="Arial"/>
          <w:sz w:val="22"/>
          <w:szCs w:val="22"/>
        </w:rPr>
        <w:t>excise</w:t>
      </w:r>
      <w:r>
        <w:rPr>
          <w:rFonts w:cs="Arial"/>
          <w:sz w:val="22"/>
          <w:szCs w:val="22"/>
        </w:rPr>
        <w:t xml:space="preserve"> taxes </w:t>
      </w:r>
      <w:r w:rsidRPr="008B7320">
        <w:rPr>
          <w:rFonts w:cs="Arial"/>
          <w:sz w:val="22"/>
          <w:szCs w:val="22"/>
        </w:rPr>
        <w:t xml:space="preserve">it collects </w:t>
      </w:r>
      <w:r w:rsidR="00E632E0">
        <w:rPr>
          <w:rFonts w:cs="Arial"/>
          <w:sz w:val="22"/>
          <w:szCs w:val="22"/>
        </w:rPr>
        <w:t xml:space="preserve">by commodity </w:t>
      </w:r>
      <w:r w:rsidRPr="008B7320">
        <w:rPr>
          <w:rFonts w:cs="Arial"/>
          <w:sz w:val="22"/>
          <w:szCs w:val="22"/>
        </w:rPr>
        <w:t>in its quarterly and annual Tax Collections reports</w:t>
      </w:r>
      <w:r w:rsidR="00E632E0">
        <w:rPr>
          <w:rFonts w:cs="Arial"/>
          <w:sz w:val="22"/>
          <w:szCs w:val="22"/>
        </w:rPr>
        <w:t xml:space="preserve">.  </w:t>
      </w:r>
      <w:r>
        <w:rPr>
          <w:rFonts w:cs="Arial"/>
          <w:sz w:val="22"/>
          <w:szCs w:val="22"/>
        </w:rPr>
        <w:t xml:space="preserve">TTB </w:t>
      </w:r>
      <w:r w:rsidRPr="008B7320">
        <w:rPr>
          <w:rFonts w:cs="Arial"/>
          <w:sz w:val="22"/>
          <w:szCs w:val="22"/>
        </w:rPr>
        <w:t xml:space="preserve">posts </w:t>
      </w:r>
      <w:r>
        <w:rPr>
          <w:rFonts w:cs="Arial"/>
          <w:sz w:val="22"/>
          <w:szCs w:val="22"/>
        </w:rPr>
        <w:t xml:space="preserve">those reports on its </w:t>
      </w:r>
      <w:r w:rsidRPr="008B7320">
        <w:rPr>
          <w:rFonts w:cs="Arial"/>
          <w:sz w:val="22"/>
          <w:szCs w:val="22"/>
        </w:rPr>
        <w:t xml:space="preserve">website at </w:t>
      </w:r>
      <w:r w:rsidRPr="008B7320">
        <w:rPr>
          <w:rFonts w:cs="Arial"/>
          <w:i/>
          <w:sz w:val="22"/>
          <w:szCs w:val="22"/>
        </w:rPr>
        <w:t>https://www.ttb.gov/tax-audit/tax-collections</w:t>
      </w:r>
      <w:r w:rsidRPr="008B7320">
        <w:rPr>
          <w:rFonts w:cs="Arial"/>
          <w:sz w:val="22"/>
          <w:szCs w:val="22"/>
        </w:rPr>
        <w:t xml:space="preserve">.  In </w:t>
      </w:r>
      <w:r w:rsidR="00A54390">
        <w:rPr>
          <w:rFonts w:cs="Arial"/>
          <w:sz w:val="22"/>
          <w:szCs w:val="22"/>
        </w:rPr>
        <w:t xml:space="preserve">its Annual Reports, </w:t>
      </w:r>
      <w:r w:rsidRPr="008B7320">
        <w:rPr>
          <w:rFonts w:cs="Arial"/>
          <w:sz w:val="22"/>
          <w:szCs w:val="22"/>
        </w:rPr>
        <w:t xml:space="preserve">TTB </w:t>
      </w:r>
      <w:r w:rsidR="00A61F80">
        <w:rPr>
          <w:rFonts w:cs="Arial"/>
          <w:sz w:val="22"/>
          <w:szCs w:val="22"/>
        </w:rPr>
        <w:t>also published</w:t>
      </w:r>
      <w:r w:rsidR="00E632E0">
        <w:rPr>
          <w:rFonts w:cs="Arial"/>
          <w:sz w:val="22"/>
          <w:szCs w:val="22"/>
        </w:rPr>
        <w:t xml:space="preserve"> </w:t>
      </w:r>
      <w:r w:rsidR="00A54390">
        <w:rPr>
          <w:rFonts w:cs="Arial"/>
          <w:sz w:val="22"/>
          <w:szCs w:val="22"/>
        </w:rPr>
        <w:t xml:space="preserve">the total </w:t>
      </w:r>
      <w:r w:rsidR="00E632E0">
        <w:rPr>
          <w:rFonts w:cs="Arial"/>
          <w:sz w:val="22"/>
          <w:szCs w:val="22"/>
        </w:rPr>
        <w:t xml:space="preserve">amounts </w:t>
      </w:r>
      <w:r w:rsidRPr="008B7320">
        <w:rPr>
          <w:rFonts w:cs="Arial"/>
          <w:sz w:val="22"/>
          <w:szCs w:val="22"/>
        </w:rPr>
        <w:t xml:space="preserve">of </w:t>
      </w:r>
      <w:r w:rsidR="00A54390">
        <w:rPr>
          <w:rFonts w:cs="Arial"/>
          <w:sz w:val="22"/>
          <w:szCs w:val="22"/>
        </w:rPr>
        <w:t>excise taxes</w:t>
      </w:r>
      <w:r w:rsidRPr="008B7320">
        <w:rPr>
          <w:rFonts w:cs="Arial"/>
          <w:sz w:val="22"/>
          <w:szCs w:val="22"/>
        </w:rPr>
        <w:t xml:space="preserve"> it collects</w:t>
      </w:r>
      <w:r w:rsidR="00E632E0">
        <w:rPr>
          <w:rFonts w:cs="Arial"/>
          <w:sz w:val="22"/>
          <w:szCs w:val="22"/>
        </w:rPr>
        <w:t xml:space="preserve"> by commodity, as well as </w:t>
      </w:r>
      <w:r w:rsidR="00A54390">
        <w:rPr>
          <w:rFonts w:cs="Arial"/>
          <w:sz w:val="22"/>
          <w:szCs w:val="22"/>
        </w:rPr>
        <w:t xml:space="preserve">the amount of </w:t>
      </w:r>
      <w:r w:rsidR="00E632E0">
        <w:rPr>
          <w:rFonts w:cs="Arial"/>
          <w:sz w:val="22"/>
          <w:szCs w:val="22"/>
        </w:rPr>
        <w:t xml:space="preserve">excise </w:t>
      </w:r>
      <w:r w:rsidR="00A54390">
        <w:rPr>
          <w:rFonts w:cs="Arial"/>
          <w:sz w:val="22"/>
          <w:szCs w:val="22"/>
        </w:rPr>
        <w:t xml:space="preserve">taxes transferred to the treasury of Puerto Rico.  TTB posts its Annual Reports on its website at </w:t>
      </w:r>
      <w:r w:rsidRPr="008B7320">
        <w:rPr>
          <w:rFonts w:cs="Arial"/>
          <w:i/>
          <w:sz w:val="22"/>
          <w:szCs w:val="22"/>
        </w:rPr>
        <w:t>https://www.ttb.gov/about-ttb/plans-and-reports-annual-reports</w:t>
      </w:r>
      <w:r w:rsidRPr="008B7320">
        <w:rPr>
          <w:rFonts w:cs="Arial"/>
          <w:sz w:val="22"/>
          <w:szCs w:val="22"/>
        </w:rPr>
        <w:t xml:space="preserve">. </w:t>
      </w:r>
      <w:r>
        <w:rPr>
          <w:rFonts w:cs="Arial"/>
          <w:sz w:val="22"/>
          <w:szCs w:val="22"/>
        </w:rPr>
        <w:t xml:space="preserve"> </w:t>
      </w:r>
      <w:r w:rsidR="001F4B48">
        <w:rPr>
          <w:rFonts w:cs="Arial"/>
          <w:sz w:val="22"/>
          <w:szCs w:val="22"/>
        </w:rPr>
        <w:t>TTB generalizes a</w:t>
      </w:r>
      <w:r w:rsidR="00E632E0">
        <w:rPr>
          <w:rFonts w:cs="Arial"/>
          <w:sz w:val="22"/>
          <w:szCs w:val="22"/>
        </w:rPr>
        <w:t>ll reported tax collection totals</w:t>
      </w:r>
      <w:r w:rsidR="001F4B48">
        <w:rPr>
          <w:rFonts w:cs="Arial"/>
          <w:sz w:val="22"/>
          <w:szCs w:val="22"/>
        </w:rPr>
        <w:t>, and it does not i</w:t>
      </w:r>
      <w:r w:rsidRPr="008B7320">
        <w:rPr>
          <w:rFonts w:cs="Arial"/>
          <w:sz w:val="22"/>
          <w:szCs w:val="22"/>
        </w:rPr>
        <w:t xml:space="preserve">dentify any specific taxpayers in </w:t>
      </w:r>
      <w:r w:rsidR="001F4B48">
        <w:rPr>
          <w:rFonts w:cs="Arial"/>
          <w:sz w:val="22"/>
          <w:szCs w:val="22"/>
        </w:rPr>
        <w:t xml:space="preserve">its </w:t>
      </w:r>
      <w:r w:rsidR="00E632E0">
        <w:rPr>
          <w:rFonts w:cs="Arial"/>
          <w:sz w:val="22"/>
          <w:szCs w:val="22"/>
        </w:rPr>
        <w:t>reports</w:t>
      </w:r>
      <w:r w:rsidR="001F4B48">
        <w:rPr>
          <w:rFonts w:cs="Arial"/>
          <w:sz w:val="22"/>
          <w:szCs w:val="22"/>
        </w:rPr>
        <w:t xml:space="preserve"> as the IRC prohibits such disclosure.</w:t>
      </w:r>
      <w:r w:rsidR="00E632E0">
        <w:rPr>
          <w:rFonts w:cs="Arial"/>
          <w:sz w:val="22"/>
          <w:szCs w:val="22"/>
        </w:rPr>
        <w:t xml:space="preserve"> </w:t>
      </w:r>
    </w:p>
    <w:p w:rsidR="002A3AEF" w:rsidRPr="00626375" w:rsidP="00227B91" w14:paraId="1643F690" w14:textId="77777777">
      <w:pPr>
        <w:suppressAutoHyphens/>
        <w:spacing w:line="240" w:lineRule="atLeast"/>
        <w:rPr>
          <w:rFonts w:cs="Arial"/>
          <w:sz w:val="28"/>
          <w:szCs w:val="28"/>
        </w:rPr>
      </w:pPr>
    </w:p>
    <w:p w:rsidR="00F65D84" w:rsidRPr="00281E47" w:rsidP="00227B91" w14:paraId="48569D3F" w14:textId="77777777">
      <w:pPr>
        <w:suppressAutoHyphens/>
        <w:spacing w:line="240" w:lineRule="atLeast"/>
        <w:rPr>
          <w:rFonts w:cs="Arial"/>
          <w:i/>
          <w:iCs/>
          <w:sz w:val="22"/>
          <w:szCs w:val="22"/>
        </w:rPr>
      </w:pPr>
      <w:r w:rsidRPr="00281E47">
        <w:rPr>
          <w:rFonts w:cs="Arial"/>
          <w:i/>
          <w:iCs/>
          <w:sz w:val="22"/>
          <w:szCs w:val="22"/>
        </w:rPr>
        <w:t xml:space="preserve">17.  </w:t>
      </w:r>
      <w:r w:rsidRPr="00281E47">
        <w:rPr>
          <w:rFonts w:cs="Arial"/>
          <w:i/>
          <w:iCs/>
          <w:sz w:val="22"/>
          <w:szCs w:val="22"/>
        </w:rPr>
        <w:t>If seeking approval to not display the expiration date for OMB approval of this information collection, what are the reasons that the display would be inappropriate?</w:t>
      </w:r>
      <w:r w:rsidRPr="00281E47">
        <w:rPr>
          <w:rFonts w:cs="Arial"/>
          <w:i/>
          <w:iCs/>
          <w:sz w:val="22"/>
          <w:szCs w:val="22"/>
        </w:rPr>
        <w:t xml:space="preserve"> </w:t>
      </w:r>
    </w:p>
    <w:p w:rsidR="00F65D84" w:rsidRPr="00114B1A" w:rsidP="00281E47" w14:paraId="3DDB56CC" w14:textId="77777777">
      <w:pPr>
        <w:suppressAutoHyphens/>
        <w:spacing w:line="240" w:lineRule="atLeast"/>
        <w:rPr>
          <w:rFonts w:cs="Arial"/>
          <w:sz w:val="22"/>
          <w:szCs w:val="22"/>
        </w:rPr>
      </w:pPr>
    </w:p>
    <w:p w:rsidR="00F65D84" w:rsidRPr="00114B1A" w:rsidP="00227B91" w14:paraId="229DB2F1" w14:textId="77777777">
      <w:pPr>
        <w:suppressAutoHyphens/>
        <w:spacing w:line="240" w:lineRule="atLeast"/>
        <w:ind w:left="360"/>
        <w:rPr>
          <w:rFonts w:cs="Arial"/>
          <w:sz w:val="22"/>
          <w:szCs w:val="22"/>
        </w:rPr>
      </w:pPr>
      <w:r w:rsidRPr="00114B1A">
        <w:rPr>
          <w:rFonts w:cs="Arial"/>
          <w:sz w:val="22"/>
          <w:szCs w:val="22"/>
        </w:rPr>
        <w:t xml:space="preserve">TTB will display the expiration date for OMB approval of this information collection on </w:t>
      </w:r>
      <w:r w:rsidR="00A54390">
        <w:rPr>
          <w:rFonts w:cs="Arial"/>
          <w:sz w:val="22"/>
          <w:szCs w:val="22"/>
        </w:rPr>
        <w:t xml:space="preserve">its related form, </w:t>
      </w:r>
      <w:r w:rsidRPr="00114B1A">
        <w:rPr>
          <w:rFonts w:cs="Arial"/>
          <w:sz w:val="22"/>
          <w:szCs w:val="22"/>
        </w:rPr>
        <w:t xml:space="preserve">TTB F 5000.25. </w:t>
      </w:r>
    </w:p>
    <w:p w:rsidR="002A3AEF" w:rsidRPr="00626375" w:rsidP="00227B91" w14:paraId="16E6916F" w14:textId="77777777">
      <w:pPr>
        <w:suppressAutoHyphens/>
        <w:spacing w:line="240" w:lineRule="atLeast"/>
        <w:rPr>
          <w:rFonts w:cs="Arial"/>
          <w:sz w:val="28"/>
          <w:szCs w:val="28"/>
        </w:rPr>
      </w:pPr>
    </w:p>
    <w:p w:rsidR="00F65D84" w:rsidRPr="00114B1A" w:rsidP="00227B91" w14:paraId="2666068C" w14:textId="77777777">
      <w:pPr>
        <w:suppressAutoHyphens/>
        <w:spacing w:line="240" w:lineRule="atLeast"/>
        <w:rPr>
          <w:rFonts w:cs="Arial"/>
          <w:i/>
          <w:sz w:val="22"/>
          <w:szCs w:val="22"/>
        </w:rPr>
      </w:pPr>
      <w:r w:rsidRPr="00114B1A">
        <w:rPr>
          <w:rFonts w:cs="Arial"/>
          <w:i/>
          <w:sz w:val="22"/>
          <w:szCs w:val="22"/>
        </w:rPr>
        <w:t xml:space="preserve">18.  </w:t>
      </w:r>
      <w:r w:rsidRPr="00114B1A">
        <w:rPr>
          <w:rFonts w:cs="Arial"/>
          <w:i/>
          <w:sz w:val="22"/>
          <w:szCs w:val="22"/>
        </w:rPr>
        <w:t>What are the exceptions to the certification statement?</w:t>
      </w:r>
      <w:r w:rsidRPr="00114B1A" w:rsidR="00AF1D6F">
        <w:rPr>
          <w:rFonts w:cs="Arial"/>
          <w:i/>
          <w:sz w:val="22"/>
          <w:szCs w:val="22"/>
        </w:rPr>
        <w:t xml:space="preserve"> </w:t>
      </w:r>
    </w:p>
    <w:p w:rsidR="00F65D84" w:rsidRPr="00114B1A" w:rsidP="00281E47" w14:paraId="3315FDAE" w14:textId="77777777">
      <w:pPr>
        <w:suppressAutoHyphens/>
        <w:spacing w:line="240" w:lineRule="atLeast"/>
        <w:rPr>
          <w:rFonts w:cs="Arial"/>
          <w:sz w:val="22"/>
          <w:szCs w:val="22"/>
        </w:rPr>
      </w:pPr>
    </w:p>
    <w:p w:rsidR="009F3B23" w:rsidRPr="000211EC" w:rsidP="00114B1A" w14:paraId="6DB1C75D" w14:textId="77777777">
      <w:pPr>
        <w:tabs>
          <w:tab w:val="left" w:pos="720"/>
        </w:tabs>
        <w:spacing w:after="120"/>
        <w:ind w:left="360"/>
        <w:rPr>
          <w:rFonts w:cs="Arial"/>
          <w:sz w:val="22"/>
          <w:szCs w:val="22"/>
        </w:rPr>
      </w:pPr>
      <w:r w:rsidRPr="000211EC">
        <w:rPr>
          <w:rFonts w:cs="Arial"/>
          <w:sz w:val="22"/>
          <w:szCs w:val="22"/>
        </w:rPr>
        <w:t>(c)</w:t>
      </w:r>
      <w:r w:rsidR="00114B1A">
        <w:rPr>
          <w:rFonts w:cs="Arial"/>
          <w:sz w:val="22"/>
          <w:szCs w:val="22"/>
        </w:rPr>
        <w:tab/>
      </w:r>
      <w:r w:rsidRPr="000211EC">
        <w:rPr>
          <w:rFonts w:cs="Arial"/>
          <w:sz w:val="22"/>
          <w:szCs w:val="22"/>
        </w:rPr>
        <w:t>See item 5 above</w:t>
      </w:r>
      <w:r w:rsidR="00FD6332">
        <w:rPr>
          <w:rFonts w:cs="Arial"/>
          <w:sz w:val="22"/>
          <w:szCs w:val="22"/>
        </w:rPr>
        <w:t xml:space="preserve">. </w:t>
      </w:r>
    </w:p>
    <w:p w:rsidR="009F3B23" w:rsidRPr="000211EC" w:rsidP="00114B1A" w14:paraId="583A1BBE" w14:textId="77777777">
      <w:pPr>
        <w:tabs>
          <w:tab w:val="left" w:pos="720"/>
        </w:tabs>
        <w:spacing w:after="120"/>
        <w:ind w:left="360"/>
        <w:rPr>
          <w:rFonts w:cs="Arial"/>
          <w:sz w:val="22"/>
          <w:szCs w:val="22"/>
        </w:rPr>
      </w:pPr>
      <w:r>
        <w:rPr>
          <w:rFonts w:cs="Arial"/>
          <w:sz w:val="22"/>
          <w:szCs w:val="22"/>
        </w:rPr>
        <w:t>(f)</w:t>
      </w:r>
      <w:r>
        <w:rPr>
          <w:rFonts w:cs="Arial"/>
          <w:sz w:val="22"/>
          <w:szCs w:val="22"/>
        </w:rPr>
        <w:tab/>
      </w:r>
      <w:r w:rsidRPr="000211EC">
        <w:rPr>
          <w:rFonts w:cs="Arial"/>
          <w:sz w:val="22"/>
          <w:szCs w:val="22"/>
        </w:rPr>
        <w:t>This is not a recordkeeping requirement</w:t>
      </w:r>
      <w:r w:rsidR="00FD6332">
        <w:rPr>
          <w:rFonts w:cs="Arial"/>
          <w:sz w:val="22"/>
          <w:szCs w:val="22"/>
        </w:rPr>
        <w:t xml:space="preserve">. </w:t>
      </w:r>
    </w:p>
    <w:p w:rsidR="009F3B23" w:rsidRPr="000211EC" w:rsidP="00114B1A" w14:paraId="484723A9" w14:textId="77777777">
      <w:pPr>
        <w:tabs>
          <w:tab w:val="left" w:pos="720"/>
        </w:tabs>
        <w:spacing w:after="120"/>
        <w:ind w:left="360"/>
        <w:rPr>
          <w:rFonts w:cs="Arial"/>
          <w:sz w:val="22"/>
          <w:szCs w:val="22"/>
        </w:rPr>
      </w:pPr>
      <w:r>
        <w:rPr>
          <w:rFonts w:cs="Arial"/>
          <w:sz w:val="22"/>
          <w:szCs w:val="22"/>
        </w:rPr>
        <w:t>(i)</w:t>
      </w:r>
      <w:r>
        <w:rPr>
          <w:rFonts w:cs="Arial"/>
          <w:sz w:val="22"/>
          <w:szCs w:val="22"/>
        </w:rPr>
        <w:tab/>
      </w:r>
      <w:r w:rsidRPr="000211EC">
        <w:rPr>
          <w:rFonts w:cs="Arial"/>
          <w:sz w:val="22"/>
          <w:szCs w:val="22"/>
        </w:rPr>
        <w:t>No statistics are involved</w:t>
      </w:r>
      <w:r w:rsidR="00FD6332">
        <w:rPr>
          <w:rFonts w:cs="Arial"/>
          <w:sz w:val="22"/>
          <w:szCs w:val="22"/>
        </w:rPr>
        <w:t xml:space="preserve">. </w:t>
      </w:r>
    </w:p>
    <w:p w:rsidR="00D7745E" w:rsidRPr="00626375" w:rsidP="00227B91" w14:paraId="6C2FE9DA" w14:textId="77777777">
      <w:pPr>
        <w:ind w:left="540" w:hanging="540"/>
        <w:rPr>
          <w:rFonts w:cs="Arial"/>
          <w:sz w:val="28"/>
          <w:szCs w:val="28"/>
        </w:rPr>
      </w:pPr>
    </w:p>
    <w:p w:rsidR="00626375" w:rsidRPr="00626375" w:rsidP="00227B91" w14:paraId="052B39C6" w14:textId="77777777">
      <w:pPr>
        <w:ind w:left="540" w:hanging="540"/>
        <w:rPr>
          <w:rFonts w:cs="Arial"/>
          <w:sz w:val="28"/>
          <w:szCs w:val="28"/>
        </w:rPr>
      </w:pPr>
    </w:p>
    <w:p w:rsidR="002A3AEF" w:rsidRPr="00FD6332" w:rsidP="00227B91" w14:paraId="665411DB" w14:textId="77777777">
      <w:pPr>
        <w:rPr>
          <w:rFonts w:cs="Arial"/>
          <w:b/>
          <w:bCs/>
          <w:sz w:val="22"/>
          <w:szCs w:val="22"/>
          <w:u w:val="single"/>
        </w:rPr>
      </w:pPr>
      <w:r w:rsidRPr="00FD6332">
        <w:rPr>
          <w:rFonts w:cs="Arial"/>
          <w:b/>
          <w:bCs/>
          <w:sz w:val="22"/>
          <w:szCs w:val="22"/>
          <w:u w:val="single"/>
        </w:rPr>
        <w:t xml:space="preserve">B. </w:t>
      </w:r>
      <w:r w:rsidRPr="00FD6332" w:rsidR="00FD6332">
        <w:rPr>
          <w:rFonts w:cs="Arial"/>
          <w:b/>
          <w:bCs/>
          <w:sz w:val="22"/>
          <w:szCs w:val="22"/>
          <w:u w:val="single"/>
        </w:rPr>
        <w:t xml:space="preserve"> </w:t>
      </w:r>
      <w:r w:rsidRPr="00FD6332">
        <w:rPr>
          <w:rFonts w:cs="Arial"/>
          <w:b/>
          <w:bCs/>
          <w:sz w:val="22"/>
          <w:szCs w:val="22"/>
          <w:u w:val="single"/>
        </w:rPr>
        <w:t>Collections of Information Employing Statistical Methods.</w:t>
      </w:r>
      <w:r w:rsidRPr="00FD6332" w:rsidR="00FD6332">
        <w:rPr>
          <w:rFonts w:cs="Arial"/>
          <w:b/>
          <w:bCs/>
          <w:sz w:val="22"/>
          <w:szCs w:val="22"/>
          <w:u w:val="single"/>
        </w:rPr>
        <w:t xml:space="preserve"> </w:t>
      </w:r>
    </w:p>
    <w:p w:rsidR="002A3AEF" w:rsidRPr="000211EC" w:rsidP="004C685E" w14:paraId="423DEFDA" w14:textId="77777777">
      <w:pPr>
        <w:pStyle w:val="Header"/>
        <w:tabs>
          <w:tab w:val="clear" w:pos="4320"/>
          <w:tab w:val="clear" w:pos="8640"/>
        </w:tabs>
        <w:rPr>
          <w:rFonts w:cs="Arial"/>
          <w:sz w:val="22"/>
          <w:szCs w:val="22"/>
        </w:rPr>
      </w:pPr>
    </w:p>
    <w:p w:rsidR="002A3AEF" w:rsidRPr="000211EC" w:rsidP="00227B91" w14:paraId="5D274A3F" w14:textId="77777777">
      <w:pPr>
        <w:pStyle w:val="Header"/>
        <w:tabs>
          <w:tab w:val="clear" w:pos="4320"/>
          <w:tab w:val="clear" w:pos="8640"/>
        </w:tabs>
        <w:ind w:left="360"/>
        <w:rPr>
          <w:rFonts w:cs="Arial"/>
          <w:sz w:val="22"/>
          <w:szCs w:val="22"/>
        </w:rPr>
      </w:pPr>
      <w:r w:rsidRPr="000211EC">
        <w:rPr>
          <w:rFonts w:cs="Arial"/>
          <w:sz w:val="22"/>
          <w:szCs w:val="22"/>
        </w:rPr>
        <w:t xml:space="preserve">This </w:t>
      </w:r>
      <w:r w:rsidR="00A54390">
        <w:rPr>
          <w:rFonts w:cs="Arial"/>
          <w:sz w:val="22"/>
          <w:szCs w:val="22"/>
        </w:rPr>
        <w:t xml:space="preserve">information </w:t>
      </w:r>
      <w:r w:rsidRPr="000211EC">
        <w:rPr>
          <w:rFonts w:cs="Arial"/>
          <w:sz w:val="22"/>
          <w:szCs w:val="22"/>
        </w:rPr>
        <w:t>collection does not employ statistical methods.</w:t>
      </w:r>
      <w:r w:rsidR="004C685E">
        <w:rPr>
          <w:rFonts w:cs="Arial"/>
          <w:sz w:val="22"/>
          <w:szCs w:val="22"/>
        </w:rPr>
        <w:t xml:space="preserve"> </w:t>
      </w:r>
    </w:p>
    <w:p w:rsidR="003801EA" w:rsidP="00227B91" w14:paraId="47583ABD" w14:textId="77777777">
      <w:pPr>
        <w:suppressAutoHyphens/>
        <w:spacing w:line="240" w:lineRule="atLeast"/>
        <w:ind w:left="480" w:hanging="480"/>
        <w:rPr>
          <w:rFonts w:cs="Arial"/>
          <w:sz w:val="22"/>
          <w:szCs w:val="22"/>
        </w:rPr>
      </w:pPr>
    </w:p>
    <w:sectPr w:rsidSect="00C677E0">
      <w:headerReference w:type="default" r:id="rId6"/>
      <w:footerReference w:type="default" r:id="rId7"/>
      <w:footerReference w:type="first" r:id="rId8"/>
      <w:pgSz w:w="12240" w:h="15840"/>
      <w:pgMar w:top="1440" w:right="1584" w:bottom="1440"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E1C" w:rsidRPr="00057CC8" w:rsidP="00057CC8" w14:paraId="2FDF4635" w14:textId="04B36D8E">
    <w:pPr>
      <w:pStyle w:val="Footer"/>
      <w:tabs>
        <w:tab w:val="clear" w:pos="4320"/>
        <w:tab w:val="clear" w:pos="8640"/>
        <w:tab w:val="right" w:pos="9072"/>
      </w:tabs>
      <w:rPr>
        <w:sz w:val="20"/>
        <w:szCs w:val="20"/>
      </w:rPr>
    </w:pPr>
    <w:r w:rsidRPr="00057CC8">
      <w:rPr>
        <w:sz w:val="20"/>
        <w:szCs w:val="20"/>
      </w:rPr>
      <w:tab/>
    </w:r>
    <w:r w:rsidRPr="007E48BB" w:rsidR="007E48BB">
      <w:rPr>
        <w:sz w:val="20"/>
        <w:szCs w:val="20"/>
      </w:rPr>
      <w:t>OMB No. 1513–0090</w:t>
    </w:r>
    <w:r w:rsidR="007E48BB">
      <w:rPr>
        <w:sz w:val="20"/>
        <w:szCs w:val="20"/>
      </w:rPr>
      <w:t xml:space="preserve"> Supporting Statement (0</w:t>
    </w:r>
    <w:r w:rsidR="00C91673">
      <w:rPr>
        <w:sz w:val="20"/>
        <w:szCs w:val="20"/>
      </w:rPr>
      <w:t>3</w:t>
    </w:r>
    <w:r w:rsidR="007E48BB">
      <w:rPr>
        <w:sz w:val="20"/>
        <w:szCs w:val="20"/>
      </w:rPr>
      <w:t>–202</w:t>
    </w:r>
    <w:r w:rsidR="00C91673">
      <w:rPr>
        <w:sz w:val="20"/>
        <w:szCs w:val="20"/>
      </w:rPr>
      <w:t>5</w:t>
    </w:r>
    <w:r w:rsidR="007E48BB">
      <w:rPr>
        <w:sz w:val="20"/>
        <w:szCs w:val="20"/>
      </w:rPr>
      <w:t>)</w:t>
    </w:r>
    <w:r w:rsidR="005019AA">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CC8" w:rsidRPr="00057CC8" w:rsidP="00057CC8" w14:paraId="2EF2BCEF" w14:textId="08108C12">
    <w:pPr>
      <w:pStyle w:val="Footer"/>
      <w:tabs>
        <w:tab w:val="clear" w:pos="4320"/>
        <w:tab w:val="clear" w:pos="8640"/>
        <w:tab w:val="right" w:pos="9072"/>
      </w:tabs>
      <w:rPr>
        <w:sz w:val="20"/>
        <w:szCs w:val="20"/>
      </w:rPr>
    </w:pPr>
    <w:r w:rsidRPr="00057CC8">
      <w:rPr>
        <w:vanish/>
        <w:sz w:val="20"/>
        <w:szCs w:val="20"/>
      </w:rPr>
      <w:t xml:space="preserve">OPI:  </w:t>
    </w:r>
    <w:r w:rsidR="0025364E">
      <w:rPr>
        <w:vanish/>
        <w:sz w:val="20"/>
        <w:szCs w:val="20"/>
      </w:rPr>
      <w:t>NRC</w:t>
    </w:r>
    <w:r w:rsidRPr="00057CC8">
      <w:rPr>
        <w:vanish/>
        <w:sz w:val="20"/>
        <w:szCs w:val="20"/>
      </w:rPr>
      <w:t xml:space="preserve"> </w:t>
    </w:r>
    <w:r w:rsidRPr="00057CC8">
      <w:rPr>
        <w:sz w:val="20"/>
        <w:szCs w:val="20"/>
      </w:rPr>
      <w:tab/>
    </w:r>
    <w:r w:rsidR="007E48BB">
      <w:rPr>
        <w:sz w:val="20"/>
        <w:szCs w:val="20"/>
      </w:rPr>
      <w:t xml:space="preserve">OMB No. 1513–0090 </w:t>
    </w:r>
    <w:r w:rsidRPr="00057CC8">
      <w:rPr>
        <w:sz w:val="20"/>
        <w:szCs w:val="20"/>
      </w:rPr>
      <w:t xml:space="preserve">Supporting Statement </w:t>
    </w:r>
    <w:r w:rsidR="007E48BB">
      <w:rPr>
        <w:sz w:val="20"/>
        <w:szCs w:val="20"/>
      </w:rPr>
      <w:t>(0</w:t>
    </w:r>
    <w:r w:rsidR="00C91673">
      <w:rPr>
        <w:sz w:val="20"/>
        <w:szCs w:val="20"/>
      </w:rPr>
      <w:t>3</w:t>
    </w:r>
    <w:r w:rsidR="007E48BB">
      <w:rPr>
        <w:sz w:val="20"/>
        <w:szCs w:val="20"/>
      </w:rPr>
      <w:t>–202</w:t>
    </w:r>
    <w:r w:rsidR="00C91673">
      <w:rPr>
        <w:sz w:val="20"/>
        <w:szCs w:val="20"/>
      </w:rPr>
      <w:t>5</w:t>
    </w:r>
    <w:r w:rsidR="007E48B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5C4A" w14:paraId="1ED23510" w14:textId="77777777">
      <w:r>
        <w:separator/>
      </w:r>
    </w:p>
  </w:footnote>
  <w:footnote w:type="continuationSeparator" w:id="1">
    <w:p w:rsidR="005B5C4A" w14:paraId="1BE40127" w14:textId="77777777">
      <w:r>
        <w:continuationSeparator/>
      </w:r>
    </w:p>
  </w:footnote>
  <w:footnote w:id="2">
    <w:p w:rsidR="007D430D" w:rsidRPr="00AB3E0A" w:rsidP="007D430D" w14:paraId="24108F4E" w14:textId="77777777">
      <w:pPr>
        <w:pStyle w:val="FootnoteText"/>
        <w:rPr>
          <w:sz w:val="18"/>
          <w:szCs w:val="18"/>
        </w:rPr>
      </w:pPr>
      <w:r w:rsidRPr="00AB3E0A">
        <w:rPr>
          <w:rStyle w:val="FootnoteReference"/>
          <w:sz w:val="22"/>
          <w:szCs w:val="22"/>
        </w:rPr>
        <w:footnoteRef/>
      </w:r>
      <w:r w:rsidRPr="00AB3E0A">
        <w:rPr>
          <w:sz w:val="22"/>
          <w:szCs w:val="22"/>
        </w:rPr>
        <w:t xml:space="preserve"> </w:t>
      </w:r>
      <w:r w:rsidRPr="00AB3E0A">
        <w:rPr>
          <w:sz w:val="18"/>
          <w:szCs w:val="18"/>
        </w:rPr>
        <w:t>Under 26 U.S.C. 5061(d)</w:t>
      </w:r>
      <w:r w:rsidRPr="00AB3E0A" w:rsidR="00EE4C1D">
        <w:rPr>
          <w:sz w:val="18"/>
          <w:szCs w:val="18"/>
        </w:rPr>
        <w:t xml:space="preserve"> and 27 CFR 26.112(b)</w:t>
      </w:r>
      <w:r w:rsidRPr="00AB3E0A">
        <w:rPr>
          <w:sz w:val="18"/>
          <w:szCs w:val="18"/>
        </w:rPr>
        <w:t xml:space="preserve">, to pay </w:t>
      </w:r>
      <w:r w:rsidRPr="00AB3E0A" w:rsidR="00EE4C1D">
        <w:rPr>
          <w:sz w:val="18"/>
          <w:szCs w:val="18"/>
        </w:rPr>
        <w:t xml:space="preserve">alcohol excise </w:t>
      </w:r>
      <w:r w:rsidRPr="00AB3E0A">
        <w:rPr>
          <w:sz w:val="18"/>
          <w:szCs w:val="18"/>
        </w:rPr>
        <w:t>tax and file returns quarterly, a</w:t>
      </w:r>
      <w:r w:rsidRPr="00AB3E0A" w:rsidR="00EE4C1D">
        <w:rPr>
          <w:sz w:val="18"/>
          <w:szCs w:val="18"/>
        </w:rPr>
        <w:t xml:space="preserve"> </w:t>
      </w:r>
      <w:r w:rsidRPr="00AB3E0A">
        <w:rPr>
          <w:sz w:val="18"/>
          <w:szCs w:val="18"/>
        </w:rPr>
        <w:t xml:space="preserve">taxpayer must reasonably expect to be liable for more than $1,000 and not more than $50,000 in such taxes for the calendar year and must be liable for not more than $50,000 in such taxes in the preceding calendar year.  To pay </w:t>
      </w:r>
      <w:r w:rsidRPr="00AB3E0A" w:rsidR="00EE4C1D">
        <w:rPr>
          <w:sz w:val="18"/>
          <w:szCs w:val="18"/>
        </w:rPr>
        <w:t xml:space="preserve">alcohol excise </w:t>
      </w:r>
      <w:r w:rsidRPr="00AB3E0A">
        <w:rPr>
          <w:sz w:val="18"/>
          <w:szCs w:val="18"/>
        </w:rPr>
        <w:t xml:space="preserve">tax and file returns annually, a taxpayer must reasonably expect to be liable for not more than $1,000 in such taxes for the calendar year and must be liable for not more than $1,000 in such taxes in the preceding calendar year. </w:t>
      </w:r>
    </w:p>
  </w:footnote>
  <w:footnote w:id="3">
    <w:p w:rsidR="001B4A45" w:rsidRPr="00E942AE" w:rsidP="00D815A9" w14:paraId="2A566773" w14:textId="7DDA471B">
      <w:pPr>
        <w:suppressAutoHyphens/>
        <w:rPr>
          <w:sz w:val="18"/>
          <w:szCs w:val="18"/>
        </w:rPr>
      </w:pPr>
      <w:r w:rsidRPr="00597C08">
        <w:rPr>
          <w:rStyle w:val="FootnoteReference"/>
          <w:sz w:val="22"/>
          <w:szCs w:val="22"/>
        </w:rPr>
        <w:footnoteRef/>
      </w:r>
      <w:r w:rsidRPr="00597C08">
        <w:rPr>
          <w:sz w:val="22"/>
          <w:szCs w:val="22"/>
        </w:rPr>
        <w:t xml:space="preserve"> </w:t>
      </w:r>
      <w:r>
        <w:rPr>
          <w:sz w:val="18"/>
          <w:szCs w:val="18"/>
        </w:rPr>
        <w:t>P</w:t>
      </w:r>
      <w:r w:rsidRPr="00E942AE">
        <w:rPr>
          <w:sz w:val="18"/>
          <w:szCs w:val="18"/>
        </w:rPr>
        <w:t xml:space="preserve">rivate Sector Fully-loaded Labor Rate per Hour = </w:t>
      </w:r>
      <w:r>
        <w:rPr>
          <w:sz w:val="18"/>
          <w:szCs w:val="18"/>
        </w:rPr>
        <w:t>Hourly w</w:t>
      </w:r>
      <w:r w:rsidRPr="00E942AE">
        <w:rPr>
          <w:sz w:val="18"/>
          <w:szCs w:val="18"/>
        </w:rPr>
        <w:t xml:space="preserve">age rate </w:t>
      </w:r>
      <w:r w:rsidR="0025364E">
        <w:rPr>
          <w:sz w:val="18"/>
          <w:szCs w:val="18"/>
        </w:rPr>
        <w:t xml:space="preserve">x </w:t>
      </w:r>
      <w:r w:rsidRPr="00E942AE">
        <w:rPr>
          <w:sz w:val="18"/>
          <w:szCs w:val="18"/>
        </w:rPr>
        <w:t>1.4</w:t>
      </w:r>
      <w:r>
        <w:rPr>
          <w:sz w:val="18"/>
          <w:szCs w:val="18"/>
        </w:rPr>
        <w:t>4</w:t>
      </w:r>
      <w:r w:rsidRPr="00E942AE">
        <w:rPr>
          <w:sz w:val="18"/>
          <w:szCs w:val="18"/>
        </w:rPr>
        <w:t xml:space="preserve"> to account for </w:t>
      </w:r>
      <w:r>
        <w:rPr>
          <w:sz w:val="18"/>
          <w:szCs w:val="18"/>
        </w:rPr>
        <w:t xml:space="preserve">employee </w:t>
      </w:r>
      <w:r w:rsidRPr="00E942AE">
        <w:rPr>
          <w:sz w:val="18"/>
          <w:szCs w:val="18"/>
        </w:rPr>
        <w:t xml:space="preserve">benefit costs.  Per the most recent U.S. Department of Labor, Bureau of Labor Statistics, data for National Industry-Specific Occupational Employment and Wage Estimates for NAICS 312000—Beverage and Tobacco Product Manufacturing, the </w:t>
      </w:r>
      <w:r w:rsidR="003D5A41">
        <w:rPr>
          <w:sz w:val="18"/>
          <w:szCs w:val="18"/>
        </w:rPr>
        <w:t xml:space="preserve">estimated </w:t>
      </w:r>
      <w:r w:rsidRPr="00E942AE">
        <w:rPr>
          <w:sz w:val="18"/>
          <w:szCs w:val="18"/>
        </w:rPr>
        <w:t xml:space="preserve">fully-loaded labor rate per hour for </w:t>
      </w:r>
      <w:r>
        <w:rPr>
          <w:sz w:val="18"/>
          <w:szCs w:val="18"/>
        </w:rPr>
        <w:t xml:space="preserve">Accountants and Auditors </w:t>
      </w:r>
      <w:r w:rsidR="003D5A41">
        <w:rPr>
          <w:sz w:val="18"/>
          <w:szCs w:val="18"/>
        </w:rPr>
        <w:t xml:space="preserve">(13–2011) </w:t>
      </w:r>
      <w:r>
        <w:rPr>
          <w:sz w:val="18"/>
          <w:szCs w:val="18"/>
        </w:rPr>
        <w:t>is $</w:t>
      </w:r>
      <w:r w:rsidR="0002094E">
        <w:rPr>
          <w:sz w:val="18"/>
          <w:szCs w:val="18"/>
        </w:rPr>
        <w:t>62.99</w:t>
      </w:r>
      <w:r w:rsidR="003D5A41">
        <w:rPr>
          <w:sz w:val="18"/>
          <w:szCs w:val="18"/>
        </w:rPr>
        <w:t xml:space="preserve">, based on a mean hourly wage of </w:t>
      </w:r>
      <w:r w:rsidRPr="00E942AE">
        <w:rPr>
          <w:sz w:val="18"/>
          <w:szCs w:val="18"/>
        </w:rPr>
        <w:t>$</w:t>
      </w:r>
      <w:r w:rsidR="0002094E">
        <w:rPr>
          <w:sz w:val="18"/>
          <w:szCs w:val="18"/>
        </w:rPr>
        <w:t>43.74</w:t>
      </w:r>
      <w:r w:rsidRPr="00E942AE">
        <w:rPr>
          <w:sz w:val="18"/>
          <w:szCs w:val="18"/>
        </w:rPr>
        <w:t xml:space="preserve">.  See </w:t>
      </w:r>
      <w:r w:rsidRPr="00C04C3A">
        <w:rPr>
          <w:i/>
          <w:sz w:val="18"/>
          <w:szCs w:val="18"/>
        </w:rPr>
        <w:t>https://www.bls.gov/oes/current/naics3_312000.htm</w:t>
      </w:r>
      <w:r>
        <w:rPr>
          <w:sz w:val="18"/>
          <w:szCs w:val="18"/>
        </w:rPr>
        <w:t xml:space="preserve">. </w:t>
      </w:r>
    </w:p>
  </w:footnote>
  <w:footnote w:id="4">
    <w:p w:rsidR="00E45696" w:rsidRPr="001D0AAE" w:rsidP="00E45696" w14:paraId="4FCB5E86" w14:textId="062E3366">
      <w:pPr>
        <w:suppressAutoHyphens/>
        <w:rPr>
          <w:sz w:val="18"/>
          <w:szCs w:val="18"/>
        </w:rPr>
      </w:pPr>
      <w:r w:rsidRPr="007F2B09">
        <w:rPr>
          <w:rStyle w:val="FootnoteReference"/>
          <w:sz w:val="22"/>
          <w:szCs w:val="22"/>
        </w:rPr>
        <w:footnoteRef/>
      </w:r>
      <w:r w:rsidRPr="007F2B09">
        <w:rPr>
          <w:sz w:val="22"/>
          <w:szCs w:val="22"/>
        </w:rPr>
        <w:t xml:space="preserve"> </w:t>
      </w:r>
      <w:r>
        <w:rPr>
          <w:sz w:val="18"/>
          <w:szCs w:val="18"/>
        </w:rPr>
        <w:t xml:space="preserve">Federal Government </w:t>
      </w:r>
      <w:r w:rsidRPr="00E942AE">
        <w:rPr>
          <w:sz w:val="18"/>
          <w:szCs w:val="18"/>
        </w:rPr>
        <w:t xml:space="preserve">Fully-loaded Labor Rate per Hour = </w:t>
      </w:r>
      <w:r>
        <w:rPr>
          <w:sz w:val="18"/>
          <w:szCs w:val="18"/>
        </w:rPr>
        <w:t>Hourly w</w:t>
      </w:r>
      <w:r w:rsidRPr="00E942AE">
        <w:rPr>
          <w:sz w:val="18"/>
          <w:szCs w:val="18"/>
        </w:rPr>
        <w:t>age rate x 1.</w:t>
      </w:r>
      <w:r>
        <w:rPr>
          <w:sz w:val="18"/>
          <w:szCs w:val="18"/>
        </w:rPr>
        <w:t>63</w:t>
      </w:r>
      <w:r w:rsidRPr="00E942AE">
        <w:rPr>
          <w:sz w:val="18"/>
          <w:szCs w:val="18"/>
        </w:rPr>
        <w:t xml:space="preserve"> to account for benefit costs.  Per the </w:t>
      </w:r>
      <w:r>
        <w:rPr>
          <w:sz w:val="18"/>
          <w:szCs w:val="18"/>
        </w:rPr>
        <w:t xml:space="preserve">most recent Office of Personnel Management (OPM) </w:t>
      </w:r>
      <w:r w:rsidR="00D22C4B">
        <w:rPr>
          <w:sz w:val="18"/>
          <w:szCs w:val="18"/>
        </w:rPr>
        <w:t xml:space="preserve">hourly wage </w:t>
      </w:r>
      <w:r>
        <w:rPr>
          <w:sz w:val="18"/>
          <w:szCs w:val="18"/>
        </w:rPr>
        <w:t xml:space="preserve">data, the fully-loaded labor rates for the </w:t>
      </w:r>
      <w:r w:rsidR="00850BEB">
        <w:rPr>
          <w:sz w:val="18"/>
          <w:szCs w:val="18"/>
        </w:rPr>
        <w:t>Cincinnati, Ohio, wage area are</w:t>
      </w:r>
      <w:r w:rsidR="00D22C4B">
        <w:rPr>
          <w:sz w:val="18"/>
          <w:szCs w:val="18"/>
        </w:rPr>
        <w:t xml:space="preserve">:  </w:t>
      </w:r>
      <w:r>
        <w:rPr>
          <w:sz w:val="18"/>
          <w:szCs w:val="18"/>
        </w:rPr>
        <w:t>(1) GS–5, step 5, employee = $</w:t>
      </w:r>
      <w:r w:rsidR="00B152CD">
        <w:rPr>
          <w:sz w:val="18"/>
          <w:szCs w:val="18"/>
        </w:rPr>
        <w:t>37.18</w:t>
      </w:r>
      <w:r w:rsidR="00D22C4B">
        <w:rPr>
          <w:sz w:val="18"/>
          <w:szCs w:val="18"/>
        </w:rPr>
        <w:t xml:space="preserve">; and </w:t>
      </w:r>
      <w:r>
        <w:rPr>
          <w:sz w:val="18"/>
          <w:szCs w:val="18"/>
        </w:rPr>
        <w:t xml:space="preserve">(2) GS–11, step 5, employee = </w:t>
      </w:r>
      <w:r w:rsidRPr="004A39E7">
        <w:rPr>
          <w:sz w:val="18"/>
          <w:szCs w:val="18"/>
        </w:rPr>
        <w:t>$</w:t>
      </w:r>
      <w:r w:rsidR="008F7D6B">
        <w:rPr>
          <w:sz w:val="18"/>
          <w:szCs w:val="18"/>
        </w:rPr>
        <w:t>68.17</w:t>
      </w:r>
      <w:r w:rsidR="00D22C4B">
        <w:rPr>
          <w:sz w:val="18"/>
          <w:szCs w:val="18"/>
        </w:rPr>
        <w:t xml:space="preserve">. </w:t>
      </w:r>
      <w:r>
        <w:rPr>
          <w:sz w:val="18"/>
          <w:szCs w:val="18"/>
        </w:rPr>
        <w:t xml:space="preserve"> </w:t>
      </w:r>
      <w:r w:rsidRPr="001D0AAE">
        <w:rPr>
          <w:sz w:val="18"/>
          <w:szCs w:val="18"/>
        </w:rPr>
        <w:t xml:space="preserve">See the OPM website at </w:t>
      </w:r>
      <w:r w:rsidRPr="00281E47" w:rsidR="00FD70A2">
        <w:rPr>
          <w:i/>
          <w:iCs/>
          <w:sz w:val="18"/>
          <w:szCs w:val="18"/>
        </w:rPr>
        <w:t>https://www.opm.gov/policy-data-oversight/pay-leave/salaries-wages/salary-tables/pdf/2025/CIN_h.pdf</w:t>
      </w:r>
      <w:r w:rsidRPr="001D0AAE" w:rsidR="00FD70A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CC8" w:rsidRPr="005019AA" w:rsidP="00057CC8" w14:paraId="6B381B89" w14:textId="77777777">
    <w:pPr>
      <w:pStyle w:val="Header"/>
      <w:tabs>
        <w:tab w:val="clear" w:pos="4320"/>
        <w:tab w:val="clear" w:pos="8640"/>
        <w:tab w:val="right" w:pos="9072"/>
      </w:tabs>
      <w:jc w:val="center"/>
      <w:rPr>
        <w:sz w:val="22"/>
        <w:szCs w:val="22"/>
      </w:rPr>
    </w:pPr>
    <w:r w:rsidRPr="005019AA">
      <w:rPr>
        <w:sz w:val="22"/>
        <w:szCs w:val="22"/>
      </w:rPr>
      <w:t xml:space="preserve">- </w:t>
    </w:r>
    <w:r w:rsidRPr="005019AA">
      <w:rPr>
        <w:sz w:val="22"/>
        <w:szCs w:val="22"/>
      </w:rPr>
      <w:fldChar w:fldCharType="begin"/>
    </w:r>
    <w:r w:rsidRPr="005019AA">
      <w:rPr>
        <w:sz w:val="22"/>
        <w:szCs w:val="22"/>
      </w:rPr>
      <w:instrText xml:space="preserve"> PAGE   \* MERGEFORMAT </w:instrText>
    </w:r>
    <w:r w:rsidRPr="005019AA">
      <w:rPr>
        <w:sz w:val="22"/>
        <w:szCs w:val="22"/>
      </w:rPr>
      <w:fldChar w:fldCharType="separate"/>
    </w:r>
    <w:r w:rsidR="00E20F64">
      <w:rPr>
        <w:noProof/>
        <w:sz w:val="22"/>
        <w:szCs w:val="22"/>
      </w:rPr>
      <w:t>2</w:t>
    </w:r>
    <w:r w:rsidRPr="005019AA">
      <w:rPr>
        <w:noProof/>
        <w:sz w:val="22"/>
        <w:szCs w:val="22"/>
      </w:rPr>
      <w:fldChar w:fldCharType="end"/>
    </w:r>
    <w:r w:rsidRPr="005019AA">
      <w:rPr>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076"/>
    <w:multiLevelType w:val="hybridMultilevel"/>
    <w:tmpl w:val="46187C8C"/>
    <w:lvl w:ilvl="0">
      <w:start w:val="2"/>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E4D6BEC"/>
    <w:multiLevelType w:val="hybridMultilevel"/>
    <w:tmpl w:val="2B049F8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1F8214F"/>
    <w:multiLevelType w:val="hybridMultilevel"/>
    <w:tmpl w:val="A17E0C3E"/>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9A94E21"/>
    <w:multiLevelType w:val="hybridMultilevel"/>
    <w:tmpl w:val="1076F3A4"/>
    <w:lvl w:ilvl="0">
      <w:start w:val="12"/>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CC87F1E"/>
    <w:multiLevelType w:val="hybridMultilevel"/>
    <w:tmpl w:val="60949C56"/>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4193A0E"/>
    <w:multiLevelType w:val="hybridMultilevel"/>
    <w:tmpl w:val="C390F040"/>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4297528"/>
    <w:multiLevelType w:val="hybridMultilevel"/>
    <w:tmpl w:val="B3DC75D2"/>
    <w:lvl w:ilvl="0">
      <w:start w:val="8"/>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E52D74"/>
    <w:multiLevelType w:val="hybridMultilevel"/>
    <w:tmpl w:val="9C9A3972"/>
    <w:lvl w:ilvl="0">
      <w:start w:val="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E8D0D45"/>
    <w:multiLevelType w:val="hybridMultilevel"/>
    <w:tmpl w:val="6B7622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7529761">
    <w:abstractNumId w:val="2"/>
  </w:num>
  <w:num w:numId="2" w16cid:durableId="1375933915">
    <w:abstractNumId w:val="0"/>
  </w:num>
  <w:num w:numId="3" w16cid:durableId="742869856">
    <w:abstractNumId w:val="7"/>
  </w:num>
  <w:num w:numId="4" w16cid:durableId="2050299035">
    <w:abstractNumId w:val="6"/>
  </w:num>
  <w:num w:numId="5" w16cid:durableId="1802845513">
    <w:abstractNumId w:val="1"/>
  </w:num>
  <w:num w:numId="6" w16cid:durableId="350494128">
    <w:abstractNumId w:val="3"/>
  </w:num>
  <w:num w:numId="7" w16cid:durableId="1843426607">
    <w:abstractNumId w:val="4"/>
  </w:num>
  <w:num w:numId="8" w16cid:durableId="1636255436">
    <w:abstractNumId w:val="9"/>
  </w:num>
  <w:num w:numId="9" w16cid:durableId="564100453">
    <w:abstractNumId w:val="10"/>
  </w:num>
  <w:num w:numId="10" w16cid:durableId="378019934">
    <w:abstractNumId w:val="8"/>
  </w:num>
  <w:num w:numId="11" w16cid:durableId="2042319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3C"/>
    <w:rsid w:val="0001185E"/>
    <w:rsid w:val="00013610"/>
    <w:rsid w:val="0001418C"/>
    <w:rsid w:val="0001529E"/>
    <w:rsid w:val="0002094E"/>
    <w:rsid w:val="000211EC"/>
    <w:rsid w:val="00024AB9"/>
    <w:rsid w:val="0003176D"/>
    <w:rsid w:val="0003761C"/>
    <w:rsid w:val="000407EA"/>
    <w:rsid w:val="00051761"/>
    <w:rsid w:val="0005716D"/>
    <w:rsid w:val="00057CC8"/>
    <w:rsid w:val="00062EDD"/>
    <w:rsid w:val="00083F31"/>
    <w:rsid w:val="00084517"/>
    <w:rsid w:val="00085A01"/>
    <w:rsid w:val="00092F08"/>
    <w:rsid w:val="00094A87"/>
    <w:rsid w:val="000A1511"/>
    <w:rsid w:val="000C093C"/>
    <w:rsid w:val="000C0A63"/>
    <w:rsid w:val="000C3D22"/>
    <w:rsid w:val="000F37AA"/>
    <w:rsid w:val="0010294C"/>
    <w:rsid w:val="00114B1A"/>
    <w:rsid w:val="00147F5D"/>
    <w:rsid w:val="00180F72"/>
    <w:rsid w:val="0018202E"/>
    <w:rsid w:val="001A3F69"/>
    <w:rsid w:val="001B16C9"/>
    <w:rsid w:val="001B1DDC"/>
    <w:rsid w:val="001B3AA7"/>
    <w:rsid w:val="001B4A45"/>
    <w:rsid w:val="001C6F00"/>
    <w:rsid w:val="001D0AAE"/>
    <w:rsid w:val="001E0C71"/>
    <w:rsid w:val="001E1A22"/>
    <w:rsid w:val="001E7D26"/>
    <w:rsid w:val="001F1D6E"/>
    <w:rsid w:val="001F4B48"/>
    <w:rsid w:val="00206CE6"/>
    <w:rsid w:val="00227B91"/>
    <w:rsid w:val="00233002"/>
    <w:rsid w:val="00236975"/>
    <w:rsid w:val="00253223"/>
    <w:rsid w:val="0025364E"/>
    <w:rsid w:val="00255DDE"/>
    <w:rsid w:val="002620C4"/>
    <w:rsid w:val="00281E47"/>
    <w:rsid w:val="00283126"/>
    <w:rsid w:val="002A0682"/>
    <w:rsid w:val="002A3AEF"/>
    <w:rsid w:val="002C42FC"/>
    <w:rsid w:val="002D2AAF"/>
    <w:rsid w:val="002D48CA"/>
    <w:rsid w:val="00304D66"/>
    <w:rsid w:val="00311087"/>
    <w:rsid w:val="003164E9"/>
    <w:rsid w:val="00336DF0"/>
    <w:rsid w:val="003442DC"/>
    <w:rsid w:val="0035186D"/>
    <w:rsid w:val="00354F0F"/>
    <w:rsid w:val="003762F4"/>
    <w:rsid w:val="003801EA"/>
    <w:rsid w:val="003A3785"/>
    <w:rsid w:val="003A4849"/>
    <w:rsid w:val="003A5546"/>
    <w:rsid w:val="003B6096"/>
    <w:rsid w:val="003C6019"/>
    <w:rsid w:val="003C79FE"/>
    <w:rsid w:val="003D5A41"/>
    <w:rsid w:val="003F053C"/>
    <w:rsid w:val="003F61F0"/>
    <w:rsid w:val="003F7192"/>
    <w:rsid w:val="003F7705"/>
    <w:rsid w:val="00400403"/>
    <w:rsid w:val="0040277E"/>
    <w:rsid w:val="00416C6C"/>
    <w:rsid w:val="00441553"/>
    <w:rsid w:val="00461187"/>
    <w:rsid w:val="00472A0A"/>
    <w:rsid w:val="00476214"/>
    <w:rsid w:val="004818E1"/>
    <w:rsid w:val="00483FE2"/>
    <w:rsid w:val="004875AD"/>
    <w:rsid w:val="004A39E7"/>
    <w:rsid w:val="004A3FC4"/>
    <w:rsid w:val="004B476A"/>
    <w:rsid w:val="004C26E6"/>
    <w:rsid w:val="004C51B1"/>
    <w:rsid w:val="004C685E"/>
    <w:rsid w:val="004D5B57"/>
    <w:rsid w:val="004E7FCB"/>
    <w:rsid w:val="005011E8"/>
    <w:rsid w:val="005019AA"/>
    <w:rsid w:val="00505377"/>
    <w:rsid w:val="00513B2C"/>
    <w:rsid w:val="00520DE9"/>
    <w:rsid w:val="005325B2"/>
    <w:rsid w:val="00537410"/>
    <w:rsid w:val="00546393"/>
    <w:rsid w:val="00551EE3"/>
    <w:rsid w:val="005717DC"/>
    <w:rsid w:val="005750D0"/>
    <w:rsid w:val="00580157"/>
    <w:rsid w:val="00590642"/>
    <w:rsid w:val="00594678"/>
    <w:rsid w:val="00597C08"/>
    <w:rsid w:val="005B5034"/>
    <w:rsid w:val="005B5C4A"/>
    <w:rsid w:val="005B6583"/>
    <w:rsid w:val="005C0DA4"/>
    <w:rsid w:val="005C4527"/>
    <w:rsid w:val="005D793D"/>
    <w:rsid w:val="00605B93"/>
    <w:rsid w:val="0062354A"/>
    <w:rsid w:val="00626375"/>
    <w:rsid w:val="00637104"/>
    <w:rsid w:val="00637AD4"/>
    <w:rsid w:val="006438D9"/>
    <w:rsid w:val="00661654"/>
    <w:rsid w:val="00675F69"/>
    <w:rsid w:val="00677B60"/>
    <w:rsid w:val="006A57BC"/>
    <w:rsid w:val="006D726F"/>
    <w:rsid w:val="006E4E1C"/>
    <w:rsid w:val="006F304C"/>
    <w:rsid w:val="006F439F"/>
    <w:rsid w:val="00703ED4"/>
    <w:rsid w:val="00725585"/>
    <w:rsid w:val="00736737"/>
    <w:rsid w:val="00736C2A"/>
    <w:rsid w:val="0075596E"/>
    <w:rsid w:val="00756AED"/>
    <w:rsid w:val="0077280F"/>
    <w:rsid w:val="00776514"/>
    <w:rsid w:val="007947A0"/>
    <w:rsid w:val="007A2066"/>
    <w:rsid w:val="007A5D4B"/>
    <w:rsid w:val="007C2902"/>
    <w:rsid w:val="007D0846"/>
    <w:rsid w:val="007D1B23"/>
    <w:rsid w:val="007D430D"/>
    <w:rsid w:val="007E38F2"/>
    <w:rsid w:val="007E48BB"/>
    <w:rsid w:val="007F0A9E"/>
    <w:rsid w:val="007F1378"/>
    <w:rsid w:val="007F2B09"/>
    <w:rsid w:val="007F4F3C"/>
    <w:rsid w:val="00802A81"/>
    <w:rsid w:val="008047F4"/>
    <w:rsid w:val="0080794D"/>
    <w:rsid w:val="00815763"/>
    <w:rsid w:val="00817A5E"/>
    <w:rsid w:val="0082196C"/>
    <w:rsid w:val="00821B61"/>
    <w:rsid w:val="0082595F"/>
    <w:rsid w:val="00831689"/>
    <w:rsid w:val="00834741"/>
    <w:rsid w:val="00841D3F"/>
    <w:rsid w:val="00842D09"/>
    <w:rsid w:val="00846D9E"/>
    <w:rsid w:val="00850BEB"/>
    <w:rsid w:val="00856152"/>
    <w:rsid w:val="008661BA"/>
    <w:rsid w:val="00867EAF"/>
    <w:rsid w:val="00872D85"/>
    <w:rsid w:val="00880131"/>
    <w:rsid w:val="008A207C"/>
    <w:rsid w:val="008A30D0"/>
    <w:rsid w:val="008A3B68"/>
    <w:rsid w:val="008B4B12"/>
    <w:rsid w:val="008B5DF1"/>
    <w:rsid w:val="008B69A5"/>
    <w:rsid w:val="008B6A28"/>
    <w:rsid w:val="008B7320"/>
    <w:rsid w:val="008D6E67"/>
    <w:rsid w:val="008E184F"/>
    <w:rsid w:val="008E3026"/>
    <w:rsid w:val="008F7148"/>
    <w:rsid w:val="008F7D6B"/>
    <w:rsid w:val="0090258F"/>
    <w:rsid w:val="00902857"/>
    <w:rsid w:val="00904ED8"/>
    <w:rsid w:val="0091671F"/>
    <w:rsid w:val="00917C10"/>
    <w:rsid w:val="00924F97"/>
    <w:rsid w:val="00935BCC"/>
    <w:rsid w:val="00940BCA"/>
    <w:rsid w:val="009564BA"/>
    <w:rsid w:val="00981482"/>
    <w:rsid w:val="00987432"/>
    <w:rsid w:val="009905F0"/>
    <w:rsid w:val="009A6F76"/>
    <w:rsid w:val="009C0B81"/>
    <w:rsid w:val="009C7C9F"/>
    <w:rsid w:val="009C7E06"/>
    <w:rsid w:val="009E45EA"/>
    <w:rsid w:val="009E4B57"/>
    <w:rsid w:val="009F0C94"/>
    <w:rsid w:val="009F0DF5"/>
    <w:rsid w:val="009F3B23"/>
    <w:rsid w:val="00A04279"/>
    <w:rsid w:val="00A065EF"/>
    <w:rsid w:val="00A12C35"/>
    <w:rsid w:val="00A13D67"/>
    <w:rsid w:val="00A13D85"/>
    <w:rsid w:val="00A13F3A"/>
    <w:rsid w:val="00A20FF2"/>
    <w:rsid w:val="00A508FF"/>
    <w:rsid w:val="00A514C4"/>
    <w:rsid w:val="00A54390"/>
    <w:rsid w:val="00A56A8F"/>
    <w:rsid w:val="00A61F80"/>
    <w:rsid w:val="00A67B87"/>
    <w:rsid w:val="00A7100B"/>
    <w:rsid w:val="00A71167"/>
    <w:rsid w:val="00A8170D"/>
    <w:rsid w:val="00A96F56"/>
    <w:rsid w:val="00AB3E0A"/>
    <w:rsid w:val="00AB4715"/>
    <w:rsid w:val="00AC4693"/>
    <w:rsid w:val="00AD550E"/>
    <w:rsid w:val="00AD7EF6"/>
    <w:rsid w:val="00AE708D"/>
    <w:rsid w:val="00AF060A"/>
    <w:rsid w:val="00AF1D6F"/>
    <w:rsid w:val="00AF2FD8"/>
    <w:rsid w:val="00B152CD"/>
    <w:rsid w:val="00B229CE"/>
    <w:rsid w:val="00B332EE"/>
    <w:rsid w:val="00B357B7"/>
    <w:rsid w:val="00B40055"/>
    <w:rsid w:val="00B576F6"/>
    <w:rsid w:val="00B672F3"/>
    <w:rsid w:val="00B73EE1"/>
    <w:rsid w:val="00B77C77"/>
    <w:rsid w:val="00B81389"/>
    <w:rsid w:val="00B81A80"/>
    <w:rsid w:val="00B82F6A"/>
    <w:rsid w:val="00B92D21"/>
    <w:rsid w:val="00B95637"/>
    <w:rsid w:val="00BB2F2E"/>
    <w:rsid w:val="00BC7A96"/>
    <w:rsid w:val="00BD6CE9"/>
    <w:rsid w:val="00C02C62"/>
    <w:rsid w:val="00C04B35"/>
    <w:rsid w:val="00C04C3A"/>
    <w:rsid w:val="00C10889"/>
    <w:rsid w:val="00C16FB0"/>
    <w:rsid w:val="00C3191E"/>
    <w:rsid w:val="00C335F9"/>
    <w:rsid w:val="00C46122"/>
    <w:rsid w:val="00C522BD"/>
    <w:rsid w:val="00C52474"/>
    <w:rsid w:val="00C52D00"/>
    <w:rsid w:val="00C55C73"/>
    <w:rsid w:val="00C57FE9"/>
    <w:rsid w:val="00C677E0"/>
    <w:rsid w:val="00C756D9"/>
    <w:rsid w:val="00C82CC7"/>
    <w:rsid w:val="00C91673"/>
    <w:rsid w:val="00C961D8"/>
    <w:rsid w:val="00CA7CF3"/>
    <w:rsid w:val="00CB0471"/>
    <w:rsid w:val="00CB2C63"/>
    <w:rsid w:val="00CB4642"/>
    <w:rsid w:val="00CC0930"/>
    <w:rsid w:val="00CC4962"/>
    <w:rsid w:val="00CD3817"/>
    <w:rsid w:val="00CD7A65"/>
    <w:rsid w:val="00CE25B7"/>
    <w:rsid w:val="00CE2B67"/>
    <w:rsid w:val="00CE382E"/>
    <w:rsid w:val="00D17F38"/>
    <w:rsid w:val="00D22C4B"/>
    <w:rsid w:val="00D26D44"/>
    <w:rsid w:val="00D30E1A"/>
    <w:rsid w:val="00D363CA"/>
    <w:rsid w:val="00D40409"/>
    <w:rsid w:val="00D5175D"/>
    <w:rsid w:val="00D6136F"/>
    <w:rsid w:val="00D7296D"/>
    <w:rsid w:val="00D74318"/>
    <w:rsid w:val="00D76D66"/>
    <w:rsid w:val="00D7745E"/>
    <w:rsid w:val="00D815A9"/>
    <w:rsid w:val="00D83B42"/>
    <w:rsid w:val="00D85265"/>
    <w:rsid w:val="00DB2701"/>
    <w:rsid w:val="00DB3ED1"/>
    <w:rsid w:val="00DC1C94"/>
    <w:rsid w:val="00DD0318"/>
    <w:rsid w:val="00DD1884"/>
    <w:rsid w:val="00DE2AE9"/>
    <w:rsid w:val="00E02428"/>
    <w:rsid w:val="00E140FA"/>
    <w:rsid w:val="00E15E94"/>
    <w:rsid w:val="00E20F64"/>
    <w:rsid w:val="00E22E25"/>
    <w:rsid w:val="00E24E90"/>
    <w:rsid w:val="00E26CC7"/>
    <w:rsid w:val="00E3102E"/>
    <w:rsid w:val="00E32895"/>
    <w:rsid w:val="00E36D9D"/>
    <w:rsid w:val="00E45696"/>
    <w:rsid w:val="00E46B8D"/>
    <w:rsid w:val="00E632E0"/>
    <w:rsid w:val="00E942AE"/>
    <w:rsid w:val="00E958C2"/>
    <w:rsid w:val="00EE3FDA"/>
    <w:rsid w:val="00EE4C1D"/>
    <w:rsid w:val="00EE58BA"/>
    <w:rsid w:val="00EF285B"/>
    <w:rsid w:val="00EF5FC9"/>
    <w:rsid w:val="00EF694B"/>
    <w:rsid w:val="00EF6AC1"/>
    <w:rsid w:val="00F068FB"/>
    <w:rsid w:val="00F14D89"/>
    <w:rsid w:val="00F21391"/>
    <w:rsid w:val="00F24723"/>
    <w:rsid w:val="00F37B20"/>
    <w:rsid w:val="00F40BE4"/>
    <w:rsid w:val="00F64C85"/>
    <w:rsid w:val="00F64F45"/>
    <w:rsid w:val="00F65D84"/>
    <w:rsid w:val="00F76A08"/>
    <w:rsid w:val="00F77E3E"/>
    <w:rsid w:val="00F80085"/>
    <w:rsid w:val="00F92902"/>
    <w:rsid w:val="00FA0DB0"/>
    <w:rsid w:val="00FA2CF6"/>
    <w:rsid w:val="00FA3B31"/>
    <w:rsid w:val="00FB3D8D"/>
    <w:rsid w:val="00FC1F35"/>
    <w:rsid w:val="00FD00B9"/>
    <w:rsid w:val="00FD0E11"/>
    <w:rsid w:val="00FD6332"/>
    <w:rsid w:val="00FD70A2"/>
    <w:rsid w:val="00FF61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39A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4318"/>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F053C"/>
    <w:rPr>
      <w:rFonts w:ascii="Courier New" w:hAnsi="Courier New"/>
      <w:sz w:val="20"/>
      <w:szCs w:val="20"/>
    </w:rPr>
  </w:style>
  <w:style w:type="paragraph" w:styleId="BalloonText">
    <w:name w:val="Balloon Text"/>
    <w:basedOn w:val="Normal"/>
    <w:semiHidden/>
    <w:rsid w:val="006D726F"/>
    <w:rPr>
      <w:rFonts w:ascii="Tahoma" w:hAnsi="Tahoma" w:cs="Tahoma"/>
      <w:sz w:val="16"/>
      <w:szCs w:val="16"/>
    </w:rPr>
  </w:style>
  <w:style w:type="paragraph" w:styleId="BodyTextIndent2">
    <w:name w:val="Body Text Indent 2"/>
    <w:basedOn w:val="Normal"/>
    <w:rsid w:val="00831689"/>
    <w:pPr>
      <w:ind w:left="360"/>
    </w:pPr>
    <w:rPr>
      <w:rFonts w:ascii="Tahoma" w:hAnsi="Tahoma"/>
      <w:szCs w:val="20"/>
    </w:rPr>
  </w:style>
  <w:style w:type="paragraph" w:styleId="Header">
    <w:name w:val="header"/>
    <w:basedOn w:val="Normal"/>
    <w:link w:val="HeaderChar"/>
    <w:uiPriority w:val="99"/>
    <w:rsid w:val="00C677E0"/>
    <w:pPr>
      <w:tabs>
        <w:tab w:val="center" w:pos="4320"/>
        <w:tab w:val="right" w:pos="8640"/>
      </w:tabs>
    </w:pPr>
  </w:style>
  <w:style w:type="character" w:styleId="PageNumber">
    <w:name w:val="page number"/>
    <w:basedOn w:val="DefaultParagraphFont"/>
    <w:rsid w:val="00C677E0"/>
  </w:style>
  <w:style w:type="paragraph" w:styleId="Footer">
    <w:name w:val="footer"/>
    <w:basedOn w:val="Normal"/>
    <w:link w:val="FooterChar"/>
    <w:uiPriority w:val="99"/>
    <w:rsid w:val="00C677E0"/>
    <w:pPr>
      <w:tabs>
        <w:tab w:val="center" w:pos="4320"/>
        <w:tab w:val="right" w:pos="8640"/>
      </w:tabs>
    </w:pPr>
  </w:style>
  <w:style w:type="character" w:styleId="CommentReference">
    <w:name w:val="annotation reference"/>
    <w:rsid w:val="00756AED"/>
    <w:rPr>
      <w:sz w:val="16"/>
      <w:szCs w:val="16"/>
    </w:rPr>
  </w:style>
  <w:style w:type="paragraph" w:styleId="CommentText">
    <w:name w:val="annotation text"/>
    <w:basedOn w:val="Normal"/>
    <w:link w:val="CommentTextChar"/>
    <w:rsid w:val="00756AED"/>
    <w:rPr>
      <w:sz w:val="20"/>
      <w:szCs w:val="20"/>
    </w:rPr>
  </w:style>
  <w:style w:type="character" w:customStyle="1" w:styleId="CommentTextChar">
    <w:name w:val="Comment Text Char"/>
    <w:link w:val="CommentText"/>
    <w:rsid w:val="00756AED"/>
    <w:rPr>
      <w:rFonts w:ascii="Arial" w:hAnsi="Arial"/>
    </w:rPr>
  </w:style>
  <w:style w:type="paragraph" w:styleId="CommentSubject">
    <w:name w:val="annotation subject"/>
    <w:basedOn w:val="CommentText"/>
    <w:next w:val="CommentText"/>
    <w:link w:val="CommentSubjectChar"/>
    <w:rsid w:val="00756AED"/>
    <w:rPr>
      <w:b/>
      <w:bCs/>
    </w:rPr>
  </w:style>
  <w:style w:type="character" w:customStyle="1" w:styleId="CommentSubjectChar">
    <w:name w:val="Comment Subject Char"/>
    <w:link w:val="CommentSubject"/>
    <w:rsid w:val="00756AED"/>
    <w:rPr>
      <w:rFonts w:ascii="Arial" w:hAnsi="Arial"/>
      <w:b/>
      <w:bCs/>
    </w:rPr>
  </w:style>
  <w:style w:type="paragraph" w:styleId="NormalWeb">
    <w:name w:val="Normal (Web)"/>
    <w:basedOn w:val="Normal"/>
    <w:uiPriority w:val="99"/>
    <w:unhideWhenUsed/>
    <w:rsid w:val="009A6F76"/>
    <w:pPr>
      <w:spacing w:before="100" w:beforeAutospacing="1" w:after="100" w:afterAutospacing="1"/>
    </w:pPr>
    <w:rPr>
      <w:rFonts w:ascii="Times New Roman" w:hAnsi="Times New Roman"/>
    </w:rPr>
  </w:style>
  <w:style w:type="character" w:customStyle="1" w:styleId="trigger">
    <w:name w:val="trigger"/>
    <w:rsid w:val="009A6F76"/>
  </w:style>
  <w:style w:type="table" w:styleId="TableGrid">
    <w:name w:val="Table Grid"/>
    <w:basedOn w:val="TableNormal"/>
    <w:rsid w:val="00B82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C2902"/>
    <w:rPr>
      <w:rFonts w:ascii="Arial" w:hAnsi="Arial"/>
      <w:sz w:val="24"/>
      <w:szCs w:val="24"/>
    </w:rPr>
  </w:style>
  <w:style w:type="character" w:customStyle="1" w:styleId="FooterChar">
    <w:name w:val="Footer Char"/>
    <w:link w:val="Footer"/>
    <w:uiPriority w:val="99"/>
    <w:rsid w:val="007C2902"/>
    <w:rPr>
      <w:rFonts w:ascii="Arial" w:hAnsi="Arial"/>
      <w:sz w:val="24"/>
      <w:szCs w:val="24"/>
    </w:rPr>
  </w:style>
  <w:style w:type="character" w:styleId="Hyperlink">
    <w:name w:val="Hyperlink"/>
    <w:rsid w:val="0010294C"/>
    <w:rPr>
      <w:color w:val="0563C1"/>
      <w:u w:val="single"/>
    </w:rPr>
  </w:style>
  <w:style w:type="paragraph" w:styleId="FootnoteText">
    <w:name w:val="footnote text"/>
    <w:basedOn w:val="Normal"/>
    <w:link w:val="FootnoteTextChar"/>
    <w:rsid w:val="00D26D44"/>
    <w:rPr>
      <w:sz w:val="20"/>
      <w:szCs w:val="20"/>
    </w:rPr>
  </w:style>
  <w:style w:type="character" w:customStyle="1" w:styleId="FootnoteTextChar">
    <w:name w:val="Footnote Text Char"/>
    <w:link w:val="FootnoteText"/>
    <w:rsid w:val="00D26D44"/>
    <w:rPr>
      <w:rFonts w:ascii="Arial" w:hAnsi="Arial"/>
    </w:rPr>
  </w:style>
  <w:style w:type="character" w:styleId="FootnoteReference">
    <w:name w:val="footnote reference"/>
    <w:uiPriority w:val="99"/>
    <w:rsid w:val="00D26D44"/>
    <w:rPr>
      <w:vertAlign w:val="superscript"/>
    </w:rPr>
  </w:style>
  <w:style w:type="character" w:styleId="FollowedHyperlink">
    <w:name w:val="FollowedHyperlink"/>
    <w:rsid w:val="008A207C"/>
    <w:rPr>
      <w:color w:val="954F72"/>
      <w:u w:val="single"/>
    </w:rPr>
  </w:style>
  <w:style w:type="table" w:customStyle="1" w:styleId="TableGrid1">
    <w:name w:val="Table Grid1"/>
    <w:basedOn w:val="TableNormal"/>
    <w:next w:val="TableGrid"/>
    <w:uiPriority w:val="39"/>
    <w:rsid w:val="001B4A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456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1673"/>
    <w:rPr>
      <w:rFonts w:ascii="Arial" w:hAnsi="Arial"/>
      <w:sz w:val="24"/>
      <w:szCs w:val="24"/>
    </w:rPr>
  </w:style>
  <w:style w:type="character" w:styleId="UnresolvedMention">
    <w:name w:val="Unresolved Mention"/>
    <w:basedOn w:val="DefaultParagraphFont"/>
    <w:uiPriority w:val="99"/>
    <w:semiHidden/>
    <w:unhideWhenUsed/>
    <w:rsid w:val="00C91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131A-CD6E-413E-AD11-844B59D8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2438</Words>
  <Characters>13631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2025-03-12T15:16:00Z</dcterms:created>
  <dcterms:modified xsi:type="dcterms:W3CDTF">2025-03-12T15:17:00Z</dcterms:modified>
</cp:coreProperties>
</file>