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8D7F04" w:rsidP="00D73D2D" w14:paraId="46456B7F" w14:textId="7433EB87">
      <w:pPr>
        <w:suppressAutoHyphens/>
        <w:jc w:val="center"/>
        <w:rPr>
          <w:rFonts w:ascii="Arial" w:hAnsi="Arial" w:cs="Arial"/>
          <w:b/>
          <w:sz w:val="22"/>
          <w:szCs w:val="22"/>
        </w:rPr>
      </w:pPr>
      <w:r>
        <w:rPr>
          <w:rFonts w:ascii="Arial" w:hAnsi="Arial" w:cs="Arial"/>
          <w:b/>
          <w:sz w:val="22"/>
          <w:szCs w:val="22"/>
        </w:rPr>
        <w:t>D</w:t>
      </w:r>
      <w:r w:rsidRPr="008D7F04">
        <w:rPr>
          <w:rFonts w:ascii="Arial" w:hAnsi="Arial" w:cs="Arial"/>
          <w:b/>
          <w:sz w:val="22"/>
          <w:szCs w:val="22"/>
        </w:rPr>
        <w:t>EPARTMENT OF THE TREASURY</w:t>
      </w:r>
      <w:r w:rsidRPr="008D7F04" w:rsidR="00D73D2D">
        <w:rPr>
          <w:rFonts w:ascii="Arial" w:hAnsi="Arial" w:cs="Arial"/>
          <w:b/>
          <w:sz w:val="22"/>
          <w:szCs w:val="22"/>
        </w:rPr>
        <w:t xml:space="preserve"> </w:t>
      </w:r>
    </w:p>
    <w:p w:rsidR="00AF1157" w:rsidRPr="008D7F04" w:rsidP="00D73D2D" w14:paraId="7039C22C" w14:textId="77777777">
      <w:pPr>
        <w:suppressAutoHyphens/>
        <w:jc w:val="center"/>
        <w:rPr>
          <w:rFonts w:ascii="Arial" w:hAnsi="Arial" w:cs="Arial"/>
        </w:rPr>
      </w:pPr>
    </w:p>
    <w:p w:rsidR="00AF1157" w:rsidRPr="008D7F04" w:rsidP="00D73D2D" w14:paraId="72DB066C" w14:textId="77777777">
      <w:pPr>
        <w:suppressAutoHyphens/>
        <w:jc w:val="center"/>
        <w:rPr>
          <w:rFonts w:ascii="Arial" w:hAnsi="Arial" w:cs="Arial"/>
          <w:b/>
          <w:sz w:val="22"/>
          <w:szCs w:val="22"/>
        </w:rPr>
      </w:pPr>
      <w:r w:rsidRPr="008D7F04">
        <w:rPr>
          <w:rFonts w:ascii="Arial" w:hAnsi="Arial" w:cs="Arial"/>
          <w:b/>
          <w:sz w:val="22"/>
          <w:szCs w:val="22"/>
        </w:rPr>
        <w:t xml:space="preserve">ALCOHOL </w:t>
      </w:r>
      <w:r w:rsidRPr="008D7F04" w:rsidR="00D004D6">
        <w:rPr>
          <w:rFonts w:ascii="Arial" w:hAnsi="Arial" w:cs="Arial"/>
          <w:b/>
          <w:sz w:val="22"/>
          <w:szCs w:val="22"/>
        </w:rPr>
        <w:t xml:space="preserve">AND </w:t>
      </w:r>
      <w:r w:rsidRPr="008D7F04">
        <w:rPr>
          <w:rFonts w:ascii="Arial" w:hAnsi="Arial" w:cs="Arial"/>
          <w:b/>
          <w:sz w:val="22"/>
          <w:szCs w:val="22"/>
        </w:rPr>
        <w:t>TOBACCO TAX AND TRADE BUREAU</w:t>
      </w:r>
      <w:r w:rsidRPr="008D7F04" w:rsidR="00D73D2D">
        <w:rPr>
          <w:rFonts w:ascii="Arial" w:hAnsi="Arial" w:cs="Arial"/>
          <w:b/>
          <w:sz w:val="22"/>
          <w:szCs w:val="22"/>
        </w:rPr>
        <w:t xml:space="preserve"> </w:t>
      </w:r>
    </w:p>
    <w:p w:rsidR="00AF1157" w:rsidRPr="008D7F04" w:rsidP="00D73D2D" w14:paraId="57924190" w14:textId="77777777">
      <w:pPr>
        <w:suppressAutoHyphens/>
        <w:jc w:val="center"/>
        <w:rPr>
          <w:rFonts w:ascii="Arial" w:hAnsi="Arial" w:cs="Arial"/>
          <w:sz w:val="28"/>
          <w:szCs w:val="28"/>
        </w:rPr>
      </w:pPr>
    </w:p>
    <w:p w:rsidR="00AF1157" w:rsidRPr="008D7F04" w:rsidP="00D73D2D" w14:paraId="20EA138C" w14:textId="77777777">
      <w:pPr>
        <w:suppressAutoHyphens/>
        <w:jc w:val="center"/>
        <w:rPr>
          <w:rFonts w:ascii="Arial" w:hAnsi="Arial" w:cs="Arial"/>
          <w:b/>
          <w:sz w:val="22"/>
          <w:szCs w:val="22"/>
        </w:rPr>
      </w:pPr>
      <w:r w:rsidRPr="008D7F04">
        <w:rPr>
          <w:rFonts w:ascii="Arial" w:hAnsi="Arial" w:cs="Arial"/>
          <w:b/>
          <w:sz w:val="22"/>
          <w:szCs w:val="22"/>
        </w:rPr>
        <w:t xml:space="preserve">Supporting Statement </w:t>
      </w:r>
      <w:r w:rsidRPr="008D7F04" w:rsidR="00D73D2D">
        <w:rPr>
          <w:rFonts w:ascii="Arial" w:hAnsi="Arial" w:cs="Arial"/>
          <w:b/>
          <w:sz w:val="22"/>
          <w:szCs w:val="22"/>
        </w:rPr>
        <w:t>––</w:t>
      </w:r>
      <w:r w:rsidRPr="008D7F04">
        <w:rPr>
          <w:rFonts w:ascii="Arial" w:hAnsi="Arial" w:cs="Arial"/>
          <w:b/>
          <w:sz w:val="22"/>
          <w:szCs w:val="22"/>
        </w:rPr>
        <w:t xml:space="preserve"> Information Collection Request</w:t>
      </w:r>
      <w:r w:rsidRPr="008D7F04" w:rsidR="00D73D2D">
        <w:rPr>
          <w:rFonts w:ascii="Arial" w:hAnsi="Arial" w:cs="Arial"/>
          <w:b/>
          <w:sz w:val="22"/>
          <w:szCs w:val="22"/>
        </w:rPr>
        <w:t xml:space="preserve"> </w:t>
      </w:r>
    </w:p>
    <w:p w:rsidR="00AF1157" w:rsidRPr="008D7F04" w:rsidP="00D73D2D" w14:paraId="4EFC9A5B" w14:textId="6BCDE796">
      <w:pPr>
        <w:suppressAutoHyphens/>
        <w:jc w:val="center"/>
        <w:rPr>
          <w:rFonts w:ascii="Arial" w:hAnsi="Arial" w:cs="Arial"/>
        </w:rPr>
      </w:pPr>
    </w:p>
    <w:p w:rsidR="00AF1157" w:rsidRPr="008D7F04" w:rsidP="00D73D2D" w14:paraId="4BBA6D40" w14:textId="77E674F0">
      <w:pPr>
        <w:suppressAutoHyphens/>
        <w:jc w:val="center"/>
        <w:rPr>
          <w:rFonts w:ascii="Arial" w:hAnsi="Arial" w:cs="Arial"/>
          <w:b/>
          <w:sz w:val="22"/>
          <w:szCs w:val="22"/>
          <w:u w:val="single"/>
        </w:rPr>
      </w:pPr>
      <w:r w:rsidRPr="008D7F04">
        <w:rPr>
          <w:rFonts w:ascii="Arial" w:hAnsi="Arial" w:cs="Arial"/>
          <w:b/>
          <w:sz w:val="22"/>
          <w:szCs w:val="22"/>
          <w:u w:val="single"/>
        </w:rPr>
        <w:t>OMB Control Number 1513</w:t>
      </w:r>
      <w:r w:rsidRPr="008D7F04" w:rsidR="00D73D2D">
        <w:rPr>
          <w:rFonts w:ascii="Arial" w:hAnsi="Arial" w:cs="Arial"/>
          <w:b/>
          <w:sz w:val="22"/>
          <w:szCs w:val="22"/>
          <w:u w:val="single"/>
        </w:rPr>
        <w:t>–</w:t>
      </w:r>
      <w:r w:rsidRPr="008D7F04" w:rsidR="00266936">
        <w:rPr>
          <w:rFonts w:ascii="Arial" w:hAnsi="Arial" w:cs="Arial"/>
          <w:b/>
          <w:sz w:val="22"/>
          <w:szCs w:val="22"/>
          <w:u w:val="single"/>
        </w:rPr>
        <w:t>00</w:t>
      </w:r>
      <w:r w:rsidRPr="008D7F04" w:rsidR="00873C07">
        <w:rPr>
          <w:rFonts w:ascii="Arial" w:hAnsi="Arial" w:cs="Arial"/>
          <w:b/>
          <w:sz w:val="22"/>
          <w:szCs w:val="22"/>
          <w:u w:val="single"/>
        </w:rPr>
        <w:t>5</w:t>
      </w:r>
      <w:r w:rsidRPr="008D7F04" w:rsidR="008F2B3E">
        <w:rPr>
          <w:rFonts w:ascii="Arial" w:hAnsi="Arial" w:cs="Arial"/>
          <w:b/>
          <w:sz w:val="22"/>
          <w:szCs w:val="22"/>
          <w:u w:val="single"/>
        </w:rPr>
        <w:t>5</w:t>
      </w:r>
      <w:r w:rsidRPr="008D7F04" w:rsidR="00D73D2D">
        <w:rPr>
          <w:rFonts w:ascii="Arial" w:hAnsi="Arial" w:cs="Arial"/>
          <w:b/>
          <w:sz w:val="22"/>
          <w:szCs w:val="22"/>
          <w:u w:val="single"/>
        </w:rPr>
        <w:t xml:space="preserve"> </w:t>
      </w:r>
    </w:p>
    <w:p w:rsidR="00324486" w:rsidRPr="008D7F04" w:rsidP="00D73D2D" w14:paraId="555F4BD0" w14:textId="771C7EF9">
      <w:pPr>
        <w:suppressAutoHyphens/>
        <w:jc w:val="center"/>
        <w:rPr>
          <w:rFonts w:ascii="Arial" w:hAnsi="Arial" w:cs="Arial"/>
        </w:rPr>
      </w:pPr>
    </w:p>
    <w:p w:rsidR="008F2B3E" w:rsidRPr="008D7F04" w:rsidP="008F2B3E" w14:paraId="5E03AEC8" w14:textId="1F8DC60A">
      <w:pPr>
        <w:jc w:val="center"/>
        <w:rPr>
          <w:rFonts w:ascii="Arial" w:hAnsi="Arial" w:cs="Arial"/>
          <w:b/>
          <w:sz w:val="22"/>
          <w:szCs w:val="22"/>
        </w:rPr>
      </w:pPr>
      <w:r w:rsidRPr="008D7F04">
        <w:rPr>
          <w:rFonts w:ascii="Arial" w:hAnsi="Arial" w:cs="Arial"/>
          <w:b/>
          <w:sz w:val="22"/>
          <w:szCs w:val="22"/>
        </w:rPr>
        <w:t>Offer in Compromise of Liability Incurred</w:t>
      </w:r>
      <w:r w:rsidRPr="008D7F04">
        <w:rPr>
          <w:rFonts w:ascii="Arial" w:hAnsi="Arial" w:cs="Arial"/>
          <w:b/>
          <w:sz w:val="22"/>
          <w:szCs w:val="22"/>
        </w:rPr>
        <w:t xml:space="preserve"> </w:t>
      </w:r>
      <w:r w:rsidRPr="008D7F04" w:rsidR="00BA4C42">
        <w:rPr>
          <w:rFonts w:ascii="Arial" w:hAnsi="Arial" w:cs="Arial"/>
          <w:b/>
          <w:sz w:val="22"/>
          <w:szCs w:val="22"/>
        </w:rPr>
        <w:t>u</w:t>
      </w:r>
      <w:r w:rsidRPr="008D7F04">
        <w:rPr>
          <w:rFonts w:ascii="Arial" w:hAnsi="Arial" w:cs="Arial"/>
          <w:b/>
          <w:sz w:val="22"/>
          <w:szCs w:val="22"/>
        </w:rPr>
        <w:t xml:space="preserve">nder </w:t>
      </w:r>
      <w:r w:rsidRPr="008D7F04" w:rsidR="00BA4C42">
        <w:rPr>
          <w:rFonts w:ascii="Arial" w:hAnsi="Arial" w:cs="Arial"/>
          <w:b/>
          <w:sz w:val="22"/>
          <w:szCs w:val="22"/>
        </w:rPr>
        <w:t xml:space="preserve">the </w:t>
      </w:r>
      <w:r w:rsidRPr="008D7F04">
        <w:rPr>
          <w:rFonts w:ascii="Arial" w:hAnsi="Arial" w:cs="Arial"/>
          <w:b/>
          <w:sz w:val="22"/>
          <w:szCs w:val="22"/>
        </w:rPr>
        <w:t xml:space="preserve">Federal Alcohol Administration Act. </w:t>
      </w:r>
    </w:p>
    <w:p w:rsidR="00B520D7" w:rsidRPr="00213B57" w:rsidP="00B520D7" w14:paraId="47C7FD33" w14:textId="77777777">
      <w:pPr>
        <w:suppressAutoHyphens/>
        <w:rPr>
          <w:rFonts w:ascii="Arial" w:hAnsi="Arial" w:cs="Arial"/>
          <w:bCs/>
          <w:sz w:val="36"/>
          <w:szCs w:val="36"/>
        </w:rPr>
      </w:pPr>
    </w:p>
    <w:p w:rsidR="00B520D7" w:rsidRPr="008D7F04" w:rsidP="00B520D7" w14:paraId="5E49578E" w14:textId="77777777">
      <w:pPr>
        <w:ind w:right="-324"/>
        <w:rPr>
          <w:rFonts w:ascii="Arial" w:hAnsi="Arial" w:cs="Arial"/>
          <w:b/>
          <w:sz w:val="22"/>
          <w:szCs w:val="22"/>
          <w:u w:val="single"/>
        </w:rPr>
      </w:pPr>
      <w:bookmarkStart w:id="0" w:name="_Hlk189212413"/>
      <w:r w:rsidRPr="008D7F04">
        <w:rPr>
          <w:rFonts w:ascii="Arial" w:hAnsi="Arial" w:cs="Arial"/>
          <w:b/>
          <w:sz w:val="22"/>
          <w:szCs w:val="22"/>
          <w:u w:val="single"/>
        </w:rPr>
        <w:t xml:space="preserve">Changes Since Last Approval </w:t>
      </w:r>
    </w:p>
    <w:p w:rsidR="00B520D7" w:rsidRPr="008D7F04" w:rsidP="00B520D7" w14:paraId="3EB0CE1C" w14:textId="77777777">
      <w:pPr>
        <w:ind w:right="-324"/>
        <w:rPr>
          <w:rFonts w:ascii="Arial" w:hAnsi="Arial" w:cs="Arial"/>
          <w:sz w:val="22"/>
          <w:szCs w:val="22"/>
        </w:rPr>
      </w:pPr>
    </w:p>
    <w:p w:rsidR="00B520D7" w:rsidRPr="008D7F04" w:rsidP="00625BB9" w14:paraId="1FDFD4C0" w14:textId="2B1AC788">
      <w:pPr>
        <w:ind w:left="360" w:right="-331"/>
        <w:rPr>
          <w:rFonts w:ascii="Arial" w:hAnsi="Arial" w:cs="Arial"/>
          <w:sz w:val="22"/>
          <w:szCs w:val="22"/>
        </w:rPr>
      </w:pPr>
      <w:r w:rsidRPr="008D7F04">
        <w:rPr>
          <w:rFonts w:ascii="Arial" w:hAnsi="Arial" w:cs="Arial"/>
          <w:sz w:val="22"/>
          <w:szCs w:val="22"/>
        </w:rPr>
        <w:t xml:space="preserve">In this Supporting Statement, TTB is updating the information provided in Questions 8, 12, 13, 14, and 15 to reflect, respectively, the latest 60-day notice publication information, </w:t>
      </w:r>
      <w:r w:rsidR="004A193D">
        <w:rPr>
          <w:rFonts w:ascii="Arial" w:hAnsi="Arial" w:cs="Arial"/>
          <w:sz w:val="22"/>
          <w:szCs w:val="22"/>
        </w:rPr>
        <w:t xml:space="preserve">estimated </w:t>
      </w:r>
      <w:r w:rsidRPr="008D7F04">
        <w:rPr>
          <w:rFonts w:ascii="Arial" w:hAnsi="Arial" w:cs="Arial"/>
          <w:sz w:val="22"/>
          <w:szCs w:val="22"/>
        </w:rPr>
        <w:t xml:space="preserve">respondent burden and labor costs, respondent non-labor costs, Federal Government costs, and the adjustments associated with this information collection request. </w:t>
      </w:r>
    </w:p>
    <w:bookmarkEnd w:id="0"/>
    <w:p w:rsidR="00B520D7" w:rsidRPr="008D7F04" w:rsidP="00B520D7" w14:paraId="68F195A6" w14:textId="77777777">
      <w:pPr>
        <w:suppressAutoHyphens/>
        <w:rPr>
          <w:rFonts w:ascii="Arial" w:hAnsi="Arial" w:cs="Arial"/>
          <w:bCs/>
          <w:sz w:val="28"/>
          <w:szCs w:val="28"/>
        </w:rPr>
      </w:pPr>
    </w:p>
    <w:p w:rsidR="00AF1157" w:rsidRPr="008D7F04" w:rsidP="00D73D2D" w14:paraId="5CD8394F" w14:textId="77777777">
      <w:pPr>
        <w:suppressAutoHyphens/>
        <w:rPr>
          <w:rFonts w:ascii="Arial" w:hAnsi="Arial" w:cs="Arial"/>
          <w:b/>
          <w:sz w:val="22"/>
          <w:szCs w:val="22"/>
          <w:u w:val="single"/>
        </w:rPr>
      </w:pPr>
      <w:r w:rsidRPr="008D7F04">
        <w:rPr>
          <w:rFonts w:ascii="Arial" w:hAnsi="Arial" w:cs="Arial"/>
          <w:b/>
          <w:sz w:val="22"/>
          <w:szCs w:val="22"/>
          <w:u w:val="single"/>
        </w:rPr>
        <w:t>A.  J</w:t>
      </w:r>
      <w:r w:rsidRPr="008D7F04" w:rsidR="00BD3333">
        <w:rPr>
          <w:rFonts w:ascii="Arial" w:hAnsi="Arial" w:cs="Arial"/>
          <w:b/>
          <w:sz w:val="22"/>
          <w:szCs w:val="22"/>
          <w:u w:val="single"/>
        </w:rPr>
        <w:t>ustification</w:t>
      </w:r>
      <w:r w:rsidRPr="008D7F04" w:rsidR="00D73D2D">
        <w:rPr>
          <w:rFonts w:ascii="Arial" w:hAnsi="Arial" w:cs="Arial"/>
          <w:b/>
          <w:sz w:val="22"/>
          <w:szCs w:val="22"/>
          <w:u w:val="single"/>
        </w:rPr>
        <w:t xml:space="preserve"> </w:t>
      </w:r>
    </w:p>
    <w:p w:rsidR="00AF1157" w:rsidRPr="008D7F04" w:rsidP="00D73D2D" w14:paraId="6E1B640A" w14:textId="77777777">
      <w:pPr>
        <w:suppressAutoHyphens/>
        <w:rPr>
          <w:rFonts w:ascii="Arial" w:hAnsi="Arial" w:cs="Arial"/>
          <w:sz w:val="22"/>
          <w:szCs w:val="22"/>
        </w:rPr>
      </w:pPr>
    </w:p>
    <w:p w:rsidR="00AF1157" w:rsidRPr="008D7F04" w:rsidP="00D73D2D" w14:paraId="2BD9B365" w14:textId="77777777">
      <w:pPr>
        <w:tabs>
          <w:tab w:val="left" w:pos="360"/>
        </w:tabs>
        <w:suppressAutoHyphens/>
        <w:rPr>
          <w:rFonts w:ascii="Arial" w:hAnsi="Arial" w:cs="Arial"/>
          <w:i/>
          <w:sz w:val="22"/>
          <w:szCs w:val="22"/>
        </w:rPr>
      </w:pPr>
      <w:r w:rsidRPr="008D7F04">
        <w:rPr>
          <w:rFonts w:ascii="Arial" w:hAnsi="Arial" w:cs="Arial"/>
          <w:i/>
          <w:sz w:val="22"/>
          <w:szCs w:val="22"/>
        </w:rPr>
        <w:t xml:space="preserve">1.  </w:t>
      </w:r>
      <w:r w:rsidRPr="008D7F04">
        <w:rPr>
          <w:rFonts w:ascii="Arial" w:hAnsi="Arial" w:cs="Arial"/>
          <w:i/>
          <w:sz w:val="22"/>
          <w:szCs w:val="22"/>
        </w:rPr>
        <w:t>What are the circumstances that make this collection of information necessary</w:t>
      </w:r>
      <w:r w:rsidRPr="008D7F04">
        <w:rPr>
          <w:rFonts w:ascii="Arial" w:hAnsi="Arial" w:cs="Arial"/>
          <w:i/>
          <w:sz w:val="22"/>
          <w:szCs w:val="22"/>
        </w:rPr>
        <w:t>,</w:t>
      </w:r>
      <w:r w:rsidRPr="008D7F04">
        <w:rPr>
          <w:rFonts w:ascii="Arial" w:hAnsi="Arial" w:cs="Arial"/>
          <w:i/>
          <w:sz w:val="22"/>
          <w:szCs w:val="22"/>
        </w:rPr>
        <w:t xml:space="preserve"> and what legal or administrative requirements necessitate the collection?</w:t>
      </w:r>
      <w:r w:rsidRPr="008D7F04" w:rsidR="005E4F99">
        <w:rPr>
          <w:rFonts w:ascii="Arial" w:hAnsi="Arial" w:cs="Arial"/>
          <w:i/>
          <w:sz w:val="22"/>
          <w:szCs w:val="22"/>
        </w:rPr>
        <w:t xml:space="preserve">  Also </w:t>
      </w:r>
      <w:r w:rsidRPr="008D7F04">
        <w:rPr>
          <w:rFonts w:ascii="Arial" w:hAnsi="Arial" w:cs="Arial"/>
          <w:i/>
          <w:sz w:val="22"/>
          <w:szCs w:val="22"/>
        </w:rPr>
        <w:t xml:space="preserve">align </w:t>
      </w:r>
      <w:r w:rsidRPr="008D7F04" w:rsidR="005E4F99">
        <w:rPr>
          <w:rFonts w:ascii="Arial" w:hAnsi="Arial" w:cs="Arial"/>
          <w:i/>
          <w:sz w:val="22"/>
          <w:szCs w:val="22"/>
        </w:rPr>
        <w:t xml:space="preserve">the information collection to </w:t>
      </w:r>
      <w:r w:rsidRPr="008D7F04" w:rsidR="00074898">
        <w:rPr>
          <w:rFonts w:ascii="Arial" w:hAnsi="Arial" w:cs="Arial"/>
          <w:i/>
          <w:sz w:val="22"/>
          <w:szCs w:val="22"/>
        </w:rPr>
        <w:t>TTB</w:t>
      </w:r>
      <w:r w:rsidRPr="008D7F04">
        <w:rPr>
          <w:rFonts w:ascii="Arial" w:hAnsi="Arial" w:cs="Arial"/>
          <w:i/>
          <w:sz w:val="22"/>
          <w:szCs w:val="22"/>
        </w:rPr>
        <w:t>’s</w:t>
      </w:r>
      <w:r w:rsidRPr="008D7F04" w:rsidR="00074898">
        <w:rPr>
          <w:rFonts w:ascii="Arial" w:hAnsi="Arial" w:cs="Arial"/>
          <w:i/>
          <w:sz w:val="22"/>
          <w:szCs w:val="22"/>
        </w:rPr>
        <w:t xml:space="preserve"> </w:t>
      </w:r>
      <w:r w:rsidRPr="008D7F04" w:rsidR="005E4F99">
        <w:rPr>
          <w:rFonts w:ascii="Arial" w:hAnsi="Arial" w:cs="Arial"/>
          <w:i/>
          <w:sz w:val="22"/>
          <w:szCs w:val="22"/>
        </w:rPr>
        <w:t>Line of Business/Sub-function and IT Investment, if one is used.</w:t>
      </w:r>
      <w:r w:rsidRPr="008D7F04">
        <w:rPr>
          <w:rFonts w:ascii="Arial" w:hAnsi="Arial" w:cs="Arial"/>
          <w:i/>
          <w:sz w:val="22"/>
          <w:szCs w:val="22"/>
        </w:rPr>
        <w:t xml:space="preserve"> </w:t>
      </w:r>
    </w:p>
    <w:p w:rsidR="00AF1157" w:rsidRPr="008D7F04" w:rsidP="00D73D2D" w14:paraId="59C3E290" w14:textId="77777777">
      <w:pPr>
        <w:ind w:left="576" w:hanging="576"/>
        <w:rPr>
          <w:rFonts w:ascii="Arial" w:hAnsi="Arial" w:cs="Arial"/>
          <w:sz w:val="22"/>
          <w:szCs w:val="22"/>
        </w:rPr>
      </w:pPr>
    </w:p>
    <w:p w:rsidR="00795A75" w:rsidRPr="008D7F04" w:rsidP="009559A8" w14:paraId="23EAC016" w14:textId="44745632">
      <w:pPr>
        <w:ind w:left="360"/>
        <w:rPr>
          <w:rFonts w:ascii="Arial" w:hAnsi="Arial" w:cs="Arial"/>
          <w:sz w:val="22"/>
          <w:szCs w:val="22"/>
        </w:rPr>
      </w:pPr>
      <w:r w:rsidRPr="008D7F04">
        <w:rPr>
          <w:rFonts w:ascii="Arial" w:hAnsi="Arial" w:cs="Arial"/>
          <w:sz w:val="22"/>
          <w:szCs w:val="22"/>
        </w:rPr>
        <w:t>To prevent abuses within the alcohol beverage industry and protect the public, t</w:t>
      </w:r>
      <w:r w:rsidRPr="008D7F04">
        <w:rPr>
          <w:rFonts w:ascii="Arial" w:hAnsi="Arial" w:cs="Arial"/>
          <w:sz w:val="22"/>
          <w:szCs w:val="22"/>
        </w:rPr>
        <w:t xml:space="preserve">he Federal Alcohol Administration Act (FAA Act, 27 U.S.C </w:t>
      </w:r>
      <w:r w:rsidRPr="008D7F04">
        <w:rPr>
          <w:rFonts w:ascii="Arial" w:hAnsi="Arial" w:cs="Arial"/>
          <w:sz w:val="22"/>
          <w:szCs w:val="22"/>
        </w:rPr>
        <w:t xml:space="preserve">201 </w:t>
      </w:r>
      <w:r w:rsidRPr="008D7F04">
        <w:rPr>
          <w:rFonts w:ascii="Arial" w:hAnsi="Arial" w:cs="Arial"/>
          <w:i/>
          <w:sz w:val="22"/>
          <w:szCs w:val="22"/>
        </w:rPr>
        <w:t>et seq.</w:t>
      </w:r>
      <w:r w:rsidRPr="008D7F04">
        <w:rPr>
          <w:rFonts w:ascii="Arial" w:hAnsi="Arial" w:cs="Arial"/>
          <w:sz w:val="22"/>
          <w:szCs w:val="22"/>
        </w:rPr>
        <w:t>) regulates interstate and foreign commerce in distilled spirits, wine, and malt beverages</w:t>
      </w:r>
      <w:r w:rsidRPr="008D7F04" w:rsidR="002550BD">
        <w:rPr>
          <w:rFonts w:ascii="Arial" w:hAnsi="Arial" w:cs="Arial"/>
          <w:sz w:val="22"/>
          <w:szCs w:val="22"/>
        </w:rPr>
        <w:t xml:space="preserve"> (hereafter “alcohol beverages”)</w:t>
      </w:r>
      <w:r w:rsidRPr="008D7F04">
        <w:rPr>
          <w:rFonts w:ascii="Arial" w:hAnsi="Arial" w:cs="Arial"/>
          <w:sz w:val="22"/>
          <w:szCs w:val="22"/>
        </w:rPr>
        <w:t xml:space="preserve">.  </w:t>
      </w:r>
      <w:r w:rsidRPr="008D7F04" w:rsidR="002550BD">
        <w:rPr>
          <w:rFonts w:ascii="Arial" w:hAnsi="Arial" w:cs="Arial"/>
          <w:sz w:val="22"/>
          <w:szCs w:val="22"/>
        </w:rPr>
        <w:t xml:space="preserve">Specifically, </w:t>
      </w:r>
      <w:r w:rsidRPr="008D7F04">
        <w:rPr>
          <w:rFonts w:ascii="Arial" w:hAnsi="Arial" w:cs="Arial"/>
          <w:sz w:val="22"/>
          <w:szCs w:val="22"/>
        </w:rPr>
        <w:t xml:space="preserve">sections 203 and 204 of the FAA Act </w:t>
      </w:r>
      <w:r w:rsidRPr="008D7F04">
        <w:rPr>
          <w:rFonts w:ascii="Arial" w:hAnsi="Arial" w:cs="Arial"/>
          <w:sz w:val="22"/>
          <w:szCs w:val="22"/>
        </w:rPr>
        <w:t xml:space="preserve">authorize the Secretary of the Treasury </w:t>
      </w:r>
      <w:r w:rsidRPr="008D7F04" w:rsidR="002550BD">
        <w:rPr>
          <w:rFonts w:ascii="Arial" w:hAnsi="Arial" w:cs="Arial"/>
          <w:sz w:val="22"/>
          <w:szCs w:val="22"/>
        </w:rPr>
        <w:t xml:space="preserve">(the Secretary) </w:t>
      </w:r>
      <w:r w:rsidRPr="008D7F04">
        <w:rPr>
          <w:rFonts w:ascii="Arial" w:hAnsi="Arial" w:cs="Arial"/>
          <w:sz w:val="22"/>
          <w:szCs w:val="22"/>
        </w:rPr>
        <w:t xml:space="preserve">to </w:t>
      </w:r>
      <w:r w:rsidRPr="008D7F04" w:rsidR="00F15270">
        <w:rPr>
          <w:rFonts w:ascii="Arial" w:hAnsi="Arial" w:cs="Arial"/>
          <w:sz w:val="22"/>
          <w:szCs w:val="22"/>
        </w:rPr>
        <w:t xml:space="preserve">require </w:t>
      </w:r>
      <w:r w:rsidRPr="008D7F04">
        <w:rPr>
          <w:rFonts w:ascii="Arial" w:hAnsi="Arial" w:cs="Arial"/>
          <w:sz w:val="22"/>
          <w:szCs w:val="22"/>
        </w:rPr>
        <w:t xml:space="preserve">importers and wholesalers of </w:t>
      </w:r>
      <w:r w:rsidRPr="008D7F04" w:rsidR="002973B4">
        <w:rPr>
          <w:rFonts w:ascii="Arial" w:hAnsi="Arial" w:cs="Arial"/>
          <w:sz w:val="22"/>
          <w:szCs w:val="22"/>
        </w:rPr>
        <w:t xml:space="preserve">alcohol beverages </w:t>
      </w:r>
      <w:r w:rsidRPr="008D7F04">
        <w:rPr>
          <w:rFonts w:ascii="Arial" w:hAnsi="Arial" w:cs="Arial"/>
          <w:sz w:val="22"/>
          <w:szCs w:val="22"/>
        </w:rPr>
        <w:t xml:space="preserve">and </w:t>
      </w:r>
      <w:r w:rsidRPr="008D7F04" w:rsidR="00F15270">
        <w:rPr>
          <w:rFonts w:ascii="Arial" w:hAnsi="Arial" w:cs="Arial"/>
          <w:sz w:val="22"/>
          <w:szCs w:val="22"/>
        </w:rPr>
        <w:t>t</w:t>
      </w:r>
      <w:r w:rsidRPr="008D7F04">
        <w:rPr>
          <w:rFonts w:ascii="Arial" w:hAnsi="Arial" w:cs="Arial"/>
          <w:sz w:val="22"/>
          <w:szCs w:val="22"/>
        </w:rPr>
        <w:t>hose who produce, blend, bottle, rectify, or warehouse distilled spirits or wine</w:t>
      </w:r>
      <w:r w:rsidRPr="008D7F04" w:rsidR="00F15270">
        <w:rPr>
          <w:rFonts w:ascii="Arial" w:hAnsi="Arial" w:cs="Arial"/>
          <w:sz w:val="22"/>
          <w:szCs w:val="22"/>
        </w:rPr>
        <w:t xml:space="preserve"> to obtain permits to engage in </w:t>
      </w:r>
      <w:r w:rsidR="004A193D">
        <w:rPr>
          <w:rFonts w:ascii="Arial" w:hAnsi="Arial" w:cs="Arial"/>
          <w:sz w:val="22"/>
          <w:szCs w:val="22"/>
        </w:rPr>
        <w:t xml:space="preserve">such </w:t>
      </w:r>
      <w:r w:rsidRPr="008D7F04" w:rsidR="00F15270">
        <w:rPr>
          <w:rFonts w:ascii="Arial" w:hAnsi="Arial" w:cs="Arial"/>
          <w:sz w:val="22"/>
          <w:szCs w:val="22"/>
        </w:rPr>
        <w:t>business</w:t>
      </w:r>
      <w:r w:rsidR="004A193D">
        <w:rPr>
          <w:rFonts w:ascii="Arial" w:hAnsi="Arial" w:cs="Arial"/>
          <w:sz w:val="22"/>
          <w:szCs w:val="22"/>
        </w:rPr>
        <w:t>es</w:t>
      </w:r>
      <w:r w:rsidRPr="008D7F04" w:rsidR="00F15270">
        <w:rPr>
          <w:rFonts w:ascii="Arial" w:hAnsi="Arial" w:cs="Arial"/>
          <w:sz w:val="22"/>
          <w:szCs w:val="22"/>
        </w:rPr>
        <w:t xml:space="preserve">.  Section 205 of the </w:t>
      </w:r>
      <w:r w:rsidRPr="008D7F04" w:rsidR="002550BD">
        <w:rPr>
          <w:rFonts w:ascii="Arial" w:hAnsi="Arial" w:cs="Arial"/>
          <w:sz w:val="22"/>
          <w:szCs w:val="22"/>
        </w:rPr>
        <w:t xml:space="preserve">FAA </w:t>
      </w:r>
      <w:r w:rsidRPr="008D7F04" w:rsidR="00F15270">
        <w:rPr>
          <w:rFonts w:ascii="Arial" w:hAnsi="Arial" w:cs="Arial"/>
          <w:sz w:val="22"/>
          <w:szCs w:val="22"/>
        </w:rPr>
        <w:t>Act</w:t>
      </w:r>
      <w:r w:rsidRPr="008D7F04">
        <w:rPr>
          <w:rFonts w:ascii="Arial" w:hAnsi="Arial" w:cs="Arial"/>
          <w:sz w:val="22"/>
          <w:szCs w:val="22"/>
        </w:rPr>
        <w:t xml:space="preserve"> prohibits certain unfair trade practices and deceptive or misleading labeling and advertising of alcohol beverages</w:t>
      </w:r>
      <w:r w:rsidRPr="008D7F04" w:rsidR="00F15270">
        <w:rPr>
          <w:rFonts w:ascii="Arial" w:hAnsi="Arial" w:cs="Arial"/>
          <w:sz w:val="22"/>
          <w:szCs w:val="22"/>
        </w:rPr>
        <w:t xml:space="preserve">, while </w:t>
      </w:r>
      <w:r w:rsidRPr="008D7F04" w:rsidR="004010C7">
        <w:rPr>
          <w:rFonts w:ascii="Arial" w:hAnsi="Arial" w:cs="Arial"/>
          <w:sz w:val="22"/>
          <w:szCs w:val="22"/>
        </w:rPr>
        <w:t>s</w:t>
      </w:r>
      <w:r w:rsidRPr="008D7F04">
        <w:rPr>
          <w:rFonts w:ascii="Arial" w:hAnsi="Arial" w:cs="Arial"/>
          <w:sz w:val="22"/>
          <w:szCs w:val="22"/>
        </w:rPr>
        <w:t>ections 206 and 20</w:t>
      </w:r>
      <w:r w:rsidRPr="008D7F04" w:rsidR="00B76344">
        <w:rPr>
          <w:rFonts w:ascii="Arial" w:hAnsi="Arial" w:cs="Arial"/>
          <w:sz w:val="22"/>
          <w:szCs w:val="22"/>
        </w:rPr>
        <w:t>8</w:t>
      </w:r>
      <w:r w:rsidRPr="008D7F04">
        <w:rPr>
          <w:rFonts w:ascii="Arial" w:hAnsi="Arial" w:cs="Arial"/>
          <w:sz w:val="22"/>
          <w:szCs w:val="22"/>
        </w:rPr>
        <w:t xml:space="preserve"> regulate, respectively, bulk sales of distilled spirits and interlocking directorates within that industry. </w:t>
      </w:r>
      <w:r w:rsidRPr="008D7F04" w:rsidR="00B76344">
        <w:rPr>
          <w:rFonts w:ascii="Arial" w:hAnsi="Arial" w:cs="Arial"/>
          <w:sz w:val="22"/>
          <w:szCs w:val="22"/>
        </w:rPr>
        <w:t xml:space="preserve"> </w:t>
      </w:r>
      <w:r w:rsidRPr="008D7F04" w:rsidR="00BA4C42">
        <w:rPr>
          <w:rFonts w:ascii="Arial" w:hAnsi="Arial" w:cs="Arial"/>
          <w:sz w:val="22"/>
          <w:szCs w:val="22"/>
        </w:rPr>
        <w:t xml:space="preserve">Section 207 specifies </w:t>
      </w:r>
      <w:r w:rsidRPr="008D7F04" w:rsidR="00B76344">
        <w:rPr>
          <w:rFonts w:ascii="Arial" w:hAnsi="Arial" w:cs="Arial"/>
          <w:sz w:val="22"/>
          <w:szCs w:val="22"/>
        </w:rPr>
        <w:t>civil and criminal penalties</w:t>
      </w:r>
      <w:r w:rsidRPr="008D7F04" w:rsidR="00BA4C42">
        <w:rPr>
          <w:rFonts w:ascii="Arial" w:hAnsi="Arial" w:cs="Arial"/>
          <w:sz w:val="22"/>
          <w:szCs w:val="22"/>
        </w:rPr>
        <w:t xml:space="preserve"> for violations of the FAA Act</w:t>
      </w:r>
      <w:r w:rsidRPr="008D7F04" w:rsidR="004010C7">
        <w:rPr>
          <w:rFonts w:ascii="Arial" w:hAnsi="Arial" w:cs="Arial"/>
          <w:sz w:val="22"/>
          <w:szCs w:val="22"/>
        </w:rPr>
        <w:t xml:space="preserve">, but </w:t>
      </w:r>
      <w:r w:rsidRPr="008D7F04" w:rsidR="00BA4C42">
        <w:rPr>
          <w:rFonts w:ascii="Arial" w:hAnsi="Arial" w:cs="Arial"/>
          <w:sz w:val="22"/>
          <w:szCs w:val="22"/>
        </w:rPr>
        <w:t xml:space="preserve">that section </w:t>
      </w:r>
      <w:r w:rsidRPr="008D7F04" w:rsidR="002973B4">
        <w:rPr>
          <w:rFonts w:ascii="Arial" w:hAnsi="Arial" w:cs="Arial"/>
          <w:sz w:val="22"/>
          <w:szCs w:val="22"/>
        </w:rPr>
        <w:t xml:space="preserve">also </w:t>
      </w:r>
      <w:r w:rsidRPr="008D7F04" w:rsidR="00B76344">
        <w:rPr>
          <w:rFonts w:ascii="Arial" w:hAnsi="Arial" w:cs="Arial"/>
          <w:sz w:val="22"/>
          <w:szCs w:val="22"/>
        </w:rPr>
        <w:t xml:space="preserve">authorizes the Secretary to accept </w:t>
      </w:r>
      <w:r w:rsidR="004A193D">
        <w:rPr>
          <w:rFonts w:ascii="Arial" w:hAnsi="Arial" w:cs="Arial"/>
          <w:sz w:val="22"/>
          <w:szCs w:val="22"/>
        </w:rPr>
        <w:t xml:space="preserve">the </w:t>
      </w:r>
      <w:r w:rsidRPr="008D7F04" w:rsidR="00B76344">
        <w:rPr>
          <w:rFonts w:ascii="Arial" w:hAnsi="Arial" w:cs="Arial"/>
          <w:sz w:val="22"/>
          <w:szCs w:val="22"/>
        </w:rPr>
        <w:t>compromise of liabilities arising from violations</w:t>
      </w:r>
      <w:r w:rsidR="004A193D">
        <w:rPr>
          <w:rFonts w:ascii="Arial" w:hAnsi="Arial" w:cs="Arial"/>
          <w:sz w:val="22"/>
          <w:szCs w:val="22"/>
        </w:rPr>
        <w:t xml:space="preserve"> of the Act</w:t>
      </w:r>
      <w:r w:rsidRPr="008D7F04" w:rsidR="002973B4">
        <w:rPr>
          <w:rFonts w:ascii="Arial" w:hAnsi="Arial" w:cs="Arial"/>
          <w:sz w:val="22"/>
          <w:szCs w:val="22"/>
        </w:rPr>
        <w:t>.</w:t>
      </w:r>
      <w:r w:rsidRPr="008D7F04" w:rsidR="00B76344">
        <w:rPr>
          <w:rFonts w:ascii="Arial" w:hAnsi="Arial" w:cs="Arial"/>
          <w:sz w:val="22"/>
          <w:szCs w:val="22"/>
        </w:rPr>
        <w:t xml:space="preserve"> </w:t>
      </w:r>
    </w:p>
    <w:p w:rsidR="00795A75" w:rsidRPr="008D7F04" w:rsidP="00795A75" w14:paraId="13C205CB" w14:textId="77777777">
      <w:pPr>
        <w:ind w:left="360"/>
        <w:rPr>
          <w:rFonts w:ascii="Arial" w:hAnsi="Arial" w:cs="Arial"/>
          <w:sz w:val="22"/>
          <w:szCs w:val="22"/>
        </w:rPr>
      </w:pPr>
    </w:p>
    <w:p w:rsidR="002973B4" w:rsidRPr="008D7F04" w:rsidP="00795A75" w14:paraId="18653B1E" w14:textId="16D8EEB1">
      <w:pPr>
        <w:ind w:left="360"/>
        <w:rPr>
          <w:rFonts w:ascii="Arial" w:hAnsi="Arial" w:cs="Arial"/>
          <w:sz w:val="22"/>
          <w:szCs w:val="22"/>
        </w:rPr>
      </w:pPr>
      <w:r w:rsidRPr="008D7F04">
        <w:rPr>
          <w:rFonts w:ascii="Arial" w:hAnsi="Arial" w:cs="Arial"/>
          <w:sz w:val="22"/>
          <w:szCs w:val="22"/>
        </w:rPr>
        <w:t>The Alcohol and Tobacco Tax and Trade Bureau (TTB) administers the FAA Act pursuant to section 1111(d) of the Homeland Security Act of 2002, as codified at 6 U.S.C. 531(d).  In addition, the Secretary has delegated certain FAA Act administrative and enforcement authorities to TTB through Treasury Order 120–01.</w:t>
      </w:r>
      <w:r w:rsidRPr="008D7F04" w:rsidR="00DB7CEB">
        <w:rPr>
          <w:rFonts w:ascii="Arial" w:hAnsi="Arial" w:cs="Arial"/>
          <w:sz w:val="22"/>
          <w:szCs w:val="22"/>
        </w:rPr>
        <w:t xml:space="preserve"> </w:t>
      </w:r>
    </w:p>
    <w:p w:rsidR="002973B4" w:rsidRPr="008D7F04" w:rsidP="00795A75" w14:paraId="70827447" w14:textId="77777777">
      <w:pPr>
        <w:ind w:left="360"/>
        <w:rPr>
          <w:rFonts w:ascii="Arial" w:hAnsi="Arial" w:cs="Arial"/>
          <w:sz w:val="22"/>
          <w:szCs w:val="22"/>
        </w:rPr>
      </w:pPr>
    </w:p>
    <w:p w:rsidR="004010C7" w:rsidRPr="008D7F04" w:rsidP="00FD756F" w14:paraId="4589869F" w14:textId="2E2D3756">
      <w:pPr>
        <w:ind w:left="360"/>
        <w:rPr>
          <w:rFonts w:ascii="Arial" w:hAnsi="Arial" w:cs="Arial"/>
          <w:sz w:val="22"/>
          <w:szCs w:val="22"/>
        </w:rPr>
      </w:pPr>
      <w:r w:rsidRPr="008D7F04">
        <w:rPr>
          <w:rFonts w:ascii="Arial" w:hAnsi="Arial" w:cs="Arial"/>
          <w:sz w:val="22"/>
          <w:szCs w:val="22"/>
        </w:rPr>
        <w:t xml:space="preserve">Under </w:t>
      </w:r>
      <w:r w:rsidRPr="008D7F04" w:rsidR="00790EEF">
        <w:rPr>
          <w:rFonts w:ascii="Arial" w:hAnsi="Arial" w:cs="Arial"/>
          <w:sz w:val="22"/>
          <w:szCs w:val="22"/>
        </w:rPr>
        <w:t xml:space="preserve">the authority of section 207 of the FAA Act, </w:t>
      </w:r>
      <w:r w:rsidRPr="008D7F04">
        <w:rPr>
          <w:rFonts w:ascii="Arial" w:hAnsi="Arial" w:cs="Arial"/>
          <w:sz w:val="22"/>
          <w:szCs w:val="22"/>
        </w:rPr>
        <w:t>the TTB regulations at 27 CFR 70.483 allow a proponent to submit a monetary offer in compromise to resolve alleged FAA Act violations using form TTB F 5640.2</w:t>
      </w:r>
      <w:r w:rsidRPr="008D7F04" w:rsidR="00FD756F">
        <w:rPr>
          <w:rFonts w:ascii="Arial" w:hAnsi="Arial" w:cs="Arial"/>
          <w:sz w:val="22"/>
          <w:szCs w:val="22"/>
        </w:rPr>
        <w:t>, Offer in Compromise of Liability Incurred Under the Federal Alcohol Administration Act</w:t>
      </w:r>
      <w:r w:rsidRPr="008D7F04" w:rsidR="00840B72">
        <w:rPr>
          <w:rFonts w:ascii="Arial" w:hAnsi="Arial" w:cs="Arial"/>
          <w:sz w:val="22"/>
          <w:szCs w:val="22"/>
        </w:rPr>
        <w:t>, a</w:t>
      </w:r>
      <w:r w:rsidRPr="008D7F04" w:rsidR="00FD756F">
        <w:rPr>
          <w:rFonts w:ascii="Arial" w:hAnsi="Arial" w:cs="Arial"/>
          <w:sz w:val="22"/>
          <w:szCs w:val="22"/>
        </w:rPr>
        <w:t xml:space="preserve">s Amended.  </w:t>
      </w:r>
      <w:r w:rsidRPr="008D7F04">
        <w:rPr>
          <w:rFonts w:ascii="Arial" w:hAnsi="Arial" w:cs="Arial"/>
          <w:sz w:val="22"/>
          <w:szCs w:val="22"/>
        </w:rPr>
        <w:t xml:space="preserve">That form identifies the </w:t>
      </w:r>
      <w:r w:rsidRPr="008D7F04" w:rsidR="00B520D7">
        <w:rPr>
          <w:rFonts w:ascii="Arial" w:hAnsi="Arial" w:cs="Arial"/>
          <w:sz w:val="22"/>
          <w:szCs w:val="22"/>
        </w:rPr>
        <w:t xml:space="preserve">alcohol beverage industry </w:t>
      </w:r>
      <w:r w:rsidRPr="008D7F04">
        <w:rPr>
          <w:rFonts w:ascii="Arial" w:hAnsi="Arial" w:cs="Arial"/>
          <w:sz w:val="22"/>
          <w:szCs w:val="22"/>
        </w:rPr>
        <w:t xml:space="preserve">proponent, the alleged violation(s) and their cause(s), </w:t>
      </w:r>
      <w:r w:rsidRPr="008D7F04" w:rsidR="00B520D7">
        <w:rPr>
          <w:rFonts w:ascii="Arial" w:hAnsi="Arial" w:cs="Arial"/>
          <w:sz w:val="22"/>
          <w:szCs w:val="22"/>
        </w:rPr>
        <w:t xml:space="preserve">the </w:t>
      </w:r>
      <w:r w:rsidRPr="008D7F04">
        <w:rPr>
          <w:rFonts w:ascii="Arial" w:hAnsi="Arial" w:cs="Arial"/>
          <w:sz w:val="22"/>
          <w:szCs w:val="22"/>
        </w:rPr>
        <w:t xml:space="preserve">amount of the </w:t>
      </w:r>
      <w:r w:rsidRPr="008D7F04" w:rsidR="00B520D7">
        <w:rPr>
          <w:rFonts w:ascii="Arial" w:hAnsi="Arial" w:cs="Arial"/>
          <w:sz w:val="22"/>
          <w:szCs w:val="22"/>
        </w:rPr>
        <w:t xml:space="preserve">offer in </w:t>
      </w:r>
      <w:r w:rsidRPr="008D7F04">
        <w:rPr>
          <w:rFonts w:ascii="Arial" w:hAnsi="Arial" w:cs="Arial"/>
          <w:sz w:val="22"/>
          <w:szCs w:val="22"/>
        </w:rPr>
        <w:t>compromise, and the reason(s) why TTB should accept the offer.  TTB uses th</w:t>
      </w:r>
      <w:r w:rsidRPr="008D7F04" w:rsidR="002973B4">
        <w:rPr>
          <w:rFonts w:ascii="Arial" w:hAnsi="Arial" w:cs="Arial"/>
          <w:sz w:val="22"/>
          <w:szCs w:val="22"/>
        </w:rPr>
        <w:t xml:space="preserve">at </w:t>
      </w:r>
      <w:r w:rsidRPr="008D7F04">
        <w:rPr>
          <w:rFonts w:ascii="Arial" w:hAnsi="Arial" w:cs="Arial"/>
          <w:sz w:val="22"/>
          <w:szCs w:val="22"/>
        </w:rPr>
        <w:t xml:space="preserve">information to evaluate the adequacy of the compromise offer in relation to the alleged violation(s) of the </w:t>
      </w:r>
      <w:r w:rsidRPr="008D7F04">
        <w:rPr>
          <w:rFonts w:ascii="Arial" w:hAnsi="Arial" w:cs="Arial"/>
          <w:sz w:val="22"/>
          <w:szCs w:val="22"/>
        </w:rPr>
        <w:t xml:space="preserve">FAA Act and </w:t>
      </w:r>
      <w:r w:rsidR="004A193D">
        <w:rPr>
          <w:rFonts w:ascii="Arial" w:hAnsi="Arial" w:cs="Arial"/>
          <w:sz w:val="22"/>
          <w:szCs w:val="22"/>
        </w:rPr>
        <w:t xml:space="preserve">to </w:t>
      </w:r>
      <w:r w:rsidRPr="008D7F04">
        <w:rPr>
          <w:rFonts w:ascii="Arial" w:hAnsi="Arial" w:cs="Arial"/>
          <w:sz w:val="22"/>
          <w:szCs w:val="22"/>
        </w:rPr>
        <w:t xml:space="preserve">determine if it should accept the </w:t>
      </w:r>
      <w:r w:rsidRPr="008D7F04" w:rsidR="000B1AF7">
        <w:rPr>
          <w:rFonts w:ascii="Arial" w:hAnsi="Arial" w:cs="Arial"/>
          <w:sz w:val="22"/>
          <w:szCs w:val="22"/>
        </w:rPr>
        <w:t xml:space="preserve">proponent’s </w:t>
      </w:r>
      <w:r w:rsidRPr="008D7F04">
        <w:rPr>
          <w:rFonts w:ascii="Arial" w:hAnsi="Arial" w:cs="Arial"/>
          <w:sz w:val="22"/>
          <w:szCs w:val="22"/>
        </w:rPr>
        <w:t>offer or pursue civil penalties or criminal prosecution against the alleged violator</w:t>
      </w:r>
      <w:r w:rsidRPr="008D7F04" w:rsidR="00B520D7">
        <w:rPr>
          <w:rFonts w:ascii="Arial" w:hAnsi="Arial" w:cs="Arial"/>
          <w:sz w:val="22"/>
          <w:szCs w:val="22"/>
        </w:rPr>
        <w:t xml:space="preserve"> through the Department of Justice</w:t>
      </w:r>
      <w:r w:rsidRPr="008D7F04">
        <w:rPr>
          <w:rFonts w:ascii="Arial" w:hAnsi="Arial" w:cs="Arial"/>
          <w:sz w:val="22"/>
          <w:szCs w:val="22"/>
        </w:rPr>
        <w:t xml:space="preserve">. </w:t>
      </w:r>
    </w:p>
    <w:p w:rsidR="004010C7" w:rsidRPr="008D7F04" w:rsidP="00795A75" w14:paraId="6C1A063A" w14:textId="77777777">
      <w:pPr>
        <w:ind w:left="360"/>
        <w:rPr>
          <w:rFonts w:ascii="Arial" w:hAnsi="Arial" w:cs="Arial"/>
          <w:sz w:val="22"/>
          <w:szCs w:val="22"/>
        </w:rPr>
      </w:pPr>
    </w:p>
    <w:p w:rsidR="005E762E" w:rsidRPr="008D7F04" w:rsidP="00B520D7" w14:paraId="139F45AC" w14:textId="64CFA5FB">
      <w:pPr>
        <w:suppressAutoHyphens/>
        <w:ind w:left="360"/>
        <w:rPr>
          <w:rFonts w:ascii="Arial" w:hAnsi="Arial" w:cs="Arial"/>
          <w:sz w:val="22"/>
          <w:szCs w:val="22"/>
        </w:rPr>
      </w:pPr>
      <w:r w:rsidRPr="008D7F04">
        <w:rPr>
          <w:rFonts w:ascii="Arial" w:hAnsi="Arial" w:cs="Arial"/>
          <w:sz w:val="22"/>
          <w:szCs w:val="22"/>
        </w:rPr>
        <w:t xml:space="preserve">This information collection </w:t>
      </w:r>
      <w:r w:rsidR="008D7F04">
        <w:rPr>
          <w:rFonts w:ascii="Arial" w:hAnsi="Arial" w:cs="Arial"/>
          <w:sz w:val="22"/>
          <w:szCs w:val="22"/>
        </w:rPr>
        <w:t xml:space="preserve">request </w:t>
      </w:r>
      <w:r w:rsidRPr="008D7F04">
        <w:rPr>
          <w:rFonts w:ascii="Arial" w:hAnsi="Arial" w:cs="Arial"/>
          <w:sz w:val="22"/>
          <w:szCs w:val="22"/>
        </w:rPr>
        <w:t xml:space="preserve">is aligned with the following Line of Business/Sub-function:  </w:t>
      </w:r>
      <w:r w:rsidRPr="008D7F04">
        <w:rPr>
          <w:rFonts w:ascii="Arial" w:hAnsi="Arial" w:cs="Arial"/>
          <w:i/>
          <w:iCs/>
          <w:sz w:val="22"/>
          <w:szCs w:val="22"/>
        </w:rPr>
        <w:t>L</w:t>
      </w:r>
      <w:r w:rsidRPr="008D7F04">
        <w:rPr>
          <w:rFonts w:ascii="Arial" w:hAnsi="Arial" w:cs="Arial"/>
          <w:i/>
          <w:iCs/>
          <w:sz w:val="22"/>
          <w:szCs w:val="22"/>
        </w:rPr>
        <w:t>aw Enforcement/Substance Control</w:t>
      </w:r>
      <w:r w:rsidRPr="008D7F04">
        <w:rPr>
          <w:rFonts w:ascii="Arial" w:hAnsi="Arial" w:cs="Arial"/>
          <w:sz w:val="22"/>
          <w:szCs w:val="22"/>
        </w:rPr>
        <w:t xml:space="preserve">. </w:t>
      </w:r>
    </w:p>
    <w:p w:rsidR="005E4F99" w:rsidRPr="008D7F04" w:rsidP="00D73D2D" w14:paraId="2E41B18E" w14:textId="77777777">
      <w:pPr>
        <w:suppressAutoHyphens/>
        <w:rPr>
          <w:rFonts w:ascii="Arial" w:hAnsi="Arial" w:cs="Arial"/>
          <w:sz w:val="28"/>
          <w:szCs w:val="28"/>
        </w:rPr>
      </w:pPr>
    </w:p>
    <w:p w:rsidR="00AF1157" w:rsidRPr="008D7F04" w:rsidP="00D73D2D" w14:paraId="29455853" w14:textId="20EDA4B2">
      <w:pPr>
        <w:suppressAutoHyphens/>
        <w:rPr>
          <w:rFonts w:ascii="Arial" w:hAnsi="Arial" w:cs="Arial"/>
          <w:i/>
          <w:sz w:val="22"/>
          <w:szCs w:val="22"/>
        </w:rPr>
      </w:pPr>
      <w:r w:rsidRPr="008D7F04">
        <w:rPr>
          <w:rFonts w:ascii="Arial" w:hAnsi="Arial" w:cs="Arial"/>
          <w:i/>
          <w:sz w:val="22"/>
          <w:szCs w:val="22"/>
        </w:rPr>
        <w:t>2.  How, by whom</w:t>
      </w:r>
      <w:r w:rsidRPr="008D7F04" w:rsidR="00101DE7">
        <w:rPr>
          <w:rFonts w:ascii="Arial" w:hAnsi="Arial" w:cs="Arial"/>
          <w:i/>
          <w:sz w:val="22"/>
          <w:szCs w:val="22"/>
        </w:rPr>
        <w:t>,</w:t>
      </w:r>
      <w:r w:rsidRPr="008D7F04">
        <w:rPr>
          <w:rFonts w:ascii="Arial" w:hAnsi="Arial" w:cs="Arial"/>
          <w:i/>
          <w:sz w:val="22"/>
          <w:szCs w:val="22"/>
        </w:rPr>
        <w:t xml:space="preserve"> and for what purpose is this information used?</w:t>
      </w:r>
      <w:r w:rsidRPr="008D7F04" w:rsidR="00D73D2D">
        <w:rPr>
          <w:rFonts w:ascii="Arial" w:hAnsi="Arial" w:cs="Arial"/>
          <w:i/>
          <w:sz w:val="22"/>
          <w:szCs w:val="22"/>
        </w:rPr>
        <w:t xml:space="preserve"> </w:t>
      </w:r>
    </w:p>
    <w:p w:rsidR="00AF1157" w:rsidRPr="008D7F04" w:rsidP="00D73D2D" w14:paraId="645A236B" w14:textId="77777777">
      <w:pPr>
        <w:suppressAutoHyphens/>
        <w:ind w:left="480" w:hanging="480"/>
        <w:rPr>
          <w:rFonts w:ascii="Arial" w:hAnsi="Arial" w:cs="Arial"/>
          <w:sz w:val="22"/>
          <w:szCs w:val="22"/>
        </w:rPr>
      </w:pPr>
    </w:p>
    <w:p w:rsidR="005E762E" w:rsidRPr="008D7F04" w:rsidP="005E762E" w14:paraId="527A89EE" w14:textId="238BC091">
      <w:pPr>
        <w:ind w:left="360"/>
        <w:rPr>
          <w:rFonts w:ascii="Arial" w:hAnsi="Arial" w:cs="Arial"/>
          <w:sz w:val="22"/>
          <w:szCs w:val="22"/>
        </w:rPr>
      </w:pPr>
      <w:r w:rsidRPr="008D7F04">
        <w:rPr>
          <w:rFonts w:ascii="Arial" w:hAnsi="Arial" w:cs="Arial"/>
          <w:sz w:val="22"/>
          <w:szCs w:val="22"/>
        </w:rPr>
        <w:t xml:space="preserve">Proponents </w:t>
      </w:r>
      <w:r w:rsidRPr="008D7F04" w:rsidR="000B1AF7">
        <w:rPr>
          <w:rFonts w:ascii="Arial" w:hAnsi="Arial" w:cs="Arial"/>
          <w:sz w:val="22"/>
          <w:szCs w:val="22"/>
        </w:rPr>
        <w:t xml:space="preserve">who desire to </w:t>
      </w:r>
      <w:r w:rsidRPr="008D7F04" w:rsidR="0003517D">
        <w:rPr>
          <w:rFonts w:ascii="Arial" w:hAnsi="Arial" w:cs="Arial"/>
          <w:sz w:val="22"/>
          <w:szCs w:val="22"/>
        </w:rPr>
        <w:t xml:space="preserve">submit </w:t>
      </w:r>
      <w:r w:rsidRPr="008D7F04" w:rsidR="000B1AF7">
        <w:rPr>
          <w:rFonts w:ascii="Arial" w:hAnsi="Arial" w:cs="Arial"/>
          <w:sz w:val="22"/>
          <w:szCs w:val="22"/>
        </w:rPr>
        <w:t>mon</w:t>
      </w:r>
      <w:r w:rsidRPr="008D7F04">
        <w:rPr>
          <w:rFonts w:ascii="Arial" w:hAnsi="Arial" w:cs="Arial"/>
          <w:sz w:val="22"/>
          <w:szCs w:val="22"/>
        </w:rPr>
        <w:t>etary offer</w:t>
      </w:r>
      <w:r w:rsidRPr="008D7F04" w:rsidR="000B1AF7">
        <w:rPr>
          <w:rFonts w:ascii="Arial" w:hAnsi="Arial" w:cs="Arial"/>
          <w:sz w:val="22"/>
          <w:szCs w:val="22"/>
        </w:rPr>
        <w:t>s</w:t>
      </w:r>
      <w:r w:rsidRPr="008D7F04">
        <w:rPr>
          <w:rFonts w:ascii="Arial" w:hAnsi="Arial" w:cs="Arial"/>
          <w:sz w:val="22"/>
          <w:szCs w:val="22"/>
        </w:rPr>
        <w:t xml:space="preserve"> in compromise to </w:t>
      </w:r>
      <w:r w:rsidRPr="008D7F04" w:rsidR="0003517D">
        <w:rPr>
          <w:rFonts w:ascii="Arial" w:hAnsi="Arial" w:cs="Arial"/>
          <w:sz w:val="22"/>
          <w:szCs w:val="22"/>
        </w:rPr>
        <w:t xml:space="preserve">TTB to </w:t>
      </w:r>
      <w:r w:rsidRPr="008D7F04">
        <w:rPr>
          <w:rFonts w:ascii="Arial" w:hAnsi="Arial" w:cs="Arial"/>
          <w:sz w:val="22"/>
          <w:szCs w:val="22"/>
        </w:rPr>
        <w:t xml:space="preserve">resolve alleged FAA Act violations </w:t>
      </w:r>
      <w:r w:rsidRPr="008D7F04" w:rsidR="000B1AF7">
        <w:rPr>
          <w:rFonts w:ascii="Arial" w:hAnsi="Arial" w:cs="Arial"/>
          <w:sz w:val="22"/>
          <w:szCs w:val="22"/>
        </w:rPr>
        <w:t>complete form TTB F </w:t>
      </w:r>
      <w:r w:rsidRPr="008D7F04">
        <w:rPr>
          <w:rFonts w:ascii="Arial" w:hAnsi="Arial" w:cs="Arial"/>
          <w:sz w:val="22"/>
          <w:szCs w:val="22"/>
        </w:rPr>
        <w:t>5640.2</w:t>
      </w:r>
      <w:r w:rsidRPr="008D7F04" w:rsidR="000B1AF7">
        <w:rPr>
          <w:rFonts w:ascii="Arial" w:hAnsi="Arial" w:cs="Arial"/>
          <w:sz w:val="22"/>
          <w:szCs w:val="22"/>
        </w:rPr>
        <w:t xml:space="preserve">.  The </w:t>
      </w:r>
      <w:r w:rsidRPr="008D7F04" w:rsidR="0003517D">
        <w:rPr>
          <w:rFonts w:ascii="Arial" w:hAnsi="Arial" w:cs="Arial"/>
          <w:sz w:val="22"/>
          <w:szCs w:val="22"/>
        </w:rPr>
        <w:t xml:space="preserve">provided </w:t>
      </w:r>
      <w:r w:rsidRPr="008D7F04" w:rsidR="000B1AF7">
        <w:rPr>
          <w:rFonts w:ascii="Arial" w:hAnsi="Arial" w:cs="Arial"/>
          <w:sz w:val="22"/>
          <w:szCs w:val="22"/>
        </w:rPr>
        <w:t>information i</w:t>
      </w:r>
      <w:r w:rsidRPr="008D7F04">
        <w:rPr>
          <w:rFonts w:ascii="Arial" w:hAnsi="Arial" w:cs="Arial"/>
          <w:sz w:val="22"/>
          <w:szCs w:val="22"/>
        </w:rPr>
        <w:t xml:space="preserve">dentifies the proponent, the alleged violation(s) and their cause(s), </w:t>
      </w:r>
      <w:r w:rsidRPr="008D7F04" w:rsidR="00B520D7">
        <w:rPr>
          <w:rFonts w:ascii="Arial" w:hAnsi="Arial" w:cs="Arial"/>
          <w:sz w:val="22"/>
          <w:szCs w:val="22"/>
        </w:rPr>
        <w:t xml:space="preserve">the </w:t>
      </w:r>
      <w:r w:rsidRPr="008D7F04">
        <w:rPr>
          <w:rFonts w:ascii="Arial" w:hAnsi="Arial" w:cs="Arial"/>
          <w:sz w:val="22"/>
          <w:szCs w:val="22"/>
        </w:rPr>
        <w:t xml:space="preserve">amount of the compromise offer, and the reason(s) why TTB should accept the offer.  TTB </w:t>
      </w:r>
      <w:r w:rsidRPr="008D7F04" w:rsidR="000B1AF7">
        <w:rPr>
          <w:rFonts w:ascii="Arial" w:hAnsi="Arial" w:cs="Arial"/>
          <w:sz w:val="22"/>
          <w:szCs w:val="22"/>
        </w:rPr>
        <w:t xml:space="preserve">personnel examine each form to </w:t>
      </w:r>
      <w:r w:rsidRPr="008D7F04">
        <w:rPr>
          <w:rFonts w:ascii="Arial" w:hAnsi="Arial" w:cs="Arial"/>
          <w:sz w:val="22"/>
          <w:szCs w:val="22"/>
        </w:rPr>
        <w:t xml:space="preserve">evaluate the adequacy of the </w:t>
      </w:r>
      <w:r w:rsidRPr="008D7F04" w:rsidR="000B1AF7">
        <w:rPr>
          <w:rFonts w:ascii="Arial" w:hAnsi="Arial" w:cs="Arial"/>
          <w:sz w:val="22"/>
          <w:szCs w:val="22"/>
        </w:rPr>
        <w:t xml:space="preserve">proponent’s </w:t>
      </w:r>
      <w:r w:rsidRPr="008D7F04" w:rsidR="00B520D7">
        <w:rPr>
          <w:rFonts w:ascii="Arial" w:hAnsi="Arial" w:cs="Arial"/>
          <w:sz w:val="22"/>
          <w:szCs w:val="22"/>
        </w:rPr>
        <w:t xml:space="preserve">offer in </w:t>
      </w:r>
      <w:r w:rsidRPr="008D7F04">
        <w:rPr>
          <w:rFonts w:ascii="Arial" w:hAnsi="Arial" w:cs="Arial"/>
          <w:sz w:val="22"/>
          <w:szCs w:val="22"/>
        </w:rPr>
        <w:t>compromise in relation to the alleged violation(s) of the FAA Act</w:t>
      </w:r>
      <w:r w:rsidRPr="008D7F04" w:rsidR="00BF0B2B">
        <w:rPr>
          <w:rFonts w:ascii="Arial" w:hAnsi="Arial" w:cs="Arial"/>
          <w:sz w:val="22"/>
          <w:szCs w:val="22"/>
        </w:rPr>
        <w:t xml:space="preserve">.  This allows TTB to </w:t>
      </w:r>
      <w:r w:rsidRPr="008D7F04">
        <w:rPr>
          <w:rFonts w:ascii="Arial" w:hAnsi="Arial" w:cs="Arial"/>
          <w:sz w:val="22"/>
          <w:szCs w:val="22"/>
        </w:rPr>
        <w:t xml:space="preserve">determine if it should accept the </w:t>
      </w:r>
      <w:r w:rsidRPr="008D7F04" w:rsidR="000B1AF7">
        <w:rPr>
          <w:rFonts w:ascii="Arial" w:hAnsi="Arial" w:cs="Arial"/>
          <w:sz w:val="22"/>
          <w:szCs w:val="22"/>
        </w:rPr>
        <w:t xml:space="preserve">compromise </w:t>
      </w:r>
      <w:r w:rsidRPr="008D7F04">
        <w:rPr>
          <w:rFonts w:ascii="Arial" w:hAnsi="Arial" w:cs="Arial"/>
          <w:sz w:val="22"/>
          <w:szCs w:val="22"/>
        </w:rPr>
        <w:t xml:space="preserve">offer or pursue </w:t>
      </w:r>
      <w:r w:rsidRPr="008D7F04" w:rsidR="000B1AF7">
        <w:rPr>
          <w:rFonts w:ascii="Arial" w:hAnsi="Arial" w:cs="Arial"/>
          <w:sz w:val="22"/>
          <w:szCs w:val="22"/>
        </w:rPr>
        <w:t>c</w:t>
      </w:r>
      <w:r w:rsidRPr="008D7F04">
        <w:rPr>
          <w:rFonts w:ascii="Arial" w:hAnsi="Arial" w:cs="Arial"/>
          <w:sz w:val="22"/>
          <w:szCs w:val="22"/>
        </w:rPr>
        <w:t>ivil penalties or criminal prosecution against the</w:t>
      </w:r>
      <w:r w:rsidRPr="008D7F04" w:rsidR="000B1AF7">
        <w:rPr>
          <w:rFonts w:ascii="Arial" w:hAnsi="Arial" w:cs="Arial"/>
          <w:sz w:val="22"/>
          <w:szCs w:val="22"/>
        </w:rPr>
        <w:t xml:space="preserve"> </w:t>
      </w:r>
      <w:r w:rsidRPr="008D7F04">
        <w:rPr>
          <w:rFonts w:ascii="Arial" w:hAnsi="Arial" w:cs="Arial"/>
          <w:sz w:val="22"/>
          <w:szCs w:val="22"/>
        </w:rPr>
        <w:t>alleged violator</w:t>
      </w:r>
      <w:r w:rsidRPr="008D7F04" w:rsidR="0003517D">
        <w:rPr>
          <w:rFonts w:ascii="Arial" w:hAnsi="Arial" w:cs="Arial"/>
          <w:sz w:val="22"/>
          <w:szCs w:val="22"/>
        </w:rPr>
        <w:t xml:space="preserve"> through the Department of Justice</w:t>
      </w:r>
      <w:r w:rsidRPr="008D7F04" w:rsidR="000B1AF7">
        <w:rPr>
          <w:rFonts w:ascii="Arial" w:hAnsi="Arial" w:cs="Arial"/>
          <w:sz w:val="22"/>
          <w:szCs w:val="22"/>
        </w:rPr>
        <w:t xml:space="preserve">, which </w:t>
      </w:r>
      <w:r w:rsidRPr="008D7F04" w:rsidR="0094184F">
        <w:rPr>
          <w:rFonts w:ascii="Arial" w:hAnsi="Arial" w:cs="Arial"/>
          <w:sz w:val="22"/>
          <w:szCs w:val="22"/>
        </w:rPr>
        <w:t xml:space="preserve">may be more costly to, and carry greater litigation risks for, </w:t>
      </w:r>
      <w:r w:rsidRPr="008D7F04" w:rsidR="0026418B">
        <w:rPr>
          <w:rFonts w:ascii="Arial" w:hAnsi="Arial" w:cs="Arial"/>
          <w:sz w:val="22"/>
          <w:szCs w:val="22"/>
        </w:rPr>
        <w:t xml:space="preserve">the </w:t>
      </w:r>
      <w:r w:rsidRPr="008D7F04" w:rsidR="0003517D">
        <w:rPr>
          <w:rFonts w:ascii="Arial" w:hAnsi="Arial" w:cs="Arial"/>
          <w:sz w:val="22"/>
          <w:szCs w:val="22"/>
        </w:rPr>
        <w:t xml:space="preserve">Federal </w:t>
      </w:r>
      <w:r w:rsidRPr="008D7F04" w:rsidR="0026418B">
        <w:rPr>
          <w:rFonts w:ascii="Arial" w:hAnsi="Arial" w:cs="Arial"/>
          <w:sz w:val="22"/>
          <w:szCs w:val="22"/>
        </w:rPr>
        <w:t>Government.</w:t>
      </w:r>
      <w:r w:rsidRPr="008D7F04" w:rsidR="000B1AF7">
        <w:rPr>
          <w:rFonts w:ascii="Arial" w:hAnsi="Arial" w:cs="Arial"/>
          <w:sz w:val="22"/>
          <w:szCs w:val="22"/>
        </w:rPr>
        <w:t xml:space="preserve"> </w:t>
      </w:r>
    </w:p>
    <w:p w:rsidR="00AF1157" w:rsidRPr="008D7F04" w:rsidP="00D73D2D" w14:paraId="35B41FEA" w14:textId="77777777">
      <w:pPr>
        <w:ind w:left="576" w:hanging="576"/>
        <w:rPr>
          <w:rFonts w:ascii="Arial" w:hAnsi="Arial" w:cs="Arial"/>
          <w:sz w:val="28"/>
          <w:szCs w:val="28"/>
        </w:rPr>
      </w:pPr>
    </w:p>
    <w:p w:rsidR="00AF1157" w:rsidRPr="008D7F04" w:rsidP="00D73D2D" w14:paraId="5A3922E8" w14:textId="77777777">
      <w:pPr>
        <w:suppressAutoHyphens/>
        <w:rPr>
          <w:rFonts w:ascii="Arial" w:hAnsi="Arial" w:cs="Arial"/>
          <w:i/>
          <w:sz w:val="22"/>
          <w:szCs w:val="22"/>
        </w:rPr>
      </w:pPr>
      <w:r w:rsidRPr="008D7F04">
        <w:rPr>
          <w:rFonts w:ascii="Arial" w:hAnsi="Arial" w:cs="Arial"/>
          <w:i/>
          <w:sz w:val="22"/>
          <w:szCs w:val="22"/>
        </w:rPr>
        <w:t xml:space="preserve">3.  </w:t>
      </w:r>
      <w:r w:rsidRPr="008D7F04">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D7F04">
        <w:rPr>
          <w:rFonts w:ascii="Arial" w:hAnsi="Arial" w:cs="Arial"/>
          <w:i/>
          <w:sz w:val="22"/>
          <w:szCs w:val="22"/>
        </w:rPr>
        <w:t xml:space="preserve"> </w:t>
      </w:r>
    </w:p>
    <w:p w:rsidR="00AF1157" w:rsidRPr="008D7F04" w:rsidP="00D73D2D" w14:paraId="5CFD0262" w14:textId="77777777">
      <w:pPr>
        <w:suppressAutoHyphens/>
        <w:rPr>
          <w:rFonts w:ascii="Arial" w:hAnsi="Arial" w:cs="Arial"/>
          <w:sz w:val="22"/>
          <w:szCs w:val="22"/>
        </w:rPr>
      </w:pPr>
    </w:p>
    <w:p w:rsidR="001C50B6" w:rsidRPr="008D7F04" w:rsidP="00700694" w14:paraId="5AB5382A" w14:textId="5296DCBD">
      <w:pPr>
        <w:ind w:left="360"/>
        <w:rPr>
          <w:rFonts w:ascii="Arial" w:hAnsi="Arial" w:cs="Arial"/>
          <w:sz w:val="22"/>
          <w:szCs w:val="22"/>
        </w:rPr>
      </w:pPr>
      <w:r w:rsidRPr="008D7F04">
        <w:rPr>
          <w:rFonts w:ascii="Arial" w:hAnsi="Arial" w:cs="Arial"/>
          <w:sz w:val="22"/>
          <w:szCs w:val="22"/>
        </w:rPr>
        <w:t xml:space="preserve">Given the </w:t>
      </w:r>
      <w:r w:rsidRPr="008D7F04" w:rsidR="00F1397E">
        <w:rPr>
          <w:rFonts w:ascii="Arial" w:hAnsi="Arial" w:cs="Arial"/>
          <w:sz w:val="22"/>
          <w:szCs w:val="22"/>
        </w:rPr>
        <w:t xml:space="preserve">specific and </w:t>
      </w:r>
      <w:r w:rsidRPr="008D7F04">
        <w:rPr>
          <w:rFonts w:ascii="Arial" w:hAnsi="Arial" w:cs="Arial"/>
          <w:sz w:val="22"/>
          <w:szCs w:val="22"/>
        </w:rPr>
        <w:t xml:space="preserve">unique nature of the </w:t>
      </w:r>
      <w:r w:rsidRPr="008D7F04" w:rsidR="00384564">
        <w:rPr>
          <w:rFonts w:ascii="Arial" w:hAnsi="Arial" w:cs="Arial"/>
          <w:sz w:val="22"/>
          <w:szCs w:val="22"/>
        </w:rPr>
        <w:t xml:space="preserve">offer in compromise </w:t>
      </w:r>
      <w:r w:rsidRPr="008D7F04">
        <w:rPr>
          <w:rFonts w:ascii="Arial" w:hAnsi="Arial" w:cs="Arial"/>
          <w:sz w:val="22"/>
          <w:szCs w:val="22"/>
        </w:rPr>
        <w:t xml:space="preserve">information provided by </w:t>
      </w:r>
      <w:r w:rsidRPr="008D7F04" w:rsidR="00B42292">
        <w:rPr>
          <w:rFonts w:ascii="Arial" w:hAnsi="Arial" w:cs="Arial"/>
          <w:sz w:val="22"/>
          <w:szCs w:val="22"/>
        </w:rPr>
        <w:t xml:space="preserve">a </w:t>
      </w:r>
      <w:r w:rsidRPr="008D7F04" w:rsidR="00EF2AD6">
        <w:rPr>
          <w:rFonts w:ascii="Arial" w:hAnsi="Arial" w:cs="Arial"/>
          <w:sz w:val="22"/>
          <w:szCs w:val="22"/>
        </w:rPr>
        <w:t xml:space="preserve">proponent </w:t>
      </w:r>
      <w:r w:rsidRPr="008D7F04" w:rsidR="00384564">
        <w:rPr>
          <w:rFonts w:ascii="Arial" w:hAnsi="Arial" w:cs="Arial"/>
          <w:sz w:val="22"/>
          <w:szCs w:val="22"/>
        </w:rPr>
        <w:t xml:space="preserve">under this collection request, </w:t>
      </w:r>
      <w:r w:rsidRPr="008D7F04">
        <w:rPr>
          <w:rFonts w:ascii="Arial" w:hAnsi="Arial" w:cs="Arial"/>
          <w:sz w:val="22"/>
          <w:szCs w:val="22"/>
        </w:rPr>
        <w:t xml:space="preserve">TTB believes </w:t>
      </w:r>
      <w:r w:rsidRPr="008D7F04" w:rsidR="00384564">
        <w:rPr>
          <w:rFonts w:ascii="Arial" w:hAnsi="Arial" w:cs="Arial"/>
          <w:sz w:val="22"/>
          <w:szCs w:val="22"/>
        </w:rPr>
        <w:t>that the</w:t>
      </w:r>
      <w:r w:rsidRPr="008D7F04">
        <w:rPr>
          <w:rFonts w:ascii="Arial" w:hAnsi="Arial" w:cs="Arial"/>
          <w:sz w:val="22"/>
          <w:szCs w:val="22"/>
        </w:rPr>
        <w:t xml:space="preserve"> use of </w:t>
      </w:r>
      <w:r w:rsidRPr="008D7F04" w:rsidR="00384564">
        <w:rPr>
          <w:rFonts w:ascii="Arial" w:hAnsi="Arial" w:cs="Arial"/>
          <w:sz w:val="22"/>
          <w:szCs w:val="22"/>
        </w:rPr>
        <w:t xml:space="preserve">advanced </w:t>
      </w:r>
      <w:r w:rsidRPr="008D7F04">
        <w:rPr>
          <w:rFonts w:ascii="Arial" w:hAnsi="Arial" w:cs="Arial"/>
          <w:sz w:val="22"/>
          <w:szCs w:val="22"/>
        </w:rPr>
        <w:t xml:space="preserve">information technology for </w:t>
      </w:r>
      <w:r w:rsidRPr="008D7F04" w:rsidR="00585C7E">
        <w:rPr>
          <w:rFonts w:ascii="Arial" w:hAnsi="Arial" w:cs="Arial"/>
          <w:sz w:val="22"/>
          <w:szCs w:val="22"/>
        </w:rPr>
        <w:t>its s</w:t>
      </w:r>
      <w:r w:rsidRPr="008D7F04" w:rsidR="00F1397E">
        <w:rPr>
          <w:rFonts w:ascii="Arial" w:hAnsi="Arial" w:cs="Arial"/>
          <w:sz w:val="22"/>
          <w:szCs w:val="22"/>
        </w:rPr>
        <w:t xml:space="preserve">ubmission and processing </w:t>
      </w:r>
      <w:r w:rsidRPr="008D7F04" w:rsidR="00384564">
        <w:rPr>
          <w:rFonts w:ascii="Arial" w:hAnsi="Arial" w:cs="Arial"/>
          <w:sz w:val="22"/>
          <w:szCs w:val="22"/>
        </w:rPr>
        <w:t>w</w:t>
      </w:r>
      <w:r w:rsidRPr="008D7F04">
        <w:rPr>
          <w:rFonts w:ascii="Arial" w:hAnsi="Arial" w:cs="Arial"/>
          <w:sz w:val="22"/>
          <w:szCs w:val="22"/>
        </w:rPr>
        <w:t xml:space="preserve">ill not reduce </w:t>
      </w:r>
      <w:r w:rsidRPr="008D7F04" w:rsidR="00AB01A9">
        <w:rPr>
          <w:rFonts w:ascii="Arial" w:hAnsi="Arial" w:cs="Arial"/>
          <w:sz w:val="22"/>
          <w:szCs w:val="22"/>
        </w:rPr>
        <w:t xml:space="preserve">its </w:t>
      </w:r>
      <w:r w:rsidRPr="008D7F04">
        <w:rPr>
          <w:rFonts w:ascii="Arial" w:hAnsi="Arial" w:cs="Arial"/>
          <w:sz w:val="22"/>
          <w:szCs w:val="22"/>
        </w:rPr>
        <w:t xml:space="preserve">burden. </w:t>
      </w:r>
      <w:r w:rsidRPr="008D7F04" w:rsidR="0094184F">
        <w:rPr>
          <w:rFonts w:ascii="Arial" w:hAnsi="Arial" w:cs="Arial"/>
          <w:sz w:val="22"/>
          <w:szCs w:val="22"/>
        </w:rPr>
        <w:t xml:space="preserve"> </w:t>
      </w:r>
      <w:r w:rsidRPr="008D7F04" w:rsidR="00700694">
        <w:rPr>
          <w:rFonts w:ascii="Arial" w:hAnsi="Arial" w:cs="Arial"/>
          <w:sz w:val="22"/>
          <w:szCs w:val="22"/>
        </w:rPr>
        <w:t>Currently, TTB F 5640.</w:t>
      </w:r>
      <w:r w:rsidRPr="008D7F04" w:rsidR="0094184F">
        <w:rPr>
          <w:rFonts w:ascii="Arial" w:hAnsi="Arial" w:cs="Arial"/>
          <w:sz w:val="22"/>
          <w:szCs w:val="22"/>
        </w:rPr>
        <w:t>2 is</w:t>
      </w:r>
      <w:r w:rsidRPr="008D7F04" w:rsidR="00700694">
        <w:rPr>
          <w:rFonts w:ascii="Arial" w:hAnsi="Arial" w:cs="Arial"/>
          <w:sz w:val="22"/>
          <w:szCs w:val="22"/>
        </w:rPr>
        <w:t xml:space="preserve"> available </w:t>
      </w:r>
      <w:r w:rsidRPr="008D7F04" w:rsidR="0003517D">
        <w:rPr>
          <w:rFonts w:ascii="Arial" w:hAnsi="Arial" w:cs="Arial"/>
          <w:sz w:val="22"/>
          <w:szCs w:val="22"/>
        </w:rPr>
        <w:t xml:space="preserve">at no cost </w:t>
      </w:r>
      <w:r w:rsidRPr="008D7F04" w:rsidR="00384564">
        <w:rPr>
          <w:rFonts w:ascii="Arial" w:hAnsi="Arial" w:cs="Arial"/>
          <w:sz w:val="22"/>
          <w:szCs w:val="22"/>
        </w:rPr>
        <w:t xml:space="preserve">to respondents </w:t>
      </w:r>
      <w:r w:rsidRPr="008D7F04" w:rsidR="00700694">
        <w:rPr>
          <w:rFonts w:ascii="Arial" w:hAnsi="Arial" w:cs="Arial"/>
          <w:sz w:val="22"/>
          <w:szCs w:val="22"/>
        </w:rPr>
        <w:t xml:space="preserve">as </w:t>
      </w:r>
      <w:r w:rsidRPr="008D7F04" w:rsidR="00790EEF">
        <w:rPr>
          <w:rFonts w:ascii="Arial" w:hAnsi="Arial" w:cs="Arial"/>
          <w:sz w:val="22"/>
          <w:szCs w:val="22"/>
        </w:rPr>
        <w:t xml:space="preserve">a </w:t>
      </w:r>
      <w:r w:rsidRPr="008D7F04" w:rsidR="00700694">
        <w:rPr>
          <w:rFonts w:ascii="Arial" w:hAnsi="Arial" w:cs="Arial"/>
          <w:sz w:val="22"/>
          <w:szCs w:val="22"/>
        </w:rPr>
        <w:t xml:space="preserve">fillable-printable form on the TTB website at </w:t>
      </w:r>
      <w:r w:rsidRPr="008D7F04" w:rsidR="0003517D">
        <w:rPr>
          <w:rFonts w:ascii="Arial" w:hAnsi="Arial" w:cs="Arial"/>
          <w:i/>
          <w:iCs/>
          <w:sz w:val="22"/>
          <w:szCs w:val="22"/>
        </w:rPr>
        <w:t>https://www.ttb.gov/public-information/forms</w:t>
      </w:r>
      <w:r w:rsidRPr="008D7F04" w:rsidR="0003517D">
        <w:rPr>
          <w:rFonts w:ascii="Arial" w:hAnsi="Arial" w:cs="Arial"/>
          <w:sz w:val="22"/>
          <w:szCs w:val="22"/>
        </w:rPr>
        <w:t xml:space="preserve">. </w:t>
      </w:r>
    </w:p>
    <w:p w:rsidR="00AF1157" w:rsidRPr="008D7F04" w:rsidP="00D73D2D" w14:paraId="5A285A4D" w14:textId="77777777">
      <w:pPr>
        <w:suppressAutoHyphens/>
        <w:rPr>
          <w:rFonts w:ascii="Arial" w:hAnsi="Arial" w:cs="Arial"/>
          <w:sz w:val="28"/>
          <w:szCs w:val="28"/>
        </w:rPr>
      </w:pPr>
    </w:p>
    <w:p w:rsidR="00AF1157" w:rsidRPr="008D7F04" w:rsidP="00D73D2D" w14:paraId="591D0FAB" w14:textId="220F5C27">
      <w:pPr>
        <w:suppressAutoHyphens/>
        <w:rPr>
          <w:rFonts w:ascii="Arial" w:hAnsi="Arial" w:cs="Arial"/>
          <w:i/>
          <w:sz w:val="22"/>
          <w:szCs w:val="22"/>
        </w:rPr>
      </w:pPr>
      <w:r w:rsidRPr="008D7F04">
        <w:rPr>
          <w:rFonts w:ascii="Arial" w:hAnsi="Arial" w:cs="Arial"/>
          <w:i/>
          <w:sz w:val="22"/>
          <w:szCs w:val="22"/>
        </w:rPr>
        <w:t xml:space="preserve">4.  </w:t>
      </w:r>
      <w:r w:rsidRPr="008D7F04">
        <w:rPr>
          <w:rFonts w:ascii="Arial" w:hAnsi="Arial" w:cs="Arial"/>
          <w:i/>
          <w:sz w:val="22"/>
          <w:szCs w:val="22"/>
        </w:rPr>
        <w:t>What efforts are used to identi</w:t>
      </w:r>
      <w:r w:rsidRPr="008D7F04" w:rsidR="009E4E4C">
        <w:rPr>
          <w:rFonts w:ascii="Arial" w:hAnsi="Arial" w:cs="Arial"/>
          <w:i/>
          <w:sz w:val="22"/>
          <w:szCs w:val="22"/>
        </w:rPr>
        <w:t>f</w:t>
      </w:r>
      <w:r w:rsidRPr="008D7F04">
        <w:rPr>
          <w:rFonts w:ascii="Arial" w:hAnsi="Arial" w:cs="Arial"/>
          <w:i/>
          <w:sz w:val="22"/>
          <w:szCs w:val="22"/>
        </w:rPr>
        <w:t xml:space="preserve">y duplication?  </w:t>
      </w:r>
      <w:r w:rsidRPr="008D7F04" w:rsidR="007A5D4B">
        <w:rPr>
          <w:rFonts w:ascii="Arial" w:hAnsi="Arial" w:cs="Arial"/>
          <w:i/>
          <w:sz w:val="22"/>
          <w:szCs w:val="22"/>
        </w:rPr>
        <w:t xml:space="preserve">Can </w:t>
      </w:r>
      <w:r w:rsidRPr="008D7F04">
        <w:rPr>
          <w:rFonts w:ascii="Arial" w:hAnsi="Arial" w:cs="Arial"/>
          <w:i/>
          <w:sz w:val="22"/>
          <w:szCs w:val="22"/>
        </w:rPr>
        <w:t>similar information</w:t>
      </w:r>
      <w:r w:rsidRPr="008D7F04" w:rsidR="00DF5F98">
        <w:rPr>
          <w:rFonts w:ascii="Arial" w:hAnsi="Arial" w:cs="Arial"/>
          <w:i/>
          <w:sz w:val="22"/>
          <w:szCs w:val="22"/>
        </w:rPr>
        <w:t xml:space="preserve"> </w:t>
      </w:r>
      <w:r w:rsidRPr="008D7F04">
        <w:rPr>
          <w:rFonts w:ascii="Arial" w:hAnsi="Arial" w:cs="Arial"/>
          <w:i/>
          <w:sz w:val="22"/>
          <w:szCs w:val="22"/>
        </w:rPr>
        <w:t>already available be used or modified for use for</w:t>
      </w:r>
      <w:r w:rsidRPr="008D7F04" w:rsidR="00DF5F98">
        <w:rPr>
          <w:rFonts w:ascii="Arial" w:hAnsi="Arial" w:cs="Arial"/>
          <w:i/>
          <w:sz w:val="22"/>
          <w:szCs w:val="22"/>
        </w:rPr>
        <w:t xml:space="preserve"> the purposes described in Item </w:t>
      </w:r>
      <w:r w:rsidRPr="008D7F04">
        <w:rPr>
          <w:rFonts w:ascii="Arial" w:hAnsi="Arial" w:cs="Arial"/>
          <w:i/>
          <w:sz w:val="22"/>
          <w:szCs w:val="22"/>
        </w:rPr>
        <w:t>2</w:t>
      </w:r>
      <w:r w:rsidRPr="008D7F04" w:rsidR="00DF5F98">
        <w:rPr>
          <w:rFonts w:ascii="Arial" w:hAnsi="Arial" w:cs="Arial"/>
          <w:i/>
          <w:sz w:val="22"/>
          <w:szCs w:val="22"/>
        </w:rPr>
        <w:t xml:space="preserve"> </w:t>
      </w:r>
      <w:r w:rsidRPr="008D7F04">
        <w:rPr>
          <w:rFonts w:ascii="Arial" w:hAnsi="Arial" w:cs="Arial"/>
          <w:i/>
          <w:sz w:val="22"/>
          <w:szCs w:val="22"/>
        </w:rPr>
        <w:t>above?</w:t>
      </w:r>
      <w:r w:rsidRPr="008D7F04" w:rsidR="00DF5F98">
        <w:rPr>
          <w:rFonts w:ascii="Arial" w:hAnsi="Arial" w:cs="Arial"/>
          <w:i/>
          <w:sz w:val="22"/>
          <w:szCs w:val="22"/>
        </w:rPr>
        <w:t xml:space="preserve"> </w:t>
      </w:r>
    </w:p>
    <w:p w:rsidR="00AF1157" w:rsidRPr="008D7F04" w:rsidP="00D73D2D" w14:paraId="4AEEFFD7" w14:textId="77777777">
      <w:pPr>
        <w:suppressAutoHyphens/>
        <w:ind w:left="480" w:hanging="480"/>
        <w:rPr>
          <w:rFonts w:ascii="Arial" w:hAnsi="Arial" w:cs="Arial"/>
          <w:sz w:val="22"/>
          <w:szCs w:val="22"/>
        </w:rPr>
      </w:pPr>
    </w:p>
    <w:p w:rsidR="00DE7778" w:rsidRPr="008D7F04" w:rsidP="004F7E06" w14:paraId="3913D4A6" w14:textId="1CF0D012">
      <w:pPr>
        <w:ind w:left="360"/>
        <w:rPr>
          <w:rFonts w:ascii="Arial" w:hAnsi="Arial" w:cs="Arial"/>
          <w:sz w:val="22"/>
          <w:szCs w:val="22"/>
        </w:rPr>
      </w:pPr>
      <w:r w:rsidRPr="008D7F04">
        <w:rPr>
          <w:rFonts w:ascii="Arial" w:hAnsi="Arial" w:cs="Arial"/>
          <w:sz w:val="22"/>
          <w:szCs w:val="22"/>
        </w:rPr>
        <w:t>The offer in compromise information collected on TTB F 5640</w:t>
      </w:r>
      <w:r w:rsidRPr="008D7F04" w:rsidR="00EA24FF">
        <w:rPr>
          <w:rFonts w:ascii="Arial" w:hAnsi="Arial" w:cs="Arial"/>
          <w:sz w:val="22"/>
          <w:szCs w:val="22"/>
        </w:rPr>
        <w:t>.2</w:t>
      </w:r>
      <w:r w:rsidRPr="008D7F04">
        <w:rPr>
          <w:rFonts w:ascii="Arial" w:hAnsi="Arial" w:cs="Arial"/>
          <w:sz w:val="22"/>
          <w:szCs w:val="22"/>
        </w:rPr>
        <w:t xml:space="preserve"> </w:t>
      </w:r>
      <w:r w:rsidRPr="008D7F04" w:rsidR="00EA24FF">
        <w:rPr>
          <w:rFonts w:ascii="Arial" w:hAnsi="Arial" w:cs="Arial"/>
          <w:sz w:val="22"/>
          <w:szCs w:val="22"/>
        </w:rPr>
        <w:t>is</w:t>
      </w:r>
      <w:r w:rsidRPr="008D7F04">
        <w:rPr>
          <w:rFonts w:ascii="Arial" w:hAnsi="Arial" w:cs="Arial"/>
          <w:sz w:val="22"/>
          <w:szCs w:val="22"/>
        </w:rPr>
        <w:t xml:space="preserve"> specific and unique to the </w:t>
      </w:r>
      <w:r w:rsidRPr="008D7F04" w:rsidR="00585C7E">
        <w:rPr>
          <w:rFonts w:ascii="Arial" w:hAnsi="Arial" w:cs="Arial"/>
          <w:sz w:val="22"/>
          <w:szCs w:val="22"/>
        </w:rPr>
        <w:t xml:space="preserve">proponent’s </w:t>
      </w:r>
      <w:r w:rsidRPr="008D7F04">
        <w:rPr>
          <w:rFonts w:ascii="Arial" w:hAnsi="Arial" w:cs="Arial"/>
          <w:sz w:val="22"/>
          <w:szCs w:val="22"/>
        </w:rPr>
        <w:t xml:space="preserve">alleged </w:t>
      </w:r>
      <w:r w:rsidRPr="008D7F04" w:rsidR="00EA24FF">
        <w:rPr>
          <w:rFonts w:ascii="Arial" w:hAnsi="Arial" w:cs="Arial"/>
          <w:sz w:val="22"/>
          <w:szCs w:val="22"/>
        </w:rPr>
        <w:t xml:space="preserve">FAA Act violation </w:t>
      </w:r>
      <w:r w:rsidRPr="008D7F04">
        <w:rPr>
          <w:rFonts w:ascii="Arial" w:hAnsi="Arial" w:cs="Arial"/>
          <w:sz w:val="22"/>
          <w:szCs w:val="22"/>
        </w:rPr>
        <w:t>liabilities</w:t>
      </w:r>
      <w:r w:rsidRPr="008D7F04" w:rsidR="0003517D">
        <w:rPr>
          <w:rFonts w:ascii="Arial" w:hAnsi="Arial" w:cs="Arial"/>
          <w:sz w:val="22"/>
          <w:szCs w:val="22"/>
        </w:rPr>
        <w:t xml:space="preserve"> and the related offer in compromise</w:t>
      </w:r>
      <w:r w:rsidRPr="008D7F04">
        <w:rPr>
          <w:rFonts w:ascii="Arial" w:hAnsi="Arial" w:cs="Arial"/>
          <w:sz w:val="22"/>
          <w:szCs w:val="22"/>
        </w:rPr>
        <w:t>.  As</w:t>
      </w:r>
      <w:r w:rsidRPr="008D7F04" w:rsidR="00F75888">
        <w:rPr>
          <w:rFonts w:ascii="Arial" w:hAnsi="Arial" w:cs="Arial"/>
          <w:sz w:val="22"/>
          <w:szCs w:val="22"/>
        </w:rPr>
        <w:t xml:space="preserve"> far as TTB can determine, s</w:t>
      </w:r>
      <w:r w:rsidRPr="008D7F04">
        <w:rPr>
          <w:rFonts w:ascii="Arial" w:hAnsi="Arial" w:cs="Arial"/>
          <w:sz w:val="22"/>
          <w:szCs w:val="22"/>
        </w:rPr>
        <w:t xml:space="preserve">imilar information is not available </w:t>
      </w:r>
      <w:r w:rsidRPr="008D7F04" w:rsidR="00F75888">
        <w:rPr>
          <w:rFonts w:ascii="Arial" w:hAnsi="Arial" w:cs="Arial"/>
          <w:sz w:val="22"/>
          <w:szCs w:val="22"/>
        </w:rPr>
        <w:t xml:space="preserve">elsewhere. </w:t>
      </w:r>
    </w:p>
    <w:p w:rsidR="007A5D4B" w:rsidRPr="008D7F04" w:rsidP="007A5D4B" w14:paraId="37387478" w14:textId="77777777">
      <w:pPr>
        <w:suppressAutoHyphens/>
        <w:rPr>
          <w:rFonts w:ascii="Arial" w:hAnsi="Arial" w:cs="Arial"/>
          <w:sz w:val="28"/>
          <w:szCs w:val="28"/>
        </w:rPr>
      </w:pPr>
    </w:p>
    <w:p w:rsidR="00AF1157" w:rsidRPr="008D7F04" w:rsidP="00D9187C" w14:paraId="0BD8FF81" w14:textId="77777777">
      <w:pPr>
        <w:rPr>
          <w:rFonts w:ascii="Arial" w:hAnsi="Arial" w:cs="Arial"/>
          <w:i/>
          <w:sz w:val="22"/>
          <w:szCs w:val="22"/>
        </w:rPr>
      </w:pPr>
      <w:r w:rsidRPr="008D7F04">
        <w:rPr>
          <w:rFonts w:ascii="Arial" w:hAnsi="Arial" w:cs="Arial"/>
          <w:i/>
          <w:sz w:val="22"/>
          <w:szCs w:val="22"/>
        </w:rPr>
        <w:t xml:space="preserve">5.  </w:t>
      </w:r>
      <w:r w:rsidRPr="008D7F04">
        <w:rPr>
          <w:rFonts w:ascii="Arial" w:hAnsi="Arial" w:cs="Arial"/>
          <w:i/>
          <w:sz w:val="22"/>
          <w:szCs w:val="22"/>
        </w:rPr>
        <w:t>If this collection of information impacts small businesses or other small entities,</w:t>
      </w:r>
      <w:r w:rsidRPr="008D7F04" w:rsidR="00DF5F98">
        <w:rPr>
          <w:rFonts w:ascii="Arial" w:hAnsi="Arial" w:cs="Arial"/>
          <w:i/>
          <w:sz w:val="22"/>
          <w:szCs w:val="22"/>
        </w:rPr>
        <w:t xml:space="preserve"> </w:t>
      </w:r>
      <w:r w:rsidRPr="008D7F04">
        <w:rPr>
          <w:rFonts w:ascii="Arial" w:hAnsi="Arial" w:cs="Arial"/>
          <w:i/>
          <w:sz w:val="22"/>
          <w:szCs w:val="22"/>
        </w:rPr>
        <w:t>what methods are used to minimize burden?</w:t>
      </w:r>
      <w:r w:rsidRPr="008D7F04">
        <w:rPr>
          <w:rFonts w:ascii="Arial" w:hAnsi="Arial" w:cs="Arial"/>
          <w:i/>
          <w:sz w:val="22"/>
          <w:szCs w:val="22"/>
        </w:rPr>
        <w:t xml:space="preserve"> </w:t>
      </w:r>
    </w:p>
    <w:p w:rsidR="007A5D4B" w:rsidRPr="008D7F04" w:rsidP="00D9187C" w14:paraId="1ECEBE86" w14:textId="77777777">
      <w:pPr>
        <w:rPr>
          <w:rFonts w:ascii="Arial" w:hAnsi="Arial" w:cs="Arial"/>
          <w:sz w:val="22"/>
          <w:szCs w:val="22"/>
        </w:rPr>
      </w:pPr>
    </w:p>
    <w:p w:rsidR="00DE7778" w:rsidRPr="008D7F04" w:rsidP="000C0F79" w14:paraId="01018D85" w14:textId="39022307">
      <w:pPr>
        <w:ind w:left="360"/>
        <w:rPr>
          <w:rFonts w:ascii="Arial" w:hAnsi="Arial" w:cs="Arial"/>
          <w:sz w:val="22"/>
          <w:szCs w:val="22"/>
        </w:rPr>
      </w:pPr>
      <w:r w:rsidRPr="008D7F04">
        <w:rPr>
          <w:rFonts w:ascii="Arial" w:hAnsi="Arial" w:cs="Arial"/>
          <w:sz w:val="22"/>
          <w:szCs w:val="22"/>
        </w:rPr>
        <w:t xml:space="preserve">This </w:t>
      </w:r>
      <w:r w:rsidRPr="008D7F04" w:rsidR="00790EEF">
        <w:rPr>
          <w:rFonts w:ascii="Arial" w:hAnsi="Arial" w:cs="Arial"/>
          <w:sz w:val="22"/>
          <w:szCs w:val="22"/>
        </w:rPr>
        <w:t xml:space="preserve">information </w:t>
      </w:r>
      <w:r w:rsidRPr="008D7F04">
        <w:rPr>
          <w:rFonts w:ascii="Arial" w:hAnsi="Arial" w:cs="Arial"/>
          <w:sz w:val="22"/>
          <w:szCs w:val="22"/>
        </w:rPr>
        <w:t xml:space="preserve">collection </w:t>
      </w:r>
      <w:r w:rsidRPr="008D7F04" w:rsidR="0003517D">
        <w:rPr>
          <w:rFonts w:ascii="Arial" w:hAnsi="Arial" w:cs="Arial"/>
          <w:sz w:val="22"/>
          <w:szCs w:val="22"/>
        </w:rPr>
        <w:t xml:space="preserve">request </w:t>
      </w:r>
      <w:r w:rsidRPr="008D7F04">
        <w:rPr>
          <w:rFonts w:ascii="Arial" w:hAnsi="Arial" w:cs="Arial"/>
          <w:sz w:val="22"/>
          <w:szCs w:val="22"/>
        </w:rPr>
        <w:t xml:space="preserve">is not susceptible to reduced requirements for small business.  </w:t>
      </w:r>
      <w:r w:rsidRPr="008D7F04" w:rsidR="00384564">
        <w:rPr>
          <w:rFonts w:ascii="Arial" w:hAnsi="Arial" w:cs="Arial"/>
          <w:sz w:val="22"/>
          <w:szCs w:val="22"/>
        </w:rPr>
        <w:t>A</w:t>
      </w:r>
      <w:r w:rsidRPr="008D7F04">
        <w:rPr>
          <w:rFonts w:ascii="Arial" w:hAnsi="Arial" w:cs="Arial"/>
          <w:sz w:val="22"/>
          <w:szCs w:val="22"/>
        </w:rPr>
        <w:t>ll businesses</w:t>
      </w:r>
      <w:r w:rsidRPr="008D7F04" w:rsidR="00384564">
        <w:rPr>
          <w:rFonts w:ascii="Arial" w:hAnsi="Arial" w:cs="Arial"/>
          <w:sz w:val="22"/>
          <w:szCs w:val="22"/>
        </w:rPr>
        <w:t>,</w:t>
      </w:r>
      <w:r w:rsidRPr="008D7F04">
        <w:rPr>
          <w:rFonts w:ascii="Arial" w:hAnsi="Arial" w:cs="Arial"/>
          <w:sz w:val="22"/>
          <w:szCs w:val="22"/>
        </w:rPr>
        <w:t xml:space="preserve"> regardless of size, </w:t>
      </w:r>
      <w:r w:rsidRPr="008D7F04" w:rsidR="00384564">
        <w:rPr>
          <w:rFonts w:ascii="Arial" w:hAnsi="Arial" w:cs="Arial"/>
          <w:sz w:val="22"/>
          <w:szCs w:val="22"/>
        </w:rPr>
        <w:t>and all individual</w:t>
      </w:r>
      <w:r w:rsidRPr="008D7F04" w:rsidR="00FD749B">
        <w:rPr>
          <w:rFonts w:ascii="Arial" w:hAnsi="Arial" w:cs="Arial"/>
          <w:sz w:val="22"/>
          <w:szCs w:val="22"/>
        </w:rPr>
        <w:t>s</w:t>
      </w:r>
      <w:r w:rsidRPr="008D7F04" w:rsidR="00384564">
        <w:rPr>
          <w:rFonts w:ascii="Arial" w:hAnsi="Arial" w:cs="Arial"/>
          <w:sz w:val="22"/>
          <w:szCs w:val="22"/>
        </w:rPr>
        <w:t xml:space="preserve"> making </w:t>
      </w:r>
      <w:r w:rsidRPr="008D7F04" w:rsidR="00EA24FF">
        <w:rPr>
          <w:rFonts w:ascii="Arial" w:hAnsi="Arial" w:cs="Arial"/>
          <w:sz w:val="22"/>
          <w:szCs w:val="22"/>
        </w:rPr>
        <w:t xml:space="preserve">FAA Act-related </w:t>
      </w:r>
      <w:r w:rsidRPr="008D7F04" w:rsidR="00384564">
        <w:rPr>
          <w:rFonts w:ascii="Arial" w:hAnsi="Arial" w:cs="Arial"/>
          <w:sz w:val="22"/>
          <w:szCs w:val="22"/>
        </w:rPr>
        <w:t xml:space="preserve">offers in compromise </w:t>
      </w:r>
      <w:r w:rsidRPr="008D7F04" w:rsidR="00EA24FF">
        <w:rPr>
          <w:rFonts w:ascii="Arial" w:hAnsi="Arial" w:cs="Arial"/>
          <w:sz w:val="22"/>
          <w:szCs w:val="22"/>
        </w:rPr>
        <w:t>mus</w:t>
      </w:r>
      <w:r w:rsidRPr="008D7F04">
        <w:rPr>
          <w:rFonts w:ascii="Arial" w:hAnsi="Arial" w:cs="Arial"/>
          <w:sz w:val="22"/>
          <w:szCs w:val="22"/>
        </w:rPr>
        <w:t xml:space="preserve">t provide the required information.  TTB believes the collected information is the minimum necessary for </w:t>
      </w:r>
      <w:r w:rsidRPr="008D7F04" w:rsidR="00585C7E">
        <w:rPr>
          <w:rFonts w:ascii="Arial" w:hAnsi="Arial" w:cs="Arial"/>
          <w:sz w:val="22"/>
          <w:szCs w:val="22"/>
        </w:rPr>
        <w:t>TTB</w:t>
      </w:r>
      <w:r w:rsidRPr="008D7F04">
        <w:rPr>
          <w:rFonts w:ascii="Arial" w:hAnsi="Arial" w:cs="Arial"/>
          <w:sz w:val="22"/>
          <w:szCs w:val="22"/>
        </w:rPr>
        <w:t xml:space="preserve"> to determine if </w:t>
      </w:r>
      <w:r w:rsidRPr="008D7F04" w:rsidR="00585C7E">
        <w:rPr>
          <w:rFonts w:ascii="Arial" w:hAnsi="Arial" w:cs="Arial"/>
          <w:sz w:val="22"/>
          <w:szCs w:val="22"/>
        </w:rPr>
        <w:t xml:space="preserve">it should accept </w:t>
      </w:r>
      <w:r w:rsidRPr="008D7F04" w:rsidR="00EA24FF">
        <w:rPr>
          <w:rFonts w:ascii="Arial" w:hAnsi="Arial" w:cs="Arial"/>
          <w:sz w:val="22"/>
          <w:szCs w:val="22"/>
        </w:rPr>
        <w:t>such offers</w:t>
      </w:r>
      <w:r w:rsidRPr="008D7F04">
        <w:rPr>
          <w:rFonts w:ascii="Arial" w:hAnsi="Arial" w:cs="Arial"/>
          <w:sz w:val="22"/>
          <w:szCs w:val="22"/>
        </w:rPr>
        <w:t xml:space="preserve">. </w:t>
      </w:r>
    </w:p>
    <w:p w:rsidR="007A5D4B" w:rsidRPr="008D7F04" w:rsidP="007A5D4B" w14:paraId="69EB3331" w14:textId="77777777">
      <w:pPr>
        <w:suppressAutoHyphens/>
        <w:rPr>
          <w:rFonts w:ascii="Arial" w:hAnsi="Arial" w:cs="Arial"/>
          <w:sz w:val="28"/>
          <w:szCs w:val="28"/>
        </w:rPr>
      </w:pPr>
    </w:p>
    <w:p w:rsidR="00AF1157" w:rsidRPr="008D7F04" w:rsidP="00D73D2D" w14:paraId="7F17C047" w14:textId="28563720">
      <w:pPr>
        <w:suppressAutoHyphens/>
        <w:rPr>
          <w:rFonts w:ascii="Arial" w:hAnsi="Arial" w:cs="Arial"/>
          <w:i/>
          <w:sz w:val="22"/>
          <w:szCs w:val="22"/>
        </w:rPr>
      </w:pPr>
      <w:r w:rsidRPr="008D7F04">
        <w:rPr>
          <w:rFonts w:ascii="Arial" w:hAnsi="Arial" w:cs="Arial"/>
          <w:i/>
          <w:sz w:val="22"/>
          <w:szCs w:val="22"/>
        </w:rPr>
        <w:t xml:space="preserve">6.  </w:t>
      </w:r>
      <w:r w:rsidRPr="008D7F0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D7F04">
        <w:rPr>
          <w:rFonts w:ascii="Arial" w:hAnsi="Arial" w:cs="Arial"/>
          <w:i/>
          <w:sz w:val="22"/>
          <w:szCs w:val="22"/>
        </w:rPr>
        <w:t xml:space="preserve"> </w:t>
      </w:r>
    </w:p>
    <w:p w:rsidR="00AF1157" w:rsidRPr="008D7F04" w:rsidP="00D73D2D" w14:paraId="4D38700F" w14:textId="77777777">
      <w:pPr>
        <w:suppressAutoHyphens/>
        <w:ind w:left="480" w:hanging="480"/>
        <w:rPr>
          <w:rFonts w:ascii="Arial" w:hAnsi="Arial" w:cs="Arial"/>
          <w:sz w:val="22"/>
          <w:szCs w:val="22"/>
        </w:rPr>
      </w:pPr>
    </w:p>
    <w:p w:rsidR="00EA24FF" w:rsidRPr="008D7F04" w:rsidP="00EA24FF" w14:paraId="597FD68A" w14:textId="28616E43">
      <w:pPr>
        <w:ind w:left="360"/>
        <w:rPr>
          <w:rFonts w:ascii="Arial" w:hAnsi="Arial" w:cs="Arial"/>
          <w:sz w:val="22"/>
          <w:szCs w:val="22"/>
        </w:rPr>
      </w:pPr>
      <w:r w:rsidRPr="008D7F04">
        <w:rPr>
          <w:rFonts w:ascii="Arial" w:hAnsi="Arial" w:cs="Arial"/>
          <w:sz w:val="22"/>
          <w:szCs w:val="22"/>
        </w:rPr>
        <w:t xml:space="preserve">Proponents submit the required information only when they have an alleged FAA Act-related liability and seek to settle the case through an offer in compromise prior to any civil or </w:t>
      </w:r>
      <w:r w:rsidRPr="008D7F04">
        <w:rPr>
          <w:rFonts w:ascii="Arial" w:hAnsi="Arial" w:cs="Arial"/>
          <w:sz w:val="22"/>
          <w:szCs w:val="22"/>
        </w:rPr>
        <w:t xml:space="preserve">criminal proceedings.  As such, TTB cannot conduct this collection request less frequently.  In addition, if TTB did not conduct this collection request, TTB would have to </w:t>
      </w:r>
      <w:r w:rsidRPr="008D7F04" w:rsidR="0003517D">
        <w:rPr>
          <w:rFonts w:ascii="Arial" w:hAnsi="Arial" w:cs="Arial"/>
          <w:sz w:val="22"/>
          <w:szCs w:val="22"/>
        </w:rPr>
        <w:t>act</w:t>
      </w:r>
      <w:r w:rsidRPr="008D7F04">
        <w:rPr>
          <w:rFonts w:ascii="Arial" w:hAnsi="Arial" w:cs="Arial"/>
          <w:sz w:val="22"/>
          <w:szCs w:val="22"/>
        </w:rPr>
        <w:t xml:space="preserve"> against proponents with such liabilities through </w:t>
      </w:r>
      <w:r w:rsidRPr="008D7F04" w:rsidR="0003517D">
        <w:rPr>
          <w:rFonts w:ascii="Arial" w:hAnsi="Arial" w:cs="Arial"/>
          <w:sz w:val="22"/>
          <w:szCs w:val="22"/>
        </w:rPr>
        <w:t xml:space="preserve">Department of Justice </w:t>
      </w:r>
      <w:r w:rsidRPr="008D7F04">
        <w:rPr>
          <w:rFonts w:ascii="Arial" w:hAnsi="Arial" w:cs="Arial"/>
          <w:sz w:val="22"/>
          <w:szCs w:val="22"/>
        </w:rPr>
        <w:t>civil or criminal proceedings, which may be more costly to and carry greater litigation risks for</w:t>
      </w:r>
      <w:r w:rsidRPr="008D7F04" w:rsidR="0003517D">
        <w:rPr>
          <w:rFonts w:ascii="Arial" w:hAnsi="Arial" w:cs="Arial"/>
          <w:sz w:val="22"/>
          <w:szCs w:val="22"/>
        </w:rPr>
        <w:t xml:space="preserve"> the Federal Government.</w:t>
      </w:r>
      <w:r w:rsidRPr="008D7F04">
        <w:rPr>
          <w:rFonts w:ascii="Arial" w:hAnsi="Arial" w:cs="Arial"/>
          <w:sz w:val="22"/>
          <w:szCs w:val="22"/>
        </w:rPr>
        <w:t xml:space="preserve"> </w:t>
      </w:r>
    </w:p>
    <w:p w:rsidR="007A5D4B" w:rsidRPr="008D7F04" w:rsidP="007A5D4B" w14:paraId="0977EB7D" w14:textId="77777777">
      <w:pPr>
        <w:suppressAutoHyphens/>
        <w:rPr>
          <w:rFonts w:ascii="Arial" w:hAnsi="Arial" w:cs="Arial"/>
          <w:sz w:val="28"/>
          <w:szCs w:val="28"/>
        </w:rPr>
      </w:pPr>
    </w:p>
    <w:p w:rsidR="00451C31" w:rsidRPr="008D7F04" w:rsidP="00451C31" w14:paraId="2FD7B593" w14:textId="642677F2">
      <w:pPr>
        <w:rPr>
          <w:rFonts w:ascii="Arial" w:eastAsia="Calibri" w:hAnsi="Arial" w:cs="Arial"/>
          <w:i/>
          <w:iCs/>
          <w:sz w:val="22"/>
          <w:szCs w:val="22"/>
        </w:rPr>
      </w:pPr>
      <w:r w:rsidRPr="008D7F04">
        <w:rPr>
          <w:rFonts w:ascii="Arial" w:eastAsia="Calibri"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451C31" w:rsidRPr="008D7F04" w:rsidP="00451C31" w14:paraId="015D9EF3" w14:textId="77777777">
      <w:pPr>
        <w:rPr>
          <w:rFonts w:ascii="Arial" w:eastAsia="Calibri" w:hAnsi="Arial" w:cs="Arial"/>
          <w:sz w:val="22"/>
          <w:szCs w:val="22"/>
        </w:rPr>
      </w:pPr>
    </w:p>
    <w:p w:rsidR="00451C31" w:rsidRPr="008D7F04" w:rsidP="00451C31" w14:paraId="7FA77BE2" w14:textId="4AB32E4D">
      <w:pPr>
        <w:ind w:left="360"/>
        <w:rPr>
          <w:rFonts w:ascii="Arial" w:eastAsia="Calibri" w:hAnsi="Arial" w:cs="Arial"/>
          <w:sz w:val="22"/>
          <w:szCs w:val="22"/>
        </w:rPr>
      </w:pPr>
      <w:r w:rsidRPr="008D7F04">
        <w:rPr>
          <w:rFonts w:ascii="Arial" w:eastAsia="Calibri" w:hAnsi="Arial" w:cs="Arial"/>
          <w:sz w:val="22"/>
          <w:szCs w:val="22"/>
        </w:rPr>
        <w:t xml:space="preserve">There are no special circumstances associated with this information collection </w:t>
      </w:r>
      <w:r w:rsidR="008D7F04">
        <w:rPr>
          <w:rFonts w:ascii="Arial" w:eastAsia="Calibri" w:hAnsi="Arial" w:cs="Arial"/>
          <w:sz w:val="22"/>
          <w:szCs w:val="22"/>
        </w:rPr>
        <w:t xml:space="preserve">request </w:t>
      </w:r>
      <w:r w:rsidRPr="008D7F04">
        <w:rPr>
          <w:rFonts w:ascii="Arial" w:eastAsia="Calibri" w:hAnsi="Arial" w:cs="Arial"/>
          <w:sz w:val="22"/>
          <w:szCs w:val="22"/>
        </w:rPr>
        <w:t xml:space="preserve">that would require it to be inconsistent with OMB guidelines. </w:t>
      </w:r>
    </w:p>
    <w:p w:rsidR="00EC4FC3" w:rsidRPr="008D7F04" w:rsidP="00D73D2D" w14:paraId="171BD518" w14:textId="77777777">
      <w:pPr>
        <w:rPr>
          <w:rFonts w:ascii="Arial" w:hAnsi="Arial" w:cs="Arial"/>
          <w:sz w:val="28"/>
          <w:szCs w:val="28"/>
        </w:rPr>
      </w:pPr>
    </w:p>
    <w:p w:rsidR="005C282B" w:rsidRPr="008D7F04" w:rsidP="00D73D2D" w14:paraId="21CAB2D2" w14:textId="77777777">
      <w:pPr>
        <w:rPr>
          <w:rFonts w:ascii="Arial" w:hAnsi="Arial" w:cs="Arial"/>
          <w:i/>
          <w:sz w:val="22"/>
          <w:szCs w:val="22"/>
        </w:rPr>
      </w:pPr>
      <w:r w:rsidRPr="008D7F04">
        <w:rPr>
          <w:rFonts w:ascii="Arial" w:hAnsi="Arial" w:cs="Arial"/>
          <w:i/>
          <w:sz w:val="22"/>
          <w:szCs w:val="22"/>
        </w:rPr>
        <w:t xml:space="preserve">8.  </w:t>
      </w:r>
      <w:r w:rsidRPr="008D7F04" w:rsidR="00EC4FC3">
        <w:rPr>
          <w:rFonts w:ascii="Arial" w:hAnsi="Arial" w:cs="Arial"/>
          <w:i/>
          <w:sz w:val="22"/>
          <w:szCs w:val="22"/>
        </w:rPr>
        <w:t>What effort was made to notify the general public about this collection of information?</w:t>
      </w:r>
      <w:r w:rsidRPr="008D7F04">
        <w:rPr>
          <w:rFonts w:ascii="Arial" w:hAnsi="Arial" w:cs="Arial"/>
          <w:i/>
          <w:sz w:val="22"/>
          <w:szCs w:val="22"/>
        </w:rPr>
        <w:t xml:space="preserve">  Summarize the public comments that were received and describe the action taken by the agency in response to those comments.</w:t>
      </w:r>
      <w:r w:rsidRPr="008D7F04">
        <w:rPr>
          <w:rFonts w:ascii="Arial" w:hAnsi="Arial" w:cs="Arial"/>
          <w:i/>
          <w:sz w:val="22"/>
          <w:szCs w:val="22"/>
        </w:rPr>
        <w:t xml:space="preserve"> </w:t>
      </w:r>
    </w:p>
    <w:p w:rsidR="005C282B" w:rsidRPr="008D7F04" w:rsidP="00D73D2D" w14:paraId="783AD623" w14:textId="77777777">
      <w:pPr>
        <w:suppressAutoHyphens/>
        <w:ind w:left="480" w:hanging="480"/>
        <w:rPr>
          <w:rFonts w:ascii="Arial" w:hAnsi="Arial" w:cs="Arial"/>
          <w:sz w:val="22"/>
          <w:szCs w:val="22"/>
        </w:rPr>
      </w:pPr>
    </w:p>
    <w:p w:rsidR="0003517D" w:rsidRPr="008D7F04" w:rsidP="00790EEF" w14:paraId="11C85079" w14:textId="436FCFF5">
      <w:pPr>
        <w:ind w:left="360"/>
        <w:rPr>
          <w:rFonts w:ascii="Arial" w:hAnsi="Arial" w:cs="Arial"/>
          <w:sz w:val="22"/>
          <w:szCs w:val="22"/>
        </w:rPr>
      </w:pPr>
      <w:r w:rsidRPr="008D7F04">
        <w:rPr>
          <w:rFonts w:ascii="Arial" w:hAnsi="Arial" w:cs="Arial"/>
          <w:sz w:val="22"/>
          <w:szCs w:val="22"/>
        </w:rPr>
        <w:t>To solicit comments from the public, TTB published a “60-day” comment request notice for this information collection request in the Federal Register on November 29, 2024, at 89 FR 94871.  TTB received no comments on this collection in response.</w:t>
      </w:r>
    </w:p>
    <w:p w:rsidR="00734B25" w:rsidRPr="008D7F04" w:rsidP="00D73D2D" w14:paraId="2474294B" w14:textId="77777777">
      <w:pPr>
        <w:suppressAutoHyphens/>
        <w:rPr>
          <w:rFonts w:ascii="Arial" w:hAnsi="Arial" w:cs="Arial"/>
          <w:sz w:val="28"/>
          <w:szCs w:val="28"/>
        </w:rPr>
      </w:pPr>
    </w:p>
    <w:p w:rsidR="00EC4FC3" w:rsidRPr="008D7F04" w:rsidP="00D73D2D" w14:paraId="1760F951" w14:textId="77777777">
      <w:pPr>
        <w:suppressAutoHyphens/>
        <w:rPr>
          <w:rFonts w:ascii="Arial" w:hAnsi="Arial" w:cs="Arial"/>
          <w:i/>
          <w:sz w:val="22"/>
          <w:szCs w:val="22"/>
        </w:rPr>
      </w:pPr>
      <w:r w:rsidRPr="008D7F04">
        <w:rPr>
          <w:rFonts w:ascii="Arial" w:hAnsi="Arial" w:cs="Arial"/>
          <w:i/>
          <w:sz w:val="22"/>
          <w:szCs w:val="22"/>
        </w:rPr>
        <w:t xml:space="preserve">9.  </w:t>
      </w:r>
      <w:r w:rsidRPr="008D7F04" w:rsidR="00D656EA">
        <w:rPr>
          <w:rFonts w:ascii="Arial" w:hAnsi="Arial" w:cs="Arial"/>
          <w:i/>
          <w:sz w:val="22"/>
          <w:szCs w:val="22"/>
        </w:rPr>
        <w:t xml:space="preserve">Was any payment or </w:t>
      </w:r>
      <w:r w:rsidRPr="008D7F04">
        <w:rPr>
          <w:rFonts w:ascii="Arial" w:hAnsi="Arial" w:cs="Arial"/>
          <w:i/>
          <w:sz w:val="22"/>
          <w:szCs w:val="22"/>
        </w:rPr>
        <w:t xml:space="preserve">gift </w:t>
      </w:r>
      <w:r w:rsidRPr="008D7F04" w:rsidR="00D656EA">
        <w:rPr>
          <w:rFonts w:ascii="Arial" w:hAnsi="Arial" w:cs="Arial"/>
          <w:i/>
          <w:sz w:val="22"/>
          <w:szCs w:val="22"/>
        </w:rPr>
        <w:t xml:space="preserve">given </w:t>
      </w:r>
      <w:r w:rsidRPr="008D7F04">
        <w:rPr>
          <w:rFonts w:ascii="Arial" w:hAnsi="Arial" w:cs="Arial"/>
          <w:i/>
          <w:sz w:val="22"/>
          <w:szCs w:val="22"/>
        </w:rPr>
        <w:t>to respondents, other than re</w:t>
      </w:r>
      <w:r w:rsidRPr="008D7F04" w:rsidR="00101DE7">
        <w:rPr>
          <w:rFonts w:ascii="Arial" w:hAnsi="Arial" w:cs="Arial"/>
          <w:i/>
          <w:sz w:val="22"/>
          <w:szCs w:val="22"/>
        </w:rPr>
        <w:t>mun</w:t>
      </w:r>
      <w:r w:rsidRPr="008D7F04">
        <w:rPr>
          <w:rFonts w:ascii="Arial" w:hAnsi="Arial" w:cs="Arial"/>
          <w:i/>
          <w:sz w:val="22"/>
          <w:szCs w:val="22"/>
        </w:rPr>
        <w:t>eration of contractors or grantees?</w:t>
      </w:r>
      <w:r w:rsidRPr="008D7F04" w:rsidR="00D656EA">
        <w:rPr>
          <w:rFonts w:ascii="Arial" w:hAnsi="Arial" w:cs="Arial"/>
          <w:i/>
          <w:sz w:val="22"/>
          <w:szCs w:val="22"/>
        </w:rPr>
        <w:t xml:space="preserve">  If so, why? </w:t>
      </w:r>
    </w:p>
    <w:p w:rsidR="00EC4FC3" w:rsidRPr="008D7F04" w:rsidP="00D73D2D" w14:paraId="7E494E72" w14:textId="77777777">
      <w:pPr>
        <w:suppressAutoHyphens/>
        <w:rPr>
          <w:rFonts w:ascii="Arial" w:hAnsi="Arial" w:cs="Arial"/>
          <w:sz w:val="22"/>
          <w:szCs w:val="22"/>
        </w:rPr>
      </w:pPr>
    </w:p>
    <w:p w:rsidR="00EC4FC3" w:rsidRPr="008D7F04" w:rsidP="004D086A" w14:paraId="5D536A31" w14:textId="6650A7F5">
      <w:pPr>
        <w:suppressAutoHyphens/>
        <w:ind w:left="360"/>
        <w:rPr>
          <w:rFonts w:ascii="Arial" w:hAnsi="Arial" w:cs="Arial"/>
          <w:sz w:val="22"/>
          <w:szCs w:val="22"/>
        </w:rPr>
      </w:pPr>
      <w:r w:rsidRPr="008D7F04">
        <w:rPr>
          <w:rFonts w:ascii="Arial" w:hAnsi="Arial" w:cs="Arial"/>
          <w:sz w:val="22"/>
          <w:szCs w:val="22"/>
        </w:rPr>
        <w:t xml:space="preserve">No payment or gift is associated with this </w:t>
      </w:r>
      <w:r w:rsidRPr="008D7F04" w:rsidR="00790EEF">
        <w:rPr>
          <w:rFonts w:ascii="Arial" w:hAnsi="Arial" w:cs="Arial"/>
          <w:sz w:val="22"/>
          <w:szCs w:val="22"/>
        </w:rPr>
        <w:t xml:space="preserve">information </w:t>
      </w:r>
      <w:r w:rsidRPr="008D7F04">
        <w:rPr>
          <w:rFonts w:ascii="Arial" w:hAnsi="Arial" w:cs="Arial"/>
          <w:sz w:val="22"/>
          <w:szCs w:val="22"/>
        </w:rPr>
        <w:t>collection</w:t>
      </w:r>
      <w:r w:rsidRPr="008D7F04" w:rsidR="000B71B4">
        <w:rPr>
          <w:rFonts w:ascii="Arial" w:hAnsi="Arial" w:cs="Arial"/>
          <w:sz w:val="22"/>
          <w:szCs w:val="22"/>
        </w:rPr>
        <w:t xml:space="preserve"> request</w:t>
      </w:r>
      <w:r w:rsidRPr="008D7F04">
        <w:rPr>
          <w:rFonts w:ascii="Arial" w:hAnsi="Arial" w:cs="Arial"/>
          <w:sz w:val="22"/>
          <w:szCs w:val="22"/>
        </w:rPr>
        <w:t>.</w:t>
      </w:r>
      <w:r w:rsidRPr="008D7F04" w:rsidR="00D656EA">
        <w:rPr>
          <w:rFonts w:ascii="Arial" w:hAnsi="Arial" w:cs="Arial"/>
          <w:sz w:val="22"/>
          <w:szCs w:val="22"/>
        </w:rPr>
        <w:t xml:space="preserve"> </w:t>
      </w:r>
    </w:p>
    <w:p w:rsidR="00EC4FC3" w:rsidRPr="008D7F04" w:rsidP="00D73D2D" w14:paraId="641DC087" w14:textId="77777777">
      <w:pPr>
        <w:suppressAutoHyphens/>
        <w:rPr>
          <w:rFonts w:ascii="Arial" w:hAnsi="Arial" w:cs="Arial"/>
          <w:sz w:val="28"/>
          <w:szCs w:val="28"/>
        </w:rPr>
      </w:pPr>
    </w:p>
    <w:p w:rsidR="00EC4FC3" w:rsidRPr="008D7F04" w:rsidP="00D73D2D" w14:paraId="646FD601" w14:textId="74D76E2D">
      <w:pPr>
        <w:suppressAutoHyphens/>
        <w:rPr>
          <w:rFonts w:ascii="Arial" w:hAnsi="Arial" w:cs="Arial"/>
          <w:i/>
          <w:sz w:val="22"/>
          <w:szCs w:val="22"/>
        </w:rPr>
      </w:pPr>
      <w:r w:rsidRPr="008D7F04">
        <w:rPr>
          <w:rFonts w:ascii="Arial" w:hAnsi="Arial" w:cs="Arial"/>
          <w:i/>
          <w:sz w:val="22"/>
          <w:szCs w:val="22"/>
        </w:rPr>
        <w:t>10.</w:t>
      </w:r>
      <w:r w:rsidRPr="008D7F04">
        <w:rPr>
          <w:rFonts w:ascii="Arial" w:hAnsi="Arial" w:cs="Arial"/>
          <w:i/>
          <w:sz w:val="22"/>
          <w:szCs w:val="22"/>
        </w:rPr>
        <w:t xml:space="preserve">  What assurance of confidentiality was provided to respondents</w:t>
      </w:r>
      <w:r w:rsidRPr="008D7F04">
        <w:rPr>
          <w:rFonts w:ascii="Arial" w:hAnsi="Arial" w:cs="Arial"/>
          <w:i/>
          <w:sz w:val="22"/>
          <w:szCs w:val="22"/>
        </w:rPr>
        <w:t>,</w:t>
      </w:r>
      <w:r w:rsidRPr="008D7F04">
        <w:rPr>
          <w:rFonts w:ascii="Arial" w:hAnsi="Arial" w:cs="Arial"/>
          <w:i/>
          <w:sz w:val="22"/>
          <w:szCs w:val="22"/>
        </w:rPr>
        <w:t xml:space="preserve"> and what was the basis for the assurance in statute, regulations,</w:t>
      </w:r>
      <w:r w:rsidRPr="008D7F04" w:rsidR="00734B25">
        <w:rPr>
          <w:rFonts w:ascii="Arial" w:hAnsi="Arial" w:cs="Arial"/>
          <w:i/>
          <w:sz w:val="22"/>
          <w:szCs w:val="22"/>
        </w:rPr>
        <w:t xml:space="preserve"> </w:t>
      </w:r>
      <w:r w:rsidRPr="008D7F04">
        <w:rPr>
          <w:rFonts w:ascii="Arial" w:hAnsi="Arial" w:cs="Arial"/>
          <w:i/>
          <w:sz w:val="22"/>
          <w:szCs w:val="22"/>
        </w:rPr>
        <w:t>or agency policy?</w:t>
      </w:r>
      <w:r w:rsidRPr="008D7F04">
        <w:rPr>
          <w:rFonts w:ascii="Arial" w:hAnsi="Arial" w:cs="Arial"/>
          <w:i/>
          <w:sz w:val="22"/>
          <w:szCs w:val="22"/>
        </w:rPr>
        <w:t xml:space="preserve"> </w:t>
      </w:r>
    </w:p>
    <w:p w:rsidR="00EC4FC3" w:rsidRPr="008D7F04" w:rsidP="00D73D2D" w14:paraId="3171D1D6" w14:textId="77777777">
      <w:pPr>
        <w:rPr>
          <w:rFonts w:ascii="Arial" w:hAnsi="Arial" w:cs="Arial"/>
          <w:sz w:val="22"/>
          <w:szCs w:val="22"/>
        </w:rPr>
      </w:pPr>
    </w:p>
    <w:p w:rsidR="00790EEF" w:rsidRPr="008D7F04" w:rsidP="00F576D8" w14:paraId="3E6BCC02" w14:textId="313F4522">
      <w:pPr>
        <w:ind w:left="360"/>
        <w:rPr>
          <w:rFonts w:ascii="Arial" w:hAnsi="Arial" w:cs="Arial"/>
          <w:sz w:val="22"/>
          <w:szCs w:val="22"/>
        </w:rPr>
      </w:pPr>
      <w:r w:rsidRPr="008D7F04">
        <w:rPr>
          <w:rFonts w:ascii="Arial" w:hAnsi="Arial" w:cs="Arial"/>
          <w:sz w:val="22"/>
          <w:szCs w:val="22"/>
        </w:rPr>
        <w:t xml:space="preserve">TTB provides no specific assurance of confidentiality for this information collection request.  </w:t>
      </w:r>
      <w:r w:rsidRPr="008D7F04">
        <w:rPr>
          <w:rFonts w:ascii="Arial" w:hAnsi="Arial" w:cs="Arial"/>
          <w:sz w:val="22"/>
          <w:szCs w:val="22"/>
        </w:rPr>
        <w:t xml:space="preserve">However, </w:t>
      </w:r>
      <w:r w:rsidRPr="008D7F04" w:rsidR="00F576D8">
        <w:rPr>
          <w:rFonts w:ascii="Arial" w:hAnsi="Arial" w:cs="Arial"/>
          <w:sz w:val="22"/>
          <w:szCs w:val="22"/>
        </w:rPr>
        <w:t xml:space="preserve">while </w:t>
      </w:r>
      <w:r w:rsidRPr="008D7F04" w:rsidR="000E2C50">
        <w:rPr>
          <w:rFonts w:ascii="Arial" w:hAnsi="Arial" w:cs="Arial"/>
          <w:sz w:val="22"/>
          <w:szCs w:val="22"/>
        </w:rPr>
        <w:t xml:space="preserve">TTB does not make public </w:t>
      </w:r>
      <w:r w:rsidRPr="008D7F04" w:rsidR="00F576D8">
        <w:rPr>
          <w:rFonts w:ascii="Arial" w:hAnsi="Arial" w:cs="Arial"/>
          <w:sz w:val="22"/>
          <w:szCs w:val="22"/>
        </w:rPr>
        <w:t>information regarding pending and rejected FAA Act-related offers in compromise</w:t>
      </w:r>
      <w:bookmarkStart w:id="1" w:name="_Hlk191478331"/>
      <w:r w:rsidRPr="008D7F04" w:rsidR="00F576D8">
        <w:rPr>
          <w:rFonts w:ascii="Arial" w:hAnsi="Arial" w:cs="Arial"/>
          <w:sz w:val="22"/>
          <w:szCs w:val="22"/>
        </w:rPr>
        <w:t xml:space="preserve">, the TTB regulations at 27 CFR 70.802(a) provide for public inspection of an “abstract and statement” for all accepted offers in compromise.  </w:t>
      </w:r>
      <w:bookmarkEnd w:id="1"/>
      <w:r w:rsidRPr="008D7F04" w:rsidR="00F576D8">
        <w:rPr>
          <w:rFonts w:ascii="Arial" w:hAnsi="Arial" w:cs="Arial"/>
          <w:sz w:val="22"/>
          <w:szCs w:val="22"/>
        </w:rPr>
        <w:t>To make this disclosure, TTB creates a record for each accepted compromise using</w:t>
      </w:r>
      <w:r w:rsidRPr="008D7F04">
        <w:rPr>
          <w:rFonts w:ascii="Arial" w:hAnsi="Arial" w:cs="Arial"/>
          <w:sz w:val="22"/>
          <w:szCs w:val="22"/>
        </w:rPr>
        <w:t xml:space="preserve"> internal</w:t>
      </w:r>
      <w:r w:rsidRPr="008D7F04" w:rsidR="00F576D8">
        <w:rPr>
          <w:rFonts w:ascii="Arial" w:hAnsi="Arial" w:cs="Arial"/>
          <w:sz w:val="22"/>
          <w:szCs w:val="22"/>
        </w:rPr>
        <w:t xml:space="preserve"> form TTB F 5640.3, Abstract and Statement, which TTB posts on the Administrative Actions page of its website for public viewing (see </w:t>
      </w:r>
      <w:r w:rsidRPr="008D7F04" w:rsidR="00F576D8">
        <w:rPr>
          <w:rFonts w:ascii="Arial" w:hAnsi="Arial" w:cs="Arial"/>
          <w:i/>
          <w:sz w:val="22"/>
          <w:szCs w:val="22"/>
        </w:rPr>
        <w:t>https://www.ttb.gov/fo/administrative-cases</w:t>
      </w:r>
      <w:r w:rsidRPr="008D7F04" w:rsidR="00F576D8">
        <w:rPr>
          <w:rFonts w:ascii="Arial" w:hAnsi="Arial" w:cs="Arial"/>
          <w:sz w:val="22"/>
          <w:szCs w:val="22"/>
        </w:rPr>
        <w:t xml:space="preserve">).  That record identifies the offer’s proponent, the facts regarding the offer </w:t>
      </w:r>
      <w:r w:rsidRPr="008D7F04">
        <w:rPr>
          <w:rFonts w:ascii="Arial" w:hAnsi="Arial" w:cs="Arial"/>
          <w:sz w:val="22"/>
          <w:szCs w:val="22"/>
        </w:rPr>
        <w:t xml:space="preserve">in compromise </w:t>
      </w:r>
      <w:r w:rsidRPr="008D7F04" w:rsidR="00F576D8">
        <w:rPr>
          <w:rFonts w:ascii="Arial" w:hAnsi="Arial" w:cs="Arial"/>
          <w:sz w:val="22"/>
          <w:szCs w:val="22"/>
        </w:rPr>
        <w:t xml:space="preserve">and its amount, and TTB’s rationale for accepting the offer; however, TTB redacts any permit or taxpayer identification numbers from the posted statement. </w:t>
      </w:r>
    </w:p>
    <w:p w:rsidR="00AF1157" w:rsidRPr="008D7F04" w:rsidP="00D73D2D" w14:paraId="4AD6CDB3" w14:textId="77777777">
      <w:pPr>
        <w:suppressAutoHyphens/>
        <w:rPr>
          <w:rFonts w:ascii="Arial" w:hAnsi="Arial" w:cs="Arial"/>
          <w:sz w:val="28"/>
          <w:szCs w:val="28"/>
        </w:rPr>
      </w:pPr>
    </w:p>
    <w:p w:rsidR="0038747C" w:rsidRPr="008D7F04" w:rsidP="00D73D2D" w14:paraId="2D9E1E86" w14:textId="73B7E714">
      <w:pPr>
        <w:rPr>
          <w:rFonts w:ascii="Arial" w:hAnsi="Arial" w:cs="Arial"/>
          <w:i/>
          <w:sz w:val="22"/>
          <w:szCs w:val="22"/>
        </w:rPr>
      </w:pPr>
      <w:r w:rsidRPr="008D7F04">
        <w:rPr>
          <w:rFonts w:ascii="Arial" w:hAnsi="Arial" w:cs="Arial"/>
          <w:i/>
          <w:sz w:val="22"/>
          <w:szCs w:val="22"/>
        </w:rPr>
        <w:t xml:space="preserve">11.  </w:t>
      </w:r>
      <w:r w:rsidRPr="008D7F04">
        <w:rPr>
          <w:rFonts w:ascii="Arial" w:hAnsi="Arial" w:cs="Arial"/>
          <w:i/>
          <w:sz w:val="22"/>
          <w:szCs w:val="22"/>
        </w:rPr>
        <w:t>What</w:t>
      </w:r>
      <w:r w:rsidRPr="008D7F04">
        <w:rPr>
          <w:rFonts w:ascii="Arial" w:hAnsi="Arial" w:cs="Arial"/>
          <w:i/>
          <w:sz w:val="22"/>
          <w:szCs w:val="22"/>
        </w:rPr>
        <w:t xml:space="preserve"> is the</w:t>
      </w:r>
      <w:r w:rsidRPr="008D7F04">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D7F04">
        <w:rPr>
          <w:rFonts w:ascii="Arial" w:hAnsi="Arial" w:cs="Arial"/>
          <w:i/>
          <w:sz w:val="22"/>
          <w:szCs w:val="22"/>
        </w:rPr>
        <w:t xml:space="preserve">the </w:t>
      </w:r>
      <w:r w:rsidRPr="008D7F04">
        <w:rPr>
          <w:rFonts w:ascii="Arial" w:hAnsi="Arial" w:cs="Arial"/>
          <w:i/>
          <w:sz w:val="22"/>
          <w:szCs w:val="22"/>
        </w:rPr>
        <w:t>Privacy Act System of Records notice (SORN) issued for the electronic system in which the PII is being stored.</w:t>
      </w:r>
      <w:r w:rsidRPr="008D7F04">
        <w:rPr>
          <w:rFonts w:ascii="Arial" w:hAnsi="Arial" w:cs="Arial"/>
          <w:i/>
          <w:sz w:val="22"/>
          <w:szCs w:val="22"/>
        </w:rPr>
        <w:t xml:space="preserve"> </w:t>
      </w:r>
    </w:p>
    <w:p w:rsidR="0038747C" w:rsidRPr="008D7F04" w:rsidP="00D73D2D" w14:paraId="2605D3FF" w14:textId="77777777">
      <w:pPr>
        <w:rPr>
          <w:rFonts w:ascii="Arial" w:hAnsi="Arial" w:cs="Arial"/>
          <w:sz w:val="22"/>
          <w:szCs w:val="22"/>
        </w:rPr>
      </w:pPr>
    </w:p>
    <w:p w:rsidR="000B71B4" w:rsidRPr="008D7F04" w:rsidP="00F643CE" w14:paraId="3D72D041" w14:textId="71DA36C0">
      <w:pPr>
        <w:widowControl w:val="0"/>
        <w:suppressAutoHyphens/>
        <w:autoSpaceDE w:val="0"/>
        <w:autoSpaceDN w:val="0"/>
        <w:adjustRightInd w:val="0"/>
        <w:ind w:left="360"/>
        <w:rPr>
          <w:rFonts w:ascii="Arial" w:hAnsi="Arial" w:cs="Arial"/>
          <w:sz w:val="22"/>
          <w:szCs w:val="22"/>
        </w:rPr>
      </w:pPr>
      <w:r w:rsidRPr="008D7F04">
        <w:rPr>
          <w:rFonts w:ascii="Arial" w:hAnsi="Arial" w:cs="Arial"/>
          <w:sz w:val="22"/>
          <w:szCs w:val="22"/>
        </w:rPr>
        <w:t xml:space="preserve">This information collection request contains no questions of a sensitive nature.  However, this request does collect personally identifiable information (PII) in a government electronic system, the Case Management System, for which TTB has conducted a Privacy and Civil Liberties Impact Assessment (PCLIA).  In addition, the collected information is included </w:t>
      </w:r>
      <w:r w:rsidRPr="008D7F04">
        <w:rPr>
          <w:rFonts w:ascii="Arial" w:hAnsi="Arial" w:cs="Arial"/>
          <w:sz w:val="22"/>
          <w:szCs w:val="22"/>
        </w:rPr>
        <w:t xml:space="preserve">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at </w:t>
      </w:r>
      <w:r w:rsidRPr="008D7F04">
        <w:rPr>
          <w:rFonts w:ascii="Arial" w:hAnsi="Arial" w:cs="Arial"/>
          <w:i/>
          <w:iCs/>
          <w:sz w:val="22"/>
          <w:szCs w:val="22"/>
        </w:rPr>
        <w:t>https://www.ttb.gov/public-information/foia</w:t>
      </w:r>
      <w:r w:rsidRPr="008D7F04">
        <w:rPr>
          <w:rFonts w:ascii="Arial" w:hAnsi="Arial" w:cs="Arial"/>
          <w:sz w:val="22"/>
          <w:szCs w:val="22"/>
        </w:rPr>
        <w:t xml:space="preserve">. </w:t>
      </w:r>
    </w:p>
    <w:p w:rsidR="00AF1157" w:rsidRPr="008D7F04" w:rsidP="00D73D2D" w14:paraId="20526EB3" w14:textId="77777777">
      <w:pPr>
        <w:suppressAutoHyphens/>
        <w:rPr>
          <w:rFonts w:ascii="Arial" w:hAnsi="Arial" w:cs="Arial"/>
          <w:sz w:val="28"/>
          <w:szCs w:val="28"/>
        </w:rPr>
      </w:pPr>
    </w:p>
    <w:p w:rsidR="00AF1157" w:rsidRPr="008D7F04" w:rsidP="00D73D2D" w14:paraId="156D8BCB" w14:textId="0A7A2DAC">
      <w:pPr>
        <w:suppressAutoHyphens/>
        <w:rPr>
          <w:rFonts w:ascii="Arial" w:hAnsi="Arial" w:cs="Arial"/>
          <w:i/>
          <w:sz w:val="22"/>
          <w:szCs w:val="22"/>
        </w:rPr>
      </w:pPr>
      <w:r w:rsidRPr="008D7F04">
        <w:rPr>
          <w:rFonts w:ascii="Arial" w:hAnsi="Arial" w:cs="Arial"/>
          <w:i/>
          <w:sz w:val="22"/>
          <w:szCs w:val="22"/>
        </w:rPr>
        <w:t xml:space="preserve">12.  </w:t>
      </w:r>
      <w:r w:rsidRPr="008D7F04">
        <w:rPr>
          <w:rFonts w:ascii="Arial" w:hAnsi="Arial" w:cs="Arial"/>
          <w:i/>
          <w:sz w:val="22"/>
          <w:szCs w:val="22"/>
        </w:rPr>
        <w:t>What is the estimated hour burden of this collection of information?</w:t>
      </w:r>
      <w:r w:rsidRPr="008D7F04">
        <w:rPr>
          <w:rFonts w:ascii="Arial" w:hAnsi="Arial" w:cs="Arial"/>
          <w:i/>
          <w:sz w:val="22"/>
          <w:szCs w:val="22"/>
        </w:rPr>
        <w:t xml:space="preserve"> </w:t>
      </w:r>
    </w:p>
    <w:p w:rsidR="00AF1157" w:rsidRPr="008D7F04" w:rsidP="00D73D2D" w14:paraId="26989828" w14:textId="77777777">
      <w:pPr>
        <w:suppressAutoHyphens/>
        <w:rPr>
          <w:rFonts w:ascii="Arial" w:hAnsi="Arial" w:cs="Arial"/>
          <w:sz w:val="22"/>
          <w:szCs w:val="22"/>
        </w:rPr>
      </w:pPr>
    </w:p>
    <w:p w:rsidR="00D0312F" w:rsidRPr="008D7F04" w:rsidP="00437568" w14:paraId="3C749170" w14:textId="2C777C18">
      <w:pPr>
        <w:ind w:left="360"/>
        <w:rPr>
          <w:rFonts w:ascii="Arial" w:hAnsi="Arial" w:cs="Arial"/>
          <w:sz w:val="22"/>
          <w:szCs w:val="22"/>
        </w:rPr>
      </w:pPr>
      <w:r w:rsidRPr="008D7F04">
        <w:rPr>
          <w:rFonts w:ascii="Arial" w:hAnsi="Arial" w:cs="Arial"/>
          <w:sz w:val="22"/>
          <w:szCs w:val="22"/>
          <w:u w:val="single"/>
        </w:rPr>
        <w:t>Estimated Respondent Burden:</w:t>
      </w:r>
      <w:r w:rsidRPr="008D7F04">
        <w:rPr>
          <w:rFonts w:ascii="Arial" w:hAnsi="Arial" w:cs="Arial"/>
          <w:sz w:val="22"/>
          <w:szCs w:val="22"/>
        </w:rPr>
        <w:t xml:space="preserve">  </w:t>
      </w:r>
      <w:r w:rsidRPr="008D7F04" w:rsidR="002C2696">
        <w:rPr>
          <w:rFonts w:ascii="Arial" w:hAnsi="Arial" w:cs="Arial"/>
          <w:sz w:val="22"/>
          <w:szCs w:val="22"/>
        </w:rPr>
        <w:t>Based on recent data</w:t>
      </w:r>
      <w:r w:rsidRPr="008D7F04" w:rsidR="002B4C4D">
        <w:rPr>
          <w:rFonts w:ascii="Arial" w:hAnsi="Arial" w:cs="Arial"/>
          <w:sz w:val="22"/>
          <w:szCs w:val="22"/>
        </w:rPr>
        <w:t>, TTB estimates th</w:t>
      </w:r>
      <w:r w:rsidRPr="008D7F04" w:rsidR="00BC233D">
        <w:rPr>
          <w:rFonts w:ascii="Arial" w:hAnsi="Arial" w:cs="Arial"/>
          <w:sz w:val="22"/>
          <w:szCs w:val="22"/>
        </w:rPr>
        <w:t xml:space="preserve">at </w:t>
      </w:r>
      <w:r w:rsidRPr="008D7F04" w:rsidR="00062B09">
        <w:rPr>
          <w:rFonts w:ascii="Arial" w:hAnsi="Arial" w:cs="Arial"/>
          <w:sz w:val="22"/>
          <w:szCs w:val="22"/>
        </w:rPr>
        <w:t>1</w:t>
      </w:r>
      <w:r w:rsidRPr="008D7F04" w:rsidR="002C55F7">
        <w:rPr>
          <w:rFonts w:ascii="Arial" w:hAnsi="Arial" w:cs="Arial"/>
          <w:sz w:val="22"/>
          <w:szCs w:val="22"/>
        </w:rPr>
        <w:t>0</w:t>
      </w:r>
      <w:r w:rsidRPr="008D7F04" w:rsidR="00384337">
        <w:rPr>
          <w:rFonts w:ascii="Arial" w:hAnsi="Arial" w:cs="Arial"/>
          <w:sz w:val="22"/>
          <w:szCs w:val="22"/>
        </w:rPr>
        <w:t xml:space="preserve"> respondents </w:t>
      </w:r>
      <w:r w:rsidRPr="008D7F04" w:rsidR="00062B09">
        <w:rPr>
          <w:rFonts w:ascii="Arial" w:hAnsi="Arial" w:cs="Arial"/>
          <w:sz w:val="22"/>
          <w:szCs w:val="22"/>
        </w:rPr>
        <w:t xml:space="preserve">will each </w:t>
      </w:r>
      <w:r w:rsidRPr="008D7F04" w:rsidR="00E1170C">
        <w:rPr>
          <w:rFonts w:ascii="Arial" w:hAnsi="Arial" w:cs="Arial"/>
          <w:sz w:val="22"/>
          <w:szCs w:val="22"/>
        </w:rPr>
        <w:t xml:space="preserve">annually </w:t>
      </w:r>
      <w:r w:rsidRPr="008D7F04" w:rsidR="00BC233D">
        <w:rPr>
          <w:rFonts w:ascii="Arial" w:hAnsi="Arial" w:cs="Arial"/>
          <w:sz w:val="22"/>
          <w:szCs w:val="22"/>
        </w:rPr>
        <w:t xml:space="preserve">submit </w:t>
      </w:r>
      <w:r w:rsidRPr="008D7F04" w:rsidR="00384337">
        <w:rPr>
          <w:rFonts w:ascii="Arial" w:hAnsi="Arial" w:cs="Arial"/>
          <w:sz w:val="22"/>
          <w:szCs w:val="22"/>
        </w:rPr>
        <w:t>one</w:t>
      </w:r>
      <w:r w:rsidRPr="008D7F04" w:rsidR="00524F7B">
        <w:rPr>
          <w:rFonts w:ascii="Arial" w:hAnsi="Arial" w:cs="Arial"/>
          <w:sz w:val="22"/>
          <w:szCs w:val="22"/>
        </w:rPr>
        <w:t xml:space="preserve"> </w:t>
      </w:r>
      <w:r w:rsidRPr="008D7F04">
        <w:rPr>
          <w:rFonts w:ascii="Arial" w:hAnsi="Arial" w:cs="Arial"/>
          <w:sz w:val="22"/>
          <w:szCs w:val="22"/>
        </w:rPr>
        <w:t xml:space="preserve">FAA Act-related </w:t>
      </w:r>
      <w:r w:rsidRPr="008D7F04" w:rsidR="00BC233D">
        <w:rPr>
          <w:rFonts w:ascii="Arial" w:hAnsi="Arial" w:cs="Arial"/>
          <w:sz w:val="22"/>
          <w:szCs w:val="22"/>
        </w:rPr>
        <w:t xml:space="preserve">offer in compromise </w:t>
      </w:r>
      <w:r w:rsidRPr="008D7F04">
        <w:rPr>
          <w:rFonts w:ascii="Arial" w:hAnsi="Arial" w:cs="Arial"/>
          <w:sz w:val="22"/>
          <w:szCs w:val="22"/>
        </w:rPr>
        <w:t>using</w:t>
      </w:r>
      <w:r w:rsidRPr="008D7F04">
        <w:rPr>
          <w:rFonts w:ascii="Arial" w:hAnsi="Arial" w:cs="Arial"/>
          <w:sz w:val="22"/>
          <w:szCs w:val="22"/>
        </w:rPr>
        <w:t xml:space="preserve"> </w:t>
      </w:r>
      <w:r w:rsidRPr="008D7F04" w:rsidR="00062B09">
        <w:rPr>
          <w:rFonts w:ascii="Arial" w:hAnsi="Arial" w:cs="Arial"/>
          <w:sz w:val="22"/>
          <w:szCs w:val="22"/>
        </w:rPr>
        <w:t xml:space="preserve">form </w:t>
      </w:r>
      <w:r w:rsidRPr="008D7F04" w:rsidR="00BC233D">
        <w:rPr>
          <w:rFonts w:ascii="Arial" w:hAnsi="Arial" w:cs="Arial"/>
          <w:sz w:val="22"/>
          <w:szCs w:val="22"/>
        </w:rPr>
        <w:t>TTB F 5640.</w:t>
      </w:r>
      <w:r w:rsidRPr="008D7F04">
        <w:rPr>
          <w:rFonts w:ascii="Arial" w:hAnsi="Arial" w:cs="Arial"/>
          <w:sz w:val="22"/>
          <w:szCs w:val="22"/>
        </w:rPr>
        <w:t xml:space="preserve">2, </w:t>
      </w:r>
      <w:r w:rsidRPr="008D7F04" w:rsidR="00BC45B1">
        <w:rPr>
          <w:rFonts w:ascii="Arial" w:hAnsi="Arial" w:cs="Arial"/>
          <w:sz w:val="22"/>
          <w:szCs w:val="22"/>
        </w:rPr>
        <w:t xml:space="preserve">resulting in </w:t>
      </w:r>
      <w:r w:rsidRPr="008D7F04" w:rsidR="00062B09">
        <w:rPr>
          <w:rFonts w:ascii="Arial" w:hAnsi="Arial" w:cs="Arial"/>
          <w:sz w:val="22"/>
          <w:szCs w:val="22"/>
        </w:rPr>
        <w:t>1</w:t>
      </w:r>
      <w:r w:rsidRPr="008D7F04" w:rsidR="002C55F7">
        <w:rPr>
          <w:rFonts w:ascii="Arial" w:hAnsi="Arial" w:cs="Arial"/>
          <w:sz w:val="22"/>
          <w:szCs w:val="22"/>
        </w:rPr>
        <w:t>0</w:t>
      </w:r>
      <w:r w:rsidRPr="008D7F04" w:rsidR="00BC45B1">
        <w:rPr>
          <w:rFonts w:ascii="Arial" w:hAnsi="Arial" w:cs="Arial"/>
          <w:sz w:val="22"/>
          <w:szCs w:val="22"/>
        </w:rPr>
        <w:t xml:space="preserve"> total annual responses.  TTB </w:t>
      </w:r>
      <w:r w:rsidRPr="008D7F04" w:rsidR="00E1170C">
        <w:rPr>
          <w:rFonts w:ascii="Arial" w:hAnsi="Arial" w:cs="Arial"/>
          <w:sz w:val="22"/>
          <w:szCs w:val="22"/>
        </w:rPr>
        <w:t>additionally e</w:t>
      </w:r>
      <w:r w:rsidRPr="008D7F04">
        <w:rPr>
          <w:rFonts w:ascii="Arial" w:hAnsi="Arial" w:cs="Arial"/>
          <w:sz w:val="22"/>
          <w:szCs w:val="22"/>
        </w:rPr>
        <w:t xml:space="preserve">stimates </w:t>
      </w:r>
      <w:r w:rsidRPr="008D7F04" w:rsidR="00BC45B1">
        <w:rPr>
          <w:rFonts w:ascii="Arial" w:hAnsi="Arial" w:cs="Arial"/>
          <w:sz w:val="22"/>
          <w:szCs w:val="22"/>
        </w:rPr>
        <w:t xml:space="preserve">that each response </w:t>
      </w:r>
      <w:r w:rsidRPr="008D7F04" w:rsidR="00E1170C">
        <w:rPr>
          <w:rFonts w:ascii="Arial" w:hAnsi="Arial" w:cs="Arial"/>
          <w:sz w:val="22"/>
          <w:szCs w:val="22"/>
        </w:rPr>
        <w:t>takes 2 </w:t>
      </w:r>
      <w:r w:rsidRPr="008D7F04">
        <w:rPr>
          <w:rFonts w:ascii="Arial" w:hAnsi="Arial" w:cs="Arial"/>
          <w:sz w:val="22"/>
          <w:szCs w:val="22"/>
        </w:rPr>
        <w:t>hours to complete</w:t>
      </w:r>
      <w:r w:rsidRPr="008D7F04" w:rsidR="00BC45B1">
        <w:rPr>
          <w:rFonts w:ascii="Arial" w:hAnsi="Arial" w:cs="Arial"/>
          <w:sz w:val="22"/>
          <w:szCs w:val="22"/>
        </w:rPr>
        <w:t xml:space="preserve">, resulting in an estimated </w:t>
      </w:r>
      <w:r w:rsidRPr="008D7F04" w:rsidR="00E1170C">
        <w:rPr>
          <w:rFonts w:ascii="Arial" w:hAnsi="Arial" w:cs="Arial"/>
          <w:sz w:val="22"/>
          <w:szCs w:val="22"/>
        </w:rPr>
        <w:t xml:space="preserve">total annual burden of </w:t>
      </w:r>
      <w:r w:rsidRPr="008D7F04" w:rsidR="00062B09">
        <w:rPr>
          <w:rFonts w:ascii="Arial" w:hAnsi="Arial" w:cs="Arial"/>
          <w:sz w:val="22"/>
          <w:szCs w:val="22"/>
        </w:rPr>
        <w:t>2</w:t>
      </w:r>
      <w:r w:rsidRPr="008D7F04" w:rsidR="00BC45B1">
        <w:rPr>
          <w:rFonts w:ascii="Arial" w:hAnsi="Arial" w:cs="Arial"/>
          <w:sz w:val="22"/>
          <w:szCs w:val="22"/>
        </w:rPr>
        <w:t>0 hours for this information collection</w:t>
      </w:r>
      <w:r w:rsidR="008D7F04">
        <w:rPr>
          <w:rFonts w:ascii="Arial" w:hAnsi="Arial" w:cs="Arial"/>
          <w:sz w:val="22"/>
          <w:szCs w:val="22"/>
        </w:rPr>
        <w:t xml:space="preserve"> request</w:t>
      </w:r>
      <w:r w:rsidRPr="008D7F04" w:rsidR="00BC45B1">
        <w:rPr>
          <w:rFonts w:ascii="Arial" w:hAnsi="Arial" w:cs="Arial"/>
          <w:sz w:val="22"/>
          <w:szCs w:val="22"/>
        </w:rPr>
        <w:t xml:space="preserve">. </w:t>
      </w:r>
    </w:p>
    <w:p w:rsidR="00F643CE" w:rsidRPr="008D7F04" w:rsidP="00437568" w14:paraId="6AD32858" w14:textId="641A5E18">
      <w:pPr>
        <w:ind w:left="360"/>
        <w:rPr>
          <w:rFonts w:ascii="Arial" w:hAnsi="Arial" w:cs="Arial"/>
          <w:sz w:val="22"/>
          <w:szCs w:val="22"/>
        </w:rPr>
      </w:pPr>
    </w:p>
    <w:p w:rsidR="00F643CE" w:rsidRPr="008D7F04" w:rsidP="000D47D9" w14:paraId="45D54C97" w14:textId="0F7EADAB">
      <w:pPr>
        <w:ind w:left="360"/>
        <w:rPr>
          <w:rFonts w:ascii="Arial" w:hAnsi="Arial" w:cs="Arial"/>
          <w:sz w:val="22"/>
          <w:szCs w:val="22"/>
        </w:rPr>
      </w:pPr>
      <w:r w:rsidRPr="008D7F04">
        <w:rPr>
          <w:rFonts w:ascii="Arial" w:hAnsi="Arial" w:cs="Arial"/>
          <w:sz w:val="22"/>
          <w:szCs w:val="22"/>
          <w:u w:val="single"/>
        </w:rPr>
        <w:t>Estimated Respondent Labor Costs:</w:t>
      </w:r>
      <w:r w:rsidRPr="008D7F04">
        <w:rPr>
          <w:rFonts w:ascii="Arial" w:hAnsi="Arial" w:cs="Arial"/>
          <w:sz w:val="22"/>
          <w:szCs w:val="22"/>
        </w:rPr>
        <w:t xml:space="preserve">  </w:t>
      </w:r>
      <w:r w:rsidRPr="008D7F04" w:rsidR="00062B09">
        <w:rPr>
          <w:rFonts w:ascii="Arial" w:hAnsi="Arial" w:cs="Arial"/>
          <w:sz w:val="22"/>
          <w:szCs w:val="22"/>
        </w:rPr>
        <w:t xml:space="preserve">While respondents are not required to engage the services of a lawyer, accountant, or other professional to make an offer in compromise, TTB is basing the estimated maximum respondent labor cost for this collection on the use of a lawyer </w:t>
      </w:r>
      <w:r w:rsidRPr="008D7F04" w:rsidR="000D47D9">
        <w:rPr>
          <w:rFonts w:ascii="Arial" w:hAnsi="Arial" w:cs="Arial"/>
          <w:sz w:val="22"/>
          <w:szCs w:val="22"/>
        </w:rPr>
        <w:t xml:space="preserve">employed </w:t>
      </w:r>
      <w:r w:rsidRPr="008D7F04" w:rsidR="00062B09">
        <w:rPr>
          <w:rFonts w:ascii="Arial" w:hAnsi="Arial" w:cs="Arial"/>
          <w:sz w:val="22"/>
          <w:szCs w:val="22"/>
        </w:rPr>
        <w:t>in the beverage manufacturing industry.  Based on a fully-loaded labor rate of $1</w:t>
      </w:r>
      <w:r w:rsidRPr="008D7F04" w:rsidR="000D47D9">
        <w:rPr>
          <w:rFonts w:ascii="Arial" w:hAnsi="Arial" w:cs="Arial"/>
          <w:sz w:val="22"/>
          <w:szCs w:val="22"/>
        </w:rPr>
        <w:t>30.58</w:t>
      </w:r>
      <w:r w:rsidRPr="008D7F04" w:rsidR="00062B09">
        <w:rPr>
          <w:rFonts w:ascii="Arial" w:hAnsi="Arial" w:cs="Arial"/>
          <w:sz w:val="22"/>
          <w:szCs w:val="22"/>
        </w:rPr>
        <w:t xml:space="preserve"> </w:t>
      </w:r>
      <w:r w:rsidRPr="008D7F04" w:rsidR="000D47D9">
        <w:rPr>
          <w:rFonts w:ascii="Arial" w:hAnsi="Arial" w:cs="Arial"/>
          <w:sz w:val="22"/>
          <w:szCs w:val="22"/>
        </w:rPr>
        <w:t xml:space="preserve">per hour </w:t>
      </w:r>
      <w:r w:rsidRPr="008D7F04" w:rsidR="00062B09">
        <w:rPr>
          <w:rFonts w:ascii="Arial" w:hAnsi="Arial" w:cs="Arial"/>
          <w:sz w:val="22"/>
          <w:szCs w:val="22"/>
        </w:rPr>
        <w:t xml:space="preserve">for such lawyers, TTB estimates the annual </w:t>
      </w:r>
      <w:r w:rsidRPr="008D7F04" w:rsidR="000D47D9">
        <w:rPr>
          <w:rFonts w:ascii="Arial" w:hAnsi="Arial" w:cs="Arial"/>
          <w:sz w:val="22"/>
          <w:szCs w:val="22"/>
        </w:rPr>
        <w:t xml:space="preserve">maximum </w:t>
      </w:r>
      <w:r w:rsidRPr="008D7F04" w:rsidR="00062B09">
        <w:rPr>
          <w:rFonts w:ascii="Arial" w:hAnsi="Arial" w:cs="Arial"/>
          <w:sz w:val="22"/>
          <w:szCs w:val="22"/>
        </w:rPr>
        <w:t>respondent labor costs for this information collection request as follows</w:t>
      </w:r>
      <w:r w:rsidRPr="008D7F04">
        <w:rPr>
          <w:rFonts w:ascii="Arial" w:hAnsi="Arial" w:cs="Arial"/>
          <w:sz w:val="22"/>
          <w:szCs w:val="22"/>
        </w:rPr>
        <w:t>:</w:t>
      </w:r>
      <w:r>
        <w:rPr>
          <w:rFonts w:ascii="Arial" w:hAnsi="Arial" w:cs="Arial"/>
          <w:sz w:val="22"/>
          <w:szCs w:val="22"/>
          <w:vertAlign w:val="superscript"/>
        </w:rPr>
        <w:footnoteReference w:id="2"/>
      </w:r>
      <w:r w:rsidRPr="008D7F04">
        <w:rPr>
          <w:rFonts w:ascii="Arial" w:hAnsi="Arial" w:cs="Arial"/>
          <w:sz w:val="22"/>
          <w:szCs w:val="22"/>
        </w:rPr>
        <w:t xml:space="preserve"> </w:t>
      </w:r>
    </w:p>
    <w:p w:rsidR="00E1170C" w:rsidRPr="008D7F04" w:rsidP="00E1170C" w14:paraId="4C0A068F"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23"/>
        <w:gridCol w:w="1322"/>
        <w:gridCol w:w="1322"/>
        <w:gridCol w:w="1433"/>
        <w:gridCol w:w="1322"/>
        <w:gridCol w:w="1902"/>
        <w:gridCol w:w="16"/>
      </w:tblGrid>
      <w:tr w14:paraId="6EC8282F" w14:textId="77777777" w:rsidTr="00013886">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57"/>
          <w:jc w:val="center"/>
        </w:trPr>
        <w:tc>
          <w:tcPr>
            <w:tcW w:w="8640" w:type="dxa"/>
            <w:gridSpan w:val="7"/>
            <w:shd w:val="clear" w:color="auto" w:fill="auto"/>
            <w:vAlign w:val="center"/>
          </w:tcPr>
          <w:p w:rsidR="00013886" w:rsidRPr="008D7F04" w:rsidP="00013886" w14:paraId="18FAFD50" w14:textId="62D49FA2">
            <w:pPr>
              <w:jc w:val="center"/>
              <w:rPr>
                <w:rFonts w:ascii="Arial" w:hAnsi="Arial" w:cs="Arial"/>
                <w:b/>
                <w:sz w:val="20"/>
                <w:szCs w:val="20"/>
              </w:rPr>
            </w:pPr>
            <w:r w:rsidRPr="008D7F04">
              <w:rPr>
                <w:rFonts w:ascii="Arial" w:hAnsi="Arial" w:cs="Arial"/>
                <w:b/>
                <w:sz w:val="20"/>
                <w:szCs w:val="20"/>
              </w:rPr>
              <w:t>Respondent Labor Costs for OMB No. 1513–0055</w:t>
            </w:r>
            <w:r w:rsidRPr="008D7F04" w:rsidR="000D47D9">
              <w:rPr>
                <w:rFonts w:ascii="Arial" w:hAnsi="Arial" w:cs="Arial"/>
                <w:b/>
                <w:sz w:val="20"/>
                <w:szCs w:val="20"/>
              </w:rPr>
              <w:t xml:space="preserve"> </w:t>
            </w:r>
          </w:p>
          <w:p w:rsidR="00E1170C" w:rsidRPr="008D7F04" w:rsidP="00013886" w14:paraId="1FA3ED02" w14:textId="1483CCB4">
            <w:pPr>
              <w:jc w:val="center"/>
              <w:rPr>
                <w:rFonts w:ascii="Arial" w:hAnsi="Arial" w:cs="Arial"/>
                <w:b/>
                <w:sz w:val="18"/>
                <w:szCs w:val="18"/>
              </w:rPr>
            </w:pPr>
            <w:r w:rsidRPr="008D7F04">
              <w:rPr>
                <w:rFonts w:ascii="Arial" w:hAnsi="Arial" w:cs="Arial"/>
                <w:b/>
                <w:sz w:val="18"/>
                <w:szCs w:val="18"/>
              </w:rPr>
              <w:t>(</w:t>
            </w:r>
            <w:r w:rsidRPr="008D7F04" w:rsidR="00013886">
              <w:rPr>
                <w:rFonts w:ascii="Arial" w:hAnsi="Arial" w:cs="Arial"/>
                <w:b/>
                <w:sz w:val="18"/>
                <w:szCs w:val="18"/>
              </w:rPr>
              <w:t>Lawyers in the Beverage Manufacturing Industry</w:t>
            </w:r>
            <w:r w:rsidRPr="008D7F04">
              <w:rPr>
                <w:rFonts w:ascii="Arial" w:hAnsi="Arial" w:cs="Arial"/>
                <w:b/>
                <w:sz w:val="18"/>
                <w:szCs w:val="18"/>
              </w:rPr>
              <w:t xml:space="preserve"> at $130.58/hour</w:t>
            </w:r>
            <w:r w:rsidRPr="008D7F04" w:rsidR="00013886">
              <w:rPr>
                <w:rFonts w:ascii="Arial" w:hAnsi="Arial" w:cs="Arial"/>
                <w:b/>
                <w:sz w:val="18"/>
                <w:szCs w:val="18"/>
              </w:rPr>
              <w:t>)</w:t>
            </w:r>
          </w:p>
        </w:tc>
      </w:tr>
      <w:tr w14:paraId="532CE91B" w14:textId="77777777" w:rsidTr="00C93D1A">
        <w:tblPrEx>
          <w:tblW w:w="8640" w:type="dxa"/>
          <w:jc w:val="center"/>
          <w:tblLayout w:type="fixed"/>
          <w:tblCellMar>
            <w:left w:w="29" w:type="dxa"/>
            <w:right w:w="29" w:type="dxa"/>
          </w:tblCellMar>
          <w:tblLook w:val="04A0"/>
        </w:tblPrEx>
        <w:trPr>
          <w:gridAfter w:val="1"/>
          <w:wAfter w:w="16" w:type="dxa"/>
          <w:trHeight w:val="576"/>
          <w:jc w:val="center"/>
        </w:trPr>
        <w:tc>
          <w:tcPr>
            <w:tcW w:w="1323" w:type="dxa"/>
            <w:shd w:val="clear" w:color="auto" w:fill="auto"/>
            <w:tcMar>
              <w:left w:w="29" w:type="dxa"/>
              <w:right w:w="29" w:type="dxa"/>
            </w:tcMar>
            <w:vAlign w:val="center"/>
          </w:tcPr>
          <w:p w:rsidR="00E1170C" w:rsidRPr="008D7F04" w:rsidP="00E1170C" w14:paraId="0FBA97B3" w14:textId="73641D44">
            <w:pPr>
              <w:jc w:val="center"/>
              <w:rPr>
                <w:rFonts w:ascii="Arial" w:hAnsi="Arial" w:cs="Arial"/>
                <w:sz w:val="20"/>
                <w:szCs w:val="20"/>
              </w:rPr>
            </w:pPr>
            <w:r w:rsidRPr="008D7F04">
              <w:rPr>
                <w:rFonts w:ascii="Arial" w:hAnsi="Arial" w:cs="Arial"/>
                <w:sz w:val="20"/>
                <w:szCs w:val="20"/>
              </w:rPr>
              <w:t>Avg. Time / Response</w:t>
            </w:r>
          </w:p>
        </w:tc>
        <w:tc>
          <w:tcPr>
            <w:tcW w:w="1322" w:type="dxa"/>
            <w:shd w:val="clear" w:color="auto" w:fill="auto"/>
            <w:tcMar>
              <w:left w:w="29" w:type="dxa"/>
              <w:right w:w="29" w:type="dxa"/>
            </w:tcMar>
            <w:vAlign w:val="center"/>
          </w:tcPr>
          <w:p w:rsidR="00E1170C" w:rsidRPr="008D7F04" w:rsidP="00E1170C" w14:paraId="045A74FD" w14:textId="77777777">
            <w:pPr>
              <w:jc w:val="center"/>
              <w:rPr>
                <w:rFonts w:ascii="Arial" w:hAnsi="Arial" w:cs="Arial"/>
                <w:sz w:val="20"/>
                <w:szCs w:val="20"/>
              </w:rPr>
            </w:pPr>
            <w:r w:rsidRPr="008D7F04">
              <w:rPr>
                <w:rFonts w:ascii="Arial" w:hAnsi="Arial" w:cs="Arial"/>
                <w:sz w:val="20"/>
                <w:szCs w:val="20"/>
              </w:rPr>
              <w:t>Labor Cost / Response</w:t>
            </w:r>
          </w:p>
        </w:tc>
        <w:tc>
          <w:tcPr>
            <w:tcW w:w="1322" w:type="dxa"/>
            <w:shd w:val="clear" w:color="auto" w:fill="auto"/>
            <w:vAlign w:val="center"/>
          </w:tcPr>
          <w:p w:rsidR="00E1170C" w:rsidRPr="008D7F04" w:rsidP="00E1170C" w14:paraId="1D46C1EA" w14:textId="77777777">
            <w:pPr>
              <w:jc w:val="center"/>
              <w:rPr>
                <w:rFonts w:ascii="Arial" w:hAnsi="Arial" w:cs="Arial"/>
                <w:sz w:val="20"/>
                <w:szCs w:val="20"/>
              </w:rPr>
            </w:pPr>
            <w:r w:rsidRPr="008D7F04">
              <w:rPr>
                <w:rFonts w:ascii="Arial" w:hAnsi="Arial" w:cs="Arial"/>
                <w:sz w:val="20"/>
                <w:szCs w:val="20"/>
              </w:rPr>
              <w:t>Responses / Respondent</w:t>
            </w:r>
          </w:p>
        </w:tc>
        <w:tc>
          <w:tcPr>
            <w:tcW w:w="1433" w:type="dxa"/>
            <w:tcBorders>
              <w:right w:val="single" w:sz="12" w:space="0" w:color="auto"/>
            </w:tcBorders>
            <w:shd w:val="clear" w:color="auto" w:fill="auto"/>
            <w:vAlign w:val="center"/>
          </w:tcPr>
          <w:p w:rsidR="00E1170C" w:rsidRPr="008D7F04" w:rsidP="00E1170C" w14:paraId="3E89E3BB" w14:textId="62C3BFAC">
            <w:pPr>
              <w:jc w:val="center"/>
              <w:rPr>
                <w:rFonts w:ascii="Arial" w:hAnsi="Arial" w:cs="Arial"/>
                <w:sz w:val="20"/>
                <w:szCs w:val="20"/>
              </w:rPr>
            </w:pPr>
            <w:r w:rsidRPr="008D7F04">
              <w:rPr>
                <w:rFonts w:ascii="Arial" w:hAnsi="Arial" w:cs="Arial"/>
                <w:sz w:val="20"/>
                <w:szCs w:val="20"/>
              </w:rPr>
              <w:t>Labor Costs / Respondent</w:t>
            </w:r>
          </w:p>
        </w:tc>
        <w:tc>
          <w:tcPr>
            <w:tcW w:w="1322" w:type="dxa"/>
            <w:tcBorders>
              <w:left w:val="single" w:sz="12" w:space="0" w:color="auto"/>
            </w:tcBorders>
            <w:shd w:val="clear" w:color="auto" w:fill="auto"/>
            <w:tcMar>
              <w:left w:w="29" w:type="dxa"/>
              <w:right w:w="29" w:type="dxa"/>
            </w:tcMar>
            <w:vAlign w:val="center"/>
          </w:tcPr>
          <w:p w:rsidR="00E1170C" w:rsidRPr="008D7F04" w:rsidP="00E1170C" w14:paraId="4AF25FD7" w14:textId="2005FA5F">
            <w:pPr>
              <w:jc w:val="center"/>
              <w:rPr>
                <w:rFonts w:ascii="Arial" w:hAnsi="Arial" w:cs="Arial"/>
                <w:sz w:val="20"/>
                <w:szCs w:val="20"/>
              </w:rPr>
            </w:pPr>
            <w:r w:rsidRPr="008D7F04">
              <w:rPr>
                <w:rFonts w:ascii="Arial" w:hAnsi="Arial" w:cs="Arial"/>
                <w:sz w:val="20"/>
                <w:szCs w:val="20"/>
              </w:rPr>
              <w:t>Total Respon</w:t>
            </w:r>
            <w:r w:rsidRPr="008D7F04" w:rsidR="000D47D9">
              <w:rPr>
                <w:rFonts w:ascii="Arial" w:hAnsi="Arial" w:cs="Arial"/>
                <w:sz w:val="20"/>
                <w:szCs w:val="20"/>
              </w:rPr>
              <w:t>dents</w:t>
            </w:r>
          </w:p>
        </w:tc>
        <w:tc>
          <w:tcPr>
            <w:tcW w:w="1902" w:type="dxa"/>
            <w:shd w:val="clear" w:color="auto" w:fill="auto"/>
            <w:tcMar>
              <w:left w:w="29" w:type="dxa"/>
              <w:right w:w="29" w:type="dxa"/>
            </w:tcMar>
            <w:vAlign w:val="center"/>
          </w:tcPr>
          <w:p w:rsidR="00E1170C" w:rsidRPr="008D7F04" w:rsidP="00E1170C" w14:paraId="4F538BF4" w14:textId="0A9D2100">
            <w:pPr>
              <w:jc w:val="center"/>
              <w:rPr>
                <w:rFonts w:ascii="Arial" w:hAnsi="Arial" w:cs="Arial"/>
                <w:sz w:val="20"/>
                <w:szCs w:val="20"/>
              </w:rPr>
            </w:pPr>
            <w:r w:rsidRPr="008D7F04">
              <w:rPr>
                <w:rFonts w:ascii="Arial" w:hAnsi="Arial" w:cs="Arial"/>
                <w:sz w:val="20"/>
                <w:szCs w:val="20"/>
              </w:rPr>
              <w:t>Total Labor Costs</w:t>
            </w:r>
          </w:p>
        </w:tc>
      </w:tr>
      <w:tr w14:paraId="01E0C8C1" w14:textId="77777777" w:rsidTr="00C93D1A">
        <w:tblPrEx>
          <w:tblW w:w="8640" w:type="dxa"/>
          <w:jc w:val="center"/>
          <w:tblLayout w:type="fixed"/>
          <w:tblCellMar>
            <w:left w:w="29" w:type="dxa"/>
            <w:right w:w="29" w:type="dxa"/>
          </w:tblCellMar>
          <w:tblLook w:val="04A0"/>
        </w:tblPrEx>
        <w:trPr>
          <w:gridAfter w:val="1"/>
          <w:wAfter w:w="16" w:type="dxa"/>
          <w:trHeight w:val="576"/>
          <w:jc w:val="center"/>
        </w:trPr>
        <w:tc>
          <w:tcPr>
            <w:tcW w:w="1323" w:type="dxa"/>
            <w:shd w:val="clear" w:color="auto" w:fill="auto"/>
            <w:tcMar>
              <w:left w:w="29" w:type="dxa"/>
              <w:right w:w="29" w:type="dxa"/>
            </w:tcMar>
            <w:vAlign w:val="center"/>
          </w:tcPr>
          <w:p w:rsidR="00E1170C" w:rsidRPr="008D7F04" w:rsidP="00C93D1A" w14:paraId="7CF78600" w14:textId="637C93EC">
            <w:pPr>
              <w:jc w:val="center"/>
              <w:rPr>
                <w:rFonts w:ascii="Arial" w:hAnsi="Arial" w:cs="Arial"/>
                <w:sz w:val="20"/>
                <w:szCs w:val="20"/>
              </w:rPr>
            </w:pPr>
            <w:r w:rsidRPr="008D7F04">
              <w:rPr>
                <w:rFonts w:ascii="Arial" w:hAnsi="Arial" w:cs="Arial"/>
                <w:sz w:val="20"/>
                <w:szCs w:val="20"/>
              </w:rPr>
              <w:t>2.0 h</w:t>
            </w:r>
            <w:r w:rsidRPr="008D7F04">
              <w:rPr>
                <w:rFonts w:ascii="Arial" w:hAnsi="Arial" w:cs="Arial"/>
                <w:sz w:val="20"/>
                <w:szCs w:val="20"/>
              </w:rPr>
              <w:t>ours</w:t>
            </w:r>
          </w:p>
        </w:tc>
        <w:tc>
          <w:tcPr>
            <w:tcW w:w="1322" w:type="dxa"/>
            <w:shd w:val="clear" w:color="auto" w:fill="auto"/>
            <w:tcMar>
              <w:left w:w="29" w:type="dxa"/>
              <w:right w:w="29" w:type="dxa"/>
            </w:tcMar>
            <w:vAlign w:val="center"/>
          </w:tcPr>
          <w:p w:rsidR="00E1170C" w:rsidRPr="008D7F04" w:rsidP="00E1170C" w14:paraId="3EDC9BFF" w14:textId="5C9BF104">
            <w:pPr>
              <w:jc w:val="center"/>
              <w:rPr>
                <w:rFonts w:ascii="Arial" w:hAnsi="Arial" w:cs="Arial"/>
                <w:sz w:val="20"/>
                <w:szCs w:val="20"/>
              </w:rPr>
            </w:pPr>
            <w:r w:rsidRPr="008D7F04">
              <w:rPr>
                <w:rFonts w:ascii="Arial" w:hAnsi="Arial" w:cs="Arial"/>
                <w:sz w:val="20"/>
                <w:szCs w:val="20"/>
              </w:rPr>
              <w:t>$261.16</w:t>
            </w:r>
          </w:p>
        </w:tc>
        <w:tc>
          <w:tcPr>
            <w:tcW w:w="1322" w:type="dxa"/>
            <w:shd w:val="clear" w:color="auto" w:fill="auto"/>
            <w:vAlign w:val="center"/>
          </w:tcPr>
          <w:p w:rsidR="00E1170C" w:rsidRPr="008D7F04" w:rsidP="00E1170C" w14:paraId="305951FD" w14:textId="2062DF49">
            <w:pPr>
              <w:jc w:val="center"/>
              <w:rPr>
                <w:rFonts w:ascii="Arial" w:hAnsi="Arial" w:cs="Arial"/>
                <w:sz w:val="20"/>
                <w:szCs w:val="20"/>
              </w:rPr>
            </w:pPr>
            <w:r w:rsidRPr="008D7F04">
              <w:rPr>
                <w:rFonts w:ascii="Arial" w:hAnsi="Arial" w:cs="Arial"/>
                <w:sz w:val="20"/>
                <w:szCs w:val="20"/>
              </w:rPr>
              <w:t>1</w:t>
            </w:r>
          </w:p>
        </w:tc>
        <w:tc>
          <w:tcPr>
            <w:tcW w:w="1433" w:type="dxa"/>
            <w:tcBorders>
              <w:right w:val="single" w:sz="12" w:space="0" w:color="auto"/>
            </w:tcBorders>
            <w:shd w:val="clear" w:color="auto" w:fill="auto"/>
            <w:vAlign w:val="center"/>
          </w:tcPr>
          <w:p w:rsidR="00E1170C" w:rsidRPr="008D7F04" w:rsidP="00E1170C" w14:paraId="6DAB3445" w14:textId="75D0D54F">
            <w:pPr>
              <w:jc w:val="center"/>
              <w:rPr>
                <w:rFonts w:ascii="Arial" w:hAnsi="Arial" w:cs="Arial"/>
                <w:sz w:val="20"/>
                <w:szCs w:val="20"/>
              </w:rPr>
            </w:pPr>
            <w:r w:rsidRPr="008D7F04">
              <w:rPr>
                <w:rFonts w:ascii="Arial" w:hAnsi="Arial" w:cs="Arial"/>
                <w:sz w:val="20"/>
                <w:szCs w:val="20"/>
              </w:rPr>
              <w:t>$261.16</w:t>
            </w:r>
          </w:p>
        </w:tc>
        <w:tc>
          <w:tcPr>
            <w:tcW w:w="1322" w:type="dxa"/>
            <w:tcBorders>
              <w:left w:val="single" w:sz="12" w:space="0" w:color="auto"/>
            </w:tcBorders>
            <w:shd w:val="clear" w:color="auto" w:fill="auto"/>
            <w:tcMar>
              <w:left w:w="29" w:type="dxa"/>
              <w:right w:w="29" w:type="dxa"/>
            </w:tcMar>
            <w:vAlign w:val="center"/>
          </w:tcPr>
          <w:p w:rsidR="00E1170C" w:rsidRPr="008D7F04" w:rsidP="00E1170C" w14:paraId="5C012158" w14:textId="4736128B">
            <w:pPr>
              <w:jc w:val="center"/>
              <w:rPr>
                <w:rFonts w:ascii="Arial" w:hAnsi="Arial" w:cs="Arial"/>
                <w:sz w:val="20"/>
                <w:szCs w:val="20"/>
              </w:rPr>
            </w:pPr>
            <w:r w:rsidRPr="008D7F04">
              <w:rPr>
                <w:rFonts w:ascii="Arial" w:hAnsi="Arial" w:cs="Arial"/>
                <w:sz w:val="20"/>
                <w:szCs w:val="20"/>
              </w:rPr>
              <w:t>10</w:t>
            </w:r>
          </w:p>
        </w:tc>
        <w:tc>
          <w:tcPr>
            <w:tcW w:w="1902" w:type="dxa"/>
            <w:shd w:val="clear" w:color="auto" w:fill="auto"/>
            <w:tcMar>
              <w:left w:w="29" w:type="dxa"/>
              <w:right w:w="29" w:type="dxa"/>
            </w:tcMar>
            <w:vAlign w:val="center"/>
          </w:tcPr>
          <w:p w:rsidR="00E1170C" w:rsidRPr="008D7F04" w:rsidP="00E1170C" w14:paraId="32690490" w14:textId="63BF6287">
            <w:pPr>
              <w:jc w:val="center"/>
              <w:rPr>
                <w:rFonts w:ascii="Arial" w:hAnsi="Arial" w:cs="Arial"/>
                <w:sz w:val="20"/>
                <w:szCs w:val="20"/>
              </w:rPr>
            </w:pPr>
            <w:r w:rsidRPr="008D7F04">
              <w:rPr>
                <w:rFonts w:ascii="Arial" w:hAnsi="Arial" w:cs="Arial"/>
                <w:sz w:val="20"/>
                <w:szCs w:val="20"/>
              </w:rPr>
              <w:t>$2,611.60</w:t>
            </w:r>
          </w:p>
        </w:tc>
      </w:tr>
    </w:tbl>
    <w:p w:rsidR="00E1170C" w:rsidRPr="008D7F04" w:rsidP="003E7D96" w14:paraId="4D37AF90" w14:textId="46464088">
      <w:pPr>
        <w:spacing w:before="40"/>
        <w:ind w:left="360"/>
        <w:rPr>
          <w:rFonts w:ascii="Arial" w:hAnsi="Arial" w:cs="Arial"/>
          <w:sz w:val="18"/>
          <w:szCs w:val="18"/>
        </w:rPr>
      </w:pPr>
      <w:r w:rsidRPr="008D7F04">
        <w:rPr>
          <w:rFonts w:ascii="Arial" w:hAnsi="Arial" w:cs="Arial"/>
          <w:sz w:val="22"/>
          <w:szCs w:val="22"/>
        </w:rPr>
        <w:t xml:space="preserve">* </w:t>
      </w:r>
      <w:r w:rsidRPr="008D7F04" w:rsidR="00C93D1A">
        <w:rPr>
          <w:rFonts w:ascii="Arial" w:hAnsi="Arial" w:cs="Arial"/>
          <w:sz w:val="18"/>
          <w:szCs w:val="18"/>
        </w:rPr>
        <w:t>L</w:t>
      </w:r>
      <w:r w:rsidRPr="008D7F04">
        <w:rPr>
          <w:rFonts w:ascii="Arial" w:hAnsi="Arial" w:cs="Arial"/>
          <w:sz w:val="18"/>
          <w:szCs w:val="18"/>
        </w:rPr>
        <w:t xml:space="preserve">abor costs rounded to the nearest whole cent. </w:t>
      </w:r>
    </w:p>
    <w:p w:rsidR="00E1170C" w:rsidRPr="008D7F04" w:rsidP="00F643CE" w14:paraId="4A6DF2B2" w14:textId="15EFED1D">
      <w:pPr>
        <w:ind w:left="360"/>
        <w:rPr>
          <w:rFonts w:ascii="Arial" w:hAnsi="Arial" w:cs="Arial"/>
          <w:sz w:val="22"/>
          <w:szCs w:val="22"/>
        </w:rPr>
      </w:pPr>
    </w:p>
    <w:p w:rsidR="00AE17E1" w:rsidRPr="008D7F04" w:rsidP="00F643CE" w14:paraId="6DE8989A" w14:textId="45B9D4D1">
      <w:pPr>
        <w:ind w:left="360"/>
        <w:rPr>
          <w:rFonts w:ascii="Arial" w:hAnsi="Arial" w:cs="Arial"/>
          <w:sz w:val="22"/>
          <w:szCs w:val="22"/>
        </w:rPr>
      </w:pPr>
      <w:r w:rsidRPr="008D7F04">
        <w:rPr>
          <w:rFonts w:ascii="Arial" w:hAnsi="Arial" w:cs="Arial"/>
          <w:sz w:val="22"/>
          <w:szCs w:val="22"/>
          <w:u w:val="single"/>
        </w:rPr>
        <w:t>Recordkeeping Burden:</w:t>
      </w:r>
      <w:r w:rsidRPr="008D7F04">
        <w:rPr>
          <w:rFonts w:ascii="Arial" w:hAnsi="Arial" w:cs="Arial"/>
          <w:sz w:val="22"/>
          <w:szCs w:val="22"/>
        </w:rPr>
        <w:t xml:space="preserve">  </w:t>
      </w:r>
      <w:r w:rsidRPr="008D7F04" w:rsidR="00EA6AC6">
        <w:rPr>
          <w:rFonts w:ascii="Arial" w:hAnsi="Arial" w:cs="Arial"/>
          <w:sz w:val="22"/>
          <w:szCs w:val="22"/>
        </w:rPr>
        <w:t>There is no stated recordkeeping period for this information collection</w:t>
      </w:r>
      <w:r w:rsidRPr="008D7F04" w:rsidR="00654395">
        <w:rPr>
          <w:rFonts w:ascii="Arial" w:hAnsi="Arial" w:cs="Arial"/>
          <w:sz w:val="22"/>
          <w:szCs w:val="22"/>
        </w:rPr>
        <w:t xml:space="preserve"> request</w:t>
      </w:r>
      <w:r w:rsidRPr="008D7F04" w:rsidR="00EA6AC6">
        <w:rPr>
          <w:rFonts w:ascii="Arial" w:hAnsi="Arial" w:cs="Arial"/>
          <w:sz w:val="22"/>
          <w:szCs w:val="22"/>
        </w:rPr>
        <w:t xml:space="preserve">. </w:t>
      </w:r>
    </w:p>
    <w:p w:rsidR="00AF060A" w:rsidRPr="008D7F04" w:rsidP="00D73D2D" w14:paraId="60FBC7BE" w14:textId="77777777">
      <w:pPr>
        <w:rPr>
          <w:rFonts w:ascii="Arial" w:hAnsi="Arial" w:cs="Arial"/>
          <w:sz w:val="28"/>
          <w:szCs w:val="28"/>
        </w:rPr>
      </w:pPr>
    </w:p>
    <w:p w:rsidR="00101DE7" w:rsidRPr="008D7F04" w:rsidP="00D73D2D" w14:paraId="362AB6BD" w14:textId="77777777">
      <w:pPr>
        <w:suppressAutoHyphens/>
        <w:rPr>
          <w:rFonts w:ascii="Arial" w:hAnsi="Arial" w:cs="Arial"/>
          <w:i/>
          <w:sz w:val="22"/>
          <w:szCs w:val="22"/>
        </w:rPr>
      </w:pPr>
      <w:r w:rsidRPr="008D7F04">
        <w:rPr>
          <w:rFonts w:ascii="Arial" w:hAnsi="Arial" w:cs="Arial"/>
          <w:i/>
          <w:sz w:val="22"/>
          <w:szCs w:val="22"/>
        </w:rPr>
        <w:t xml:space="preserve">13.  </w:t>
      </w:r>
      <w:r w:rsidRPr="008D7F04">
        <w:rPr>
          <w:rFonts w:ascii="Arial" w:hAnsi="Arial" w:cs="Arial"/>
          <w:i/>
          <w:sz w:val="22"/>
          <w:szCs w:val="22"/>
        </w:rPr>
        <w:t>What is the estimated annual cost burden to respondents or record keepers resulting from this information collection request (excluding the value of the hour burden</w:t>
      </w:r>
      <w:r w:rsidRPr="008D7F04" w:rsidR="0033260C">
        <w:rPr>
          <w:rFonts w:ascii="Arial" w:hAnsi="Arial" w:cs="Arial"/>
          <w:i/>
          <w:sz w:val="22"/>
          <w:szCs w:val="22"/>
        </w:rPr>
        <w:t xml:space="preserve"> </w:t>
      </w:r>
      <w:r w:rsidRPr="008D7F04">
        <w:rPr>
          <w:rFonts w:ascii="Arial" w:hAnsi="Arial" w:cs="Arial"/>
          <w:i/>
          <w:sz w:val="22"/>
          <w:szCs w:val="22"/>
        </w:rPr>
        <w:t>in Question 12 above)?</w:t>
      </w:r>
      <w:r w:rsidRPr="008D7F04">
        <w:rPr>
          <w:rFonts w:ascii="Arial" w:hAnsi="Arial" w:cs="Arial"/>
          <w:i/>
          <w:sz w:val="22"/>
          <w:szCs w:val="22"/>
        </w:rPr>
        <w:t xml:space="preserve"> </w:t>
      </w:r>
    </w:p>
    <w:p w:rsidR="00101DE7" w:rsidRPr="008D7F04" w:rsidP="00D73D2D" w14:paraId="1FB14E06" w14:textId="77777777">
      <w:pPr>
        <w:suppressAutoHyphens/>
        <w:ind w:left="480" w:hanging="480"/>
        <w:rPr>
          <w:rFonts w:ascii="Arial" w:hAnsi="Arial" w:cs="Arial"/>
          <w:sz w:val="22"/>
          <w:szCs w:val="22"/>
        </w:rPr>
      </w:pPr>
    </w:p>
    <w:p w:rsidR="00654395" w:rsidRPr="008D7F04" w:rsidP="009B52FC" w14:paraId="2DF9713A" w14:textId="1049A4F8">
      <w:pPr>
        <w:suppressAutoHyphens/>
        <w:ind w:left="360"/>
        <w:contextualSpacing/>
        <w:rPr>
          <w:rFonts w:ascii="Arial" w:hAnsi="Arial" w:cs="Arial"/>
          <w:sz w:val="22"/>
          <w:szCs w:val="22"/>
        </w:rPr>
      </w:pPr>
      <w:r w:rsidRPr="008D7F04">
        <w:rPr>
          <w:rFonts w:ascii="Arial" w:hAnsi="Arial" w:cs="Arial"/>
          <w:sz w:val="22"/>
          <w:szCs w:val="22"/>
        </w:rPr>
        <w:t xml:space="preserve">There are no start-up, capital, or annual maintenance, operational or overhead costs associated with this occasional information collection request.  As such, respondents only incur postage and mailing supply costs for the submission of this information collection request, which TTB estimates to be $16.00 per respondent (priority mail flat rate envelope via certified mail) and $160.00 for 10 respondents. </w:t>
      </w:r>
    </w:p>
    <w:p w:rsidR="00C03B70" w:rsidRPr="008D7F04" w:rsidP="00C03B70" w14:paraId="7F2F3D17" w14:textId="77777777">
      <w:pPr>
        <w:suppressAutoHyphens/>
        <w:contextualSpacing/>
        <w:rPr>
          <w:rFonts w:ascii="Arial" w:hAnsi="Arial" w:cs="Arial"/>
          <w:sz w:val="28"/>
          <w:szCs w:val="28"/>
        </w:rPr>
      </w:pPr>
    </w:p>
    <w:p w:rsidR="00654395" w:rsidRPr="008D7F04" w14:paraId="49A43B3A" w14:textId="77777777">
      <w:pPr>
        <w:rPr>
          <w:rFonts w:ascii="Arial" w:hAnsi="Arial" w:cs="Arial"/>
          <w:i/>
          <w:sz w:val="22"/>
          <w:szCs w:val="22"/>
        </w:rPr>
      </w:pPr>
      <w:r w:rsidRPr="008D7F04">
        <w:rPr>
          <w:rFonts w:ascii="Arial" w:hAnsi="Arial" w:cs="Arial"/>
          <w:i/>
          <w:sz w:val="22"/>
          <w:szCs w:val="22"/>
        </w:rPr>
        <w:br w:type="page"/>
      </w:r>
    </w:p>
    <w:p w:rsidR="00AF1157" w:rsidRPr="008D7F04" w:rsidP="00D73D2D" w14:paraId="795A69A1" w14:textId="44108AA9">
      <w:pPr>
        <w:suppressAutoHyphens/>
        <w:ind w:left="480" w:hanging="480"/>
        <w:rPr>
          <w:rFonts w:ascii="Arial" w:hAnsi="Arial" w:cs="Arial"/>
          <w:i/>
          <w:sz w:val="22"/>
          <w:szCs w:val="22"/>
        </w:rPr>
      </w:pPr>
      <w:r w:rsidRPr="008D7F04">
        <w:rPr>
          <w:rFonts w:ascii="Arial" w:hAnsi="Arial" w:cs="Arial"/>
          <w:i/>
          <w:sz w:val="22"/>
          <w:szCs w:val="22"/>
        </w:rPr>
        <w:t xml:space="preserve">14.  </w:t>
      </w:r>
      <w:r w:rsidRPr="008D7F04">
        <w:rPr>
          <w:rFonts w:ascii="Arial" w:hAnsi="Arial" w:cs="Arial"/>
          <w:i/>
          <w:sz w:val="22"/>
          <w:szCs w:val="22"/>
        </w:rPr>
        <w:t>What is the annualized cost to the Federal Government?</w:t>
      </w:r>
      <w:r w:rsidRPr="008D7F04">
        <w:rPr>
          <w:rFonts w:ascii="Arial" w:hAnsi="Arial" w:cs="Arial"/>
          <w:i/>
          <w:sz w:val="22"/>
          <w:szCs w:val="22"/>
        </w:rPr>
        <w:t xml:space="preserve"> </w:t>
      </w:r>
    </w:p>
    <w:p w:rsidR="00AF1157" w:rsidRPr="008D7F04" w:rsidP="00D73D2D" w14:paraId="1C932B9E" w14:textId="77777777">
      <w:pPr>
        <w:suppressAutoHyphens/>
        <w:ind w:left="480" w:hanging="480"/>
        <w:rPr>
          <w:rFonts w:ascii="Arial" w:hAnsi="Arial" w:cs="Arial"/>
          <w:sz w:val="22"/>
          <w:szCs w:val="22"/>
        </w:rPr>
      </w:pPr>
    </w:p>
    <w:p w:rsidR="003E1D35" w:rsidRPr="008D7F04" w:rsidP="00407CF5" w14:paraId="3858694D" w14:textId="351A5DEB">
      <w:pPr>
        <w:ind w:left="360"/>
        <w:rPr>
          <w:rFonts w:ascii="Arial" w:hAnsi="Arial" w:cs="Arial"/>
          <w:sz w:val="22"/>
          <w:szCs w:val="22"/>
        </w:rPr>
      </w:pPr>
      <w:bookmarkStart w:id="2" w:name="_Hlk191495285"/>
      <w:r w:rsidRPr="008D7F04">
        <w:rPr>
          <w:rFonts w:ascii="Arial" w:hAnsi="Arial" w:cs="Arial"/>
          <w:sz w:val="22"/>
          <w:szCs w:val="22"/>
        </w:rPr>
        <w:t>There are no TTB overhead costs associated with this occasional information collection request</w:t>
      </w:r>
      <w:r w:rsidRPr="008D7F04" w:rsidR="00593A5E">
        <w:rPr>
          <w:rFonts w:ascii="Arial" w:hAnsi="Arial" w:cs="Arial"/>
          <w:sz w:val="22"/>
          <w:szCs w:val="22"/>
        </w:rPr>
        <w:t xml:space="preserve">, and </w:t>
      </w:r>
      <w:r w:rsidRPr="008D7F04">
        <w:rPr>
          <w:rFonts w:ascii="Arial" w:hAnsi="Arial" w:cs="Arial"/>
          <w:sz w:val="22"/>
          <w:szCs w:val="22"/>
        </w:rPr>
        <w:t xml:space="preserve">there are no printing and distribution costs to TTB due to the availability of its forms on the TTB website (see </w:t>
      </w:r>
      <w:r w:rsidRPr="008D7F04">
        <w:rPr>
          <w:rFonts w:ascii="Arial" w:hAnsi="Arial" w:cs="Arial"/>
          <w:i/>
          <w:iCs/>
          <w:sz w:val="22"/>
          <w:szCs w:val="22"/>
        </w:rPr>
        <w:t>https://www.ttb.gov/public-information/forms</w:t>
      </w:r>
      <w:r w:rsidRPr="008D7F04">
        <w:rPr>
          <w:rFonts w:ascii="Arial" w:hAnsi="Arial" w:cs="Arial"/>
          <w:sz w:val="22"/>
          <w:szCs w:val="22"/>
        </w:rPr>
        <w:t xml:space="preserve">).  As such, </w:t>
      </w:r>
      <w:r w:rsidRPr="008D7F04" w:rsidR="00593A5E">
        <w:rPr>
          <w:rFonts w:ascii="Arial" w:hAnsi="Arial" w:cs="Arial"/>
          <w:sz w:val="22"/>
          <w:szCs w:val="22"/>
        </w:rPr>
        <w:t>there are only Federal Government l</w:t>
      </w:r>
      <w:r w:rsidRPr="008D7F04">
        <w:rPr>
          <w:rFonts w:ascii="Arial" w:hAnsi="Arial" w:cs="Arial"/>
          <w:sz w:val="22"/>
          <w:szCs w:val="22"/>
        </w:rPr>
        <w:t xml:space="preserve">abor costs </w:t>
      </w:r>
      <w:r w:rsidRPr="008D7F04" w:rsidR="00593A5E">
        <w:rPr>
          <w:rFonts w:ascii="Arial" w:hAnsi="Arial" w:cs="Arial"/>
          <w:sz w:val="22"/>
          <w:szCs w:val="22"/>
        </w:rPr>
        <w:t>a</w:t>
      </w:r>
      <w:r w:rsidRPr="008D7F04">
        <w:rPr>
          <w:rFonts w:ascii="Arial" w:hAnsi="Arial" w:cs="Arial"/>
          <w:sz w:val="22"/>
          <w:szCs w:val="22"/>
        </w:rPr>
        <w:t>ssociated with this information collection request, and T</w:t>
      </w:r>
      <w:r w:rsidRPr="008D7F04" w:rsidR="00EA6AC6">
        <w:rPr>
          <w:rFonts w:ascii="Arial" w:hAnsi="Arial" w:cs="Arial"/>
          <w:sz w:val="22"/>
          <w:szCs w:val="22"/>
        </w:rPr>
        <w:t xml:space="preserve">TB </w:t>
      </w:r>
      <w:r w:rsidRPr="008D7F04">
        <w:rPr>
          <w:rFonts w:ascii="Arial" w:hAnsi="Arial" w:cs="Arial"/>
          <w:sz w:val="22"/>
          <w:szCs w:val="22"/>
        </w:rPr>
        <w:t>e</w:t>
      </w:r>
      <w:r w:rsidRPr="008D7F04">
        <w:rPr>
          <w:rFonts w:ascii="Arial" w:hAnsi="Arial" w:cs="Arial"/>
          <w:sz w:val="22"/>
          <w:szCs w:val="22"/>
        </w:rPr>
        <w:t xml:space="preserve">stimates </w:t>
      </w:r>
      <w:r w:rsidRPr="008D7F04">
        <w:rPr>
          <w:rFonts w:ascii="Arial" w:hAnsi="Arial" w:cs="Arial"/>
          <w:sz w:val="22"/>
          <w:szCs w:val="22"/>
        </w:rPr>
        <w:t xml:space="preserve">those costs </w:t>
      </w:r>
      <w:r w:rsidRPr="008D7F04">
        <w:rPr>
          <w:rFonts w:ascii="Arial" w:hAnsi="Arial" w:cs="Arial"/>
          <w:sz w:val="22"/>
          <w:szCs w:val="22"/>
        </w:rPr>
        <w:t>a</w:t>
      </w:r>
      <w:r w:rsidRPr="008D7F04" w:rsidR="00EA6AC6">
        <w:rPr>
          <w:rFonts w:ascii="Arial" w:hAnsi="Arial" w:cs="Arial"/>
          <w:sz w:val="22"/>
          <w:szCs w:val="22"/>
        </w:rPr>
        <w:t xml:space="preserve">s follows: </w:t>
      </w:r>
    </w:p>
    <w:p w:rsidR="00593A5E" w:rsidRPr="008D7F04" w:rsidP="00407CF5" w14:paraId="5CFABF56" w14:textId="77777777">
      <w:pPr>
        <w:ind w:left="360"/>
        <w:rPr>
          <w:rFonts w:ascii="Arial" w:hAnsi="Arial" w:cs="Arial"/>
          <w:sz w:val="22"/>
          <w:szCs w:val="22"/>
        </w:rPr>
      </w:pPr>
    </w:p>
    <w:tbl>
      <w:tblPr>
        <w:tblStyle w:val="TableGrid11"/>
        <w:tblW w:w="8640" w:type="dxa"/>
        <w:jc w:val="center"/>
        <w:tblBorders>
          <w:insideH w:val="dotted" w:sz="4" w:space="0" w:color="auto"/>
        </w:tblBorders>
        <w:tblLayout w:type="fixed"/>
        <w:tblLook w:val="04A0"/>
      </w:tblPr>
      <w:tblGrid>
        <w:gridCol w:w="1527"/>
        <w:gridCol w:w="1624"/>
        <w:gridCol w:w="1436"/>
        <w:gridCol w:w="1371"/>
        <w:gridCol w:w="1221"/>
        <w:gridCol w:w="1461"/>
      </w:tblGrid>
      <w:tr w14:paraId="25256D83" w14:textId="77777777" w:rsidTr="00593A5E">
        <w:tblPrEx>
          <w:tblW w:w="8640" w:type="dxa"/>
          <w:jc w:val="center"/>
          <w:tblBorders>
            <w:insideH w:val="dotted" w:sz="4" w:space="0" w:color="auto"/>
          </w:tblBorders>
          <w:tblLayout w:type="fixed"/>
          <w:tblLook w:val="04A0"/>
        </w:tblPrEx>
        <w:trPr>
          <w:trHeight w:val="548"/>
          <w:jc w:val="center"/>
        </w:trPr>
        <w:tc>
          <w:tcPr>
            <w:tcW w:w="8640" w:type="dxa"/>
            <w:gridSpan w:val="6"/>
            <w:tcBorders>
              <w:top w:val="single" w:sz="4" w:space="0" w:color="auto"/>
              <w:left w:val="single" w:sz="2" w:space="0" w:color="auto"/>
              <w:bottom w:val="single" w:sz="2" w:space="0" w:color="auto"/>
              <w:right w:val="single" w:sz="2" w:space="0" w:color="auto"/>
            </w:tcBorders>
            <w:vAlign w:val="center"/>
          </w:tcPr>
          <w:bookmarkEnd w:id="2"/>
          <w:p w:rsidR="00336A9E" w:rsidRPr="008D7F04" w:rsidP="00336A9E" w14:paraId="677AC835" w14:textId="77777777">
            <w:pPr>
              <w:suppressAutoHyphens/>
              <w:jc w:val="center"/>
              <w:rPr>
                <w:rFonts w:ascii="Arial" w:hAnsi="Arial" w:cs="Arial"/>
                <w:b/>
                <w:sz w:val="18"/>
                <w:szCs w:val="18"/>
              </w:rPr>
            </w:pPr>
            <w:r w:rsidRPr="008D7F04">
              <w:rPr>
                <w:rFonts w:ascii="Arial" w:hAnsi="Arial" w:cs="Arial"/>
                <w:b/>
                <w:sz w:val="18"/>
                <w:szCs w:val="18"/>
              </w:rPr>
              <w:t xml:space="preserve">Labor Costs for Personnel at TTB’s National Revenue Center in Cincinnati, Ohio, </w:t>
            </w:r>
          </w:p>
          <w:p w:rsidR="00336A9E" w:rsidRPr="008D7F04" w:rsidP="00336A9E" w14:paraId="6C5F7557" w14:textId="6214AE50">
            <w:pPr>
              <w:suppressAutoHyphens/>
              <w:jc w:val="center"/>
              <w:rPr>
                <w:rFonts w:ascii="Arial" w:hAnsi="Arial" w:cs="Arial"/>
                <w:b/>
                <w:sz w:val="18"/>
                <w:szCs w:val="18"/>
              </w:rPr>
            </w:pPr>
            <w:r w:rsidRPr="008D7F04">
              <w:rPr>
                <w:rFonts w:ascii="Arial" w:hAnsi="Arial" w:cs="Arial"/>
                <w:b/>
                <w:sz w:val="18"/>
                <w:szCs w:val="18"/>
              </w:rPr>
              <w:t>for OMB No. 1513–0</w:t>
            </w:r>
            <w:r w:rsidRPr="008D7F04" w:rsidR="00600EE1">
              <w:rPr>
                <w:rFonts w:ascii="Arial" w:hAnsi="Arial" w:cs="Arial"/>
                <w:b/>
                <w:sz w:val="18"/>
                <w:szCs w:val="18"/>
              </w:rPr>
              <w:t>055</w:t>
            </w:r>
            <w:r w:rsidRPr="008D7F04">
              <w:rPr>
                <w:rFonts w:ascii="Arial" w:hAnsi="Arial" w:cs="Arial"/>
                <w:b/>
                <w:sz w:val="18"/>
                <w:szCs w:val="18"/>
              </w:rPr>
              <w:t xml:space="preserve"> </w:t>
            </w:r>
          </w:p>
        </w:tc>
      </w:tr>
      <w:tr w14:paraId="65695473" w14:textId="77777777" w:rsidTr="00593A5E">
        <w:tblPrEx>
          <w:tblW w:w="8640" w:type="dxa"/>
          <w:jc w:val="center"/>
          <w:tblLayout w:type="fixed"/>
          <w:tblLook w:val="04A0"/>
        </w:tblPrEx>
        <w:trPr>
          <w:trHeight w:val="742"/>
          <w:jc w:val="center"/>
        </w:trPr>
        <w:tc>
          <w:tcPr>
            <w:tcW w:w="1527" w:type="dxa"/>
            <w:tcBorders>
              <w:top w:val="single" w:sz="2" w:space="0" w:color="auto"/>
              <w:left w:val="single" w:sz="2" w:space="0" w:color="auto"/>
              <w:bottom w:val="single" w:sz="2" w:space="0" w:color="auto"/>
              <w:right w:val="single" w:sz="2" w:space="0" w:color="auto"/>
            </w:tcBorders>
            <w:vAlign w:val="center"/>
          </w:tcPr>
          <w:p w:rsidR="00336A9E" w:rsidRPr="008D7F04" w:rsidP="00336A9E" w14:paraId="27E70B70" w14:textId="77777777">
            <w:pPr>
              <w:suppressAutoHyphens/>
              <w:jc w:val="center"/>
              <w:rPr>
                <w:rFonts w:ascii="Arial" w:hAnsi="Arial" w:cs="Arial"/>
                <w:sz w:val="18"/>
                <w:szCs w:val="18"/>
              </w:rPr>
            </w:pPr>
            <w:r w:rsidRPr="008D7F04">
              <w:rPr>
                <w:rFonts w:ascii="Arial" w:hAnsi="Arial" w:cs="Arial"/>
                <w:sz w:val="18"/>
                <w:szCs w:val="18"/>
              </w:rPr>
              <w:t xml:space="preserve">Position </w:t>
            </w:r>
          </w:p>
        </w:tc>
        <w:tc>
          <w:tcPr>
            <w:tcW w:w="1624"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6A9E" w:rsidRPr="008D7F04" w:rsidP="00336A9E" w14:paraId="65AEA126" w14:textId="77777777">
            <w:pPr>
              <w:suppressAutoHyphens/>
              <w:jc w:val="center"/>
              <w:rPr>
                <w:rFonts w:ascii="Arial" w:hAnsi="Arial" w:cs="Arial"/>
                <w:sz w:val="18"/>
                <w:szCs w:val="18"/>
              </w:rPr>
            </w:pPr>
            <w:r w:rsidRPr="008D7F04">
              <w:rPr>
                <w:rFonts w:ascii="Arial" w:hAnsi="Arial" w:cs="Arial"/>
                <w:sz w:val="18"/>
                <w:szCs w:val="18"/>
              </w:rPr>
              <w:t>Fully-loaded Labor Rate per Hour</w:t>
            </w:r>
            <w:r>
              <w:rPr>
                <w:rFonts w:ascii="Arial" w:hAnsi="Arial" w:cs="Arial"/>
                <w:sz w:val="18"/>
                <w:szCs w:val="18"/>
                <w:vertAlign w:val="superscript"/>
              </w:rPr>
              <w:footnoteReference w:id="3"/>
            </w:r>
          </w:p>
        </w:tc>
        <w:tc>
          <w:tcPr>
            <w:tcW w:w="1436"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6A9E" w:rsidRPr="008D7F04" w:rsidP="00336A9E" w14:paraId="77692A5C" w14:textId="77777777">
            <w:pPr>
              <w:suppressAutoHyphens/>
              <w:jc w:val="center"/>
              <w:rPr>
                <w:rFonts w:ascii="Arial" w:hAnsi="Arial" w:cs="Arial"/>
                <w:sz w:val="18"/>
                <w:szCs w:val="18"/>
              </w:rPr>
            </w:pPr>
            <w:r w:rsidRPr="008D7F04">
              <w:rPr>
                <w:rFonts w:ascii="Arial" w:hAnsi="Arial" w:cs="Arial"/>
                <w:sz w:val="18"/>
                <w:szCs w:val="18"/>
              </w:rPr>
              <w:t>Processing Time per Response</w:t>
            </w:r>
          </w:p>
        </w:tc>
        <w:tc>
          <w:tcPr>
            <w:tcW w:w="137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593A5E" w:rsidRPr="008D7F04" w:rsidP="00336A9E" w14:paraId="6BE59E01" w14:textId="77777777">
            <w:pPr>
              <w:suppressAutoHyphens/>
              <w:jc w:val="center"/>
              <w:rPr>
                <w:rFonts w:ascii="Arial" w:hAnsi="Arial" w:cs="Arial"/>
                <w:sz w:val="18"/>
                <w:szCs w:val="18"/>
              </w:rPr>
            </w:pPr>
            <w:r w:rsidRPr="008D7F04">
              <w:rPr>
                <w:rFonts w:ascii="Arial" w:hAnsi="Arial" w:cs="Arial"/>
                <w:sz w:val="18"/>
                <w:szCs w:val="18"/>
              </w:rPr>
              <w:t xml:space="preserve">Labor Costs </w:t>
            </w:r>
          </w:p>
          <w:p w:rsidR="00336A9E" w:rsidRPr="008D7F04" w:rsidP="00336A9E" w14:paraId="188AF96B" w14:textId="66FBFB53">
            <w:pPr>
              <w:suppressAutoHyphens/>
              <w:jc w:val="center"/>
              <w:rPr>
                <w:rFonts w:ascii="Arial" w:hAnsi="Arial" w:cs="Arial"/>
                <w:sz w:val="18"/>
                <w:szCs w:val="18"/>
              </w:rPr>
            </w:pPr>
            <w:r w:rsidRPr="008D7F04">
              <w:rPr>
                <w:rFonts w:ascii="Arial" w:hAnsi="Arial" w:cs="Arial"/>
                <w:sz w:val="18"/>
                <w:szCs w:val="18"/>
              </w:rPr>
              <w:t>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6A9E" w:rsidRPr="008D7F04" w:rsidP="00336A9E" w14:paraId="268F4A3A" w14:textId="2B4A17BC">
            <w:pPr>
              <w:suppressAutoHyphens/>
              <w:jc w:val="center"/>
              <w:rPr>
                <w:rFonts w:ascii="Arial" w:hAnsi="Arial" w:cs="Arial"/>
                <w:sz w:val="18"/>
                <w:szCs w:val="18"/>
              </w:rPr>
            </w:pPr>
            <w:r w:rsidRPr="008D7F04">
              <w:rPr>
                <w:rFonts w:ascii="Arial" w:hAnsi="Arial" w:cs="Arial"/>
                <w:sz w:val="18"/>
                <w:szCs w:val="18"/>
              </w:rPr>
              <w:t>Responses</w:t>
            </w:r>
            <w:r w:rsidRPr="008D7F04" w:rsidR="00654395">
              <w:rPr>
                <w:rFonts w:ascii="Arial" w:hAnsi="Arial" w:cs="Arial"/>
                <w:sz w:val="18"/>
                <w:szCs w:val="18"/>
              </w:rPr>
              <w:t xml:space="preserve"> Processed</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36A9E" w:rsidRPr="008D7F04" w:rsidP="00336A9E" w14:paraId="621F4A11" w14:textId="77777777">
            <w:pPr>
              <w:suppressAutoHyphens/>
              <w:jc w:val="center"/>
              <w:rPr>
                <w:rFonts w:ascii="Arial" w:hAnsi="Arial" w:cs="Arial"/>
                <w:sz w:val="18"/>
                <w:szCs w:val="18"/>
              </w:rPr>
            </w:pPr>
            <w:r w:rsidRPr="008D7F04">
              <w:rPr>
                <w:rFonts w:ascii="Arial" w:hAnsi="Arial" w:cs="Arial"/>
                <w:sz w:val="18"/>
                <w:szCs w:val="18"/>
              </w:rPr>
              <w:t>Total TTB Labor Costs</w:t>
            </w:r>
          </w:p>
        </w:tc>
      </w:tr>
      <w:tr w14:paraId="54E4782E" w14:textId="77777777" w:rsidTr="00593A5E">
        <w:tblPrEx>
          <w:tblW w:w="8640" w:type="dxa"/>
          <w:jc w:val="center"/>
          <w:tblLayout w:type="fixed"/>
          <w:tblLook w:val="04A0"/>
        </w:tblPrEx>
        <w:trPr>
          <w:trHeight w:val="472"/>
          <w:jc w:val="center"/>
        </w:trPr>
        <w:tc>
          <w:tcPr>
            <w:tcW w:w="1527" w:type="dxa"/>
            <w:tcBorders>
              <w:top w:val="single" w:sz="2" w:space="0" w:color="auto"/>
              <w:left w:val="single" w:sz="2" w:space="0" w:color="auto"/>
              <w:bottom w:val="single" w:sz="2" w:space="0" w:color="auto"/>
            </w:tcBorders>
            <w:vAlign w:val="center"/>
          </w:tcPr>
          <w:p w:rsidR="000D790E" w:rsidRPr="008D7F04" w:rsidP="00336A9E" w14:paraId="14D9BDA9" w14:textId="77777777">
            <w:pPr>
              <w:suppressAutoHyphens/>
              <w:jc w:val="center"/>
              <w:rPr>
                <w:rFonts w:ascii="Arial" w:hAnsi="Arial" w:cs="Arial"/>
                <w:sz w:val="18"/>
                <w:szCs w:val="18"/>
              </w:rPr>
            </w:pPr>
            <w:r w:rsidRPr="008D7F04">
              <w:rPr>
                <w:rFonts w:ascii="Arial" w:hAnsi="Arial" w:cs="Arial"/>
                <w:sz w:val="18"/>
                <w:szCs w:val="18"/>
              </w:rPr>
              <w:t xml:space="preserve">GS–5, Step 5, </w:t>
            </w:r>
          </w:p>
          <w:p w:rsidR="000D790E" w:rsidRPr="008D7F04" w:rsidP="00336A9E" w14:paraId="004DB5DE" w14:textId="77777777">
            <w:pPr>
              <w:suppressAutoHyphens/>
              <w:jc w:val="center"/>
              <w:rPr>
                <w:rFonts w:ascii="Arial" w:hAnsi="Arial" w:cs="Arial"/>
                <w:sz w:val="18"/>
                <w:szCs w:val="18"/>
              </w:rPr>
            </w:pPr>
            <w:r w:rsidRPr="008D7F04">
              <w:rPr>
                <w:rFonts w:ascii="Arial" w:hAnsi="Arial" w:cs="Arial"/>
                <w:sz w:val="18"/>
                <w:szCs w:val="18"/>
              </w:rPr>
              <w:t xml:space="preserve">Clerk </w:t>
            </w:r>
          </w:p>
        </w:tc>
        <w:tc>
          <w:tcPr>
            <w:tcW w:w="1624" w:type="dxa"/>
            <w:tcBorders>
              <w:top w:val="single" w:sz="2" w:space="0" w:color="auto"/>
              <w:bottom w:val="single" w:sz="2" w:space="0" w:color="auto"/>
            </w:tcBorders>
            <w:tcMar>
              <w:left w:w="29" w:type="dxa"/>
              <w:right w:w="29" w:type="dxa"/>
            </w:tcMar>
            <w:vAlign w:val="center"/>
          </w:tcPr>
          <w:p w:rsidR="000D790E" w:rsidRPr="008D7F04" w:rsidP="00336A9E" w14:paraId="4046C556" w14:textId="284AABD9">
            <w:pPr>
              <w:suppressAutoHyphens/>
              <w:jc w:val="center"/>
              <w:rPr>
                <w:rFonts w:ascii="Arial" w:hAnsi="Arial" w:cs="Arial"/>
                <w:sz w:val="20"/>
                <w:szCs w:val="20"/>
              </w:rPr>
            </w:pPr>
            <w:r w:rsidRPr="008D7F04">
              <w:rPr>
                <w:rFonts w:ascii="Arial" w:hAnsi="Arial" w:cs="Arial"/>
                <w:sz w:val="20"/>
                <w:szCs w:val="20"/>
              </w:rPr>
              <w:t>$37.18</w:t>
            </w:r>
          </w:p>
        </w:tc>
        <w:tc>
          <w:tcPr>
            <w:tcW w:w="1436" w:type="dxa"/>
            <w:tcBorders>
              <w:top w:val="single" w:sz="2" w:space="0" w:color="auto"/>
              <w:bottom w:val="single" w:sz="2" w:space="0" w:color="auto"/>
            </w:tcBorders>
            <w:tcMar>
              <w:left w:w="29" w:type="dxa"/>
              <w:right w:w="29" w:type="dxa"/>
            </w:tcMar>
            <w:vAlign w:val="center"/>
          </w:tcPr>
          <w:p w:rsidR="000D790E" w:rsidRPr="008D7F04" w:rsidP="000D790E" w14:paraId="760D5D37" w14:textId="7FDBD205">
            <w:pPr>
              <w:suppressAutoHyphens/>
              <w:jc w:val="center"/>
              <w:rPr>
                <w:rFonts w:ascii="Arial" w:hAnsi="Arial" w:cs="Arial"/>
                <w:sz w:val="20"/>
                <w:szCs w:val="20"/>
              </w:rPr>
            </w:pPr>
            <w:r w:rsidRPr="008D7F04">
              <w:rPr>
                <w:rFonts w:ascii="Arial" w:hAnsi="Arial" w:cs="Arial"/>
                <w:sz w:val="20"/>
                <w:szCs w:val="20"/>
              </w:rPr>
              <w:t>0.25 hour</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0D790E" w:rsidRPr="008D7F04" w:rsidP="00336A9E" w14:paraId="79BE018F" w14:textId="316E34B5">
            <w:pPr>
              <w:suppressAutoHyphens/>
              <w:jc w:val="center"/>
              <w:rPr>
                <w:rFonts w:ascii="Arial" w:hAnsi="Arial" w:cs="Arial"/>
                <w:sz w:val="20"/>
                <w:szCs w:val="20"/>
              </w:rPr>
            </w:pPr>
            <w:r w:rsidRPr="008D7F04">
              <w:rPr>
                <w:rFonts w:ascii="Arial" w:hAnsi="Arial" w:cs="Arial"/>
                <w:sz w:val="20"/>
                <w:szCs w:val="20"/>
              </w:rPr>
              <w:t>$9.30</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0D790E" w:rsidRPr="008D7F04" w:rsidP="000D790E" w14:paraId="094ED173" w14:textId="5F6D2521">
            <w:pPr>
              <w:suppressAutoHyphens/>
              <w:jc w:val="center"/>
              <w:rPr>
                <w:rFonts w:ascii="Arial" w:hAnsi="Arial" w:cs="Arial"/>
                <w:sz w:val="20"/>
                <w:szCs w:val="20"/>
              </w:rPr>
            </w:pPr>
            <w:r w:rsidRPr="008D7F04">
              <w:rPr>
                <w:rFonts w:ascii="Arial" w:hAnsi="Arial" w:cs="Arial"/>
                <w:sz w:val="20"/>
                <w:szCs w:val="20"/>
              </w:rPr>
              <w:t>10</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0D790E" w:rsidRPr="008D7F04" w:rsidP="00336A9E" w14:paraId="2FC5DE0D" w14:textId="5964142B">
            <w:pPr>
              <w:suppressAutoHyphens/>
              <w:jc w:val="center"/>
              <w:rPr>
                <w:rFonts w:ascii="Arial" w:hAnsi="Arial" w:cs="Arial"/>
                <w:sz w:val="20"/>
                <w:szCs w:val="20"/>
              </w:rPr>
            </w:pPr>
            <w:r w:rsidRPr="008D7F04">
              <w:rPr>
                <w:rFonts w:ascii="Arial" w:hAnsi="Arial" w:cs="Arial"/>
                <w:sz w:val="20"/>
                <w:szCs w:val="20"/>
              </w:rPr>
              <w:t>$93.00</w:t>
            </w:r>
          </w:p>
        </w:tc>
      </w:tr>
      <w:tr w14:paraId="584FAFED" w14:textId="77777777" w:rsidTr="00593A5E">
        <w:tblPrEx>
          <w:tblW w:w="8640" w:type="dxa"/>
          <w:jc w:val="center"/>
          <w:tblLayout w:type="fixed"/>
          <w:tblLook w:val="04A0"/>
        </w:tblPrEx>
        <w:trPr>
          <w:trHeight w:val="715"/>
          <w:jc w:val="center"/>
        </w:trPr>
        <w:tc>
          <w:tcPr>
            <w:tcW w:w="1527" w:type="dxa"/>
            <w:tcBorders>
              <w:top w:val="single" w:sz="2" w:space="0" w:color="auto"/>
              <w:left w:val="single" w:sz="2" w:space="0" w:color="auto"/>
              <w:bottom w:val="single" w:sz="2" w:space="0" w:color="auto"/>
            </w:tcBorders>
            <w:vAlign w:val="center"/>
          </w:tcPr>
          <w:p w:rsidR="000D790E" w:rsidRPr="008D7F04" w:rsidP="00336A9E" w14:paraId="43D7D583" w14:textId="77777777">
            <w:pPr>
              <w:suppressAutoHyphens/>
              <w:jc w:val="center"/>
              <w:rPr>
                <w:rFonts w:ascii="Arial" w:hAnsi="Arial" w:cs="Arial"/>
                <w:sz w:val="18"/>
                <w:szCs w:val="18"/>
              </w:rPr>
            </w:pPr>
            <w:r w:rsidRPr="008D7F04">
              <w:rPr>
                <w:rFonts w:ascii="Arial" w:hAnsi="Arial" w:cs="Arial"/>
                <w:sz w:val="18"/>
                <w:szCs w:val="18"/>
              </w:rPr>
              <w:t xml:space="preserve">GS–11, Step 5 </w:t>
            </w:r>
          </w:p>
          <w:p w:rsidR="00600EE1" w:rsidRPr="008D7F04" w:rsidP="00336A9E" w14:paraId="38F2CB92" w14:textId="15CF9BF9">
            <w:pPr>
              <w:suppressAutoHyphens/>
              <w:jc w:val="center"/>
              <w:rPr>
                <w:rFonts w:ascii="Arial" w:hAnsi="Arial" w:cs="Arial"/>
                <w:sz w:val="18"/>
                <w:szCs w:val="18"/>
              </w:rPr>
            </w:pPr>
            <w:r w:rsidRPr="008D7F04">
              <w:rPr>
                <w:rFonts w:ascii="Arial" w:hAnsi="Arial" w:cs="Arial"/>
                <w:sz w:val="18"/>
                <w:szCs w:val="18"/>
              </w:rPr>
              <w:t xml:space="preserve">Auditor or Specialist </w:t>
            </w:r>
          </w:p>
        </w:tc>
        <w:tc>
          <w:tcPr>
            <w:tcW w:w="1624" w:type="dxa"/>
            <w:tcBorders>
              <w:top w:val="single" w:sz="2" w:space="0" w:color="auto"/>
              <w:bottom w:val="single" w:sz="2" w:space="0" w:color="auto"/>
            </w:tcBorders>
            <w:tcMar>
              <w:left w:w="29" w:type="dxa"/>
              <w:right w:w="29" w:type="dxa"/>
            </w:tcMar>
            <w:vAlign w:val="center"/>
          </w:tcPr>
          <w:p w:rsidR="000D790E" w:rsidRPr="008D7F04" w:rsidP="00336A9E" w14:paraId="5578608D" w14:textId="4E059D3D">
            <w:pPr>
              <w:suppressAutoHyphens/>
              <w:jc w:val="center"/>
              <w:rPr>
                <w:rFonts w:ascii="Arial" w:hAnsi="Arial" w:cs="Arial"/>
                <w:sz w:val="20"/>
                <w:szCs w:val="20"/>
              </w:rPr>
            </w:pPr>
            <w:r w:rsidRPr="008D7F04">
              <w:rPr>
                <w:rFonts w:ascii="Arial" w:hAnsi="Arial" w:cs="Arial"/>
                <w:sz w:val="20"/>
                <w:szCs w:val="20"/>
              </w:rPr>
              <w:t>$68.17</w:t>
            </w:r>
          </w:p>
        </w:tc>
        <w:tc>
          <w:tcPr>
            <w:tcW w:w="1436" w:type="dxa"/>
            <w:tcBorders>
              <w:top w:val="single" w:sz="2" w:space="0" w:color="auto"/>
              <w:bottom w:val="single" w:sz="2" w:space="0" w:color="auto"/>
            </w:tcBorders>
            <w:tcMar>
              <w:left w:w="29" w:type="dxa"/>
              <w:right w:w="29" w:type="dxa"/>
            </w:tcMar>
            <w:vAlign w:val="center"/>
          </w:tcPr>
          <w:p w:rsidR="000D790E" w:rsidRPr="008D7F04" w:rsidP="00336A9E" w14:paraId="061CEA20" w14:textId="7D0BDF59">
            <w:pPr>
              <w:suppressAutoHyphens/>
              <w:jc w:val="center"/>
              <w:rPr>
                <w:rFonts w:ascii="Arial" w:hAnsi="Arial" w:cs="Arial"/>
                <w:sz w:val="20"/>
                <w:szCs w:val="20"/>
              </w:rPr>
            </w:pPr>
            <w:r w:rsidRPr="008D7F04">
              <w:rPr>
                <w:rFonts w:ascii="Arial" w:hAnsi="Arial" w:cs="Arial"/>
                <w:sz w:val="20"/>
                <w:szCs w:val="20"/>
              </w:rPr>
              <w:t>5 hours</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0D790E" w:rsidRPr="008D7F04" w:rsidP="00336A9E" w14:paraId="1E4E8C7E" w14:textId="62A1C69B">
            <w:pPr>
              <w:suppressAutoHyphens/>
              <w:jc w:val="center"/>
              <w:rPr>
                <w:rFonts w:ascii="Arial" w:hAnsi="Arial" w:cs="Arial"/>
                <w:sz w:val="20"/>
                <w:szCs w:val="20"/>
              </w:rPr>
            </w:pPr>
            <w:r w:rsidRPr="008D7F04">
              <w:rPr>
                <w:rFonts w:ascii="Arial" w:hAnsi="Arial" w:cs="Arial"/>
                <w:sz w:val="20"/>
                <w:szCs w:val="20"/>
              </w:rPr>
              <w:t>$340.85</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0D790E" w:rsidRPr="008D7F04" w:rsidP="00336A9E" w14:paraId="46708076" w14:textId="312D152A">
            <w:pPr>
              <w:suppressAutoHyphens/>
              <w:jc w:val="center"/>
              <w:rPr>
                <w:rFonts w:ascii="Arial" w:hAnsi="Arial" w:cs="Arial"/>
                <w:sz w:val="20"/>
                <w:szCs w:val="20"/>
              </w:rPr>
            </w:pPr>
            <w:r w:rsidRPr="008D7F04">
              <w:rPr>
                <w:rFonts w:ascii="Arial" w:hAnsi="Arial" w:cs="Arial"/>
                <w:sz w:val="20"/>
                <w:szCs w:val="20"/>
              </w:rPr>
              <w:t>10</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0D790E" w:rsidRPr="008D7F04" w:rsidP="00336A9E" w14:paraId="64FCFBAB" w14:textId="447E03B4">
            <w:pPr>
              <w:suppressAutoHyphens/>
              <w:jc w:val="center"/>
              <w:rPr>
                <w:rFonts w:ascii="Arial" w:hAnsi="Arial" w:cs="Arial"/>
                <w:sz w:val="20"/>
                <w:szCs w:val="20"/>
              </w:rPr>
            </w:pPr>
            <w:r w:rsidRPr="008D7F04">
              <w:rPr>
                <w:rFonts w:ascii="Arial" w:hAnsi="Arial" w:cs="Arial"/>
                <w:sz w:val="20"/>
                <w:szCs w:val="20"/>
              </w:rPr>
              <w:t>$3,408.50</w:t>
            </w:r>
          </w:p>
        </w:tc>
      </w:tr>
      <w:tr w14:paraId="6FE22F4D" w14:textId="77777777" w:rsidTr="00593A5E">
        <w:tblPrEx>
          <w:tblW w:w="8640" w:type="dxa"/>
          <w:jc w:val="center"/>
          <w:tblLayout w:type="fixed"/>
          <w:tblLook w:val="04A0"/>
        </w:tblPrEx>
        <w:trPr>
          <w:trHeight w:val="535"/>
          <w:jc w:val="center"/>
        </w:trPr>
        <w:tc>
          <w:tcPr>
            <w:tcW w:w="1527" w:type="dxa"/>
            <w:tcBorders>
              <w:top w:val="single" w:sz="2" w:space="0" w:color="auto"/>
              <w:left w:val="single" w:sz="2" w:space="0" w:color="auto"/>
              <w:bottom w:val="single" w:sz="2" w:space="0" w:color="auto"/>
            </w:tcBorders>
            <w:vAlign w:val="center"/>
          </w:tcPr>
          <w:p w:rsidR="00654395" w:rsidRPr="008D7F04" w:rsidP="00336A9E" w14:paraId="37152EAA" w14:textId="77777777">
            <w:pPr>
              <w:suppressAutoHyphens/>
              <w:jc w:val="center"/>
              <w:rPr>
                <w:rFonts w:ascii="Arial" w:hAnsi="Arial" w:cs="Arial"/>
                <w:sz w:val="18"/>
                <w:szCs w:val="18"/>
              </w:rPr>
            </w:pPr>
            <w:r w:rsidRPr="008D7F04">
              <w:rPr>
                <w:rFonts w:ascii="Arial" w:hAnsi="Arial" w:cs="Arial"/>
                <w:sz w:val="18"/>
                <w:szCs w:val="18"/>
              </w:rPr>
              <w:t xml:space="preserve">GS–14, Step 5 </w:t>
            </w:r>
          </w:p>
          <w:p w:rsidR="00600EE1" w:rsidRPr="008D7F04" w:rsidP="00336A9E" w14:paraId="17D7C478" w14:textId="1FDBC0B0">
            <w:pPr>
              <w:suppressAutoHyphens/>
              <w:jc w:val="center"/>
              <w:rPr>
                <w:rFonts w:ascii="Arial" w:hAnsi="Arial" w:cs="Arial"/>
                <w:sz w:val="18"/>
                <w:szCs w:val="18"/>
              </w:rPr>
            </w:pPr>
            <w:r w:rsidRPr="008D7F04">
              <w:rPr>
                <w:rFonts w:ascii="Arial" w:hAnsi="Arial" w:cs="Arial"/>
                <w:sz w:val="18"/>
                <w:szCs w:val="18"/>
              </w:rPr>
              <w:t>Attorney</w:t>
            </w:r>
            <w:r w:rsidRPr="008D7F04">
              <w:rPr>
                <w:rFonts w:ascii="Arial" w:hAnsi="Arial" w:cs="Arial"/>
                <w:sz w:val="20"/>
                <w:szCs w:val="20"/>
              </w:rPr>
              <w:t>**</w:t>
            </w:r>
          </w:p>
        </w:tc>
        <w:tc>
          <w:tcPr>
            <w:tcW w:w="1624" w:type="dxa"/>
            <w:tcBorders>
              <w:top w:val="single" w:sz="2" w:space="0" w:color="auto"/>
              <w:bottom w:val="single" w:sz="2" w:space="0" w:color="auto"/>
            </w:tcBorders>
            <w:tcMar>
              <w:left w:w="29" w:type="dxa"/>
              <w:right w:w="29" w:type="dxa"/>
            </w:tcMar>
            <w:vAlign w:val="center"/>
          </w:tcPr>
          <w:p w:rsidR="00654395" w:rsidRPr="008D7F04" w:rsidP="00336A9E" w14:paraId="4B98FF64" w14:textId="78E045C3">
            <w:pPr>
              <w:suppressAutoHyphens/>
              <w:jc w:val="center"/>
              <w:rPr>
                <w:rFonts w:ascii="Arial" w:hAnsi="Arial" w:cs="Arial"/>
                <w:sz w:val="20"/>
                <w:szCs w:val="20"/>
              </w:rPr>
            </w:pPr>
            <w:r w:rsidRPr="008D7F04">
              <w:rPr>
                <w:rFonts w:ascii="Arial" w:hAnsi="Arial" w:cs="Arial"/>
                <w:sz w:val="20"/>
                <w:szCs w:val="20"/>
              </w:rPr>
              <w:t>$114.82</w:t>
            </w:r>
          </w:p>
        </w:tc>
        <w:tc>
          <w:tcPr>
            <w:tcW w:w="1436" w:type="dxa"/>
            <w:tcBorders>
              <w:top w:val="single" w:sz="2" w:space="0" w:color="auto"/>
              <w:bottom w:val="single" w:sz="2" w:space="0" w:color="auto"/>
            </w:tcBorders>
            <w:tcMar>
              <w:left w:w="29" w:type="dxa"/>
              <w:right w:w="29" w:type="dxa"/>
            </w:tcMar>
            <w:vAlign w:val="center"/>
          </w:tcPr>
          <w:p w:rsidR="00654395" w:rsidRPr="008D7F04" w:rsidP="00336A9E" w14:paraId="478A8A53" w14:textId="57A17107">
            <w:pPr>
              <w:suppressAutoHyphens/>
              <w:jc w:val="center"/>
              <w:rPr>
                <w:rFonts w:ascii="Arial" w:hAnsi="Arial" w:cs="Arial"/>
                <w:sz w:val="20"/>
                <w:szCs w:val="20"/>
              </w:rPr>
            </w:pPr>
            <w:r w:rsidRPr="008D7F04">
              <w:rPr>
                <w:rFonts w:ascii="Arial" w:hAnsi="Arial" w:cs="Arial"/>
                <w:sz w:val="20"/>
                <w:szCs w:val="20"/>
              </w:rPr>
              <w:t>5 hours</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654395" w:rsidRPr="008D7F04" w:rsidP="00336A9E" w14:paraId="28E97AAE" w14:textId="24CC58D7">
            <w:pPr>
              <w:suppressAutoHyphens/>
              <w:jc w:val="center"/>
              <w:rPr>
                <w:rFonts w:ascii="Arial" w:hAnsi="Arial" w:cs="Arial"/>
                <w:sz w:val="20"/>
                <w:szCs w:val="20"/>
              </w:rPr>
            </w:pPr>
            <w:r w:rsidRPr="008D7F04">
              <w:rPr>
                <w:rFonts w:ascii="Arial" w:hAnsi="Arial" w:cs="Arial"/>
                <w:sz w:val="20"/>
                <w:szCs w:val="20"/>
              </w:rPr>
              <w:t>$574.10</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654395" w:rsidRPr="008D7F04" w:rsidP="00336A9E" w14:paraId="2014279A" w14:textId="352A6B86">
            <w:pPr>
              <w:suppressAutoHyphens/>
              <w:jc w:val="center"/>
              <w:rPr>
                <w:rFonts w:ascii="Arial" w:hAnsi="Arial" w:cs="Arial"/>
                <w:sz w:val="20"/>
                <w:szCs w:val="20"/>
              </w:rPr>
            </w:pPr>
            <w:r w:rsidRPr="008D7F04">
              <w:rPr>
                <w:rFonts w:ascii="Arial" w:hAnsi="Arial" w:cs="Arial"/>
                <w:sz w:val="20"/>
                <w:szCs w:val="20"/>
              </w:rPr>
              <w:t>2**</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654395" w:rsidRPr="008D7F04" w:rsidP="00336A9E" w14:paraId="403FEFE0" w14:textId="023C6ECF">
            <w:pPr>
              <w:suppressAutoHyphens/>
              <w:jc w:val="center"/>
              <w:rPr>
                <w:rFonts w:ascii="Arial" w:hAnsi="Arial" w:cs="Arial"/>
                <w:sz w:val="20"/>
                <w:szCs w:val="20"/>
              </w:rPr>
            </w:pPr>
            <w:r w:rsidRPr="008D7F04">
              <w:rPr>
                <w:rFonts w:ascii="Arial" w:hAnsi="Arial" w:cs="Arial"/>
                <w:sz w:val="20"/>
                <w:szCs w:val="20"/>
              </w:rPr>
              <w:t>$1,148.20</w:t>
            </w:r>
          </w:p>
        </w:tc>
      </w:tr>
      <w:tr w14:paraId="39DF15B9" w14:textId="77777777" w:rsidTr="00593A5E">
        <w:tblPrEx>
          <w:tblW w:w="8640" w:type="dxa"/>
          <w:jc w:val="center"/>
          <w:tblLayout w:type="fixed"/>
          <w:tblLook w:val="04A0"/>
        </w:tblPrEx>
        <w:trPr>
          <w:trHeight w:val="715"/>
          <w:jc w:val="center"/>
        </w:trPr>
        <w:tc>
          <w:tcPr>
            <w:tcW w:w="1527" w:type="dxa"/>
            <w:tcBorders>
              <w:top w:val="single" w:sz="2" w:space="0" w:color="auto"/>
              <w:left w:val="single" w:sz="2" w:space="0" w:color="auto"/>
              <w:bottom w:val="single" w:sz="2" w:space="0" w:color="auto"/>
            </w:tcBorders>
            <w:vAlign w:val="center"/>
          </w:tcPr>
          <w:p w:rsidR="00654395" w:rsidRPr="008D7F04" w:rsidP="00336A9E" w14:paraId="018F9CEC" w14:textId="77777777">
            <w:pPr>
              <w:suppressAutoHyphens/>
              <w:jc w:val="center"/>
              <w:rPr>
                <w:rFonts w:ascii="Arial" w:hAnsi="Arial" w:cs="Arial"/>
                <w:sz w:val="18"/>
                <w:szCs w:val="18"/>
              </w:rPr>
            </w:pPr>
            <w:r w:rsidRPr="008D7F04">
              <w:rPr>
                <w:rFonts w:ascii="Arial" w:hAnsi="Arial" w:cs="Arial"/>
                <w:sz w:val="18"/>
                <w:szCs w:val="18"/>
              </w:rPr>
              <w:t xml:space="preserve">GS–15, Step 5 </w:t>
            </w:r>
          </w:p>
          <w:p w:rsidR="00600EE1" w:rsidRPr="008D7F04" w:rsidP="00336A9E" w14:paraId="3901B888" w14:textId="4BB9C926">
            <w:pPr>
              <w:suppressAutoHyphens/>
              <w:jc w:val="center"/>
              <w:rPr>
                <w:rFonts w:ascii="Arial" w:hAnsi="Arial" w:cs="Arial"/>
                <w:sz w:val="18"/>
                <w:szCs w:val="18"/>
              </w:rPr>
            </w:pPr>
            <w:r w:rsidRPr="008D7F04">
              <w:rPr>
                <w:rFonts w:ascii="Arial" w:hAnsi="Arial" w:cs="Arial"/>
                <w:sz w:val="18"/>
                <w:szCs w:val="18"/>
              </w:rPr>
              <w:t>Director, Tax Services Div.</w:t>
            </w:r>
          </w:p>
        </w:tc>
        <w:tc>
          <w:tcPr>
            <w:tcW w:w="1624" w:type="dxa"/>
            <w:tcBorders>
              <w:top w:val="single" w:sz="2" w:space="0" w:color="auto"/>
              <w:bottom w:val="single" w:sz="2" w:space="0" w:color="auto"/>
            </w:tcBorders>
            <w:tcMar>
              <w:left w:w="29" w:type="dxa"/>
              <w:right w:w="29" w:type="dxa"/>
            </w:tcMar>
            <w:vAlign w:val="center"/>
          </w:tcPr>
          <w:p w:rsidR="00654395" w:rsidRPr="008D7F04" w:rsidP="00336A9E" w14:paraId="12111A24" w14:textId="01BEE2BE">
            <w:pPr>
              <w:suppressAutoHyphens/>
              <w:jc w:val="center"/>
              <w:rPr>
                <w:rFonts w:ascii="Arial" w:hAnsi="Arial" w:cs="Arial"/>
                <w:sz w:val="20"/>
                <w:szCs w:val="20"/>
              </w:rPr>
            </w:pPr>
            <w:r w:rsidRPr="008D7F04">
              <w:rPr>
                <w:rFonts w:ascii="Arial" w:hAnsi="Arial" w:cs="Arial"/>
                <w:sz w:val="20"/>
                <w:szCs w:val="20"/>
              </w:rPr>
              <w:t>$135.05</w:t>
            </w:r>
          </w:p>
        </w:tc>
        <w:tc>
          <w:tcPr>
            <w:tcW w:w="1436" w:type="dxa"/>
            <w:tcBorders>
              <w:top w:val="single" w:sz="2" w:space="0" w:color="auto"/>
              <w:bottom w:val="single" w:sz="2" w:space="0" w:color="auto"/>
            </w:tcBorders>
            <w:tcMar>
              <w:left w:w="29" w:type="dxa"/>
              <w:right w:w="29" w:type="dxa"/>
            </w:tcMar>
            <w:vAlign w:val="center"/>
          </w:tcPr>
          <w:p w:rsidR="00654395" w:rsidRPr="008D7F04" w:rsidP="00336A9E" w14:paraId="35249DA9" w14:textId="7F060D60">
            <w:pPr>
              <w:suppressAutoHyphens/>
              <w:jc w:val="center"/>
              <w:rPr>
                <w:rFonts w:ascii="Arial" w:hAnsi="Arial" w:cs="Arial"/>
                <w:sz w:val="20"/>
                <w:szCs w:val="20"/>
              </w:rPr>
            </w:pPr>
            <w:r w:rsidRPr="008D7F04">
              <w:rPr>
                <w:rFonts w:ascii="Arial" w:hAnsi="Arial" w:cs="Arial"/>
                <w:sz w:val="20"/>
                <w:szCs w:val="20"/>
              </w:rPr>
              <w:t>1 hour</w:t>
            </w:r>
          </w:p>
        </w:tc>
        <w:tc>
          <w:tcPr>
            <w:tcW w:w="1371" w:type="dxa"/>
            <w:tcBorders>
              <w:top w:val="single" w:sz="2" w:space="0" w:color="auto"/>
              <w:bottom w:val="single" w:sz="2" w:space="0" w:color="auto"/>
              <w:right w:val="single" w:sz="2" w:space="0" w:color="auto"/>
            </w:tcBorders>
            <w:tcMar>
              <w:left w:w="29" w:type="dxa"/>
              <w:right w:w="29" w:type="dxa"/>
            </w:tcMar>
            <w:vAlign w:val="center"/>
          </w:tcPr>
          <w:p w:rsidR="00654395" w:rsidRPr="008D7F04" w:rsidP="00336A9E" w14:paraId="58C13A47" w14:textId="53E1EB79">
            <w:pPr>
              <w:suppressAutoHyphens/>
              <w:jc w:val="center"/>
              <w:rPr>
                <w:rFonts w:ascii="Arial" w:hAnsi="Arial" w:cs="Arial"/>
                <w:sz w:val="20"/>
                <w:szCs w:val="20"/>
              </w:rPr>
            </w:pPr>
            <w:r w:rsidRPr="008D7F04">
              <w:rPr>
                <w:rFonts w:ascii="Arial" w:hAnsi="Arial" w:cs="Arial"/>
                <w:sz w:val="20"/>
                <w:szCs w:val="20"/>
              </w:rPr>
              <w:t>$135.05</w:t>
            </w:r>
          </w:p>
        </w:tc>
        <w:tc>
          <w:tcPr>
            <w:tcW w:w="1221" w:type="dxa"/>
            <w:tcBorders>
              <w:top w:val="single" w:sz="2" w:space="0" w:color="auto"/>
              <w:left w:val="single" w:sz="2" w:space="0" w:color="auto"/>
              <w:bottom w:val="single" w:sz="2" w:space="0" w:color="auto"/>
            </w:tcBorders>
            <w:tcMar>
              <w:left w:w="29" w:type="dxa"/>
              <w:right w:w="29" w:type="dxa"/>
            </w:tcMar>
            <w:vAlign w:val="center"/>
          </w:tcPr>
          <w:p w:rsidR="00654395" w:rsidRPr="008D7F04" w:rsidP="00336A9E" w14:paraId="07E5A67D" w14:textId="2916E3F1">
            <w:pPr>
              <w:suppressAutoHyphens/>
              <w:jc w:val="center"/>
              <w:rPr>
                <w:rFonts w:ascii="Arial" w:hAnsi="Arial" w:cs="Arial"/>
                <w:sz w:val="20"/>
                <w:szCs w:val="20"/>
              </w:rPr>
            </w:pPr>
            <w:r w:rsidRPr="008D7F04">
              <w:rPr>
                <w:rFonts w:ascii="Arial" w:hAnsi="Arial" w:cs="Arial"/>
                <w:sz w:val="20"/>
                <w:szCs w:val="20"/>
              </w:rPr>
              <w:t>10</w:t>
            </w:r>
          </w:p>
        </w:tc>
        <w:tc>
          <w:tcPr>
            <w:tcW w:w="1461" w:type="dxa"/>
            <w:tcBorders>
              <w:top w:val="single" w:sz="2" w:space="0" w:color="auto"/>
              <w:bottom w:val="single" w:sz="2" w:space="0" w:color="auto"/>
              <w:right w:val="single" w:sz="2" w:space="0" w:color="auto"/>
            </w:tcBorders>
            <w:tcMar>
              <w:left w:w="29" w:type="dxa"/>
              <w:right w:w="29" w:type="dxa"/>
            </w:tcMar>
            <w:vAlign w:val="center"/>
          </w:tcPr>
          <w:p w:rsidR="00654395" w:rsidRPr="008D7F04" w:rsidP="00336A9E" w14:paraId="1030C415" w14:textId="496C08F9">
            <w:pPr>
              <w:suppressAutoHyphens/>
              <w:jc w:val="center"/>
              <w:rPr>
                <w:rFonts w:ascii="Arial" w:hAnsi="Arial" w:cs="Arial"/>
                <w:sz w:val="20"/>
                <w:szCs w:val="20"/>
              </w:rPr>
            </w:pPr>
            <w:r w:rsidRPr="008D7F04">
              <w:rPr>
                <w:rFonts w:ascii="Arial" w:hAnsi="Arial" w:cs="Arial"/>
                <w:sz w:val="20"/>
                <w:szCs w:val="20"/>
              </w:rPr>
              <w:t>$1,350.50</w:t>
            </w:r>
          </w:p>
        </w:tc>
      </w:tr>
      <w:tr w14:paraId="1AFDB7D0" w14:textId="77777777" w:rsidTr="00593A5E">
        <w:tblPrEx>
          <w:tblW w:w="8640" w:type="dxa"/>
          <w:jc w:val="center"/>
          <w:tblLayout w:type="fixed"/>
          <w:tblLook w:val="04A0"/>
        </w:tblPrEx>
        <w:trPr>
          <w:trHeight w:val="715"/>
          <w:jc w:val="center"/>
        </w:trPr>
        <w:tc>
          <w:tcPr>
            <w:tcW w:w="1527" w:type="dxa"/>
            <w:tcBorders>
              <w:top w:val="single" w:sz="2" w:space="0" w:color="auto"/>
              <w:left w:val="single" w:sz="2" w:space="0" w:color="auto"/>
              <w:bottom w:val="single" w:sz="12" w:space="0" w:color="auto"/>
            </w:tcBorders>
            <w:vAlign w:val="center"/>
          </w:tcPr>
          <w:p w:rsidR="00600EE1" w:rsidRPr="008D7F04" w:rsidP="00336A9E" w14:paraId="45013DEB" w14:textId="55187997">
            <w:pPr>
              <w:suppressAutoHyphens/>
              <w:jc w:val="center"/>
              <w:rPr>
                <w:rFonts w:ascii="Arial" w:hAnsi="Arial" w:cs="Arial"/>
                <w:sz w:val="18"/>
                <w:szCs w:val="18"/>
              </w:rPr>
            </w:pPr>
            <w:r w:rsidRPr="008D7F04">
              <w:rPr>
                <w:rFonts w:ascii="Arial" w:hAnsi="Arial" w:cs="Arial"/>
                <w:sz w:val="18"/>
                <w:szCs w:val="18"/>
              </w:rPr>
              <w:t xml:space="preserve">GS–15, Step 5, Deputy </w:t>
            </w:r>
            <w:r w:rsidRPr="008D7F04">
              <w:rPr>
                <w:rFonts w:ascii="Arial" w:hAnsi="Arial" w:cs="Arial"/>
                <w:sz w:val="18"/>
                <w:szCs w:val="18"/>
              </w:rPr>
              <w:t>Ass’t</w:t>
            </w:r>
            <w:r w:rsidRPr="008D7F04">
              <w:rPr>
                <w:rFonts w:ascii="Arial" w:hAnsi="Arial" w:cs="Arial"/>
                <w:sz w:val="18"/>
                <w:szCs w:val="18"/>
              </w:rPr>
              <w:t xml:space="preserve"> Administrator</w:t>
            </w:r>
          </w:p>
        </w:tc>
        <w:tc>
          <w:tcPr>
            <w:tcW w:w="1624" w:type="dxa"/>
            <w:tcBorders>
              <w:top w:val="single" w:sz="2" w:space="0" w:color="auto"/>
              <w:bottom w:val="single" w:sz="12" w:space="0" w:color="auto"/>
            </w:tcBorders>
            <w:tcMar>
              <w:left w:w="29" w:type="dxa"/>
              <w:right w:w="29" w:type="dxa"/>
            </w:tcMar>
            <w:vAlign w:val="center"/>
          </w:tcPr>
          <w:p w:rsidR="00600EE1" w:rsidRPr="008D7F04" w:rsidP="00336A9E" w14:paraId="5BB1472C" w14:textId="199F6F0C">
            <w:pPr>
              <w:suppressAutoHyphens/>
              <w:jc w:val="center"/>
              <w:rPr>
                <w:rFonts w:ascii="Arial" w:hAnsi="Arial" w:cs="Arial"/>
                <w:sz w:val="20"/>
                <w:szCs w:val="20"/>
              </w:rPr>
            </w:pPr>
            <w:r w:rsidRPr="008D7F04">
              <w:rPr>
                <w:rFonts w:ascii="Arial" w:hAnsi="Arial" w:cs="Arial"/>
                <w:sz w:val="20"/>
                <w:szCs w:val="20"/>
              </w:rPr>
              <w:t>$135.05</w:t>
            </w:r>
          </w:p>
        </w:tc>
        <w:tc>
          <w:tcPr>
            <w:tcW w:w="1436" w:type="dxa"/>
            <w:tcBorders>
              <w:top w:val="single" w:sz="2" w:space="0" w:color="auto"/>
              <w:bottom w:val="single" w:sz="12" w:space="0" w:color="auto"/>
            </w:tcBorders>
            <w:tcMar>
              <w:left w:w="29" w:type="dxa"/>
              <w:right w:w="29" w:type="dxa"/>
            </w:tcMar>
            <w:vAlign w:val="center"/>
          </w:tcPr>
          <w:p w:rsidR="00600EE1" w:rsidRPr="008D7F04" w:rsidP="00336A9E" w14:paraId="3B0444EB" w14:textId="4F90FFC0">
            <w:pPr>
              <w:suppressAutoHyphens/>
              <w:jc w:val="center"/>
              <w:rPr>
                <w:rFonts w:ascii="Arial" w:hAnsi="Arial" w:cs="Arial"/>
                <w:sz w:val="20"/>
                <w:szCs w:val="20"/>
              </w:rPr>
            </w:pPr>
            <w:r w:rsidRPr="008D7F04">
              <w:rPr>
                <w:rFonts w:ascii="Arial" w:hAnsi="Arial" w:cs="Arial"/>
                <w:sz w:val="20"/>
                <w:szCs w:val="20"/>
              </w:rPr>
              <w:t>4 hours</w:t>
            </w:r>
          </w:p>
        </w:tc>
        <w:tc>
          <w:tcPr>
            <w:tcW w:w="1371" w:type="dxa"/>
            <w:tcBorders>
              <w:top w:val="single" w:sz="2" w:space="0" w:color="auto"/>
              <w:bottom w:val="single" w:sz="12" w:space="0" w:color="auto"/>
              <w:right w:val="single" w:sz="2" w:space="0" w:color="auto"/>
            </w:tcBorders>
            <w:tcMar>
              <w:left w:w="29" w:type="dxa"/>
              <w:right w:w="29" w:type="dxa"/>
            </w:tcMar>
            <w:vAlign w:val="center"/>
          </w:tcPr>
          <w:p w:rsidR="00600EE1" w:rsidRPr="008D7F04" w:rsidP="00336A9E" w14:paraId="2DD4AE5C" w14:textId="1531480C">
            <w:pPr>
              <w:suppressAutoHyphens/>
              <w:jc w:val="center"/>
              <w:rPr>
                <w:rFonts w:ascii="Arial" w:hAnsi="Arial" w:cs="Arial"/>
                <w:sz w:val="20"/>
                <w:szCs w:val="20"/>
              </w:rPr>
            </w:pPr>
            <w:r w:rsidRPr="008D7F04">
              <w:rPr>
                <w:rFonts w:ascii="Arial" w:hAnsi="Arial" w:cs="Arial"/>
                <w:sz w:val="20"/>
                <w:szCs w:val="20"/>
              </w:rPr>
              <w:t>$540.20</w:t>
            </w:r>
          </w:p>
        </w:tc>
        <w:tc>
          <w:tcPr>
            <w:tcW w:w="1221" w:type="dxa"/>
            <w:tcBorders>
              <w:top w:val="single" w:sz="2" w:space="0" w:color="auto"/>
              <w:left w:val="single" w:sz="2" w:space="0" w:color="auto"/>
              <w:bottom w:val="single" w:sz="12" w:space="0" w:color="auto"/>
            </w:tcBorders>
            <w:tcMar>
              <w:left w:w="29" w:type="dxa"/>
              <w:right w:w="29" w:type="dxa"/>
            </w:tcMar>
            <w:vAlign w:val="center"/>
          </w:tcPr>
          <w:p w:rsidR="00600EE1" w:rsidRPr="008D7F04" w:rsidP="00336A9E" w14:paraId="5331C1BC" w14:textId="4427BAA2">
            <w:pPr>
              <w:suppressAutoHyphens/>
              <w:jc w:val="center"/>
              <w:rPr>
                <w:rFonts w:ascii="Arial" w:hAnsi="Arial" w:cs="Arial"/>
                <w:sz w:val="20"/>
                <w:szCs w:val="20"/>
              </w:rPr>
            </w:pPr>
            <w:r w:rsidRPr="008D7F04">
              <w:rPr>
                <w:rFonts w:ascii="Arial" w:hAnsi="Arial" w:cs="Arial"/>
                <w:sz w:val="20"/>
                <w:szCs w:val="20"/>
              </w:rPr>
              <w:t>10</w:t>
            </w:r>
          </w:p>
        </w:tc>
        <w:tc>
          <w:tcPr>
            <w:tcW w:w="1461" w:type="dxa"/>
            <w:tcBorders>
              <w:top w:val="single" w:sz="2" w:space="0" w:color="auto"/>
              <w:bottom w:val="single" w:sz="12" w:space="0" w:color="auto"/>
              <w:right w:val="single" w:sz="2" w:space="0" w:color="auto"/>
            </w:tcBorders>
            <w:tcMar>
              <w:left w:w="29" w:type="dxa"/>
              <w:right w:w="29" w:type="dxa"/>
            </w:tcMar>
            <w:vAlign w:val="center"/>
          </w:tcPr>
          <w:p w:rsidR="00600EE1" w:rsidRPr="008D7F04" w:rsidP="00336A9E" w14:paraId="36E2199F" w14:textId="3D4CEAD6">
            <w:pPr>
              <w:suppressAutoHyphens/>
              <w:jc w:val="center"/>
              <w:rPr>
                <w:rFonts w:ascii="Arial" w:hAnsi="Arial" w:cs="Arial"/>
                <w:sz w:val="20"/>
                <w:szCs w:val="20"/>
              </w:rPr>
            </w:pPr>
            <w:r w:rsidRPr="008D7F04">
              <w:rPr>
                <w:rFonts w:ascii="Arial" w:hAnsi="Arial" w:cs="Arial"/>
                <w:sz w:val="20"/>
                <w:szCs w:val="20"/>
              </w:rPr>
              <w:t>$5,402.00</w:t>
            </w:r>
          </w:p>
        </w:tc>
      </w:tr>
      <w:tr w14:paraId="259FAC74" w14:textId="77777777" w:rsidTr="00593A5E">
        <w:tblPrEx>
          <w:tblW w:w="8640" w:type="dxa"/>
          <w:jc w:val="center"/>
          <w:tblLayout w:type="fixed"/>
          <w:tblLook w:val="04A0"/>
        </w:tblPrEx>
        <w:trPr>
          <w:trHeight w:val="530"/>
          <w:jc w:val="center"/>
        </w:trPr>
        <w:tc>
          <w:tcPr>
            <w:tcW w:w="1527" w:type="dxa"/>
            <w:tcBorders>
              <w:top w:val="single" w:sz="12" w:space="0" w:color="auto"/>
              <w:left w:val="single" w:sz="2" w:space="0" w:color="auto"/>
              <w:bottom w:val="single" w:sz="4" w:space="0" w:color="auto"/>
            </w:tcBorders>
            <w:vAlign w:val="center"/>
          </w:tcPr>
          <w:p w:rsidR="00336A9E" w:rsidRPr="008D7F04" w:rsidP="00336A9E" w14:paraId="5BE36649" w14:textId="77777777">
            <w:pPr>
              <w:suppressAutoHyphens/>
              <w:jc w:val="center"/>
              <w:rPr>
                <w:rFonts w:ascii="Arial" w:hAnsi="Arial" w:cs="Arial"/>
                <w:b/>
                <w:sz w:val="20"/>
                <w:szCs w:val="20"/>
              </w:rPr>
            </w:pPr>
            <w:r w:rsidRPr="008D7F04">
              <w:rPr>
                <w:rFonts w:ascii="Arial" w:hAnsi="Arial" w:cs="Arial"/>
                <w:b/>
                <w:sz w:val="20"/>
                <w:szCs w:val="20"/>
              </w:rPr>
              <w:t xml:space="preserve">TOTALS </w:t>
            </w:r>
          </w:p>
        </w:tc>
        <w:tc>
          <w:tcPr>
            <w:tcW w:w="1624" w:type="dxa"/>
            <w:tcBorders>
              <w:top w:val="single" w:sz="12" w:space="0" w:color="auto"/>
              <w:bottom w:val="single" w:sz="4" w:space="0" w:color="auto"/>
            </w:tcBorders>
            <w:tcMar>
              <w:left w:w="29" w:type="dxa"/>
              <w:right w:w="29" w:type="dxa"/>
            </w:tcMar>
            <w:vAlign w:val="center"/>
          </w:tcPr>
          <w:p w:rsidR="00336A9E" w:rsidRPr="008D7F04" w:rsidP="00336A9E" w14:paraId="3DD7D5BD" w14:textId="7D394AD2">
            <w:pPr>
              <w:suppressAutoHyphens/>
              <w:jc w:val="center"/>
              <w:rPr>
                <w:rFonts w:ascii="Arial" w:hAnsi="Arial" w:cs="Arial"/>
                <w:b/>
                <w:sz w:val="20"/>
                <w:szCs w:val="20"/>
              </w:rPr>
            </w:pPr>
            <w:r w:rsidRPr="008D7F04">
              <w:rPr>
                <w:rFonts w:ascii="Arial" w:hAnsi="Arial" w:cs="Arial"/>
                <w:b/>
                <w:sz w:val="20"/>
                <w:szCs w:val="20"/>
              </w:rPr>
              <w:t>($74.7685)</w:t>
            </w:r>
          </w:p>
        </w:tc>
        <w:tc>
          <w:tcPr>
            <w:tcW w:w="1436" w:type="dxa"/>
            <w:tcBorders>
              <w:top w:val="single" w:sz="12" w:space="0" w:color="auto"/>
              <w:bottom w:val="single" w:sz="4" w:space="0" w:color="auto"/>
            </w:tcBorders>
            <w:tcMar>
              <w:left w:w="29" w:type="dxa"/>
              <w:right w:w="29" w:type="dxa"/>
            </w:tcMar>
            <w:vAlign w:val="center"/>
          </w:tcPr>
          <w:p w:rsidR="00336A9E" w:rsidRPr="008D7F04" w:rsidP="00336A9E" w14:paraId="1C2F779F" w14:textId="547504DD">
            <w:pPr>
              <w:suppressAutoHyphens/>
              <w:jc w:val="center"/>
              <w:rPr>
                <w:rFonts w:ascii="Arial" w:hAnsi="Arial" w:cs="Arial"/>
                <w:b/>
                <w:sz w:val="20"/>
                <w:szCs w:val="20"/>
              </w:rPr>
            </w:pPr>
            <w:r w:rsidRPr="008D7F04">
              <w:rPr>
                <w:rFonts w:ascii="Arial" w:hAnsi="Arial" w:cs="Arial"/>
                <w:b/>
                <w:sz w:val="20"/>
                <w:szCs w:val="20"/>
              </w:rPr>
              <w:t>15.25 hours</w:t>
            </w:r>
          </w:p>
        </w:tc>
        <w:tc>
          <w:tcPr>
            <w:tcW w:w="1371" w:type="dxa"/>
            <w:tcBorders>
              <w:top w:val="single" w:sz="12" w:space="0" w:color="auto"/>
              <w:bottom w:val="single" w:sz="4" w:space="0" w:color="auto"/>
            </w:tcBorders>
            <w:tcMar>
              <w:left w:w="29" w:type="dxa"/>
              <w:right w:w="29" w:type="dxa"/>
            </w:tcMar>
            <w:vAlign w:val="center"/>
          </w:tcPr>
          <w:p w:rsidR="00336A9E" w:rsidRPr="008D7F04" w:rsidP="000D790E" w14:paraId="640CDEEF" w14:textId="3CECB3D8">
            <w:pPr>
              <w:suppressAutoHyphens/>
              <w:jc w:val="center"/>
              <w:rPr>
                <w:rFonts w:ascii="Arial" w:hAnsi="Arial" w:cs="Arial"/>
                <w:b/>
                <w:sz w:val="20"/>
                <w:szCs w:val="20"/>
              </w:rPr>
            </w:pPr>
            <w:r w:rsidRPr="008D7F04">
              <w:rPr>
                <w:rFonts w:ascii="Arial" w:hAnsi="Arial" w:cs="Arial"/>
                <w:b/>
                <w:sz w:val="20"/>
                <w:szCs w:val="20"/>
              </w:rPr>
              <w:t>$1,140.22</w:t>
            </w:r>
          </w:p>
        </w:tc>
        <w:tc>
          <w:tcPr>
            <w:tcW w:w="1221" w:type="dxa"/>
            <w:tcBorders>
              <w:top w:val="single" w:sz="12" w:space="0" w:color="auto"/>
              <w:bottom w:val="single" w:sz="4" w:space="0" w:color="auto"/>
            </w:tcBorders>
            <w:tcMar>
              <w:left w:w="29" w:type="dxa"/>
              <w:right w:w="29" w:type="dxa"/>
            </w:tcMar>
            <w:vAlign w:val="center"/>
          </w:tcPr>
          <w:p w:rsidR="00336A9E" w:rsidRPr="008D7F04" w:rsidP="00336A9E" w14:paraId="5CD15E4C" w14:textId="16B08FF1">
            <w:pPr>
              <w:suppressAutoHyphens/>
              <w:jc w:val="center"/>
              <w:rPr>
                <w:rFonts w:ascii="Arial" w:hAnsi="Arial" w:cs="Arial"/>
                <w:b/>
                <w:sz w:val="20"/>
                <w:szCs w:val="20"/>
              </w:rPr>
            </w:pPr>
            <w:r w:rsidRPr="008D7F04">
              <w:rPr>
                <w:rFonts w:ascii="Arial" w:hAnsi="Arial" w:cs="Arial"/>
                <w:b/>
                <w:sz w:val="20"/>
                <w:szCs w:val="20"/>
              </w:rPr>
              <w:t>10</w:t>
            </w:r>
          </w:p>
        </w:tc>
        <w:tc>
          <w:tcPr>
            <w:tcW w:w="1461" w:type="dxa"/>
            <w:tcBorders>
              <w:top w:val="single" w:sz="12" w:space="0" w:color="auto"/>
              <w:bottom w:val="single" w:sz="4" w:space="0" w:color="auto"/>
              <w:right w:val="single" w:sz="2" w:space="0" w:color="auto"/>
            </w:tcBorders>
            <w:tcMar>
              <w:left w:w="29" w:type="dxa"/>
              <w:right w:w="29" w:type="dxa"/>
            </w:tcMar>
            <w:vAlign w:val="center"/>
          </w:tcPr>
          <w:p w:rsidR="00336A9E" w:rsidRPr="008D7F04" w:rsidP="00336A9E" w14:paraId="671B83E4" w14:textId="70A3700B">
            <w:pPr>
              <w:suppressAutoHyphens/>
              <w:jc w:val="center"/>
              <w:rPr>
                <w:rFonts w:ascii="Arial" w:hAnsi="Arial" w:cs="Arial"/>
                <w:b/>
                <w:sz w:val="20"/>
                <w:szCs w:val="20"/>
              </w:rPr>
            </w:pPr>
            <w:r w:rsidRPr="008D7F04">
              <w:rPr>
                <w:rFonts w:ascii="Arial" w:hAnsi="Arial" w:cs="Arial"/>
                <w:b/>
                <w:sz w:val="20"/>
                <w:szCs w:val="20"/>
              </w:rPr>
              <w:t>$11,402.20</w:t>
            </w:r>
          </w:p>
        </w:tc>
      </w:tr>
    </w:tbl>
    <w:p w:rsidR="00336A9E" w:rsidRPr="008D7F04" w:rsidP="00654395" w14:paraId="2F44ACA5" w14:textId="11E346FF">
      <w:pPr>
        <w:spacing w:before="40"/>
        <w:ind w:left="360"/>
        <w:rPr>
          <w:rFonts w:ascii="Arial" w:hAnsi="Arial" w:cs="Arial"/>
          <w:sz w:val="18"/>
          <w:szCs w:val="18"/>
        </w:rPr>
      </w:pPr>
      <w:r w:rsidRPr="008D7F04">
        <w:rPr>
          <w:rFonts w:ascii="Arial" w:hAnsi="Arial" w:cs="Arial"/>
          <w:sz w:val="22"/>
          <w:szCs w:val="22"/>
        </w:rPr>
        <w:t xml:space="preserve">* </w:t>
      </w:r>
      <w:r w:rsidRPr="008D7F04">
        <w:rPr>
          <w:rFonts w:ascii="Arial" w:hAnsi="Arial" w:cs="Arial"/>
          <w:sz w:val="18"/>
          <w:szCs w:val="18"/>
        </w:rPr>
        <w:t>Labor costs rounded to the nearest whole cent</w:t>
      </w:r>
      <w:r w:rsidRPr="008D7F04" w:rsidR="00F576D8">
        <w:rPr>
          <w:rFonts w:ascii="Arial" w:hAnsi="Arial" w:cs="Arial"/>
          <w:sz w:val="18"/>
          <w:szCs w:val="18"/>
        </w:rPr>
        <w:t xml:space="preserve"> unless otherwise noted</w:t>
      </w:r>
      <w:r w:rsidRPr="008D7F04">
        <w:rPr>
          <w:rFonts w:ascii="Arial" w:hAnsi="Arial" w:cs="Arial"/>
          <w:sz w:val="18"/>
          <w:szCs w:val="18"/>
        </w:rPr>
        <w:t xml:space="preserve">. </w:t>
      </w:r>
    </w:p>
    <w:p w:rsidR="00600EE1" w:rsidRPr="008D7F04" w:rsidP="00654395" w14:paraId="483BDAB8" w14:textId="6443DD19">
      <w:pPr>
        <w:spacing w:before="40"/>
        <w:ind w:left="360"/>
        <w:rPr>
          <w:rFonts w:ascii="Arial" w:hAnsi="Arial" w:cs="Arial"/>
          <w:sz w:val="18"/>
          <w:szCs w:val="18"/>
        </w:rPr>
      </w:pPr>
      <w:r w:rsidRPr="008D7F04">
        <w:rPr>
          <w:rFonts w:ascii="Arial" w:hAnsi="Arial" w:cs="Arial"/>
          <w:sz w:val="22"/>
          <w:szCs w:val="22"/>
        </w:rPr>
        <w:t xml:space="preserve">** </w:t>
      </w:r>
      <w:r w:rsidRPr="008D7F04">
        <w:rPr>
          <w:rFonts w:ascii="Arial" w:hAnsi="Arial" w:cs="Arial"/>
          <w:sz w:val="18"/>
          <w:szCs w:val="18"/>
        </w:rPr>
        <w:t xml:space="preserve">TTB estimates that only 20 percent of FAA Act-based offers in compromise require review by a TTB attorney. </w:t>
      </w:r>
    </w:p>
    <w:p w:rsidR="00D6325C" w:rsidRPr="008D7F04" w:rsidP="00D73D2D" w14:paraId="6CB90377" w14:textId="77777777">
      <w:pPr>
        <w:rPr>
          <w:rFonts w:ascii="Arial" w:hAnsi="Arial" w:cs="Arial"/>
          <w:sz w:val="28"/>
          <w:szCs w:val="28"/>
        </w:rPr>
      </w:pPr>
    </w:p>
    <w:p w:rsidR="00AF1157" w:rsidRPr="008D7F04" w:rsidP="00D73D2D" w14:paraId="39A5B8DE" w14:textId="0EC57702">
      <w:pPr>
        <w:suppressAutoHyphens/>
        <w:rPr>
          <w:rFonts w:ascii="Arial" w:hAnsi="Arial" w:cs="Arial"/>
          <w:i/>
          <w:sz w:val="22"/>
          <w:szCs w:val="22"/>
        </w:rPr>
      </w:pPr>
      <w:r w:rsidRPr="008D7F04">
        <w:rPr>
          <w:rFonts w:ascii="Arial" w:hAnsi="Arial" w:cs="Arial"/>
          <w:i/>
          <w:sz w:val="22"/>
          <w:szCs w:val="22"/>
        </w:rPr>
        <w:t xml:space="preserve">15.  </w:t>
      </w:r>
      <w:r w:rsidRPr="008D7F04">
        <w:rPr>
          <w:rFonts w:ascii="Arial" w:hAnsi="Arial" w:cs="Arial"/>
          <w:i/>
          <w:sz w:val="22"/>
          <w:szCs w:val="22"/>
        </w:rPr>
        <w:t>What is the reason for any program changes or adjustments reported?</w:t>
      </w:r>
      <w:r w:rsidRPr="008D7F04">
        <w:rPr>
          <w:rFonts w:ascii="Arial" w:hAnsi="Arial" w:cs="Arial"/>
          <w:i/>
          <w:sz w:val="22"/>
          <w:szCs w:val="22"/>
        </w:rPr>
        <w:t xml:space="preserve"> </w:t>
      </w:r>
    </w:p>
    <w:p w:rsidR="00AF1157" w:rsidRPr="008D7F04" w:rsidP="00D73D2D" w14:paraId="25B1E255" w14:textId="77777777">
      <w:pPr>
        <w:suppressAutoHyphens/>
        <w:rPr>
          <w:rFonts w:ascii="Arial" w:hAnsi="Arial" w:cs="Arial"/>
          <w:sz w:val="22"/>
          <w:szCs w:val="22"/>
        </w:rPr>
      </w:pPr>
    </w:p>
    <w:p w:rsidR="00593A5E" w:rsidRPr="008D7F04" w:rsidP="002C55F7" w14:paraId="336C9FD7" w14:textId="16ED469F">
      <w:pPr>
        <w:ind w:left="360"/>
        <w:rPr>
          <w:rFonts w:ascii="Arial" w:hAnsi="Arial" w:cs="Arial"/>
          <w:sz w:val="22"/>
          <w:szCs w:val="22"/>
        </w:rPr>
      </w:pPr>
      <w:r w:rsidRPr="008D7F04">
        <w:rPr>
          <w:rFonts w:ascii="Arial" w:hAnsi="Arial" w:cs="Arial"/>
          <w:sz w:val="22"/>
          <w:szCs w:val="22"/>
        </w:rPr>
        <w:t xml:space="preserve">There </w:t>
      </w:r>
      <w:r w:rsidRPr="008D7F04">
        <w:rPr>
          <w:rFonts w:ascii="Arial" w:hAnsi="Arial" w:cs="Arial"/>
          <w:sz w:val="22"/>
          <w:szCs w:val="22"/>
        </w:rPr>
        <w:t>are</w:t>
      </w:r>
      <w:r w:rsidRPr="008D7F04">
        <w:rPr>
          <w:rFonts w:ascii="Arial" w:hAnsi="Arial" w:cs="Arial"/>
          <w:sz w:val="22"/>
          <w:szCs w:val="22"/>
        </w:rPr>
        <w:t xml:space="preserve"> no program changes associated with this information collection request at this time, and TTB is submitting it for extension purposes only.  As for adjustments, due to changes in agency estimates, TTB is decreasing the estimated annual respondent burden associated with this collection, from 20 respondents to 10, from 20 total responses to 10, and the total annual burden from 40 hours to 20.  The per-response burden of 2 hours remains the same as previously reported.  These adjustments result from a decrease in the number of respondents submitting </w:t>
      </w:r>
      <w:r w:rsidRPr="008D7F04" w:rsidR="00290CFC">
        <w:rPr>
          <w:rFonts w:ascii="Arial" w:hAnsi="Arial" w:cs="Arial"/>
          <w:sz w:val="22"/>
          <w:szCs w:val="22"/>
        </w:rPr>
        <w:t>FAA Act</w:t>
      </w:r>
      <w:r w:rsidRPr="008D7F04">
        <w:rPr>
          <w:rFonts w:ascii="Arial" w:hAnsi="Arial" w:cs="Arial"/>
          <w:sz w:val="22"/>
          <w:szCs w:val="22"/>
        </w:rPr>
        <w:t>-based offers in compromise</w:t>
      </w:r>
      <w:r w:rsidR="000075DF">
        <w:rPr>
          <w:rFonts w:ascii="Arial" w:hAnsi="Arial" w:cs="Arial"/>
          <w:sz w:val="22"/>
          <w:szCs w:val="22"/>
        </w:rPr>
        <w:t xml:space="preserve"> to TTB.</w:t>
      </w:r>
      <w:bookmarkStart w:id="3" w:name="_Hlk191496054"/>
      <w:r w:rsidR="000075DF">
        <w:rPr>
          <w:rFonts w:ascii="Arial" w:hAnsi="Arial" w:cs="Arial"/>
          <w:sz w:val="22"/>
          <w:szCs w:val="22"/>
        </w:rPr>
        <w:t xml:space="preserve">  In add</w:t>
      </w:r>
      <w:r w:rsidRPr="008D7F04">
        <w:rPr>
          <w:rFonts w:ascii="Arial" w:hAnsi="Arial" w:cs="Arial"/>
          <w:sz w:val="22"/>
          <w:szCs w:val="22"/>
        </w:rPr>
        <w:t xml:space="preserve">ition, </w:t>
      </w:r>
      <w:r w:rsidRPr="008D7F04" w:rsidR="00290CFC">
        <w:rPr>
          <w:rFonts w:ascii="Arial" w:hAnsi="Arial" w:cs="Arial"/>
          <w:sz w:val="22"/>
          <w:szCs w:val="22"/>
        </w:rPr>
        <w:t xml:space="preserve">due to changes in agency estimates resulting from more complete data, </w:t>
      </w:r>
      <w:r w:rsidRPr="008D7F04">
        <w:rPr>
          <w:rFonts w:ascii="Arial" w:hAnsi="Arial" w:cs="Arial"/>
          <w:sz w:val="22"/>
          <w:szCs w:val="22"/>
        </w:rPr>
        <w:t>TTB is revising the Federal Government labor costs associated with this information collection request</w:t>
      </w:r>
      <w:r w:rsidRPr="008D7F04" w:rsidR="00290CFC">
        <w:rPr>
          <w:rFonts w:ascii="Arial" w:hAnsi="Arial" w:cs="Arial"/>
          <w:sz w:val="22"/>
          <w:szCs w:val="22"/>
        </w:rPr>
        <w:t xml:space="preserve"> </w:t>
      </w:r>
      <w:bookmarkStart w:id="4" w:name="_Hlk191495810"/>
      <w:r w:rsidRPr="008D7F04" w:rsidR="00290CFC">
        <w:rPr>
          <w:rFonts w:ascii="Arial" w:hAnsi="Arial" w:cs="Arial"/>
          <w:sz w:val="22"/>
          <w:szCs w:val="22"/>
        </w:rPr>
        <w:t>to more accurately reflect how this collection is processed within TTB</w:t>
      </w:r>
      <w:bookmarkEnd w:id="4"/>
      <w:r w:rsidRPr="008D7F04">
        <w:rPr>
          <w:rFonts w:ascii="Arial" w:hAnsi="Arial" w:cs="Arial"/>
          <w:sz w:val="22"/>
          <w:szCs w:val="22"/>
        </w:rPr>
        <w:t>.</w:t>
      </w:r>
      <w:r w:rsidRPr="008D7F04" w:rsidR="00290CFC">
        <w:rPr>
          <w:rFonts w:ascii="Arial" w:hAnsi="Arial" w:cs="Arial"/>
          <w:sz w:val="22"/>
          <w:szCs w:val="22"/>
        </w:rPr>
        <w:t xml:space="preserve"> </w:t>
      </w:r>
    </w:p>
    <w:bookmarkEnd w:id="3"/>
    <w:p w:rsidR="0052391C" w:rsidRPr="008D7F04" w:rsidP="0052391C" w14:paraId="772B5F23" w14:textId="77777777">
      <w:pPr>
        <w:rPr>
          <w:rFonts w:ascii="Arial" w:hAnsi="Arial" w:cs="Arial"/>
          <w:sz w:val="28"/>
          <w:szCs w:val="28"/>
        </w:rPr>
      </w:pPr>
    </w:p>
    <w:p w:rsidR="00AF1157" w:rsidRPr="008D7F04" w:rsidP="00D73D2D" w14:paraId="290F6D80" w14:textId="21B879EA">
      <w:pPr>
        <w:suppressAutoHyphens/>
        <w:rPr>
          <w:rFonts w:ascii="Arial" w:hAnsi="Arial" w:cs="Arial"/>
          <w:i/>
          <w:sz w:val="22"/>
          <w:szCs w:val="22"/>
        </w:rPr>
      </w:pPr>
      <w:r w:rsidRPr="008D7F04">
        <w:rPr>
          <w:rFonts w:ascii="Arial" w:hAnsi="Arial" w:cs="Arial"/>
          <w:i/>
          <w:sz w:val="22"/>
          <w:szCs w:val="22"/>
        </w:rPr>
        <w:t xml:space="preserve">16.  </w:t>
      </w:r>
      <w:r w:rsidRPr="008D7F04">
        <w:rPr>
          <w:rFonts w:ascii="Arial" w:hAnsi="Arial" w:cs="Arial"/>
          <w:i/>
          <w:sz w:val="22"/>
          <w:szCs w:val="22"/>
        </w:rPr>
        <w:t>Outline plans for tabulation and publication for collections of information whose results will be published.</w:t>
      </w:r>
      <w:r w:rsidRPr="008D7F04">
        <w:rPr>
          <w:rFonts w:ascii="Arial" w:hAnsi="Arial" w:cs="Arial"/>
          <w:i/>
          <w:sz w:val="22"/>
          <w:szCs w:val="22"/>
        </w:rPr>
        <w:t xml:space="preserve"> </w:t>
      </w:r>
    </w:p>
    <w:p w:rsidR="00AF1157" w:rsidRPr="008D7F04" w:rsidP="00D73D2D" w14:paraId="4FE8877D" w14:textId="77777777">
      <w:pPr>
        <w:suppressAutoHyphens/>
        <w:ind w:left="480" w:hanging="480"/>
        <w:rPr>
          <w:rFonts w:ascii="Arial" w:hAnsi="Arial" w:cs="Arial"/>
          <w:sz w:val="22"/>
          <w:szCs w:val="22"/>
        </w:rPr>
      </w:pPr>
    </w:p>
    <w:p w:rsidR="0091799F" w:rsidP="00FD756F" w14:paraId="0DD061ED" w14:textId="060E6616">
      <w:pPr>
        <w:ind w:left="360"/>
        <w:rPr>
          <w:rFonts w:ascii="Arial" w:hAnsi="Arial" w:cs="Arial"/>
          <w:sz w:val="22"/>
          <w:szCs w:val="22"/>
        </w:rPr>
      </w:pPr>
      <w:r w:rsidRPr="008D7F04">
        <w:rPr>
          <w:rFonts w:ascii="Arial" w:hAnsi="Arial" w:cs="Arial"/>
          <w:sz w:val="22"/>
          <w:szCs w:val="22"/>
        </w:rPr>
        <w:t>W</w:t>
      </w:r>
      <w:r w:rsidRPr="008D7F04" w:rsidR="00F576D8">
        <w:rPr>
          <w:rFonts w:ascii="Arial" w:hAnsi="Arial" w:cs="Arial"/>
          <w:sz w:val="22"/>
          <w:szCs w:val="22"/>
        </w:rPr>
        <w:t xml:space="preserve">hile </w:t>
      </w:r>
      <w:r w:rsidRPr="008D7F04" w:rsidR="00290CFC">
        <w:rPr>
          <w:rFonts w:ascii="Arial" w:hAnsi="Arial" w:cs="Arial"/>
          <w:sz w:val="22"/>
          <w:szCs w:val="22"/>
        </w:rPr>
        <w:t xml:space="preserve">TTB does not </w:t>
      </w:r>
      <w:r>
        <w:rPr>
          <w:rFonts w:ascii="Arial" w:hAnsi="Arial" w:cs="Arial"/>
          <w:sz w:val="22"/>
          <w:szCs w:val="22"/>
        </w:rPr>
        <w:t xml:space="preserve">publicly </w:t>
      </w:r>
      <w:r w:rsidRPr="008D7F04" w:rsidR="00290CFC">
        <w:rPr>
          <w:rFonts w:ascii="Arial" w:hAnsi="Arial" w:cs="Arial"/>
          <w:sz w:val="22"/>
          <w:szCs w:val="22"/>
        </w:rPr>
        <w:t xml:space="preserve">disclose </w:t>
      </w:r>
      <w:r w:rsidRPr="008D7F04" w:rsidR="00F576D8">
        <w:rPr>
          <w:rFonts w:ascii="Arial" w:hAnsi="Arial" w:cs="Arial"/>
          <w:sz w:val="22"/>
          <w:szCs w:val="22"/>
        </w:rPr>
        <w:t>information regarding pending and rejected FAA Act-related offers in compromise</w:t>
      </w:r>
      <w:r w:rsidRPr="008D7F04" w:rsidR="00290CFC">
        <w:rPr>
          <w:rFonts w:ascii="Arial" w:hAnsi="Arial" w:cs="Arial"/>
          <w:sz w:val="22"/>
          <w:szCs w:val="22"/>
        </w:rPr>
        <w:t xml:space="preserve">, </w:t>
      </w:r>
      <w:r w:rsidRPr="008D7F04" w:rsidR="00F576D8">
        <w:rPr>
          <w:rFonts w:ascii="Arial" w:hAnsi="Arial" w:cs="Arial"/>
          <w:sz w:val="22"/>
          <w:szCs w:val="22"/>
        </w:rPr>
        <w:t xml:space="preserve">the TTB regulations at 27 CFR 70.802(a) provide for public inspection of an “abstract and statement” for all accepted offers in compromise.  To make this </w:t>
      </w:r>
      <w:r w:rsidRPr="008D7F04" w:rsidR="00290CFC">
        <w:rPr>
          <w:rFonts w:ascii="Arial" w:hAnsi="Arial" w:cs="Arial"/>
          <w:sz w:val="22"/>
          <w:szCs w:val="22"/>
        </w:rPr>
        <w:t xml:space="preserve">public </w:t>
      </w:r>
      <w:r w:rsidRPr="008D7F04" w:rsidR="00F576D8">
        <w:rPr>
          <w:rFonts w:ascii="Arial" w:hAnsi="Arial" w:cs="Arial"/>
          <w:sz w:val="22"/>
          <w:szCs w:val="22"/>
        </w:rPr>
        <w:t xml:space="preserve">disclosure, TTB creates a record for each accepted compromise using </w:t>
      </w:r>
      <w:r w:rsidRPr="008D7F04" w:rsidR="00290CFC">
        <w:rPr>
          <w:rFonts w:ascii="Arial" w:hAnsi="Arial" w:cs="Arial"/>
          <w:sz w:val="22"/>
          <w:szCs w:val="22"/>
        </w:rPr>
        <w:t xml:space="preserve">internal </w:t>
      </w:r>
      <w:r w:rsidRPr="008D7F04" w:rsidR="00F576D8">
        <w:rPr>
          <w:rFonts w:ascii="Arial" w:hAnsi="Arial" w:cs="Arial"/>
          <w:sz w:val="22"/>
          <w:szCs w:val="22"/>
        </w:rPr>
        <w:t xml:space="preserve">form TTB F 5640.3, Abstract and Statement, which TTB posts on </w:t>
      </w:r>
      <w:r>
        <w:rPr>
          <w:rFonts w:ascii="Arial" w:hAnsi="Arial" w:cs="Arial"/>
          <w:sz w:val="22"/>
          <w:szCs w:val="22"/>
        </w:rPr>
        <w:t xml:space="preserve">its </w:t>
      </w:r>
      <w:r w:rsidRPr="008D7F04" w:rsidR="00F576D8">
        <w:rPr>
          <w:rFonts w:ascii="Arial" w:hAnsi="Arial" w:cs="Arial"/>
          <w:sz w:val="22"/>
          <w:szCs w:val="22"/>
        </w:rPr>
        <w:t xml:space="preserve">website for public viewing (see </w:t>
      </w:r>
      <w:r w:rsidRPr="008D7F04" w:rsidR="00F576D8">
        <w:rPr>
          <w:rFonts w:ascii="Arial" w:hAnsi="Arial" w:cs="Arial"/>
          <w:i/>
          <w:sz w:val="22"/>
          <w:szCs w:val="22"/>
        </w:rPr>
        <w:t>https://www.ttb.gov/fo/administrative-cases</w:t>
      </w:r>
      <w:r w:rsidRPr="008D7F04" w:rsidR="00F576D8">
        <w:rPr>
          <w:rFonts w:ascii="Arial" w:hAnsi="Arial" w:cs="Arial"/>
          <w:sz w:val="22"/>
          <w:szCs w:val="22"/>
        </w:rPr>
        <w:t xml:space="preserve">).  </w:t>
      </w:r>
      <w:r w:rsidRPr="0091799F">
        <w:rPr>
          <w:rFonts w:ascii="Arial" w:hAnsi="Arial" w:cs="Arial"/>
          <w:sz w:val="22"/>
          <w:szCs w:val="22"/>
        </w:rPr>
        <w:t xml:space="preserve">The posted statement identifies the proponent of the offer in compromise, the facts regarding the offer and its amount, and TTB’s rationale for accepting the offer; however, TTB redacts </w:t>
      </w:r>
      <w:r>
        <w:rPr>
          <w:rFonts w:ascii="Arial" w:hAnsi="Arial" w:cs="Arial"/>
          <w:sz w:val="22"/>
          <w:szCs w:val="22"/>
        </w:rPr>
        <w:t xml:space="preserve">any </w:t>
      </w:r>
      <w:r w:rsidRPr="0091799F">
        <w:rPr>
          <w:rFonts w:ascii="Arial" w:hAnsi="Arial" w:cs="Arial"/>
          <w:sz w:val="22"/>
          <w:szCs w:val="22"/>
        </w:rPr>
        <w:t>permit, case, and taxpayer identification numbers from the posted statement</w:t>
      </w:r>
      <w:r>
        <w:rPr>
          <w:rFonts w:ascii="Arial" w:hAnsi="Arial" w:cs="Arial"/>
          <w:sz w:val="22"/>
          <w:szCs w:val="22"/>
        </w:rPr>
        <w:t xml:space="preserve">. </w:t>
      </w:r>
    </w:p>
    <w:p w:rsidR="00AF1157" w:rsidRPr="008D7F04" w:rsidP="00D73D2D" w14:paraId="489CC0E7" w14:textId="77777777">
      <w:pPr>
        <w:suppressAutoHyphens/>
        <w:rPr>
          <w:rFonts w:ascii="Arial" w:hAnsi="Arial" w:cs="Arial"/>
          <w:sz w:val="28"/>
          <w:szCs w:val="28"/>
        </w:rPr>
      </w:pPr>
    </w:p>
    <w:p w:rsidR="00AF1157" w:rsidRPr="008D7F04" w:rsidP="00D73D2D" w14:paraId="40A14458" w14:textId="77777777">
      <w:pPr>
        <w:suppressAutoHyphens/>
        <w:rPr>
          <w:rFonts w:ascii="Arial" w:hAnsi="Arial" w:cs="Arial"/>
          <w:i/>
          <w:sz w:val="22"/>
          <w:szCs w:val="22"/>
        </w:rPr>
      </w:pPr>
      <w:r w:rsidRPr="008D7F04">
        <w:rPr>
          <w:rFonts w:ascii="Arial" w:hAnsi="Arial" w:cs="Arial"/>
          <w:i/>
          <w:sz w:val="22"/>
          <w:szCs w:val="22"/>
        </w:rPr>
        <w:t xml:space="preserve">17.  </w:t>
      </w:r>
      <w:r w:rsidRPr="008D7F04">
        <w:rPr>
          <w:rFonts w:ascii="Arial" w:hAnsi="Arial" w:cs="Arial"/>
          <w:i/>
          <w:sz w:val="22"/>
          <w:szCs w:val="22"/>
        </w:rPr>
        <w:t>If seeking approval to not display the expiration date for OMB approval of this information collection, what are the reasons that the display would be inappropriate?</w:t>
      </w:r>
      <w:r w:rsidRPr="008D7F04" w:rsidR="004D086A">
        <w:rPr>
          <w:rFonts w:ascii="Arial" w:hAnsi="Arial" w:cs="Arial"/>
          <w:i/>
          <w:sz w:val="22"/>
          <w:szCs w:val="22"/>
        </w:rPr>
        <w:t xml:space="preserve"> </w:t>
      </w:r>
    </w:p>
    <w:p w:rsidR="00AF1157" w:rsidRPr="008D7F04" w:rsidP="00D73D2D" w14:paraId="05C7C96D" w14:textId="77777777">
      <w:pPr>
        <w:suppressAutoHyphens/>
        <w:rPr>
          <w:rFonts w:ascii="Arial" w:hAnsi="Arial" w:cs="Arial"/>
          <w:sz w:val="22"/>
          <w:szCs w:val="22"/>
        </w:rPr>
      </w:pPr>
    </w:p>
    <w:p w:rsidR="000075DF" w:rsidRPr="000075DF" w:rsidP="000075DF" w14:paraId="48908FF0" w14:textId="77777777">
      <w:pPr>
        <w:ind w:left="360"/>
        <w:rPr>
          <w:rFonts w:ascii="Arial" w:hAnsi="Arial" w:cs="Arial"/>
          <w:sz w:val="22"/>
          <w:szCs w:val="22"/>
        </w:rPr>
      </w:pPr>
      <w:r w:rsidRPr="000075DF">
        <w:rPr>
          <w:rFonts w:ascii="Arial" w:hAnsi="Arial" w:cs="Arial"/>
          <w:sz w:val="22"/>
          <w:szCs w:val="22"/>
        </w:rPr>
        <w:t xml:space="preserve">As a cost saving measure for both TTB and the public, TTB is seeking approval not to display the expiration date for OMB approval of this information collection on forms TTB F 5640.1, Offer in Compromise of Liability Incurred under Provisions of Title 26 U.S.C. Enforced and Administered by the Alcohol and Tobacco Tax and Trade Bureau, TTB F 5600.17, Collection Information Statement for Individuals, and TTB F 5600.18, Collection Information Statement for Businesses.  By not displaying that date, TTB will not have to update these occasionally-used forms each time OMB reapproves this information collection request.  Similarly, respondents and other businesses will not have to update stocks of the paper forms, self-produced electronic copies of the forms, or versions of the forms made for sale to other businesses.  Additionally, not displaying the information collection’s OMB approval expiration date on the paper forms will avoid confusion among members of the public who may have copies of the forms with different expiration dates in their possession. </w:t>
      </w:r>
    </w:p>
    <w:p w:rsidR="00014CEB" w:rsidRPr="008D7F04" w:rsidP="00B96E71" w14:paraId="43DD8474" w14:textId="77777777">
      <w:pPr>
        <w:autoSpaceDE w:val="0"/>
        <w:autoSpaceDN w:val="0"/>
        <w:rPr>
          <w:rFonts w:ascii="Arial" w:hAnsi="Arial" w:cs="Arial"/>
          <w:sz w:val="28"/>
          <w:szCs w:val="28"/>
        </w:rPr>
      </w:pPr>
    </w:p>
    <w:p w:rsidR="00AF1157" w:rsidRPr="008D7F04" w:rsidP="00D73D2D" w14:paraId="242F3813" w14:textId="5FFCCCDB">
      <w:pPr>
        <w:suppressAutoHyphens/>
        <w:rPr>
          <w:rFonts w:ascii="Arial" w:hAnsi="Arial" w:cs="Arial"/>
          <w:i/>
          <w:sz w:val="22"/>
          <w:szCs w:val="22"/>
        </w:rPr>
      </w:pPr>
      <w:r w:rsidRPr="008D7F04">
        <w:rPr>
          <w:rFonts w:ascii="Arial" w:hAnsi="Arial" w:cs="Arial"/>
          <w:i/>
          <w:sz w:val="22"/>
          <w:szCs w:val="22"/>
        </w:rPr>
        <w:t xml:space="preserve">18.  </w:t>
      </w:r>
      <w:r w:rsidRPr="008D7F04">
        <w:rPr>
          <w:rFonts w:ascii="Arial" w:hAnsi="Arial" w:cs="Arial"/>
          <w:i/>
          <w:sz w:val="22"/>
          <w:szCs w:val="22"/>
        </w:rPr>
        <w:t>What are the exceptions to the certification statement?</w:t>
      </w:r>
      <w:r w:rsidRPr="008D7F04" w:rsidR="00F46BAC">
        <w:rPr>
          <w:rFonts w:ascii="Arial" w:hAnsi="Arial" w:cs="Arial"/>
          <w:i/>
          <w:sz w:val="22"/>
          <w:szCs w:val="22"/>
        </w:rPr>
        <w:t xml:space="preserve"> </w:t>
      </w:r>
    </w:p>
    <w:p w:rsidR="00AF1157" w:rsidRPr="008D7F04" w:rsidP="00B96E71" w14:paraId="4286F3E3" w14:textId="77777777">
      <w:pPr>
        <w:suppressAutoHyphens/>
        <w:rPr>
          <w:rFonts w:ascii="Arial" w:hAnsi="Arial" w:cs="Arial"/>
          <w:sz w:val="22"/>
          <w:szCs w:val="22"/>
        </w:rPr>
      </w:pPr>
    </w:p>
    <w:p w:rsidR="007D0004" w:rsidRPr="008D7F04" w:rsidP="00DE7778" w14:paraId="4E473424" w14:textId="77777777">
      <w:pPr>
        <w:suppressAutoHyphens/>
        <w:spacing w:after="120"/>
        <w:ind w:left="360"/>
        <w:rPr>
          <w:rFonts w:ascii="Arial" w:hAnsi="Arial" w:cs="Arial"/>
          <w:sz w:val="22"/>
          <w:szCs w:val="22"/>
        </w:rPr>
      </w:pPr>
      <w:r w:rsidRPr="008D7F04">
        <w:rPr>
          <w:rFonts w:ascii="Arial" w:hAnsi="Arial" w:cs="Arial"/>
          <w:sz w:val="22"/>
          <w:szCs w:val="22"/>
        </w:rPr>
        <w:t xml:space="preserve">(c)  See item 5 above. </w:t>
      </w:r>
    </w:p>
    <w:p w:rsidR="007D0004" w:rsidRPr="008D7F04" w:rsidP="00DE7778" w14:paraId="1CA81967" w14:textId="4674B915">
      <w:pPr>
        <w:suppressAutoHyphens/>
        <w:spacing w:after="120"/>
        <w:ind w:left="360"/>
        <w:rPr>
          <w:rFonts w:ascii="Arial" w:hAnsi="Arial" w:cs="Arial"/>
          <w:sz w:val="22"/>
          <w:szCs w:val="22"/>
        </w:rPr>
      </w:pPr>
      <w:r w:rsidRPr="008D7F04">
        <w:rPr>
          <w:rFonts w:ascii="Arial" w:hAnsi="Arial" w:cs="Arial"/>
          <w:sz w:val="22"/>
          <w:szCs w:val="22"/>
        </w:rPr>
        <w:t xml:space="preserve">(f)  This is not a recordkeeping requirement. </w:t>
      </w:r>
    </w:p>
    <w:p w:rsidR="007D0004" w:rsidRPr="008D7F04" w:rsidP="00DE7778" w14:paraId="77E35377" w14:textId="2189AD62">
      <w:pPr>
        <w:suppressAutoHyphens/>
        <w:spacing w:after="120"/>
        <w:ind w:left="360"/>
        <w:rPr>
          <w:rFonts w:ascii="Arial" w:hAnsi="Arial" w:cs="Arial"/>
          <w:sz w:val="22"/>
          <w:szCs w:val="22"/>
        </w:rPr>
      </w:pPr>
      <w:r w:rsidRPr="008D7F04">
        <w:rPr>
          <w:rFonts w:ascii="Arial" w:hAnsi="Arial" w:cs="Arial"/>
          <w:sz w:val="22"/>
          <w:szCs w:val="22"/>
        </w:rPr>
        <w:t>(</w:t>
      </w:r>
      <w:r w:rsidRPr="008D7F04">
        <w:rPr>
          <w:rFonts w:ascii="Arial" w:hAnsi="Arial" w:cs="Arial"/>
          <w:sz w:val="22"/>
          <w:szCs w:val="22"/>
        </w:rPr>
        <w:t>i</w:t>
      </w:r>
      <w:r w:rsidRPr="008D7F04">
        <w:rPr>
          <w:rFonts w:ascii="Arial" w:hAnsi="Arial" w:cs="Arial"/>
          <w:sz w:val="22"/>
          <w:szCs w:val="22"/>
        </w:rPr>
        <w:t xml:space="preserve">)  No statistics are involved. </w:t>
      </w:r>
    </w:p>
    <w:p w:rsidR="00DE7778" w:rsidRPr="008D7F04" w:rsidP="007D0004" w14:paraId="39CD55B4" w14:textId="53DD115E">
      <w:pPr>
        <w:suppressAutoHyphens/>
        <w:ind w:left="360"/>
        <w:rPr>
          <w:rFonts w:ascii="Arial" w:hAnsi="Arial" w:cs="Arial"/>
          <w:sz w:val="22"/>
          <w:szCs w:val="22"/>
        </w:rPr>
      </w:pPr>
      <w:r w:rsidRPr="008D7F04">
        <w:rPr>
          <w:rFonts w:ascii="Arial" w:hAnsi="Arial" w:cs="Arial"/>
          <w:sz w:val="22"/>
          <w:szCs w:val="22"/>
        </w:rPr>
        <w:t xml:space="preserve">(j)  See item 3 above. </w:t>
      </w:r>
    </w:p>
    <w:p w:rsidR="00734B25" w:rsidRPr="008D7F04" w:rsidP="00D73D2D" w14:paraId="6992B896" w14:textId="77777777">
      <w:pPr>
        <w:rPr>
          <w:rFonts w:ascii="Arial" w:hAnsi="Arial" w:cs="Arial"/>
          <w:sz w:val="28"/>
          <w:szCs w:val="28"/>
        </w:rPr>
      </w:pPr>
    </w:p>
    <w:p w:rsidR="00E115FD" w:rsidRPr="008D7F04" w:rsidP="00D73D2D" w14:paraId="3CC0456F" w14:textId="77777777">
      <w:pPr>
        <w:rPr>
          <w:rFonts w:ascii="Arial" w:hAnsi="Arial" w:cs="Arial"/>
          <w:sz w:val="28"/>
          <w:szCs w:val="28"/>
        </w:rPr>
      </w:pPr>
    </w:p>
    <w:p w:rsidR="00BD3333" w:rsidRPr="008D7F04" w:rsidP="00D73D2D" w14:paraId="37347F3A" w14:textId="77777777">
      <w:pPr>
        <w:rPr>
          <w:rFonts w:ascii="Arial" w:hAnsi="Arial" w:cs="Arial"/>
          <w:b/>
          <w:bCs/>
          <w:sz w:val="22"/>
          <w:szCs w:val="22"/>
        </w:rPr>
      </w:pPr>
      <w:r w:rsidRPr="008D7F04">
        <w:rPr>
          <w:rFonts w:ascii="Arial" w:hAnsi="Arial" w:cs="Arial"/>
          <w:b/>
          <w:bCs/>
          <w:sz w:val="22"/>
          <w:szCs w:val="22"/>
        </w:rPr>
        <w:t xml:space="preserve">B. </w:t>
      </w:r>
      <w:r w:rsidRPr="008D7F04" w:rsidR="00BA1A21">
        <w:rPr>
          <w:rFonts w:ascii="Arial" w:hAnsi="Arial" w:cs="Arial"/>
          <w:b/>
          <w:bCs/>
          <w:sz w:val="22"/>
          <w:szCs w:val="22"/>
        </w:rPr>
        <w:t xml:space="preserve"> </w:t>
      </w:r>
      <w:r w:rsidRPr="008D7F04">
        <w:rPr>
          <w:rFonts w:ascii="Arial" w:hAnsi="Arial" w:cs="Arial"/>
          <w:b/>
          <w:bCs/>
          <w:sz w:val="22"/>
          <w:szCs w:val="22"/>
          <w:u w:val="single"/>
        </w:rPr>
        <w:t>Collections of Information Employing Statistical Methods</w:t>
      </w:r>
      <w:r w:rsidRPr="008D7F04">
        <w:rPr>
          <w:rFonts w:ascii="Arial" w:hAnsi="Arial" w:cs="Arial"/>
          <w:b/>
          <w:bCs/>
          <w:sz w:val="22"/>
          <w:szCs w:val="22"/>
        </w:rPr>
        <w:t>.</w:t>
      </w:r>
    </w:p>
    <w:p w:rsidR="00BD3333" w:rsidRPr="008D7F04" w:rsidP="00D73D2D" w14:paraId="7401ADFB" w14:textId="77777777">
      <w:pPr>
        <w:pStyle w:val="Header"/>
        <w:tabs>
          <w:tab w:val="clear" w:pos="4320"/>
          <w:tab w:val="clear" w:pos="8640"/>
        </w:tabs>
        <w:rPr>
          <w:rFonts w:ascii="Arial" w:hAnsi="Arial" w:cs="Arial"/>
          <w:sz w:val="22"/>
          <w:szCs w:val="22"/>
        </w:rPr>
      </w:pPr>
    </w:p>
    <w:p w:rsidR="00BD3333" w:rsidRPr="008D7F04" w:rsidP="00BA1A21" w14:paraId="7F7C752F" w14:textId="1D9BB6E5">
      <w:pPr>
        <w:pStyle w:val="Header"/>
        <w:tabs>
          <w:tab w:val="clear" w:pos="4320"/>
          <w:tab w:val="clear" w:pos="8640"/>
        </w:tabs>
        <w:ind w:left="360"/>
        <w:rPr>
          <w:rFonts w:ascii="Arial" w:hAnsi="Arial" w:cs="Arial"/>
          <w:sz w:val="22"/>
          <w:szCs w:val="22"/>
        </w:rPr>
      </w:pPr>
      <w:r w:rsidRPr="008D7F04">
        <w:rPr>
          <w:rFonts w:ascii="Arial" w:hAnsi="Arial" w:cs="Arial"/>
          <w:sz w:val="22"/>
          <w:szCs w:val="22"/>
        </w:rPr>
        <w:t xml:space="preserve">This </w:t>
      </w:r>
      <w:r w:rsidRPr="008D7F04" w:rsidR="00840B72">
        <w:rPr>
          <w:rFonts w:ascii="Arial" w:hAnsi="Arial" w:cs="Arial"/>
          <w:sz w:val="22"/>
          <w:szCs w:val="22"/>
        </w:rPr>
        <w:t xml:space="preserve">information </w:t>
      </w:r>
      <w:r w:rsidRPr="008D7F04">
        <w:rPr>
          <w:rFonts w:ascii="Arial" w:hAnsi="Arial" w:cs="Arial"/>
          <w:sz w:val="22"/>
          <w:szCs w:val="22"/>
        </w:rPr>
        <w:t xml:space="preserve">collection </w:t>
      </w:r>
      <w:r w:rsidR="008D7F04">
        <w:rPr>
          <w:rFonts w:ascii="Arial" w:hAnsi="Arial" w:cs="Arial"/>
          <w:sz w:val="22"/>
          <w:szCs w:val="22"/>
        </w:rPr>
        <w:t xml:space="preserve">request </w:t>
      </w:r>
      <w:r w:rsidRPr="008D7F04">
        <w:rPr>
          <w:rFonts w:ascii="Arial" w:hAnsi="Arial" w:cs="Arial"/>
          <w:sz w:val="22"/>
          <w:szCs w:val="22"/>
        </w:rPr>
        <w:t>does not employ statistical methods.</w:t>
      </w:r>
      <w:r w:rsidRPr="008D7F04" w:rsidR="00BA1A21">
        <w:rPr>
          <w:rFonts w:ascii="Arial" w:hAnsi="Arial" w:cs="Arial"/>
          <w:sz w:val="22"/>
          <w:szCs w:val="22"/>
        </w:rPr>
        <w:t xml:space="preserve"> </w:t>
      </w:r>
    </w:p>
    <w:p w:rsidR="000B73ED" w:rsidRPr="008D7F04" w:rsidP="00D73D2D" w14:paraId="246D6BEB" w14:textId="4FA01C45">
      <w:pPr>
        <w:suppressAutoHyphens/>
        <w:rPr>
          <w:rFonts w:ascii="Arial" w:hAnsi="Arial" w:cs="Arial"/>
          <w:sz w:val="22"/>
          <w:szCs w:val="22"/>
        </w:rPr>
      </w:pPr>
    </w:p>
    <w:p w:rsidR="001A59DF" w:rsidRPr="008D7F04" w14:paraId="1F2D6BF3" w14:textId="77777777">
      <w:pPr>
        <w:suppressAutoHyphens/>
        <w:rPr>
          <w:rFonts w:ascii="Arial" w:hAnsi="Arial" w:cs="Arial"/>
          <w:sz w:val="22"/>
          <w:szCs w:val="22"/>
        </w:rPr>
      </w:pPr>
    </w:p>
    <w:sectPr w:rsidSect="000E2C50">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646449" w:rsidP="00646449" w14:paraId="797AFD1B" w14:textId="088F2B3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13886">
      <w:rPr>
        <w:rFonts w:ascii="Arial" w:hAnsi="Arial" w:cs="Arial"/>
        <w:sz w:val="20"/>
        <w:szCs w:val="20"/>
      </w:rPr>
      <w:t xml:space="preserve">OMB No. </w:t>
    </w:r>
    <w:r>
      <w:rPr>
        <w:rFonts w:ascii="Arial" w:hAnsi="Arial" w:cs="Arial"/>
        <w:sz w:val="20"/>
        <w:szCs w:val="20"/>
      </w:rPr>
      <w:t>1513–00</w:t>
    </w:r>
    <w:r w:rsidR="00DE7778">
      <w:rPr>
        <w:rFonts w:ascii="Arial" w:hAnsi="Arial" w:cs="Arial"/>
        <w:sz w:val="20"/>
        <w:szCs w:val="20"/>
      </w:rPr>
      <w:t>5</w:t>
    </w:r>
    <w:r w:rsidR="00436310">
      <w:rPr>
        <w:rFonts w:ascii="Arial" w:hAnsi="Arial" w:cs="Arial"/>
        <w:sz w:val="20"/>
        <w:szCs w:val="20"/>
      </w:rPr>
      <w:t>5</w:t>
    </w:r>
    <w:r>
      <w:rPr>
        <w:rFonts w:ascii="Arial" w:hAnsi="Arial" w:cs="Arial"/>
        <w:sz w:val="20"/>
        <w:szCs w:val="20"/>
      </w:rPr>
      <w:t xml:space="preserve"> Supporting Statement (</w:t>
    </w:r>
    <w:r w:rsidR="00013886">
      <w:rPr>
        <w:rFonts w:ascii="Arial" w:hAnsi="Arial" w:cs="Arial"/>
        <w:sz w:val="20"/>
        <w:szCs w:val="20"/>
      </w:rPr>
      <w:t>0</w:t>
    </w:r>
    <w:r w:rsidR="00B520D7">
      <w:rPr>
        <w:rFonts w:ascii="Arial" w:hAnsi="Arial" w:cs="Arial"/>
        <w:sz w:val="20"/>
        <w:szCs w:val="20"/>
      </w:rPr>
      <w:t>3</w:t>
    </w:r>
    <w:r>
      <w:rPr>
        <w:rFonts w:ascii="Arial" w:hAnsi="Arial" w:cs="Arial"/>
        <w:sz w:val="20"/>
        <w:szCs w:val="20"/>
      </w:rPr>
      <w:t>–20</w:t>
    </w:r>
    <w:r w:rsidR="00013886">
      <w:rPr>
        <w:rFonts w:ascii="Arial" w:hAnsi="Arial" w:cs="Arial"/>
        <w:sz w:val="20"/>
        <w:szCs w:val="20"/>
      </w:rPr>
      <w:t>2</w:t>
    </w:r>
    <w:r w:rsidR="00B520D7">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646449" w:rsidP="00646449" w14:paraId="67C12662" w14:textId="203AA56A">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 xml:space="preserve">OPI:NRC </w:t>
    </w:r>
    <w:r w:rsidRPr="00646449">
      <w:rPr>
        <w:rFonts w:ascii="Arial" w:hAnsi="Arial" w:cs="Arial"/>
        <w:sz w:val="20"/>
        <w:szCs w:val="20"/>
      </w:rPr>
      <w:tab/>
    </w:r>
    <w:r w:rsidR="00013886">
      <w:rPr>
        <w:rFonts w:ascii="Arial" w:hAnsi="Arial" w:cs="Arial"/>
        <w:sz w:val="20"/>
        <w:szCs w:val="20"/>
      </w:rPr>
      <w:t xml:space="preserve">OMB No. </w:t>
    </w:r>
    <w:r w:rsidRPr="00646449">
      <w:rPr>
        <w:rFonts w:ascii="Arial" w:hAnsi="Arial" w:cs="Arial"/>
        <w:sz w:val="20"/>
        <w:szCs w:val="20"/>
      </w:rPr>
      <w:t>1513–00</w:t>
    </w:r>
    <w:r w:rsidR="00DE7778">
      <w:rPr>
        <w:rFonts w:ascii="Arial" w:hAnsi="Arial" w:cs="Arial"/>
        <w:sz w:val="20"/>
        <w:szCs w:val="20"/>
      </w:rPr>
      <w:t>5</w:t>
    </w:r>
    <w:r w:rsidR="00436310">
      <w:rPr>
        <w:rFonts w:ascii="Arial" w:hAnsi="Arial" w:cs="Arial"/>
        <w:sz w:val="20"/>
        <w:szCs w:val="20"/>
      </w:rPr>
      <w:t>5</w:t>
    </w:r>
    <w:r w:rsidRPr="00646449">
      <w:rPr>
        <w:rFonts w:ascii="Arial" w:hAnsi="Arial" w:cs="Arial"/>
        <w:sz w:val="20"/>
        <w:szCs w:val="20"/>
      </w:rPr>
      <w:t xml:space="preserve"> Supporting Statement (</w:t>
    </w:r>
    <w:r w:rsidR="00013886">
      <w:rPr>
        <w:rFonts w:ascii="Arial" w:hAnsi="Arial" w:cs="Arial"/>
        <w:sz w:val="20"/>
        <w:szCs w:val="20"/>
      </w:rPr>
      <w:t>0</w:t>
    </w:r>
    <w:r w:rsidR="00B520D7">
      <w:rPr>
        <w:rFonts w:ascii="Arial" w:hAnsi="Arial" w:cs="Arial"/>
        <w:sz w:val="20"/>
        <w:szCs w:val="20"/>
      </w:rPr>
      <w:t>3</w:t>
    </w:r>
    <w:r w:rsidR="00013886">
      <w:rPr>
        <w:rFonts w:ascii="Arial" w:hAnsi="Arial" w:cs="Arial"/>
        <w:sz w:val="20"/>
        <w:szCs w:val="20"/>
      </w:rPr>
      <w:t>–202</w:t>
    </w:r>
    <w:r w:rsidR="00B520D7">
      <w:rPr>
        <w:rFonts w:ascii="Arial" w:hAnsi="Arial" w:cs="Arial"/>
        <w:sz w:val="20"/>
        <w:szCs w:val="20"/>
      </w:rPr>
      <w:t>5</w:t>
    </w:r>
    <w:r w:rsidR="00013886">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2FD" w14:paraId="5EF23FDC" w14:textId="77777777">
      <w:r>
        <w:separator/>
      </w:r>
    </w:p>
  </w:footnote>
  <w:footnote w:type="continuationSeparator" w:id="1">
    <w:p w:rsidR="006252FD" w14:paraId="2D4391BF" w14:textId="77777777">
      <w:r>
        <w:continuationSeparator/>
      </w:r>
    </w:p>
  </w:footnote>
  <w:footnote w:id="2">
    <w:p w:rsidR="00C93D1A" w:rsidRPr="00F643CE" w:rsidP="00F643CE" w14:paraId="2EADA147" w14:textId="2A73A690">
      <w:pPr>
        <w:suppressAutoHyphens/>
        <w:rPr>
          <w:rFonts w:ascii="Arial" w:hAnsi="Arial" w:cs="Arial"/>
          <w:sz w:val="18"/>
          <w:szCs w:val="18"/>
        </w:rPr>
      </w:pPr>
      <w:r w:rsidRPr="00F643CE">
        <w:rPr>
          <w:rStyle w:val="FootnoteReference"/>
          <w:rFonts w:ascii="Arial" w:hAnsi="Arial" w:cs="Arial"/>
          <w:sz w:val="22"/>
          <w:szCs w:val="22"/>
        </w:rPr>
        <w:footnoteRef/>
      </w:r>
      <w:r w:rsidRPr="00F643CE">
        <w:rPr>
          <w:rFonts w:ascii="Arial" w:hAnsi="Arial" w:cs="Arial"/>
          <w:sz w:val="22"/>
          <w:szCs w:val="22"/>
        </w:rPr>
        <w:t xml:space="preserve"> </w:t>
      </w:r>
      <w:r w:rsidRPr="000D47D9" w:rsidR="000D47D9">
        <w:rPr>
          <w:rFonts w:ascii="Arial" w:hAnsi="Arial" w:cs="Arial"/>
          <w:sz w:val="18"/>
          <w:szCs w:val="18"/>
        </w:rPr>
        <w:t xml:space="preserve">The Private Sector Fully-loaded Labor Rate per Hour = Hourly wage </w:t>
      </w:r>
      <w:r w:rsidR="000D47D9">
        <w:rPr>
          <w:rFonts w:ascii="Arial" w:hAnsi="Arial" w:cs="Arial"/>
          <w:sz w:val="18"/>
          <w:szCs w:val="18"/>
        </w:rPr>
        <w:t xml:space="preserve">rate </w:t>
      </w:r>
      <w:r w:rsidRPr="000D47D9" w:rsidR="000D47D9">
        <w:rPr>
          <w:rFonts w:ascii="Arial" w:hAnsi="Arial" w:cs="Arial"/>
          <w:sz w:val="18"/>
          <w:szCs w:val="18"/>
        </w:rPr>
        <w:t>multiplied by 1.44 to account for employee benefit costs.  Per the most recent U.S. Department of Labor, Bureau of Labor Statistics</w:t>
      </w:r>
      <w:r w:rsidR="000D47D9">
        <w:rPr>
          <w:rFonts w:ascii="Arial" w:hAnsi="Arial" w:cs="Arial"/>
          <w:sz w:val="18"/>
          <w:szCs w:val="18"/>
        </w:rPr>
        <w:t xml:space="preserve"> (BLS)</w:t>
      </w:r>
      <w:r w:rsidRPr="000D47D9" w:rsidR="000D47D9">
        <w:rPr>
          <w:rFonts w:ascii="Arial" w:hAnsi="Arial" w:cs="Arial"/>
          <w:sz w:val="18"/>
          <w:szCs w:val="18"/>
        </w:rPr>
        <w:t>, wage data for NAICS 312</w:t>
      </w:r>
      <w:r w:rsidR="000D47D9">
        <w:rPr>
          <w:rFonts w:ascii="Arial" w:hAnsi="Arial" w:cs="Arial"/>
          <w:sz w:val="18"/>
          <w:szCs w:val="18"/>
        </w:rPr>
        <w:t>1</w:t>
      </w:r>
      <w:r w:rsidRPr="000D47D9" w:rsidR="000D47D9">
        <w:rPr>
          <w:rFonts w:ascii="Arial" w:hAnsi="Arial" w:cs="Arial"/>
          <w:sz w:val="18"/>
          <w:szCs w:val="18"/>
        </w:rPr>
        <w:t>00—Beverage Manufacturing, the estimated fully-loaded labor rate per hour for lawyers (23–1011) is $1</w:t>
      </w:r>
      <w:r w:rsidR="000D47D9">
        <w:rPr>
          <w:rFonts w:ascii="Arial" w:hAnsi="Arial" w:cs="Arial"/>
          <w:sz w:val="18"/>
          <w:szCs w:val="18"/>
        </w:rPr>
        <w:t>30.58</w:t>
      </w:r>
      <w:r w:rsidRPr="000D47D9" w:rsidR="000D47D9">
        <w:rPr>
          <w:rFonts w:ascii="Arial" w:hAnsi="Arial" w:cs="Arial"/>
          <w:sz w:val="18"/>
          <w:szCs w:val="18"/>
        </w:rPr>
        <w:t>, based on a mean hourly wage of $9</w:t>
      </w:r>
      <w:r w:rsidR="000D47D9">
        <w:rPr>
          <w:rFonts w:ascii="Arial" w:hAnsi="Arial" w:cs="Arial"/>
          <w:sz w:val="18"/>
          <w:szCs w:val="18"/>
        </w:rPr>
        <w:t>0.68</w:t>
      </w:r>
      <w:r w:rsidRPr="000D47D9" w:rsidR="000D47D9">
        <w:rPr>
          <w:rFonts w:ascii="Arial" w:hAnsi="Arial" w:cs="Arial"/>
          <w:sz w:val="18"/>
          <w:szCs w:val="18"/>
        </w:rPr>
        <w:t>.</w:t>
      </w:r>
      <w:r w:rsidR="000D47D9">
        <w:rPr>
          <w:rFonts w:ascii="Arial" w:hAnsi="Arial" w:cs="Arial"/>
          <w:sz w:val="18"/>
          <w:szCs w:val="18"/>
        </w:rPr>
        <w:t xml:space="preserve"> </w:t>
      </w:r>
      <w:r w:rsidRPr="000D47D9">
        <w:rPr>
          <w:rFonts w:ascii="Arial" w:hAnsi="Arial" w:cs="Arial"/>
          <w:sz w:val="18"/>
          <w:szCs w:val="18"/>
        </w:rPr>
        <w:t xml:space="preserve"> </w:t>
      </w:r>
      <w:r w:rsidRPr="000075DF" w:rsidR="000075DF">
        <w:rPr>
          <w:rFonts w:ascii="Arial" w:hAnsi="Arial" w:cs="Arial"/>
          <w:sz w:val="18"/>
          <w:szCs w:val="18"/>
        </w:rPr>
        <w:t xml:space="preserve">TTB notes that accountants and other related professionals in the beverage manufacturing industry have lower hourly wage rates than lawyers in that industry.  </w:t>
      </w:r>
      <w:r w:rsidRPr="000D47D9">
        <w:rPr>
          <w:rFonts w:ascii="Arial" w:hAnsi="Arial" w:cs="Arial"/>
          <w:sz w:val="18"/>
          <w:szCs w:val="18"/>
        </w:rPr>
        <w:t xml:space="preserve">See </w:t>
      </w:r>
      <w:r w:rsidR="000D47D9">
        <w:rPr>
          <w:rFonts w:ascii="Arial" w:hAnsi="Arial" w:cs="Arial"/>
          <w:sz w:val="18"/>
          <w:szCs w:val="18"/>
        </w:rPr>
        <w:t xml:space="preserve">the BLS website at </w:t>
      </w:r>
      <w:r w:rsidRPr="000D47D9">
        <w:rPr>
          <w:rFonts w:ascii="Arial" w:hAnsi="Arial" w:cs="Arial"/>
          <w:i/>
          <w:sz w:val="18"/>
          <w:szCs w:val="18"/>
        </w:rPr>
        <w:t>https://www.bls.gov/oes/current/naics4_312100</w:t>
      </w:r>
      <w:r w:rsidRPr="00C93D1A">
        <w:rPr>
          <w:rFonts w:ascii="Arial" w:hAnsi="Arial" w:cs="Arial"/>
          <w:i/>
          <w:sz w:val="18"/>
          <w:szCs w:val="18"/>
        </w:rPr>
        <w:t>.htm</w:t>
      </w:r>
      <w:r>
        <w:rPr>
          <w:rFonts w:ascii="Arial" w:hAnsi="Arial" w:cs="Arial"/>
          <w:sz w:val="18"/>
          <w:szCs w:val="18"/>
        </w:rPr>
        <w:t xml:space="preserve">. </w:t>
      </w:r>
    </w:p>
  </w:footnote>
  <w:footnote w:id="3">
    <w:p w:rsidR="00336A9E" w:rsidRPr="00C009D7" w:rsidP="00336A9E" w14:paraId="78A00B6E" w14:textId="688236F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0075DF" w:rsidR="000075DF">
        <w:rPr>
          <w:rFonts w:ascii="Arial" w:hAnsi="Arial" w:cs="Arial"/>
          <w:sz w:val="18"/>
          <w:szCs w:val="18"/>
        </w:rPr>
        <w:t xml:space="preserve">Federal Government Fully-loaded Labor Rate = Hourly wage rate x 1.63 to account for benefit costs.  Per the most recent Office of Personnel Management (OPM) hourly wage data, the fully-loaded labor rates per hour for Federal employees in the Cincinnati, Ohio, wage area are:  (1) $33.27 for GS–5 (step 5), based on an hourly wage of $22.81; (2) $68.17 for GS–11 (step 5), based on an hourly wage of $41.82; (3) $114.82 for GS-14 (step 5), based on an hourly wage of $70.44; and $120.85 for a GS–15 (step 5), based on an hourly wage of $82.85.  See </w:t>
      </w:r>
      <w:r w:rsidRPr="000075DF" w:rsidR="000075DF">
        <w:rPr>
          <w:rFonts w:ascii="Arial" w:hAnsi="Arial" w:cs="Arial"/>
          <w:i/>
          <w:iCs/>
          <w:sz w:val="18"/>
          <w:szCs w:val="18"/>
        </w:rPr>
        <w:t>https://www.opm.gov/policy-data-oversight/pay-leave/salaries-wages/salary-tables/pdf/2025/CIN_h.pdf</w:t>
      </w:r>
      <w:r w:rsidRPr="000075DF" w:rsidR="000075D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7A5D4B" w:rsidP="007A5D4B" w14:paraId="335F47E1" w14:textId="68256722">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A7121">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7A5D4B" w:rsidP="007A5D4B" w14:paraId="679A1A4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E3643C"/>
    <w:multiLevelType w:val="hybridMultilevel"/>
    <w:tmpl w:val="2BA48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9D7D3A"/>
    <w:multiLevelType w:val="hybridMultilevel"/>
    <w:tmpl w:val="BC5E150E"/>
    <w:lvl w:ilvl="0">
      <w:start w:val="1"/>
      <w:numFmt w:val="bullet"/>
      <w:lvlText w:val=""/>
      <w:lvlJc w:val="left"/>
      <w:pPr>
        <w:ind w:left="117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582400"/>
    <w:multiLevelType w:val="hybridMultilevel"/>
    <w:tmpl w:val="51685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0210874">
    <w:abstractNumId w:val="2"/>
  </w:num>
  <w:num w:numId="2" w16cid:durableId="894048002">
    <w:abstractNumId w:val="0"/>
  </w:num>
  <w:num w:numId="3" w16cid:durableId="521283975">
    <w:abstractNumId w:val="3"/>
  </w:num>
  <w:num w:numId="4" w16cid:durableId="7452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5DF"/>
    <w:rsid w:val="00012E43"/>
    <w:rsid w:val="00013802"/>
    <w:rsid w:val="00013886"/>
    <w:rsid w:val="00014CEB"/>
    <w:rsid w:val="0003517D"/>
    <w:rsid w:val="0004764C"/>
    <w:rsid w:val="000479B4"/>
    <w:rsid w:val="00051ED1"/>
    <w:rsid w:val="00054CA3"/>
    <w:rsid w:val="0005539E"/>
    <w:rsid w:val="0005543C"/>
    <w:rsid w:val="00057F0E"/>
    <w:rsid w:val="00062B09"/>
    <w:rsid w:val="00067CF6"/>
    <w:rsid w:val="00071059"/>
    <w:rsid w:val="00074898"/>
    <w:rsid w:val="00080757"/>
    <w:rsid w:val="00094CDC"/>
    <w:rsid w:val="0009591E"/>
    <w:rsid w:val="000A2E33"/>
    <w:rsid w:val="000A4E1A"/>
    <w:rsid w:val="000A6672"/>
    <w:rsid w:val="000B1AF7"/>
    <w:rsid w:val="000B3E08"/>
    <w:rsid w:val="000B48C5"/>
    <w:rsid w:val="000B71B4"/>
    <w:rsid w:val="000B73ED"/>
    <w:rsid w:val="000C0F79"/>
    <w:rsid w:val="000D103A"/>
    <w:rsid w:val="000D3EF0"/>
    <w:rsid w:val="000D47D9"/>
    <w:rsid w:val="000D790E"/>
    <w:rsid w:val="000E2C50"/>
    <w:rsid w:val="000F74F4"/>
    <w:rsid w:val="00101DE7"/>
    <w:rsid w:val="00114FD4"/>
    <w:rsid w:val="00116AE3"/>
    <w:rsid w:val="00127E6F"/>
    <w:rsid w:val="00132D0A"/>
    <w:rsid w:val="001436F2"/>
    <w:rsid w:val="00145B1D"/>
    <w:rsid w:val="0015000B"/>
    <w:rsid w:val="0018213A"/>
    <w:rsid w:val="0018245C"/>
    <w:rsid w:val="001852BF"/>
    <w:rsid w:val="00195B03"/>
    <w:rsid w:val="001A59DF"/>
    <w:rsid w:val="001C50B6"/>
    <w:rsid w:val="001E0AD9"/>
    <w:rsid w:val="001E5C5E"/>
    <w:rsid w:val="00203B6B"/>
    <w:rsid w:val="00210175"/>
    <w:rsid w:val="00213B57"/>
    <w:rsid w:val="002141DC"/>
    <w:rsid w:val="0022156B"/>
    <w:rsid w:val="00231D31"/>
    <w:rsid w:val="00231FB2"/>
    <w:rsid w:val="00235C33"/>
    <w:rsid w:val="002401C7"/>
    <w:rsid w:val="00241BAD"/>
    <w:rsid w:val="00242031"/>
    <w:rsid w:val="00250E01"/>
    <w:rsid w:val="00254FA9"/>
    <w:rsid w:val="002550BD"/>
    <w:rsid w:val="00260483"/>
    <w:rsid w:val="00262D35"/>
    <w:rsid w:val="0026418B"/>
    <w:rsid w:val="0026423C"/>
    <w:rsid w:val="00266936"/>
    <w:rsid w:val="002673D4"/>
    <w:rsid w:val="002704FE"/>
    <w:rsid w:val="00280C5C"/>
    <w:rsid w:val="0028753E"/>
    <w:rsid w:val="00290CFC"/>
    <w:rsid w:val="002973B4"/>
    <w:rsid w:val="002A3D4D"/>
    <w:rsid w:val="002A7348"/>
    <w:rsid w:val="002B47FB"/>
    <w:rsid w:val="002B4C4D"/>
    <w:rsid w:val="002B6300"/>
    <w:rsid w:val="002C16AA"/>
    <w:rsid w:val="002C2696"/>
    <w:rsid w:val="002C55F7"/>
    <w:rsid w:val="002C5D16"/>
    <w:rsid w:val="002C5F73"/>
    <w:rsid w:val="002D1324"/>
    <w:rsid w:val="002E1D65"/>
    <w:rsid w:val="002E2422"/>
    <w:rsid w:val="002F448D"/>
    <w:rsid w:val="002F48AF"/>
    <w:rsid w:val="002F653F"/>
    <w:rsid w:val="00302596"/>
    <w:rsid w:val="0031378F"/>
    <w:rsid w:val="00321959"/>
    <w:rsid w:val="00324486"/>
    <w:rsid w:val="00325900"/>
    <w:rsid w:val="00331590"/>
    <w:rsid w:val="0033260C"/>
    <w:rsid w:val="0033467C"/>
    <w:rsid w:val="003365B5"/>
    <w:rsid w:val="00336A9E"/>
    <w:rsid w:val="0034204D"/>
    <w:rsid w:val="003711B2"/>
    <w:rsid w:val="00374E61"/>
    <w:rsid w:val="003810B5"/>
    <w:rsid w:val="00381FFC"/>
    <w:rsid w:val="00384337"/>
    <w:rsid w:val="00384564"/>
    <w:rsid w:val="00385B03"/>
    <w:rsid w:val="003869B1"/>
    <w:rsid w:val="0038747C"/>
    <w:rsid w:val="0038797F"/>
    <w:rsid w:val="003A46EF"/>
    <w:rsid w:val="003B5372"/>
    <w:rsid w:val="003B7566"/>
    <w:rsid w:val="003D6CA1"/>
    <w:rsid w:val="003E1D35"/>
    <w:rsid w:val="003E556E"/>
    <w:rsid w:val="003E7D96"/>
    <w:rsid w:val="003F1F80"/>
    <w:rsid w:val="00400A73"/>
    <w:rsid w:val="004010C7"/>
    <w:rsid w:val="00407CF5"/>
    <w:rsid w:val="004122AB"/>
    <w:rsid w:val="004176C6"/>
    <w:rsid w:val="004247C5"/>
    <w:rsid w:val="00436310"/>
    <w:rsid w:val="00437568"/>
    <w:rsid w:val="00447B6B"/>
    <w:rsid w:val="00451C31"/>
    <w:rsid w:val="00452CD0"/>
    <w:rsid w:val="00460996"/>
    <w:rsid w:val="00462A86"/>
    <w:rsid w:val="004A193D"/>
    <w:rsid w:val="004A3DE5"/>
    <w:rsid w:val="004A40AF"/>
    <w:rsid w:val="004B7E84"/>
    <w:rsid w:val="004D086A"/>
    <w:rsid w:val="004D1808"/>
    <w:rsid w:val="004D4299"/>
    <w:rsid w:val="004E2C89"/>
    <w:rsid w:val="004E468C"/>
    <w:rsid w:val="004E5E4B"/>
    <w:rsid w:val="004F46BC"/>
    <w:rsid w:val="004F62C7"/>
    <w:rsid w:val="004F7E06"/>
    <w:rsid w:val="0050368E"/>
    <w:rsid w:val="00510F76"/>
    <w:rsid w:val="0052391C"/>
    <w:rsid w:val="00524F7B"/>
    <w:rsid w:val="005278E4"/>
    <w:rsid w:val="00536D29"/>
    <w:rsid w:val="00561C87"/>
    <w:rsid w:val="00566DCC"/>
    <w:rsid w:val="00576543"/>
    <w:rsid w:val="005855F9"/>
    <w:rsid w:val="00585C7E"/>
    <w:rsid w:val="00593A5E"/>
    <w:rsid w:val="005942E9"/>
    <w:rsid w:val="005972E9"/>
    <w:rsid w:val="00597C08"/>
    <w:rsid w:val="005B4658"/>
    <w:rsid w:val="005C282B"/>
    <w:rsid w:val="005C5118"/>
    <w:rsid w:val="005C58D3"/>
    <w:rsid w:val="005E1169"/>
    <w:rsid w:val="005E4675"/>
    <w:rsid w:val="005E49E7"/>
    <w:rsid w:val="005E4F99"/>
    <w:rsid w:val="005E4F9B"/>
    <w:rsid w:val="005E762E"/>
    <w:rsid w:val="005F539A"/>
    <w:rsid w:val="00600EE1"/>
    <w:rsid w:val="006127C6"/>
    <w:rsid w:val="006156FD"/>
    <w:rsid w:val="00623F7D"/>
    <w:rsid w:val="006244FF"/>
    <w:rsid w:val="006252FD"/>
    <w:rsid w:val="00625BB9"/>
    <w:rsid w:val="00631780"/>
    <w:rsid w:val="006320EA"/>
    <w:rsid w:val="00633ED3"/>
    <w:rsid w:val="00641FB7"/>
    <w:rsid w:val="00646449"/>
    <w:rsid w:val="00654395"/>
    <w:rsid w:val="00663972"/>
    <w:rsid w:val="00674F27"/>
    <w:rsid w:val="0067727F"/>
    <w:rsid w:val="0068308D"/>
    <w:rsid w:val="00692E49"/>
    <w:rsid w:val="006A7B22"/>
    <w:rsid w:val="006C333B"/>
    <w:rsid w:val="006C43EA"/>
    <w:rsid w:val="006C644A"/>
    <w:rsid w:val="006C69FC"/>
    <w:rsid w:val="006C714E"/>
    <w:rsid w:val="006D4EC1"/>
    <w:rsid w:val="006E423B"/>
    <w:rsid w:val="006E6A27"/>
    <w:rsid w:val="00700694"/>
    <w:rsid w:val="00714F87"/>
    <w:rsid w:val="00721C76"/>
    <w:rsid w:val="00730246"/>
    <w:rsid w:val="007317F8"/>
    <w:rsid w:val="00734B25"/>
    <w:rsid w:val="00736DD6"/>
    <w:rsid w:val="0075073E"/>
    <w:rsid w:val="00750CA9"/>
    <w:rsid w:val="00760DCE"/>
    <w:rsid w:val="00765281"/>
    <w:rsid w:val="007676D5"/>
    <w:rsid w:val="0078637B"/>
    <w:rsid w:val="00790EEF"/>
    <w:rsid w:val="00793526"/>
    <w:rsid w:val="00795A75"/>
    <w:rsid w:val="007A0AA5"/>
    <w:rsid w:val="007A5D4B"/>
    <w:rsid w:val="007B4E08"/>
    <w:rsid w:val="007B798C"/>
    <w:rsid w:val="007D0004"/>
    <w:rsid w:val="007D0D5F"/>
    <w:rsid w:val="007D5727"/>
    <w:rsid w:val="007D6902"/>
    <w:rsid w:val="007F40E3"/>
    <w:rsid w:val="007F7217"/>
    <w:rsid w:val="00801F4D"/>
    <w:rsid w:val="00804B0C"/>
    <w:rsid w:val="00805417"/>
    <w:rsid w:val="00806436"/>
    <w:rsid w:val="0081188D"/>
    <w:rsid w:val="00811A04"/>
    <w:rsid w:val="008127D2"/>
    <w:rsid w:val="00812886"/>
    <w:rsid w:val="00822B9D"/>
    <w:rsid w:val="0082554D"/>
    <w:rsid w:val="00831DF1"/>
    <w:rsid w:val="00840B72"/>
    <w:rsid w:val="00850E89"/>
    <w:rsid w:val="00853B8C"/>
    <w:rsid w:val="00853BC7"/>
    <w:rsid w:val="008608A1"/>
    <w:rsid w:val="00861F58"/>
    <w:rsid w:val="00873C07"/>
    <w:rsid w:val="008A2EA1"/>
    <w:rsid w:val="008A7FED"/>
    <w:rsid w:val="008C399F"/>
    <w:rsid w:val="008C3E6D"/>
    <w:rsid w:val="008D64A4"/>
    <w:rsid w:val="008D7F04"/>
    <w:rsid w:val="008E2462"/>
    <w:rsid w:val="008E5168"/>
    <w:rsid w:val="008F0AD8"/>
    <w:rsid w:val="008F2B3E"/>
    <w:rsid w:val="008F3DBB"/>
    <w:rsid w:val="008F6EA7"/>
    <w:rsid w:val="00903F2D"/>
    <w:rsid w:val="00904453"/>
    <w:rsid w:val="00904B8C"/>
    <w:rsid w:val="00911115"/>
    <w:rsid w:val="0091353A"/>
    <w:rsid w:val="00914337"/>
    <w:rsid w:val="00917311"/>
    <w:rsid w:val="0091799F"/>
    <w:rsid w:val="009245F2"/>
    <w:rsid w:val="00927AA3"/>
    <w:rsid w:val="00935878"/>
    <w:rsid w:val="0094184F"/>
    <w:rsid w:val="00951859"/>
    <w:rsid w:val="00954306"/>
    <w:rsid w:val="009559A8"/>
    <w:rsid w:val="009622ED"/>
    <w:rsid w:val="00973A2A"/>
    <w:rsid w:val="00976522"/>
    <w:rsid w:val="009777A2"/>
    <w:rsid w:val="0098391A"/>
    <w:rsid w:val="00990102"/>
    <w:rsid w:val="00990A94"/>
    <w:rsid w:val="00993616"/>
    <w:rsid w:val="00995F44"/>
    <w:rsid w:val="009A07CD"/>
    <w:rsid w:val="009A1CD5"/>
    <w:rsid w:val="009A7121"/>
    <w:rsid w:val="009B52FC"/>
    <w:rsid w:val="009B650A"/>
    <w:rsid w:val="009C099A"/>
    <w:rsid w:val="009C644A"/>
    <w:rsid w:val="009E4E4C"/>
    <w:rsid w:val="009E77A7"/>
    <w:rsid w:val="009F0A43"/>
    <w:rsid w:val="00A07860"/>
    <w:rsid w:val="00A17E04"/>
    <w:rsid w:val="00A21CBD"/>
    <w:rsid w:val="00A710B9"/>
    <w:rsid w:val="00A84B95"/>
    <w:rsid w:val="00AA6881"/>
    <w:rsid w:val="00AB01A9"/>
    <w:rsid w:val="00AB1E89"/>
    <w:rsid w:val="00AC686F"/>
    <w:rsid w:val="00AD028B"/>
    <w:rsid w:val="00AD0D85"/>
    <w:rsid w:val="00AD4093"/>
    <w:rsid w:val="00AD5D6C"/>
    <w:rsid w:val="00AD6FF9"/>
    <w:rsid w:val="00AE01B8"/>
    <w:rsid w:val="00AE17E1"/>
    <w:rsid w:val="00AE4EE6"/>
    <w:rsid w:val="00AF060A"/>
    <w:rsid w:val="00AF1157"/>
    <w:rsid w:val="00AF2DF2"/>
    <w:rsid w:val="00AF7D4F"/>
    <w:rsid w:val="00B02266"/>
    <w:rsid w:val="00B0363D"/>
    <w:rsid w:val="00B04D61"/>
    <w:rsid w:val="00B23FF6"/>
    <w:rsid w:val="00B302AC"/>
    <w:rsid w:val="00B31E02"/>
    <w:rsid w:val="00B42292"/>
    <w:rsid w:val="00B42DCF"/>
    <w:rsid w:val="00B520D7"/>
    <w:rsid w:val="00B651F1"/>
    <w:rsid w:val="00B65BE7"/>
    <w:rsid w:val="00B67E21"/>
    <w:rsid w:val="00B72AC4"/>
    <w:rsid w:val="00B72E97"/>
    <w:rsid w:val="00B742DF"/>
    <w:rsid w:val="00B76344"/>
    <w:rsid w:val="00B92790"/>
    <w:rsid w:val="00B9499B"/>
    <w:rsid w:val="00B95061"/>
    <w:rsid w:val="00B96E71"/>
    <w:rsid w:val="00BA1A21"/>
    <w:rsid w:val="00BA4C42"/>
    <w:rsid w:val="00BB0039"/>
    <w:rsid w:val="00BB67E5"/>
    <w:rsid w:val="00BC233D"/>
    <w:rsid w:val="00BC2F7F"/>
    <w:rsid w:val="00BC45B1"/>
    <w:rsid w:val="00BD3333"/>
    <w:rsid w:val="00BE6D83"/>
    <w:rsid w:val="00BF0B2B"/>
    <w:rsid w:val="00C009D7"/>
    <w:rsid w:val="00C028A8"/>
    <w:rsid w:val="00C03B70"/>
    <w:rsid w:val="00C13F19"/>
    <w:rsid w:val="00C17F02"/>
    <w:rsid w:val="00C27394"/>
    <w:rsid w:val="00C50958"/>
    <w:rsid w:val="00C531B7"/>
    <w:rsid w:val="00C55095"/>
    <w:rsid w:val="00C63268"/>
    <w:rsid w:val="00C71838"/>
    <w:rsid w:val="00C8167C"/>
    <w:rsid w:val="00C85F6A"/>
    <w:rsid w:val="00C86C19"/>
    <w:rsid w:val="00C92B1F"/>
    <w:rsid w:val="00C93D1A"/>
    <w:rsid w:val="00CA58A1"/>
    <w:rsid w:val="00CA6EC6"/>
    <w:rsid w:val="00CA7E3C"/>
    <w:rsid w:val="00CB678A"/>
    <w:rsid w:val="00CC499D"/>
    <w:rsid w:val="00CF0F11"/>
    <w:rsid w:val="00CF4569"/>
    <w:rsid w:val="00D004D6"/>
    <w:rsid w:val="00D01AA2"/>
    <w:rsid w:val="00D0312F"/>
    <w:rsid w:val="00D03A61"/>
    <w:rsid w:val="00D12C52"/>
    <w:rsid w:val="00D36673"/>
    <w:rsid w:val="00D41D25"/>
    <w:rsid w:val="00D50A58"/>
    <w:rsid w:val="00D541C5"/>
    <w:rsid w:val="00D6325C"/>
    <w:rsid w:val="00D656EA"/>
    <w:rsid w:val="00D73D2D"/>
    <w:rsid w:val="00D76DF0"/>
    <w:rsid w:val="00D777EB"/>
    <w:rsid w:val="00D80E34"/>
    <w:rsid w:val="00D83E44"/>
    <w:rsid w:val="00D87D3D"/>
    <w:rsid w:val="00D9187C"/>
    <w:rsid w:val="00D92FF5"/>
    <w:rsid w:val="00D943EE"/>
    <w:rsid w:val="00DA1DCB"/>
    <w:rsid w:val="00DB7CEB"/>
    <w:rsid w:val="00DC6783"/>
    <w:rsid w:val="00DE6577"/>
    <w:rsid w:val="00DE7778"/>
    <w:rsid w:val="00DF5F98"/>
    <w:rsid w:val="00E04577"/>
    <w:rsid w:val="00E06C51"/>
    <w:rsid w:val="00E115FD"/>
    <w:rsid w:val="00E1170C"/>
    <w:rsid w:val="00E33ACD"/>
    <w:rsid w:val="00E37D0C"/>
    <w:rsid w:val="00E41ED9"/>
    <w:rsid w:val="00E41FF1"/>
    <w:rsid w:val="00E45CBA"/>
    <w:rsid w:val="00E47969"/>
    <w:rsid w:val="00E538D7"/>
    <w:rsid w:val="00E553A1"/>
    <w:rsid w:val="00E60EC6"/>
    <w:rsid w:val="00E63270"/>
    <w:rsid w:val="00E724B1"/>
    <w:rsid w:val="00E72716"/>
    <w:rsid w:val="00E72CBB"/>
    <w:rsid w:val="00E92B9B"/>
    <w:rsid w:val="00E9517E"/>
    <w:rsid w:val="00EA24FF"/>
    <w:rsid w:val="00EA32B8"/>
    <w:rsid w:val="00EA6AC6"/>
    <w:rsid w:val="00EC4FC3"/>
    <w:rsid w:val="00ED43E2"/>
    <w:rsid w:val="00ED7233"/>
    <w:rsid w:val="00EE66A9"/>
    <w:rsid w:val="00EF1BF8"/>
    <w:rsid w:val="00EF2AD6"/>
    <w:rsid w:val="00EF3C00"/>
    <w:rsid w:val="00F058FA"/>
    <w:rsid w:val="00F102B5"/>
    <w:rsid w:val="00F1397E"/>
    <w:rsid w:val="00F15270"/>
    <w:rsid w:val="00F15E5B"/>
    <w:rsid w:val="00F20347"/>
    <w:rsid w:val="00F2525C"/>
    <w:rsid w:val="00F27082"/>
    <w:rsid w:val="00F31652"/>
    <w:rsid w:val="00F45936"/>
    <w:rsid w:val="00F46BAC"/>
    <w:rsid w:val="00F576D8"/>
    <w:rsid w:val="00F618E0"/>
    <w:rsid w:val="00F643CE"/>
    <w:rsid w:val="00F749B8"/>
    <w:rsid w:val="00F75888"/>
    <w:rsid w:val="00F834D2"/>
    <w:rsid w:val="00F92A4A"/>
    <w:rsid w:val="00FA066C"/>
    <w:rsid w:val="00FA228E"/>
    <w:rsid w:val="00FA3E4D"/>
    <w:rsid w:val="00FA4850"/>
    <w:rsid w:val="00FA7121"/>
    <w:rsid w:val="00FA772B"/>
    <w:rsid w:val="00FB0AD2"/>
    <w:rsid w:val="00FB734D"/>
    <w:rsid w:val="00FD5D63"/>
    <w:rsid w:val="00FD6FDC"/>
    <w:rsid w:val="00FD749B"/>
    <w:rsid w:val="00FD756F"/>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76D8"/>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iPriority w:val="99"/>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 w:type="table" w:customStyle="1" w:styleId="TableGrid11">
    <w:name w:val="Table Grid11"/>
    <w:basedOn w:val="TableNormal"/>
    <w:next w:val="TableGrid"/>
    <w:uiPriority w:val="39"/>
    <w:rsid w:val="00336A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DF8D-DA90-4F96-AE28-6F85B6A2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13903</Characters>
  <Application>Microsoft Office Word</Application>
  <DocSecurity>0</DocSecurity>
  <Lines>115</Lines>
  <Paragraphs>32</Paragraphs>
  <ScaleCrop>false</ScaleCrop>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2025-03-19T18:04:00Z</dcterms:created>
  <dcterms:modified xsi:type="dcterms:W3CDTF">2025-03-19T18:04:00Z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0c17b092-0b95-4762-9471-7b2c9c0d6fb7</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2025-03-19T18:04:49Z</vt:lpwstr>
  </property>
  <property fmtid="{D5CDD505-2E9C-101B-9397-08002B2CF9AE}" pid="8" name="MSIP_Label_c9a1b251-8b9e-4059-8b96-32f7259f1931_SiteId">
    <vt:lpwstr>ab5eeca9-2540-4909-a9ee-17cb3edf5cec</vt:lpwstr>
  </property>
</Properties>
</file>