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1692" w:rsidRPr="00A743D6" w:rsidP="00731163" w14:paraId="2B0BF94C" w14:textId="77777777">
      <w:pPr>
        <w:pStyle w:val="Title"/>
        <w:widowControl w:val="0"/>
        <w:rPr>
          <w:rFonts w:cs="Arial"/>
          <w:szCs w:val="24"/>
        </w:rPr>
      </w:pPr>
      <w:r w:rsidRPr="00A743D6">
        <w:rPr>
          <w:rFonts w:cs="Arial"/>
          <w:szCs w:val="24"/>
        </w:rPr>
        <w:t>Supporting Statement</w:t>
      </w:r>
    </w:p>
    <w:p w:rsidR="00191692" w:rsidRPr="00A743D6" w:rsidP="00731163" w14:paraId="056790A9" w14:textId="77777777">
      <w:pPr>
        <w:widowControl w:val="0"/>
        <w:jc w:val="center"/>
        <w:rPr>
          <w:rFonts w:ascii="Arial" w:hAnsi="Arial" w:cs="Arial"/>
          <w:b/>
          <w:sz w:val="24"/>
          <w:szCs w:val="24"/>
        </w:rPr>
      </w:pPr>
      <w:r w:rsidRPr="00A743D6">
        <w:rPr>
          <w:rFonts w:ascii="Arial" w:hAnsi="Arial" w:cs="Arial"/>
          <w:b/>
          <w:sz w:val="24"/>
          <w:szCs w:val="24"/>
        </w:rPr>
        <w:t>for</w:t>
      </w:r>
    </w:p>
    <w:p w:rsidR="00191692" w:rsidRPr="00A743D6" w:rsidP="00731163" w14:paraId="712551C6" w14:textId="77777777">
      <w:pPr>
        <w:pStyle w:val="Heading1"/>
        <w:widowControl w:val="0"/>
        <w:rPr>
          <w:rFonts w:cs="Arial"/>
          <w:b/>
          <w:szCs w:val="24"/>
        </w:rPr>
      </w:pPr>
      <w:r w:rsidRPr="00721983">
        <w:rPr>
          <w:rFonts w:cs="Arial"/>
          <w:b/>
          <w:szCs w:val="24"/>
        </w:rPr>
        <w:t xml:space="preserve">Periodic Gauging and Engineering Analyses for </w:t>
      </w:r>
      <w:r w:rsidRPr="00721983">
        <w:rPr>
          <w:rFonts w:cs="Arial"/>
          <w:b/>
          <w:szCs w:val="24"/>
        </w:rPr>
        <w:br/>
      </w:r>
      <w:r w:rsidRPr="00A743D6">
        <w:rPr>
          <w:rFonts w:cs="Arial"/>
          <w:b/>
          <w:szCs w:val="24"/>
        </w:rPr>
        <w:t>Certain Tank Vessels Over 30 Years Old</w:t>
      </w:r>
    </w:p>
    <w:p w:rsidR="00A743D6" w:rsidRPr="00731163" w:rsidP="00731163" w14:paraId="3FBF037A" w14:textId="77777777">
      <w:pPr>
        <w:widowControl w:val="0"/>
        <w:jc w:val="center"/>
        <w:rPr>
          <w:rFonts w:ascii="Arial" w:hAnsi="Arial" w:cs="Arial"/>
          <w:sz w:val="16"/>
          <w:szCs w:val="16"/>
        </w:rPr>
      </w:pPr>
    </w:p>
    <w:p w:rsidR="00A743D6" w:rsidRPr="00731163" w:rsidP="00731163" w14:paraId="1DF5448D" w14:textId="77777777">
      <w:pPr>
        <w:widowControl w:val="0"/>
        <w:jc w:val="center"/>
        <w:rPr>
          <w:rFonts w:ascii="Arial" w:hAnsi="Arial" w:cs="Arial"/>
        </w:rPr>
      </w:pPr>
      <w:r w:rsidRPr="00731163">
        <w:rPr>
          <w:rFonts w:ascii="Arial" w:hAnsi="Arial" w:cs="Arial"/>
        </w:rPr>
        <w:t xml:space="preserve">OMB No.: </w:t>
      </w:r>
      <w:r w:rsidR="006E002F">
        <w:rPr>
          <w:rFonts w:ascii="Arial" w:hAnsi="Arial" w:cs="Arial"/>
        </w:rPr>
        <w:t xml:space="preserve"> </w:t>
      </w:r>
      <w:r w:rsidRPr="00731163">
        <w:rPr>
          <w:rFonts w:ascii="Arial" w:hAnsi="Arial" w:cs="Arial"/>
        </w:rPr>
        <w:t xml:space="preserve">1625-0101 </w:t>
      </w:r>
    </w:p>
    <w:p w:rsidR="00A743D6" w:rsidRPr="00731163" w:rsidP="00731163" w14:paraId="655397E8" w14:textId="77777777">
      <w:pPr>
        <w:widowControl w:val="0"/>
        <w:jc w:val="center"/>
        <w:rPr>
          <w:rFonts w:ascii="Arial" w:hAnsi="Arial" w:cs="Arial"/>
        </w:rPr>
      </w:pPr>
      <w:r w:rsidRPr="00731163">
        <w:rPr>
          <w:rFonts w:ascii="Arial" w:hAnsi="Arial" w:cs="Arial"/>
        </w:rPr>
        <w:t xml:space="preserve">COLLECTION INSTRUMENTS:  Instruction  </w:t>
      </w:r>
    </w:p>
    <w:p w:rsidR="00191692" w:rsidRPr="00731163" w:rsidP="00731163" w14:paraId="52F79272" w14:textId="77777777">
      <w:pPr>
        <w:widowControl w:val="0"/>
        <w:jc w:val="center"/>
        <w:rPr>
          <w:rFonts w:ascii="Arial" w:hAnsi="Arial" w:cs="Arial"/>
          <w:sz w:val="16"/>
          <w:szCs w:val="16"/>
        </w:rPr>
      </w:pPr>
    </w:p>
    <w:p w:rsidR="00191692" w:rsidRPr="00A743D6" w:rsidP="00731163" w14:paraId="7EBA0038" w14:textId="227AEDC7">
      <w:pPr>
        <w:pStyle w:val="Heading6"/>
        <w:widowControl w:val="0"/>
        <w:rPr>
          <w:rFonts w:cs="Arial"/>
          <w:sz w:val="20"/>
        </w:rPr>
      </w:pPr>
      <w:r w:rsidRPr="00A743D6">
        <w:rPr>
          <w:rFonts w:cs="Arial"/>
          <w:sz w:val="20"/>
        </w:rPr>
        <w:t>A.  Justification</w:t>
      </w:r>
      <w:r w:rsidR="00571541">
        <w:rPr>
          <w:rFonts w:cs="Arial"/>
          <w:sz w:val="20"/>
        </w:rPr>
        <w:t xml:space="preserve">  </w:t>
      </w:r>
    </w:p>
    <w:p w:rsidR="00191692" w:rsidRPr="00A743D6" w:rsidP="00731163" w14:paraId="40A75842" w14:textId="77777777">
      <w:pPr>
        <w:widowControl w:val="0"/>
        <w:rPr>
          <w:rFonts w:ascii="Arial" w:hAnsi="Arial" w:cs="Arial"/>
        </w:rPr>
      </w:pPr>
    </w:p>
    <w:p w:rsidR="00191692" w:rsidRPr="00A743D6" w:rsidP="00731163" w14:paraId="6EF1B5D0" w14:textId="77777777">
      <w:pPr>
        <w:widowControl w:val="0"/>
        <w:rPr>
          <w:rFonts w:ascii="Arial" w:hAnsi="Arial" w:cs="Arial"/>
        </w:rPr>
      </w:pPr>
      <w:r w:rsidRPr="00A743D6">
        <w:rPr>
          <w:rFonts w:ascii="Arial" w:hAnsi="Arial" w:cs="Arial"/>
        </w:rPr>
        <w:t xml:space="preserve">1.  </w:t>
      </w:r>
      <w:r w:rsidRPr="00A743D6">
        <w:rPr>
          <w:rFonts w:ascii="Arial" w:hAnsi="Arial" w:cs="Arial"/>
          <w:u w:val="single"/>
        </w:rPr>
        <w:t>Circumstances which make the collection of information necessary</w:t>
      </w:r>
      <w:r w:rsidRPr="00A743D6">
        <w:rPr>
          <w:rFonts w:ascii="Arial" w:hAnsi="Arial" w:cs="Arial"/>
        </w:rPr>
        <w:t>.</w:t>
      </w:r>
      <w:r w:rsidR="00A743D6">
        <w:rPr>
          <w:rFonts w:ascii="Arial" w:hAnsi="Arial" w:cs="Arial"/>
        </w:rPr>
        <w:t xml:space="preserve">  </w:t>
      </w:r>
    </w:p>
    <w:p w:rsidR="00191692" w:rsidRPr="00A743D6" w:rsidP="00731163" w14:paraId="49D8E499" w14:textId="77777777">
      <w:pPr>
        <w:widowControl w:val="0"/>
        <w:rPr>
          <w:rFonts w:ascii="Arial" w:hAnsi="Arial" w:cs="Arial"/>
        </w:rPr>
      </w:pPr>
    </w:p>
    <w:p w:rsidR="00553D5D" w:rsidP="00731163" w14:paraId="20C69B20" w14:textId="0ED4A6A8">
      <w:pPr>
        <w:widowControl w:val="0"/>
        <w:rPr>
          <w:rFonts w:ascii="Arial" w:hAnsi="Arial" w:cs="Arial"/>
        </w:rPr>
      </w:pPr>
      <w:r w:rsidRPr="00A743D6">
        <w:rPr>
          <w:rFonts w:ascii="Arial" w:hAnsi="Arial" w:cs="Arial"/>
        </w:rPr>
        <w:t>Section 4109 of the Oil Pollution Act (Pub. L. 101-380</w:t>
      </w:r>
      <w:r w:rsidRPr="00A743D6" w:rsidR="00A63BD5">
        <w:rPr>
          <w:rFonts w:ascii="Arial" w:hAnsi="Arial" w:cs="Arial"/>
        </w:rPr>
        <w:t>; OPA 90</w:t>
      </w:r>
      <w:r w:rsidRPr="00A743D6">
        <w:rPr>
          <w:rFonts w:ascii="Arial" w:hAnsi="Arial" w:cs="Arial"/>
        </w:rPr>
        <w:t xml:space="preserve">) </w:t>
      </w:r>
      <w:r w:rsidRPr="00A743D6" w:rsidR="005D540D">
        <w:rPr>
          <w:rFonts w:ascii="Arial" w:hAnsi="Arial" w:cs="Arial"/>
        </w:rPr>
        <w:t xml:space="preserve">required </w:t>
      </w:r>
      <w:r w:rsidRPr="00A743D6">
        <w:rPr>
          <w:rFonts w:ascii="Arial" w:hAnsi="Arial" w:cs="Arial"/>
        </w:rPr>
        <w:t>the issuance of regulations related to the structural integrity of all tank vessels “constructed or adapted to carry, or that carry, oil in bulk as cargo or cargo residue.”  The regulations – found in 46 CFR 31.10-21a and 32.59</w:t>
      </w:r>
      <w:r w:rsidRPr="00A743D6" w:rsidR="005D540D">
        <w:rPr>
          <w:rFonts w:ascii="Arial" w:hAnsi="Arial" w:cs="Arial"/>
        </w:rPr>
        <w:t>-1</w:t>
      </w:r>
      <w:r w:rsidRPr="00A743D6">
        <w:rPr>
          <w:rFonts w:ascii="Arial" w:hAnsi="Arial" w:cs="Arial"/>
        </w:rPr>
        <w:t xml:space="preserve"> </w:t>
      </w:r>
      <w:r w:rsidRPr="00A743D6" w:rsidR="00A63BD5">
        <w:rPr>
          <w:rFonts w:ascii="Arial" w:hAnsi="Arial" w:cs="Arial"/>
        </w:rPr>
        <w:t xml:space="preserve">– </w:t>
      </w:r>
      <w:r w:rsidRPr="00A743D6">
        <w:rPr>
          <w:rFonts w:ascii="Arial" w:hAnsi="Arial" w:cs="Arial"/>
        </w:rPr>
        <w:t>establish minimum standards for plating thickness and require periodic gauging of the plating thickness of tank vessels over 30 years old.  Gauging reports (survey data and associated engineering analysis) are submitted to comply.  The Coast Guard need</w:t>
      </w:r>
      <w:r w:rsidRPr="00A743D6" w:rsidR="00FE586C">
        <w:rPr>
          <w:rFonts w:ascii="Arial" w:hAnsi="Arial" w:cs="Arial"/>
        </w:rPr>
        <w:t>s</w:t>
      </w:r>
      <w:r w:rsidRPr="00A743D6">
        <w:rPr>
          <w:rFonts w:ascii="Arial" w:hAnsi="Arial" w:cs="Arial"/>
        </w:rPr>
        <w:t xml:space="preserve"> these reports as part of the recertification inspection for the affected tank vessels.</w:t>
      </w:r>
      <w:r w:rsidR="006E002F">
        <w:rPr>
          <w:rFonts w:ascii="Arial" w:hAnsi="Arial" w:cs="Arial"/>
        </w:rPr>
        <w:t xml:space="preserve">  </w:t>
      </w:r>
    </w:p>
    <w:p w:rsidR="00553D5D" w:rsidP="00731163" w14:paraId="7E39D06C" w14:textId="77777777">
      <w:pPr>
        <w:widowControl w:val="0"/>
        <w:rPr>
          <w:rFonts w:ascii="Arial" w:hAnsi="Arial" w:cs="Arial"/>
        </w:rPr>
      </w:pPr>
    </w:p>
    <w:p w:rsidR="00191692" w:rsidRPr="00A743D6" w:rsidP="00731163" w14:paraId="0AFDA91D" w14:textId="6C6FA5A8">
      <w:pPr>
        <w:widowControl w:val="0"/>
        <w:rPr>
          <w:rFonts w:ascii="Arial" w:hAnsi="Arial" w:cs="Arial"/>
        </w:rPr>
      </w:pPr>
      <w:r>
        <w:rPr>
          <w:rFonts w:ascii="Arial" w:hAnsi="Arial" w:cs="Arial"/>
        </w:rPr>
        <w:t>The statutory authority is 46 U.S.</w:t>
      </w:r>
      <w:r w:rsidR="00553D5D">
        <w:rPr>
          <w:rFonts w:ascii="Arial" w:hAnsi="Arial" w:cs="Arial"/>
        </w:rPr>
        <w:t xml:space="preserve"> </w:t>
      </w:r>
      <w:r>
        <w:rPr>
          <w:rFonts w:ascii="Arial" w:hAnsi="Arial" w:cs="Arial"/>
        </w:rPr>
        <w:t>C</w:t>
      </w:r>
      <w:r w:rsidR="001168F4">
        <w:rPr>
          <w:rFonts w:ascii="Arial" w:hAnsi="Arial" w:cs="Arial"/>
        </w:rPr>
        <w:t xml:space="preserve">ode </w:t>
      </w:r>
      <w:r>
        <w:rPr>
          <w:rFonts w:ascii="Arial" w:hAnsi="Arial" w:cs="Arial"/>
        </w:rPr>
        <w:t xml:space="preserve">3703.  </w:t>
      </w:r>
      <w:r w:rsidRPr="005E34CD" w:rsidR="005E34CD">
        <w:rPr>
          <w:rFonts w:ascii="Arial" w:hAnsi="Arial" w:cs="Arial"/>
        </w:rPr>
        <w:t>This authority is delegated by the Secretary to the Coast Guard via the Department of Homeland Security Delegation No. 0170.1, Revision No. 01.2. (II)</w:t>
      </w:r>
      <w:r w:rsidR="005E34CD">
        <w:rPr>
          <w:rFonts w:ascii="Arial" w:hAnsi="Arial" w:cs="Arial"/>
        </w:rPr>
        <w:t>(92)(b).</w:t>
      </w:r>
      <w:r w:rsidR="00080CF7">
        <w:rPr>
          <w:rFonts w:ascii="Arial" w:hAnsi="Arial" w:cs="Arial"/>
        </w:rPr>
        <w:t xml:space="preserve">  </w:t>
      </w:r>
    </w:p>
    <w:p w:rsidR="00191692" w:rsidRPr="00A743D6" w:rsidP="00731163" w14:paraId="1D0748C4" w14:textId="77777777">
      <w:pPr>
        <w:widowControl w:val="0"/>
        <w:rPr>
          <w:rFonts w:ascii="Arial" w:hAnsi="Arial" w:cs="Arial"/>
        </w:rPr>
      </w:pPr>
    </w:p>
    <w:p w:rsidR="00191692" w:rsidRPr="00A743D6" w:rsidP="00731163" w14:paraId="3B7F537B" w14:textId="77777777">
      <w:pPr>
        <w:widowControl w:val="0"/>
        <w:rPr>
          <w:rFonts w:ascii="Arial" w:hAnsi="Arial" w:cs="Arial"/>
        </w:rPr>
      </w:pPr>
      <w:r w:rsidRPr="00A743D6">
        <w:rPr>
          <w:rFonts w:ascii="Arial" w:hAnsi="Arial" w:cs="Arial"/>
        </w:rPr>
        <w:t xml:space="preserve">2.  </w:t>
      </w:r>
      <w:r w:rsidRPr="00A743D6">
        <w:rPr>
          <w:rFonts w:ascii="Arial" w:hAnsi="Arial" w:cs="Arial"/>
          <w:u w:val="single"/>
        </w:rPr>
        <w:t>Purpose of the information collection</w:t>
      </w:r>
      <w:r w:rsidRPr="00A743D6">
        <w:rPr>
          <w:rFonts w:ascii="Arial" w:hAnsi="Arial" w:cs="Arial"/>
        </w:rPr>
        <w:t>.</w:t>
      </w:r>
      <w:r w:rsidR="00A743D6">
        <w:rPr>
          <w:rFonts w:ascii="Arial" w:hAnsi="Arial" w:cs="Arial"/>
        </w:rPr>
        <w:t xml:space="preserve">  </w:t>
      </w:r>
    </w:p>
    <w:p w:rsidR="00191692" w:rsidRPr="00A743D6" w:rsidP="00731163" w14:paraId="1EB26C14" w14:textId="77777777">
      <w:pPr>
        <w:widowControl w:val="0"/>
        <w:rPr>
          <w:rFonts w:ascii="Arial" w:hAnsi="Arial" w:cs="Arial"/>
        </w:rPr>
      </w:pPr>
    </w:p>
    <w:p w:rsidR="00191692" w:rsidRPr="00A743D6" w:rsidP="00731163" w14:paraId="3DE8FF4D" w14:textId="7E87EA9B">
      <w:pPr>
        <w:pStyle w:val="BodyText"/>
        <w:widowControl w:val="0"/>
        <w:rPr>
          <w:rFonts w:cs="Arial"/>
          <w:sz w:val="20"/>
        </w:rPr>
      </w:pPr>
      <w:r w:rsidRPr="00A743D6">
        <w:rPr>
          <w:rFonts w:cs="Arial"/>
          <w:sz w:val="20"/>
        </w:rPr>
        <w:t>The gauging report is utilized by the Coast Guard to verify the structural integrity of an older tank vessel before reissuing it</w:t>
      </w:r>
      <w:r w:rsidR="00A743D6">
        <w:rPr>
          <w:rFonts w:cs="Arial"/>
          <w:sz w:val="20"/>
        </w:rPr>
        <w:t xml:space="preserve"> a</w:t>
      </w:r>
      <w:r w:rsidRPr="00A743D6">
        <w:rPr>
          <w:rFonts w:cs="Arial"/>
          <w:sz w:val="20"/>
        </w:rPr>
        <w:t xml:space="preserve"> Certificate of Inspection.</w:t>
      </w:r>
      <w:r w:rsidR="00571541">
        <w:rPr>
          <w:rFonts w:cs="Arial"/>
          <w:sz w:val="20"/>
        </w:rPr>
        <w:t xml:space="preserve">  </w:t>
      </w:r>
    </w:p>
    <w:p w:rsidR="00191692" w:rsidRPr="00A743D6" w:rsidP="00731163" w14:paraId="2E97041E" w14:textId="77777777">
      <w:pPr>
        <w:widowControl w:val="0"/>
        <w:rPr>
          <w:rFonts w:ascii="Arial" w:hAnsi="Arial" w:cs="Arial"/>
        </w:rPr>
      </w:pPr>
    </w:p>
    <w:p w:rsidR="00191692" w:rsidRPr="00A743D6" w:rsidP="00731163" w14:paraId="7285AFE3" w14:textId="77777777">
      <w:pPr>
        <w:widowControl w:val="0"/>
        <w:rPr>
          <w:rFonts w:ascii="Arial" w:hAnsi="Arial" w:cs="Arial"/>
        </w:rPr>
      </w:pPr>
      <w:r w:rsidRPr="00A743D6">
        <w:rPr>
          <w:rFonts w:ascii="Arial" w:hAnsi="Arial" w:cs="Arial"/>
        </w:rPr>
        <w:t xml:space="preserve">3.  </w:t>
      </w:r>
      <w:r w:rsidRPr="00A743D6">
        <w:rPr>
          <w:rFonts w:ascii="Arial" w:hAnsi="Arial" w:cs="Arial"/>
          <w:u w:val="single"/>
        </w:rPr>
        <w:t xml:space="preserve">Considerations of the </w:t>
      </w:r>
      <w:r w:rsidRPr="00A743D6" w:rsidR="001364EA">
        <w:rPr>
          <w:rFonts w:ascii="Arial" w:hAnsi="Arial" w:cs="Arial"/>
          <w:u w:val="single"/>
        </w:rPr>
        <w:t>i</w:t>
      </w:r>
      <w:r w:rsidRPr="00A743D6">
        <w:rPr>
          <w:rFonts w:ascii="Arial" w:hAnsi="Arial" w:cs="Arial"/>
          <w:u w:val="single"/>
        </w:rPr>
        <w:t xml:space="preserve">nformation </w:t>
      </w:r>
      <w:r w:rsidRPr="00A743D6" w:rsidR="001364EA">
        <w:rPr>
          <w:rFonts w:ascii="Arial" w:hAnsi="Arial" w:cs="Arial"/>
          <w:u w:val="single"/>
        </w:rPr>
        <w:t>t</w:t>
      </w:r>
      <w:r w:rsidRPr="00A743D6">
        <w:rPr>
          <w:rFonts w:ascii="Arial" w:hAnsi="Arial" w:cs="Arial"/>
          <w:u w:val="single"/>
        </w:rPr>
        <w:t>echnology to reduce burden</w:t>
      </w:r>
      <w:r w:rsidRPr="00A743D6">
        <w:rPr>
          <w:rFonts w:ascii="Arial" w:hAnsi="Arial" w:cs="Arial"/>
        </w:rPr>
        <w:t>.</w:t>
      </w:r>
    </w:p>
    <w:p w:rsidR="00191692" w:rsidRPr="00A743D6" w:rsidP="00731163" w14:paraId="0DB99220" w14:textId="77777777">
      <w:pPr>
        <w:pStyle w:val="Header"/>
        <w:widowControl w:val="0"/>
        <w:tabs>
          <w:tab w:val="clear" w:pos="4320"/>
          <w:tab w:val="clear" w:pos="8640"/>
        </w:tabs>
        <w:rPr>
          <w:rFonts w:ascii="Arial" w:hAnsi="Arial" w:cs="Arial"/>
        </w:rPr>
      </w:pPr>
    </w:p>
    <w:p w:rsidR="00191692" w:rsidRPr="00731163" w:rsidP="00731163" w14:paraId="23279671" w14:textId="0F99A749">
      <w:pPr>
        <w:pStyle w:val="BodyText"/>
        <w:widowControl w:val="0"/>
        <w:tabs>
          <w:tab w:val="left" w:pos="540"/>
        </w:tabs>
        <w:rPr>
          <w:rFonts w:cs="Arial"/>
          <w:sz w:val="20"/>
        </w:rPr>
      </w:pPr>
      <w:r w:rsidRPr="00A54425">
        <w:rPr>
          <w:rFonts w:cs="Arial"/>
          <w:sz w:val="20"/>
        </w:rPr>
        <w:t xml:space="preserve">Information—gauging surveys/engineering analysis—may be submitted in writing or electronically via e-mail.  Information is submitted to the CG Officer in Charge, Marine Inspection (OCMI) at the local Sector Office, or the CG Marine Safety Center (MSC).  Contact info for CG OCMIs can be found at— </w:t>
      </w:r>
      <w:hyperlink r:id="rId10" w:history="1">
        <w:r w:rsidRPr="00731163" w:rsidR="006E002F">
          <w:rPr>
            <w:rStyle w:val="Hyperlink"/>
            <w:rFonts w:cs="Arial"/>
            <w:sz w:val="20"/>
          </w:rPr>
          <w:t>https://www.uscg.mil/Units/Organization/</w:t>
        </w:r>
      </w:hyperlink>
      <w:r w:rsidRPr="00A54425">
        <w:rPr>
          <w:rFonts w:cs="Arial"/>
          <w:sz w:val="20"/>
        </w:rPr>
        <w:t xml:space="preserve">.  For information on submitting information to the CG MSC, go to— </w:t>
      </w:r>
      <w:hyperlink r:id="rId11" w:history="1">
        <w:r w:rsidRPr="00731163" w:rsidR="006E002F">
          <w:rPr>
            <w:rStyle w:val="Hyperlink"/>
            <w:rFonts w:cs="Arial"/>
            <w:sz w:val="20"/>
          </w:rPr>
          <w:t>http://www.dco.uscg.mil/msc/</w:t>
        </w:r>
      </w:hyperlink>
      <w:r w:rsidRPr="00731163" w:rsidR="006E002F">
        <w:rPr>
          <w:rFonts w:cs="Arial"/>
          <w:color w:val="000000"/>
          <w:sz w:val="20"/>
        </w:rPr>
        <w:t xml:space="preserve"> &gt; Contact </w:t>
      </w:r>
      <w:r w:rsidR="00571541">
        <w:rPr>
          <w:rFonts w:cs="Arial"/>
          <w:color w:val="000000"/>
          <w:sz w:val="20"/>
        </w:rPr>
        <w:t>the MSC</w:t>
      </w:r>
      <w:r w:rsidRPr="00A54425">
        <w:rPr>
          <w:rFonts w:cs="Arial"/>
          <w:sz w:val="20"/>
        </w:rPr>
        <w:t xml:space="preserve">.  We estimate that 100% of the reporting requirements can be done electronically.  </w:t>
      </w:r>
      <w:r w:rsidRPr="00A54425">
        <w:rPr>
          <w:rFonts w:cs="Arial"/>
          <w:sz w:val="20"/>
        </w:rPr>
        <w:t>At this time</w:t>
      </w:r>
      <w:r w:rsidRPr="00A54425">
        <w:rPr>
          <w:rFonts w:cs="Arial"/>
          <w:sz w:val="20"/>
        </w:rPr>
        <w:t xml:space="preserve">, we estimate that approximately </w:t>
      </w:r>
      <w:r w:rsidRPr="00A54425" w:rsidR="006E002F">
        <w:rPr>
          <w:rFonts w:cs="Arial"/>
          <w:sz w:val="20"/>
        </w:rPr>
        <w:t>100</w:t>
      </w:r>
      <w:r w:rsidRPr="00731163">
        <w:rPr>
          <w:rFonts w:cs="Arial"/>
          <w:sz w:val="20"/>
        </w:rPr>
        <w:t>% of the responses are collected electronically.</w:t>
      </w:r>
    </w:p>
    <w:p w:rsidR="00191692" w:rsidP="00731163" w14:paraId="40C32519" w14:textId="77777777">
      <w:pPr>
        <w:widowControl w:val="0"/>
        <w:rPr>
          <w:rFonts w:ascii="Arial" w:hAnsi="Arial" w:cs="Arial"/>
        </w:rPr>
      </w:pPr>
    </w:p>
    <w:p w:rsidR="009C5072" w:rsidRPr="009C5072" w:rsidP="009C5072" w14:paraId="47D45B77" w14:textId="77777777">
      <w:pPr>
        <w:widowControl w:val="0"/>
        <w:rPr>
          <w:rFonts w:ascii="Arial" w:hAnsi="Arial" w:cs="Arial"/>
        </w:rPr>
      </w:pPr>
      <w:r w:rsidRPr="009C5072">
        <w:rPr>
          <w:rFonts w:ascii="Arial" w:hAnsi="Arial" w:cs="Arial"/>
        </w:rPr>
        <w:t>Regarding Usability Testing, this ICR— </w:t>
      </w:r>
    </w:p>
    <w:p w:rsidR="009C5072" w:rsidRPr="009C5072" w:rsidP="009C5072" w14:paraId="38C5CAA9" w14:textId="4C59EE1C">
      <w:pPr>
        <w:widowControl w:val="0"/>
        <w:numPr>
          <w:ilvl w:val="0"/>
          <w:numId w:val="22"/>
        </w:numPr>
        <w:rPr>
          <w:rFonts w:ascii="Arial" w:hAnsi="Arial" w:cs="Arial"/>
        </w:rPr>
      </w:pPr>
      <w:r w:rsidRPr="009C5072">
        <w:rPr>
          <w:rFonts w:ascii="Arial" w:hAnsi="Arial" w:cs="Arial"/>
        </w:rPr>
        <w:t>Public-facing instructions were tested by the staff of the CG Office of Standards Evaluation and Development (CG-REG) to ensure the use of plain language. </w:t>
      </w:r>
      <w:r w:rsidRPr="009E1788" w:rsidR="009E1788">
        <w:rPr>
          <w:rFonts w:ascii="Arial" w:hAnsi="Arial" w:cs="Arial"/>
        </w:rPr>
        <w:t>Usability testing participants reported that they had no difficulty understanding the instructions.  As a result, the USCG did not make any changes to the collection.</w:t>
      </w:r>
    </w:p>
    <w:p w:rsidR="009C5072" w:rsidRPr="009C5072" w:rsidP="009C5072" w14:paraId="16FC747D" w14:textId="77777777">
      <w:pPr>
        <w:widowControl w:val="0"/>
        <w:numPr>
          <w:ilvl w:val="0"/>
          <w:numId w:val="23"/>
        </w:numPr>
        <w:rPr>
          <w:rFonts w:ascii="Arial" w:hAnsi="Arial" w:cs="Arial"/>
        </w:rPr>
      </w:pPr>
      <w:r w:rsidRPr="009C5072">
        <w:rPr>
          <w:rFonts w:ascii="Arial" w:hAnsi="Arial" w:cs="Arial"/>
        </w:rPr>
        <w:t>Is not related to a public benefit program as detailed in OMB M-22-10 (titled “Improving Access to Public Benefits Programs Through the Paperwork Reduction Act” dated April 13, 2022). </w:t>
      </w:r>
    </w:p>
    <w:p w:rsidR="009C5072" w:rsidRPr="009C5072" w:rsidP="009C5072" w14:paraId="5E0B0F62" w14:textId="77777777">
      <w:pPr>
        <w:widowControl w:val="0"/>
        <w:numPr>
          <w:ilvl w:val="0"/>
          <w:numId w:val="26"/>
        </w:numPr>
        <w:rPr>
          <w:rFonts w:ascii="Arial" w:hAnsi="Arial" w:cs="Arial"/>
        </w:rPr>
      </w:pPr>
      <w:r w:rsidRPr="009C5072">
        <w:rPr>
          <w:rFonts w:ascii="Arial" w:hAnsi="Arial" w:cs="Arial"/>
        </w:rPr>
        <w:t>Does not require the use of a form or specify a reporting format/method. </w:t>
      </w:r>
    </w:p>
    <w:p w:rsidR="009C5072" w:rsidP="00731163" w14:paraId="29396CB5" w14:textId="1BA6A2A9">
      <w:pPr>
        <w:widowControl w:val="0"/>
        <w:numPr>
          <w:ilvl w:val="0"/>
          <w:numId w:val="29"/>
        </w:numPr>
        <w:rPr>
          <w:rFonts w:ascii="Arial" w:hAnsi="Arial" w:cs="Arial"/>
        </w:rPr>
      </w:pPr>
      <w:r w:rsidRPr="009C5072">
        <w:rPr>
          <w:rFonts w:ascii="Arial" w:hAnsi="Arial" w:cs="Arial"/>
        </w:rPr>
        <w:t>Is required by international treaty, statute, and/or regulation as noted in section 1 of the Supporting Statement. </w:t>
      </w:r>
    </w:p>
    <w:p w:rsidR="009C5072" w:rsidRPr="009C5072" w:rsidP="00E11D76" w14:paraId="60D93416" w14:textId="77777777">
      <w:pPr>
        <w:widowControl w:val="0"/>
        <w:ind w:left="720"/>
        <w:rPr>
          <w:rFonts w:ascii="Arial" w:hAnsi="Arial" w:cs="Arial"/>
        </w:rPr>
      </w:pPr>
    </w:p>
    <w:p w:rsidR="00191692" w:rsidRPr="00A743D6" w:rsidP="00731163" w14:paraId="197304D4" w14:textId="77777777">
      <w:pPr>
        <w:widowControl w:val="0"/>
        <w:rPr>
          <w:rFonts w:ascii="Arial" w:hAnsi="Arial" w:cs="Arial"/>
        </w:rPr>
      </w:pPr>
      <w:r w:rsidRPr="00A743D6">
        <w:rPr>
          <w:rFonts w:ascii="Arial" w:hAnsi="Arial" w:cs="Arial"/>
        </w:rPr>
        <w:t xml:space="preserve">4.  </w:t>
      </w:r>
      <w:r w:rsidRPr="00A743D6">
        <w:rPr>
          <w:rFonts w:ascii="Arial" w:hAnsi="Arial" w:cs="Arial"/>
          <w:u w:val="single"/>
        </w:rPr>
        <w:t>Efforts to identify duplication</w:t>
      </w:r>
      <w:r w:rsidRPr="00A743D6">
        <w:rPr>
          <w:rFonts w:ascii="Arial" w:hAnsi="Arial" w:cs="Arial"/>
        </w:rPr>
        <w:t>.</w:t>
      </w:r>
      <w:r w:rsidR="00A743D6">
        <w:rPr>
          <w:rFonts w:ascii="Arial" w:hAnsi="Arial" w:cs="Arial"/>
        </w:rPr>
        <w:t xml:space="preserve">  </w:t>
      </w:r>
    </w:p>
    <w:p w:rsidR="00191692" w:rsidRPr="00A743D6" w:rsidP="00731163" w14:paraId="6C8CFD33" w14:textId="77777777">
      <w:pPr>
        <w:widowControl w:val="0"/>
        <w:rPr>
          <w:rFonts w:ascii="Arial" w:hAnsi="Arial" w:cs="Arial"/>
        </w:rPr>
      </w:pPr>
    </w:p>
    <w:p w:rsidR="00191692" w:rsidRPr="00A743D6" w:rsidP="00731163" w14:paraId="77DA729A" w14:textId="77777777">
      <w:pPr>
        <w:widowControl w:val="0"/>
        <w:rPr>
          <w:rFonts w:ascii="Arial" w:hAnsi="Arial" w:cs="Arial"/>
        </w:rPr>
      </w:pPr>
      <w:r w:rsidRPr="00A743D6">
        <w:rPr>
          <w:rFonts w:ascii="Arial" w:hAnsi="Arial" w:cs="Arial"/>
        </w:rPr>
        <w:t>T</w:t>
      </w:r>
      <w:r w:rsidRPr="00A743D6" w:rsidR="009B12CD">
        <w:rPr>
          <w:rFonts w:ascii="Arial" w:hAnsi="Arial" w:cs="Arial"/>
        </w:rPr>
        <w:t xml:space="preserve">he collected information is expected mainly from owners/operators of domestic-service tank barges on inland waterways.  There are no other agencies (Federal, state or private) that collect this information on these vessels.  The collected information is </w:t>
      </w:r>
      <w:r w:rsidRPr="00A743D6" w:rsidR="009B12CD">
        <w:rPr>
          <w:rFonts w:ascii="Arial" w:hAnsi="Arial" w:cs="Arial"/>
        </w:rPr>
        <w:t>vessel-specific</w:t>
      </w:r>
      <w:r w:rsidRPr="00A743D6" w:rsidR="009B12CD">
        <w:rPr>
          <w:rFonts w:ascii="Arial" w:hAnsi="Arial" w:cs="Arial"/>
        </w:rPr>
        <w:t xml:space="preserve">.  </w:t>
      </w:r>
      <w:r w:rsidRPr="00A743D6">
        <w:rPr>
          <w:rFonts w:ascii="Arial" w:hAnsi="Arial" w:cs="Arial"/>
        </w:rPr>
        <w:t>The Coast Guard accept</w:t>
      </w:r>
      <w:r w:rsidRPr="00A743D6" w:rsidR="00FE586C">
        <w:rPr>
          <w:rFonts w:ascii="Arial" w:hAnsi="Arial" w:cs="Arial"/>
        </w:rPr>
        <w:t>s</w:t>
      </w:r>
      <w:r w:rsidRPr="00A743D6">
        <w:rPr>
          <w:rFonts w:ascii="Arial" w:hAnsi="Arial" w:cs="Arial"/>
        </w:rPr>
        <w:t xml:space="preserve"> </w:t>
      </w:r>
      <w:r w:rsidRPr="00A743D6" w:rsidR="001735C3">
        <w:rPr>
          <w:rFonts w:ascii="Arial" w:hAnsi="Arial" w:cs="Arial"/>
        </w:rPr>
        <w:t>American Bureau of Shipping (</w:t>
      </w:r>
      <w:r w:rsidRPr="00A743D6">
        <w:rPr>
          <w:rFonts w:ascii="Arial" w:hAnsi="Arial" w:cs="Arial"/>
        </w:rPr>
        <w:t>ABS</w:t>
      </w:r>
      <w:r w:rsidRPr="00A743D6" w:rsidR="001735C3">
        <w:rPr>
          <w:rFonts w:ascii="Arial" w:hAnsi="Arial" w:cs="Arial"/>
        </w:rPr>
        <w:t>)</w:t>
      </w:r>
      <w:r w:rsidRPr="00A743D6">
        <w:rPr>
          <w:rFonts w:ascii="Arial" w:hAnsi="Arial" w:cs="Arial"/>
        </w:rPr>
        <w:t xml:space="preserve"> classification or an international load line certificate as satisfactory evidence of </w:t>
      </w:r>
      <w:r w:rsidRPr="00A743D6">
        <w:rPr>
          <w:rFonts w:ascii="Arial" w:hAnsi="Arial" w:cs="Arial"/>
        </w:rPr>
        <w:t xml:space="preserve">structural integrity and regulatory compliance.  </w:t>
      </w:r>
    </w:p>
    <w:p w:rsidR="00191692" w:rsidRPr="00A743D6" w:rsidP="00731163" w14:paraId="126B7F80" w14:textId="77777777">
      <w:pPr>
        <w:widowControl w:val="0"/>
        <w:rPr>
          <w:rFonts w:ascii="Arial" w:hAnsi="Arial" w:cs="Arial"/>
        </w:rPr>
      </w:pPr>
    </w:p>
    <w:p w:rsidR="00191692" w:rsidRPr="00A743D6" w:rsidP="00731163" w14:paraId="41070739" w14:textId="77777777">
      <w:pPr>
        <w:widowControl w:val="0"/>
        <w:rPr>
          <w:rFonts w:ascii="Arial" w:hAnsi="Arial" w:cs="Arial"/>
        </w:rPr>
      </w:pPr>
      <w:r w:rsidRPr="00A743D6">
        <w:rPr>
          <w:rFonts w:ascii="Arial" w:hAnsi="Arial" w:cs="Arial"/>
        </w:rPr>
        <w:t xml:space="preserve">5.  </w:t>
      </w:r>
      <w:r w:rsidRPr="00A743D6">
        <w:rPr>
          <w:rFonts w:ascii="Arial" w:hAnsi="Arial" w:cs="Arial"/>
          <w:u w:val="single"/>
        </w:rPr>
        <w:t>Methods used to minimize the burdens to small business</w:t>
      </w:r>
      <w:r w:rsidRPr="00A743D6">
        <w:rPr>
          <w:rFonts w:ascii="Arial" w:hAnsi="Arial" w:cs="Arial"/>
        </w:rPr>
        <w:t>.</w:t>
      </w:r>
      <w:r w:rsidR="00A743D6">
        <w:rPr>
          <w:rFonts w:ascii="Arial" w:hAnsi="Arial" w:cs="Arial"/>
        </w:rPr>
        <w:t xml:space="preserve">  </w:t>
      </w:r>
    </w:p>
    <w:p w:rsidR="00191692" w:rsidRPr="00A743D6" w:rsidP="00731163" w14:paraId="45ACF89D" w14:textId="77777777">
      <w:pPr>
        <w:widowControl w:val="0"/>
        <w:rPr>
          <w:rFonts w:ascii="Arial" w:hAnsi="Arial" w:cs="Arial"/>
        </w:rPr>
      </w:pPr>
    </w:p>
    <w:p w:rsidR="00191692" w:rsidRPr="00A743D6" w:rsidP="00731163" w14:paraId="17CA6FE3" w14:textId="342A6A85">
      <w:pPr>
        <w:widowControl w:val="0"/>
        <w:rPr>
          <w:rFonts w:ascii="Arial" w:hAnsi="Arial" w:cs="Arial"/>
        </w:rPr>
      </w:pPr>
      <w:r w:rsidRPr="00A743D6">
        <w:rPr>
          <w:rFonts w:ascii="Arial" w:hAnsi="Arial" w:cs="Arial"/>
        </w:rPr>
        <w:t>This information collection does not have an impact on small businesses or other small entities.</w:t>
      </w:r>
      <w:r w:rsidR="00571541">
        <w:rPr>
          <w:rFonts w:ascii="Arial" w:hAnsi="Arial" w:cs="Arial"/>
        </w:rPr>
        <w:t xml:space="preserve">  </w:t>
      </w:r>
    </w:p>
    <w:p w:rsidR="00191692" w:rsidRPr="00A743D6" w:rsidP="00731163" w14:paraId="4C330A91" w14:textId="77777777">
      <w:pPr>
        <w:widowControl w:val="0"/>
        <w:rPr>
          <w:rFonts w:ascii="Arial" w:hAnsi="Arial" w:cs="Arial"/>
        </w:rPr>
      </w:pPr>
    </w:p>
    <w:p w:rsidR="00191692" w:rsidRPr="00A743D6" w:rsidP="00731163" w14:paraId="5D2931DE" w14:textId="77777777">
      <w:pPr>
        <w:widowControl w:val="0"/>
        <w:ind w:left="360" w:hanging="360"/>
        <w:rPr>
          <w:rFonts w:ascii="Arial" w:hAnsi="Arial" w:cs="Arial"/>
        </w:rPr>
      </w:pPr>
      <w:r w:rsidRPr="00A743D6">
        <w:rPr>
          <w:rFonts w:ascii="Arial" w:hAnsi="Arial" w:cs="Arial"/>
        </w:rPr>
        <w:t xml:space="preserve">6.  </w:t>
      </w:r>
      <w:r w:rsidRPr="00A743D6">
        <w:rPr>
          <w:rFonts w:ascii="Arial" w:hAnsi="Arial" w:cs="Arial"/>
          <w:u w:val="single"/>
        </w:rPr>
        <w:t>Consequences to the Federal program if collection were not done or conducted less frequently</w:t>
      </w:r>
      <w:r w:rsidRPr="00A743D6">
        <w:rPr>
          <w:rFonts w:ascii="Arial" w:hAnsi="Arial" w:cs="Arial"/>
        </w:rPr>
        <w:t>.</w:t>
      </w:r>
      <w:r w:rsidR="00A743D6">
        <w:rPr>
          <w:rFonts w:ascii="Arial" w:hAnsi="Arial" w:cs="Arial"/>
        </w:rPr>
        <w:t xml:space="preserve">  </w:t>
      </w:r>
    </w:p>
    <w:p w:rsidR="00191692" w:rsidRPr="00A743D6" w:rsidP="00731163" w14:paraId="106AFFA5" w14:textId="77777777">
      <w:pPr>
        <w:widowControl w:val="0"/>
        <w:rPr>
          <w:rFonts w:ascii="Arial" w:hAnsi="Arial" w:cs="Arial"/>
        </w:rPr>
      </w:pPr>
    </w:p>
    <w:p w:rsidR="00191692" w:rsidRPr="00A743D6" w:rsidP="00731163" w14:paraId="73DE294A" w14:textId="6C174FF4">
      <w:pPr>
        <w:widowControl w:val="0"/>
        <w:rPr>
          <w:rFonts w:ascii="Arial" w:hAnsi="Arial" w:cs="Arial"/>
        </w:rPr>
      </w:pPr>
      <w:r w:rsidRPr="00A743D6">
        <w:rPr>
          <w:rFonts w:ascii="Arial" w:hAnsi="Arial" w:cs="Arial"/>
        </w:rPr>
        <w:t xml:space="preserve">The collected information is not required until a tank vessel is 30 years old and then only once every five years thereafter.  This is considered the longest </w:t>
      </w:r>
      <w:r w:rsidRPr="00A743D6" w:rsidR="001D5E6E">
        <w:rPr>
          <w:rFonts w:ascii="Arial" w:hAnsi="Arial" w:cs="Arial"/>
        </w:rPr>
        <w:t xml:space="preserve">allowable </w:t>
      </w:r>
      <w:r w:rsidRPr="00A743D6">
        <w:rPr>
          <w:rFonts w:ascii="Arial" w:hAnsi="Arial" w:cs="Arial"/>
        </w:rPr>
        <w:t xml:space="preserve">interval </w:t>
      </w:r>
      <w:r w:rsidRPr="00A743D6">
        <w:rPr>
          <w:rFonts w:ascii="Arial" w:hAnsi="Arial" w:cs="Arial"/>
        </w:rPr>
        <w:t>in order to</w:t>
      </w:r>
      <w:r w:rsidRPr="00A743D6">
        <w:rPr>
          <w:rFonts w:ascii="Arial" w:hAnsi="Arial" w:cs="Arial"/>
        </w:rPr>
        <w:t xml:space="preserve"> detect corrosion-induced weakening of the vessel before its structural integrity is compromised.</w:t>
      </w:r>
      <w:r w:rsidR="00571541">
        <w:rPr>
          <w:rFonts w:ascii="Arial" w:hAnsi="Arial" w:cs="Arial"/>
        </w:rPr>
        <w:t xml:space="preserve">  </w:t>
      </w:r>
    </w:p>
    <w:p w:rsidR="00191692" w:rsidRPr="00A743D6" w:rsidP="00731163" w14:paraId="2CE2FF9C" w14:textId="77777777">
      <w:pPr>
        <w:widowControl w:val="0"/>
        <w:rPr>
          <w:rFonts w:ascii="Arial" w:hAnsi="Arial" w:cs="Arial"/>
        </w:rPr>
      </w:pPr>
    </w:p>
    <w:p w:rsidR="00191692" w:rsidRPr="00A743D6" w:rsidP="00731163" w14:paraId="1B74C3BD" w14:textId="77777777">
      <w:pPr>
        <w:widowControl w:val="0"/>
        <w:ind w:left="360" w:hanging="360"/>
        <w:rPr>
          <w:rFonts w:ascii="Arial" w:hAnsi="Arial" w:cs="Arial"/>
        </w:rPr>
      </w:pPr>
      <w:r w:rsidRPr="00A743D6">
        <w:rPr>
          <w:rFonts w:ascii="Arial" w:hAnsi="Arial" w:cs="Arial"/>
        </w:rPr>
        <w:t xml:space="preserve">7.  </w:t>
      </w:r>
      <w:r w:rsidRPr="00A743D6">
        <w:rPr>
          <w:rFonts w:ascii="Arial" w:hAnsi="Arial" w:cs="Arial"/>
          <w:u w:val="single"/>
        </w:rPr>
        <w:t>Special</w:t>
      </w:r>
      <w:r w:rsidR="00A743D6">
        <w:rPr>
          <w:rFonts w:ascii="Arial" w:hAnsi="Arial" w:cs="Arial"/>
          <w:u w:val="single"/>
        </w:rPr>
        <w:t xml:space="preserve"> collection </w:t>
      </w:r>
      <w:r w:rsidRPr="00A743D6">
        <w:rPr>
          <w:rFonts w:ascii="Arial" w:hAnsi="Arial" w:cs="Arial"/>
          <w:u w:val="single"/>
        </w:rPr>
        <w:t>circumstances</w:t>
      </w:r>
      <w:r w:rsidRPr="00A743D6">
        <w:rPr>
          <w:rFonts w:ascii="Arial" w:hAnsi="Arial" w:cs="Arial"/>
        </w:rPr>
        <w:t>.</w:t>
      </w:r>
      <w:r w:rsidR="00A743D6">
        <w:rPr>
          <w:rFonts w:ascii="Arial" w:hAnsi="Arial" w:cs="Arial"/>
        </w:rPr>
        <w:t xml:space="preserve">  </w:t>
      </w:r>
    </w:p>
    <w:p w:rsidR="00191692" w:rsidRPr="00A743D6" w:rsidP="00731163" w14:paraId="6985E8BF" w14:textId="77777777">
      <w:pPr>
        <w:widowControl w:val="0"/>
        <w:rPr>
          <w:rFonts w:ascii="Arial" w:hAnsi="Arial" w:cs="Arial"/>
        </w:rPr>
      </w:pPr>
    </w:p>
    <w:p w:rsidR="00191692" w:rsidRPr="00A743D6" w:rsidP="00731163" w14:paraId="513EE557" w14:textId="77777777">
      <w:pPr>
        <w:widowControl w:val="0"/>
        <w:rPr>
          <w:rFonts w:ascii="Arial" w:hAnsi="Arial" w:cs="Arial"/>
        </w:rPr>
      </w:pPr>
      <w:r w:rsidRPr="00A743D6">
        <w:rPr>
          <w:rFonts w:ascii="Arial" w:hAnsi="Arial" w:cs="Arial"/>
        </w:rPr>
        <w:t xml:space="preserve">The collected information is </w:t>
      </w:r>
      <w:r w:rsidRPr="00A743D6" w:rsidR="000A68EC">
        <w:rPr>
          <w:rFonts w:ascii="Arial" w:hAnsi="Arial" w:cs="Arial"/>
        </w:rPr>
        <w:t>conducted in a manner consistent with the guidelines in 5</w:t>
      </w:r>
      <w:r w:rsidRPr="00A743D6" w:rsidR="00273961">
        <w:rPr>
          <w:rFonts w:ascii="Arial" w:hAnsi="Arial" w:cs="Arial"/>
        </w:rPr>
        <w:t> </w:t>
      </w:r>
      <w:r w:rsidRPr="00A743D6" w:rsidR="000A68EC">
        <w:rPr>
          <w:rFonts w:ascii="Arial" w:hAnsi="Arial" w:cs="Arial"/>
        </w:rPr>
        <w:t>CFR 1320.5(d)(2).</w:t>
      </w:r>
    </w:p>
    <w:p w:rsidR="00191692" w:rsidRPr="00A743D6" w:rsidP="00731163" w14:paraId="74F12167" w14:textId="77777777">
      <w:pPr>
        <w:widowControl w:val="0"/>
        <w:rPr>
          <w:rFonts w:ascii="Arial" w:hAnsi="Arial" w:cs="Arial"/>
        </w:rPr>
      </w:pPr>
    </w:p>
    <w:p w:rsidR="00191692" w:rsidRPr="00A743D6" w:rsidP="00731163" w14:paraId="619B74B6" w14:textId="77777777">
      <w:pPr>
        <w:widowControl w:val="0"/>
        <w:rPr>
          <w:rFonts w:ascii="Arial" w:hAnsi="Arial" w:cs="Arial"/>
        </w:rPr>
      </w:pPr>
      <w:r w:rsidRPr="00A743D6">
        <w:rPr>
          <w:rFonts w:ascii="Arial" w:hAnsi="Arial" w:cs="Arial"/>
        </w:rPr>
        <w:t xml:space="preserve">8.  </w:t>
      </w:r>
      <w:r w:rsidRPr="00A743D6">
        <w:rPr>
          <w:rFonts w:ascii="Arial" w:hAnsi="Arial" w:cs="Arial"/>
          <w:u w:val="single"/>
        </w:rPr>
        <w:t>Consultation</w:t>
      </w:r>
      <w:r w:rsidRPr="00A743D6">
        <w:rPr>
          <w:rFonts w:ascii="Arial" w:hAnsi="Arial" w:cs="Arial"/>
        </w:rPr>
        <w:t>.</w:t>
      </w:r>
      <w:r w:rsidR="00A743D6">
        <w:rPr>
          <w:rFonts w:ascii="Arial" w:hAnsi="Arial" w:cs="Arial"/>
        </w:rPr>
        <w:t xml:space="preserve">  </w:t>
      </w:r>
    </w:p>
    <w:p w:rsidR="00191692" w:rsidRPr="00A743D6" w:rsidP="00731163" w14:paraId="23D9538B" w14:textId="77777777">
      <w:pPr>
        <w:widowControl w:val="0"/>
        <w:rPr>
          <w:rFonts w:ascii="Arial" w:hAnsi="Arial" w:cs="Arial"/>
        </w:rPr>
      </w:pPr>
    </w:p>
    <w:p w:rsidR="00A743D6" w:rsidP="00731163" w14:paraId="6366C4C6" w14:textId="5F67BDC7">
      <w:pPr>
        <w:widowControl w:val="0"/>
        <w:rPr>
          <w:rFonts w:ascii="Arial" w:hAnsi="Arial" w:cs="Arial"/>
        </w:rPr>
      </w:pPr>
      <w:r w:rsidRPr="009E1788">
        <w:rPr>
          <w:rFonts w:ascii="Arial" w:hAnsi="Arial" w:cs="Arial"/>
        </w:rPr>
        <w:t>A 60-day Notice was published in the Federal Register to obtain public comment on this collection (See [USCG-202</w:t>
      </w:r>
      <w:r>
        <w:rPr>
          <w:rFonts w:ascii="Arial" w:hAnsi="Arial" w:cs="Arial"/>
        </w:rPr>
        <w:t>5</w:t>
      </w:r>
      <w:r w:rsidRPr="009E1788">
        <w:rPr>
          <w:rFonts w:ascii="Arial" w:hAnsi="Arial" w:cs="Arial"/>
        </w:rPr>
        <w:t>-0</w:t>
      </w:r>
      <w:r>
        <w:rPr>
          <w:rFonts w:ascii="Arial" w:hAnsi="Arial" w:cs="Arial"/>
        </w:rPr>
        <w:t>093</w:t>
      </w:r>
      <w:r w:rsidRPr="009E1788">
        <w:rPr>
          <w:rFonts w:ascii="Arial" w:hAnsi="Arial" w:cs="Arial"/>
        </w:rPr>
        <w:t xml:space="preserve">]; </w:t>
      </w:r>
      <w:r>
        <w:rPr>
          <w:rFonts w:ascii="Arial" w:hAnsi="Arial" w:cs="Arial"/>
        </w:rPr>
        <w:t>March 10, 2025</w:t>
      </w:r>
      <w:r w:rsidRPr="009E1788">
        <w:rPr>
          <w:rFonts w:ascii="Arial" w:hAnsi="Arial" w:cs="Arial"/>
        </w:rPr>
        <w:t xml:space="preserve">, </w:t>
      </w:r>
      <w:r>
        <w:rPr>
          <w:rFonts w:ascii="Arial" w:hAnsi="Arial" w:cs="Arial"/>
        </w:rPr>
        <w:t>90</w:t>
      </w:r>
      <w:r w:rsidRPr="009E1788">
        <w:rPr>
          <w:rFonts w:ascii="Arial" w:hAnsi="Arial" w:cs="Arial"/>
        </w:rPr>
        <w:t xml:space="preserve"> FR </w:t>
      </w:r>
      <w:r>
        <w:rPr>
          <w:rFonts w:ascii="Arial" w:hAnsi="Arial" w:cs="Arial"/>
        </w:rPr>
        <w:t>11621</w:t>
      </w:r>
      <w:r w:rsidRPr="009E1788">
        <w:rPr>
          <w:rFonts w:ascii="Arial" w:hAnsi="Arial" w:cs="Arial"/>
        </w:rPr>
        <w:t xml:space="preserve">) and 30-Day Notice </w:t>
      </w:r>
      <w:r w:rsidRPr="007C0710">
        <w:rPr>
          <w:rFonts w:ascii="Arial" w:hAnsi="Arial" w:cs="Arial"/>
        </w:rPr>
        <w:t>(</w:t>
      </w:r>
      <w:r w:rsidR="007C0710">
        <w:rPr>
          <w:rFonts w:ascii="Arial" w:hAnsi="Arial" w:cs="Arial"/>
        </w:rPr>
        <w:t>June 4</w:t>
      </w:r>
      <w:r w:rsidRPr="007C0710">
        <w:rPr>
          <w:rFonts w:ascii="Arial" w:hAnsi="Arial" w:cs="Arial"/>
        </w:rPr>
        <w:t xml:space="preserve">, 2025, 90 FR </w:t>
      </w:r>
      <w:r>
        <w:rPr>
          <w:rFonts w:ascii="Arial" w:hAnsi="Arial" w:cs="Arial"/>
        </w:rPr>
        <w:t>23692</w:t>
      </w:r>
      <w:r w:rsidRPr="009E1788">
        <w:rPr>
          <w:rFonts w:ascii="Arial" w:hAnsi="Arial" w:cs="Arial"/>
        </w:rPr>
        <w:t xml:space="preserve">) were published in the Federal Register to obtain public comment on this collection.  The Coast Guard has not received any comments on this information collection   </w:t>
      </w:r>
    </w:p>
    <w:p w:rsidR="00A743D6" w:rsidP="00731163" w14:paraId="7897D27E" w14:textId="77777777">
      <w:pPr>
        <w:widowControl w:val="0"/>
        <w:rPr>
          <w:rFonts w:ascii="Arial" w:hAnsi="Arial" w:cs="Arial"/>
        </w:rPr>
      </w:pPr>
    </w:p>
    <w:p w:rsidR="00191692" w:rsidRPr="00A743D6" w:rsidP="00731163" w14:paraId="7373218F" w14:textId="77777777">
      <w:pPr>
        <w:widowControl w:val="0"/>
        <w:rPr>
          <w:rFonts w:ascii="Arial" w:hAnsi="Arial" w:cs="Arial"/>
        </w:rPr>
      </w:pPr>
      <w:r w:rsidRPr="00A743D6">
        <w:rPr>
          <w:rFonts w:ascii="Arial" w:hAnsi="Arial" w:cs="Arial"/>
        </w:rPr>
        <w:t xml:space="preserve">9.  </w:t>
      </w:r>
      <w:r w:rsidRPr="00A743D6" w:rsidR="00A743D6">
        <w:rPr>
          <w:rFonts w:ascii="Arial" w:hAnsi="Arial" w:cs="Arial"/>
          <w:u w:val="single"/>
        </w:rPr>
        <w:t>Provide any payments or gifts to respondents</w:t>
      </w:r>
      <w:r w:rsidRPr="00A743D6">
        <w:rPr>
          <w:rFonts w:ascii="Arial" w:hAnsi="Arial" w:cs="Arial"/>
        </w:rPr>
        <w:t>.</w:t>
      </w:r>
      <w:r w:rsidR="00A743D6">
        <w:rPr>
          <w:rFonts w:ascii="Arial" w:hAnsi="Arial" w:cs="Arial"/>
        </w:rPr>
        <w:t xml:space="preserve">  </w:t>
      </w:r>
    </w:p>
    <w:p w:rsidR="00191692" w:rsidRPr="00A743D6" w:rsidP="00731163" w14:paraId="22DB5978" w14:textId="77777777">
      <w:pPr>
        <w:widowControl w:val="0"/>
        <w:rPr>
          <w:rFonts w:ascii="Arial" w:hAnsi="Arial" w:cs="Arial"/>
        </w:rPr>
      </w:pPr>
    </w:p>
    <w:p w:rsidR="00191692" w:rsidRPr="00A743D6" w:rsidP="00731163" w14:paraId="5404276F" w14:textId="77777777">
      <w:pPr>
        <w:widowControl w:val="0"/>
        <w:rPr>
          <w:rFonts w:ascii="Arial" w:hAnsi="Arial" w:cs="Arial"/>
        </w:rPr>
      </w:pPr>
      <w:r w:rsidRPr="00A743D6">
        <w:rPr>
          <w:rFonts w:ascii="Arial" w:hAnsi="Arial" w:cs="Arial"/>
        </w:rPr>
        <w:t>There is no offer of monetary or material value for this information collection.</w:t>
      </w:r>
      <w:r w:rsidR="00553D5D">
        <w:rPr>
          <w:rFonts w:ascii="Arial" w:hAnsi="Arial" w:cs="Arial"/>
        </w:rPr>
        <w:t xml:space="preserve">  </w:t>
      </w:r>
    </w:p>
    <w:p w:rsidR="00191692" w:rsidRPr="00A743D6" w:rsidP="00731163" w14:paraId="3E69BB2B" w14:textId="77777777">
      <w:pPr>
        <w:widowControl w:val="0"/>
        <w:rPr>
          <w:rFonts w:ascii="Arial" w:hAnsi="Arial" w:cs="Arial"/>
        </w:rPr>
      </w:pPr>
    </w:p>
    <w:p w:rsidR="00191692" w:rsidRPr="00A743D6" w:rsidP="00731163" w14:paraId="793E4565" w14:textId="77777777">
      <w:pPr>
        <w:widowControl w:val="0"/>
        <w:rPr>
          <w:rFonts w:ascii="Arial" w:hAnsi="Arial" w:cs="Arial"/>
        </w:rPr>
      </w:pPr>
      <w:r w:rsidRPr="00A743D6">
        <w:rPr>
          <w:rFonts w:ascii="Arial" w:hAnsi="Arial" w:cs="Arial"/>
        </w:rPr>
        <w:t xml:space="preserve">10.  </w:t>
      </w:r>
      <w:r w:rsidRPr="00A743D6" w:rsidR="00A743D6">
        <w:rPr>
          <w:rFonts w:ascii="Arial" w:hAnsi="Arial" w:cs="Arial"/>
          <w:u w:val="single"/>
        </w:rPr>
        <w:t>Describe any assurance of confidentiality provided to respondents</w:t>
      </w:r>
      <w:r w:rsidRPr="00A743D6">
        <w:rPr>
          <w:rFonts w:ascii="Arial" w:hAnsi="Arial" w:cs="Arial"/>
        </w:rPr>
        <w:t>.</w:t>
      </w:r>
      <w:r w:rsidR="00A743D6">
        <w:rPr>
          <w:rFonts w:ascii="Arial" w:hAnsi="Arial" w:cs="Arial"/>
        </w:rPr>
        <w:t xml:space="preserve">  </w:t>
      </w:r>
    </w:p>
    <w:p w:rsidR="00191692" w:rsidRPr="00A743D6" w:rsidP="00731163" w14:paraId="64F93FA8" w14:textId="77777777">
      <w:pPr>
        <w:widowControl w:val="0"/>
        <w:rPr>
          <w:rFonts w:ascii="Arial" w:hAnsi="Arial" w:cs="Arial"/>
        </w:rPr>
      </w:pPr>
    </w:p>
    <w:p w:rsidR="006E002F" w:rsidRPr="00A54425" w:rsidP="00A54425" w14:paraId="490BF58F" w14:textId="247CDFC6">
      <w:pPr>
        <w:pStyle w:val="BodyText"/>
        <w:widowControl w:val="0"/>
        <w:rPr>
          <w:rFonts w:cs="Arial"/>
          <w:sz w:val="20"/>
        </w:rPr>
      </w:pPr>
      <w:r w:rsidRPr="00731163">
        <w:rPr>
          <w:rFonts w:cs="Arial"/>
          <w:sz w:val="20"/>
        </w:rPr>
        <w:t>There are n</w:t>
      </w:r>
      <w:r w:rsidRPr="00731163" w:rsidR="00191692">
        <w:rPr>
          <w:rFonts w:cs="Arial"/>
          <w:sz w:val="20"/>
        </w:rPr>
        <w:t>o assurance</w:t>
      </w:r>
      <w:r w:rsidRPr="00731163">
        <w:rPr>
          <w:rFonts w:cs="Arial"/>
          <w:sz w:val="20"/>
        </w:rPr>
        <w:t>s</w:t>
      </w:r>
      <w:r w:rsidRPr="00731163" w:rsidR="00191692">
        <w:rPr>
          <w:rFonts w:cs="Arial"/>
          <w:sz w:val="20"/>
        </w:rPr>
        <w:t xml:space="preserve"> of confidentiality provided to </w:t>
      </w:r>
      <w:r w:rsidRPr="00731163">
        <w:rPr>
          <w:rFonts w:cs="Arial"/>
          <w:sz w:val="20"/>
        </w:rPr>
        <w:t xml:space="preserve">the </w:t>
      </w:r>
      <w:r w:rsidRPr="00731163" w:rsidR="00191692">
        <w:rPr>
          <w:rFonts w:cs="Arial"/>
          <w:sz w:val="20"/>
        </w:rPr>
        <w:t>respondents</w:t>
      </w:r>
      <w:r w:rsidRPr="00731163">
        <w:rPr>
          <w:rFonts w:cs="Arial"/>
          <w:sz w:val="20"/>
        </w:rPr>
        <w:t xml:space="preserve"> for this information collection</w:t>
      </w:r>
      <w:r w:rsidRPr="00731163" w:rsidR="00191692">
        <w:rPr>
          <w:rFonts w:cs="Arial"/>
          <w:sz w:val="20"/>
        </w:rPr>
        <w:t xml:space="preserve">.  </w:t>
      </w:r>
      <w:r w:rsidRPr="00A54425">
        <w:rPr>
          <w:rFonts w:cs="Arial"/>
          <w:sz w:val="20"/>
        </w:rPr>
        <w:t>This information collection request is covered by the Marine Information for Safety and Law Enforcement (MISLE) Privacy Impact Assessment (PIA)</w:t>
      </w:r>
      <w:r w:rsidR="00097DE8">
        <w:rPr>
          <w:rFonts w:cs="Arial"/>
          <w:sz w:val="20"/>
        </w:rPr>
        <w:t>, dated: September 3, 2009</w:t>
      </w:r>
      <w:r w:rsidR="0081417A">
        <w:rPr>
          <w:rFonts w:cs="Arial"/>
          <w:sz w:val="20"/>
        </w:rPr>
        <w:t>.</w:t>
      </w:r>
      <w:r w:rsidR="009E1788">
        <w:rPr>
          <w:rFonts w:cs="Arial"/>
          <w:sz w:val="20"/>
        </w:rPr>
        <w:t xml:space="preserve"> </w:t>
      </w:r>
      <w:r w:rsidRPr="00A54425">
        <w:rPr>
          <w:rFonts w:cs="Arial"/>
          <w:sz w:val="20"/>
        </w:rPr>
        <w:t xml:space="preserve"> </w:t>
      </w:r>
      <w:r w:rsidR="009E1788">
        <w:rPr>
          <w:rFonts w:cs="Arial"/>
          <w:sz w:val="20"/>
        </w:rPr>
        <w:t>The l</w:t>
      </w:r>
      <w:r w:rsidRPr="00A54425">
        <w:rPr>
          <w:rFonts w:cs="Arial"/>
          <w:sz w:val="20"/>
        </w:rPr>
        <w:t xml:space="preserve">ink to the MISLE PIA </w:t>
      </w:r>
      <w:r w:rsidR="009E1788">
        <w:rPr>
          <w:rFonts w:cs="Arial"/>
          <w:sz w:val="20"/>
        </w:rPr>
        <w:t xml:space="preserve">is </w:t>
      </w:r>
      <w:r w:rsidRPr="00A54425">
        <w:rPr>
          <w:rFonts w:cs="Arial"/>
          <w:sz w:val="20"/>
        </w:rPr>
        <w:t>provided below:</w:t>
      </w:r>
    </w:p>
    <w:p w:rsidR="006E002F" w:rsidRPr="009E1788" w:rsidP="009E1788" w14:paraId="072256E9" w14:textId="464ECC68">
      <w:pPr>
        <w:pStyle w:val="BodyText"/>
        <w:widowControl w:val="0"/>
        <w:numPr>
          <w:ilvl w:val="0"/>
          <w:numId w:val="20"/>
        </w:numPr>
        <w:rPr>
          <w:rFonts w:cs="Arial"/>
          <w:sz w:val="20"/>
        </w:rPr>
      </w:pPr>
      <w:hyperlink r:id="rId12" w:history="1">
        <w:r w:rsidRPr="00A54425">
          <w:rPr>
            <w:rStyle w:val="Hyperlink"/>
            <w:rFonts w:cs="Arial"/>
            <w:sz w:val="20"/>
          </w:rPr>
          <w:t>https://www.dhs.gov/sites/default/files/publications/privacy_pia_uscg_misle.pdf</w:t>
        </w:r>
      </w:hyperlink>
    </w:p>
    <w:p w:rsidR="00191692" w:rsidRPr="00A743D6" w:rsidP="00731163" w14:paraId="4B6CE4A9" w14:textId="77777777">
      <w:pPr>
        <w:widowControl w:val="0"/>
        <w:rPr>
          <w:rFonts w:ascii="Arial" w:hAnsi="Arial" w:cs="Arial"/>
        </w:rPr>
      </w:pPr>
    </w:p>
    <w:p w:rsidR="00191692" w:rsidRPr="00A743D6" w:rsidP="00731163" w14:paraId="2B8D1431" w14:textId="77777777">
      <w:pPr>
        <w:widowControl w:val="0"/>
        <w:rPr>
          <w:rFonts w:ascii="Arial" w:hAnsi="Arial" w:cs="Arial"/>
        </w:rPr>
      </w:pPr>
      <w:r w:rsidRPr="00A743D6">
        <w:rPr>
          <w:rFonts w:ascii="Arial" w:hAnsi="Arial" w:cs="Arial"/>
        </w:rPr>
        <w:t xml:space="preserve">11.  </w:t>
      </w:r>
      <w:r w:rsidRPr="00A743D6">
        <w:rPr>
          <w:rFonts w:ascii="Arial" w:hAnsi="Arial" w:cs="Arial"/>
          <w:u w:val="single"/>
        </w:rPr>
        <w:t>Additional justification for any questions of a sensitive nature</w:t>
      </w:r>
      <w:r w:rsidRPr="00A743D6">
        <w:rPr>
          <w:rFonts w:ascii="Arial" w:hAnsi="Arial" w:cs="Arial"/>
        </w:rPr>
        <w:t>.</w:t>
      </w:r>
      <w:r w:rsidR="00A743D6">
        <w:rPr>
          <w:rFonts w:ascii="Arial" w:hAnsi="Arial" w:cs="Arial"/>
        </w:rPr>
        <w:t xml:space="preserve">  </w:t>
      </w:r>
    </w:p>
    <w:p w:rsidR="00191692" w:rsidRPr="00A743D6" w:rsidP="00731163" w14:paraId="5E4C6BBF" w14:textId="77777777">
      <w:pPr>
        <w:widowControl w:val="0"/>
        <w:tabs>
          <w:tab w:val="num" w:pos="720"/>
        </w:tabs>
        <w:ind w:left="720" w:hanging="720"/>
        <w:rPr>
          <w:rFonts w:ascii="Arial" w:hAnsi="Arial" w:cs="Arial"/>
        </w:rPr>
      </w:pPr>
    </w:p>
    <w:p w:rsidR="00191692" w:rsidRPr="00A743D6" w:rsidP="00731163" w14:paraId="34CE7752" w14:textId="77777777">
      <w:pPr>
        <w:widowControl w:val="0"/>
        <w:tabs>
          <w:tab w:val="num" w:pos="720"/>
        </w:tabs>
        <w:ind w:left="720" w:hanging="720"/>
        <w:rPr>
          <w:rFonts w:ascii="Arial" w:hAnsi="Arial" w:cs="Arial"/>
        </w:rPr>
      </w:pPr>
      <w:r w:rsidRPr="00A743D6">
        <w:rPr>
          <w:rFonts w:ascii="Arial" w:hAnsi="Arial" w:cs="Arial"/>
        </w:rPr>
        <w:t xml:space="preserve">There are no </w:t>
      </w:r>
      <w:r w:rsidRPr="00A743D6" w:rsidR="00FE4631">
        <w:rPr>
          <w:rFonts w:ascii="Arial" w:hAnsi="Arial" w:cs="Arial"/>
        </w:rPr>
        <w:t>questions</w:t>
      </w:r>
      <w:r w:rsidRPr="00A743D6">
        <w:rPr>
          <w:rFonts w:ascii="Arial" w:hAnsi="Arial" w:cs="Arial"/>
        </w:rPr>
        <w:t xml:space="preserve"> of sensitive </w:t>
      </w:r>
      <w:r w:rsidRPr="00A743D6" w:rsidR="00FE4631">
        <w:rPr>
          <w:rFonts w:ascii="Arial" w:hAnsi="Arial" w:cs="Arial"/>
        </w:rPr>
        <w:t>language.</w:t>
      </w:r>
    </w:p>
    <w:p w:rsidR="00191692" w:rsidRPr="00A743D6" w:rsidP="00731163" w14:paraId="6FC46512" w14:textId="77777777">
      <w:pPr>
        <w:widowControl w:val="0"/>
        <w:tabs>
          <w:tab w:val="num" w:pos="720"/>
        </w:tabs>
        <w:ind w:left="720" w:hanging="720"/>
        <w:rPr>
          <w:rFonts w:ascii="Arial" w:hAnsi="Arial" w:cs="Arial"/>
        </w:rPr>
      </w:pPr>
    </w:p>
    <w:p w:rsidR="00191692" w:rsidRPr="00A743D6" w:rsidP="00731163" w14:paraId="5C664D09" w14:textId="77777777">
      <w:pPr>
        <w:widowControl w:val="0"/>
        <w:rPr>
          <w:rFonts w:ascii="Arial" w:hAnsi="Arial" w:cs="Arial"/>
        </w:rPr>
      </w:pPr>
      <w:r w:rsidRPr="00A743D6">
        <w:rPr>
          <w:rFonts w:ascii="Arial" w:hAnsi="Arial" w:cs="Arial"/>
        </w:rPr>
        <w:t xml:space="preserve">12.  </w:t>
      </w:r>
      <w:r w:rsidRPr="00A743D6">
        <w:rPr>
          <w:rFonts w:ascii="Arial" w:hAnsi="Arial" w:cs="Arial"/>
          <w:u w:val="single"/>
        </w:rPr>
        <w:t>Estimates of information collection burden</w:t>
      </w:r>
      <w:r w:rsidRPr="00A743D6">
        <w:rPr>
          <w:rFonts w:ascii="Arial" w:hAnsi="Arial" w:cs="Arial"/>
        </w:rPr>
        <w:t>.</w:t>
      </w:r>
      <w:r w:rsidR="00553D5D">
        <w:rPr>
          <w:rFonts w:ascii="Arial" w:hAnsi="Arial" w:cs="Arial"/>
        </w:rPr>
        <w:t xml:space="preserve">  </w:t>
      </w:r>
    </w:p>
    <w:p w:rsidR="00A82E7C" w:rsidRPr="00A743D6" w:rsidP="00731163" w14:paraId="5BA648E1" w14:textId="77777777">
      <w:pPr>
        <w:widowControl w:val="0"/>
        <w:rPr>
          <w:rFonts w:ascii="Arial" w:hAnsi="Arial" w:cs="Arial"/>
        </w:rPr>
      </w:pPr>
    </w:p>
    <w:p w:rsidR="00A82E7C" w:rsidRPr="007F3537" w:rsidP="00731163" w14:paraId="1546CE2F" w14:textId="4BBD30C2">
      <w:pPr>
        <w:widowControl w:val="0"/>
        <w:numPr>
          <w:ilvl w:val="0"/>
          <w:numId w:val="17"/>
        </w:numPr>
        <w:rPr>
          <w:rFonts w:ascii="Arial" w:hAnsi="Arial" w:cs="Arial"/>
          <w:bCs/>
        </w:rPr>
      </w:pPr>
      <w:r w:rsidRPr="007F3537">
        <w:rPr>
          <w:rFonts w:ascii="Arial" w:hAnsi="Arial" w:cs="Arial"/>
          <w:bCs/>
        </w:rPr>
        <w:t xml:space="preserve">The estimated annual number of respondents is </w:t>
      </w:r>
      <w:r w:rsidR="001168F4">
        <w:rPr>
          <w:rFonts w:ascii="Arial" w:hAnsi="Arial" w:cs="Arial"/>
          <w:bCs/>
        </w:rPr>
        <w:t>57</w:t>
      </w:r>
      <w:r w:rsidRPr="007F3537">
        <w:rPr>
          <w:rFonts w:ascii="Arial" w:hAnsi="Arial" w:cs="Arial"/>
          <w:bCs/>
        </w:rPr>
        <w:t xml:space="preserve">.  </w:t>
      </w:r>
    </w:p>
    <w:p w:rsidR="00A82E7C" w:rsidRPr="007F3537" w:rsidP="00731163" w14:paraId="5860B0DF" w14:textId="245997FE">
      <w:pPr>
        <w:widowControl w:val="0"/>
        <w:numPr>
          <w:ilvl w:val="0"/>
          <w:numId w:val="17"/>
        </w:numPr>
        <w:rPr>
          <w:rFonts w:ascii="Arial" w:hAnsi="Arial" w:cs="Arial"/>
          <w:bCs/>
        </w:rPr>
      </w:pPr>
      <w:r w:rsidRPr="00D621AD">
        <w:rPr>
          <w:rFonts w:ascii="Arial" w:hAnsi="Arial" w:cs="Arial"/>
          <w:bCs/>
        </w:rPr>
        <w:t xml:space="preserve">The estimated annual number of responses is </w:t>
      </w:r>
      <w:r w:rsidR="001168F4">
        <w:rPr>
          <w:rFonts w:ascii="Arial" w:hAnsi="Arial" w:cs="Arial"/>
          <w:bCs/>
        </w:rPr>
        <w:t>57</w:t>
      </w:r>
      <w:r w:rsidRPr="007F3537">
        <w:rPr>
          <w:rFonts w:ascii="Arial" w:hAnsi="Arial" w:cs="Arial"/>
          <w:bCs/>
        </w:rPr>
        <w:t xml:space="preserve">.  </w:t>
      </w:r>
    </w:p>
    <w:p w:rsidR="00A82E7C" w:rsidRPr="007F3537" w:rsidP="00731163" w14:paraId="106E4603" w14:textId="5D61DD4B">
      <w:pPr>
        <w:widowControl w:val="0"/>
        <w:numPr>
          <w:ilvl w:val="0"/>
          <w:numId w:val="17"/>
        </w:numPr>
        <w:rPr>
          <w:rFonts w:ascii="Arial" w:hAnsi="Arial" w:cs="Arial"/>
          <w:bCs/>
        </w:rPr>
      </w:pPr>
      <w:r w:rsidRPr="00D621AD">
        <w:rPr>
          <w:rFonts w:ascii="Arial" w:hAnsi="Arial" w:cs="Arial"/>
          <w:bCs/>
        </w:rPr>
        <w:t xml:space="preserve">The estimated annual hour burden is </w:t>
      </w:r>
      <w:r w:rsidR="001168F4">
        <w:rPr>
          <w:rFonts w:ascii="Arial" w:hAnsi="Arial" w:cs="Arial"/>
          <w:bCs/>
        </w:rPr>
        <w:t>3,306</w:t>
      </w:r>
      <w:r w:rsidRPr="007F3537">
        <w:rPr>
          <w:rFonts w:ascii="Arial" w:hAnsi="Arial" w:cs="Arial"/>
          <w:bCs/>
        </w:rPr>
        <w:t xml:space="preserve"> hours.  </w:t>
      </w:r>
    </w:p>
    <w:p w:rsidR="00A82E7C" w:rsidRPr="007F3537" w:rsidP="00731163" w14:paraId="7180A340" w14:textId="0E735B85">
      <w:pPr>
        <w:widowControl w:val="0"/>
        <w:numPr>
          <w:ilvl w:val="0"/>
          <w:numId w:val="17"/>
        </w:numPr>
        <w:rPr>
          <w:rFonts w:ascii="Arial" w:hAnsi="Arial" w:cs="Arial"/>
          <w:bCs/>
        </w:rPr>
      </w:pPr>
      <w:r w:rsidRPr="007F3537">
        <w:rPr>
          <w:rFonts w:ascii="Arial" w:hAnsi="Arial" w:cs="Arial"/>
          <w:bCs/>
        </w:rPr>
        <w:t>The estimated annual cost burden is $</w:t>
      </w:r>
      <w:r w:rsidR="001168F4">
        <w:rPr>
          <w:rFonts w:ascii="Arial" w:hAnsi="Arial" w:cs="Arial"/>
          <w:bCs/>
        </w:rPr>
        <w:t>311,321</w:t>
      </w:r>
      <w:r w:rsidRPr="007F3537">
        <w:rPr>
          <w:rFonts w:ascii="Arial" w:hAnsi="Arial" w:cs="Arial"/>
          <w:bCs/>
        </w:rPr>
        <w:t xml:space="preserve">.  </w:t>
      </w:r>
    </w:p>
    <w:p w:rsidR="00191692" w:rsidRPr="00D621AD" w:rsidP="00731163" w14:paraId="6F03B6FF" w14:textId="77777777">
      <w:pPr>
        <w:widowControl w:val="0"/>
        <w:rPr>
          <w:rFonts w:ascii="Arial" w:hAnsi="Arial" w:cs="Arial"/>
        </w:rPr>
      </w:pPr>
    </w:p>
    <w:p w:rsidR="00191692" w:rsidRPr="00A743D6" w:rsidP="00731163" w14:paraId="7C905270" w14:textId="11CC7452">
      <w:pPr>
        <w:widowControl w:val="0"/>
        <w:rPr>
          <w:rFonts w:ascii="Arial" w:hAnsi="Arial" w:cs="Arial"/>
        </w:rPr>
      </w:pPr>
      <w:r w:rsidRPr="00D621AD">
        <w:rPr>
          <w:rFonts w:ascii="Arial" w:hAnsi="Arial" w:cs="Arial"/>
        </w:rPr>
        <w:t xml:space="preserve">The burden to respondents is provided in Appendix A.  </w:t>
      </w:r>
      <w:r w:rsidRPr="00D621AD" w:rsidR="009D43DB">
        <w:rPr>
          <w:rFonts w:ascii="Arial" w:hAnsi="Arial" w:cs="Arial"/>
        </w:rPr>
        <w:t>Respondents</w:t>
      </w:r>
      <w:r w:rsidR="009D43DB">
        <w:rPr>
          <w:rFonts w:ascii="Arial" w:hAnsi="Arial" w:cs="Arial"/>
        </w:rPr>
        <w:t xml:space="preserve"> are owners and operators of tank vessels (tank ships and tank barges).  </w:t>
      </w:r>
      <w:r w:rsidRPr="00A743D6" w:rsidR="00B0293C">
        <w:rPr>
          <w:rFonts w:ascii="Arial" w:hAnsi="Arial" w:cs="Arial"/>
        </w:rPr>
        <w:t>T</w:t>
      </w:r>
      <w:r w:rsidRPr="00A743D6">
        <w:rPr>
          <w:rFonts w:ascii="Arial" w:hAnsi="Arial" w:cs="Arial"/>
        </w:rPr>
        <w:t>ank</w:t>
      </w:r>
      <w:r w:rsidR="009D43DB">
        <w:rPr>
          <w:rFonts w:ascii="Arial" w:hAnsi="Arial" w:cs="Arial"/>
        </w:rPr>
        <w:t xml:space="preserve"> </w:t>
      </w:r>
      <w:r w:rsidR="006C1CF8">
        <w:rPr>
          <w:rFonts w:ascii="Arial" w:hAnsi="Arial" w:cs="Arial"/>
        </w:rPr>
        <w:t>vessel</w:t>
      </w:r>
      <w:r w:rsidRPr="00A743D6">
        <w:rPr>
          <w:rFonts w:ascii="Arial" w:hAnsi="Arial" w:cs="Arial"/>
        </w:rPr>
        <w:t xml:space="preserve">s </w:t>
      </w:r>
      <w:r w:rsidRPr="00A743D6" w:rsidR="00A82E7C">
        <w:rPr>
          <w:rFonts w:ascii="Arial" w:hAnsi="Arial" w:cs="Arial"/>
        </w:rPr>
        <w:t xml:space="preserve">older than 30 years </w:t>
      </w:r>
      <w:r w:rsidRPr="00A743D6">
        <w:rPr>
          <w:rFonts w:ascii="Arial" w:hAnsi="Arial" w:cs="Arial"/>
        </w:rPr>
        <w:t xml:space="preserve">will probably have either </w:t>
      </w:r>
      <w:r w:rsidR="00F67AE6">
        <w:rPr>
          <w:rFonts w:ascii="Arial" w:hAnsi="Arial" w:cs="Arial"/>
        </w:rPr>
        <w:t xml:space="preserve">an </w:t>
      </w:r>
      <w:r w:rsidRPr="00A743D6">
        <w:rPr>
          <w:rFonts w:ascii="Arial" w:hAnsi="Arial" w:cs="Arial"/>
        </w:rPr>
        <w:t>ABS certification or load line certification that also requires gauging reports and engineering analyses.  The Coast Guard accepts ABS certification and load line certification as evidence of compliance with the requirement here.  However, we consider the entire population as eligible for this collection of information as the number of tank</w:t>
      </w:r>
      <w:r w:rsidR="00470E10">
        <w:rPr>
          <w:rFonts w:ascii="Arial" w:hAnsi="Arial" w:cs="Arial"/>
        </w:rPr>
        <w:t xml:space="preserve"> vessel</w:t>
      </w:r>
      <w:r w:rsidRPr="00A743D6">
        <w:rPr>
          <w:rFonts w:ascii="Arial" w:hAnsi="Arial" w:cs="Arial"/>
        </w:rPr>
        <w:t xml:space="preserve">s is small.  </w:t>
      </w:r>
      <w:r w:rsidR="009D43DB">
        <w:rPr>
          <w:rFonts w:ascii="Arial" w:hAnsi="Arial" w:cs="Arial"/>
        </w:rPr>
        <w:t xml:space="preserve">As the periodic </w:t>
      </w:r>
      <w:r w:rsidRPr="00A743D6">
        <w:rPr>
          <w:rFonts w:ascii="Arial" w:hAnsi="Arial" w:cs="Arial"/>
        </w:rPr>
        <w:t xml:space="preserve">gauging and </w:t>
      </w:r>
      <w:r w:rsidR="009D43DB">
        <w:rPr>
          <w:rFonts w:ascii="Arial" w:hAnsi="Arial" w:cs="Arial"/>
        </w:rPr>
        <w:t xml:space="preserve">engineering </w:t>
      </w:r>
      <w:r w:rsidRPr="00A743D6">
        <w:rPr>
          <w:rFonts w:ascii="Arial" w:hAnsi="Arial" w:cs="Arial"/>
        </w:rPr>
        <w:t xml:space="preserve">analyses </w:t>
      </w:r>
      <w:r w:rsidR="009D43DB">
        <w:rPr>
          <w:rFonts w:ascii="Arial" w:hAnsi="Arial" w:cs="Arial"/>
        </w:rPr>
        <w:t xml:space="preserve">is conducted once every 5 years per vessel, the annual number of respondents and responses is 1/5 of the tank vessel population over 30 years of age.  </w:t>
      </w:r>
    </w:p>
    <w:p w:rsidR="00191692" w:rsidRPr="00A743D6" w:rsidP="00731163" w14:paraId="47B791FE" w14:textId="77777777">
      <w:pPr>
        <w:widowControl w:val="0"/>
        <w:rPr>
          <w:rFonts w:ascii="Arial" w:hAnsi="Arial" w:cs="Arial"/>
        </w:rPr>
      </w:pPr>
    </w:p>
    <w:p w:rsidR="00191692" w:rsidRPr="00A743D6" w:rsidP="00731163" w14:paraId="68688820" w14:textId="77777777">
      <w:pPr>
        <w:pStyle w:val="BodyText2"/>
        <w:widowControl w:val="0"/>
        <w:rPr>
          <w:rFonts w:cs="Arial"/>
          <w:sz w:val="20"/>
        </w:rPr>
      </w:pPr>
      <w:r w:rsidRPr="00A743D6">
        <w:rPr>
          <w:rFonts w:cs="Arial"/>
          <w:sz w:val="20"/>
        </w:rPr>
        <w:t>Each gauging survey require</w:t>
      </w:r>
      <w:r w:rsidR="009D43DB">
        <w:rPr>
          <w:rFonts w:cs="Arial"/>
          <w:sz w:val="20"/>
        </w:rPr>
        <w:t>s</w:t>
      </w:r>
      <w:r w:rsidRPr="00A743D6">
        <w:rPr>
          <w:rFonts w:cs="Arial"/>
          <w:sz w:val="20"/>
        </w:rPr>
        <w:t xml:space="preserve"> the following: </w:t>
      </w:r>
    </w:p>
    <w:p w:rsidR="00191692" w:rsidRPr="00D621AD" w:rsidP="00E11D76" w14:paraId="0D3B1F13" w14:textId="19C3DB4C">
      <w:pPr>
        <w:widowControl w:val="0"/>
        <w:numPr>
          <w:ilvl w:val="0"/>
          <w:numId w:val="31"/>
        </w:numPr>
        <w:ind w:left="720"/>
        <w:rPr>
          <w:rFonts w:ascii="Arial" w:hAnsi="Arial" w:cs="Arial"/>
        </w:rPr>
      </w:pPr>
      <w:r w:rsidRPr="00A743D6">
        <w:rPr>
          <w:rFonts w:ascii="Arial" w:hAnsi="Arial" w:cs="Arial"/>
        </w:rPr>
        <w:t xml:space="preserve">The survey itself will require approximately 16 hours, by a </w:t>
      </w:r>
      <w:r w:rsidRPr="007F3537">
        <w:rPr>
          <w:rFonts w:ascii="Arial" w:hAnsi="Arial" w:cs="Arial"/>
        </w:rPr>
        <w:t xml:space="preserve">subcontractor </w:t>
      </w:r>
      <w:r w:rsidRPr="00D621AD" w:rsidR="00571541">
        <w:rPr>
          <w:rFonts w:ascii="Arial" w:hAnsi="Arial" w:cs="Arial"/>
        </w:rPr>
        <w:t xml:space="preserve">Industry </w:t>
      </w:r>
      <w:r w:rsidRPr="00D621AD" w:rsidR="00571541">
        <w:rPr>
          <w:rFonts w:ascii="Arial" w:hAnsi="Arial" w:cs="Arial"/>
        </w:rPr>
        <w:t>T</w:t>
      </w:r>
      <w:r w:rsidRPr="007F3537">
        <w:rPr>
          <w:rFonts w:ascii="Arial" w:hAnsi="Arial" w:cs="Arial"/>
        </w:rPr>
        <w:t>echnician;</w:t>
      </w:r>
    </w:p>
    <w:p w:rsidR="00191692" w:rsidRPr="00D621AD" w:rsidP="00E11D76" w14:paraId="3023E183" w14:textId="77777777">
      <w:pPr>
        <w:widowControl w:val="0"/>
        <w:numPr>
          <w:ilvl w:val="0"/>
          <w:numId w:val="31"/>
        </w:numPr>
        <w:ind w:left="720"/>
        <w:rPr>
          <w:rFonts w:ascii="Arial" w:hAnsi="Arial" w:cs="Arial"/>
        </w:rPr>
      </w:pPr>
      <w:r w:rsidRPr="00D621AD">
        <w:rPr>
          <w:rFonts w:ascii="Arial" w:hAnsi="Arial" w:cs="Arial"/>
        </w:rPr>
        <w:t xml:space="preserve">Reverse-engineering of midship section drawing, analysis of the gauging data, and report write-up will require approximately 40 hours by a licensed Professional </w:t>
      </w:r>
      <w:r w:rsidRPr="00D621AD">
        <w:rPr>
          <w:rFonts w:ascii="Arial" w:hAnsi="Arial" w:cs="Arial"/>
        </w:rPr>
        <w:t>Engineer;</w:t>
      </w:r>
    </w:p>
    <w:p w:rsidR="00191692" w:rsidRPr="00A743D6" w:rsidP="00E11D76" w14:paraId="6B8F2E9C" w14:textId="6B9718A5">
      <w:pPr>
        <w:widowControl w:val="0"/>
        <w:numPr>
          <w:ilvl w:val="0"/>
          <w:numId w:val="31"/>
        </w:numPr>
        <w:ind w:left="720"/>
        <w:rPr>
          <w:rFonts w:ascii="Arial" w:hAnsi="Arial" w:cs="Arial"/>
        </w:rPr>
      </w:pPr>
      <w:r w:rsidRPr="00D621AD">
        <w:rPr>
          <w:rFonts w:ascii="Arial" w:hAnsi="Arial" w:cs="Arial"/>
        </w:rPr>
        <w:t>Review and submittal of the report by the owner/operator will require 1 hour by a</w:t>
      </w:r>
      <w:r w:rsidR="00195F77">
        <w:rPr>
          <w:rFonts w:ascii="Arial" w:hAnsi="Arial" w:cs="Arial"/>
        </w:rPr>
        <w:t>n</w:t>
      </w:r>
      <w:r w:rsidR="00571541">
        <w:rPr>
          <w:rFonts w:ascii="Arial" w:hAnsi="Arial" w:cs="Arial"/>
        </w:rPr>
        <w:t xml:space="preserve"> Industry M</w:t>
      </w:r>
      <w:r w:rsidRPr="00A743D6">
        <w:rPr>
          <w:rFonts w:ascii="Arial" w:hAnsi="Arial" w:cs="Arial"/>
        </w:rPr>
        <w:t xml:space="preserve">anager and 1 hour by a </w:t>
      </w:r>
      <w:r w:rsidR="00571541">
        <w:rPr>
          <w:rFonts w:ascii="Arial" w:hAnsi="Arial" w:cs="Arial"/>
        </w:rPr>
        <w:t>Clerical Specialist</w:t>
      </w:r>
      <w:r w:rsidRPr="00A743D6">
        <w:rPr>
          <w:rFonts w:ascii="Arial" w:hAnsi="Arial" w:cs="Arial"/>
        </w:rPr>
        <w:t>; and</w:t>
      </w:r>
    </w:p>
    <w:p w:rsidR="00191692" w:rsidRPr="00A743D6" w:rsidP="00E11D76" w14:paraId="6EFC1692" w14:textId="77777777">
      <w:pPr>
        <w:widowControl w:val="0"/>
        <w:numPr>
          <w:ilvl w:val="0"/>
          <w:numId w:val="31"/>
        </w:numPr>
        <w:ind w:left="720"/>
        <w:rPr>
          <w:rFonts w:ascii="Arial" w:hAnsi="Arial" w:cs="Arial"/>
        </w:rPr>
      </w:pPr>
      <w:r w:rsidRPr="00A743D6">
        <w:rPr>
          <w:rFonts w:ascii="Arial" w:hAnsi="Arial" w:cs="Arial"/>
        </w:rPr>
        <w:t xml:space="preserve">Non-labor costs to industry (equipment charges, travel, etc.) are estimated to be </w:t>
      </w:r>
      <w:r w:rsidRPr="00A743D6" w:rsidR="00B0293C">
        <w:rPr>
          <w:rFonts w:ascii="Arial" w:hAnsi="Arial" w:cs="Arial"/>
        </w:rPr>
        <w:t>an additional 36%</w:t>
      </w:r>
      <w:r w:rsidRPr="00A743D6">
        <w:rPr>
          <w:rFonts w:ascii="Arial" w:hAnsi="Arial" w:cs="Arial"/>
        </w:rPr>
        <w:t xml:space="preserve"> per survey.</w:t>
      </w:r>
    </w:p>
    <w:p w:rsidR="00191692" w:rsidRPr="00A743D6" w:rsidP="00731163" w14:paraId="57FAE1A3" w14:textId="77777777">
      <w:pPr>
        <w:widowControl w:val="0"/>
        <w:rPr>
          <w:rFonts w:ascii="Arial" w:hAnsi="Arial" w:cs="Arial"/>
        </w:rPr>
      </w:pPr>
    </w:p>
    <w:p w:rsidR="00571541" w:rsidRPr="00D621AD" w:rsidP="00731163" w14:paraId="7481EEE4" w14:textId="7A8AA58D">
      <w:pPr>
        <w:widowControl w:val="0"/>
        <w:rPr>
          <w:rFonts w:ascii="Arial" w:hAnsi="Arial" w:cs="Arial"/>
        </w:rPr>
      </w:pPr>
      <w:r w:rsidRPr="007F3537">
        <w:rPr>
          <w:rFonts w:ascii="Arial" w:hAnsi="Arial" w:cs="Arial"/>
        </w:rPr>
        <w:t xml:space="preserve">For </w:t>
      </w:r>
      <w:r w:rsidRPr="00D621AD">
        <w:rPr>
          <w:rFonts w:ascii="Arial" w:hAnsi="Arial" w:cs="Arial"/>
        </w:rPr>
        <w:t>the</w:t>
      </w:r>
      <w:r w:rsidRPr="007F3537">
        <w:rPr>
          <w:rFonts w:ascii="Arial" w:hAnsi="Arial" w:cs="Arial"/>
        </w:rPr>
        <w:t xml:space="preserve"> wage rat</w:t>
      </w:r>
      <w:r w:rsidRPr="00D621AD">
        <w:rPr>
          <w:rFonts w:ascii="Arial" w:hAnsi="Arial" w:cs="Arial"/>
        </w:rPr>
        <w:t xml:space="preserve">es, we used the Bureau of Labor </w:t>
      </w:r>
      <w:r w:rsidRPr="00D621AD" w:rsidR="007F3537">
        <w:rPr>
          <w:rFonts w:ascii="Arial" w:hAnsi="Arial" w:cs="Arial"/>
        </w:rPr>
        <w:t>Statistics</w:t>
      </w:r>
      <w:r w:rsidRPr="00D621AD">
        <w:rPr>
          <w:rFonts w:ascii="Arial" w:hAnsi="Arial" w:cs="Arial"/>
        </w:rPr>
        <w:t xml:space="preserve"> (BLS) wage rates </w:t>
      </w:r>
      <w:r w:rsidRPr="007F3537" w:rsidR="007F3537">
        <w:rPr>
          <w:rFonts w:ascii="Arial" w:hAnsi="Arial" w:cs="Arial"/>
        </w:rPr>
        <w:t>[May 20</w:t>
      </w:r>
      <w:r w:rsidRPr="00D621AD" w:rsidR="007F3537">
        <w:rPr>
          <w:rFonts w:ascii="Arial" w:hAnsi="Arial" w:cs="Arial"/>
        </w:rPr>
        <w:t>2</w:t>
      </w:r>
      <w:r w:rsidR="001168F4">
        <w:rPr>
          <w:rFonts w:ascii="Arial" w:hAnsi="Arial" w:cs="Arial"/>
        </w:rPr>
        <w:t>3</w:t>
      </w:r>
      <w:r w:rsidRPr="00D621AD" w:rsidR="007F3537">
        <w:rPr>
          <w:rFonts w:ascii="Arial" w:hAnsi="Arial" w:cs="Arial"/>
        </w:rPr>
        <w:t xml:space="preserve">, mean hourly wage, loaded 50%, and rounded] </w:t>
      </w:r>
      <w:r w:rsidRPr="00D621AD">
        <w:rPr>
          <w:rFonts w:ascii="Arial" w:hAnsi="Arial" w:cs="Arial"/>
        </w:rPr>
        <w:t>as follows</w:t>
      </w:r>
      <w:r w:rsidRPr="007F3537">
        <w:rPr>
          <w:rFonts w:ascii="Arial" w:hAnsi="Arial" w:cs="Arial"/>
        </w:rPr>
        <w:t>—</w:t>
      </w:r>
    </w:p>
    <w:p w:rsidR="00571541" w:rsidRPr="00D621AD" w:rsidP="00D621AD" w14:paraId="02292ACF" w14:textId="46B8D916">
      <w:pPr>
        <w:pStyle w:val="ListParagraph"/>
        <w:widowControl w:val="0"/>
        <w:numPr>
          <w:ilvl w:val="0"/>
          <w:numId w:val="21"/>
        </w:numPr>
        <w:rPr>
          <w:rFonts w:ascii="Arial" w:hAnsi="Arial" w:cs="Arial"/>
        </w:rPr>
      </w:pPr>
      <w:r w:rsidRPr="00D621AD">
        <w:rPr>
          <w:rFonts w:ascii="Arial" w:hAnsi="Arial" w:cs="Arial"/>
        </w:rPr>
        <w:t xml:space="preserve">Industry </w:t>
      </w:r>
      <w:r w:rsidRPr="007F3537" w:rsidR="00191692">
        <w:rPr>
          <w:rFonts w:ascii="Arial" w:hAnsi="Arial" w:cs="Arial"/>
        </w:rPr>
        <w:t>Technician</w:t>
      </w:r>
      <w:r w:rsidRPr="00D621AD" w:rsidR="00191692">
        <w:rPr>
          <w:rFonts w:ascii="Arial" w:hAnsi="Arial" w:cs="Arial"/>
        </w:rPr>
        <w:t xml:space="preserve"> </w:t>
      </w:r>
      <w:r w:rsidRPr="00D621AD">
        <w:rPr>
          <w:rFonts w:ascii="Arial" w:hAnsi="Arial" w:cs="Arial"/>
        </w:rPr>
        <w:t xml:space="preserve">– </w:t>
      </w:r>
      <w:r w:rsidRPr="007F3537" w:rsidR="007F3537">
        <w:rPr>
          <w:rFonts w:ascii="Arial" w:hAnsi="Arial" w:cs="Arial"/>
        </w:rPr>
        <w:t>17-3026 Industrial Engineering Technologists and Technicians</w:t>
      </w:r>
      <w:r>
        <w:rPr>
          <w:rStyle w:val="FootnoteReference"/>
          <w:rFonts w:ascii="Arial" w:hAnsi="Arial" w:cs="Arial"/>
        </w:rPr>
        <w:footnoteReference w:id="3"/>
      </w:r>
      <w:r w:rsidR="007F3537">
        <w:rPr>
          <w:rFonts w:ascii="Arial" w:hAnsi="Arial" w:cs="Arial"/>
        </w:rPr>
        <w:t xml:space="preserve">  </w:t>
      </w:r>
    </w:p>
    <w:p w:rsidR="007F3537" w:rsidRPr="00E11D76" w:rsidP="00246911" w14:paraId="7DD8F7B1" w14:textId="579C65B5">
      <w:pPr>
        <w:pStyle w:val="ListParagraph"/>
        <w:widowControl w:val="0"/>
        <w:numPr>
          <w:ilvl w:val="0"/>
          <w:numId w:val="21"/>
        </w:numPr>
        <w:rPr>
          <w:rFonts w:ascii="Arial" w:hAnsi="Arial" w:cs="Arial"/>
        </w:rPr>
      </w:pPr>
      <w:r w:rsidRPr="00D621AD">
        <w:rPr>
          <w:rFonts w:ascii="Arial" w:hAnsi="Arial" w:cs="Arial"/>
        </w:rPr>
        <w:t xml:space="preserve">Professional Engineer </w:t>
      </w:r>
      <w:r w:rsidR="00246911">
        <w:rPr>
          <w:rFonts w:ascii="Arial" w:hAnsi="Arial" w:cs="Arial"/>
        </w:rPr>
        <w:t>–</w:t>
      </w:r>
      <w:r w:rsidRPr="00E11D76">
        <w:rPr>
          <w:rFonts w:ascii="Arial" w:hAnsi="Arial" w:cs="Arial"/>
        </w:rPr>
        <w:t xml:space="preserve"> 17-2121 Marine Engineers and Naval Architects</w:t>
      </w:r>
      <w:r>
        <w:rPr>
          <w:rStyle w:val="FootnoteReference"/>
          <w:rFonts w:ascii="Arial" w:hAnsi="Arial" w:cs="Arial"/>
        </w:rPr>
        <w:footnoteReference w:id="4"/>
      </w:r>
      <w:r w:rsidRPr="00E11D76">
        <w:rPr>
          <w:rFonts w:ascii="Arial" w:hAnsi="Arial" w:cs="Arial"/>
        </w:rPr>
        <w:t xml:space="preserve">  </w:t>
      </w:r>
    </w:p>
    <w:p w:rsidR="007F3537" w:rsidRPr="00D621AD" w:rsidP="00D621AD" w14:paraId="3726C5C5" w14:textId="71C7868C">
      <w:pPr>
        <w:pStyle w:val="ListParagraph"/>
        <w:widowControl w:val="0"/>
        <w:numPr>
          <w:ilvl w:val="0"/>
          <w:numId w:val="21"/>
        </w:numPr>
        <w:rPr>
          <w:rFonts w:ascii="Arial" w:hAnsi="Arial" w:cs="Arial"/>
        </w:rPr>
      </w:pPr>
      <w:r w:rsidRPr="00D621AD">
        <w:rPr>
          <w:rFonts w:ascii="Arial" w:hAnsi="Arial" w:cs="Arial"/>
        </w:rPr>
        <w:t xml:space="preserve">Industry </w:t>
      </w:r>
      <w:r w:rsidRPr="007F3537" w:rsidR="00191692">
        <w:rPr>
          <w:rFonts w:ascii="Arial" w:hAnsi="Arial" w:cs="Arial"/>
        </w:rPr>
        <w:t>Manager</w:t>
      </w:r>
      <w:r w:rsidRPr="00D621AD" w:rsidR="00191692">
        <w:rPr>
          <w:rFonts w:ascii="Arial" w:hAnsi="Arial" w:cs="Arial"/>
        </w:rPr>
        <w:t xml:space="preserve"> </w:t>
      </w:r>
      <w:r w:rsidRPr="00D621AD">
        <w:rPr>
          <w:rFonts w:ascii="Arial" w:hAnsi="Arial" w:cs="Arial"/>
        </w:rPr>
        <w:t xml:space="preserve">– </w:t>
      </w:r>
      <w:r w:rsidRPr="007F3537">
        <w:rPr>
          <w:rFonts w:ascii="Arial" w:hAnsi="Arial" w:cs="Arial"/>
        </w:rPr>
        <w:t>11-1021 General and Operations Managers</w:t>
      </w:r>
      <w:r>
        <w:rPr>
          <w:rStyle w:val="FootnoteReference"/>
          <w:rFonts w:ascii="Arial" w:hAnsi="Arial" w:cs="Arial"/>
        </w:rPr>
        <w:footnoteReference w:id="5"/>
      </w:r>
      <w:r>
        <w:rPr>
          <w:rFonts w:ascii="Arial" w:hAnsi="Arial" w:cs="Arial"/>
        </w:rPr>
        <w:t xml:space="preserve">  </w:t>
      </w:r>
    </w:p>
    <w:p w:rsidR="00191692" w:rsidRPr="00D621AD" w:rsidP="00D621AD" w14:paraId="4EAF1B22" w14:textId="6F3EF2F1">
      <w:pPr>
        <w:pStyle w:val="ListParagraph"/>
        <w:widowControl w:val="0"/>
        <w:numPr>
          <w:ilvl w:val="0"/>
          <w:numId w:val="21"/>
        </w:numPr>
        <w:rPr>
          <w:rFonts w:ascii="Arial" w:hAnsi="Arial" w:cs="Arial"/>
        </w:rPr>
      </w:pPr>
      <w:r w:rsidRPr="00D621AD">
        <w:rPr>
          <w:rFonts w:ascii="Arial" w:hAnsi="Arial" w:cs="Arial"/>
        </w:rPr>
        <w:t xml:space="preserve">Clerical Specialist – </w:t>
      </w:r>
      <w:r w:rsidRPr="007F3537">
        <w:rPr>
          <w:rFonts w:ascii="Arial" w:hAnsi="Arial" w:cs="Arial"/>
        </w:rPr>
        <w:t>43-4199 Information and Records Clerks, All Other</w:t>
      </w:r>
      <w:r>
        <w:rPr>
          <w:rStyle w:val="FootnoteReference"/>
          <w:rFonts w:ascii="Arial" w:hAnsi="Arial" w:cs="Arial"/>
        </w:rPr>
        <w:footnoteReference w:id="6"/>
      </w:r>
      <w:r w:rsidRPr="00D621AD" w:rsidR="009D43DB">
        <w:rPr>
          <w:rFonts w:ascii="Arial" w:hAnsi="Arial" w:cs="Arial"/>
        </w:rPr>
        <w:t xml:space="preserve">  </w:t>
      </w:r>
    </w:p>
    <w:p w:rsidR="00191692" w:rsidRPr="00A743D6" w:rsidP="00731163" w14:paraId="2EB0B6ED" w14:textId="77777777">
      <w:pPr>
        <w:widowControl w:val="0"/>
        <w:rPr>
          <w:rFonts w:ascii="Arial" w:hAnsi="Arial" w:cs="Arial"/>
        </w:rPr>
      </w:pPr>
    </w:p>
    <w:p w:rsidR="00191692" w:rsidRPr="00A743D6" w:rsidP="00731163" w14:paraId="4C667831" w14:textId="77777777">
      <w:pPr>
        <w:widowControl w:val="0"/>
        <w:rPr>
          <w:rFonts w:ascii="Arial" w:hAnsi="Arial" w:cs="Arial"/>
        </w:rPr>
      </w:pPr>
      <w:r w:rsidRPr="00A743D6">
        <w:rPr>
          <w:rFonts w:ascii="Arial" w:hAnsi="Arial" w:cs="Arial"/>
        </w:rPr>
        <w:t xml:space="preserve">13.  </w:t>
      </w:r>
      <w:r w:rsidRPr="00A830F4" w:rsidR="00A830F4">
        <w:rPr>
          <w:rFonts w:ascii="Arial" w:hAnsi="Arial" w:cs="Arial"/>
          <w:u w:val="single"/>
        </w:rPr>
        <w:t>Total annualized capital and start-up costs</w:t>
      </w:r>
      <w:r w:rsidRPr="00A743D6">
        <w:rPr>
          <w:rFonts w:ascii="Arial" w:hAnsi="Arial" w:cs="Arial"/>
        </w:rPr>
        <w:t>.</w:t>
      </w:r>
      <w:r w:rsidR="00A830F4">
        <w:rPr>
          <w:rFonts w:ascii="Arial" w:hAnsi="Arial" w:cs="Arial"/>
        </w:rPr>
        <w:t xml:space="preserve">  </w:t>
      </w:r>
    </w:p>
    <w:p w:rsidR="00191692" w:rsidRPr="00A743D6" w:rsidP="00731163" w14:paraId="121DBE54" w14:textId="77777777">
      <w:pPr>
        <w:widowControl w:val="0"/>
        <w:rPr>
          <w:rFonts w:ascii="Arial" w:hAnsi="Arial" w:cs="Arial"/>
        </w:rPr>
      </w:pPr>
    </w:p>
    <w:p w:rsidR="00191692" w:rsidRPr="00A743D6" w:rsidP="00731163" w14:paraId="1A1B5DC8" w14:textId="223E5A0B">
      <w:pPr>
        <w:widowControl w:val="0"/>
        <w:rPr>
          <w:rFonts w:ascii="Arial" w:hAnsi="Arial" w:cs="Arial"/>
        </w:rPr>
      </w:pPr>
      <w:r w:rsidRPr="00A743D6">
        <w:rPr>
          <w:rFonts w:ascii="Arial" w:hAnsi="Arial" w:cs="Arial"/>
        </w:rPr>
        <w:t xml:space="preserve">There are no </w:t>
      </w:r>
      <w:r w:rsidRPr="00A743D6" w:rsidR="00FD628F">
        <w:rPr>
          <w:rFonts w:ascii="Arial" w:hAnsi="Arial" w:cs="Arial"/>
        </w:rPr>
        <w:t xml:space="preserve">capital, </w:t>
      </w:r>
      <w:r w:rsidRPr="00A743D6">
        <w:rPr>
          <w:rFonts w:ascii="Arial" w:hAnsi="Arial" w:cs="Arial"/>
        </w:rPr>
        <w:t xml:space="preserve">start-up </w:t>
      </w:r>
      <w:r w:rsidRPr="00A743D6" w:rsidR="00FD628F">
        <w:rPr>
          <w:rFonts w:ascii="Arial" w:hAnsi="Arial" w:cs="Arial"/>
        </w:rPr>
        <w:t xml:space="preserve">or maintenance </w:t>
      </w:r>
      <w:r w:rsidRPr="00A743D6">
        <w:rPr>
          <w:rFonts w:ascii="Arial" w:hAnsi="Arial" w:cs="Arial"/>
        </w:rPr>
        <w:t>costs</w:t>
      </w:r>
      <w:r w:rsidRPr="00A743D6" w:rsidR="00FD628F">
        <w:rPr>
          <w:rFonts w:ascii="Arial" w:hAnsi="Arial" w:cs="Arial"/>
        </w:rPr>
        <w:t xml:space="preserve"> associated with this information collection</w:t>
      </w:r>
      <w:r w:rsidRPr="00A743D6">
        <w:rPr>
          <w:rFonts w:ascii="Arial" w:hAnsi="Arial" w:cs="Arial"/>
        </w:rPr>
        <w:t>.</w:t>
      </w:r>
      <w:r w:rsidR="00571541">
        <w:rPr>
          <w:rFonts w:ascii="Arial" w:hAnsi="Arial" w:cs="Arial"/>
        </w:rPr>
        <w:t xml:space="preserve">  </w:t>
      </w:r>
    </w:p>
    <w:p w:rsidR="00191692" w:rsidRPr="00A743D6" w:rsidP="00731163" w14:paraId="26E97D27" w14:textId="77777777">
      <w:pPr>
        <w:widowControl w:val="0"/>
        <w:rPr>
          <w:rFonts w:ascii="Arial" w:hAnsi="Arial" w:cs="Arial"/>
        </w:rPr>
      </w:pPr>
    </w:p>
    <w:p w:rsidR="00191692" w:rsidRPr="00A743D6" w:rsidP="00731163" w14:paraId="6672FD2F" w14:textId="77777777">
      <w:pPr>
        <w:widowControl w:val="0"/>
        <w:rPr>
          <w:rFonts w:ascii="Arial" w:hAnsi="Arial" w:cs="Arial"/>
        </w:rPr>
      </w:pPr>
      <w:r w:rsidRPr="00A743D6">
        <w:rPr>
          <w:rFonts w:ascii="Arial" w:hAnsi="Arial" w:cs="Arial"/>
        </w:rPr>
        <w:t xml:space="preserve">14.  </w:t>
      </w:r>
      <w:r w:rsidRPr="00A743D6">
        <w:rPr>
          <w:rFonts w:ascii="Arial" w:hAnsi="Arial" w:cs="Arial"/>
          <w:u w:val="single"/>
        </w:rPr>
        <w:t>Estimates of annual</w:t>
      </w:r>
      <w:r w:rsidR="00A830F4">
        <w:rPr>
          <w:rFonts w:ascii="Arial" w:hAnsi="Arial" w:cs="Arial"/>
          <w:u w:val="single"/>
        </w:rPr>
        <w:t>ized</w:t>
      </w:r>
      <w:r w:rsidRPr="00A743D6">
        <w:rPr>
          <w:rFonts w:ascii="Arial" w:hAnsi="Arial" w:cs="Arial"/>
          <w:u w:val="single"/>
        </w:rPr>
        <w:t xml:space="preserve"> Federal Government</w:t>
      </w:r>
      <w:r w:rsidR="00A830F4">
        <w:rPr>
          <w:rFonts w:ascii="Arial" w:hAnsi="Arial" w:cs="Arial"/>
          <w:u w:val="single"/>
        </w:rPr>
        <w:t xml:space="preserve"> cost</w:t>
      </w:r>
      <w:r w:rsidRPr="00A743D6">
        <w:rPr>
          <w:rFonts w:ascii="Arial" w:hAnsi="Arial" w:cs="Arial"/>
        </w:rPr>
        <w:t>.</w:t>
      </w:r>
      <w:r w:rsidR="00A830F4">
        <w:rPr>
          <w:rFonts w:ascii="Arial" w:hAnsi="Arial" w:cs="Arial"/>
        </w:rPr>
        <w:t xml:space="preserve">  </w:t>
      </w:r>
    </w:p>
    <w:p w:rsidR="00B911C2" w:rsidRPr="00A743D6" w:rsidP="00731163" w14:paraId="6467E0DE" w14:textId="77777777">
      <w:pPr>
        <w:widowControl w:val="0"/>
        <w:rPr>
          <w:rFonts w:ascii="Arial" w:hAnsi="Arial" w:cs="Arial"/>
        </w:rPr>
      </w:pPr>
    </w:p>
    <w:p w:rsidR="00A830F4" w:rsidRPr="00A830F4" w:rsidP="00731163" w14:paraId="002A9AF7" w14:textId="6D8E1923">
      <w:pPr>
        <w:widowControl w:val="0"/>
        <w:rPr>
          <w:rFonts w:ascii="Arial" w:hAnsi="Arial" w:cs="Arial"/>
        </w:rPr>
      </w:pPr>
      <w:r w:rsidRPr="00A830F4">
        <w:rPr>
          <w:rFonts w:ascii="Arial" w:hAnsi="Arial" w:cs="Arial"/>
        </w:rPr>
        <w:t>The estimated annual Federal Government cost is $</w:t>
      </w:r>
      <w:r w:rsidR="001168F4">
        <w:rPr>
          <w:rFonts w:ascii="Arial" w:hAnsi="Arial" w:cs="Arial"/>
        </w:rPr>
        <w:t>29,697</w:t>
      </w:r>
      <w:r w:rsidRPr="00D621AD">
        <w:rPr>
          <w:rFonts w:ascii="Arial" w:hAnsi="Arial" w:cs="Arial"/>
        </w:rPr>
        <w:t xml:space="preserve"> (see Appendix B).  We estimate that the review and processing of a periodic gauging and engineering analysis report by the Coast Guard will require 1 hour by a Commander (</w:t>
      </w:r>
      <w:r w:rsidR="00BD6FAE">
        <w:rPr>
          <w:rFonts w:ascii="Arial" w:hAnsi="Arial" w:cs="Arial"/>
        </w:rPr>
        <w:t xml:space="preserve">CDR; </w:t>
      </w:r>
      <w:r w:rsidRPr="00D621AD">
        <w:rPr>
          <w:rFonts w:ascii="Arial" w:hAnsi="Arial" w:cs="Arial"/>
        </w:rPr>
        <w:t>O-5), 4 hours by a Lieutenant (</w:t>
      </w:r>
      <w:r w:rsidR="00BD6FAE">
        <w:rPr>
          <w:rFonts w:ascii="Arial" w:hAnsi="Arial" w:cs="Arial"/>
        </w:rPr>
        <w:t xml:space="preserve">LT; </w:t>
      </w:r>
      <w:r w:rsidRPr="00D621AD">
        <w:rPr>
          <w:rFonts w:ascii="Arial" w:hAnsi="Arial" w:cs="Arial"/>
        </w:rPr>
        <w:t xml:space="preserve">O-3), and 1 hour by a </w:t>
      </w:r>
      <w:r w:rsidR="00833A53">
        <w:rPr>
          <w:rFonts w:ascii="Arial" w:hAnsi="Arial" w:cs="Arial"/>
        </w:rPr>
        <w:t>P</w:t>
      </w:r>
      <w:r w:rsidRPr="00D621AD" w:rsidR="00571541">
        <w:rPr>
          <w:rFonts w:ascii="Arial" w:hAnsi="Arial" w:cs="Arial"/>
        </w:rPr>
        <w:t xml:space="preserve">etty </w:t>
      </w:r>
      <w:r w:rsidR="00833A53">
        <w:rPr>
          <w:rFonts w:ascii="Arial" w:hAnsi="Arial" w:cs="Arial"/>
        </w:rPr>
        <w:t>O</w:t>
      </w:r>
      <w:r w:rsidRPr="00D621AD" w:rsidR="00571541">
        <w:rPr>
          <w:rFonts w:ascii="Arial" w:hAnsi="Arial" w:cs="Arial"/>
        </w:rPr>
        <w:t>fficer (E-</w:t>
      </w:r>
      <w:r w:rsidRPr="007F3537">
        <w:rPr>
          <w:rFonts w:ascii="Arial" w:hAnsi="Arial" w:cs="Arial"/>
        </w:rPr>
        <w:t>4).  The rates shown are in accordance with the current edition of COMDTINST 7310.1(series) for “In-Government” personnel.</w:t>
      </w:r>
      <w:r w:rsidR="00553D5D">
        <w:rPr>
          <w:rFonts w:ascii="Arial" w:hAnsi="Arial" w:cs="Arial"/>
        </w:rPr>
        <w:t xml:space="preserve">  </w:t>
      </w:r>
    </w:p>
    <w:p w:rsidR="00A830F4" w:rsidP="00731163" w14:paraId="7D87A1EF" w14:textId="77777777">
      <w:pPr>
        <w:widowControl w:val="0"/>
        <w:rPr>
          <w:rFonts w:ascii="Arial" w:hAnsi="Arial" w:cs="Arial"/>
        </w:rPr>
      </w:pPr>
    </w:p>
    <w:p w:rsidR="00191692" w:rsidRPr="00A743D6" w:rsidP="00731163" w14:paraId="575C5479" w14:textId="77777777">
      <w:pPr>
        <w:widowControl w:val="0"/>
        <w:tabs>
          <w:tab w:val="left" w:pos="720"/>
        </w:tabs>
        <w:rPr>
          <w:rFonts w:ascii="Arial" w:hAnsi="Arial" w:cs="Arial"/>
        </w:rPr>
      </w:pPr>
      <w:r w:rsidRPr="00A743D6">
        <w:rPr>
          <w:rFonts w:ascii="Arial" w:hAnsi="Arial" w:cs="Arial"/>
        </w:rPr>
        <w:t xml:space="preserve">15.  </w:t>
      </w:r>
      <w:r w:rsidRPr="00A743D6">
        <w:rPr>
          <w:rFonts w:ascii="Arial" w:hAnsi="Arial" w:cs="Arial"/>
          <w:u w:val="single"/>
        </w:rPr>
        <w:t>Reasons for change in the burden</w:t>
      </w:r>
      <w:r w:rsidRPr="00A743D6">
        <w:rPr>
          <w:rFonts w:ascii="Arial" w:hAnsi="Arial" w:cs="Arial"/>
        </w:rPr>
        <w:t>.</w:t>
      </w:r>
      <w:r w:rsidR="00A830F4">
        <w:rPr>
          <w:rFonts w:ascii="Arial" w:hAnsi="Arial" w:cs="Arial"/>
        </w:rPr>
        <w:t xml:space="preserve">  </w:t>
      </w:r>
    </w:p>
    <w:p w:rsidR="00191692" w:rsidRPr="00A743D6" w:rsidP="00731163" w14:paraId="0C21778F" w14:textId="77777777">
      <w:pPr>
        <w:widowControl w:val="0"/>
        <w:rPr>
          <w:rFonts w:ascii="Arial" w:hAnsi="Arial" w:cs="Arial"/>
        </w:rPr>
      </w:pPr>
    </w:p>
    <w:p w:rsidR="00CB6D54" w:rsidRPr="00A743D6" w:rsidP="00731163" w14:paraId="7AF45501" w14:textId="739B267C">
      <w:pPr>
        <w:widowControl w:val="0"/>
        <w:rPr>
          <w:rFonts w:ascii="Arial" w:hAnsi="Arial" w:cs="Arial"/>
        </w:rPr>
      </w:pPr>
      <w:r w:rsidRPr="00A743D6">
        <w:rPr>
          <w:rFonts w:ascii="Arial" w:hAnsi="Arial" w:cs="Arial"/>
        </w:rPr>
        <w:t xml:space="preserve">The change in burden is an </w:t>
      </w:r>
      <w:r w:rsidRPr="007F3537">
        <w:rPr>
          <w:rFonts w:ascii="Arial" w:hAnsi="Arial" w:cs="Arial"/>
        </w:rPr>
        <w:t>ADJUSTMENT due</w:t>
      </w:r>
      <w:r w:rsidRPr="00A743D6">
        <w:rPr>
          <w:rFonts w:ascii="Arial" w:hAnsi="Arial" w:cs="Arial"/>
        </w:rPr>
        <w:t xml:space="preserve"> to a </w:t>
      </w:r>
      <w:r w:rsidR="00553D5D">
        <w:rPr>
          <w:rFonts w:ascii="Arial" w:hAnsi="Arial" w:cs="Arial"/>
        </w:rPr>
        <w:t>change</w:t>
      </w:r>
      <w:r w:rsidR="00451135">
        <w:rPr>
          <w:rFonts w:ascii="Arial" w:hAnsi="Arial" w:cs="Arial"/>
        </w:rPr>
        <w:t xml:space="preserve"> </w:t>
      </w:r>
      <w:r w:rsidRPr="00A743D6">
        <w:rPr>
          <w:rFonts w:ascii="Arial" w:hAnsi="Arial" w:cs="Arial"/>
        </w:rPr>
        <w:t xml:space="preserve">in the estimated </w:t>
      </w:r>
      <w:r w:rsidR="006E002F">
        <w:rPr>
          <w:rFonts w:ascii="Arial" w:hAnsi="Arial" w:cs="Arial"/>
        </w:rPr>
        <w:t>annual number of respon</w:t>
      </w:r>
      <w:r w:rsidR="00571541">
        <w:rPr>
          <w:rFonts w:ascii="Arial" w:hAnsi="Arial" w:cs="Arial"/>
        </w:rPr>
        <w:t>ses</w:t>
      </w:r>
      <w:r w:rsidRPr="00A743D6">
        <w:rPr>
          <w:rFonts w:ascii="Arial" w:hAnsi="Arial" w:cs="Arial"/>
        </w:rPr>
        <w:t xml:space="preserve">. </w:t>
      </w:r>
      <w:r w:rsidR="00451135">
        <w:rPr>
          <w:rFonts w:ascii="Arial" w:hAnsi="Arial" w:cs="Arial"/>
        </w:rPr>
        <w:t xml:space="preserve">The number of responses has </w:t>
      </w:r>
      <w:r w:rsidR="00827C9B">
        <w:rPr>
          <w:rFonts w:ascii="Arial" w:hAnsi="Arial" w:cs="Arial"/>
        </w:rPr>
        <w:t xml:space="preserve">increased by 464 since the last </w:t>
      </w:r>
      <w:r w:rsidR="00017E26">
        <w:rPr>
          <w:rFonts w:ascii="Arial" w:hAnsi="Arial" w:cs="Arial"/>
        </w:rPr>
        <w:t xml:space="preserve">review. </w:t>
      </w:r>
      <w:r w:rsidRPr="00A743D6" w:rsidR="001735C3">
        <w:rPr>
          <w:rFonts w:ascii="Arial" w:hAnsi="Arial" w:cs="Arial"/>
        </w:rPr>
        <w:t xml:space="preserve">There is no proposed change to the reporting or recordkeeping requirements of this collection.  The reporting and recordkeeping requirements, and the methodology for calculating burden, remain unchanged.  </w:t>
      </w:r>
      <w:r w:rsidRPr="00A743D6">
        <w:rPr>
          <w:rFonts w:ascii="Arial" w:hAnsi="Arial" w:cs="Arial"/>
        </w:rPr>
        <w:t xml:space="preserve"> </w:t>
      </w:r>
    </w:p>
    <w:p w:rsidR="00A32D4D" w:rsidRPr="00A743D6" w:rsidP="00731163" w14:paraId="0A6E0014" w14:textId="77777777">
      <w:pPr>
        <w:widowControl w:val="0"/>
        <w:rPr>
          <w:rFonts w:ascii="Arial" w:hAnsi="Arial" w:cs="Arial"/>
        </w:rPr>
      </w:pPr>
    </w:p>
    <w:p w:rsidR="00191692" w:rsidRPr="00A743D6" w:rsidP="00731163" w14:paraId="3905A45B" w14:textId="77777777">
      <w:pPr>
        <w:widowControl w:val="0"/>
        <w:tabs>
          <w:tab w:val="left" w:pos="720"/>
        </w:tabs>
        <w:rPr>
          <w:rFonts w:ascii="Arial" w:hAnsi="Arial" w:cs="Arial"/>
        </w:rPr>
      </w:pPr>
      <w:r w:rsidRPr="00A743D6">
        <w:rPr>
          <w:rFonts w:ascii="Arial" w:hAnsi="Arial" w:cs="Arial"/>
        </w:rPr>
        <w:t xml:space="preserve">16.  </w:t>
      </w:r>
      <w:r w:rsidRPr="00A743D6">
        <w:rPr>
          <w:rFonts w:ascii="Arial" w:hAnsi="Arial" w:cs="Arial"/>
          <w:u w:val="single"/>
        </w:rPr>
        <w:t>Plans for tabulation, statistical analysis and publication</w:t>
      </w:r>
      <w:r w:rsidRPr="00A743D6">
        <w:rPr>
          <w:rFonts w:ascii="Arial" w:hAnsi="Arial" w:cs="Arial"/>
        </w:rPr>
        <w:t>.</w:t>
      </w:r>
      <w:r w:rsidR="00A830F4">
        <w:rPr>
          <w:rFonts w:ascii="Arial" w:hAnsi="Arial" w:cs="Arial"/>
        </w:rPr>
        <w:t xml:space="preserve">  </w:t>
      </w:r>
    </w:p>
    <w:p w:rsidR="00191692" w:rsidRPr="00A743D6" w:rsidP="00731163" w14:paraId="287F0D87" w14:textId="77777777">
      <w:pPr>
        <w:widowControl w:val="0"/>
        <w:rPr>
          <w:rFonts w:ascii="Arial" w:hAnsi="Arial" w:cs="Arial"/>
        </w:rPr>
      </w:pPr>
    </w:p>
    <w:p w:rsidR="00191692" w:rsidRPr="00A743D6" w:rsidP="00731163" w14:paraId="2D36BF0C" w14:textId="77777777">
      <w:pPr>
        <w:widowControl w:val="0"/>
        <w:tabs>
          <w:tab w:val="left" w:pos="720"/>
        </w:tabs>
        <w:ind w:left="720" w:hanging="720"/>
        <w:rPr>
          <w:rFonts w:ascii="Arial" w:hAnsi="Arial" w:cs="Arial"/>
        </w:rPr>
      </w:pPr>
      <w:r w:rsidRPr="00A743D6">
        <w:rPr>
          <w:rFonts w:ascii="Arial" w:hAnsi="Arial" w:cs="Arial"/>
        </w:rPr>
        <w:t xml:space="preserve">This information collection will not be published for statistical purposes. </w:t>
      </w:r>
      <w:r w:rsidR="00553D5D">
        <w:rPr>
          <w:rFonts w:ascii="Arial" w:hAnsi="Arial" w:cs="Arial"/>
        </w:rPr>
        <w:t xml:space="preserve"> </w:t>
      </w:r>
    </w:p>
    <w:p w:rsidR="00C107B9" w:rsidRPr="00A743D6" w:rsidP="00731163" w14:paraId="284C0262" w14:textId="77777777">
      <w:pPr>
        <w:widowControl w:val="0"/>
        <w:tabs>
          <w:tab w:val="left" w:pos="720"/>
        </w:tabs>
        <w:ind w:left="720" w:hanging="720"/>
        <w:rPr>
          <w:rFonts w:ascii="Arial" w:hAnsi="Arial" w:cs="Arial"/>
        </w:rPr>
      </w:pPr>
    </w:p>
    <w:p w:rsidR="00191692" w:rsidRPr="00A743D6" w:rsidP="00731163" w14:paraId="070426F9" w14:textId="77777777">
      <w:pPr>
        <w:widowControl w:val="0"/>
        <w:tabs>
          <w:tab w:val="left" w:pos="720"/>
        </w:tabs>
        <w:rPr>
          <w:rFonts w:ascii="Arial" w:hAnsi="Arial" w:cs="Arial"/>
        </w:rPr>
      </w:pPr>
      <w:r w:rsidRPr="00A743D6">
        <w:rPr>
          <w:rFonts w:ascii="Arial" w:hAnsi="Arial" w:cs="Arial"/>
        </w:rPr>
        <w:t xml:space="preserve">17.  </w:t>
      </w:r>
      <w:r w:rsidRPr="00A743D6">
        <w:rPr>
          <w:rFonts w:ascii="Arial" w:hAnsi="Arial" w:cs="Arial"/>
          <w:u w:val="single"/>
        </w:rPr>
        <w:t>Approval to not display expiration date</w:t>
      </w:r>
      <w:r w:rsidRPr="00A743D6">
        <w:rPr>
          <w:rFonts w:ascii="Arial" w:hAnsi="Arial" w:cs="Arial"/>
        </w:rPr>
        <w:t>.</w:t>
      </w:r>
      <w:r w:rsidR="00A830F4">
        <w:rPr>
          <w:rFonts w:ascii="Arial" w:hAnsi="Arial" w:cs="Arial"/>
        </w:rPr>
        <w:t xml:space="preserve">  </w:t>
      </w:r>
    </w:p>
    <w:p w:rsidR="00191692" w:rsidRPr="00A743D6" w:rsidP="00731163" w14:paraId="4557C8DE" w14:textId="77777777">
      <w:pPr>
        <w:widowControl w:val="0"/>
        <w:tabs>
          <w:tab w:val="left" w:pos="720"/>
        </w:tabs>
        <w:rPr>
          <w:rFonts w:ascii="Arial" w:hAnsi="Arial" w:cs="Arial"/>
        </w:rPr>
      </w:pPr>
    </w:p>
    <w:p w:rsidR="00191692" w:rsidRPr="00A743D6" w:rsidP="00731163" w14:paraId="53C1BF25" w14:textId="77777777">
      <w:pPr>
        <w:widowControl w:val="0"/>
        <w:tabs>
          <w:tab w:val="left" w:pos="720"/>
        </w:tabs>
        <w:rPr>
          <w:rFonts w:ascii="Arial" w:hAnsi="Arial" w:cs="Arial"/>
        </w:rPr>
      </w:pPr>
      <w:r w:rsidRPr="00A743D6">
        <w:rPr>
          <w:rFonts w:ascii="Arial" w:hAnsi="Arial" w:cs="Arial"/>
        </w:rPr>
        <w:t>The Coast Guard</w:t>
      </w:r>
      <w:r w:rsidRPr="00A743D6" w:rsidR="004F3E3E">
        <w:rPr>
          <w:rFonts w:ascii="Arial" w:hAnsi="Arial" w:cs="Arial"/>
        </w:rPr>
        <w:t xml:space="preserve"> will display the expiration date for OMB approval of this information collection.</w:t>
      </w:r>
      <w:r w:rsidR="00553D5D">
        <w:rPr>
          <w:rFonts w:ascii="Arial" w:hAnsi="Arial" w:cs="Arial"/>
        </w:rPr>
        <w:t xml:space="preserve">  </w:t>
      </w:r>
    </w:p>
    <w:p w:rsidR="00191692" w:rsidRPr="00A743D6" w:rsidP="00731163" w14:paraId="4ACEC7C1" w14:textId="77777777">
      <w:pPr>
        <w:widowControl w:val="0"/>
        <w:rPr>
          <w:rFonts w:ascii="Arial" w:hAnsi="Arial" w:cs="Arial"/>
        </w:rPr>
      </w:pPr>
    </w:p>
    <w:p w:rsidR="00191692" w:rsidRPr="00A743D6" w:rsidP="00731163" w14:paraId="79D224BB" w14:textId="77777777">
      <w:pPr>
        <w:widowControl w:val="0"/>
        <w:tabs>
          <w:tab w:val="left" w:pos="720"/>
        </w:tabs>
        <w:rPr>
          <w:rFonts w:ascii="Arial" w:hAnsi="Arial" w:cs="Arial"/>
        </w:rPr>
      </w:pPr>
      <w:r w:rsidRPr="00A743D6">
        <w:rPr>
          <w:rFonts w:ascii="Arial" w:hAnsi="Arial" w:cs="Arial"/>
        </w:rPr>
        <w:t xml:space="preserve">18.  </w:t>
      </w:r>
      <w:r w:rsidRPr="00A743D6">
        <w:rPr>
          <w:rFonts w:ascii="Arial" w:hAnsi="Arial" w:cs="Arial"/>
          <w:u w:val="single"/>
        </w:rPr>
        <w:t>Ex</w:t>
      </w:r>
      <w:r w:rsidR="00A830F4">
        <w:rPr>
          <w:rFonts w:ascii="Arial" w:hAnsi="Arial" w:cs="Arial"/>
          <w:u w:val="single"/>
        </w:rPr>
        <w:t>plain each ex</w:t>
      </w:r>
      <w:r w:rsidRPr="00A743D6">
        <w:rPr>
          <w:rFonts w:ascii="Arial" w:hAnsi="Arial" w:cs="Arial"/>
          <w:u w:val="single"/>
        </w:rPr>
        <w:t>ception to the certification statement</w:t>
      </w:r>
      <w:r w:rsidRPr="00A743D6">
        <w:rPr>
          <w:rFonts w:ascii="Arial" w:hAnsi="Arial" w:cs="Arial"/>
        </w:rPr>
        <w:t>.</w:t>
      </w:r>
      <w:r w:rsidR="00A830F4">
        <w:rPr>
          <w:rFonts w:ascii="Arial" w:hAnsi="Arial" w:cs="Arial"/>
        </w:rPr>
        <w:t xml:space="preserve">  </w:t>
      </w:r>
    </w:p>
    <w:p w:rsidR="00191692" w:rsidRPr="00A743D6" w:rsidP="00731163" w14:paraId="0DD8102D" w14:textId="77777777">
      <w:pPr>
        <w:widowControl w:val="0"/>
        <w:tabs>
          <w:tab w:val="left" w:pos="720"/>
        </w:tabs>
        <w:rPr>
          <w:rFonts w:ascii="Arial" w:hAnsi="Arial" w:cs="Arial"/>
        </w:rPr>
      </w:pPr>
    </w:p>
    <w:p w:rsidR="00191692" w:rsidRPr="00A743D6" w:rsidP="00731163" w14:paraId="34F133BD" w14:textId="77777777">
      <w:pPr>
        <w:widowControl w:val="0"/>
        <w:tabs>
          <w:tab w:val="left" w:pos="720"/>
        </w:tabs>
        <w:rPr>
          <w:rFonts w:ascii="Arial" w:hAnsi="Arial" w:cs="Arial"/>
        </w:rPr>
      </w:pPr>
      <w:r w:rsidRPr="00A743D6">
        <w:rPr>
          <w:rFonts w:ascii="Arial" w:hAnsi="Arial" w:cs="Arial"/>
        </w:rPr>
        <w:t xml:space="preserve">The Coast Guard </w:t>
      </w:r>
      <w:r w:rsidRPr="00A743D6" w:rsidR="00E330EA">
        <w:rPr>
          <w:rFonts w:ascii="Arial" w:hAnsi="Arial" w:cs="Arial"/>
        </w:rPr>
        <w:t xml:space="preserve">does not request an </w:t>
      </w:r>
      <w:r w:rsidRPr="00A743D6" w:rsidR="00801778">
        <w:rPr>
          <w:rFonts w:ascii="Arial" w:hAnsi="Arial" w:cs="Arial"/>
        </w:rPr>
        <w:t>exception to the certification statement</w:t>
      </w:r>
      <w:r w:rsidRPr="00A743D6" w:rsidR="00E330EA">
        <w:rPr>
          <w:rFonts w:ascii="Arial" w:hAnsi="Arial" w:cs="Arial"/>
        </w:rPr>
        <w:t xml:space="preserve"> of this information collection</w:t>
      </w:r>
      <w:r w:rsidRPr="00A743D6" w:rsidR="00801778">
        <w:rPr>
          <w:rFonts w:ascii="Arial" w:hAnsi="Arial" w:cs="Arial"/>
        </w:rPr>
        <w:t>.</w:t>
      </w:r>
      <w:r w:rsidR="00553D5D">
        <w:rPr>
          <w:rFonts w:ascii="Arial" w:hAnsi="Arial" w:cs="Arial"/>
        </w:rPr>
        <w:t xml:space="preserve">  </w:t>
      </w:r>
    </w:p>
    <w:p w:rsidR="00191692" w:rsidRPr="00A743D6" w:rsidP="00731163" w14:paraId="245AA5A4" w14:textId="77777777">
      <w:pPr>
        <w:widowControl w:val="0"/>
        <w:rPr>
          <w:rFonts w:ascii="Arial" w:hAnsi="Arial" w:cs="Arial"/>
        </w:rPr>
      </w:pPr>
    </w:p>
    <w:p w:rsidR="007D7731" w:rsidRPr="00A743D6" w:rsidP="00731163" w14:paraId="44913F19" w14:textId="77777777">
      <w:pPr>
        <w:widowControl w:val="0"/>
        <w:rPr>
          <w:rFonts w:ascii="Arial" w:hAnsi="Arial" w:cs="Arial"/>
        </w:rPr>
      </w:pPr>
    </w:p>
    <w:p w:rsidR="00191692" w:rsidRPr="00A830F4" w:rsidP="00731163" w14:paraId="132E769B" w14:textId="77777777">
      <w:pPr>
        <w:widowControl w:val="0"/>
        <w:rPr>
          <w:rFonts w:ascii="Arial" w:hAnsi="Arial" w:cs="Arial"/>
          <w:b/>
        </w:rPr>
      </w:pPr>
      <w:r w:rsidRPr="00A830F4">
        <w:rPr>
          <w:rFonts w:ascii="Arial" w:hAnsi="Arial" w:cs="Arial"/>
          <w:b/>
        </w:rPr>
        <w:t xml:space="preserve">B.  Collection of Information Employing Statistical Methods  </w:t>
      </w:r>
    </w:p>
    <w:p w:rsidR="00A830F4" w:rsidP="00731163" w14:paraId="7888C796" w14:textId="77777777">
      <w:pPr>
        <w:widowControl w:val="0"/>
        <w:tabs>
          <w:tab w:val="left" w:pos="720"/>
        </w:tabs>
        <w:ind w:left="720" w:hanging="720"/>
        <w:rPr>
          <w:rFonts w:ascii="Arial" w:hAnsi="Arial" w:cs="Arial"/>
        </w:rPr>
      </w:pPr>
    </w:p>
    <w:p w:rsidR="00191692" w:rsidP="00731163" w14:paraId="325DB6EF" w14:textId="2A46F98E">
      <w:pPr>
        <w:widowControl w:val="0"/>
        <w:tabs>
          <w:tab w:val="left" w:pos="720"/>
        </w:tabs>
        <w:ind w:left="720" w:hanging="720"/>
        <w:rPr>
          <w:rFonts w:ascii="Arial" w:hAnsi="Arial" w:cs="Arial"/>
        </w:rPr>
      </w:pPr>
      <w:r w:rsidRPr="00A743D6">
        <w:rPr>
          <w:rFonts w:ascii="Arial" w:hAnsi="Arial" w:cs="Arial"/>
        </w:rPr>
        <w:t>This information collection does not employ statistical methods.</w:t>
      </w:r>
      <w:r w:rsidR="00571541">
        <w:rPr>
          <w:rFonts w:ascii="Arial" w:hAnsi="Arial" w:cs="Arial"/>
        </w:rPr>
        <w:t xml:space="preserve">  </w:t>
      </w:r>
    </w:p>
    <w:p w:rsidR="00DA03D7" w:rsidP="00731163" w14:paraId="503FC8F6" w14:textId="77777777">
      <w:pPr>
        <w:widowControl w:val="0"/>
        <w:tabs>
          <w:tab w:val="left" w:pos="720"/>
        </w:tabs>
        <w:ind w:left="720" w:hanging="720"/>
        <w:rPr>
          <w:rFonts w:ascii="Arial" w:hAnsi="Arial" w:cs="Arial"/>
        </w:rPr>
      </w:pPr>
    </w:p>
    <w:p w:rsidR="00DA03D7" w:rsidRPr="00A743D6" w:rsidP="00731163" w14:paraId="3A0D72EA" w14:textId="77777777">
      <w:pPr>
        <w:widowControl w:val="0"/>
        <w:tabs>
          <w:tab w:val="left" w:pos="720"/>
        </w:tabs>
        <w:ind w:left="720" w:hanging="720"/>
        <w:rPr>
          <w:rFonts w:ascii="Arial" w:hAnsi="Arial" w:cs="Arial"/>
        </w:rPr>
      </w:pPr>
    </w:p>
    <w:sectPr w:rsidSect="00A743D6">
      <w:headerReference w:type="default" r:id="rId13"/>
      <w:footerReference w:type="default" r:id="rId14"/>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7AE6" w14:paraId="0F1BF86C" w14:textId="7A2868CA">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621AD">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D621AD">
      <w:rPr>
        <w:rStyle w:val="PageNumber"/>
        <w:rFonts w:ascii="Arial" w:hAnsi="Arial" w:cs="Arial"/>
        <w:noProof/>
      </w:rPr>
      <w:t>3</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209D" w14:paraId="575A3FA5" w14:textId="77777777">
      <w:r>
        <w:separator/>
      </w:r>
    </w:p>
  </w:footnote>
  <w:footnote w:type="continuationSeparator" w:id="1">
    <w:p w:rsidR="0047209D" w14:paraId="44045CB0" w14:textId="77777777">
      <w:r>
        <w:continuationSeparator/>
      </w:r>
    </w:p>
  </w:footnote>
  <w:footnote w:type="continuationNotice" w:id="2">
    <w:p w:rsidR="0047209D" w14:paraId="100FFFC2" w14:textId="77777777"/>
  </w:footnote>
  <w:footnote w:id="3">
    <w:p w:rsidR="007F3537" w:rsidRPr="00D621AD" w:rsidP="00D621AD" w14:paraId="12AC1AB7" w14:textId="79B2382F">
      <w:pPr>
        <w:rPr>
          <w:rFonts w:ascii="Arial" w:hAnsi="Arial" w:cs="Arial"/>
          <w:sz w:val="18"/>
          <w:szCs w:val="18"/>
        </w:rPr>
      </w:pPr>
      <w:r w:rsidRPr="00D621AD">
        <w:rPr>
          <w:rStyle w:val="FootnoteReference"/>
          <w:rFonts w:ascii="Arial" w:hAnsi="Arial" w:cs="Arial"/>
          <w:sz w:val="18"/>
          <w:szCs w:val="18"/>
        </w:rPr>
        <w:footnoteRef/>
      </w:r>
      <w:r w:rsidRPr="00D621AD">
        <w:rPr>
          <w:rFonts w:ascii="Arial" w:hAnsi="Arial" w:cs="Arial"/>
          <w:sz w:val="18"/>
          <w:szCs w:val="18"/>
        </w:rPr>
        <w:t xml:space="preserve">  </w:t>
      </w:r>
      <w:hyperlink r:id="rId1" w:history="1">
        <w:r w:rsidR="00246911">
          <w:rPr>
            <w:rFonts w:ascii="Arial" w:hAnsi="Arial" w:cs="Arial"/>
            <w:color w:val="0000FF"/>
            <w:sz w:val="18"/>
            <w:szCs w:val="18"/>
            <w:u w:val="single"/>
          </w:rPr>
          <w:t>https://www.bls.gov/oes/2023/may/oes173026.htm</w:t>
        </w:r>
      </w:hyperlink>
      <w:r w:rsidRPr="00D621AD">
        <w:rPr>
          <w:rFonts w:ascii="Arial" w:hAnsi="Arial" w:cs="Arial"/>
          <w:color w:val="0000FF"/>
          <w:sz w:val="18"/>
          <w:szCs w:val="18"/>
          <w:u w:val="single"/>
        </w:rPr>
        <w:t xml:space="preserve"> </w:t>
      </w:r>
    </w:p>
  </w:footnote>
  <w:footnote w:id="4">
    <w:p w:rsidR="007F3537" w:rsidRPr="00D621AD" w:rsidP="00D621AD" w14:paraId="4055AE1C" w14:textId="25B3F344">
      <w:pPr>
        <w:rPr>
          <w:rFonts w:ascii="Arial" w:hAnsi="Arial" w:cs="Arial"/>
          <w:sz w:val="18"/>
          <w:szCs w:val="18"/>
        </w:rPr>
      </w:pPr>
      <w:r w:rsidRPr="00D621AD">
        <w:rPr>
          <w:rStyle w:val="FootnoteReference"/>
          <w:rFonts w:ascii="Arial" w:hAnsi="Arial" w:cs="Arial"/>
          <w:sz w:val="18"/>
          <w:szCs w:val="18"/>
        </w:rPr>
        <w:footnoteRef/>
      </w:r>
      <w:r w:rsidRPr="00D621AD">
        <w:rPr>
          <w:rFonts w:ascii="Arial" w:hAnsi="Arial" w:cs="Arial"/>
          <w:sz w:val="18"/>
          <w:szCs w:val="18"/>
        </w:rPr>
        <w:t xml:space="preserve">  </w:t>
      </w:r>
      <w:hyperlink r:id="rId2" w:history="1">
        <w:r w:rsidR="00246911">
          <w:rPr>
            <w:rFonts w:ascii="Arial" w:hAnsi="Arial" w:cs="Arial"/>
            <w:color w:val="0000FF"/>
            <w:sz w:val="18"/>
            <w:szCs w:val="18"/>
            <w:u w:val="single"/>
          </w:rPr>
          <w:t>https://www.bls.gov/oes/2023/may/oes172121.htm</w:t>
        </w:r>
      </w:hyperlink>
      <w:r w:rsidRPr="00D621AD">
        <w:rPr>
          <w:rFonts w:ascii="Arial" w:hAnsi="Arial" w:cs="Arial"/>
          <w:color w:val="0000FF"/>
          <w:sz w:val="18"/>
          <w:szCs w:val="18"/>
          <w:u w:val="single"/>
        </w:rPr>
        <w:t xml:space="preserve"> </w:t>
      </w:r>
    </w:p>
  </w:footnote>
  <w:footnote w:id="5">
    <w:p w:rsidR="007F3537" w:rsidRPr="00D621AD" w:rsidP="00D621AD" w14:paraId="7726B040" w14:textId="49F68FA1">
      <w:pPr>
        <w:rPr>
          <w:rFonts w:ascii="Arial" w:hAnsi="Arial" w:cs="Arial"/>
          <w:sz w:val="18"/>
          <w:szCs w:val="18"/>
        </w:rPr>
      </w:pPr>
      <w:r w:rsidRPr="00D621AD">
        <w:rPr>
          <w:rStyle w:val="FootnoteReference"/>
          <w:rFonts w:ascii="Arial" w:hAnsi="Arial" w:cs="Arial"/>
          <w:sz w:val="18"/>
          <w:szCs w:val="18"/>
        </w:rPr>
        <w:footnoteRef/>
      </w:r>
      <w:r w:rsidRPr="00D621AD">
        <w:rPr>
          <w:rFonts w:ascii="Arial" w:hAnsi="Arial" w:cs="Arial"/>
          <w:sz w:val="18"/>
          <w:szCs w:val="18"/>
        </w:rPr>
        <w:t xml:space="preserve">  </w:t>
      </w:r>
      <w:hyperlink r:id="rId3" w:history="1">
        <w:r w:rsidR="00246911">
          <w:rPr>
            <w:rFonts w:ascii="Arial" w:hAnsi="Arial" w:cs="Arial"/>
            <w:color w:val="0000FF"/>
            <w:sz w:val="18"/>
            <w:szCs w:val="18"/>
            <w:u w:val="single"/>
          </w:rPr>
          <w:t>https://www.bls.gov/oes/2023/may/oes111021.htm</w:t>
        </w:r>
      </w:hyperlink>
      <w:r w:rsidRPr="00D621AD">
        <w:rPr>
          <w:rFonts w:ascii="Arial" w:hAnsi="Arial" w:cs="Arial"/>
          <w:color w:val="0000FF"/>
          <w:sz w:val="18"/>
          <w:szCs w:val="18"/>
          <w:u w:val="single"/>
        </w:rPr>
        <w:t xml:space="preserve"> </w:t>
      </w:r>
    </w:p>
  </w:footnote>
  <w:footnote w:id="6">
    <w:p w:rsidR="007F3537" w:rsidRPr="00D621AD" w:rsidP="00D621AD" w14:paraId="6200D7DF" w14:textId="4E03CB94">
      <w:pPr>
        <w:rPr>
          <w:rFonts w:ascii="Arial" w:hAnsi="Arial" w:cs="Arial"/>
          <w:sz w:val="18"/>
          <w:szCs w:val="18"/>
        </w:rPr>
      </w:pPr>
      <w:r w:rsidRPr="00D621AD">
        <w:rPr>
          <w:rStyle w:val="FootnoteReference"/>
          <w:rFonts w:ascii="Arial" w:hAnsi="Arial" w:cs="Arial"/>
          <w:sz w:val="18"/>
          <w:szCs w:val="18"/>
        </w:rPr>
        <w:footnoteRef/>
      </w:r>
      <w:r w:rsidRPr="00D621AD">
        <w:rPr>
          <w:rFonts w:ascii="Arial" w:hAnsi="Arial" w:cs="Arial"/>
          <w:sz w:val="18"/>
          <w:szCs w:val="18"/>
        </w:rPr>
        <w:t xml:space="preserve">  </w:t>
      </w:r>
      <w:hyperlink r:id="rId4" w:history="1">
        <w:r w:rsidR="00246911">
          <w:rPr>
            <w:rFonts w:ascii="Arial" w:hAnsi="Arial" w:cs="Arial"/>
            <w:color w:val="0000FF"/>
            <w:sz w:val="18"/>
            <w:szCs w:val="18"/>
            <w:u w:val="single"/>
          </w:rPr>
          <w:t>https://www.bls.gov/oes/2023/may/oes434199.htm</w:t>
        </w:r>
      </w:hyperlink>
      <w:r w:rsidRPr="00D621AD">
        <w:rPr>
          <w:rFonts w:ascii="Arial" w:hAnsi="Arial" w:cs="Arial"/>
          <w:color w:val="0000FF"/>
          <w:sz w:val="18"/>
          <w:szCs w:val="18"/>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7AE6" w:rsidRPr="00A743D6" w14:paraId="0DBCD6EF" w14:textId="77777777">
    <w:pPr>
      <w:pStyle w:val="Header"/>
      <w:rPr>
        <w:rFonts w:ascii="Arial" w:hAnsi="Arial" w:cs="Arial"/>
      </w:rPr>
    </w:pPr>
    <w:r w:rsidRPr="00A743D6">
      <w:rPr>
        <w:rFonts w:ascii="Arial" w:hAnsi="Arial" w:cs="Arial"/>
      </w:rPr>
      <w:t>1625-0101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902EB"/>
    <w:multiLevelType w:val="hybridMultilevel"/>
    <w:tmpl w:val="3E22FD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F67502"/>
    <w:multiLevelType w:val="multilevel"/>
    <w:tmpl w:val="447A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952DDA"/>
    <w:multiLevelType w:val="multilevel"/>
    <w:tmpl w:val="A296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153FB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16061BFE"/>
    <w:multiLevelType w:val="multilevel"/>
    <w:tmpl w:val="3A1C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020CB7"/>
    <w:multiLevelType w:val="hybridMultilevel"/>
    <w:tmpl w:val="14B841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A6A027B"/>
    <w:multiLevelType w:val="hybridMultilevel"/>
    <w:tmpl w:val="950A16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C84C75"/>
    <w:multiLevelType w:val="singleLevel"/>
    <w:tmpl w:val="D506D5FE"/>
    <w:lvl w:ilvl="0">
      <w:start w:val="1"/>
      <w:numFmt w:val="upperLetter"/>
      <w:lvlText w:val="%1."/>
      <w:lvlJc w:val="left"/>
      <w:pPr>
        <w:tabs>
          <w:tab w:val="num" w:pos="720"/>
        </w:tabs>
        <w:ind w:left="720" w:hanging="720"/>
      </w:pPr>
      <w:rPr>
        <w:rFonts w:hint="default"/>
      </w:rPr>
    </w:lvl>
  </w:abstractNum>
  <w:abstractNum w:abstractNumId="8">
    <w:nsid w:val="22886FAB"/>
    <w:multiLevelType w:val="singleLevel"/>
    <w:tmpl w:val="3124AA9C"/>
    <w:lvl w:ilvl="0">
      <w:start w:val="1"/>
      <w:numFmt w:val="bullet"/>
      <w:lvlText w:val=""/>
      <w:lvlJc w:val="left"/>
      <w:pPr>
        <w:tabs>
          <w:tab w:val="num" w:pos="576"/>
        </w:tabs>
        <w:ind w:left="360" w:hanging="144"/>
      </w:pPr>
      <w:rPr>
        <w:rFonts w:ascii="Wingdings" w:hAnsi="Wingdings" w:hint="default"/>
        <w:sz w:val="16"/>
      </w:rPr>
    </w:lvl>
  </w:abstractNum>
  <w:abstractNum w:abstractNumId="9">
    <w:nsid w:val="23750A8A"/>
    <w:multiLevelType w:val="multilevel"/>
    <w:tmpl w:val="0678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42271D"/>
    <w:multiLevelType w:val="multilevel"/>
    <w:tmpl w:val="78B0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FB5D63"/>
    <w:multiLevelType w:val="multilevel"/>
    <w:tmpl w:val="EFC0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9613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3F7D5A3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40535F3B"/>
    <w:multiLevelType w:val="multilevel"/>
    <w:tmpl w:val="6E7C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2E7481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43D91F78"/>
    <w:multiLevelType w:val="multilevel"/>
    <w:tmpl w:val="D80A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7276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499D3EA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57FA47D1"/>
    <w:multiLevelType w:val="hybridMultilevel"/>
    <w:tmpl w:val="E3CA3C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CAD2D64"/>
    <w:multiLevelType w:val="singleLevel"/>
    <w:tmpl w:val="04090011"/>
    <w:lvl w:ilvl="0">
      <w:start w:val="1"/>
      <w:numFmt w:val="decimal"/>
      <w:lvlText w:val="%1)"/>
      <w:lvlJc w:val="left"/>
      <w:pPr>
        <w:tabs>
          <w:tab w:val="num" w:pos="360"/>
        </w:tabs>
        <w:ind w:left="360" w:hanging="360"/>
      </w:pPr>
    </w:lvl>
  </w:abstractNum>
  <w:abstractNum w:abstractNumId="21">
    <w:nsid w:val="5E2D30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FB5DEE"/>
    <w:multiLevelType w:val="hybridMultilevel"/>
    <w:tmpl w:val="8E62BD4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66103096"/>
    <w:multiLevelType w:val="hybridMultilevel"/>
    <w:tmpl w:val="CD92E7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8001D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00824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70716D3C"/>
    <w:multiLevelType w:val="hybridMultilevel"/>
    <w:tmpl w:val="7A4C1D0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A0E40CF"/>
    <w:multiLevelType w:val="hybridMultilevel"/>
    <w:tmpl w:val="18D4E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CB04486"/>
    <w:multiLevelType w:val="multilevel"/>
    <w:tmpl w:val="F0B0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DDE770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7E6D7D7C"/>
    <w:multiLevelType w:val="singleLevel"/>
    <w:tmpl w:val="0409000F"/>
    <w:lvl w:ilvl="0">
      <w:start w:val="1"/>
      <w:numFmt w:val="decimal"/>
      <w:lvlText w:val="%1."/>
      <w:lvlJc w:val="left"/>
      <w:pPr>
        <w:tabs>
          <w:tab w:val="num" w:pos="360"/>
        </w:tabs>
        <w:ind w:left="360" w:hanging="360"/>
      </w:pPr>
    </w:lvl>
  </w:abstractNum>
  <w:num w:numId="1" w16cid:durableId="233199671">
    <w:abstractNumId w:val="30"/>
  </w:num>
  <w:num w:numId="2" w16cid:durableId="563107596">
    <w:abstractNumId w:val="20"/>
  </w:num>
  <w:num w:numId="3" w16cid:durableId="1925256619">
    <w:abstractNumId w:val="8"/>
  </w:num>
  <w:num w:numId="4" w16cid:durableId="933056098">
    <w:abstractNumId w:val="18"/>
  </w:num>
  <w:num w:numId="5" w16cid:durableId="666910216">
    <w:abstractNumId w:val="13"/>
  </w:num>
  <w:num w:numId="6" w16cid:durableId="1495409628">
    <w:abstractNumId w:val="29"/>
  </w:num>
  <w:num w:numId="7" w16cid:durableId="1145008684">
    <w:abstractNumId w:val="3"/>
  </w:num>
  <w:num w:numId="8" w16cid:durableId="861095570">
    <w:abstractNumId w:val="17"/>
  </w:num>
  <w:num w:numId="9" w16cid:durableId="670065453">
    <w:abstractNumId w:val="15"/>
  </w:num>
  <w:num w:numId="10" w16cid:durableId="220409244">
    <w:abstractNumId w:val="25"/>
  </w:num>
  <w:num w:numId="11" w16cid:durableId="66072957">
    <w:abstractNumId w:val="12"/>
  </w:num>
  <w:num w:numId="12" w16cid:durableId="1807817093">
    <w:abstractNumId w:val="24"/>
  </w:num>
  <w:num w:numId="13" w16cid:durableId="20283373">
    <w:abstractNumId w:val="7"/>
  </w:num>
  <w:num w:numId="14" w16cid:durableId="998118728">
    <w:abstractNumId w:val="21"/>
  </w:num>
  <w:num w:numId="15" w16cid:durableId="1839805737">
    <w:abstractNumId w:val="22"/>
  </w:num>
  <w:num w:numId="16" w16cid:durableId="441389340">
    <w:abstractNumId w:val="5"/>
  </w:num>
  <w:num w:numId="17" w16cid:durableId="1003245955">
    <w:abstractNumId w:val="6"/>
  </w:num>
  <w:num w:numId="18" w16cid:durableId="38557933">
    <w:abstractNumId w:val="23"/>
  </w:num>
  <w:num w:numId="19" w16cid:durableId="1022590394">
    <w:abstractNumId w:val="26"/>
  </w:num>
  <w:num w:numId="20" w16cid:durableId="678197330">
    <w:abstractNumId w:val="27"/>
  </w:num>
  <w:num w:numId="21" w16cid:durableId="646277604">
    <w:abstractNumId w:val="0"/>
  </w:num>
  <w:num w:numId="22" w16cid:durableId="414321517">
    <w:abstractNumId w:val="4"/>
  </w:num>
  <w:num w:numId="23" w16cid:durableId="561139942">
    <w:abstractNumId w:val="1"/>
  </w:num>
  <w:num w:numId="24" w16cid:durableId="1209293413">
    <w:abstractNumId w:val="14"/>
  </w:num>
  <w:num w:numId="25" w16cid:durableId="1488590155">
    <w:abstractNumId w:val="9"/>
  </w:num>
  <w:num w:numId="26" w16cid:durableId="248276446">
    <w:abstractNumId w:val="2"/>
  </w:num>
  <w:num w:numId="27" w16cid:durableId="1347053154">
    <w:abstractNumId w:val="16"/>
  </w:num>
  <w:num w:numId="28" w16cid:durableId="1844078499">
    <w:abstractNumId w:val="28"/>
  </w:num>
  <w:num w:numId="29" w16cid:durableId="2042776938">
    <w:abstractNumId w:val="10"/>
  </w:num>
  <w:num w:numId="30" w16cid:durableId="1110513139">
    <w:abstractNumId w:val="11"/>
  </w:num>
  <w:num w:numId="31" w16cid:durableId="6416142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A5B"/>
    <w:rsid w:val="0000213A"/>
    <w:rsid w:val="00012C83"/>
    <w:rsid w:val="00017E26"/>
    <w:rsid w:val="00040E15"/>
    <w:rsid w:val="000747AF"/>
    <w:rsid w:val="00080CF7"/>
    <w:rsid w:val="00097DE8"/>
    <w:rsid w:val="000A68EC"/>
    <w:rsid w:val="000A714B"/>
    <w:rsid w:val="000B5473"/>
    <w:rsid w:val="000E6733"/>
    <w:rsid w:val="00103B8F"/>
    <w:rsid w:val="00110954"/>
    <w:rsid w:val="001114B0"/>
    <w:rsid w:val="001168F4"/>
    <w:rsid w:val="001220B7"/>
    <w:rsid w:val="0013228C"/>
    <w:rsid w:val="00132676"/>
    <w:rsid w:val="001364EA"/>
    <w:rsid w:val="001466FA"/>
    <w:rsid w:val="00152974"/>
    <w:rsid w:val="0015697A"/>
    <w:rsid w:val="001702A5"/>
    <w:rsid w:val="001735C3"/>
    <w:rsid w:val="00174A5B"/>
    <w:rsid w:val="00191692"/>
    <w:rsid w:val="00195F77"/>
    <w:rsid w:val="001A4C4D"/>
    <w:rsid w:val="001C4B6D"/>
    <w:rsid w:val="001C7317"/>
    <w:rsid w:val="001D5E6E"/>
    <w:rsid w:val="001E20D5"/>
    <w:rsid w:val="001F242F"/>
    <w:rsid w:val="00202D2A"/>
    <w:rsid w:val="00217395"/>
    <w:rsid w:val="00246911"/>
    <w:rsid w:val="00253250"/>
    <w:rsid w:val="00257733"/>
    <w:rsid w:val="00257F2D"/>
    <w:rsid w:val="00264D7E"/>
    <w:rsid w:val="00270ED1"/>
    <w:rsid w:val="00273961"/>
    <w:rsid w:val="002749A7"/>
    <w:rsid w:val="002828E5"/>
    <w:rsid w:val="002906BE"/>
    <w:rsid w:val="00297666"/>
    <w:rsid w:val="002A3ECC"/>
    <w:rsid w:val="002C442A"/>
    <w:rsid w:val="002D1565"/>
    <w:rsid w:val="002D749A"/>
    <w:rsid w:val="002F3953"/>
    <w:rsid w:val="00325513"/>
    <w:rsid w:val="003268DF"/>
    <w:rsid w:val="00350A91"/>
    <w:rsid w:val="003819EF"/>
    <w:rsid w:val="003A4688"/>
    <w:rsid w:val="003C5CC4"/>
    <w:rsid w:val="00400913"/>
    <w:rsid w:val="0040694C"/>
    <w:rsid w:val="00421D70"/>
    <w:rsid w:val="00426739"/>
    <w:rsid w:val="00426FFC"/>
    <w:rsid w:val="00432149"/>
    <w:rsid w:val="00451135"/>
    <w:rsid w:val="00457A5D"/>
    <w:rsid w:val="00463133"/>
    <w:rsid w:val="00470E10"/>
    <w:rsid w:val="0047209D"/>
    <w:rsid w:val="00481BEE"/>
    <w:rsid w:val="0048365A"/>
    <w:rsid w:val="0049123D"/>
    <w:rsid w:val="004B61D8"/>
    <w:rsid w:val="004C3529"/>
    <w:rsid w:val="004C381D"/>
    <w:rsid w:val="004D32F8"/>
    <w:rsid w:val="004D4C50"/>
    <w:rsid w:val="004F3E3E"/>
    <w:rsid w:val="00500BB5"/>
    <w:rsid w:val="00526FE4"/>
    <w:rsid w:val="00543AC2"/>
    <w:rsid w:val="00553D5D"/>
    <w:rsid w:val="00571541"/>
    <w:rsid w:val="0058766B"/>
    <w:rsid w:val="005A2E73"/>
    <w:rsid w:val="005D145C"/>
    <w:rsid w:val="005D540D"/>
    <w:rsid w:val="005E34CD"/>
    <w:rsid w:val="005E3722"/>
    <w:rsid w:val="005F4696"/>
    <w:rsid w:val="00626208"/>
    <w:rsid w:val="00637E73"/>
    <w:rsid w:val="006464FC"/>
    <w:rsid w:val="00647299"/>
    <w:rsid w:val="00676BDF"/>
    <w:rsid w:val="00682577"/>
    <w:rsid w:val="006853BF"/>
    <w:rsid w:val="006A2408"/>
    <w:rsid w:val="006A7204"/>
    <w:rsid w:val="006C1CF8"/>
    <w:rsid w:val="006D07A6"/>
    <w:rsid w:val="006D65D7"/>
    <w:rsid w:val="006E002F"/>
    <w:rsid w:val="00721983"/>
    <w:rsid w:val="00727D5D"/>
    <w:rsid w:val="00731163"/>
    <w:rsid w:val="007320B9"/>
    <w:rsid w:val="00741F05"/>
    <w:rsid w:val="00784730"/>
    <w:rsid w:val="00792AEB"/>
    <w:rsid w:val="00792E8F"/>
    <w:rsid w:val="007B1C6F"/>
    <w:rsid w:val="007C0710"/>
    <w:rsid w:val="007D1B4D"/>
    <w:rsid w:val="007D7731"/>
    <w:rsid w:val="007E13CC"/>
    <w:rsid w:val="007F3537"/>
    <w:rsid w:val="00801778"/>
    <w:rsid w:val="00810E82"/>
    <w:rsid w:val="0081417A"/>
    <w:rsid w:val="00827C9B"/>
    <w:rsid w:val="00833A53"/>
    <w:rsid w:val="00853E2E"/>
    <w:rsid w:val="00857549"/>
    <w:rsid w:val="0086092E"/>
    <w:rsid w:val="00881CCA"/>
    <w:rsid w:val="00881D71"/>
    <w:rsid w:val="00887E5B"/>
    <w:rsid w:val="008A0B92"/>
    <w:rsid w:val="008B598F"/>
    <w:rsid w:val="008C7BB2"/>
    <w:rsid w:val="0090785D"/>
    <w:rsid w:val="009338D0"/>
    <w:rsid w:val="009378C6"/>
    <w:rsid w:val="009B03AB"/>
    <w:rsid w:val="009B12CD"/>
    <w:rsid w:val="009C1AC3"/>
    <w:rsid w:val="009C5072"/>
    <w:rsid w:val="009D43DB"/>
    <w:rsid w:val="009E1788"/>
    <w:rsid w:val="009E427A"/>
    <w:rsid w:val="009F11D1"/>
    <w:rsid w:val="009F606F"/>
    <w:rsid w:val="00A02827"/>
    <w:rsid w:val="00A15C45"/>
    <w:rsid w:val="00A170A5"/>
    <w:rsid w:val="00A21874"/>
    <w:rsid w:val="00A32D4D"/>
    <w:rsid w:val="00A35709"/>
    <w:rsid w:val="00A42114"/>
    <w:rsid w:val="00A478D9"/>
    <w:rsid w:val="00A54425"/>
    <w:rsid w:val="00A63BD5"/>
    <w:rsid w:val="00A743D6"/>
    <w:rsid w:val="00A82E7C"/>
    <w:rsid w:val="00A830F4"/>
    <w:rsid w:val="00A856E7"/>
    <w:rsid w:val="00A93883"/>
    <w:rsid w:val="00AA30F3"/>
    <w:rsid w:val="00AA781F"/>
    <w:rsid w:val="00AD1915"/>
    <w:rsid w:val="00AD6CC1"/>
    <w:rsid w:val="00AF26E8"/>
    <w:rsid w:val="00AF3E5A"/>
    <w:rsid w:val="00B0293C"/>
    <w:rsid w:val="00B05967"/>
    <w:rsid w:val="00B12BD0"/>
    <w:rsid w:val="00B16219"/>
    <w:rsid w:val="00B3664A"/>
    <w:rsid w:val="00B5080A"/>
    <w:rsid w:val="00B568CC"/>
    <w:rsid w:val="00B911C2"/>
    <w:rsid w:val="00B940E7"/>
    <w:rsid w:val="00BA2F31"/>
    <w:rsid w:val="00BB2759"/>
    <w:rsid w:val="00BC37B0"/>
    <w:rsid w:val="00BD6FAE"/>
    <w:rsid w:val="00BE6950"/>
    <w:rsid w:val="00C107B9"/>
    <w:rsid w:val="00C13D78"/>
    <w:rsid w:val="00C454CF"/>
    <w:rsid w:val="00C535D1"/>
    <w:rsid w:val="00C7053A"/>
    <w:rsid w:val="00C71415"/>
    <w:rsid w:val="00C808D7"/>
    <w:rsid w:val="00CB6D54"/>
    <w:rsid w:val="00CD4A0A"/>
    <w:rsid w:val="00CE15DA"/>
    <w:rsid w:val="00D05BD0"/>
    <w:rsid w:val="00D15DF9"/>
    <w:rsid w:val="00D23440"/>
    <w:rsid w:val="00D27BA6"/>
    <w:rsid w:val="00D621AD"/>
    <w:rsid w:val="00D6298C"/>
    <w:rsid w:val="00D66E87"/>
    <w:rsid w:val="00D705BD"/>
    <w:rsid w:val="00D868CB"/>
    <w:rsid w:val="00DA03D7"/>
    <w:rsid w:val="00DE2B64"/>
    <w:rsid w:val="00DE5AAD"/>
    <w:rsid w:val="00E015FE"/>
    <w:rsid w:val="00E02699"/>
    <w:rsid w:val="00E11D76"/>
    <w:rsid w:val="00E225EA"/>
    <w:rsid w:val="00E330EA"/>
    <w:rsid w:val="00E4056D"/>
    <w:rsid w:val="00E6065F"/>
    <w:rsid w:val="00E624B7"/>
    <w:rsid w:val="00E706DC"/>
    <w:rsid w:val="00E83139"/>
    <w:rsid w:val="00EA5448"/>
    <w:rsid w:val="00EA776E"/>
    <w:rsid w:val="00EC547C"/>
    <w:rsid w:val="00EC68AB"/>
    <w:rsid w:val="00ED4737"/>
    <w:rsid w:val="00EE6073"/>
    <w:rsid w:val="00F11714"/>
    <w:rsid w:val="00F44617"/>
    <w:rsid w:val="00F466EF"/>
    <w:rsid w:val="00F4727A"/>
    <w:rsid w:val="00F570ED"/>
    <w:rsid w:val="00F66F36"/>
    <w:rsid w:val="00F67AE6"/>
    <w:rsid w:val="00F84FB2"/>
    <w:rsid w:val="00FD628F"/>
    <w:rsid w:val="00FE4631"/>
    <w:rsid w:val="00FE586C"/>
    <w:rsid w:val="00FF5A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15CF326"/>
  <w15:chartTrackingRefBased/>
  <w15:docId w15:val="{9FEE7901-1E0F-4789-8AE9-77E18F68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sz w:val="24"/>
    </w:rPr>
  </w:style>
  <w:style w:type="paragraph" w:styleId="Heading2">
    <w:name w:val="heading 2"/>
    <w:basedOn w:val="Normal"/>
    <w:next w:val="Normal"/>
    <w:qFormat/>
    <w:pPr>
      <w:keepNext/>
      <w:ind w:left="720"/>
      <w:outlineLvl w:val="1"/>
    </w:pPr>
    <w:rPr>
      <w:rFonts w:ascii="Arial" w:hAnsi="Arial"/>
      <w:sz w:val="24"/>
      <w:u w:val="single"/>
    </w:rPr>
  </w:style>
  <w:style w:type="paragraph" w:styleId="Heading5">
    <w:name w:val="heading 5"/>
    <w:basedOn w:val="Normal"/>
    <w:next w:val="Normal"/>
    <w:qFormat/>
    <w:pPr>
      <w:keepNext/>
      <w:ind w:left="720"/>
      <w:outlineLvl w:val="4"/>
    </w:pPr>
    <w:rPr>
      <w:rFonts w:ascii="Arial" w:hAnsi="Arial"/>
      <w:sz w:val="24"/>
    </w:rPr>
  </w:style>
  <w:style w:type="paragraph" w:styleId="Heading6">
    <w:name w:val="heading 6"/>
    <w:basedOn w:val="Normal"/>
    <w:next w:val="Normal"/>
    <w:qFormat/>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sz w:val="24"/>
    </w:rPr>
  </w:style>
  <w:style w:type="paragraph" w:styleId="Title">
    <w:name w:val="Title"/>
    <w:basedOn w:val="Normal"/>
    <w:qFormat/>
    <w:pPr>
      <w:jc w:val="center"/>
    </w:pPr>
    <w:rPr>
      <w:rFonts w:ascii="Arial" w:hAnsi="Arial"/>
      <w:b/>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rPr>
      <w:rFonts w:ascii="Arial" w:hAnsi="Arial"/>
      <w:sz w:val="22"/>
    </w:rPr>
  </w:style>
  <w:style w:type="paragraph" w:styleId="BalloonText">
    <w:name w:val="Balloon Text"/>
    <w:basedOn w:val="Normal"/>
    <w:semiHidden/>
    <w:rsid w:val="00F570ED"/>
    <w:rPr>
      <w:rFonts w:ascii="Tahoma" w:hAnsi="Tahoma" w:cs="Tahoma"/>
      <w:sz w:val="16"/>
      <w:szCs w:val="16"/>
    </w:rPr>
  </w:style>
  <w:style w:type="character" w:styleId="CommentReference">
    <w:name w:val="annotation reference"/>
    <w:semiHidden/>
    <w:rsid w:val="00A856E7"/>
    <w:rPr>
      <w:sz w:val="16"/>
      <w:szCs w:val="16"/>
    </w:rPr>
  </w:style>
  <w:style w:type="paragraph" w:styleId="CommentText">
    <w:name w:val="annotation text"/>
    <w:basedOn w:val="Normal"/>
    <w:semiHidden/>
    <w:rsid w:val="00A856E7"/>
  </w:style>
  <w:style w:type="paragraph" w:styleId="CommentSubject">
    <w:name w:val="annotation subject"/>
    <w:basedOn w:val="CommentText"/>
    <w:next w:val="CommentText"/>
    <w:semiHidden/>
    <w:rsid w:val="00A856E7"/>
    <w:rPr>
      <w:b/>
      <w:bCs/>
    </w:rPr>
  </w:style>
  <w:style w:type="character" w:styleId="Hyperlink">
    <w:name w:val="Hyperlink"/>
    <w:rsid w:val="009F11D1"/>
    <w:rPr>
      <w:color w:val="0000FF"/>
      <w:u w:val="single"/>
    </w:rPr>
  </w:style>
  <w:style w:type="character" w:styleId="FollowedHyperlink">
    <w:name w:val="FollowedHyperlink"/>
    <w:basedOn w:val="DefaultParagraphFont"/>
    <w:rsid w:val="00571541"/>
    <w:rPr>
      <w:color w:val="954F72" w:themeColor="followedHyperlink"/>
      <w:u w:val="single"/>
    </w:rPr>
  </w:style>
  <w:style w:type="paragraph" w:styleId="ListParagraph">
    <w:name w:val="List Paragraph"/>
    <w:basedOn w:val="Normal"/>
    <w:uiPriority w:val="34"/>
    <w:qFormat/>
    <w:rsid w:val="00571541"/>
    <w:pPr>
      <w:ind w:left="720"/>
      <w:contextualSpacing/>
    </w:pPr>
  </w:style>
  <w:style w:type="paragraph" w:styleId="Revision">
    <w:name w:val="Revision"/>
    <w:hidden/>
    <w:uiPriority w:val="99"/>
    <w:semiHidden/>
    <w:rsid w:val="009C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uscg.mil/Units/Organization/" TargetMode="External" /><Relationship Id="rId11" Type="http://schemas.openxmlformats.org/officeDocument/2006/relationships/hyperlink" Target="http://www.dco.uscg.mil/msc/" TargetMode="External" /><Relationship Id="rId12" Type="http://schemas.openxmlformats.org/officeDocument/2006/relationships/hyperlink" Target="https://www.dhs.gov/sites/default/files/publications/privacy_pia_uscg_misle.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173026.htm" TargetMode="External" /><Relationship Id="rId2" Type="http://schemas.openxmlformats.org/officeDocument/2006/relationships/hyperlink" Target="https://www.bls.gov/oes/2023/may/oes172121.htm" TargetMode="External" /><Relationship Id="rId3" Type="http://schemas.openxmlformats.org/officeDocument/2006/relationships/hyperlink" Target="https://www.bls.gov/oes/2023/may/oes111021.htm" TargetMode="External" /><Relationship Id="rId4" Type="http://schemas.openxmlformats.org/officeDocument/2006/relationships/hyperlink" Target="https://www.bls.gov/oes/2023/may/oes43419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6NRRV4S2CX6Q-769511253-179525</_dlc_DocId>
    <_dlc_DocIdUrl xmlns="7ea9c0cb-aa7e-47c6-8965-59e0e5c30e95">
      <Url>https://uscg.sharepoint-mil.us/sites/PWA-DCO-5P/_layouts/15/DocIdRedir.aspx?ID=6NRRV4S2CX6Q-769511253-179525</Url>
      <Description>6NRRV4S2CX6Q-769511253-179525</Description>
    </_dlc_DocIdUrl>
  </documentManagement>
</p:properties>
</file>

<file path=customXml/itemProps1.xml><?xml version="1.0" encoding="utf-8"?>
<ds:datastoreItem xmlns:ds="http://schemas.openxmlformats.org/officeDocument/2006/customXml" ds:itemID="{5402BF83-A404-4593-A65B-8D2E02AA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03BA5-5BB1-4A61-8394-F6BFC03AD1A9}">
  <ds:schemaRefs>
    <ds:schemaRef ds:uri="http://schemas.openxmlformats.org/officeDocument/2006/bibliography"/>
  </ds:schemaRefs>
</ds:datastoreItem>
</file>

<file path=customXml/itemProps3.xml><?xml version="1.0" encoding="utf-8"?>
<ds:datastoreItem xmlns:ds="http://schemas.openxmlformats.org/officeDocument/2006/customXml" ds:itemID="{703AF05E-6886-4F29-95EE-48EBA32FB9CE}">
  <ds:schemaRefs>
    <ds:schemaRef ds:uri="http://schemas.microsoft.com/sharepoint/events"/>
  </ds:schemaRefs>
</ds:datastoreItem>
</file>

<file path=customXml/itemProps4.xml><?xml version="1.0" encoding="utf-8"?>
<ds:datastoreItem xmlns:ds="http://schemas.openxmlformats.org/officeDocument/2006/customXml" ds:itemID="{7CA8B14B-6F5E-41D1-AF9D-42914AEA2046}">
  <ds:schemaRefs>
    <ds:schemaRef ds:uri="http://schemas.microsoft.com/sharepoint/v3/contenttype/forms"/>
  </ds:schemaRefs>
</ds:datastoreItem>
</file>

<file path=customXml/itemProps5.xml><?xml version="1.0" encoding="utf-8"?>
<ds:datastoreItem xmlns:ds="http://schemas.openxmlformats.org/officeDocument/2006/customXml" ds:itemID="{0D42A026-A22E-4686-ACFA-4602C25B24DF}">
  <ds:schemaRefs>
    <ds:schemaRef ds:uri="http://schemas.microsoft.com/office/2006/metadata/properties"/>
    <ds:schemaRef ds:uri="http://schemas.microsoft.com/office/infopath/2007/PartnerControls"/>
    <ds:schemaRef ds:uri="7ea9c0cb-aa7e-47c6-8965-59e0e5c30e95"/>
    <ds:schemaRef ds:uri="e3984892-263f-4997-b8fa-c1f0a284e313"/>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1272</Words>
  <Characters>7705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AYoung</dc:creator>
  <cp:lastModifiedBy>Craig, Albert L CIV USCG COMDT (USA)</cp:lastModifiedBy>
  <cp:revision>21</cp:revision>
  <cp:lastPrinted>2025-06-11T15:47:00Z</cp:lastPrinted>
  <dcterms:created xsi:type="dcterms:W3CDTF">2025-06-11T17:17:00Z</dcterms:created>
  <dcterms:modified xsi:type="dcterms:W3CDTF">2025-06-17T14:51:00Z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MSIP_Label_a2eef23d-2e95-4428-9a3c-2526d95b164a_ActionId">
    <vt:lpwstr>8c893958-a2b0-400f-aa4c-19903ec08a7b</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2025-06-10T16:35:00Z</vt:lpwstr>
  </property>
  <property fmtid="{D5CDD505-2E9C-101B-9397-08002B2CF9AE}" pid="10" name="MSIP_Label_a2eef23d-2e95-4428-9a3c-2526d95b164a_SiteId">
    <vt:lpwstr>3ccde76c-946d-4a12-bb7a-fc9d0842354a</vt:lpwstr>
  </property>
  <property fmtid="{D5CDD505-2E9C-101B-9397-08002B2CF9AE}" pid="11" name="_dlc_DocIdItemGuid">
    <vt:lpwstr>f0b99286-8696-4abf-82fc-00fd07ee3dc2</vt:lpwstr>
  </property>
</Properties>
</file>